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46"/>
      <w:bookmarkStart w:id="1" w:name="OLE_LINK47"/>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Latvijas Nacionāl</w:t>
      </w:r>
      <w:r w:rsidR="00D02BFC">
        <w:rPr>
          <w:b/>
          <w:sz w:val="28"/>
          <w:szCs w:val="28"/>
        </w:rPr>
        <w:t>ā opera</w:t>
      </w:r>
      <w:r w:rsidR="00D278EA">
        <w:rPr>
          <w:b/>
          <w:sz w:val="28"/>
          <w:szCs w:val="28"/>
        </w:rPr>
        <w:t xml:space="preserve"> un balets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7D5D18">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24"/>
        <w:gridCol w:w="2410"/>
        <w:gridCol w:w="5967"/>
      </w:tblGrid>
      <w:tr w:rsidR="00E26FA6" w:rsidRPr="00FC423D" w:rsidTr="00F55AC4">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F55AC4">
        <w:trPr>
          <w:trHeight w:val="7635"/>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E26FA6" w:rsidP="00F55AC4">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242295">
            <w:pPr>
              <w:spacing w:after="0" w:line="240" w:lineRule="auto"/>
              <w:ind w:left="127"/>
              <w:rPr>
                <w:rFonts w:eastAsia="Times New Roman"/>
                <w:sz w:val="28"/>
                <w:szCs w:val="28"/>
                <w:lang w:eastAsia="lv-LV"/>
              </w:rPr>
            </w:pPr>
            <w:r w:rsidRPr="00FC423D">
              <w:rPr>
                <w:rFonts w:eastAsia="Times New Roman"/>
                <w:sz w:val="28"/>
                <w:szCs w:val="28"/>
                <w:lang w:eastAsia="lv-LV"/>
              </w:rPr>
              <w:t>Pamatojums</w:t>
            </w:r>
          </w:p>
        </w:tc>
        <w:tc>
          <w:tcPr>
            <w:tcW w:w="3278" w:type="pct"/>
            <w:tcBorders>
              <w:top w:val="outset" w:sz="6" w:space="0" w:color="auto"/>
              <w:left w:val="outset" w:sz="6" w:space="0" w:color="auto"/>
              <w:bottom w:val="outset" w:sz="6" w:space="0" w:color="auto"/>
              <w:right w:val="outset" w:sz="6" w:space="0" w:color="auto"/>
            </w:tcBorders>
          </w:tcPr>
          <w:p w:rsidR="00F55AC4" w:rsidRPr="00B80246" w:rsidRDefault="002F5B05" w:rsidP="00AF4EA3">
            <w:pPr>
              <w:spacing w:after="0" w:line="240" w:lineRule="auto"/>
              <w:ind w:left="127"/>
              <w:jc w:val="both"/>
              <w:rPr>
                <w:rFonts w:eastAsia="Times New Roman"/>
                <w:bCs/>
                <w:color w:val="414142"/>
                <w:sz w:val="28"/>
                <w:szCs w:val="28"/>
                <w:lang w:eastAsia="lv-LV"/>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„Latvijas Nacionāl</w:t>
            </w:r>
            <w:r w:rsidR="00D02BFC">
              <w:rPr>
                <w:sz w:val="28"/>
                <w:szCs w:val="28"/>
              </w:rPr>
              <w:t>ā opera</w:t>
            </w:r>
            <w:r w:rsidR="00D278EA">
              <w:rPr>
                <w:sz w:val="28"/>
                <w:szCs w:val="28"/>
              </w:rPr>
              <w:t xml:space="preserve"> un balets</w:t>
            </w:r>
            <w:r w:rsidR="00C656AB" w:rsidRPr="00C656AB">
              <w:rPr>
                <w:sz w:val="28"/>
                <w:szCs w:val="28"/>
              </w:rPr>
              <w:t>”</w:t>
            </w:r>
            <w:r w:rsidR="00C656AB" w:rsidRPr="00B5667E">
              <w:rPr>
                <w:b/>
                <w:sz w:val="28"/>
                <w:szCs w:val="28"/>
              </w:rPr>
              <w:t xml:space="preserve"> </w:t>
            </w:r>
            <w:r w:rsidRPr="00FC423D">
              <w:rPr>
                <w:sz w:val="28"/>
                <w:szCs w:val="28"/>
              </w:rPr>
              <w:t xml:space="preserve">peļņas daļu” (turpmāk – Projekts) sagatavots saskaņā ar </w:t>
            </w:r>
            <w:r w:rsidR="00D278EA" w:rsidRPr="00B54A52">
              <w:rPr>
                <w:sz w:val="28"/>
                <w:szCs w:val="28"/>
              </w:rPr>
              <w:t>Likuma par budžetu un finanšu vadību 5.panta otro daļu</w:t>
            </w:r>
            <w:r w:rsidR="00B80246">
              <w:rPr>
                <w:sz w:val="28"/>
                <w:szCs w:val="28"/>
              </w:rPr>
              <w:t xml:space="preserve">, </w:t>
            </w:r>
            <w:hyperlink r:id="rId8" w:tgtFrame="_blank" w:history="1">
              <w:r w:rsidR="00B80246" w:rsidRPr="00497130">
                <w:rPr>
                  <w:rFonts w:eastAsia="Times New Roman"/>
                  <w:iCs/>
                  <w:sz w:val="28"/>
                  <w:szCs w:val="28"/>
                  <w:lang w:eastAsia="lv-LV"/>
                </w:rPr>
                <w:t xml:space="preserve">Publiskas personas kapitāla daļu un </w:t>
              </w:r>
              <w:r w:rsidR="00B80246" w:rsidRPr="00497130">
                <w:rPr>
                  <w:rFonts w:eastAsia="Times New Roman"/>
                  <w:iCs/>
                  <w:sz w:val="28"/>
                  <w:szCs w:val="28"/>
                  <w:lang w:eastAsia="lv-LV"/>
                </w:rPr>
                <w:br/>
                <w:t>kapitālsabiedrību pārvaldības likuma</w:t>
              </w:r>
            </w:hyperlink>
            <w:r w:rsidR="00B80246" w:rsidRPr="00497130">
              <w:rPr>
                <w:rFonts w:eastAsia="Times New Roman"/>
                <w:iCs/>
                <w:sz w:val="28"/>
                <w:szCs w:val="28"/>
                <w:lang w:eastAsia="lv-LV"/>
              </w:rPr>
              <w:t xml:space="preserve"> </w:t>
            </w:r>
            <w:hyperlink r:id="rId9" w:anchor="p28" w:tgtFrame="_blank" w:history="1">
              <w:r w:rsidR="009345E5">
                <w:rPr>
                  <w:rFonts w:eastAsia="Times New Roman"/>
                  <w:iCs/>
                  <w:sz w:val="28"/>
                  <w:szCs w:val="28"/>
                  <w:lang w:eastAsia="lv-LV"/>
                </w:rPr>
                <w:t>28.</w:t>
              </w:r>
              <w:r w:rsidR="00B80246" w:rsidRPr="00497130">
                <w:rPr>
                  <w:rFonts w:eastAsia="Times New Roman"/>
                  <w:iCs/>
                  <w:sz w:val="28"/>
                  <w:szCs w:val="28"/>
                  <w:lang w:eastAsia="lv-LV"/>
                </w:rPr>
                <w:t>panta</w:t>
              </w:r>
            </w:hyperlink>
            <w:r w:rsidR="00B80246" w:rsidRPr="00497130">
              <w:rPr>
                <w:rFonts w:eastAsia="Times New Roman"/>
                <w:iCs/>
                <w:sz w:val="28"/>
                <w:szCs w:val="28"/>
                <w:lang w:eastAsia="lv-LV"/>
              </w:rPr>
              <w:t xml:space="preserve"> </w:t>
            </w:r>
            <w:r w:rsidR="00EF16A2">
              <w:rPr>
                <w:rFonts w:eastAsia="Times New Roman"/>
                <w:iCs/>
                <w:sz w:val="28"/>
                <w:szCs w:val="28"/>
                <w:lang w:eastAsia="lv-LV"/>
              </w:rPr>
              <w:t>trešo</w:t>
            </w:r>
            <w:r w:rsidR="00B80246" w:rsidRPr="00497130">
              <w:rPr>
                <w:rFonts w:eastAsia="Times New Roman"/>
                <w:iCs/>
                <w:sz w:val="28"/>
                <w:szCs w:val="28"/>
                <w:lang w:eastAsia="lv-LV"/>
              </w:rPr>
              <w:t xml:space="preserve"> daļu</w:t>
            </w:r>
            <w:r w:rsidR="00D278EA" w:rsidRPr="00B54A52">
              <w:rPr>
                <w:sz w:val="28"/>
                <w:szCs w:val="28"/>
              </w:rPr>
              <w:t xml:space="preserve"> un</w:t>
            </w:r>
            <w:r w:rsidR="00D278EA" w:rsidRPr="00FC423D">
              <w:rPr>
                <w:sz w:val="28"/>
                <w:szCs w:val="28"/>
              </w:rPr>
              <w:t xml:space="preserve"> </w:t>
            </w:r>
            <w:r w:rsidR="00E26FA6" w:rsidRPr="00FC423D">
              <w:rPr>
                <w:sz w:val="28"/>
                <w:szCs w:val="28"/>
              </w:rPr>
              <w:t>Ministru kabineta 20</w:t>
            </w:r>
            <w:r w:rsidR="00B80246">
              <w:rPr>
                <w:sz w:val="28"/>
                <w:szCs w:val="28"/>
              </w:rPr>
              <w:t>15</w:t>
            </w:r>
            <w:r w:rsidR="00E26FA6" w:rsidRPr="00FC423D">
              <w:rPr>
                <w:sz w:val="28"/>
                <w:szCs w:val="28"/>
              </w:rPr>
              <w:t xml:space="preserve">.gada </w:t>
            </w:r>
            <w:r w:rsidR="00B80246">
              <w:rPr>
                <w:sz w:val="28"/>
                <w:szCs w:val="28"/>
              </w:rPr>
              <w:t>22</w:t>
            </w:r>
            <w:r w:rsidR="00E26FA6" w:rsidRPr="00FC423D">
              <w:rPr>
                <w:sz w:val="28"/>
                <w:szCs w:val="28"/>
              </w:rPr>
              <w:t>.decembra noteikumu Nr.</w:t>
            </w:r>
            <w:r w:rsidR="00B80246">
              <w:rPr>
                <w:sz w:val="28"/>
                <w:szCs w:val="28"/>
              </w:rPr>
              <w:t xml:space="preserve">806 </w:t>
            </w:r>
            <w:r w:rsidR="00E26FA6" w:rsidRPr="00B80246">
              <w:rPr>
                <w:sz w:val="28"/>
                <w:szCs w:val="28"/>
              </w:rPr>
              <w:t>„</w:t>
            </w:r>
            <w:r w:rsidR="00B80246" w:rsidRPr="00497130">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E26FA6" w:rsidRPr="00B80246">
              <w:rPr>
                <w:sz w:val="28"/>
                <w:szCs w:val="28"/>
              </w:rPr>
              <w:t>”</w:t>
            </w:r>
            <w:r w:rsidR="00E26FA6" w:rsidRPr="00FC423D">
              <w:rPr>
                <w:sz w:val="28"/>
                <w:szCs w:val="28"/>
              </w:rPr>
              <w:t xml:space="preserve"> (turpm</w:t>
            </w:r>
            <w:r w:rsidR="00B80246">
              <w:rPr>
                <w:sz w:val="28"/>
                <w:szCs w:val="28"/>
              </w:rPr>
              <w:t>āk – Noteikumi Nr.806) 10</w:t>
            </w:r>
            <w:r w:rsidRPr="00FC423D">
              <w:rPr>
                <w:sz w:val="28"/>
                <w:szCs w:val="28"/>
              </w:rPr>
              <w:t>.punktu</w:t>
            </w:r>
            <w:r w:rsidR="00E26FA6" w:rsidRPr="00FC423D">
              <w:rPr>
                <w:sz w:val="28"/>
                <w:szCs w:val="28"/>
              </w:rPr>
              <w:t xml:space="preserve">, </w:t>
            </w:r>
            <w:r w:rsidR="00EF16A2" w:rsidRPr="00C42819">
              <w:rPr>
                <w:sz w:val="28"/>
                <w:szCs w:val="28"/>
              </w:rPr>
              <w:t xml:space="preserve">kas nosaka, ka </w:t>
            </w:r>
            <w:r w:rsidR="00EF16A2" w:rsidRPr="00C42819">
              <w:rPr>
                <w:color w:val="000000" w:themeColor="text1"/>
                <w:sz w:val="28"/>
                <w:szCs w:val="28"/>
              </w:rPr>
              <w:t xml:space="preserve">valsts kapitāla daļu turētājs priekšlikumu par dividendēs izmaksājamo peļņas daļu (procentos </w:t>
            </w:r>
            <w:r w:rsidR="00EF16A2" w:rsidRPr="00C42819">
              <w:rPr>
                <w:sz w:val="28"/>
                <w:szCs w:val="28"/>
              </w:rPr>
              <w:t>no kapitālsabiedrības tīrās peļņas), kas atšķiras no kapitālsabiedrības stratēģijā noteiktā, piecu darbdienu laikā pēc kapitālsabiedrības gada pārskata apstiprināšanas iesniedz Finanšu ministrijai un koordinācijas institūcijai.</w:t>
            </w:r>
          </w:p>
        </w:tc>
      </w:tr>
      <w:tr w:rsidR="00E26FA6" w:rsidRPr="001424BB" w:rsidTr="00D624A8">
        <w:trPr>
          <w:trHeight w:val="263"/>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1424BB" w:rsidRDefault="00E26FA6" w:rsidP="00F55AC4">
            <w:pPr>
              <w:spacing w:after="0" w:line="240" w:lineRule="auto"/>
              <w:jc w:val="center"/>
              <w:rPr>
                <w:rFonts w:eastAsia="Times New Roman"/>
                <w:sz w:val="28"/>
                <w:szCs w:val="28"/>
                <w:lang w:eastAsia="lv-LV"/>
              </w:rPr>
            </w:pPr>
            <w:r w:rsidRPr="001424BB">
              <w:rPr>
                <w:rFonts w:eastAsia="Times New Roman"/>
                <w:sz w:val="28"/>
                <w:szCs w:val="28"/>
                <w:lang w:eastAsia="lv-LV"/>
              </w:rPr>
              <w:t>2.</w:t>
            </w:r>
          </w:p>
        </w:tc>
        <w:tc>
          <w:tcPr>
            <w:tcW w:w="1324" w:type="pct"/>
            <w:tcBorders>
              <w:top w:val="outset" w:sz="6" w:space="0" w:color="auto"/>
              <w:left w:val="outset" w:sz="6" w:space="0" w:color="auto"/>
              <w:bottom w:val="outset" w:sz="6" w:space="0" w:color="auto"/>
              <w:right w:val="outset" w:sz="6" w:space="0" w:color="auto"/>
            </w:tcBorders>
          </w:tcPr>
          <w:p w:rsidR="00E26FA6" w:rsidRPr="001424BB" w:rsidRDefault="00B931C1" w:rsidP="00242295">
            <w:pPr>
              <w:spacing w:after="0" w:line="240" w:lineRule="auto"/>
              <w:ind w:left="127"/>
              <w:rPr>
                <w:rFonts w:eastAsia="Times New Roman"/>
                <w:sz w:val="28"/>
                <w:szCs w:val="28"/>
                <w:lang w:eastAsia="lv-LV"/>
              </w:rPr>
            </w:pPr>
            <w:r w:rsidRPr="001424BB">
              <w:rPr>
                <w:sz w:val="28"/>
                <w:szCs w:val="28"/>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tcPr>
          <w:p w:rsidR="00E26FA6" w:rsidRPr="001424BB" w:rsidRDefault="00E26FA6" w:rsidP="00AF4EA3">
            <w:pPr>
              <w:spacing w:after="0" w:line="240" w:lineRule="auto"/>
              <w:ind w:left="125"/>
              <w:jc w:val="both"/>
              <w:rPr>
                <w:sz w:val="28"/>
                <w:szCs w:val="28"/>
              </w:rPr>
            </w:pPr>
            <w:r w:rsidRPr="001424BB">
              <w:rPr>
                <w:sz w:val="28"/>
                <w:szCs w:val="28"/>
              </w:rPr>
              <w:t xml:space="preserve">Valsts sabiedrība ar ierobežotu atbildību </w:t>
            </w:r>
            <w:r w:rsidR="00C656AB" w:rsidRPr="001424BB">
              <w:rPr>
                <w:sz w:val="28"/>
                <w:szCs w:val="28"/>
              </w:rPr>
              <w:t>„Latvijas Nacionāl</w:t>
            </w:r>
            <w:r w:rsidR="00D02BFC" w:rsidRPr="001424BB">
              <w:rPr>
                <w:sz w:val="28"/>
                <w:szCs w:val="28"/>
              </w:rPr>
              <w:t>ā opera</w:t>
            </w:r>
            <w:r w:rsidR="00D278EA">
              <w:rPr>
                <w:sz w:val="28"/>
                <w:szCs w:val="28"/>
              </w:rPr>
              <w:t xml:space="preserve"> un balets</w:t>
            </w:r>
            <w:r w:rsidR="00C656AB" w:rsidRPr="001424BB">
              <w:rPr>
                <w:sz w:val="28"/>
                <w:szCs w:val="28"/>
              </w:rPr>
              <w:t>”</w:t>
            </w:r>
            <w:r w:rsidR="00C656AB" w:rsidRPr="006F5782">
              <w:rPr>
                <w:sz w:val="28"/>
                <w:szCs w:val="28"/>
              </w:rPr>
              <w:t xml:space="preserve"> </w:t>
            </w:r>
            <w:r w:rsidRPr="001424BB">
              <w:rPr>
                <w:sz w:val="28"/>
                <w:szCs w:val="28"/>
              </w:rPr>
              <w:t>(turpmāk – kapitālsabiedrība) ir valsts kapitālsabiedrība, kurā 100% kapitāla daļu turētāja ir Kultūras ministrija.</w:t>
            </w:r>
          </w:p>
          <w:p w:rsidR="00AF4EA3" w:rsidRDefault="00AF4EA3" w:rsidP="00AF4EA3">
            <w:pPr>
              <w:spacing w:after="0" w:line="240" w:lineRule="auto"/>
              <w:ind w:left="125"/>
              <w:jc w:val="both"/>
              <w:rPr>
                <w:sz w:val="28"/>
                <w:szCs w:val="28"/>
              </w:rPr>
            </w:pPr>
          </w:p>
          <w:p w:rsidR="0046277B" w:rsidRDefault="00E26FA6" w:rsidP="00AF4EA3">
            <w:pPr>
              <w:spacing w:after="0" w:line="240" w:lineRule="auto"/>
              <w:ind w:left="125"/>
              <w:jc w:val="both"/>
              <w:rPr>
                <w:sz w:val="28"/>
                <w:szCs w:val="28"/>
              </w:rPr>
            </w:pPr>
            <w:r w:rsidRPr="001424BB">
              <w:rPr>
                <w:sz w:val="28"/>
                <w:szCs w:val="28"/>
              </w:rPr>
              <w:t>Kapitālsabiedrība 201</w:t>
            </w:r>
            <w:r w:rsidR="00EF16A2">
              <w:rPr>
                <w:sz w:val="28"/>
                <w:szCs w:val="28"/>
              </w:rPr>
              <w:t>5</w:t>
            </w:r>
            <w:r w:rsidRPr="001424BB">
              <w:rPr>
                <w:sz w:val="28"/>
                <w:szCs w:val="28"/>
              </w:rPr>
              <w:t xml:space="preserve">.gadu ir noslēgusi ar </w:t>
            </w:r>
            <w:r w:rsidR="00C53F3C">
              <w:rPr>
                <w:sz w:val="28"/>
                <w:szCs w:val="28"/>
              </w:rPr>
              <w:t>12</w:t>
            </w:r>
            <w:r w:rsidR="009345E5">
              <w:rPr>
                <w:sz w:val="28"/>
                <w:szCs w:val="28"/>
              </w:rPr>
              <w:t> </w:t>
            </w:r>
            <w:r w:rsidR="00C53F3C">
              <w:rPr>
                <w:sz w:val="28"/>
                <w:szCs w:val="28"/>
              </w:rPr>
              <w:t>578</w:t>
            </w:r>
            <w:r w:rsidR="009345E5">
              <w:rPr>
                <w:sz w:val="28"/>
                <w:szCs w:val="28"/>
              </w:rPr>
              <w:t> </w:t>
            </w:r>
            <w:r w:rsidR="00D02BFC" w:rsidRPr="0046277B">
              <w:rPr>
                <w:i/>
                <w:sz w:val="28"/>
                <w:szCs w:val="28"/>
              </w:rPr>
              <w:t>euro</w:t>
            </w:r>
            <w:r w:rsidR="00BE1791" w:rsidRPr="001424BB">
              <w:rPr>
                <w:sz w:val="28"/>
                <w:szCs w:val="28"/>
              </w:rPr>
              <w:t xml:space="preserve"> </w:t>
            </w:r>
            <w:r w:rsidRPr="001424BB">
              <w:rPr>
                <w:sz w:val="28"/>
                <w:szCs w:val="28"/>
              </w:rPr>
              <w:t xml:space="preserve">peļņu. </w:t>
            </w:r>
            <w:r w:rsidR="002246C3" w:rsidRPr="00E24C6E">
              <w:rPr>
                <w:sz w:val="28"/>
                <w:szCs w:val="28"/>
              </w:rPr>
              <w:t xml:space="preserve">Saskaņā ar </w:t>
            </w:r>
            <w:r w:rsidR="0046277B" w:rsidRPr="00375FFC">
              <w:rPr>
                <w:sz w:val="28"/>
                <w:szCs w:val="28"/>
              </w:rPr>
              <w:t>likuma „</w:t>
            </w:r>
            <w:r w:rsidR="0046277B" w:rsidRPr="00375FFC">
              <w:rPr>
                <w:bCs/>
                <w:sz w:val="28"/>
                <w:szCs w:val="28"/>
              </w:rPr>
              <w:t>Par valsts budžetu 2016.gadam” 48.pantu un</w:t>
            </w:r>
            <w:r w:rsidR="0046277B" w:rsidRPr="00375FFC">
              <w:rPr>
                <w:sz w:val="28"/>
                <w:szCs w:val="28"/>
              </w:rPr>
              <w:t xml:space="preserve"> likuma „Par vidēja termiņa budžeta ietvaru 2016., 2017. un 2018.gadam” 22.panta pirmo daļu</w:t>
            </w:r>
            <w:r w:rsidR="0046277B">
              <w:rPr>
                <w:sz w:val="28"/>
                <w:szCs w:val="28"/>
              </w:rPr>
              <w:t xml:space="preserve"> </w:t>
            </w:r>
            <w:r w:rsidR="002246C3" w:rsidRPr="00E24C6E">
              <w:rPr>
                <w:sz w:val="28"/>
                <w:szCs w:val="28"/>
              </w:rPr>
              <w:t>minimālo dividendēs izmaksājamo peļņas daļu par 201</w:t>
            </w:r>
            <w:r w:rsidR="002246C3">
              <w:rPr>
                <w:sz w:val="28"/>
                <w:szCs w:val="28"/>
              </w:rPr>
              <w:t>5</w:t>
            </w:r>
            <w:r w:rsidR="002246C3" w:rsidRPr="00E24C6E">
              <w:rPr>
                <w:sz w:val="28"/>
                <w:szCs w:val="28"/>
              </w:rPr>
              <w:t xml:space="preserve">.pārskata gadu kapitālsabiedrībām, kurās visas </w:t>
            </w:r>
            <w:r w:rsidR="002246C3" w:rsidRPr="00E24C6E">
              <w:rPr>
                <w:sz w:val="28"/>
                <w:szCs w:val="28"/>
              </w:rPr>
              <w:lastRenderedPageBreak/>
              <w:t>kapitāla daļas tieši vai pastarpināti pieder valstij</w:t>
            </w:r>
            <w:r w:rsidR="00F540DA">
              <w:rPr>
                <w:sz w:val="28"/>
                <w:szCs w:val="28"/>
              </w:rPr>
              <w:t>,</w:t>
            </w:r>
            <w:r w:rsidR="002246C3" w:rsidRPr="00E24C6E">
              <w:rPr>
                <w:sz w:val="28"/>
                <w:szCs w:val="28"/>
              </w:rPr>
              <w:t xml:space="preserve"> nosaka un aprēķina 90 procentu apmērā no attiecīgās </w:t>
            </w:r>
            <w:r w:rsidR="002246C3">
              <w:rPr>
                <w:sz w:val="28"/>
                <w:szCs w:val="28"/>
              </w:rPr>
              <w:t>kapitālsabiedrības tīrās peļņas</w:t>
            </w:r>
            <w:r w:rsidR="002246C3" w:rsidRPr="00E24C6E">
              <w:rPr>
                <w:sz w:val="28"/>
                <w:szCs w:val="28"/>
              </w:rPr>
              <w:t xml:space="preserve">. </w:t>
            </w:r>
            <w:r w:rsidR="0046277B">
              <w:rPr>
                <w:sz w:val="28"/>
                <w:szCs w:val="28"/>
              </w:rPr>
              <w:t>Ievērojot iepriekš minēto, k</w:t>
            </w:r>
            <w:r w:rsidR="002246C3" w:rsidRPr="00E24C6E">
              <w:rPr>
                <w:sz w:val="28"/>
                <w:szCs w:val="28"/>
              </w:rPr>
              <w:t xml:space="preserve">apitālsabiedrībai par </w:t>
            </w:r>
            <w:r w:rsidR="0046277B" w:rsidRPr="00E24C6E">
              <w:rPr>
                <w:sz w:val="28"/>
                <w:szCs w:val="28"/>
              </w:rPr>
              <w:t>201</w:t>
            </w:r>
            <w:r w:rsidR="0046277B">
              <w:rPr>
                <w:sz w:val="28"/>
                <w:szCs w:val="28"/>
              </w:rPr>
              <w:t>5</w:t>
            </w:r>
            <w:r w:rsidR="0046277B" w:rsidRPr="00E24C6E">
              <w:rPr>
                <w:sz w:val="28"/>
                <w:szCs w:val="28"/>
              </w:rPr>
              <w:t xml:space="preserve">.pārskata gadu </w:t>
            </w:r>
            <w:r w:rsidR="002246C3" w:rsidRPr="00E24C6E">
              <w:rPr>
                <w:sz w:val="28"/>
                <w:szCs w:val="28"/>
              </w:rPr>
              <w:t>būtu jāieskaita valsts budžetā dividend</w:t>
            </w:r>
            <w:r w:rsidR="002246C3">
              <w:rPr>
                <w:sz w:val="28"/>
                <w:szCs w:val="28"/>
              </w:rPr>
              <w:t>e</w:t>
            </w:r>
            <w:r w:rsidR="002246C3" w:rsidRPr="00E24C6E">
              <w:rPr>
                <w:sz w:val="28"/>
                <w:szCs w:val="28"/>
              </w:rPr>
              <w:t xml:space="preserve">s </w:t>
            </w:r>
            <w:r w:rsidR="00C53F3C">
              <w:rPr>
                <w:sz w:val="28"/>
                <w:szCs w:val="28"/>
              </w:rPr>
              <w:t>11 320,20</w:t>
            </w:r>
            <w:r w:rsidR="00BE1791" w:rsidRPr="001424BB">
              <w:rPr>
                <w:sz w:val="28"/>
                <w:szCs w:val="28"/>
              </w:rPr>
              <w:t xml:space="preserve"> </w:t>
            </w:r>
            <w:r w:rsidR="00BE1791" w:rsidRPr="0046277B">
              <w:rPr>
                <w:i/>
                <w:sz w:val="28"/>
                <w:szCs w:val="28"/>
              </w:rPr>
              <w:t>euro</w:t>
            </w:r>
            <w:r w:rsidR="0046277B">
              <w:rPr>
                <w:i/>
                <w:sz w:val="28"/>
                <w:szCs w:val="28"/>
              </w:rPr>
              <w:t xml:space="preserve"> </w:t>
            </w:r>
            <w:r w:rsidR="0046277B" w:rsidRPr="0046277B">
              <w:rPr>
                <w:sz w:val="28"/>
                <w:szCs w:val="28"/>
              </w:rPr>
              <w:t>apmērā</w:t>
            </w:r>
            <w:r w:rsidRPr="001424BB">
              <w:rPr>
                <w:sz w:val="28"/>
                <w:szCs w:val="28"/>
              </w:rPr>
              <w:t>.</w:t>
            </w:r>
            <w:r w:rsidR="00C53F3C" w:rsidRPr="001424BB">
              <w:rPr>
                <w:sz w:val="28"/>
                <w:szCs w:val="28"/>
              </w:rPr>
              <w:t xml:space="preserve"> </w:t>
            </w:r>
          </w:p>
          <w:p w:rsidR="00AF4EA3" w:rsidRDefault="00AF4EA3" w:rsidP="00AF4EA3">
            <w:pPr>
              <w:spacing w:after="0" w:line="240" w:lineRule="auto"/>
              <w:ind w:left="125"/>
              <w:jc w:val="both"/>
              <w:rPr>
                <w:sz w:val="28"/>
                <w:szCs w:val="28"/>
              </w:rPr>
            </w:pPr>
          </w:p>
          <w:p w:rsidR="0057542C" w:rsidRPr="006F5782" w:rsidRDefault="0046277B" w:rsidP="00AF4EA3">
            <w:pPr>
              <w:spacing w:after="0" w:line="240" w:lineRule="auto"/>
              <w:ind w:left="125"/>
              <w:jc w:val="both"/>
              <w:rPr>
                <w:sz w:val="28"/>
                <w:szCs w:val="28"/>
              </w:rPr>
            </w:pPr>
            <w:r>
              <w:rPr>
                <w:sz w:val="28"/>
                <w:szCs w:val="28"/>
              </w:rPr>
              <w:t xml:space="preserve">Saskaņā ar </w:t>
            </w:r>
            <w:r w:rsidR="00E919D8">
              <w:rPr>
                <w:sz w:val="28"/>
                <w:szCs w:val="28"/>
              </w:rPr>
              <w:t>kapitālsabiedrības d</w:t>
            </w:r>
            <w:r w:rsidRPr="001424BB">
              <w:rPr>
                <w:sz w:val="28"/>
                <w:szCs w:val="28"/>
              </w:rPr>
              <w:t>alībnieku sapulce</w:t>
            </w:r>
            <w:r>
              <w:rPr>
                <w:sz w:val="28"/>
                <w:szCs w:val="28"/>
              </w:rPr>
              <w:t xml:space="preserve">s </w:t>
            </w:r>
            <w:r w:rsidRPr="001424BB">
              <w:rPr>
                <w:sz w:val="28"/>
                <w:szCs w:val="28"/>
              </w:rPr>
              <w:t>201</w:t>
            </w:r>
            <w:r>
              <w:rPr>
                <w:sz w:val="28"/>
                <w:szCs w:val="28"/>
              </w:rPr>
              <w:t>6</w:t>
            </w:r>
            <w:r w:rsidRPr="001424BB">
              <w:rPr>
                <w:sz w:val="28"/>
                <w:szCs w:val="28"/>
              </w:rPr>
              <w:t xml:space="preserve">.gada </w:t>
            </w:r>
            <w:r>
              <w:rPr>
                <w:sz w:val="28"/>
                <w:szCs w:val="28"/>
              </w:rPr>
              <w:t>19.maija protokolu</w:t>
            </w:r>
            <w:r w:rsidRPr="001424BB">
              <w:rPr>
                <w:sz w:val="28"/>
                <w:szCs w:val="28"/>
              </w:rPr>
              <w:t xml:space="preserve"> un 2015.gada </w:t>
            </w:r>
            <w:r>
              <w:rPr>
                <w:sz w:val="28"/>
                <w:szCs w:val="28"/>
              </w:rPr>
              <w:t>19</w:t>
            </w:r>
            <w:r w:rsidRPr="001424BB">
              <w:rPr>
                <w:sz w:val="28"/>
                <w:szCs w:val="28"/>
              </w:rPr>
              <w:t xml:space="preserve">.maija </w:t>
            </w:r>
            <w:r>
              <w:rPr>
                <w:sz w:val="28"/>
                <w:szCs w:val="28"/>
              </w:rPr>
              <w:t>kapitāla daļu turētāja lēmumu</w:t>
            </w:r>
            <w:r w:rsidRPr="001424BB">
              <w:rPr>
                <w:sz w:val="28"/>
                <w:szCs w:val="28"/>
              </w:rPr>
              <w:t xml:space="preserve"> Nr.</w:t>
            </w:r>
            <w:r>
              <w:rPr>
                <w:sz w:val="28"/>
                <w:szCs w:val="28"/>
              </w:rPr>
              <w:t>2.5.-3-34</w:t>
            </w:r>
            <w:r w:rsidR="00E919D8">
              <w:rPr>
                <w:sz w:val="28"/>
                <w:szCs w:val="28"/>
              </w:rPr>
              <w:t>,</w:t>
            </w:r>
            <w:r w:rsidR="00014E51">
              <w:rPr>
                <w:sz w:val="28"/>
                <w:szCs w:val="28"/>
              </w:rPr>
              <w:t xml:space="preserve"> izskatot jautājumu par </w:t>
            </w:r>
            <w:r w:rsidR="00014E51" w:rsidRPr="001424BB">
              <w:rPr>
                <w:sz w:val="28"/>
                <w:szCs w:val="28"/>
              </w:rPr>
              <w:t xml:space="preserve">kapitālsabiedrības </w:t>
            </w:r>
            <w:r w:rsidR="00014E51">
              <w:rPr>
                <w:sz w:val="28"/>
                <w:szCs w:val="28"/>
              </w:rPr>
              <w:t>gada pārskata apstiprināšanu</w:t>
            </w:r>
            <w:r w:rsidR="00E919D8">
              <w:rPr>
                <w:sz w:val="28"/>
                <w:szCs w:val="28"/>
              </w:rPr>
              <w:t>,</w:t>
            </w:r>
            <w:r w:rsidR="00014E51">
              <w:rPr>
                <w:sz w:val="28"/>
                <w:szCs w:val="28"/>
              </w:rPr>
              <w:t xml:space="preserve"> ir pieņemts lēmums </w:t>
            </w:r>
            <w:r w:rsidR="00014E51" w:rsidRPr="001424BB">
              <w:rPr>
                <w:sz w:val="28"/>
                <w:szCs w:val="28"/>
              </w:rPr>
              <w:t>priekšlikumu par atšķirīgas dividendēs izmaksājamās peļņas daļu virzīt izskatīšanai Ministru kabinetā.</w:t>
            </w:r>
            <w:r w:rsidR="00014E51">
              <w:rPr>
                <w:sz w:val="28"/>
                <w:szCs w:val="28"/>
              </w:rPr>
              <w:t xml:space="preserve"> </w:t>
            </w:r>
            <w:r w:rsidR="00F540DA" w:rsidRPr="001424BB">
              <w:rPr>
                <w:sz w:val="28"/>
                <w:szCs w:val="28"/>
              </w:rPr>
              <w:t>Līdz ar to šobrīd lē</w:t>
            </w:r>
            <w:r w:rsidR="00F540DA">
              <w:rPr>
                <w:sz w:val="28"/>
                <w:szCs w:val="28"/>
              </w:rPr>
              <w:t>mums par kapitālsabiedrības 2015</w:t>
            </w:r>
            <w:r w:rsidR="00F540DA" w:rsidRPr="001424BB">
              <w:rPr>
                <w:sz w:val="28"/>
                <w:szCs w:val="28"/>
              </w:rPr>
              <w:t>.gada peļņas sadali nav pieņ</w:t>
            </w:r>
            <w:r w:rsidR="00F540DA">
              <w:rPr>
                <w:sz w:val="28"/>
                <w:szCs w:val="28"/>
              </w:rPr>
              <w:t>emts un peļņa nav sadalīta. 2015</w:t>
            </w:r>
            <w:r w:rsidR="00F540DA" w:rsidRPr="001424BB">
              <w:rPr>
                <w:sz w:val="28"/>
                <w:szCs w:val="28"/>
              </w:rPr>
              <w:t>.gada nesadalītā peļņa atbilstoši</w:t>
            </w:r>
            <w:r w:rsidR="00F540DA" w:rsidRPr="00E919D8">
              <w:rPr>
                <w:sz w:val="28"/>
                <w:szCs w:val="28"/>
              </w:rPr>
              <w:t xml:space="preserve"> </w:t>
            </w:r>
            <w:r w:rsidR="00E919D8" w:rsidRPr="00E919D8">
              <w:rPr>
                <w:bCs/>
                <w:sz w:val="28"/>
                <w:szCs w:val="28"/>
              </w:rPr>
              <w:t xml:space="preserve">Gada pārskatu </w:t>
            </w:r>
            <w:hyperlink r:id="rId10" w:tgtFrame="_blank" w:history="1">
              <w:r w:rsidR="00E919D8" w:rsidRPr="00E919D8">
                <w:rPr>
                  <w:rStyle w:val="Hipersaite"/>
                  <w:bCs/>
                  <w:color w:val="auto"/>
                  <w:sz w:val="28"/>
                  <w:szCs w:val="28"/>
                </w:rPr>
                <w:t xml:space="preserve"> likum</w:t>
              </w:r>
            </w:hyperlink>
            <w:r w:rsidR="00E919D8" w:rsidRPr="00E919D8">
              <w:rPr>
                <w:sz w:val="28"/>
                <w:szCs w:val="28"/>
              </w:rPr>
              <w:t xml:space="preserve">a </w:t>
            </w:r>
            <w:r w:rsidR="00F540DA" w:rsidRPr="009979D0">
              <w:rPr>
                <w:sz w:val="28"/>
                <w:szCs w:val="28"/>
              </w:rPr>
              <w:t>20.pantam</w:t>
            </w:r>
            <w:r w:rsidR="00F540DA" w:rsidRPr="001424BB">
              <w:rPr>
                <w:sz w:val="28"/>
                <w:szCs w:val="28"/>
              </w:rPr>
              <w:t xml:space="preserve"> ir ietverta attiecīgā pārskata gada bilances postenī „Pārskata gada nesadalītā peļņa”.</w:t>
            </w:r>
          </w:p>
          <w:p w:rsidR="00AF4EA3" w:rsidRDefault="00AF4EA3" w:rsidP="00AF4EA3">
            <w:pPr>
              <w:spacing w:after="0" w:line="240" w:lineRule="auto"/>
              <w:ind w:left="125"/>
              <w:jc w:val="both"/>
              <w:rPr>
                <w:sz w:val="28"/>
                <w:szCs w:val="28"/>
              </w:rPr>
            </w:pPr>
          </w:p>
          <w:p w:rsidR="00B931C1" w:rsidRPr="0057542C" w:rsidRDefault="00E26FA6" w:rsidP="00AF4EA3">
            <w:pPr>
              <w:spacing w:after="0" w:line="240" w:lineRule="auto"/>
              <w:ind w:left="125"/>
              <w:jc w:val="both"/>
              <w:rPr>
                <w:sz w:val="28"/>
                <w:szCs w:val="28"/>
              </w:rPr>
            </w:pPr>
            <w:r w:rsidRPr="00EF16A2">
              <w:rPr>
                <w:sz w:val="28"/>
                <w:szCs w:val="28"/>
              </w:rPr>
              <w:t>Noteikumu Nr.</w:t>
            </w:r>
            <w:r w:rsidR="00EF16A2" w:rsidRPr="00EF16A2">
              <w:rPr>
                <w:sz w:val="28"/>
                <w:szCs w:val="28"/>
              </w:rPr>
              <w:t>806</w:t>
            </w:r>
            <w:r w:rsidRPr="00EF16A2">
              <w:rPr>
                <w:sz w:val="28"/>
                <w:szCs w:val="28"/>
              </w:rPr>
              <w:t xml:space="preserve"> </w:t>
            </w:r>
            <w:r w:rsidR="00EF16A2" w:rsidRPr="00EF16A2">
              <w:rPr>
                <w:sz w:val="28"/>
                <w:szCs w:val="28"/>
              </w:rPr>
              <w:t>11.2.5</w:t>
            </w:r>
            <w:r w:rsidR="00A00263" w:rsidRPr="00EF16A2">
              <w:rPr>
                <w:sz w:val="28"/>
                <w:szCs w:val="28"/>
              </w:rPr>
              <w:t>.</w:t>
            </w:r>
            <w:r w:rsidRPr="00EF16A2">
              <w:rPr>
                <w:sz w:val="28"/>
                <w:szCs w:val="28"/>
              </w:rPr>
              <w:t>punkts nosaka</w:t>
            </w:r>
            <w:r w:rsidRPr="0057542C">
              <w:rPr>
                <w:sz w:val="28"/>
                <w:szCs w:val="28"/>
              </w:rPr>
              <w:t xml:space="preserve">, ka </w:t>
            </w:r>
            <w:r w:rsidR="00E919D8">
              <w:rPr>
                <w:sz w:val="28"/>
                <w:szCs w:val="28"/>
              </w:rPr>
              <w:t>v</w:t>
            </w:r>
            <w:r w:rsidR="00EF16A2" w:rsidRPr="006F5782">
              <w:rPr>
                <w:sz w:val="28"/>
                <w:szCs w:val="28"/>
              </w:rPr>
              <w:t xml:space="preserve">alsts kapitāla daļu turētājs iesniedz Finanšu ministrijai un koordinācijas institūcijai </w:t>
            </w:r>
            <w:r w:rsidR="00014E51">
              <w:rPr>
                <w:sz w:val="28"/>
                <w:szCs w:val="28"/>
              </w:rPr>
              <w:t>N</w:t>
            </w:r>
            <w:r w:rsidR="00EF16A2" w:rsidRPr="006F5782">
              <w:rPr>
                <w:sz w:val="28"/>
                <w:szCs w:val="28"/>
              </w:rPr>
              <w:t xml:space="preserve">oteikumu </w:t>
            </w:r>
            <w:r w:rsidR="00014E51" w:rsidRPr="00EF16A2">
              <w:rPr>
                <w:sz w:val="28"/>
                <w:szCs w:val="28"/>
              </w:rPr>
              <w:t xml:space="preserve">Nr.806 </w:t>
            </w:r>
            <w:hyperlink r:id="rId11" w:anchor="p10" w:tgtFrame="_blank" w:history="1">
              <w:r w:rsidR="00014E51">
                <w:rPr>
                  <w:sz w:val="28"/>
                  <w:szCs w:val="28"/>
                </w:rPr>
                <w:t>10.</w:t>
              </w:r>
              <w:r w:rsidR="00EF16A2" w:rsidRPr="006F5782">
                <w:rPr>
                  <w:sz w:val="28"/>
                  <w:szCs w:val="28"/>
                </w:rPr>
                <w:t>punktā</w:t>
              </w:r>
            </w:hyperlink>
            <w:r w:rsidR="00EF16A2" w:rsidRPr="006F5782">
              <w:rPr>
                <w:sz w:val="28"/>
                <w:szCs w:val="28"/>
              </w:rPr>
              <w:t xml:space="preserve"> minēto priekšlikumu un attiecīgu Ministru kabineta rīkojuma projektu un anotāciju, ja daļa peļņas gūta, pārvērtējot kapitālsabiedrības ilgtermiņa ieguldījumus.</w:t>
            </w:r>
          </w:p>
          <w:p w:rsidR="00AF4EA3" w:rsidRDefault="00AF4EA3" w:rsidP="00AF4EA3">
            <w:pPr>
              <w:spacing w:after="0" w:line="240" w:lineRule="auto"/>
              <w:ind w:left="125"/>
              <w:jc w:val="both"/>
              <w:rPr>
                <w:sz w:val="28"/>
                <w:szCs w:val="28"/>
              </w:rPr>
            </w:pPr>
          </w:p>
          <w:p w:rsidR="0084708D" w:rsidRPr="001424BB" w:rsidRDefault="00DB750A" w:rsidP="00AF4EA3">
            <w:pPr>
              <w:spacing w:after="0" w:line="240" w:lineRule="auto"/>
              <w:ind w:left="125"/>
              <w:jc w:val="both"/>
              <w:rPr>
                <w:sz w:val="28"/>
                <w:szCs w:val="28"/>
              </w:rPr>
            </w:pPr>
            <w:r>
              <w:rPr>
                <w:sz w:val="28"/>
                <w:szCs w:val="28"/>
              </w:rPr>
              <w:t xml:space="preserve">Kapitālsabiedrībai saistībā ar uzveduma līdzekļu pārvērtēšanu iepriekšējos periodos ir izveidojusies ilgtermiņa ieguldījumu pārvērtēšanas rezerve. 2015.gadā ieņēmumos tika norakstītas rezerves 90 485 </w:t>
            </w:r>
            <w:r w:rsidRPr="00014E51">
              <w:rPr>
                <w:i/>
                <w:sz w:val="28"/>
                <w:szCs w:val="28"/>
              </w:rPr>
              <w:t>euro</w:t>
            </w:r>
            <w:r w:rsidRPr="006F5782">
              <w:rPr>
                <w:sz w:val="28"/>
                <w:szCs w:val="28"/>
              </w:rPr>
              <w:t xml:space="preserve"> </w:t>
            </w:r>
            <w:r>
              <w:rPr>
                <w:sz w:val="28"/>
                <w:szCs w:val="28"/>
              </w:rPr>
              <w:t xml:space="preserve">apmērā uzveduma līdzekļiem, kuri uz 2015.gada sākumu jau bija pilnībā nolietojušies. Līdz ar to 2015.gada peļņa ir gūta, norakstot ieņēmumos pārvērtēto kapitālsabiedrības ilgtermiņa ieguldījumu rezervi. </w:t>
            </w:r>
          </w:p>
          <w:p w:rsidR="00AF4EA3" w:rsidRDefault="00AF4EA3" w:rsidP="00AF4EA3">
            <w:pPr>
              <w:spacing w:after="0" w:line="240" w:lineRule="auto"/>
              <w:ind w:left="125"/>
              <w:jc w:val="both"/>
              <w:rPr>
                <w:sz w:val="28"/>
                <w:szCs w:val="28"/>
              </w:rPr>
            </w:pPr>
          </w:p>
          <w:p w:rsidR="0046277B" w:rsidRDefault="00C9765F" w:rsidP="00AF4EA3">
            <w:pPr>
              <w:spacing w:after="0" w:line="240" w:lineRule="auto"/>
              <w:ind w:left="125"/>
              <w:jc w:val="both"/>
              <w:rPr>
                <w:sz w:val="28"/>
                <w:szCs w:val="28"/>
              </w:rPr>
            </w:pPr>
            <w:r>
              <w:rPr>
                <w:sz w:val="28"/>
                <w:szCs w:val="28"/>
              </w:rPr>
              <w:t>Kapitālsabiedrības 2015</w:t>
            </w:r>
            <w:r w:rsidR="001424BB" w:rsidRPr="001424BB">
              <w:rPr>
                <w:sz w:val="28"/>
                <w:szCs w:val="28"/>
              </w:rPr>
              <w:t>.gada darbību raksturojošie rādītāji:</w:t>
            </w:r>
          </w:p>
          <w:p w:rsidR="00AF4EA3" w:rsidRDefault="00AF4EA3" w:rsidP="00AF4EA3">
            <w:pPr>
              <w:spacing w:after="0" w:line="240" w:lineRule="auto"/>
              <w:ind w:left="125"/>
              <w:jc w:val="both"/>
              <w:rPr>
                <w:sz w:val="28"/>
                <w:szCs w:val="28"/>
              </w:rPr>
            </w:pPr>
          </w:p>
          <w:tbl>
            <w:tblPr>
              <w:tblW w:w="5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6"/>
              <w:gridCol w:w="1418"/>
              <w:gridCol w:w="1275"/>
              <w:gridCol w:w="1139"/>
            </w:tblGrid>
            <w:tr w:rsidR="004E3FBA" w:rsidRPr="009345E5" w:rsidTr="009345E5">
              <w:trPr>
                <w:trHeight w:val="765"/>
              </w:trPr>
              <w:tc>
                <w:tcPr>
                  <w:tcW w:w="2106" w:type="dxa"/>
                  <w:shd w:val="clear" w:color="auto" w:fill="auto"/>
                  <w:vAlign w:val="center"/>
                  <w:hideMark/>
                </w:tcPr>
                <w:p w:rsidR="004E3FBA" w:rsidRPr="009345E5" w:rsidRDefault="004E3FBA" w:rsidP="00AF4EA3">
                  <w:pPr>
                    <w:spacing w:after="0" w:line="240" w:lineRule="auto"/>
                    <w:jc w:val="center"/>
                    <w:rPr>
                      <w:rFonts w:eastAsia="Times New Roman"/>
                      <w:b/>
                      <w:bCs/>
                      <w:lang w:eastAsia="lv-LV"/>
                    </w:rPr>
                  </w:pPr>
                  <w:r w:rsidRPr="009345E5">
                    <w:rPr>
                      <w:rFonts w:eastAsia="Times New Roman"/>
                      <w:b/>
                      <w:bCs/>
                      <w:sz w:val="22"/>
                      <w:lang w:eastAsia="lv-LV"/>
                    </w:rPr>
                    <w:lastRenderedPageBreak/>
                    <w:t>Rādītāji</w:t>
                  </w:r>
                </w:p>
              </w:tc>
              <w:tc>
                <w:tcPr>
                  <w:tcW w:w="1418" w:type="dxa"/>
                  <w:shd w:val="clear" w:color="auto" w:fill="auto"/>
                  <w:vAlign w:val="center"/>
                  <w:hideMark/>
                </w:tcPr>
                <w:p w:rsidR="004E3FBA" w:rsidRPr="009345E5" w:rsidRDefault="004E3FBA" w:rsidP="00AF4EA3">
                  <w:pPr>
                    <w:spacing w:after="0" w:line="240" w:lineRule="auto"/>
                    <w:jc w:val="center"/>
                    <w:rPr>
                      <w:rFonts w:eastAsia="Times New Roman"/>
                      <w:b/>
                      <w:bCs/>
                      <w:lang w:eastAsia="lv-LV"/>
                    </w:rPr>
                  </w:pPr>
                  <w:r w:rsidRPr="009345E5">
                    <w:rPr>
                      <w:rFonts w:eastAsia="Times New Roman"/>
                      <w:b/>
                      <w:bCs/>
                      <w:sz w:val="22"/>
                      <w:lang w:eastAsia="lv-LV"/>
                    </w:rPr>
                    <w:t>Plānotais pārskata gadā 2015</w:t>
                  </w:r>
                </w:p>
              </w:tc>
              <w:tc>
                <w:tcPr>
                  <w:tcW w:w="1275" w:type="dxa"/>
                  <w:shd w:val="clear" w:color="auto" w:fill="auto"/>
                  <w:vAlign w:val="center"/>
                  <w:hideMark/>
                </w:tcPr>
                <w:p w:rsidR="004E3FBA" w:rsidRPr="009345E5" w:rsidRDefault="004E3FBA" w:rsidP="00AF4EA3">
                  <w:pPr>
                    <w:spacing w:after="0" w:line="240" w:lineRule="auto"/>
                    <w:jc w:val="center"/>
                    <w:rPr>
                      <w:rFonts w:eastAsia="Times New Roman"/>
                      <w:b/>
                      <w:bCs/>
                      <w:lang w:eastAsia="lv-LV"/>
                    </w:rPr>
                  </w:pPr>
                  <w:r w:rsidRPr="009345E5">
                    <w:rPr>
                      <w:rFonts w:eastAsia="Times New Roman"/>
                      <w:b/>
                      <w:bCs/>
                      <w:sz w:val="22"/>
                      <w:lang w:eastAsia="lv-LV"/>
                    </w:rPr>
                    <w:t>Fakts pārskata gadā 2015</w:t>
                  </w:r>
                </w:p>
              </w:tc>
              <w:tc>
                <w:tcPr>
                  <w:tcW w:w="1139" w:type="dxa"/>
                  <w:shd w:val="clear" w:color="auto" w:fill="auto"/>
                  <w:vAlign w:val="center"/>
                  <w:hideMark/>
                </w:tcPr>
                <w:p w:rsidR="004E3FBA" w:rsidRPr="009345E5" w:rsidRDefault="004E3FBA" w:rsidP="00AF4EA3">
                  <w:pPr>
                    <w:spacing w:after="0" w:line="240" w:lineRule="auto"/>
                    <w:jc w:val="center"/>
                    <w:rPr>
                      <w:rFonts w:eastAsia="Times New Roman"/>
                      <w:b/>
                      <w:bCs/>
                      <w:lang w:eastAsia="lv-LV"/>
                    </w:rPr>
                  </w:pPr>
                  <w:r w:rsidRPr="009345E5">
                    <w:rPr>
                      <w:rFonts w:eastAsia="Times New Roman"/>
                      <w:b/>
                      <w:bCs/>
                      <w:sz w:val="22"/>
                      <w:lang w:eastAsia="lv-LV"/>
                    </w:rPr>
                    <w:t>Novirze no plānotā</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Biļešu realizācija</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2 300 000</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2 694</w:t>
                  </w:r>
                  <w:r w:rsidR="004E3FBA" w:rsidRPr="009345E5">
                    <w:rPr>
                      <w:rFonts w:eastAsia="Times New Roman"/>
                      <w:sz w:val="22"/>
                      <w:lang w:eastAsia="lv-LV"/>
                    </w:rPr>
                    <w:t>153</w:t>
                  </w:r>
                </w:p>
              </w:tc>
              <w:tc>
                <w:tcPr>
                  <w:tcW w:w="1139"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394</w:t>
                  </w:r>
                  <w:r w:rsidR="004E3FBA" w:rsidRPr="009345E5">
                    <w:rPr>
                      <w:rFonts w:eastAsia="Times New Roman"/>
                      <w:sz w:val="22"/>
                      <w:lang w:eastAsia="lv-LV"/>
                    </w:rPr>
                    <w:t>153</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Pārējie pašu ieņēmumi</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1 000 000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971 013</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-28 987</w:t>
                  </w:r>
                </w:p>
              </w:tc>
            </w:tr>
            <w:tr w:rsidR="004E3FBA" w:rsidRPr="009345E5" w:rsidTr="009345E5">
              <w:trPr>
                <w:trHeight w:val="315"/>
              </w:trPr>
              <w:tc>
                <w:tcPr>
                  <w:tcW w:w="2106" w:type="dxa"/>
                  <w:shd w:val="clear" w:color="auto" w:fill="auto"/>
                  <w:vAlign w:val="center"/>
                  <w:hideMark/>
                </w:tcPr>
                <w:p w:rsidR="004E3FBA" w:rsidRPr="009345E5" w:rsidRDefault="004E3FBA" w:rsidP="00E919D8">
                  <w:pPr>
                    <w:spacing w:after="0" w:line="240" w:lineRule="auto"/>
                    <w:jc w:val="both"/>
                    <w:rPr>
                      <w:rFonts w:eastAsia="Times New Roman"/>
                      <w:lang w:eastAsia="lv-LV"/>
                    </w:rPr>
                  </w:pPr>
                  <w:r w:rsidRPr="009345E5">
                    <w:rPr>
                      <w:rFonts w:eastAsia="Times New Roman"/>
                      <w:sz w:val="22"/>
                      <w:lang w:eastAsia="lv-LV"/>
                    </w:rPr>
                    <w:t xml:space="preserve">Neto apgrozījums,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3 300 000</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3 665</w:t>
                  </w:r>
                  <w:r w:rsidR="004E3FBA" w:rsidRPr="009345E5">
                    <w:rPr>
                      <w:rFonts w:eastAsia="Times New Roman"/>
                      <w:sz w:val="22"/>
                      <w:lang w:eastAsia="lv-LV"/>
                    </w:rPr>
                    <w:t>166</w:t>
                  </w:r>
                </w:p>
              </w:tc>
              <w:tc>
                <w:tcPr>
                  <w:tcW w:w="1139"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365</w:t>
                  </w:r>
                  <w:r w:rsidR="004E3FBA" w:rsidRPr="009345E5">
                    <w:rPr>
                      <w:rFonts w:eastAsia="Times New Roman"/>
                      <w:sz w:val="22"/>
                      <w:lang w:eastAsia="lv-LV"/>
                    </w:rPr>
                    <w:t>166</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Peļņa,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-7 605 794</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-7593</w:t>
                  </w:r>
                  <w:r w:rsidR="004E3FBA" w:rsidRPr="009345E5">
                    <w:rPr>
                      <w:rFonts w:eastAsia="Times New Roman"/>
                      <w:sz w:val="22"/>
                      <w:lang w:eastAsia="lv-LV"/>
                    </w:rPr>
                    <w:t>216</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12 578</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Peļņa pirms procentu maksājumiem un nodokļiem (EBIT),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-7 591 380</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-7578</w:t>
                  </w:r>
                  <w:r w:rsidR="004E3FBA" w:rsidRPr="009345E5">
                    <w:rPr>
                      <w:rFonts w:eastAsia="Times New Roman"/>
                      <w:sz w:val="22"/>
                      <w:lang w:eastAsia="lv-LV"/>
                    </w:rPr>
                    <w:t>802</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12 578</w:t>
                  </w:r>
                </w:p>
              </w:tc>
            </w:tr>
            <w:tr w:rsidR="004E3FBA" w:rsidRPr="009345E5" w:rsidTr="009345E5">
              <w:trPr>
                <w:trHeight w:val="630"/>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Peļņa pirms procentu maksājumiem, nodokļiem, nolietojuma un amortizācijas atskaitījumiem (EBITDA),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-6 879 202</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-6866</w:t>
                  </w:r>
                  <w:r w:rsidR="004E3FBA" w:rsidRPr="009345E5">
                    <w:rPr>
                      <w:rFonts w:eastAsia="Times New Roman"/>
                      <w:sz w:val="22"/>
                      <w:lang w:eastAsia="lv-LV"/>
                    </w:rPr>
                    <w:t>624</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12 578</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Bilances kopsumma,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7 000 000</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7 007</w:t>
                  </w:r>
                  <w:r w:rsidR="004E3FBA" w:rsidRPr="009345E5">
                    <w:rPr>
                      <w:rFonts w:eastAsia="Times New Roman"/>
                      <w:sz w:val="22"/>
                      <w:lang w:eastAsia="lv-LV"/>
                    </w:rPr>
                    <w:t>506</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7 506</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Pašu kapitāls,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1 055 126</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1 067</w:t>
                  </w:r>
                  <w:r w:rsidR="004E3FBA" w:rsidRPr="009345E5">
                    <w:rPr>
                      <w:rFonts w:eastAsia="Times New Roman"/>
                      <w:sz w:val="22"/>
                      <w:lang w:eastAsia="lv-LV"/>
                    </w:rPr>
                    <w:t>704</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12 578</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Pašu kapitāla atdeve (ROE), %</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-721%</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-711%</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Aktīvu atdeve (ROA), %</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-109%</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-108%</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Kopējais likviditātes rādītājs</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1.00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0.85</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Saistības pret pašu kapitālu, %</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5.00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5.09</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Plānotās pamatdarbības naudas plūsmas izpilde,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c>
                <w:tcPr>
                  <w:tcW w:w="1275"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1</w:t>
                  </w:r>
                  <w:r w:rsidR="004E3FBA" w:rsidRPr="009345E5">
                    <w:rPr>
                      <w:rFonts w:eastAsia="Times New Roman"/>
                      <w:sz w:val="22"/>
                      <w:lang w:eastAsia="lv-LV"/>
                    </w:rPr>
                    <w:t>432 680</w:t>
                  </w:r>
                </w:p>
              </w:tc>
              <w:tc>
                <w:tcPr>
                  <w:tcW w:w="1139" w:type="dxa"/>
                  <w:shd w:val="clear" w:color="auto" w:fill="auto"/>
                  <w:vAlign w:val="center"/>
                  <w:hideMark/>
                </w:tcPr>
                <w:p w:rsidR="004E3FBA" w:rsidRPr="009345E5" w:rsidRDefault="009345E5" w:rsidP="008846BE">
                  <w:pPr>
                    <w:spacing w:after="0" w:line="240" w:lineRule="auto"/>
                    <w:jc w:val="right"/>
                    <w:rPr>
                      <w:rFonts w:eastAsia="Times New Roman"/>
                      <w:lang w:eastAsia="lv-LV"/>
                    </w:rPr>
                  </w:pPr>
                  <w:r w:rsidRPr="009345E5">
                    <w:rPr>
                      <w:rFonts w:eastAsia="Times New Roman"/>
                      <w:sz w:val="22"/>
                      <w:lang w:eastAsia="lv-LV"/>
                    </w:rPr>
                    <w:t>1</w:t>
                  </w:r>
                  <w:r w:rsidR="004E3FBA" w:rsidRPr="009345E5">
                    <w:rPr>
                      <w:rFonts w:eastAsia="Times New Roman"/>
                      <w:sz w:val="22"/>
                      <w:lang w:eastAsia="lv-LV"/>
                    </w:rPr>
                    <w:t>4</w:t>
                  </w:r>
                  <w:r w:rsidRPr="009345E5">
                    <w:rPr>
                      <w:rFonts w:eastAsia="Times New Roman"/>
                      <w:sz w:val="22"/>
                      <w:lang w:eastAsia="lv-LV"/>
                    </w:rPr>
                    <w:t>32</w:t>
                  </w:r>
                  <w:r w:rsidR="004E3FBA" w:rsidRPr="009345E5">
                    <w:rPr>
                      <w:rFonts w:eastAsia="Times New Roman"/>
                      <w:sz w:val="22"/>
                      <w:lang w:eastAsia="lv-LV"/>
                    </w:rPr>
                    <w:t>680</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Ieguldījumu pamatlīdzekļos un nemateriālo ieguldījumu plāna izpilde, %</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100%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62%</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-38%</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Sadalītās dividendes,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r>
            <w:tr w:rsidR="004E3FBA" w:rsidRPr="009345E5" w:rsidTr="009345E5">
              <w:trPr>
                <w:trHeight w:val="240"/>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 xml:space="preserve">Vidējā bruto atlīdzība (neieskaitot darba devēja veiktās valsts sociālās apdrošināšanas obligātās iemaksas) uz vienu nodarbināto gadā,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9 577</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9 577</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r>
            <w:tr w:rsidR="004E3FBA" w:rsidRPr="009345E5" w:rsidTr="009345E5">
              <w:trPr>
                <w:trHeight w:val="315"/>
              </w:trPr>
              <w:tc>
                <w:tcPr>
                  <w:tcW w:w="2106" w:type="dxa"/>
                  <w:shd w:val="clear" w:color="auto" w:fill="auto"/>
                  <w:vAlign w:val="center"/>
                  <w:hideMark/>
                </w:tcPr>
                <w:p w:rsidR="004E3FBA" w:rsidRPr="009345E5" w:rsidRDefault="004E3FBA" w:rsidP="00AF4EA3">
                  <w:pPr>
                    <w:spacing w:after="0" w:line="240" w:lineRule="auto"/>
                    <w:rPr>
                      <w:rFonts w:eastAsia="Times New Roman"/>
                      <w:lang w:eastAsia="lv-LV"/>
                    </w:rPr>
                  </w:pPr>
                  <w:r w:rsidRPr="009345E5">
                    <w:rPr>
                      <w:rFonts w:eastAsia="Times New Roman"/>
                      <w:sz w:val="22"/>
                      <w:lang w:eastAsia="lv-LV"/>
                    </w:rPr>
                    <w:t xml:space="preserve">Neto apgrozījums uz vienu nodarbināto,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5 331</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5 921</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590</w:t>
                  </w:r>
                </w:p>
              </w:tc>
            </w:tr>
            <w:tr w:rsidR="004E3FBA" w:rsidRPr="009345E5" w:rsidTr="009345E5">
              <w:trPr>
                <w:trHeight w:val="94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lastRenderedPageBreak/>
                    <w:t xml:space="preserve">Valsts budžeta tieši vai netieši saņemtais un izlietotais finansējums (dotācijas, maksa par pakalpojumiem un citi finanšu līdzekļi) sadalījumā pa finansējuma piešķīruma mērķiem, </w:t>
                  </w:r>
                  <w:r w:rsidR="00E919D8" w:rsidRPr="00E919D8">
                    <w:rPr>
                      <w:rFonts w:eastAsia="Times New Roman"/>
                      <w:i/>
                      <w:sz w:val="22"/>
                      <w:lang w:eastAsia="lv-LV"/>
                    </w:rPr>
                    <w:t>euro</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7 605 794</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7 605 794</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Citi kapitālsabiedrības stratēģijā minētie finanšu rādītāji</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 </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Apmeklējumu skaits gadā</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160 000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164 437</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4 437</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Plānotais kopējais izrāžu/koncertu skaits gadā</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220</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233</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13</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Jauniestudējumu skaits gadā</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0</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Izrāžu/koncertu skaits gadā ārpus pastāvīgās atrašanās vietas Latvijā</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5</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9</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4</w:t>
                  </w:r>
                </w:p>
              </w:tc>
            </w:tr>
            <w:tr w:rsidR="004E3FBA" w:rsidRPr="009345E5" w:rsidTr="009345E5">
              <w:trPr>
                <w:trHeight w:val="315"/>
              </w:trPr>
              <w:tc>
                <w:tcPr>
                  <w:tcW w:w="2106" w:type="dxa"/>
                  <w:shd w:val="clear" w:color="auto" w:fill="auto"/>
                  <w:vAlign w:val="center"/>
                  <w:hideMark/>
                </w:tcPr>
                <w:p w:rsidR="004E3FBA" w:rsidRPr="009345E5" w:rsidRDefault="004E3FBA" w:rsidP="009345E5">
                  <w:pPr>
                    <w:spacing w:after="0" w:line="240" w:lineRule="auto"/>
                    <w:jc w:val="both"/>
                    <w:rPr>
                      <w:rFonts w:eastAsia="Times New Roman"/>
                      <w:lang w:eastAsia="lv-LV"/>
                    </w:rPr>
                  </w:pPr>
                  <w:r w:rsidRPr="009345E5">
                    <w:rPr>
                      <w:rFonts w:eastAsia="Times New Roman"/>
                      <w:sz w:val="22"/>
                      <w:lang w:eastAsia="lv-LV"/>
                    </w:rPr>
                    <w:t>Izrāžu/koncertu skaits gadā ārvalstīs</w:t>
                  </w:r>
                </w:p>
              </w:tc>
              <w:tc>
                <w:tcPr>
                  <w:tcW w:w="1418"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2</w:t>
                  </w:r>
                </w:p>
              </w:tc>
              <w:tc>
                <w:tcPr>
                  <w:tcW w:w="1275"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9</w:t>
                  </w:r>
                </w:p>
              </w:tc>
              <w:tc>
                <w:tcPr>
                  <w:tcW w:w="1139" w:type="dxa"/>
                  <w:shd w:val="clear" w:color="auto" w:fill="auto"/>
                  <w:vAlign w:val="center"/>
                  <w:hideMark/>
                </w:tcPr>
                <w:p w:rsidR="004E3FBA" w:rsidRPr="009345E5" w:rsidRDefault="004E3FBA" w:rsidP="008846BE">
                  <w:pPr>
                    <w:spacing w:after="0" w:line="240" w:lineRule="auto"/>
                    <w:jc w:val="right"/>
                    <w:rPr>
                      <w:rFonts w:eastAsia="Times New Roman"/>
                      <w:lang w:eastAsia="lv-LV"/>
                    </w:rPr>
                  </w:pPr>
                  <w:r w:rsidRPr="009345E5">
                    <w:rPr>
                      <w:rFonts w:eastAsia="Times New Roman"/>
                      <w:sz w:val="22"/>
                      <w:lang w:eastAsia="lv-LV"/>
                    </w:rPr>
                    <w:t>7</w:t>
                  </w:r>
                </w:p>
              </w:tc>
            </w:tr>
          </w:tbl>
          <w:p w:rsidR="004E3FBA" w:rsidRPr="001424BB" w:rsidRDefault="004E3FBA" w:rsidP="00AF4EA3">
            <w:pPr>
              <w:spacing w:after="0" w:line="240" w:lineRule="auto"/>
              <w:ind w:firstLine="507"/>
              <w:jc w:val="both"/>
              <w:rPr>
                <w:sz w:val="28"/>
                <w:szCs w:val="28"/>
              </w:rPr>
            </w:pPr>
          </w:p>
          <w:p w:rsidR="008846BE" w:rsidRDefault="0084708D" w:rsidP="00AF4EA3">
            <w:pPr>
              <w:spacing w:after="0" w:line="240" w:lineRule="auto"/>
              <w:ind w:left="127"/>
              <w:jc w:val="both"/>
              <w:rPr>
                <w:sz w:val="28"/>
                <w:szCs w:val="28"/>
              </w:rPr>
            </w:pPr>
            <w:r w:rsidRPr="001424BB">
              <w:rPr>
                <w:sz w:val="28"/>
                <w:szCs w:val="28"/>
              </w:rPr>
              <w:t>A</w:t>
            </w:r>
            <w:r w:rsidR="0000706E">
              <w:rPr>
                <w:sz w:val="28"/>
                <w:szCs w:val="28"/>
              </w:rPr>
              <w:t xml:space="preserve">r </w:t>
            </w:r>
            <w:r w:rsidRPr="001424BB">
              <w:rPr>
                <w:sz w:val="28"/>
                <w:szCs w:val="28"/>
              </w:rPr>
              <w:t xml:space="preserve">kapitālsabiedrību, pamatojoties uz Kultūras institūciju likuma 23.panta otro daļu, </w:t>
            </w:r>
            <w:r w:rsidR="00D02BFC" w:rsidRPr="001424BB">
              <w:rPr>
                <w:rFonts w:eastAsia="Arial Unicode MS"/>
                <w:sz w:val="28"/>
                <w:szCs w:val="28"/>
              </w:rPr>
              <w:t>2015</w:t>
            </w:r>
            <w:r w:rsidRPr="001424BB">
              <w:rPr>
                <w:rFonts w:eastAsia="Arial Unicode MS"/>
                <w:sz w:val="28"/>
                <w:szCs w:val="28"/>
              </w:rPr>
              <w:t xml:space="preserve">.gada </w:t>
            </w:r>
            <w:r w:rsidR="00D02BFC" w:rsidRPr="001424BB">
              <w:rPr>
                <w:rFonts w:eastAsia="Arial Unicode MS"/>
                <w:sz w:val="28"/>
                <w:szCs w:val="28"/>
              </w:rPr>
              <w:t>10.janvārī</w:t>
            </w:r>
            <w:r w:rsidR="00C656AB" w:rsidRPr="001424BB">
              <w:rPr>
                <w:rFonts w:eastAsia="Arial Unicode MS"/>
                <w:sz w:val="28"/>
                <w:szCs w:val="28"/>
              </w:rPr>
              <w:t xml:space="preserve"> ir noslēgts </w:t>
            </w:r>
            <w:r w:rsidR="00301907" w:rsidRPr="001424BB">
              <w:rPr>
                <w:rFonts w:eastAsia="Arial Unicode MS"/>
                <w:sz w:val="28"/>
                <w:szCs w:val="28"/>
              </w:rPr>
              <w:t xml:space="preserve">līdzdarbības </w:t>
            </w:r>
            <w:r w:rsidR="00C656AB" w:rsidRPr="001424BB">
              <w:rPr>
                <w:rFonts w:eastAsia="Arial Unicode MS"/>
                <w:sz w:val="28"/>
                <w:szCs w:val="28"/>
              </w:rPr>
              <w:t>līgums Nr.</w:t>
            </w:r>
            <w:r w:rsidR="00D02BFC" w:rsidRPr="001424BB">
              <w:rPr>
                <w:rFonts w:eastAsia="Arial Unicode MS"/>
                <w:sz w:val="28"/>
                <w:szCs w:val="28"/>
              </w:rPr>
              <w:t>5.1.-8-9</w:t>
            </w:r>
            <w:r w:rsidRPr="001424BB">
              <w:rPr>
                <w:sz w:val="28"/>
                <w:szCs w:val="28"/>
              </w:rPr>
              <w:t xml:space="preserve"> „Par </w:t>
            </w:r>
            <w:r w:rsidR="00D02BFC" w:rsidRPr="001424BB">
              <w:rPr>
                <w:sz w:val="28"/>
                <w:szCs w:val="28"/>
              </w:rPr>
              <w:t xml:space="preserve">atsevišķu valsts pārvaldes uzdevumu </w:t>
            </w:r>
            <w:r w:rsidRPr="001424BB">
              <w:rPr>
                <w:sz w:val="28"/>
                <w:szCs w:val="28"/>
              </w:rPr>
              <w:t>deleģē</w:t>
            </w:r>
            <w:r w:rsidR="00D02BFC" w:rsidRPr="001424BB">
              <w:rPr>
                <w:sz w:val="28"/>
                <w:szCs w:val="28"/>
              </w:rPr>
              <w:t>šanu</w:t>
            </w:r>
            <w:r w:rsidRPr="001424BB">
              <w:rPr>
                <w:sz w:val="28"/>
                <w:szCs w:val="28"/>
              </w:rPr>
              <w:t xml:space="preserve"> kultūras </w:t>
            </w:r>
            <w:r w:rsidR="00D02BFC" w:rsidRPr="001424BB">
              <w:rPr>
                <w:sz w:val="28"/>
                <w:szCs w:val="28"/>
              </w:rPr>
              <w:t>jomā</w:t>
            </w:r>
            <w:r w:rsidRPr="001424BB">
              <w:rPr>
                <w:sz w:val="28"/>
                <w:szCs w:val="28"/>
              </w:rPr>
              <w:t xml:space="preserve">”, </w:t>
            </w:r>
            <w:r w:rsidR="00D624A8">
              <w:rPr>
                <w:sz w:val="28"/>
                <w:szCs w:val="28"/>
              </w:rPr>
              <w:t>saskaņā ar kuru</w:t>
            </w:r>
            <w:r w:rsidRPr="001424BB">
              <w:rPr>
                <w:sz w:val="28"/>
                <w:szCs w:val="28"/>
              </w:rPr>
              <w:t xml:space="preserve"> kapitālsabiedrība veic no valsts deleģētus pārvaldes uzdevumus</w:t>
            </w:r>
            <w:r w:rsidR="008846BE">
              <w:rPr>
                <w:sz w:val="28"/>
                <w:szCs w:val="28"/>
              </w:rPr>
              <w:t xml:space="preserve"> </w:t>
            </w:r>
            <w:r w:rsidR="008846BE" w:rsidRPr="001424BB">
              <w:rPr>
                <w:sz w:val="28"/>
                <w:szCs w:val="28"/>
              </w:rPr>
              <w:t>kultūras jomā</w:t>
            </w:r>
            <w:r w:rsidRPr="001424BB">
              <w:rPr>
                <w:sz w:val="28"/>
                <w:szCs w:val="28"/>
              </w:rPr>
              <w:t xml:space="preserve">, kuru ietvaros kapitālsabiedrības tiešie uzdevumi ietver sabiedrības vajadzībām nodrošināt un padarīt pieejamus profesionālās mākslas produktus – </w:t>
            </w:r>
            <w:r w:rsidR="00301907" w:rsidRPr="001424BB">
              <w:rPr>
                <w:sz w:val="28"/>
                <w:szCs w:val="28"/>
              </w:rPr>
              <w:t>operas un baleta izrādes</w:t>
            </w:r>
            <w:r w:rsidRPr="001424BB">
              <w:rPr>
                <w:sz w:val="28"/>
                <w:szCs w:val="28"/>
              </w:rPr>
              <w:t xml:space="preserve">. </w:t>
            </w:r>
            <w:bookmarkStart w:id="2" w:name="_GoBack"/>
          </w:p>
          <w:p w:rsidR="008846BE" w:rsidRDefault="008846BE" w:rsidP="00AF4EA3">
            <w:pPr>
              <w:spacing w:after="0" w:line="240" w:lineRule="auto"/>
              <w:ind w:left="127"/>
              <w:jc w:val="both"/>
              <w:rPr>
                <w:sz w:val="28"/>
                <w:szCs w:val="28"/>
              </w:rPr>
            </w:pPr>
          </w:p>
          <w:p w:rsidR="00AF4EA3" w:rsidRDefault="005462E9" w:rsidP="008846BE">
            <w:pPr>
              <w:spacing w:after="0" w:line="240" w:lineRule="auto"/>
              <w:ind w:left="127"/>
              <w:jc w:val="both"/>
              <w:rPr>
                <w:sz w:val="28"/>
                <w:szCs w:val="28"/>
              </w:rPr>
            </w:pPr>
            <w:r>
              <w:rPr>
                <w:sz w:val="28"/>
                <w:szCs w:val="28"/>
              </w:rPr>
              <w:t>A</w:t>
            </w:r>
            <w:r w:rsidR="00992EDD" w:rsidRPr="00992EDD">
              <w:rPr>
                <w:sz w:val="28"/>
                <w:szCs w:val="28"/>
              </w:rPr>
              <w:t xml:space="preserve">ttiecībā uz Eiropas Savienības dalībvalstu tiesībām veikt intervences kultūras pakalpojumu tirgū dažādu atbalsta pasākumu veidā (granti, dotācijas, projektu finansējums, nodokļu atvieglojumi), kultūras pakalpojumi ir </w:t>
            </w:r>
            <w:r w:rsidR="00992EDD" w:rsidRPr="00992EDD">
              <w:rPr>
                <w:bCs/>
                <w:sz w:val="28"/>
                <w:szCs w:val="28"/>
              </w:rPr>
              <w:t>izņēmums, k</w:t>
            </w:r>
            <w:r w:rsidR="008846BE">
              <w:rPr>
                <w:bCs/>
                <w:sz w:val="28"/>
                <w:szCs w:val="28"/>
              </w:rPr>
              <w:t>as</w:t>
            </w:r>
            <w:r w:rsidR="00992EDD" w:rsidRPr="00992EDD">
              <w:rPr>
                <w:bCs/>
                <w:sz w:val="28"/>
                <w:szCs w:val="28"/>
              </w:rPr>
              <w:t xml:space="preserve"> paredzēts gan Līgumā par Eiropas Savienības darb</w:t>
            </w:r>
            <w:r w:rsidR="00A165D2">
              <w:rPr>
                <w:bCs/>
                <w:sz w:val="28"/>
                <w:szCs w:val="28"/>
              </w:rPr>
              <w:t xml:space="preserve">ību, gan tiek plaši piemērots Eiropas </w:t>
            </w:r>
            <w:r w:rsidR="00A165D2">
              <w:rPr>
                <w:bCs/>
                <w:sz w:val="28"/>
                <w:szCs w:val="28"/>
              </w:rPr>
              <w:lastRenderedPageBreak/>
              <w:t>Savienības</w:t>
            </w:r>
            <w:r w:rsidR="00992EDD" w:rsidRPr="00992EDD">
              <w:rPr>
                <w:bCs/>
                <w:sz w:val="28"/>
                <w:szCs w:val="28"/>
              </w:rPr>
              <w:t xml:space="preserve"> dalībvalstu praksē.</w:t>
            </w:r>
            <w:r w:rsidR="00992EDD" w:rsidRPr="00992EDD">
              <w:rPr>
                <w:b/>
                <w:bCs/>
                <w:sz w:val="28"/>
                <w:szCs w:val="28"/>
              </w:rPr>
              <w:t xml:space="preserve"> </w:t>
            </w:r>
            <w:bookmarkEnd w:id="2"/>
            <w:r w:rsidR="00992EDD" w:rsidRPr="00992EDD">
              <w:rPr>
                <w:sz w:val="28"/>
                <w:szCs w:val="28"/>
              </w:rPr>
              <w:t>Līguma par Eiropas Savienības darbību 167.pants paredz, ka „</w:t>
            </w:r>
            <w:r w:rsidR="00D624A8">
              <w:rPr>
                <w:sz w:val="28"/>
                <w:szCs w:val="28"/>
              </w:rPr>
              <w:t>Savienība</w:t>
            </w:r>
            <w:r w:rsidR="00992EDD" w:rsidRPr="00992EDD">
              <w:rPr>
                <w:sz w:val="28"/>
                <w:szCs w:val="28"/>
              </w:rPr>
              <w:t xml:space="preserve"> veicina dalībvalstu kultūras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w:t>
            </w:r>
            <w:r w:rsidR="00D624A8" w:rsidRPr="00992EDD">
              <w:rPr>
                <w:sz w:val="28"/>
                <w:szCs w:val="28"/>
              </w:rPr>
              <w:t xml:space="preserve">Līguma par Eiropas Savienības darbību </w:t>
            </w:r>
            <w:r w:rsidR="00992EDD" w:rsidRPr="00992EDD">
              <w:rPr>
                <w:sz w:val="28"/>
                <w:szCs w:val="28"/>
              </w:rPr>
              <w:t xml:space="preserve">107.panta 3.punkta d) apakšpunkts nosaka, ka „atbalstu, kas veicina kultūru un kultūras mantojuma saglabāšanu, ja tāds atbalsts neiespaido tirdzniecības nosacījumus un konkurenci </w:t>
            </w:r>
            <w:r w:rsidR="00D624A8">
              <w:rPr>
                <w:sz w:val="28"/>
                <w:szCs w:val="28"/>
              </w:rPr>
              <w:t>Savienībā</w:t>
            </w:r>
            <w:r w:rsidR="00992EDD" w:rsidRPr="00992EDD">
              <w:rPr>
                <w:sz w:val="28"/>
                <w:szCs w:val="28"/>
              </w:rPr>
              <w:t xml:space="preserve"> tiktāl, ka </w:t>
            </w:r>
            <w:r w:rsidR="00992EDD" w:rsidRPr="00495A68">
              <w:rPr>
                <w:sz w:val="28"/>
                <w:szCs w:val="28"/>
              </w:rPr>
              <w:t>tas ir pretrunā kopīgām interesēm, var uzskatīt par saderīgu ar iekšējo tirgu.”</w:t>
            </w:r>
            <w:r w:rsidR="008846BE">
              <w:rPr>
                <w:sz w:val="28"/>
                <w:szCs w:val="28"/>
              </w:rPr>
              <w:t xml:space="preserve"> </w:t>
            </w:r>
            <w:r w:rsidRPr="006B4883">
              <w:rPr>
                <w:sz w:val="28"/>
                <w:szCs w:val="28"/>
              </w:rPr>
              <w:t>Eiro</w:t>
            </w:r>
            <w:r w:rsidR="008846BE">
              <w:rPr>
                <w:sz w:val="28"/>
                <w:szCs w:val="28"/>
              </w:rPr>
              <w:t>pas Komisijas 02.05.2013. lēmuma</w:t>
            </w:r>
            <w:r w:rsidRPr="006B4883">
              <w:rPr>
                <w:sz w:val="28"/>
                <w:szCs w:val="28"/>
              </w:rPr>
              <w:t xml:space="preserve"> lietā Nr</w:t>
            </w:r>
            <w:r w:rsidR="008846BE">
              <w:rPr>
                <w:sz w:val="28"/>
                <w:szCs w:val="28"/>
              </w:rPr>
              <w:t>.SA.34462 (programma „Kultūra”)</w:t>
            </w:r>
            <w:r w:rsidRPr="006B4883">
              <w:rPr>
                <w:sz w:val="28"/>
                <w:szCs w:val="28"/>
              </w:rPr>
              <w:t xml:space="preserve"> </w:t>
            </w:r>
            <w:r>
              <w:rPr>
                <w:sz w:val="28"/>
                <w:szCs w:val="28"/>
              </w:rPr>
              <w:t>V.daļas 68</w:t>
            </w:r>
            <w:r w:rsidRPr="006B4883">
              <w:rPr>
                <w:sz w:val="28"/>
                <w:szCs w:val="28"/>
              </w:rPr>
              <w:t>.punkt</w:t>
            </w:r>
            <w:r>
              <w:rPr>
                <w:sz w:val="28"/>
                <w:szCs w:val="28"/>
              </w:rPr>
              <w:t>ā</w:t>
            </w:r>
            <w:r w:rsidRPr="006B4883">
              <w:rPr>
                <w:sz w:val="28"/>
                <w:szCs w:val="28"/>
              </w:rPr>
              <w:t xml:space="preserve"> </w:t>
            </w:r>
            <w:r>
              <w:rPr>
                <w:sz w:val="28"/>
                <w:szCs w:val="28"/>
              </w:rPr>
              <w:t xml:space="preserve">ir </w:t>
            </w:r>
            <w:r w:rsidRPr="006B4883">
              <w:rPr>
                <w:sz w:val="28"/>
                <w:szCs w:val="28"/>
              </w:rPr>
              <w:t xml:space="preserve">noteikts, ka pasākumu kopums, t.sk. arī atbalsts </w:t>
            </w:r>
            <w:r w:rsidR="008846BE">
              <w:rPr>
                <w:sz w:val="28"/>
                <w:szCs w:val="28"/>
              </w:rPr>
              <w:t>kapitālsabiedrībai,</w:t>
            </w:r>
            <w:r w:rsidRPr="006B4883">
              <w:rPr>
                <w:sz w:val="28"/>
                <w:szCs w:val="28"/>
              </w:rPr>
              <w:t xml:space="preserve"> ir uzskatāms par valsts atbalstu tikai daļēji un tas ir saderīgs ar Līguma par </w:t>
            </w:r>
            <w:r w:rsidR="008846BE">
              <w:rPr>
                <w:sz w:val="28"/>
                <w:szCs w:val="28"/>
              </w:rPr>
              <w:t xml:space="preserve">Eiropas Savienības darbību 107.panta 3.punkta d) apakšpunktu – </w:t>
            </w:r>
            <w:r w:rsidRPr="006B4883">
              <w:rPr>
                <w:sz w:val="28"/>
                <w:szCs w:val="28"/>
              </w:rPr>
              <w:t>atbalstu, kas veicina kultūru un kultūras mantojuma saglabāšanu.</w:t>
            </w:r>
          </w:p>
          <w:p w:rsidR="008846BE" w:rsidRDefault="008846BE" w:rsidP="0006351E">
            <w:pPr>
              <w:spacing w:after="0" w:line="240" w:lineRule="auto"/>
              <w:ind w:left="127"/>
              <w:jc w:val="both"/>
              <w:rPr>
                <w:sz w:val="28"/>
                <w:szCs w:val="28"/>
              </w:rPr>
            </w:pPr>
          </w:p>
          <w:p w:rsidR="00480BBF" w:rsidRPr="001424BB" w:rsidRDefault="00432C4C" w:rsidP="0006351E">
            <w:pPr>
              <w:spacing w:after="0" w:line="240" w:lineRule="auto"/>
              <w:ind w:left="127"/>
              <w:jc w:val="both"/>
              <w:rPr>
                <w:sz w:val="28"/>
                <w:szCs w:val="28"/>
              </w:rPr>
            </w:pPr>
            <w:r>
              <w:rPr>
                <w:sz w:val="28"/>
                <w:szCs w:val="28"/>
              </w:rPr>
              <w:t xml:space="preserve">Sakarā ar to, ka 2015.gada peļņa ir gūta, norakstot ieņēmumos pārvērtēto kapitālsabiedrības ilgtermiņa ieguldījumu rezervi, </w:t>
            </w:r>
            <w:r w:rsidR="00AB58E6">
              <w:rPr>
                <w:sz w:val="28"/>
                <w:szCs w:val="28"/>
              </w:rPr>
              <w:t xml:space="preserve">Kultūras ministrija ierosina </w:t>
            </w:r>
            <w:r w:rsidR="0084708D" w:rsidRPr="001424BB">
              <w:rPr>
                <w:sz w:val="28"/>
                <w:szCs w:val="28"/>
              </w:rPr>
              <w:t>Ministru kabinetam pieņemt lēmumu, ka kapitālsabiedrības 201</w:t>
            </w:r>
            <w:r w:rsidR="0000706E">
              <w:rPr>
                <w:sz w:val="28"/>
                <w:szCs w:val="28"/>
              </w:rPr>
              <w:t>5</w:t>
            </w:r>
            <w:r w:rsidR="0084708D" w:rsidRPr="001424BB">
              <w:rPr>
                <w:sz w:val="28"/>
                <w:szCs w:val="28"/>
              </w:rPr>
              <w:t>.pārskata gada peļņa netiek izmaksāta dividendēs, t.i., tiek noteikta atšķirīga dividendēs izmaksājamā peļņas daļa 0% apmērā.</w:t>
            </w:r>
          </w:p>
        </w:tc>
      </w:tr>
      <w:tr w:rsidR="00E26FA6" w:rsidRPr="00FC423D" w:rsidTr="00A165D2">
        <w:trPr>
          <w:trHeight w:val="735"/>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B931C1" w:rsidP="00F55AC4">
            <w:pPr>
              <w:spacing w:after="0" w:line="240" w:lineRule="auto"/>
              <w:jc w:val="center"/>
              <w:rPr>
                <w:rFonts w:eastAsia="Times New Roman"/>
                <w:sz w:val="28"/>
                <w:szCs w:val="28"/>
                <w:lang w:eastAsia="lv-LV"/>
              </w:rPr>
            </w:pPr>
            <w:r>
              <w:rPr>
                <w:rFonts w:eastAsia="Times New Roman"/>
                <w:sz w:val="28"/>
                <w:szCs w:val="28"/>
                <w:lang w:eastAsia="lv-LV"/>
              </w:rPr>
              <w:lastRenderedPageBreak/>
              <w:t>3</w:t>
            </w:r>
            <w:r w:rsidR="00E26FA6" w:rsidRPr="00FC423D">
              <w:rPr>
                <w:rFonts w:eastAsia="Times New Roman"/>
                <w:sz w:val="28"/>
                <w:szCs w:val="28"/>
                <w:lang w:eastAsia="lv-LV"/>
              </w:rPr>
              <w:t>.</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tcPr>
          <w:p w:rsidR="00E26FA6" w:rsidRPr="00FC423D" w:rsidRDefault="00E26FA6" w:rsidP="00A165D2">
            <w:pPr>
              <w:spacing w:after="0" w:line="240" w:lineRule="auto"/>
              <w:ind w:left="127"/>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F63A0B">
              <w:rPr>
                <w:rFonts w:eastAsia="Times New Roman"/>
                <w:sz w:val="28"/>
                <w:szCs w:val="28"/>
                <w:lang w:eastAsia="lv-LV"/>
              </w:rPr>
              <w:t>Latvijas Nacionāl</w:t>
            </w:r>
            <w:r w:rsidR="00301907">
              <w:rPr>
                <w:rFonts w:eastAsia="Times New Roman"/>
                <w:sz w:val="28"/>
                <w:szCs w:val="28"/>
                <w:lang w:eastAsia="lv-LV"/>
              </w:rPr>
              <w:t>ā opera</w:t>
            </w:r>
            <w:r w:rsidR="00D278EA">
              <w:rPr>
                <w:rFonts w:eastAsia="Times New Roman"/>
                <w:sz w:val="28"/>
                <w:szCs w:val="28"/>
                <w:lang w:eastAsia="lv-LV"/>
              </w:rPr>
              <w:t xml:space="preserve"> un balets</w:t>
            </w:r>
            <w:r w:rsidR="00B931C1">
              <w:rPr>
                <w:rFonts w:eastAsia="Times New Roman"/>
                <w:sz w:val="28"/>
                <w:szCs w:val="28"/>
                <w:lang w:eastAsia="lv-LV"/>
              </w:rPr>
              <w:t>”.</w:t>
            </w:r>
          </w:p>
        </w:tc>
      </w:tr>
      <w:tr w:rsidR="00E26FA6" w:rsidRPr="00FC423D" w:rsidTr="006F5782">
        <w:trPr>
          <w:trHeight w:val="499"/>
          <w:tblCellSpacing w:w="0" w:type="dxa"/>
        </w:trPr>
        <w:tc>
          <w:tcPr>
            <w:tcW w:w="398" w:type="pct"/>
            <w:tcBorders>
              <w:top w:val="outset" w:sz="6" w:space="0" w:color="auto"/>
              <w:left w:val="outset" w:sz="6" w:space="0" w:color="auto"/>
              <w:bottom w:val="outset" w:sz="6" w:space="0" w:color="auto"/>
              <w:right w:val="outset" w:sz="6" w:space="0" w:color="auto"/>
            </w:tcBorders>
          </w:tcPr>
          <w:p w:rsidR="00E26FA6" w:rsidRPr="00FC423D" w:rsidRDefault="00B931C1" w:rsidP="00F55AC4">
            <w:pPr>
              <w:spacing w:after="0" w:line="240" w:lineRule="auto"/>
              <w:jc w:val="center"/>
              <w:rPr>
                <w:rFonts w:eastAsia="Times New Roman"/>
                <w:sz w:val="28"/>
                <w:szCs w:val="28"/>
                <w:lang w:eastAsia="lv-LV"/>
              </w:rPr>
            </w:pPr>
            <w:r>
              <w:rPr>
                <w:rFonts w:eastAsia="Times New Roman"/>
                <w:sz w:val="28"/>
                <w:szCs w:val="28"/>
                <w:lang w:eastAsia="lv-LV"/>
              </w:rPr>
              <w:t>4</w:t>
            </w:r>
            <w:r w:rsidR="00E26FA6" w:rsidRPr="00FC423D">
              <w:rPr>
                <w:rFonts w:eastAsia="Times New Roman"/>
                <w:sz w:val="28"/>
                <w:szCs w:val="28"/>
                <w:lang w:eastAsia="lv-LV"/>
              </w:rPr>
              <w:t>.</w:t>
            </w:r>
          </w:p>
        </w:tc>
        <w:tc>
          <w:tcPr>
            <w:tcW w:w="1324"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278" w:type="pct"/>
            <w:tcBorders>
              <w:top w:val="outset" w:sz="6" w:space="0" w:color="auto"/>
              <w:left w:val="outset" w:sz="6" w:space="0" w:color="auto"/>
              <w:bottom w:val="outset" w:sz="6" w:space="0" w:color="auto"/>
              <w:right w:val="outset" w:sz="6" w:space="0" w:color="auto"/>
            </w:tcBorders>
          </w:tcPr>
          <w:p w:rsidR="00E94D0C" w:rsidRPr="00FC423D" w:rsidRDefault="00E26FA6" w:rsidP="00A165D2">
            <w:pPr>
              <w:spacing w:after="0" w:line="240" w:lineRule="auto"/>
              <w:ind w:left="127"/>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A52370">
      <w:pPr>
        <w:spacing w:after="0" w:line="240" w:lineRule="auto"/>
        <w:ind w:firstLine="374"/>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Anotācijas II</w:t>
      </w:r>
      <w:r w:rsidR="00F55AC4">
        <w:rPr>
          <w:rFonts w:eastAsia="Times New Roman"/>
          <w:i/>
          <w:sz w:val="28"/>
          <w:szCs w:val="28"/>
          <w:lang w:eastAsia="lv-LV"/>
        </w:rPr>
        <w:t xml:space="preserve">, </w:t>
      </w:r>
      <w:r w:rsidR="00F55AC4">
        <w:rPr>
          <w:rFonts w:eastAsia="Times New Roman"/>
          <w:i/>
          <w:iCs/>
          <w:sz w:val="28"/>
          <w:szCs w:val="28"/>
          <w:lang w:eastAsia="lv-LV"/>
        </w:rPr>
        <w:t>IV</w:t>
      </w:r>
      <w:r w:rsidR="00AF4EA3">
        <w:rPr>
          <w:rFonts w:eastAsia="Times New Roman"/>
          <w:i/>
          <w:iCs/>
          <w:sz w:val="28"/>
          <w:szCs w:val="28"/>
          <w:lang w:eastAsia="lv-LV"/>
        </w:rPr>
        <w:t xml:space="preserve"> un </w:t>
      </w:r>
      <w:r w:rsidR="00AF4EA3" w:rsidRPr="00FC423D">
        <w:rPr>
          <w:rFonts w:eastAsia="Times New Roman"/>
          <w:i/>
          <w:iCs/>
          <w:sz w:val="28"/>
          <w:szCs w:val="28"/>
          <w:lang w:eastAsia="lv-LV"/>
        </w:rPr>
        <w:t>VI</w:t>
      </w:r>
      <w:r w:rsidR="00F55AC4">
        <w:rPr>
          <w:rFonts w:eastAsia="Times New Roman"/>
          <w:i/>
          <w:iCs/>
          <w:sz w:val="28"/>
          <w:szCs w:val="28"/>
          <w:lang w:eastAsia="lv-LV"/>
        </w:rPr>
        <w:t xml:space="preserve"> </w:t>
      </w:r>
      <w:r w:rsidR="00064A6C" w:rsidRPr="00FC423D">
        <w:rPr>
          <w:rFonts w:eastAsia="Times New Roman"/>
          <w:i/>
          <w:sz w:val="28"/>
          <w:szCs w:val="28"/>
          <w:lang w:eastAsia="lv-LV"/>
        </w:rPr>
        <w:t xml:space="preserve">sadaļa – </w:t>
      </w:r>
      <w:r w:rsidR="00195232" w:rsidRPr="00FC423D">
        <w:rPr>
          <w:i/>
          <w:sz w:val="28"/>
          <w:szCs w:val="28"/>
        </w:rPr>
        <w:t>Projekts šo jomu neskar.</w:t>
      </w:r>
    </w:p>
    <w:p w:rsidR="002F5B05" w:rsidRPr="00FC423D" w:rsidRDefault="002F5B05" w:rsidP="00A52370">
      <w:pPr>
        <w:spacing w:after="0" w:line="240" w:lineRule="auto"/>
        <w:ind w:firstLine="374"/>
        <w:jc w:val="both"/>
        <w:rPr>
          <w:rFonts w:eastAsia="Times New Roman"/>
          <w:i/>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18"/>
        <w:gridCol w:w="1507"/>
        <w:gridCol w:w="1363"/>
        <w:gridCol w:w="1123"/>
        <w:gridCol w:w="1216"/>
        <w:gridCol w:w="1274"/>
      </w:tblGrid>
      <w:tr w:rsidR="00E26FA6" w:rsidRPr="00FC423D" w:rsidTr="00AF4EA3">
        <w:trPr>
          <w:trHeight w:val="683"/>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AF4EA3">
        <w:trPr>
          <w:tblCellSpacing w:w="0" w:type="dxa"/>
        </w:trPr>
        <w:tc>
          <w:tcPr>
            <w:tcW w:w="1438" w:type="pct"/>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lastRenderedPageBreak/>
              <w:t> </w:t>
            </w:r>
            <w:r w:rsidRPr="00FC423D">
              <w:rPr>
                <w:rFonts w:eastAsia="Times New Roman"/>
                <w:b/>
                <w:bCs/>
                <w:sz w:val="28"/>
                <w:szCs w:val="28"/>
                <w:lang w:eastAsia="lv-LV"/>
              </w:rPr>
              <w:t>Rādītāji</w:t>
            </w:r>
          </w:p>
        </w:tc>
        <w:tc>
          <w:tcPr>
            <w:tcW w:w="1577" w:type="pct"/>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EC7636">
              <w:rPr>
                <w:rFonts w:eastAsia="Times New Roman"/>
                <w:b/>
                <w:sz w:val="28"/>
                <w:szCs w:val="28"/>
                <w:lang w:eastAsia="lv-LV"/>
              </w:rPr>
              <w:t>6</w:t>
            </w:r>
            <w:r w:rsidRPr="00FC423D">
              <w:rPr>
                <w:rFonts w:eastAsia="Times New Roman"/>
                <w:b/>
                <w:sz w:val="28"/>
                <w:szCs w:val="28"/>
                <w:lang w:eastAsia="lv-LV"/>
              </w:rPr>
              <w:t>.</w:t>
            </w:r>
            <w:r w:rsidRPr="00FC423D">
              <w:rPr>
                <w:rFonts w:eastAsia="Times New Roman"/>
                <w:b/>
                <w:bCs/>
                <w:sz w:val="28"/>
                <w:szCs w:val="28"/>
                <w:lang w:eastAsia="lv-LV"/>
              </w:rPr>
              <w:t>gads</w:t>
            </w:r>
          </w:p>
        </w:tc>
        <w:tc>
          <w:tcPr>
            <w:tcW w:w="1985"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0C4944">
        <w:trPr>
          <w:tblCellSpacing w:w="0" w:type="dxa"/>
        </w:trPr>
        <w:tc>
          <w:tcPr>
            <w:tcW w:w="1438" w:type="pct"/>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577" w:type="pct"/>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617"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EC7636">
              <w:rPr>
                <w:rFonts w:eastAsia="Times New Roman"/>
                <w:b/>
                <w:bCs/>
                <w:sz w:val="28"/>
                <w:szCs w:val="28"/>
                <w:lang w:eastAsia="lv-LV"/>
              </w:rPr>
              <w:t>7</w:t>
            </w:r>
          </w:p>
        </w:tc>
        <w:tc>
          <w:tcPr>
            <w:tcW w:w="66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EC7636">
              <w:rPr>
                <w:rFonts w:eastAsia="Times New Roman"/>
                <w:b/>
                <w:bCs/>
                <w:sz w:val="28"/>
                <w:szCs w:val="28"/>
                <w:lang w:eastAsia="lv-LV"/>
              </w:rPr>
              <w:t>8</w:t>
            </w:r>
          </w:p>
        </w:tc>
        <w:tc>
          <w:tcPr>
            <w:tcW w:w="700"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EC7636">
              <w:rPr>
                <w:rFonts w:eastAsia="Times New Roman"/>
                <w:b/>
                <w:bCs/>
                <w:sz w:val="28"/>
                <w:szCs w:val="28"/>
                <w:lang w:eastAsia="lv-LV"/>
              </w:rPr>
              <w:t>9</w:t>
            </w:r>
          </w:p>
        </w:tc>
      </w:tr>
      <w:tr w:rsidR="00E26FA6" w:rsidRPr="00FC423D" w:rsidTr="000C4944">
        <w:trPr>
          <w:tblCellSpacing w:w="0" w:type="dxa"/>
        </w:trPr>
        <w:tc>
          <w:tcPr>
            <w:tcW w:w="1438" w:type="pct"/>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82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74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617"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254896">
              <w:rPr>
                <w:rFonts w:eastAsia="Times New Roman"/>
                <w:sz w:val="28"/>
                <w:szCs w:val="28"/>
                <w:lang w:eastAsia="lv-LV"/>
              </w:rPr>
              <w:t xml:space="preserve">ņas </w:t>
            </w:r>
            <w:r w:rsidR="00A34E0F">
              <w:rPr>
                <w:rFonts w:eastAsia="Times New Roman"/>
                <w:sz w:val="28"/>
                <w:szCs w:val="28"/>
                <w:lang w:eastAsia="lv-LV"/>
              </w:rPr>
              <w:t>salīdzinot ar kārtējo (2016</w:t>
            </w:r>
            <w:r w:rsidRPr="00FC423D">
              <w:rPr>
                <w:rFonts w:eastAsia="Times New Roman"/>
                <w:sz w:val="28"/>
                <w:szCs w:val="28"/>
                <w:lang w:eastAsia="lv-LV"/>
              </w:rPr>
              <w:t>) gadu</w:t>
            </w:r>
          </w:p>
        </w:tc>
        <w:tc>
          <w:tcPr>
            <w:tcW w:w="66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 xml:space="preserve">maiņas, salīdzinot ar </w:t>
            </w:r>
            <w:r w:rsidR="00A34E0F">
              <w:rPr>
                <w:rFonts w:eastAsia="Times New Roman"/>
                <w:sz w:val="28"/>
                <w:szCs w:val="28"/>
                <w:lang w:eastAsia="lv-LV"/>
              </w:rPr>
              <w:t>kārtējo (2016</w:t>
            </w:r>
            <w:r w:rsidRPr="00FC423D">
              <w:rPr>
                <w:rFonts w:eastAsia="Times New Roman"/>
                <w:sz w:val="28"/>
                <w:szCs w:val="28"/>
                <w:lang w:eastAsia="lv-LV"/>
              </w:rPr>
              <w:t>) gadu</w:t>
            </w:r>
          </w:p>
        </w:tc>
        <w:tc>
          <w:tcPr>
            <w:tcW w:w="700"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A34E0F">
              <w:rPr>
                <w:rFonts w:eastAsia="Times New Roman"/>
                <w:sz w:val="28"/>
                <w:szCs w:val="28"/>
                <w:lang w:eastAsia="lv-LV"/>
              </w:rPr>
              <w:t>ņas, salīdzinot ar kārtējo (2016</w:t>
            </w:r>
            <w:r w:rsidRPr="00FC423D">
              <w:rPr>
                <w:rFonts w:eastAsia="Times New Roman"/>
                <w:sz w:val="28"/>
                <w:szCs w:val="28"/>
                <w:lang w:eastAsia="lv-LV"/>
              </w:rPr>
              <w:t>) gadu</w:t>
            </w:r>
          </w:p>
        </w:tc>
      </w:tr>
      <w:tr w:rsidR="00E26FA6"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82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74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617"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668"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700" w:type="pc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828" w:type="pct"/>
            <w:tcBorders>
              <w:top w:val="outset" w:sz="6" w:space="0" w:color="auto"/>
              <w:left w:val="outset" w:sz="6" w:space="0" w:color="auto"/>
              <w:bottom w:val="outset" w:sz="6" w:space="0" w:color="auto"/>
              <w:right w:val="outset" w:sz="6" w:space="0" w:color="auto"/>
            </w:tcBorders>
          </w:tcPr>
          <w:p w:rsidR="00E26FA6" w:rsidRPr="00BE1791" w:rsidRDefault="000C4944" w:rsidP="00B931C1">
            <w:pPr>
              <w:spacing w:before="75" w:after="75" w:line="240" w:lineRule="auto"/>
              <w:jc w:val="both"/>
              <w:rPr>
                <w:rFonts w:eastAsia="Times New Roman"/>
                <w:sz w:val="28"/>
                <w:szCs w:val="28"/>
                <w:highlight w:val="yellow"/>
                <w:lang w:eastAsia="lv-LV"/>
              </w:rPr>
            </w:pPr>
            <w:r>
              <w:rPr>
                <w:rFonts w:eastAsia="Times New Roman"/>
                <w:sz w:val="28"/>
                <w:szCs w:val="28"/>
                <w:lang w:eastAsia="lv-LV"/>
              </w:rPr>
              <w:t>157 549 627</w:t>
            </w:r>
          </w:p>
        </w:tc>
        <w:tc>
          <w:tcPr>
            <w:tcW w:w="748" w:type="pct"/>
            <w:tcBorders>
              <w:top w:val="outset" w:sz="6" w:space="0" w:color="auto"/>
              <w:left w:val="outset" w:sz="6" w:space="0" w:color="auto"/>
              <w:bottom w:val="outset" w:sz="6" w:space="0" w:color="auto"/>
              <w:right w:val="outset" w:sz="6" w:space="0" w:color="auto"/>
            </w:tcBorders>
          </w:tcPr>
          <w:p w:rsidR="00E26FA6"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EC7636">
              <w:rPr>
                <w:sz w:val="28"/>
                <w:szCs w:val="28"/>
              </w:rPr>
              <w:t>11 320</w:t>
            </w:r>
          </w:p>
        </w:tc>
        <w:tc>
          <w:tcPr>
            <w:tcW w:w="617" w:type="pct"/>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828" w:type="pct"/>
            <w:tcBorders>
              <w:top w:val="outset" w:sz="6" w:space="0" w:color="auto"/>
              <w:left w:val="outset" w:sz="6" w:space="0" w:color="auto"/>
              <w:bottom w:val="outset" w:sz="6" w:space="0" w:color="auto"/>
              <w:right w:val="outset" w:sz="6" w:space="0" w:color="auto"/>
            </w:tcBorders>
          </w:tcPr>
          <w:p w:rsidR="00735A9D" w:rsidRPr="00BE1791" w:rsidRDefault="000C4944" w:rsidP="001B121B">
            <w:pPr>
              <w:spacing w:before="75" w:after="75" w:line="240" w:lineRule="auto"/>
              <w:jc w:val="both"/>
              <w:rPr>
                <w:rFonts w:eastAsia="Times New Roman"/>
                <w:sz w:val="28"/>
                <w:szCs w:val="28"/>
                <w:highlight w:val="yellow"/>
                <w:lang w:eastAsia="lv-LV"/>
              </w:rPr>
            </w:pPr>
            <w:r>
              <w:rPr>
                <w:rFonts w:eastAsia="Times New Roman"/>
                <w:sz w:val="28"/>
                <w:szCs w:val="28"/>
                <w:lang w:eastAsia="lv-LV"/>
              </w:rPr>
              <w:t>157 549 627</w:t>
            </w:r>
          </w:p>
        </w:tc>
        <w:tc>
          <w:tcPr>
            <w:tcW w:w="748" w:type="pct"/>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EC7636">
              <w:rPr>
                <w:sz w:val="28"/>
                <w:szCs w:val="28"/>
              </w:rPr>
              <w:t>11 320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828" w:type="pct"/>
            <w:tcBorders>
              <w:top w:val="outset" w:sz="6" w:space="0" w:color="auto"/>
              <w:left w:val="outset" w:sz="6" w:space="0" w:color="auto"/>
              <w:bottom w:val="outset" w:sz="6" w:space="0" w:color="auto"/>
              <w:right w:val="outset" w:sz="6" w:space="0" w:color="auto"/>
            </w:tcBorders>
            <w:vAlign w:val="center"/>
          </w:tcPr>
          <w:p w:rsidR="00735A9D" w:rsidRPr="00B931C1" w:rsidRDefault="000C4944" w:rsidP="00940F45">
            <w:pPr>
              <w:spacing w:before="75" w:after="75" w:line="240" w:lineRule="auto"/>
              <w:jc w:val="center"/>
              <w:rPr>
                <w:rFonts w:eastAsia="Times New Roman"/>
                <w:sz w:val="28"/>
                <w:szCs w:val="28"/>
                <w:lang w:eastAsia="lv-LV"/>
              </w:rPr>
            </w:pPr>
            <w:r>
              <w:rPr>
                <w:rFonts w:eastAsia="Times New Roman"/>
                <w:sz w:val="28"/>
                <w:szCs w:val="28"/>
                <w:lang w:eastAsia="lv-LV"/>
              </w:rPr>
              <w:t>157 549 627</w:t>
            </w:r>
          </w:p>
        </w:tc>
        <w:tc>
          <w:tcPr>
            <w:tcW w:w="748" w:type="pct"/>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EC7636">
              <w:rPr>
                <w:sz w:val="28"/>
                <w:szCs w:val="28"/>
              </w:rPr>
              <w:t>11 320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828" w:type="pct"/>
            <w:tcBorders>
              <w:top w:val="outset" w:sz="6" w:space="0" w:color="auto"/>
              <w:left w:val="outset" w:sz="6" w:space="0" w:color="auto"/>
              <w:bottom w:val="outset" w:sz="6" w:space="0" w:color="auto"/>
              <w:right w:val="outset" w:sz="6" w:space="0" w:color="auto"/>
            </w:tcBorders>
          </w:tcPr>
          <w:p w:rsidR="00735A9D" w:rsidRPr="00B931C1" w:rsidRDefault="000C4944" w:rsidP="00A52370">
            <w:pPr>
              <w:spacing w:before="75" w:after="75" w:line="240" w:lineRule="auto"/>
              <w:rPr>
                <w:rFonts w:eastAsia="Times New Roman"/>
                <w:sz w:val="28"/>
                <w:szCs w:val="28"/>
                <w:lang w:eastAsia="lv-LV"/>
              </w:rPr>
            </w:pPr>
            <w:r>
              <w:rPr>
                <w:rFonts w:eastAsia="Times New Roman"/>
                <w:sz w:val="28"/>
                <w:szCs w:val="28"/>
                <w:lang w:eastAsia="lv-LV"/>
              </w:rPr>
              <w:t>157 549 627</w:t>
            </w:r>
            <w:r w:rsidR="00A52370">
              <w:rPr>
                <w:rFonts w:eastAsia="Times New Roman"/>
                <w:sz w:val="28"/>
                <w:szCs w:val="28"/>
                <w:lang w:eastAsia="lv-LV"/>
              </w:rPr>
              <w:t> </w:t>
            </w:r>
          </w:p>
        </w:tc>
        <w:tc>
          <w:tcPr>
            <w:tcW w:w="748" w:type="pct"/>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EC7636">
              <w:rPr>
                <w:sz w:val="28"/>
                <w:szCs w:val="28"/>
              </w:rPr>
              <w:t>11 320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3.3. pašvaldību budžets</w:t>
            </w:r>
          </w:p>
        </w:tc>
        <w:tc>
          <w:tcPr>
            <w:tcW w:w="82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828" w:type="pct"/>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82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82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828" w:type="pct"/>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0C4944">
        <w:trPr>
          <w:tblCellSpacing w:w="0" w:type="dxa"/>
        </w:trPr>
        <w:tc>
          <w:tcPr>
            <w:tcW w:w="143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748" w:type="pc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17"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668"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700" w:type="pct"/>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AF4EA3">
        <w:trPr>
          <w:tblCellSpacing w:w="0" w:type="dxa"/>
        </w:trPr>
        <w:tc>
          <w:tcPr>
            <w:tcW w:w="143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3562" w:type="pct"/>
            <w:gridSpan w:val="5"/>
            <w:vMerge w:val="restart"/>
            <w:tcBorders>
              <w:top w:val="outset" w:sz="6" w:space="0" w:color="auto"/>
              <w:left w:val="outset" w:sz="6" w:space="0" w:color="auto"/>
              <w:bottom w:val="outset" w:sz="6" w:space="0" w:color="auto"/>
              <w:right w:val="outset" w:sz="6" w:space="0" w:color="auto"/>
            </w:tcBorders>
          </w:tcPr>
          <w:p w:rsidR="00E26FA6" w:rsidRPr="00FC423D" w:rsidRDefault="00195232" w:rsidP="00F55AC4">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AF4EA3">
        <w:trPr>
          <w:tblCellSpacing w:w="0" w:type="dxa"/>
        </w:trPr>
        <w:tc>
          <w:tcPr>
            <w:tcW w:w="143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3562" w:type="pct"/>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AF4EA3">
        <w:trPr>
          <w:tblCellSpacing w:w="0" w:type="dxa"/>
        </w:trPr>
        <w:tc>
          <w:tcPr>
            <w:tcW w:w="143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3562" w:type="pct"/>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AF4EA3">
        <w:trPr>
          <w:tblCellSpacing w:w="0" w:type="dxa"/>
        </w:trPr>
        <w:tc>
          <w:tcPr>
            <w:tcW w:w="1438"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3562" w:type="pct"/>
            <w:gridSpan w:val="5"/>
            <w:tcBorders>
              <w:top w:val="outset" w:sz="6" w:space="0" w:color="auto"/>
              <w:left w:val="outset" w:sz="6" w:space="0" w:color="auto"/>
              <w:bottom w:val="outset" w:sz="6" w:space="0" w:color="auto"/>
              <w:right w:val="outset" w:sz="6" w:space="0" w:color="auto"/>
            </w:tcBorders>
          </w:tcPr>
          <w:p w:rsidR="00482A88" w:rsidRDefault="00D64D78" w:rsidP="0006351E">
            <w:pPr>
              <w:spacing w:after="0" w:line="240" w:lineRule="auto"/>
              <w:ind w:left="50"/>
              <w:jc w:val="both"/>
              <w:rPr>
                <w:rFonts w:eastAsia="Times New Roman"/>
                <w:sz w:val="28"/>
                <w:szCs w:val="28"/>
                <w:lang w:eastAsia="lv-LV"/>
              </w:rPr>
            </w:pPr>
            <w:r>
              <w:rPr>
                <w:rFonts w:eastAsia="Times New Roman"/>
                <w:sz w:val="28"/>
                <w:szCs w:val="28"/>
                <w:lang w:eastAsia="lv-LV"/>
              </w:rPr>
              <w:t>Ņemot vērā to, ka</w:t>
            </w:r>
            <w:r w:rsidR="00A52370">
              <w:rPr>
                <w:rFonts w:eastAsia="Times New Roman"/>
                <w:sz w:val="28"/>
                <w:szCs w:val="28"/>
                <w:lang w:eastAsia="lv-LV"/>
              </w:rPr>
              <w:t xml:space="preserve"> </w:t>
            </w:r>
            <w:r w:rsidR="00E94D0C" w:rsidRPr="00FC423D">
              <w:rPr>
                <w:rFonts w:eastAsia="Times New Roman"/>
                <w:sz w:val="28"/>
                <w:szCs w:val="28"/>
                <w:lang w:eastAsia="lv-LV"/>
              </w:rPr>
              <w:t>valstij piekritīgās divide</w:t>
            </w:r>
            <w:r>
              <w:rPr>
                <w:rFonts w:eastAsia="Times New Roman"/>
                <w:sz w:val="28"/>
                <w:szCs w:val="28"/>
                <w:lang w:eastAsia="lv-LV"/>
              </w:rPr>
              <w:t xml:space="preserve">ndes no valsts kapitālsabiedrībām, kurās </w:t>
            </w:r>
            <w:r w:rsidRPr="00FC423D">
              <w:rPr>
                <w:rFonts w:eastAsia="Times New Roman"/>
                <w:sz w:val="28"/>
                <w:szCs w:val="28"/>
                <w:lang w:eastAsia="lv-LV"/>
              </w:rPr>
              <w:t>Kultūras ministrija</w:t>
            </w:r>
            <w:r>
              <w:rPr>
                <w:rFonts w:eastAsia="Times New Roman"/>
                <w:sz w:val="28"/>
                <w:szCs w:val="28"/>
                <w:lang w:eastAsia="lv-LV"/>
              </w:rPr>
              <w:t xml:space="preserve"> ir kapitāla daļu turētāja, konkrēti valsts</w:t>
            </w:r>
            <w:r w:rsidR="00E94D0C" w:rsidRPr="00FC423D">
              <w:rPr>
                <w:rFonts w:eastAsia="Times New Roman"/>
                <w:sz w:val="28"/>
                <w:szCs w:val="28"/>
                <w:lang w:eastAsia="lv-LV"/>
              </w:rPr>
              <w:t xml:space="preserve"> budžetā netiek p</w:t>
            </w:r>
            <w:r>
              <w:rPr>
                <w:rFonts w:eastAsia="Times New Roman"/>
                <w:sz w:val="28"/>
                <w:szCs w:val="28"/>
                <w:lang w:eastAsia="lv-LV"/>
              </w:rPr>
              <w:t>lānotas un kapitālsabiedrība</w:t>
            </w:r>
            <w:r w:rsidR="0006351E">
              <w:rPr>
                <w:rFonts w:eastAsia="Times New Roman"/>
                <w:sz w:val="28"/>
                <w:szCs w:val="28"/>
                <w:lang w:eastAsia="lv-LV"/>
              </w:rPr>
              <w:t xml:space="preserve"> </w:t>
            </w:r>
            <w:r w:rsidRPr="00495A68">
              <w:rPr>
                <w:rFonts w:eastAsia="Times New Roman"/>
                <w:sz w:val="28"/>
                <w:szCs w:val="28"/>
                <w:lang w:eastAsia="lv-LV"/>
              </w:rPr>
              <w:t>2015.gadā</w:t>
            </w:r>
            <w:r w:rsidR="0006351E" w:rsidRPr="00495A68">
              <w:rPr>
                <w:rFonts w:eastAsia="Times New Roman"/>
                <w:sz w:val="28"/>
                <w:szCs w:val="28"/>
                <w:lang w:eastAsia="lv-LV"/>
              </w:rPr>
              <w:t xml:space="preserve"> </w:t>
            </w:r>
            <w:r w:rsidRPr="00495A68">
              <w:rPr>
                <w:rFonts w:eastAsia="Times New Roman"/>
                <w:sz w:val="28"/>
                <w:szCs w:val="28"/>
                <w:lang w:eastAsia="lv-LV"/>
              </w:rPr>
              <w:t>netika plānojusi peļņu,</w:t>
            </w:r>
            <w:r>
              <w:rPr>
                <w:rFonts w:eastAsia="Times New Roman"/>
                <w:sz w:val="28"/>
                <w:szCs w:val="28"/>
                <w:lang w:eastAsia="lv-LV"/>
              </w:rPr>
              <w:t xml:space="preserve"> </w:t>
            </w:r>
            <w:r w:rsidR="009979D0">
              <w:rPr>
                <w:rFonts w:eastAsia="Times New Roman"/>
                <w:sz w:val="28"/>
                <w:szCs w:val="28"/>
                <w:lang w:eastAsia="lv-LV"/>
              </w:rPr>
              <w:t>P</w:t>
            </w:r>
            <w:r>
              <w:rPr>
                <w:rFonts w:eastAsia="Times New Roman"/>
                <w:sz w:val="28"/>
                <w:szCs w:val="28"/>
                <w:lang w:eastAsia="lv-LV"/>
              </w:rPr>
              <w:t>rojekts nerada būtisku ietekmi uz plānotajiem 2016.gada valsts budžeta ieņēmumiem.</w:t>
            </w:r>
          </w:p>
          <w:p w:rsidR="0006351E" w:rsidRDefault="0006351E" w:rsidP="0006351E">
            <w:pPr>
              <w:spacing w:after="0" w:line="240" w:lineRule="auto"/>
              <w:ind w:left="50"/>
              <w:jc w:val="both"/>
              <w:rPr>
                <w:sz w:val="28"/>
                <w:szCs w:val="28"/>
              </w:rPr>
            </w:pPr>
          </w:p>
          <w:p w:rsidR="0006351E" w:rsidRDefault="008159B6" w:rsidP="0006351E">
            <w:pPr>
              <w:spacing w:after="0" w:line="240" w:lineRule="auto"/>
              <w:ind w:left="50"/>
              <w:jc w:val="both"/>
              <w:rPr>
                <w:rFonts w:eastAsia="Times New Roman"/>
                <w:sz w:val="28"/>
                <w:szCs w:val="28"/>
                <w:lang w:eastAsia="lv-LV"/>
              </w:rPr>
            </w:pPr>
            <w:r w:rsidRPr="004E3FBA">
              <w:rPr>
                <w:sz w:val="28"/>
                <w:szCs w:val="28"/>
              </w:rPr>
              <w:t>Ja</w:t>
            </w:r>
            <w:r w:rsidR="003D4DA0" w:rsidRPr="004E3FBA">
              <w:rPr>
                <w:sz w:val="28"/>
                <w:szCs w:val="28"/>
              </w:rPr>
              <w:t xml:space="preserve">u kopš 2009.gada kapitālsabiedrības rīcībā ir bijuši nepietiekami līdzekļi materiāli tehniskās bāzes </w:t>
            </w:r>
            <w:r w:rsidR="003D4DA0" w:rsidRPr="004E3FBA">
              <w:rPr>
                <w:sz w:val="28"/>
                <w:szCs w:val="28"/>
              </w:rPr>
              <w:lastRenderedPageBreak/>
              <w:t>sakārtošanai, kas vēl joprojām rada apdraudējumu pilnvērtīgai darbībai</w:t>
            </w:r>
          </w:p>
          <w:p w:rsidR="008846BE" w:rsidRDefault="008846BE" w:rsidP="0006351E">
            <w:pPr>
              <w:spacing w:after="0" w:line="240" w:lineRule="auto"/>
              <w:ind w:left="50"/>
              <w:jc w:val="both"/>
              <w:rPr>
                <w:rFonts w:eastAsia="Times New Roman"/>
                <w:sz w:val="28"/>
                <w:szCs w:val="28"/>
                <w:lang w:eastAsia="lv-LV"/>
              </w:rPr>
            </w:pPr>
          </w:p>
          <w:p w:rsidR="00E26FA6" w:rsidRPr="00FC423D" w:rsidRDefault="00CC2ABA" w:rsidP="0006351E">
            <w:pPr>
              <w:spacing w:after="0" w:line="240" w:lineRule="auto"/>
              <w:ind w:left="50"/>
              <w:jc w:val="both"/>
              <w:rPr>
                <w:rFonts w:eastAsia="Times New Roman"/>
                <w:sz w:val="28"/>
                <w:szCs w:val="28"/>
                <w:lang w:eastAsia="lv-LV"/>
              </w:rPr>
            </w:pPr>
            <w:r w:rsidRPr="004E3FBA">
              <w:rPr>
                <w:rFonts w:eastAsia="Times New Roman"/>
                <w:sz w:val="28"/>
                <w:szCs w:val="28"/>
                <w:lang w:eastAsia="lv-LV"/>
              </w:rPr>
              <w:t>Pieņemot lēmumu par atšķirīgu dividendēs izmaksājamo summu (nosakot 0</w:t>
            </w:r>
            <w:r w:rsidR="003D4DA0" w:rsidRPr="004E3FBA">
              <w:rPr>
                <w:rFonts w:eastAsia="Times New Roman"/>
                <w:sz w:val="28"/>
                <w:szCs w:val="28"/>
                <w:lang w:eastAsia="lv-LV"/>
              </w:rPr>
              <w:t xml:space="preserve"> </w:t>
            </w:r>
            <w:r w:rsidRPr="004E3FBA">
              <w:rPr>
                <w:rFonts w:eastAsia="Times New Roman"/>
                <w:sz w:val="28"/>
                <w:szCs w:val="28"/>
                <w:lang w:eastAsia="lv-LV"/>
              </w:rPr>
              <w:t xml:space="preserve">% likmi), valsts budžetā netiktu pārskaitīta summa </w:t>
            </w:r>
            <w:r w:rsidR="00D64D78" w:rsidRPr="004E3FBA">
              <w:rPr>
                <w:sz w:val="28"/>
                <w:szCs w:val="28"/>
              </w:rPr>
              <w:t xml:space="preserve">11 320,20 </w:t>
            </w:r>
            <w:r w:rsidR="00D64D78" w:rsidRPr="004E3FBA">
              <w:rPr>
                <w:i/>
                <w:sz w:val="28"/>
                <w:szCs w:val="28"/>
              </w:rPr>
              <w:t>euro</w:t>
            </w:r>
            <w:r w:rsidR="00D64D78" w:rsidRPr="004E3FBA">
              <w:rPr>
                <w:rFonts w:eastAsia="Times New Roman"/>
                <w:sz w:val="28"/>
                <w:szCs w:val="28"/>
                <w:lang w:eastAsia="lv-LV"/>
              </w:rPr>
              <w:t xml:space="preserve"> </w:t>
            </w:r>
            <w:r w:rsidRPr="004E3FBA">
              <w:rPr>
                <w:rFonts w:eastAsia="Times New Roman"/>
                <w:sz w:val="28"/>
                <w:szCs w:val="28"/>
                <w:lang w:eastAsia="lv-LV"/>
              </w:rPr>
              <w:t>apmērā, bet minētā summa paliktu kapitālsabiedrības</w:t>
            </w:r>
            <w:r w:rsidR="00E26FA6" w:rsidRPr="004E3FBA">
              <w:rPr>
                <w:rFonts w:eastAsia="Times New Roman"/>
                <w:sz w:val="28"/>
                <w:szCs w:val="28"/>
                <w:lang w:eastAsia="lv-LV"/>
              </w:rPr>
              <w:t xml:space="preserve"> rīcībā un tiktu novirz</w:t>
            </w:r>
            <w:r w:rsidR="00665A1E" w:rsidRPr="004E3FBA">
              <w:rPr>
                <w:rFonts w:eastAsia="Times New Roman"/>
                <w:sz w:val="28"/>
                <w:szCs w:val="28"/>
                <w:lang w:eastAsia="lv-LV"/>
              </w:rPr>
              <w:t>īta kapitālsabiedrībai</w:t>
            </w:r>
            <w:r w:rsidR="00915E01" w:rsidRPr="004E3FBA">
              <w:rPr>
                <w:rFonts w:eastAsia="Times New Roman"/>
                <w:sz w:val="28"/>
                <w:szCs w:val="28"/>
                <w:lang w:eastAsia="lv-LV"/>
              </w:rPr>
              <w:t xml:space="preserve"> </w:t>
            </w:r>
            <w:r w:rsidR="00960F57" w:rsidRPr="004E3FBA">
              <w:rPr>
                <w:sz w:val="28"/>
                <w:szCs w:val="28"/>
              </w:rPr>
              <w:t xml:space="preserve">deleģēto valsts pārvaldes uzdevumu </w:t>
            </w:r>
            <w:r w:rsidR="00960F57" w:rsidRPr="004E3FBA">
              <w:rPr>
                <w:rFonts w:eastAsia="Times New Roman"/>
                <w:sz w:val="28"/>
                <w:szCs w:val="28"/>
                <w:lang w:eastAsia="lv-LV"/>
              </w:rPr>
              <w:t>kultūras jomā</w:t>
            </w:r>
            <w:r w:rsidR="00E26FA6" w:rsidRPr="004E3FBA">
              <w:rPr>
                <w:rFonts w:eastAsia="Times New Roman"/>
                <w:sz w:val="28"/>
                <w:szCs w:val="28"/>
                <w:lang w:eastAsia="lv-LV"/>
              </w:rPr>
              <w:t xml:space="preserve"> nodro</w:t>
            </w:r>
            <w:r w:rsidR="000E0D4D" w:rsidRPr="004E3FBA">
              <w:rPr>
                <w:rFonts w:eastAsia="Times New Roman"/>
                <w:sz w:val="28"/>
                <w:szCs w:val="28"/>
                <w:lang w:eastAsia="lv-LV"/>
              </w:rPr>
              <w:t>šināšanas izdevumu segšanai 201</w:t>
            </w:r>
            <w:r w:rsidR="00D64D78" w:rsidRPr="004E3FBA">
              <w:rPr>
                <w:rFonts w:eastAsia="Times New Roman"/>
                <w:sz w:val="28"/>
                <w:szCs w:val="28"/>
                <w:lang w:eastAsia="lv-LV"/>
              </w:rPr>
              <w:t>6</w:t>
            </w:r>
            <w:r w:rsidR="00E26FA6" w:rsidRPr="004E3FBA">
              <w:rPr>
                <w:rFonts w:eastAsia="Times New Roman"/>
                <w:sz w:val="28"/>
                <w:szCs w:val="28"/>
                <w:lang w:eastAsia="lv-LV"/>
              </w:rPr>
              <w:t>.gadā, nepalielinot</w:t>
            </w:r>
            <w:r w:rsidR="00E26FA6" w:rsidRPr="00FC423D">
              <w:rPr>
                <w:rFonts w:eastAsia="Times New Roman"/>
                <w:sz w:val="28"/>
                <w:szCs w:val="28"/>
                <w:lang w:eastAsia="lv-LV"/>
              </w:rPr>
              <w:t xml:space="preserve"> kapitālsabiedrībai nepieciešamo valsts budž</w:t>
            </w:r>
            <w:r w:rsidR="000E0D4D" w:rsidRPr="00FC423D">
              <w:rPr>
                <w:rFonts w:eastAsia="Times New Roman"/>
                <w:sz w:val="28"/>
                <w:szCs w:val="28"/>
                <w:lang w:eastAsia="lv-LV"/>
              </w:rPr>
              <w:t>eta dotāciju 201</w:t>
            </w:r>
            <w:r w:rsidR="00D64D78">
              <w:rPr>
                <w:rFonts w:eastAsia="Times New Roman"/>
                <w:sz w:val="28"/>
                <w:szCs w:val="28"/>
                <w:lang w:eastAsia="lv-LV"/>
              </w:rPr>
              <w:t>6</w:t>
            </w:r>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9506A5" w:rsidRDefault="009506A5" w:rsidP="00AF4EA3">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3269"/>
        <w:gridCol w:w="5320"/>
      </w:tblGrid>
      <w:tr w:rsidR="002D027D" w:rsidRPr="00FC423D" w:rsidTr="00AF4EA3">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AF4EA3">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F55AC4">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90"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2D027D" w:rsidRPr="00FC423D" w:rsidRDefault="00F073BB" w:rsidP="00F073BB">
            <w:pPr>
              <w:spacing w:after="0" w:line="240" w:lineRule="auto"/>
              <w:rPr>
                <w:rFonts w:eastAsia="Times New Roman"/>
                <w:sz w:val="28"/>
                <w:szCs w:val="28"/>
                <w:lang w:eastAsia="lv-LV"/>
              </w:rPr>
            </w:pPr>
            <w:r>
              <w:rPr>
                <w:sz w:val="28"/>
                <w:szCs w:val="28"/>
              </w:rPr>
              <w:t xml:space="preserve"> </w:t>
            </w:r>
            <w:r w:rsidR="00195232" w:rsidRPr="00FC423D">
              <w:rPr>
                <w:sz w:val="28"/>
                <w:szCs w:val="28"/>
              </w:rPr>
              <w:t>Projekts šo jomu neskar.</w:t>
            </w:r>
          </w:p>
        </w:tc>
      </w:tr>
      <w:tr w:rsidR="002D027D" w:rsidRPr="00FC423D" w:rsidTr="00AF4EA3">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F55AC4">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2D027D" w:rsidRPr="00FC423D" w:rsidRDefault="00F073BB" w:rsidP="00F073BB">
            <w:pPr>
              <w:spacing w:after="0" w:line="240" w:lineRule="auto"/>
              <w:rPr>
                <w:rFonts w:eastAsia="Times New Roman"/>
                <w:sz w:val="28"/>
                <w:szCs w:val="28"/>
                <w:lang w:eastAsia="lv-LV"/>
              </w:rPr>
            </w:pPr>
            <w:r>
              <w:rPr>
                <w:sz w:val="28"/>
                <w:szCs w:val="28"/>
              </w:rPr>
              <w:t xml:space="preserve"> </w:t>
            </w:r>
            <w:r w:rsidR="00195232" w:rsidRPr="00FC423D">
              <w:rPr>
                <w:sz w:val="28"/>
                <w:szCs w:val="28"/>
              </w:rPr>
              <w:t>Projekts šo jomu neskar.</w:t>
            </w:r>
          </w:p>
        </w:tc>
      </w:tr>
      <w:tr w:rsidR="002D027D" w:rsidRPr="00FC423D" w:rsidTr="00AF4EA3">
        <w:tc>
          <w:tcPr>
            <w:tcW w:w="297" w:type="pct"/>
            <w:tcBorders>
              <w:top w:val="outset" w:sz="6" w:space="0" w:color="auto"/>
              <w:left w:val="outset" w:sz="6" w:space="0" w:color="auto"/>
              <w:bottom w:val="nil"/>
              <w:right w:val="outset" w:sz="6" w:space="0" w:color="auto"/>
            </w:tcBorders>
            <w:hideMark/>
          </w:tcPr>
          <w:p w:rsidR="002D027D" w:rsidRPr="00FC423D" w:rsidRDefault="002D027D" w:rsidP="00F55AC4">
            <w:pPr>
              <w:spacing w:after="0" w:line="240" w:lineRule="auto"/>
              <w:jc w:val="center"/>
              <w:rPr>
                <w:rFonts w:eastAsia="Times New Roman"/>
                <w:sz w:val="28"/>
                <w:szCs w:val="28"/>
                <w:lang w:eastAsia="lv-LV"/>
              </w:rPr>
            </w:pPr>
            <w:r w:rsidRPr="00FC423D">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2D027D" w:rsidRPr="00FC423D" w:rsidRDefault="00F073BB" w:rsidP="00F073BB">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w:t>
            </w:r>
            <w:r w:rsidR="002D027D"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2"/>
        <w:gridCol w:w="1539"/>
        <w:gridCol w:w="1711"/>
        <w:gridCol w:w="2069"/>
      </w:tblGrid>
      <w:tr w:rsidR="002D027D" w:rsidRPr="00FC423D" w:rsidTr="00AF4EA3">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AF4EA3">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F073BB" w:rsidP="004C4571">
            <w:pPr>
              <w:spacing w:after="0" w:line="240" w:lineRule="auto"/>
              <w:rPr>
                <w:rFonts w:eastAsia="Times New Roman"/>
                <w:sz w:val="28"/>
                <w:szCs w:val="28"/>
                <w:lang w:eastAsia="lv-LV"/>
              </w:rPr>
            </w:pPr>
            <w:r>
              <w:rPr>
                <w:sz w:val="28"/>
                <w:szCs w:val="28"/>
              </w:rPr>
              <w:t xml:space="preserve"> </w:t>
            </w:r>
            <w:r w:rsidR="00195232" w:rsidRPr="00FC423D">
              <w:rPr>
                <w:sz w:val="28"/>
                <w:szCs w:val="28"/>
              </w:rPr>
              <w:t>Projekts šo jomu neskar.</w:t>
            </w:r>
          </w:p>
        </w:tc>
      </w:tr>
      <w:tr w:rsidR="002D027D" w:rsidRPr="00FC423D" w:rsidTr="00AF4EA3">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AF4EA3">
        <w:trPr>
          <w:trHeight w:val="517"/>
        </w:trPr>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7D5D18">
            <w:pPr>
              <w:spacing w:after="0" w:line="240" w:lineRule="auto"/>
              <w:rPr>
                <w:rFonts w:eastAsia="Times New Roman"/>
                <w:sz w:val="28"/>
                <w:szCs w:val="28"/>
                <w:lang w:eastAsia="lv-LV"/>
              </w:rPr>
            </w:pPr>
            <w:r w:rsidRPr="00FC423D">
              <w:rPr>
                <w:rFonts w:eastAsia="Times New Roman"/>
                <w:sz w:val="28"/>
                <w:szCs w:val="28"/>
                <w:lang w:eastAsia="lv-LV"/>
              </w:rPr>
              <w:t>Kā ir izmantota ES tiesību aktā paredzētā rīcības brīvība dalībvalstij pārņemt vai ieviest noteiktas ES tiesību akta normas?</w:t>
            </w:r>
            <w:r w:rsidR="00A165D2">
              <w:rPr>
                <w:rFonts w:eastAsia="Times New Roman"/>
                <w:sz w:val="28"/>
                <w:szCs w:val="28"/>
                <w:lang w:eastAsia="lv-LV"/>
              </w:rPr>
              <w:t xml:space="preserve"> </w:t>
            </w: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A165D2">
            <w:pPr>
              <w:spacing w:after="0" w:line="240" w:lineRule="auto"/>
              <w:ind w:left="111"/>
              <w:rPr>
                <w:rFonts w:eastAsia="Times New Roman"/>
                <w:sz w:val="28"/>
                <w:szCs w:val="28"/>
                <w:lang w:eastAsia="lv-LV"/>
              </w:rPr>
            </w:pPr>
            <w:r w:rsidRPr="00FC423D">
              <w:rPr>
                <w:sz w:val="28"/>
                <w:szCs w:val="28"/>
              </w:rPr>
              <w:t>Projekts šo jomu neskar.</w:t>
            </w:r>
          </w:p>
        </w:tc>
      </w:tr>
      <w:tr w:rsidR="002D027D" w:rsidRPr="00FC423D" w:rsidTr="00AF4EA3">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A165D2">
            <w:pPr>
              <w:spacing w:after="0" w:line="240" w:lineRule="auto"/>
              <w:ind w:left="111"/>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AF4EA3">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A165D2">
            <w:pPr>
              <w:spacing w:before="100" w:beforeAutospacing="1" w:after="100" w:afterAutospacing="1" w:line="240" w:lineRule="auto"/>
              <w:ind w:left="111"/>
              <w:rPr>
                <w:rFonts w:eastAsia="Times New Roman"/>
                <w:sz w:val="28"/>
                <w:szCs w:val="28"/>
                <w:lang w:eastAsia="lv-LV"/>
              </w:rPr>
            </w:pPr>
            <w:r w:rsidRPr="00FC423D">
              <w:rPr>
                <w:rFonts w:eastAsia="Times New Roman"/>
                <w:sz w:val="28"/>
                <w:szCs w:val="28"/>
                <w:lang w:eastAsia="lv-LV"/>
              </w:rPr>
              <w:t>Nav</w:t>
            </w:r>
          </w:p>
        </w:tc>
      </w:tr>
    </w:tbl>
    <w:p w:rsidR="00A165D2" w:rsidRPr="00FC423D" w:rsidRDefault="00A165D2" w:rsidP="00A165D2">
      <w:pPr>
        <w:spacing w:before="240" w:after="240" w:line="240" w:lineRule="auto"/>
        <w:rPr>
          <w:rFonts w:eastAsia="Times New Roman"/>
          <w:vanish/>
          <w:sz w:val="28"/>
          <w:szCs w:val="28"/>
          <w:lang w:eastAsia="lv-LV"/>
        </w:rPr>
      </w:pPr>
    </w:p>
    <w:p w:rsidR="00AF4EA3" w:rsidRPr="00FC423D" w:rsidRDefault="00AF4EA3" w:rsidP="00AF4EA3">
      <w:pPr>
        <w:spacing w:after="0" w:line="240" w:lineRule="auto"/>
        <w:rPr>
          <w:rFonts w:eastAsia="Times New Roman"/>
          <w:i/>
          <w:iCs/>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4"/>
        <w:gridCol w:w="3216"/>
        <w:gridCol w:w="5311"/>
      </w:tblGrid>
      <w:tr w:rsidR="00E26FA6" w:rsidRPr="00FC423D" w:rsidTr="00AF4EA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w:t>
            </w:r>
            <w:r w:rsidRPr="00FC423D">
              <w:rPr>
                <w:rFonts w:eastAsia="Times New Roman"/>
                <w:b/>
                <w:bCs/>
                <w:sz w:val="28"/>
                <w:szCs w:val="28"/>
                <w:lang w:eastAsia="lv-LV"/>
              </w:rPr>
              <w:t> VII. Tiesību akta projekta izpildes nodrošināšana un tās ietekme uz institūcijām</w:t>
            </w:r>
          </w:p>
        </w:tc>
      </w:tr>
      <w:tr w:rsidR="00E26FA6" w:rsidRPr="00FC423D" w:rsidTr="00AF4EA3">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E26FA6" w:rsidRPr="00FC423D" w:rsidRDefault="00E26FA6" w:rsidP="00F55AC4">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2918" w:type="pct"/>
            <w:tcBorders>
              <w:top w:val="outset" w:sz="6" w:space="0" w:color="auto"/>
              <w:left w:val="outset" w:sz="6" w:space="0" w:color="auto"/>
              <w:bottom w:val="outset" w:sz="6" w:space="0" w:color="auto"/>
              <w:right w:val="outset" w:sz="6" w:space="0" w:color="auto"/>
            </w:tcBorders>
          </w:tcPr>
          <w:p w:rsidR="00E26FA6" w:rsidRPr="00FC423D" w:rsidRDefault="00E26FA6" w:rsidP="00A165D2">
            <w:pPr>
              <w:spacing w:after="0" w:line="240" w:lineRule="auto"/>
              <w:ind w:left="159"/>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AF4EA3">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E26FA6" w:rsidRPr="00FC423D" w:rsidRDefault="00E26FA6" w:rsidP="00F55AC4">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F55AC4"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 xml:space="preserve">Projekta izpildes ietekme uz pārvaldes funkcijām un institucionālo struktūru. </w:t>
            </w:r>
          </w:p>
          <w:p w:rsidR="00F55AC4" w:rsidRDefault="00F55AC4" w:rsidP="00940F45">
            <w:pPr>
              <w:spacing w:after="0" w:line="240" w:lineRule="auto"/>
              <w:rPr>
                <w:rFonts w:eastAsia="Times New Roman"/>
                <w:sz w:val="28"/>
                <w:szCs w:val="28"/>
                <w:lang w:eastAsia="lv-LV"/>
              </w:rPr>
            </w:pPr>
          </w:p>
          <w:p w:rsidR="00E26FA6" w:rsidRPr="00FC423D" w:rsidRDefault="00B931C1" w:rsidP="00940F45">
            <w:pPr>
              <w:spacing w:after="0" w:line="240" w:lineRule="auto"/>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tcPr>
          <w:p w:rsidR="00E26FA6" w:rsidRPr="00F55AC4" w:rsidRDefault="00F55AC4" w:rsidP="00A165D2">
            <w:pPr>
              <w:spacing w:after="0" w:line="240" w:lineRule="auto"/>
              <w:ind w:left="159"/>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00E26FA6" w:rsidRPr="00FC423D" w:rsidTr="00AF4EA3">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E26FA6" w:rsidRPr="00FC423D" w:rsidRDefault="003D4DA0" w:rsidP="00F55AC4">
            <w:pPr>
              <w:spacing w:after="0" w:line="240" w:lineRule="auto"/>
              <w:jc w:val="center"/>
              <w:rPr>
                <w:rFonts w:eastAsia="Times New Roman"/>
                <w:sz w:val="28"/>
                <w:szCs w:val="28"/>
                <w:lang w:eastAsia="lv-LV"/>
              </w:rPr>
            </w:pPr>
            <w:r>
              <w:rPr>
                <w:rFonts w:eastAsia="Times New Roman"/>
                <w:sz w:val="28"/>
                <w:szCs w:val="28"/>
                <w:lang w:eastAsia="lv-LV"/>
              </w:rPr>
              <w:t>3</w:t>
            </w:r>
            <w:r w:rsidR="00E26FA6" w:rsidRPr="00FC423D">
              <w:rPr>
                <w:rFonts w:eastAsia="Times New Roman"/>
                <w:sz w:val="28"/>
                <w:szCs w:val="28"/>
                <w:lang w:eastAsia="lv-LV"/>
              </w:rPr>
              <w:t>.</w:t>
            </w:r>
          </w:p>
        </w:tc>
        <w:tc>
          <w:tcPr>
            <w:tcW w:w="176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tcPr>
          <w:p w:rsidR="00E26FA6" w:rsidRPr="00FC423D" w:rsidRDefault="00E26FA6" w:rsidP="00A165D2">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8846BE" w:rsidRDefault="008846BE" w:rsidP="00E26FA6">
      <w:pPr>
        <w:spacing w:after="0" w:line="240" w:lineRule="auto"/>
        <w:ind w:firstLine="375"/>
        <w:jc w:val="both"/>
        <w:rPr>
          <w:rFonts w:eastAsia="Times New Roman"/>
          <w:sz w:val="28"/>
          <w:szCs w:val="28"/>
          <w:lang w:eastAsia="lv-LV"/>
        </w:rPr>
      </w:pPr>
    </w:p>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9F72EC" w:rsidRDefault="009F72EC" w:rsidP="009F72EC">
      <w:pPr>
        <w:spacing w:after="0" w:line="240" w:lineRule="auto"/>
        <w:ind w:firstLine="284"/>
        <w:rPr>
          <w:sz w:val="28"/>
          <w:szCs w:val="28"/>
        </w:rPr>
      </w:pPr>
      <w:r w:rsidRPr="004B33E7">
        <w:rPr>
          <w:sz w:val="28"/>
          <w:szCs w:val="28"/>
        </w:rPr>
        <w:t>Kultūras mi</w:t>
      </w:r>
      <w:r>
        <w:rPr>
          <w:sz w:val="28"/>
          <w:szCs w:val="28"/>
        </w:rPr>
        <w:t>nistre</w:t>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Pr>
          <w:sz w:val="28"/>
          <w:szCs w:val="28"/>
        </w:rPr>
        <w:t xml:space="preserve">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Pr>
          <w:sz w:val="28"/>
          <w:szCs w:val="28"/>
        </w:rPr>
        <w:t>ār</w:t>
      </w:r>
      <w:r w:rsidR="001A0585">
        <w:rPr>
          <w:sz w:val="28"/>
          <w:szCs w:val="28"/>
        </w:rPr>
        <w:t>s</w:t>
      </w:r>
      <w:r w:rsidR="00314300">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1A0585">
        <w:rPr>
          <w:sz w:val="28"/>
          <w:szCs w:val="28"/>
        </w:rPr>
        <w:tab/>
        <w:t>S.Voldiņš</w:t>
      </w:r>
    </w:p>
    <w:p w:rsidR="00FA759B" w:rsidRDefault="00FA759B" w:rsidP="00FA759B">
      <w:pPr>
        <w:spacing w:after="0" w:line="240" w:lineRule="auto"/>
        <w:rPr>
          <w:sz w:val="20"/>
          <w:szCs w:val="20"/>
        </w:rPr>
      </w:pPr>
    </w:p>
    <w:p w:rsidR="009345E5" w:rsidRDefault="009345E5"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846BE" w:rsidRDefault="008846BE" w:rsidP="00FA759B">
      <w:pPr>
        <w:spacing w:after="0" w:line="240" w:lineRule="auto"/>
        <w:rPr>
          <w:sz w:val="20"/>
          <w:szCs w:val="20"/>
        </w:rPr>
      </w:pPr>
    </w:p>
    <w:p w:rsidR="00870EC8" w:rsidRDefault="00870EC8" w:rsidP="00FA759B">
      <w:pPr>
        <w:spacing w:after="0" w:line="240" w:lineRule="auto"/>
        <w:rPr>
          <w:sz w:val="20"/>
          <w:szCs w:val="20"/>
        </w:rPr>
      </w:pPr>
    </w:p>
    <w:p w:rsidR="00870EC8" w:rsidRDefault="00870EC8" w:rsidP="00FA759B">
      <w:pPr>
        <w:spacing w:after="0" w:line="240" w:lineRule="auto"/>
        <w:rPr>
          <w:sz w:val="20"/>
          <w:szCs w:val="20"/>
        </w:rPr>
      </w:pPr>
    </w:p>
    <w:p w:rsidR="008846BE" w:rsidRDefault="008846BE" w:rsidP="00FA759B">
      <w:pPr>
        <w:spacing w:after="0" w:line="240" w:lineRule="auto"/>
        <w:rPr>
          <w:sz w:val="20"/>
          <w:szCs w:val="20"/>
        </w:rPr>
      </w:pPr>
    </w:p>
    <w:p w:rsidR="00870EC8" w:rsidRDefault="00870EC8" w:rsidP="00FA759B">
      <w:pPr>
        <w:spacing w:after="0" w:line="240" w:lineRule="auto"/>
        <w:rPr>
          <w:sz w:val="20"/>
          <w:szCs w:val="20"/>
        </w:rPr>
      </w:pPr>
    </w:p>
    <w:p w:rsidR="00870EC8" w:rsidRDefault="00870EC8" w:rsidP="00FA759B">
      <w:pPr>
        <w:spacing w:after="0" w:line="240" w:lineRule="auto"/>
        <w:rPr>
          <w:sz w:val="20"/>
          <w:szCs w:val="20"/>
        </w:rPr>
      </w:pPr>
    </w:p>
    <w:p w:rsidR="00870EC8" w:rsidRDefault="00870EC8" w:rsidP="00FA759B">
      <w:pPr>
        <w:spacing w:after="0" w:line="240" w:lineRule="auto"/>
        <w:rPr>
          <w:sz w:val="20"/>
          <w:szCs w:val="20"/>
        </w:rPr>
      </w:pPr>
    </w:p>
    <w:p w:rsidR="00870EC8" w:rsidRDefault="00870EC8" w:rsidP="00FA759B">
      <w:pPr>
        <w:spacing w:after="0" w:line="240" w:lineRule="auto"/>
        <w:rPr>
          <w:sz w:val="20"/>
          <w:szCs w:val="20"/>
        </w:rPr>
      </w:pPr>
    </w:p>
    <w:p w:rsidR="00254896" w:rsidRDefault="00254896" w:rsidP="00281554">
      <w:pPr>
        <w:spacing w:after="0" w:line="240" w:lineRule="auto"/>
        <w:rPr>
          <w:sz w:val="22"/>
        </w:rPr>
      </w:pPr>
    </w:p>
    <w:p w:rsidR="008846BE" w:rsidRPr="008846BE" w:rsidRDefault="001A0585" w:rsidP="008846BE">
      <w:pPr>
        <w:tabs>
          <w:tab w:val="left" w:pos="6804"/>
        </w:tabs>
        <w:spacing w:after="0" w:line="240" w:lineRule="auto"/>
        <w:jc w:val="both"/>
        <w:rPr>
          <w:rFonts w:eastAsia="Times New Roman"/>
          <w:color w:val="000000"/>
          <w:sz w:val="22"/>
          <w:lang w:eastAsia="lv-LV"/>
        </w:rPr>
      </w:pPr>
      <w:r>
        <w:rPr>
          <w:rFonts w:eastAsia="Times New Roman"/>
          <w:color w:val="000000"/>
          <w:sz w:val="22"/>
          <w:lang w:eastAsia="lv-LV"/>
        </w:rPr>
        <w:t>15</w:t>
      </w:r>
      <w:r w:rsidR="008846BE" w:rsidRPr="008846BE">
        <w:rPr>
          <w:rFonts w:eastAsia="Times New Roman"/>
          <w:color w:val="000000"/>
          <w:sz w:val="22"/>
          <w:lang w:eastAsia="lv-LV"/>
        </w:rPr>
        <w:t xml:space="preserve">.07.2016. </w:t>
      </w:r>
      <w:r w:rsidR="00870EC8">
        <w:rPr>
          <w:rFonts w:eastAsia="Times New Roman"/>
          <w:color w:val="000000"/>
          <w:sz w:val="22"/>
          <w:lang w:eastAsia="lv-LV"/>
        </w:rPr>
        <w:t>15:00</w:t>
      </w:r>
    </w:p>
    <w:p w:rsidR="008846BE" w:rsidRPr="008846BE" w:rsidRDefault="008846BE" w:rsidP="008846BE">
      <w:pPr>
        <w:tabs>
          <w:tab w:val="left" w:pos="6804"/>
        </w:tabs>
        <w:spacing w:after="0" w:line="240" w:lineRule="auto"/>
        <w:jc w:val="both"/>
        <w:rPr>
          <w:rFonts w:eastAsia="Times New Roman"/>
          <w:color w:val="000000"/>
          <w:sz w:val="22"/>
          <w:lang w:eastAsia="lv-LV"/>
        </w:rPr>
      </w:pPr>
      <w:r w:rsidRPr="008846BE">
        <w:rPr>
          <w:rFonts w:eastAsia="Times New Roman"/>
          <w:color w:val="000000"/>
          <w:sz w:val="22"/>
          <w:lang w:eastAsia="lv-LV"/>
        </w:rPr>
        <w:t>1</w:t>
      </w:r>
      <w:r>
        <w:rPr>
          <w:rFonts w:eastAsia="Times New Roman"/>
          <w:color w:val="000000"/>
          <w:sz w:val="22"/>
          <w:lang w:eastAsia="lv-LV"/>
        </w:rPr>
        <w:t>5</w:t>
      </w:r>
      <w:r w:rsidR="00870EC8">
        <w:rPr>
          <w:rFonts w:eastAsia="Times New Roman"/>
          <w:color w:val="000000"/>
          <w:sz w:val="22"/>
          <w:lang w:eastAsia="lv-LV"/>
        </w:rPr>
        <w:t>6</w:t>
      </w:r>
      <w:r w:rsidR="001A0585">
        <w:rPr>
          <w:rFonts w:eastAsia="Times New Roman"/>
          <w:color w:val="000000"/>
          <w:sz w:val="22"/>
          <w:lang w:eastAsia="lv-LV"/>
        </w:rPr>
        <w:t>8</w:t>
      </w:r>
    </w:p>
    <w:p w:rsidR="008846BE" w:rsidRPr="008846BE" w:rsidRDefault="008846BE" w:rsidP="008846BE">
      <w:pPr>
        <w:tabs>
          <w:tab w:val="left" w:pos="6804"/>
        </w:tabs>
        <w:spacing w:after="0" w:line="240" w:lineRule="auto"/>
        <w:rPr>
          <w:rFonts w:eastAsia="Times New Roman"/>
          <w:color w:val="000000"/>
          <w:sz w:val="22"/>
          <w:lang w:eastAsia="lv-LV"/>
        </w:rPr>
      </w:pPr>
      <w:r w:rsidRPr="008846BE">
        <w:rPr>
          <w:rFonts w:eastAsia="Times New Roman"/>
          <w:color w:val="000000"/>
          <w:sz w:val="22"/>
          <w:lang w:eastAsia="lv-LV"/>
        </w:rPr>
        <w:t>M.Katajs</w:t>
      </w:r>
    </w:p>
    <w:p w:rsidR="008846BE" w:rsidRPr="008846BE" w:rsidRDefault="008846BE" w:rsidP="008846BE">
      <w:pPr>
        <w:tabs>
          <w:tab w:val="left" w:pos="6804"/>
        </w:tabs>
        <w:spacing w:after="0" w:line="240" w:lineRule="auto"/>
        <w:rPr>
          <w:rFonts w:eastAsia="Times New Roman"/>
          <w:color w:val="000000"/>
          <w:sz w:val="22"/>
          <w:lang w:eastAsia="lv-LV"/>
        </w:rPr>
      </w:pPr>
      <w:bookmarkStart w:id="3" w:name="OLE_LINK44"/>
      <w:bookmarkStart w:id="4" w:name="OLE_LINK45"/>
      <w:r w:rsidRPr="008846BE">
        <w:rPr>
          <w:rFonts w:eastAsia="Times New Roman"/>
          <w:sz w:val="22"/>
          <w:lang w:eastAsia="lv-LV"/>
        </w:rPr>
        <w:t>Tālr.67330327; fakss 67330293</w:t>
      </w:r>
    </w:p>
    <w:p w:rsidR="008846BE" w:rsidRPr="008846BE" w:rsidRDefault="00D808FB" w:rsidP="008846BE">
      <w:pPr>
        <w:tabs>
          <w:tab w:val="left" w:pos="6804"/>
        </w:tabs>
        <w:spacing w:after="0" w:line="240" w:lineRule="auto"/>
        <w:rPr>
          <w:rFonts w:eastAsia="Times New Roman"/>
          <w:sz w:val="22"/>
          <w:lang w:eastAsia="lv-LV"/>
        </w:rPr>
      </w:pPr>
      <w:hyperlink r:id="rId12" w:history="1">
        <w:r w:rsidR="008846BE" w:rsidRPr="008846BE">
          <w:rPr>
            <w:rFonts w:eastAsia="Times New Roman"/>
            <w:color w:val="0000FF"/>
            <w:sz w:val="22"/>
            <w:u w:val="single"/>
            <w:lang w:eastAsia="lv-LV"/>
          </w:rPr>
          <w:t>Marcis.Katajs@km.gov.lv</w:t>
        </w:r>
      </w:hyperlink>
    </w:p>
    <w:bookmarkEnd w:id="3"/>
    <w:bookmarkEnd w:id="4"/>
    <w:p w:rsidR="00254896" w:rsidRPr="007D5D18" w:rsidRDefault="00254896" w:rsidP="008846BE">
      <w:pPr>
        <w:tabs>
          <w:tab w:val="left" w:pos="6804"/>
        </w:tabs>
        <w:spacing w:after="0" w:line="240" w:lineRule="auto"/>
        <w:rPr>
          <w:sz w:val="22"/>
        </w:rPr>
      </w:pPr>
    </w:p>
    <w:sectPr w:rsidR="00254896" w:rsidRPr="007D5D18" w:rsidSect="00014E51">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15" w:rsidRDefault="00A63215" w:rsidP="00E26FA6">
      <w:pPr>
        <w:spacing w:after="0" w:line="240" w:lineRule="auto"/>
      </w:pPr>
      <w:r>
        <w:separator/>
      </w:r>
    </w:p>
  </w:endnote>
  <w:endnote w:type="continuationSeparator" w:id="0">
    <w:p w:rsidR="00A63215" w:rsidRDefault="00A63215"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69" w:rsidRDefault="00D808FB" w:rsidP="00940F45">
    <w:pPr>
      <w:pStyle w:val="Kjene"/>
      <w:framePr w:wrap="around" w:vAnchor="text" w:hAnchor="margin" w:xAlign="right" w:y="1"/>
      <w:rPr>
        <w:rStyle w:val="Lappusesnumurs"/>
      </w:rPr>
    </w:pPr>
    <w:r>
      <w:rPr>
        <w:rStyle w:val="Lappusesnumurs"/>
      </w:rPr>
      <w:fldChar w:fldCharType="begin"/>
    </w:r>
    <w:r w:rsidR="00671B69">
      <w:rPr>
        <w:rStyle w:val="Lappusesnumurs"/>
      </w:rPr>
      <w:instrText xml:space="preserve">PAGE  </w:instrText>
    </w:r>
    <w:r>
      <w:rPr>
        <w:rStyle w:val="Lappusesnumurs"/>
      </w:rPr>
      <w:fldChar w:fldCharType="end"/>
    </w:r>
  </w:p>
  <w:p w:rsidR="00671B69" w:rsidRDefault="00671B69"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69" w:rsidRPr="00E95135" w:rsidRDefault="00D808FB" w:rsidP="00E95135">
    <w:pPr>
      <w:spacing w:after="0" w:line="240" w:lineRule="auto"/>
      <w:ind w:right="-1"/>
      <w:jc w:val="both"/>
      <w:rPr>
        <w:sz w:val="22"/>
      </w:rPr>
    </w:pPr>
    <w:r w:rsidRPr="004B33E7">
      <w:rPr>
        <w:sz w:val="22"/>
      </w:rPr>
      <w:fldChar w:fldCharType="begin"/>
    </w:r>
    <w:r w:rsidR="00E95135" w:rsidRPr="004B33E7">
      <w:rPr>
        <w:sz w:val="22"/>
      </w:rPr>
      <w:instrText xml:space="preserve"> FILENAME </w:instrText>
    </w:r>
    <w:r w:rsidRPr="004B33E7">
      <w:rPr>
        <w:sz w:val="22"/>
      </w:rPr>
      <w:fldChar w:fldCharType="separate"/>
    </w:r>
    <w:r w:rsidR="001A0585">
      <w:rPr>
        <w:noProof/>
        <w:sz w:val="22"/>
      </w:rPr>
      <w:t>KMAnot_15</w:t>
    </w:r>
    <w:r w:rsidR="00314300">
      <w:rPr>
        <w:noProof/>
        <w:sz w:val="22"/>
      </w:rPr>
      <w:t>0716_LNOB_dividendes</w:t>
    </w:r>
    <w:r w:rsidRPr="004B33E7">
      <w:rPr>
        <w:sz w:val="22"/>
      </w:rPr>
      <w:fldChar w:fldCharType="end"/>
    </w:r>
    <w:r w:rsidR="00E95135" w:rsidRPr="004B33E7">
      <w:rPr>
        <w:sz w:val="22"/>
      </w:rPr>
      <w:t>; Ministru kabineta rīkojuma projekta „Par valstij dividendēs izmaksājamo valsts sabie</w:t>
    </w:r>
    <w:r w:rsidR="00E95135">
      <w:rPr>
        <w:sz w:val="22"/>
      </w:rPr>
      <w:t>drības ar ierobežotu atbildību „Latvijas Nacionālā opera un balets”</w:t>
    </w:r>
    <w:r w:rsidR="00E95135" w:rsidRPr="004B33E7">
      <w:rPr>
        <w:sz w:val="22"/>
      </w:rPr>
      <w:t xml:space="preserve">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69" w:rsidRPr="004B33E7" w:rsidRDefault="00D808FB" w:rsidP="004B33E7">
    <w:pPr>
      <w:spacing w:after="0" w:line="240" w:lineRule="auto"/>
      <w:ind w:right="-1"/>
      <w:jc w:val="both"/>
      <w:rPr>
        <w:sz w:val="22"/>
      </w:rPr>
    </w:pPr>
    <w:r w:rsidRPr="004B33E7">
      <w:rPr>
        <w:sz w:val="22"/>
      </w:rPr>
      <w:fldChar w:fldCharType="begin"/>
    </w:r>
    <w:r w:rsidR="00671B69" w:rsidRPr="004B33E7">
      <w:rPr>
        <w:sz w:val="22"/>
      </w:rPr>
      <w:instrText xml:space="preserve"> FILENAME </w:instrText>
    </w:r>
    <w:r w:rsidRPr="004B33E7">
      <w:rPr>
        <w:sz w:val="22"/>
      </w:rPr>
      <w:fldChar w:fldCharType="separate"/>
    </w:r>
    <w:r w:rsidR="001A0585">
      <w:rPr>
        <w:noProof/>
        <w:sz w:val="22"/>
      </w:rPr>
      <w:t>KMAnot_15</w:t>
    </w:r>
    <w:r w:rsidR="00314300">
      <w:rPr>
        <w:noProof/>
        <w:sz w:val="22"/>
      </w:rPr>
      <w:t>0716_LNOB_dividendes</w:t>
    </w:r>
    <w:r w:rsidRPr="004B33E7">
      <w:rPr>
        <w:sz w:val="22"/>
      </w:rPr>
      <w:fldChar w:fldCharType="end"/>
    </w:r>
    <w:r w:rsidR="00671B69" w:rsidRPr="004B33E7">
      <w:rPr>
        <w:sz w:val="22"/>
      </w:rPr>
      <w:t>; Ministru kabineta rīkojuma projekta „Par valstij dividendēs izmaksājamo valsts sabie</w:t>
    </w:r>
    <w:r w:rsidR="00671B69">
      <w:rPr>
        <w:sz w:val="22"/>
      </w:rPr>
      <w:t>drības ar ierobežotu atbildību „Latvijas Nacionālā opera un balets”</w:t>
    </w:r>
    <w:r w:rsidR="00671B69" w:rsidRPr="004B33E7">
      <w:rPr>
        <w:sz w:val="22"/>
      </w:rPr>
      <w:t xml:space="preserve">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15" w:rsidRDefault="00A63215" w:rsidP="00E26FA6">
      <w:pPr>
        <w:spacing w:after="0" w:line="240" w:lineRule="auto"/>
      </w:pPr>
      <w:r>
        <w:separator/>
      </w:r>
    </w:p>
  </w:footnote>
  <w:footnote w:type="continuationSeparator" w:id="0">
    <w:p w:rsidR="00A63215" w:rsidRDefault="00A63215"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671B69" w:rsidRPr="004B33E7" w:rsidRDefault="00D808FB">
        <w:pPr>
          <w:pStyle w:val="Galvene"/>
          <w:jc w:val="center"/>
          <w:rPr>
            <w:sz w:val="22"/>
          </w:rPr>
        </w:pPr>
        <w:r w:rsidRPr="004B33E7">
          <w:rPr>
            <w:sz w:val="22"/>
          </w:rPr>
          <w:fldChar w:fldCharType="begin"/>
        </w:r>
        <w:r w:rsidR="00671B69" w:rsidRPr="004B33E7">
          <w:rPr>
            <w:sz w:val="22"/>
          </w:rPr>
          <w:instrText xml:space="preserve"> PAGE   \* MERGEFORMAT </w:instrText>
        </w:r>
        <w:r w:rsidRPr="004B33E7">
          <w:rPr>
            <w:sz w:val="22"/>
          </w:rPr>
          <w:fldChar w:fldCharType="separate"/>
        </w:r>
        <w:r w:rsidR="007009EE">
          <w:rPr>
            <w:noProof/>
            <w:sz w:val="22"/>
          </w:rPr>
          <w:t>2</w:t>
        </w:r>
        <w:r w:rsidRPr="004B33E7">
          <w:rPr>
            <w:sz w:val="22"/>
          </w:rPr>
          <w:fldChar w:fldCharType="end"/>
        </w:r>
      </w:p>
    </w:sdtContent>
  </w:sdt>
  <w:p w:rsidR="00671B69" w:rsidRDefault="00671B6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E26FA6"/>
    <w:rsid w:val="00005774"/>
    <w:rsid w:val="00006DF5"/>
    <w:rsid w:val="0000706E"/>
    <w:rsid w:val="00014E51"/>
    <w:rsid w:val="0001627C"/>
    <w:rsid w:val="00057679"/>
    <w:rsid w:val="0006351E"/>
    <w:rsid w:val="00064A6C"/>
    <w:rsid w:val="000669B3"/>
    <w:rsid w:val="00076ECB"/>
    <w:rsid w:val="000771A5"/>
    <w:rsid w:val="00080540"/>
    <w:rsid w:val="00094DF2"/>
    <w:rsid w:val="000A39D3"/>
    <w:rsid w:val="000A6246"/>
    <w:rsid w:val="000B180C"/>
    <w:rsid w:val="000B62CF"/>
    <w:rsid w:val="000C4944"/>
    <w:rsid w:val="000C592D"/>
    <w:rsid w:val="000C7BEF"/>
    <w:rsid w:val="000D2D1F"/>
    <w:rsid w:val="000E0765"/>
    <w:rsid w:val="000E0D4D"/>
    <w:rsid w:val="000E245F"/>
    <w:rsid w:val="000E37C7"/>
    <w:rsid w:val="000E3D59"/>
    <w:rsid w:val="000E7C24"/>
    <w:rsid w:val="001014A6"/>
    <w:rsid w:val="00120A34"/>
    <w:rsid w:val="001424BB"/>
    <w:rsid w:val="00150619"/>
    <w:rsid w:val="001545DE"/>
    <w:rsid w:val="00157CB0"/>
    <w:rsid w:val="00157CFD"/>
    <w:rsid w:val="00166145"/>
    <w:rsid w:val="00182AA0"/>
    <w:rsid w:val="0018337C"/>
    <w:rsid w:val="00183738"/>
    <w:rsid w:val="0018726D"/>
    <w:rsid w:val="001941A3"/>
    <w:rsid w:val="00195232"/>
    <w:rsid w:val="001A0585"/>
    <w:rsid w:val="001A7ADD"/>
    <w:rsid w:val="001B121B"/>
    <w:rsid w:val="001B487A"/>
    <w:rsid w:val="001B563E"/>
    <w:rsid w:val="001E10FF"/>
    <w:rsid w:val="0021642F"/>
    <w:rsid w:val="00223CA1"/>
    <w:rsid w:val="002246C3"/>
    <w:rsid w:val="00242295"/>
    <w:rsid w:val="00243D73"/>
    <w:rsid w:val="002461AC"/>
    <w:rsid w:val="00254896"/>
    <w:rsid w:val="002648A4"/>
    <w:rsid w:val="002653C3"/>
    <w:rsid w:val="00273380"/>
    <w:rsid w:val="002746E9"/>
    <w:rsid w:val="00281554"/>
    <w:rsid w:val="002855C7"/>
    <w:rsid w:val="002A29E5"/>
    <w:rsid w:val="002A7B1B"/>
    <w:rsid w:val="002B0ED9"/>
    <w:rsid w:val="002D027D"/>
    <w:rsid w:val="002D1584"/>
    <w:rsid w:val="002F3DEE"/>
    <w:rsid w:val="002F5B05"/>
    <w:rsid w:val="00301907"/>
    <w:rsid w:val="003077AC"/>
    <w:rsid w:val="00314300"/>
    <w:rsid w:val="00315F11"/>
    <w:rsid w:val="0033077E"/>
    <w:rsid w:val="0034567B"/>
    <w:rsid w:val="0035329A"/>
    <w:rsid w:val="003665C0"/>
    <w:rsid w:val="00376059"/>
    <w:rsid w:val="0039416B"/>
    <w:rsid w:val="003951FB"/>
    <w:rsid w:val="003B2CAA"/>
    <w:rsid w:val="003C3F82"/>
    <w:rsid w:val="003D2701"/>
    <w:rsid w:val="003D4DA0"/>
    <w:rsid w:val="003D7106"/>
    <w:rsid w:val="003E2E3B"/>
    <w:rsid w:val="003E32A5"/>
    <w:rsid w:val="003E7709"/>
    <w:rsid w:val="003F55E7"/>
    <w:rsid w:val="00400D1D"/>
    <w:rsid w:val="00420EB9"/>
    <w:rsid w:val="00432C4C"/>
    <w:rsid w:val="00446EA9"/>
    <w:rsid w:val="0044746B"/>
    <w:rsid w:val="00457296"/>
    <w:rsid w:val="00460082"/>
    <w:rsid w:val="0046277B"/>
    <w:rsid w:val="004657F0"/>
    <w:rsid w:val="004745F5"/>
    <w:rsid w:val="00480BBF"/>
    <w:rsid w:val="00482A88"/>
    <w:rsid w:val="00495A68"/>
    <w:rsid w:val="00495D47"/>
    <w:rsid w:val="004A03F2"/>
    <w:rsid w:val="004A493B"/>
    <w:rsid w:val="004B0B7E"/>
    <w:rsid w:val="004B33E7"/>
    <w:rsid w:val="004B5FCE"/>
    <w:rsid w:val="004C091D"/>
    <w:rsid w:val="004C4571"/>
    <w:rsid w:val="004C6D8F"/>
    <w:rsid w:val="004E3FBA"/>
    <w:rsid w:val="004F6D43"/>
    <w:rsid w:val="00504314"/>
    <w:rsid w:val="0051505F"/>
    <w:rsid w:val="00522E83"/>
    <w:rsid w:val="005462E9"/>
    <w:rsid w:val="005549B1"/>
    <w:rsid w:val="00570ECE"/>
    <w:rsid w:val="005733D4"/>
    <w:rsid w:val="0057542C"/>
    <w:rsid w:val="00580E49"/>
    <w:rsid w:val="00586878"/>
    <w:rsid w:val="00594639"/>
    <w:rsid w:val="005970E3"/>
    <w:rsid w:val="005B1966"/>
    <w:rsid w:val="005B23A4"/>
    <w:rsid w:val="005C0309"/>
    <w:rsid w:val="005C376B"/>
    <w:rsid w:val="005E3ACC"/>
    <w:rsid w:val="005E672B"/>
    <w:rsid w:val="005F1E03"/>
    <w:rsid w:val="00607B3C"/>
    <w:rsid w:val="00613FAD"/>
    <w:rsid w:val="00657DE8"/>
    <w:rsid w:val="0066574F"/>
    <w:rsid w:val="00665A1E"/>
    <w:rsid w:val="00671B69"/>
    <w:rsid w:val="00675353"/>
    <w:rsid w:val="006903D3"/>
    <w:rsid w:val="006A108C"/>
    <w:rsid w:val="006A68EE"/>
    <w:rsid w:val="006B339E"/>
    <w:rsid w:val="006C227E"/>
    <w:rsid w:val="006C2934"/>
    <w:rsid w:val="006D47FE"/>
    <w:rsid w:val="006D686E"/>
    <w:rsid w:val="006E059E"/>
    <w:rsid w:val="006E13A2"/>
    <w:rsid w:val="006F5782"/>
    <w:rsid w:val="007009EE"/>
    <w:rsid w:val="007131D8"/>
    <w:rsid w:val="007133E9"/>
    <w:rsid w:val="00733F89"/>
    <w:rsid w:val="00735A9D"/>
    <w:rsid w:val="00765701"/>
    <w:rsid w:val="00786F45"/>
    <w:rsid w:val="00797AB2"/>
    <w:rsid w:val="007A387F"/>
    <w:rsid w:val="007A3C27"/>
    <w:rsid w:val="007A6FD1"/>
    <w:rsid w:val="007B0DE9"/>
    <w:rsid w:val="007D5D18"/>
    <w:rsid w:val="007E330B"/>
    <w:rsid w:val="007E487A"/>
    <w:rsid w:val="007E6101"/>
    <w:rsid w:val="007E6F5E"/>
    <w:rsid w:val="008138C0"/>
    <w:rsid w:val="008159B6"/>
    <w:rsid w:val="00821FA0"/>
    <w:rsid w:val="00827706"/>
    <w:rsid w:val="00831C57"/>
    <w:rsid w:val="008328B3"/>
    <w:rsid w:val="00841D85"/>
    <w:rsid w:val="00842965"/>
    <w:rsid w:val="00842CEF"/>
    <w:rsid w:val="0084528F"/>
    <w:rsid w:val="0084708D"/>
    <w:rsid w:val="00852743"/>
    <w:rsid w:val="00852F1B"/>
    <w:rsid w:val="00860B20"/>
    <w:rsid w:val="00860EEF"/>
    <w:rsid w:val="00862A5E"/>
    <w:rsid w:val="00863EC0"/>
    <w:rsid w:val="0086726C"/>
    <w:rsid w:val="00870EC8"/>
    <w:rsid w:val="008714C3"/>
    <w:rsid w:val="00880FCA"/>
    <w:rsid w:val="008846BE"/>
    <w:rsid w:val="00884D1C"/>
    <w:rsid w:val="008918CF"/>
    <w:rsid w:val="00895E07"/>
    <w:rsid w:val="008B6F1C"/>
    <w:rsid w:val="008C2F6F"/>
    <w:rsid w:val="00915E01"/>
    <w:rsid w:val="00917D66"/>
    <w:rsid w:val="0092456A"/>
    <w:rsid w:val="009345E5"/>
    <w:rsid w:val="00934FFE"/>
    <w:rsid w:val="00940F45"/>
    <w:rsid w:val="00942982"/>
    <w:rsid w:val="00944E64"/>
    <w:rsid w:val="009506A5"/>
    <w:rsid w:val="00960F57"/>
    <w:rsid w:val="00987EF9"/>
    <w:rsid w:val="00992EDD"/>
    <w:rsid w:val="009979D0"/>
    <w:rsid w:val="009A4B47"/>
    <w:rsid w:val="009C41A6"/>
    <w:rsid w:val="009D1490"/>
    <w:rsid w:val="009D7DDE"/>
    <w:rsid w:val="009F1FA0"/>
    <w:rsid w:val="009F2003"/>
    <w:rsid w:val="009F5BD0"/>
    <w:rsid w:val="009F72EC"/>
    <w:rsid w:val="00A00263"/>
    <w:rsid w:val="00A01A11"/>
    <w:rsid w:val="00A165D2"/>
    <w:rsid w:val="00A17127"/>
    <w:rsid w:val="00A216B6"/>
    <w:rsid w:val="00A34E0F"/>
    <w:rsid w:val="00A472D9"/>
    <w:rsid w:val="00A52370"/>
    <w:rsid w:val="00A6270C"/>
    <w:rsid w:val="00A63215"/>
    <w:rsid w:val="00A6392B"/>
    <w:rsid w:val="00A647DB"/>
    <w:rsid w:val="00AA51DA"/>
    <w:rsid w:val="00AB58E6"/>
    <w:rsid w:val="00AC0B03"/>
    <w:rsid w:val="00AC5103"/>
    <w:rsid w:val="00AE3DC9"/>
    <w:rsid w:val="00AF02A0"/>
    <w:rsid w:val="00AF232F"/>
    <w:rsid w:val="00AF396E"/>
    <w:rsid w:val="00AF3EEA"/>
    <w:rsid w:val="00AF42CE"/>
    <w:rsid w:val="00AF4EA3"/>
    <w:rsid w:val="00B166F1"/>
    <w:rsid w:val="00B248C4"/>
    <w:rsid w:val="00B3254E"/>
    <w:rsid w:val="00B36394"/>
    <w:rsid w:val="00B41742"/>
    <w:rsid w:val="00B54FC6"/>
    <w:rsid w:val="00B61C75"/>
    <w:rsid w:val="00B62B14"/>
    <w:rsid w:val="00B62E73"/>
    <w:rsid w:val="00B717C3"/>
    <w:rsid w:val="00B71C98"/>
    <w:rsid w:val="00B73D23"/>
    <w:rsid w:val="00B754F2"/>
    <w:rsid w:val="00B80246"/>
    <w:rsid w:val="00B82072"/>
    <w:rsid w:val="00B83965"/>
    <w:rsid w:val="00B921F7"/>
    <w:rsid w:val="00B931C1"/>
    <w:rsid w:val="00BA744A"/>
    <w:rsid w:val="00BB2D20"/>
    <w:rsid w:val="00BB5D43"/>
    <w:rsid w:val="00BC62BA"/>
    <w:rsid w:val="00BE1791"/>
    <w:rsid w:val="00BE41B1"/>
    <w:rsid w:val="00BF13B3"/>
    <w:rsid w:val="00C12711"/>
    <w:rsid w:val="00C224F7"/>
    <w:rsid w:val="00C26EA2"/>
    <w:rsid w:val="00C3226C"/>
    <w:rsid w:val="00C53F3C"/>
    <w:rsid w:val="00C54F30"/>
    <w:rsid w:val="00C57F09"/>
    <w:rsid w:val="00C61A5D"/>
    <w:rsid w:val="00C656AB"/>
    <w:rsid w:val="00C703C8"/>
    <w:rsid w:val="00C80902"/>
    <w:rsid w:val="00C86913"/>
    <w:rsid w:val="00C86F41"/>
    <w:rsid w:val="00C95A23"/>
    <w:rsid w:val="00C9765F"/>
    <w:rsid w:val="00CA4F27"/>
    <w:rsid w:val="00CB29F0"/>
    <w:rsid w:val="00CB409B"/>
    <w:rsid w:val="00CC00CE"/>
    <w:rsid w:val="00CC2ABA"/>
    <w:rsid w:val="00CC5A00"/>
    <w:rsid w:val="00CD6A90"/>
    <w:rsid w:val="00CE247C"/>
    <w:rsid w:val="00CF16B4"/>
    <w:rsid w:val="00CF33E0"/>
    <w:rsid w:val="00D02BFC"/>
    <w:rsid w:val="00D05CA8"/>
    <w:rsid w:val="00D06DB6"/>
    <w:rsid w:val="00D22E0A"/>
    <w:rsid w:val="00D24ABB"/>
    <w:rsid w:val="00D269BE"/>
    <w:rsid w:val="00D278EA"/>
    <w:rsid w:val="00D36BBC"/>
    <w:rsid w:val="00D43D43"/>
    <w:rsid w:val="00D50E23"/>
    <w:rsid w:val="00D624A8"/>
    <w:rsid w:val="00D64D78"/>
    <w:rsid w:val="00D721E5"/>
    <w:rsid w:val="00D808FB"/>
    <w:rsid w:val="00DA07DD"/>
    <w:rsid w:val="00DA7C8C"/>
    <w:rsid w:val="00DB750A"/>
    <w:rsid w:val="00E149FB"/>
    <w:rsid w:val="00E248D0"/>
    <w:rsid w:val="00E25B01"/>
    <w:rsid w:val="00E26FA6"/>
    <w:rsid w:val="00E30970"/>
    <w:rsid w:val="00E65F45"/>
    <w:rsid w:val="00E67241"/>
    <w:rsid w:val="00E919D8"/>
    <w:rsid w:val="00E94D0C"/>
    <w:rsid w:val="00E95135"/>
    <w:rsid w:val="00E960E5"/>
    <w:rsid w:val="00EA3889"/>
    <w:rsid w:val="00EC7636"/>
    <w:rsid w:val="00ED01E9"/>
    <w:rsid w:val="00ED1023"/>
    <w:rsid w:val="00EE6948"/>
    <w:rsid w:val="00EF16A2"/>
    <w:rsid w:val="00EF6C61"/>
    <w:rsid w:val="00EF75C5"/>
    <w:rsid w:val="00F073BB"/>
    <w:rsid w:val="00F15A89"/>
    <w:rsid w:val="00F179F0"/>
    <w:rsid w:val="00F30693"/>
    <w:rsid w:val="00F42501"/>
    <w:rsid w:val="00F442CA"/>
    <w:rsid w:val="00F45248"/>
    <w:rsid w:val="00F540DA"/>
    <w:rsid w:val="00F55AC4"/>
    <w:rsid w:val="00F63A0B"/>
    <w:rsid w:val="00F6492F"/>
    <w:rsid w:val="00F7027E"/>
    <w:rsid w:val="00F749CD"/>
    <w:rsid w:val="00F75C2B"/>
    <w:rsid w:val="00F9756E"/>
    <w:rsid w:val="00FA46A5"/>
    <w:rsid w:val="00FA759B"/>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Vienkrsteksts">
    <w:name w:val="Plain Text"/>
    <w:basedOn w:val="Parastais"/>
    <w:link w:val="VienkrstekstsRakstz"/>
    <w:uiPriority w:val="99"/>
    <w:unhideWhenUsed/>
    <w:rsid w:val="002F3DEE"/>
    <w:pPr>
      <w:spacing w:after="0" w:line="240" w:lineRule="auto"/>
    </w:pPr>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2F3D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995710">
      <w:bodyDiv w:val="1"/>
      <w:marLeft w:val="0"/>
      <w:marRight w:val="0"/>
      <w:marTop w:val="0"/>
      <w:marBottom w:val="0"/>
      <w:divBdr>
        <w:top w:val="none" w:sz="0" w:space="0" w:color="auto"/>
        <w:left w:val="none" w:sz="0" w:space="0" w:color="auto"/>
        <w:bottom w:val="none" w:sz="0" w:space="0" w:color="auto"/>
        <w:right w:val="none" w:sz="0" w:space="0" w:color="auto"/>
      </w:divBdr>
    </w:div>
    <w:div w:id="1162550381">
      <w:bodyDiv w:val="1"/>
      <w:marLeft w:val="0"/>
      <w:marRight w:val="0"/>
      <w:marTop w:val="0"/>
      <w:marBottom w:val="0"/>
      <w:divBdr>
        <w:top w:val="none" w:sz="0" w:space="0" w:color="auto"/>
        <w:left w:val="none" w:sz="0" w:space="0" w:color="auto"/>
        <w:bottom w:val="none" w:sz="0" w:space="0" w:color="auto"/>
        <w:right w:val="none" w:sz="0" w:space="0" w:color="auto"/>
      </w:divBdr>
    </w:div>
    <w:div w:id="12645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s.Katajs@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147385-konsolideto-gada-parskatu-likums" TargetMode="External"/><Relationship Id="rId4" Type="http://schemas.openxmlformats.org/officeDocument/2006/relationships/settings" Target="setting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91F0-6194-488C-A2F5-505B4AD0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7975</Words>
  <Characters>4546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Nacionālā opera un balets” peļņas daļu” sākotnējās ietekmes novērtējuma ziņojums (anotācija)</dc:title>
  <dc:subject>Anotācija</dc:subject>
  <dc:creator>M.Katajs</dc:creator>
  <dc:description>Tālr.67330327; fakss 67330293
Marcis.Katajs@km.gov.lv</dc:description>
  <cp:lastModifiedBy>Dzintra Rozīte</cp:lastModifiedBy>
  <cp:revision>6</cp:revision>
  <cp:lastPrinted>2016-07-07T08:34:00Z</cp:lastPrinted>
  <dcterms:created xsi:type="dcterms:W3CDTF">2016-07-07T12:49:00Z</dcterms:created>
  <dcterms:modified xsi:type="dcterms:W3CDTF">2016-07-18T06:59:00Z</dcterms:modified>
</cp:coreProperties>
</file>