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AB" w:rsidRDefault="00C83412" w:rsidP="00C83412">
      <w:pPr>
        <w:pStyle w:val="ParastaisWeb"/>
        <w:spacing w:before="0" w:beforeAutospacing="0" w:after="0" w:afterAutospacing="0"/>
        <w:jc w:val="center"/>
        <w:rPr>
          <w:b/>
          <w:bCs/>
          <w:sz w:val="28"/>
          <w:szCs w:val="28"/>
        </w:rPr>
      </w:pPr>
      <w:bookmarkStart w:id="0" w:name="OLE_LINK1"/>
      <w:bookmarkStart w:id="1" w:name="OLE_LINK2"/>
      <w:bookmarkStart w:id="2" w:name="OLE_LINK3"/>
      <w:bookmarkStart w:id="3" w:name="OLE_LINK11"/>
      <w:r w:rsidRPr="0092187A">
        <w:rPr>
          <w:b/>
          <w:bCs/>
          <w:sz w:val="28"/>
          <w:szCs w:val="28"/>
        </w:rPr>
        <w:t xml:space="preserve">Ministru kabineta rīkojuma projekta </w:t>
      </w:r>
    </w:p>
    <w:p w:rsidR="00E37EAB" w:rsidRDefault="00C83412" w:rsidP="00E37EAB">
      <w:pPr>
        <w:pStyle w:val="ParastaisWeb"/>
        <w:spacing w:before="0" w:beforeAutospacing="0" w:after="0" w:afterAutospacing="0"/>
        <w:jc w:val="center"/>
        <w:rPr>
          <w:b/>
          <w:bCs/>
          <w:sz w:val="28"/>
          <w:szCs w:val="28"/>
        </w:rPr>
      </w:pPr>
      <w:r w:rsidRPr="0092187A">
        <w:rPr>
          <w:b/>
          <w:bCs/>
          <w:sz w:val="28"/>
          <w:szCs w:val="28"/>
        </w:rPr>
        <w:t>„Par finanšu līdzekļu</w:t>
      </w:r>
      <w:r w:rsidR="00E37EAB">
        <w:rPr>
          <w:b/>
          <w:bCs/>
          <w:sz w:val="28"/>
          <w:szCs w:val="28"/>
        </w:rPr>
        <w:t xml:space="preserve"> </w:t>
      </w:r>
      <w:r w:rsidRPr="0092187A">
        <w:rPr>
          <w:b/>
          <w:bCs/>
          <w:sz w:val="28"/>
          <w:szCs w:val="28"/>
        </w:rPr>
        <w:t xml:space="preserve">piešķiršanu no valsts budžeta programmas </w:t>
      </w:r>
    </w:p>
    <w:p w:rsidR="00453F59" w:rsidRPr="009B275C" w:rsidRDefault="00C83412" w:rsidP="00A94F34">
      <w:pPr>
        <w:pStyle w:val="ParastaisWeb"/>
        <w:spacing w:before="0" w:beforeAutospacing="0" w:after="0" w:afterAutospacing="0"/>
        <w:jc w:val="center"/>
        <w:rPr>
          <w:b/>
          <w:bCs/>
          <w:sz w:val="28"/>
          <w:szCs w:val="28"/>
        </w:rPr>
      </w:pPr>
      <w:r w:rsidRPr="0092187A">
        <w:rPr>
          <w:b/>
          <w:bCs/>
          <w:sz w:val="28"/>
          <w:szCs w:val="28"/>
        </w:rPr>
        <w:t>„Līdzekļi neparedzētiem</w:t>
      </w:r>
      <w:r w:rsidR="00E37EAB">
        <w:rPr>
          <w:b/>
          <w:bCs/>
          <w:sz w:val="28"/>
          <w:szCs w:val="28"/>
        </w:rPr>
        <w:t xml:space="preserve"> </w:t>
      </w:r>
      <w:r w:rsidRPr="0092187A">
        <w:rPr>
          <w:b/>
          <w:bCs/>
          <w:sz w:val="28"/>
          <w:szCs w:val="28"/>
        </w:rPr>
        <w:t>gadījumiem”” sākotnējās ietekmes novērtējuma ziņojums (anotācija)</w:t>
      </w:r>
    </w:p>
    <w:tbl>
      <w:tblPr>
        <w:tblpPr w:leftFromText="180" w:rightFromText="180" w:vertAnchor="text" w:horzAnchor="margin" w:tblpXSpec="center"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2"/>
        <w:gridCol w:w="1539"/>
        <w:gridCol w:w="6945"/>
      </w:tblGrid>
      <w:tr w:rsidR="00852042" w:rsidRPr="00A56C50" w:rsidTr="00DA7D07">
        <w:trPr>
          <w:trHeight w:val="416"/>
        </w:trPr>
        <w:tc>
          <w:tcPr>
            <w:tcW w:w="5000" w:type="pct"/>
            <w:gridSpan w:val="3"/>
            <w:vAlign w:val="center"/>
          </w:tcPr>
          <w:bookmarkEnd w:id="0"/>
          <w:bookmarkEnd w:id="1"/>
          <w:bookmarkEnd w:id="2"/>
          <w:bookmarkEnd w:id="3"/>
          <w:p w:rsidR="00852042" w:rsidRPr="00A56C50" w:rsidRDefault="00852042" w:rsidP="006C4607">
            <w:pPr>
              <w:pStyle w:val="naisnod"/>
              <w:spacing w:before="0" w:after="0"/>
              <w:rPr>
                <w:sz w:val="28"/>
                <w:szCs w:val="28"/>
              </w:rPr>
            </w:pPr>
            <w:r w:rsidRPr="00A56C50">
              <w:rPr>
                <w:sz w:val="28"/>
                <w:szCs w:val="28"/>
              </w:rPr>
              <w:t>I</w:t>
            </w:r>
            <w:r w:rsidR="000941C5" w:rsidRPr="00A56C50">
              <w:rPr>
                <w:sz w:val="28"/>
                <w:szCs w:val="28"/>
              </w:rPr>
              <w:t>.</w:t>
            </w:r>
            <w:r w:rsidRPr="00A56C50">
              <w:rPr>
                <w:sz w:val="28"/>
                <w:szCs w:val="28"/>
              </w:rPr>
              <w:t xml:space="preserve"> Tiesību akta </w:t>
            </w:r>
            <w:r w:rsidR="002E3FF4" w:rsidRPr="00A56C50">
              <w:rPr>
                <w:sz w:val="28"/>
                <w:szCs w:val="28"/>
              </w:rPr>
              <w:t xml:space="preserve">projekta </w:t>
            </w:r>
            <w:r w:rsidRPr="00A56C50">
              <w:rPr>
                <w:sz w:val="28"/>
                <w:szCs w:val="28"/>
              </w:rPr>
              <w:t>izstrādes nepieciešamība</w:t>
            </w:r>
          </w:p>
        </w:tc>
      </w:tr>
      <w:tr w:rsidR="00262E2B" w:rsidRPr="00A56C50" w:rsidTr="00DA7D07">
        <w:trPr>
          <w:trHeight w:val="630"/>
        </w:trPr>
        <w:tc>
          <w:tcPr>
            <w:tcW w:w="253" w:type="pct"/>
          </w:tcPr>
          <w:p w:rsidR="00262E2B" w:rsidRPr="00A56C50" w:rsidRDefault="00262E2B" w:rsidP="002C0D1E">
            <w:pPr>
              <w:pStyle w:val="naiskr"/>
              <w:spacing w:before="0" w:after="0"/>
              <w:jc w:val="center"/>
              <w:rPr>
                <w:sz w:val="28"/>
                <w:szCs w:val="28"/>
              </w:rPr>
            </w:pPr>
            <w:r w:rsidRPr="00A56C50">
              <w:rPr>
                <w:sz w:val="28"/>
                <w:szCs w:val="28"/>
              </w:rPr>
              <w:t>1.</w:t>
            </w:r>
          </w:p>
        </w:tc>
        <w:tc>
          <w:tcPr>
            <w:tcW w:w="861" w:type="pct"/>
          </w:tcPr>
          <w:p w:rsidR="00262E2B" w:rsidRPr="00A56C50" w:rsidRDefault="002D7F54" w:rsidP="006C4607">
            <w:pPr>
              <w:pStyle w:val="naiskr"/>
              <w:spacing w:before="0" w:after="0"/>
              <w:ind w:hanging="10"/>
              <w:rPr>
                <w:sz w:val="28"/>
                <w:szCs w:val="28"/>
              </w:rPr>
            </w:pPr>
            <w:r w:rsidRPr="00A56C50">
              <w:rPr>
                <w:sz w:val="28"/>
                <w:szCs w:val="28"/>
              </w:rPr>
              <w:t>Pamatojums</w:t>
            </w:r>
          </w:p>
        </w:tc>
        <w:tc>
          <w:tcPr>
            <w:tcW w:w="3886" w:type="pct"/>
          </w:tcPr>
          <w:p w:rsidR="00362410" w:rsidRPr="00782FCE" w:rsidRDefault="00362410" w:rsidP="00DA7D07">
            <w:pPr>
              <w:pStyle w:val="naiskr"/>
              <w:spacing w:before="0" w:after="0"/>
              <w:ind w:left="141" w:right="142"/>
              <w:jc w:val="both"/>
              <w:rPr>
                <w:sz w:val="28"/>
                <w:szCs w:val="28"/>
              </w:rPr>
            </w:pPr>
            <w:r w:rsidRPr="00782FCE">
              <w:rPr>
                <w:sz w:val="28"/>
                <w:szCs w:val="28"/>
              </w:rPr>
              <w:t xml:space="preserve">Ministru kabineta rīkojuma projekts „Par finanšu līdzekļu piešķiršanu no valsts budžeta programmas „Līdzekļi neparedzētiem gadījumiem”” (turpmāk – </w:t>
            </w:r>
            <w:r w:rsidR="00DA7D07">
              <w:rPr>
                <w:sz w:val="28"/>
                <w:szCs w:val="28"/>
              </w:rPr>
              <w:t>P</w:t>
            </w:r>
            <w:r w:rsidRPr="00782FCE">
              <w:rPr>
                <w:sz w:val="28"/>
                <w:szCs w:val="28"/>
              </w:rPr>
              <w:t xml:space="preserve">rojekts) </w:t>
            </w:r>
            <w:r w:rsidR="00DA7D07">
              <w:rPr>
                <w:sz w:val="28"/>
                <w:szCs w:val="28"/>
              </w:rPr>
              <w:t>sagatavots</w:t>
            </w:r>
            <w:r w:rsidRPr="00782FCE">
              <w:rPr>
                <w:sz w:val="28"/>
                <w:szCs w:val="28"/>
              </w:rPr>
              <w:t xml:space="preserve"> saskaņā ar Ministru kabineta 2009.gada 22.decembra noteikumu Nr.1644 „</w:t>
            </w:r>
            <w:r w:rsidRPr="00782FCE">
              <w:rPr>
                <w:bCs/>
                <w:sz w:val="28"/>
                <w:szCs w:val="28"/>
              </w:rPr>
              <w:t>Kārtība, kādā pieprasa</w:t>
            </w:r>
            <w:r w:rsidR="00CA4995" w:rsidRPr="00782FCE">
              <w:rPr>
                <w:bCs/>
                <w:sz w:val="28"/>
                <w:szCs w:val="28"/>
              </w:rPr>
              <w:t xml:space="preserve"> un izlieto budžeta programmas „</w:t>
            </w:r>
            <w:r w:rsidRPr="00782FCE">
              <w:rPr>
                <w:bCs/>
                <w:sz w:val="28"/>
                <w:szCs w:val="28"/>
              </w:rPr>
              <w:t>Lī</w:t>
            </w:r>
            <w:r w:rsidR="00CA4995" w:rsidRPr="00782FCE">
              <w:rPr>
                <w:bCs/>
                <w:sz w:val="28"/>
                <w:szCs w:val="28"/>
              </w:rPr>
              <w:t>dzekļi neparedzētiem gadījumiem”</w:t>
            </w:r>
            <w:r w:rsidRPr="00782FCE">
              <w:rPr>
                <w:bCs/>
                <w:sz w:val="28"/>
                <w:szCs w:val="28"/>
              </w:rPr>
              <w:t xml:space="preserve"> līdzekļus</w:t>
            </w:r>
            <w:r w:rsidRPr="00782FCE">
              <w:rPr>
                <w:sz w:val="28"/>
                <w:szCs w:val="28"/>
              </w:rPr>
              <w:t>” 3.punktu.</w:t>
            </w:r>
          </w:p>
        </w:tc>
      </w:tr>
      <w:tr w:rsidR="00262E2B" w:rsidRPr="00A56C50" w:rsidTr="005B31E2">
        <w:tblPrEx>
          <w:tblCellMar>
            <w:left w:w="108" w:type="dxa"/>
            <w:right w:w="108" w:type="dxa"/>
          </w:tblCellMar>
        </w:tblPrEx>
        <w:trPr>
          <w:trHeight w:val="1266"/>
        </w:trPr>
        <w:tc>
          <w:tcPr>
            <w:tcW w:w="253" w:type="pct"/>
          </w:tcPr>
          <w:p w:rsidR="00262E2B" w:rsidRPr="00A56C50" w:rsidRDefault="00262E2B" w:rsidP="002C0D1E">
            <w:pPr>
              <w:pStyle w:val="naiskr"/>
              <w:spacing w:before="0" w:after="0"/>
              <w:jc w:val="center"/>
              <w:rPr>
                <w:sz w:val="28"/>
                <w:szCs w:val="28"/>
              </w:rPr>
            </w:pPr>
            <w:r w:rsidRPr="00A56C50">
              <w:rPr>
                <w:sz w:val="28"/>
                <w:szCs w:val="28"/>
              </w:rPr>
              <w:t>2.</w:t>
            </w:r>
          </w:p>
        </w:tc>
        <w:tc>
          <w:tcPr>
            <w:tcW w:w="861" w:type="pct"/>
          </w:tcPr>
          <w:p w:rsidR="00262E2B" w:rsidRPr="00A56C50" w:rsidRDefault="00262E2B" w:rsidP="006C4607">
            <w:pPr>
              <w:pStyle w:val="naiskr"/>
              <w:tabs>
                <w:tab w:val="left" w:pos="170"/>
              </w:tabs>
              <w:spacing w:before="0" w:after="0"/>
              <w:rPr>
                <w:sz w:val="28"/>
                <w:szCs w:val="28"/>
              </w:rPr>
            </w:pPr>
            <w:r w:rsidRPr="00A56C50">
              <w:rPr>
                <w:sz w:val="28"/>
                <w:szCs w:val="28"/>
              </w:rPr>
              <w:t>Pašreizējā situācija</w:t>
            </w:r>
            <w:r w:rsidR="001F5CD6" w:rsidRPr="00A56C50">
              <w:rPr>
                <w:sz w:val="28"/>
                <w:szCs w:val="28"/>
              </w:rPr>
              <w:t xml:space="preserve"> un problēmas</w:t>
            </w:r>
            <w:r w:rsidR="006E626B" w:rsidRPr="00A56C50">
              <w:rPr>
                <w:sz w:val="28"/>
                <w:szCs w:val="28"/>
              </w:rPr>
              <w:t>, kuru risināšanai tie</w:t>
            </w:r>
            <w:r w:rsidR="00F17B84" w:rsidRPr="00A56C50">
              <w:rPr>
                <w:sz w:val="28"/>
                <w:szCs w:val="28"/>
              </w:rPr>
              <w:t xml:space="preserve">sību akta projekts izstrādāts, </w:t>
            </w:r>
            <w:r w:rsidR="006E626B" w:rsidRPr="00A56C50">
              <w:rPr>
                <w:sz w:val="28"/>
                <w:szCs w:val="28"/>
              </w:rPr>
              <w:t>tiesiskā regulējuma mērķis un būtīb</w:t>
            </w:r>
            <w:r w:rsidR="007E5843" w:rsidRPr="00A56C50">
              <w:rPr>
                <w:sz w:val="28"/>
                <w:szCs w:val="28"/>
              </w:rPr>
              <w:t>a</w:t>
            </w:r>
          </w:p>
        </w:tc>
        <w:tc>
          <w:tcPr>
            <w:tcW w:w="3886" w:type="pct"/>
          </w:tcPr>
          <w:p w:rsidR="00C777C2" w:rsidRDefault="00DA7D07" w:rsidP="00DA7D07">
            <w:pPr>
              <w:pStyle w:val="naisf"/>
              <w:spacing w:before="0" w:after="0"/>
              <w:ind w:right="34" w:firstLine="0"/>
              <w:rPr>
                <w:sz w:val="28"/>
                <w:szCs w:val="28"/>
              </w:rPr>
            </w:pPr>
            <w:r>
              <w:rPr>
                <w:sz w:val="28"/>
                <w:szCs w:val="28"/>
              </w:rPr>
              <w:t>V</w:t>
            </w:r>
            <w:r w:rsidR="007C62BB">
              <w:rPr>
                <w:sz w:val="28"/>
                <w:szCs w:val="28"/>
              </w:rPr>
              <w:t>alsts sab</w:t>
            </w:r>
            <w:r w:rsidR="00AD56F9">
              <w:rPr>
                <w:sz w:val="28"/>
                <w:szCs w:val="28"/>
              </w:rPr>
              <w:t>iedrībā ar ierobežotu atbildību</w:t>
            </w:r>
            <w:r>
              <w:rPr>
                <w:sz w:val="28"/>
                <w:szCs w:val="28"/>
              </w:rPr>
              <w:t xml:space="preserve"> „Rīgas c</w:t>
            </w:r>
            <w:r w:rsidR="0066658B">
              <w:rPr>
                <w:sz w:val="28"/>
                <w:szCs w:val="28"/>
              </w:rPr>
              <w:t>irks”</w:t>
            </w:r>
            <w:r w:rsidR="003A5F6E">
              <w:rPr>
                <w:sz w:val="28"/>
                <w:szCs w:val="28"/>
              </w:rPr>
              <w:t xml:space="preserve"> (turpmāk – Sabiedrība)</w:t>
            </w:r>
            <w:r w:rsidR="007C62BB">
              <w:rPr>
                <w:sz w:val="28"/>
                <w:szCs w:val="28"/>
              </w:rPr>
              <w:t>, kurā Kultūras ministrija ir 100% valsts kapitāla daļu turētāja,</w:t>
            </w:r>
            <w:r w:rsidR="0066658B" w:rsidRPr="00A56C50">
              <w:rPr>
                <w:sz w:val="28"/>
                <w:szCs w:val="28"/>
              </w:rPr>
              <w:t xml:space="preserve"> ir izveidojusies situācija, kas rada </w:t>
            </w:r>
            <w:r w:rsidR="007C62BB">
              <w:rPr>
                <w:sz w:val="28"/>
                <w:szCs w:val="28"/>
              </w:rPr>
              <w:t>draudus Sabiedrības pamatdarbības nodrošināšanai sais</w:t>
            </w:r>
            <w:r w:rsidR="00B7516F">
              <w:rPr>
                <w:sz w:val="28"/>
                <w:szCs w:val="28"/>
              </w:rPr>
              <w:t xml:space="preserve">tībā ar tās </w:t>
            </w:r>
            <w:r w:rsidR="00CD0F4D">
              <w:rPr>
                <w:sz w:val="28"/>
                <w:szCs w:val="28"/>
              </w:rPr>
              <w:t xml:space="preserve">lietošanā </w:t>
            </w:r>
            <w:r w:rsidR="00B7516F">
              <w:rPr>
                <w:sz w:val="28"/>
                <w:szCs w:val="28"/>
              </w:rPr>
              <w:t xml:space="preserve">esošās ēkas </w:t>
            </w:r>
            <w:r w:rsidR="006C3764">
              <w:rPr>
                <w:sz w:val="28"/>
                <w:szCs w:val="28"/>
              </w:rPr>
              <w:t>Rīgā, Merķeļa ielā 4</w:t>
            </w:r>
            <w:r w:rsidR="007C62BB">
              <w:rPr>
                <w:sz w:val="28"/>
                <w:szCs w:val="28"/>
              </w:rPr>
              <w:t xml:space="preserve"> neapmierinošo tehnisko stāvokli, kā dēļ šobrīd ir aizliegta </w:t>
            </w:r>
            <w:r w:rsidR="006C3764">
              <w:rPr>
                <w:sz w:val="28"/>
                <w:szCs w:val="28"/>
              </w:rPr>
              <w:t>ēkas iz</w:t>
            </w:r>
            <w:r w:rsidR="00B7516F">
              <w:rPr>
                <w:sz w:val="28"/>
                <w:szCs w:val="28"/>
              </w:rPr>
              <w:t>ma</w:t>
            </w:r>
            <w:r w:rsidR="00946184">
              <w:rPr>
                <w:sz w:val="28"/>
                <w:szCs w:val="28"/>
              </w:rPr>
              <w:t>n</w:t>
            </w:r>
            <w:r w:rsidR="00B7516F">
              <w:rPr>
                <w:sz w:val="28"/>
                <w:szCs w:val="28"/>
              </w:rPr>
              <w:t>tošana publiskiem pasākumiem,</w:t>
            </w:r>
            <w:r w:rsidR="006C3764">
              <w:rPr>
                <w:sz w:val="28"/>
                <w:szCs w:val="28"/>
              </w:rPr>
              <w:t xml:space="preserve"> nesot Sabiedrībai </w:t>
            </w:r>
            <w:r w:rsidR="00222356">
              <w:rPr>
                <w:sz w:val="28"/>
                <w:szCs w:val="28"/>
              </w:rPr>
              <w:t>būtiskus finansiālos zaudējumus un apdraudot cirka mākslas pieejamības nodrošināšanas iespējas Latvijas iedzīvotājiem.</w:t>
            </w:r>
          </w:p>
          <w:p w:rsidR="00DA7D07" w:rsidRDefault="00DA7D07" w:rsidP="00DA7D07">
            <w:pPr>
              <w:pStyle w:val="naisf"/>
              <w:spacing w:before="0" w:after="0"/>
              <w:ind w:right="34" w:firstLine="0"/>
              <w:rPr>
                <w:sz w:val="28"/>
                <w:szCs w:val="28"/>
              </w:rPr>
            </w:pPr>
          </w:p>
          <w:p w:rsidR="009123B2" w:rsidRDefault="00DA7D07" w:rsidP="00DA7D07">
            <w:pPr>
              <w:pStyle w:val="naisf"/>
              <w:spacing w:before="0" w:after="0"/>
              <w:ind w:right="34" w:firstLine="0"/>
              <w:rPr>
                <w:sz w:val="28"/>
                <w:szCs w:val="28"/>
              </w:rPr>
            </w:pPr>
            <w:r>
              <w:rPr>
                <w:sz w:val="28"/>
                <w:szCs w:val="28"/>
              </w:rPr>
              <w:t>Saskaņā ar likuma</w:t>
            </w:r>
            <w:r w:rsidR="00C777C2" w:rsidRPr="00C777C2">
              <w:rPr>
                <w:sz w:val="28"/>
                <w:szCs w:val="28"/>
              </w:rPr>
              <w:t xml:space="preserve"> „Par valsts nozīmes izglītības, kultūras un zinātnes objektiem un nacionālajām sporta bāzēm” 4.panta 25.punktu Rīgas cirkam ir noteikts valsts nozīmes kultūras objekta statuss. Objekta sastāvs tika noteikts ar Ministru kabineta 2003.gada 29.aprīļa rīkojumu Nr.251 „Par valsts nozīmes kultūras objekta „Rīgas cirks” Rīgā, Merķeļa ielā 4, sastāvu”, nosakot, ka valsts nozīmes kultūras objekts valsts uzņēmums „Rīgas cirks” Rīgā, Merķeļa ielā 4, sastāv no zemesgabala 3807</w:t>
            </w:r>
            <w:r w:rsidR="000A3C62">
              <w:rPr>
                <w:sz w:val="28"/>
                <w:szCs w:val="28"/>
              </w:rPr>
              <w:t xml:space="preserve"> kv.m. platībā (zemes kadastra Nr.</w:t>
            </w:r>
            <w:r w:rsidR="00C777C2" w:rsidRPr="00C777C2">
              <w:rPr>
                <w:sz w:val="28"/>
                <w:szCs w:val="28"/>
              </w:rPr>
              <w:t>01000050014) un celtnes (5. grupa, 14. grunts, liters 1, 2, 6, 7, 8, 9, 9a, 10, 11, 12, 13, 13a, 14).</w:t>
            </w:r>
          </w:p>
          <w:p w:rsidR="00DA7D07" w:rsidRDefault="00DA7D07" w:rsidP="00DA7D07">
            <w:pPr>
              <w:pStyle w:val="naisf"/>
              <w:spacing w:before="0" w:after="0"/>
              <w:ind w:right="34" w:firstLine="0"/>
              <w:rPr>
                <w:sz w:val="28"/>
                <w:szCs w:val="28"/>
              </w:rPr>
            </w:pPr>
          </w:p>
          <w:p w:rsidR="009123B2" w:rsidRDefault="009123B2" w:rsidP="00DA7D07">
            <w:pPr>
              <w:pStyle w:val="naisf"/>
              <w:spacing w:before="0" w:after="0"/>
              <w:ind w:right="34" w:firstLine="0"/>
              <w:rPr>
                <w:sz w:val="28"/>
                <w:szCs w:val="28"/>
              </w:rPr>
            </w:pPr>
            <w:r w:rsidRPr="006518BC">
              <w:rPr>
                <w:sz w:val="28"/>
                <w:szCs w:val="28"/>
              </w:rPr>
              <w:t>Līdz šim Kultūras ministrija kapitālieguldījum</w:t>
            </w:r>
            <w:r>
              <w:rPr>
                <w:sz w:val="28"/>
                <w:szCs w:val="28"/>
              </w:rPr>
              <w:t>u</w:t>
            </w:r>
            <w:r w:rsidRPr="006518BC">
              <w:rPr>
                <w:sz w:val="28"/>
                <w:szCs w:val="28"/>
              </w:rPr>
              <w:t>s nekustamajā īpašumā Rīgā, Merķeļa ielā 4 nevarēja veikt, jo 20 gadu garumā ties</w:t>
            </w:r>
            <w:r>
              <w:rPr>
                <w:sz w:val="28"/>
                <w:szCs w:val="28"/>
              </w:rPr>
              <w:t xml:space="preserve">vedības </w:t>
            </w:r>
            <w:r w:rsidR="00DA7D07">
              <w:rPr>
                <w:sz w:val="28"/>
                <w:szCs w:val="28"/>
              </w:rPr>
              <w:t>ietvaros</w:t>
            </w:r>
            <w:r w:rsidRPr="006518BC">
              <w:rPr>
                <w:sz w:val="28"/>
                <w:szCs w:val="28"/>
              </w:rPr>
              <w:t xml:space="preserve"> tika risināts jautājums par ēkas un ar to saistītās zemes īpašumtiesībām.</w:t>
            </w:r>
            <w:r>
              <w:rPr>
                <w:sz w:val="28"/>
                <w:szCs w:val="28"/>
              </w:rPr>
              <w:t xml:space="preserve"> </w:t>
            </w:r>
            <w:r w:rsidRPr="00B00CEB">
              <w:rPr>
                <w:sz w:val="28"/>
                <w:szCs w:val="28"/>
              </w:rPr>
              <w:t xml:space="preserve">Saskaņā ar Augstākās tiesas Civillietu tiesu departamenta 2015.gada 30.jūnija rīcības sēdes lēmumu stājās spēkā Augstākās tiesas Civillietu tiesu palātas 2013.gada </w:t>
            </w:r>
            <w:r w:rsidRPr="00B00CEB">
              <w:rPr>
                <w:sz w:val="28"/>
                <w:szCs w:val="28"/>
              </w:rPr>
              <w:lastRenderedPageBreak/>
              <w:t>11.novembra spriedums</w:t>
            </w:r>
            <w:r w:rsidR="000A3C62">
              <w:rPr>
                <w:sz w:val="28"/>
                <w:szCs w:val="28"/>
              </w:rPr>
              <w:t xml:space="preserve"> </w:t>
            </w:r>
            <w:r w:rsidR="000A3C62" w:rsidRPr="000A3C62">
              <w:rPr>
                <w:sz w:val="28"/>
                <w:szCs w:val="28"/>
              </w:rPr>
              <w:t>civillietā Nr.C04267505</w:t>
            </w:r>
            <w:r w:rsidRPr="00B00CEB">
              <w:rPr>
                <w:sz w:val="28"/>
                <w:szCs w:val="28"/>
              </w:rPr>
              <w:t xml:space="preserve">, ar kuru </w:t>
            </w:r>
            <w:r w:rsidR="000A3C62">
              <w:rPr>
                <w:sz w:val="28"/>
                <w:szCs w:val="28"/>
              </w:rPr>
              <w:t>valstij Kultūras ministrijas personā</w:t>
            </w:r>
            <w:r w:rsidRPr="00B00CEB">
              <w:rPr>
                <w:sz w:val="28"/>
                <w:szCs w:val="28"/>
              </w:rPr>
              <w:t xml:space="preserve"> atzītas īpašuma tiesības uz zemi zem Rīgas cirka ēkas. </w:t>
            </w:r>
            <w:r w:rsidR="000A3C62" w:rsidRPr="000A3C62">
              <w:rPr>
                <w:sz w:val="28"/>
                <w:szCs w:val="28"/>
              </w:rPr>
              <w:t>Ņemot vērā minēto, zeme zem Rīgas cirka ēkas ar kadastra apzīmējumu Nr.0100 005 0014 reģistrēta zemesgrāmatā uz valsts vārda Kultūras ministrijas personā</w:t>
            </w:r>
            <w:r w:rsidR="000A3C62">
              <w:rPr>
                <w:sz w:val="28"/>
                <w:szCs w:val="28"/>
              </w:rPr>
              <w:t>.</w:t>
            </w:r>
            <w:r w:rsidR="000A3C62" w:rsidRPr="000A3C62">
              <w:rPr>
                <w:sz w:val="28"/>
                <w:szCs w:val="28"/>
              </w:rPr>
              <w:t xml:space="preserve"> </w:t>
            </w:r>
            <w:r w:rsidR="00DA7D07">
              <w:rPr>
                <w:sz w:val="28"/>
                <w:szCs w:val="28"/>
              </w:rPr>
              <w:t xml:space="preserve">Savukārt </w:t>
            </w:r>
            <w:r w:rsidR="000A3C62">
              <w:rPr>
                <w:sz w:val="28"/>
                <w:szCs w:val="28"/>
              </w:rPr>
              <w:t xml:space="preserve">saskaņā </w:t>
            </w:r>
            <w:r w:rsidR="00DA7D07">
              <w:rPr>
                <w:sz w:val="28"/>
                <w:szCs w:val="28"/>
              </w:rPr>
              <w:t>ar Rīgas a</w:t>
            </w:r>
            <w:r w:rsidRPr="00B00CEB">
              <w:rPr>
                <w:sz w:val="28"/>
                <w:szCs w:val="28"/>
              </w:rPr>
              <w:t>pgabaltiesas 2015.gada  24.novembra spriedumu</w:t>
            </w:r>
            <w:r w:rsidR="000A3C62">
              <w:rPr>
                <w:sz w:val="28"/>
                <w:szCs w:val="28"/>
              </w:rPr>
              <w:t xml:space="preserve"> </w:t>
            </w:r>
            <w:r w:rsidR="000A3C62" w:rsidRPr="000A3C62">
              <w:rPr>
                <w:sz w:val="28"/>
                <w:szCs w:val="28"/>
              </w:rPr>
              <w:t xml:space="preserve">civillietā Nr.C00309028 </w:t>
            </w:r>
            <w:r w:rsidR="000A3C62">
              <w:rPr>
                <w:sz w:val="28"/>
                <w:szCs w:val="28"/>
              </w:rPr>
              <w:t xml:space="preserve">valstij </w:t>
            </w:r>
            <w:r w:rsidRPr="00B00CEB">
              <w:rPr>
                <w:sz w:val="28"/>
                <w:szCs w:val="28"/>
              </w:rPr>
              <w:t>Kultūras ministrija</w:t>
            </w:r>
            <w:r w:rsidR="000A3C62">
              <w:rPr>
                <w:sz w:val="28"/>
                <w:szCs w:val="28"/>
              </w:rPr>
              <w:t>s personā</w:t>
            </w:r>
            <w:r w:rsidRPr="00B00CEB">
              <w:rPr>
                <w:sz w:val="28"/>
                <w:szCs w:val="28"/>
              </w:rPr>
              <w:t xml:space="preserve"> atzītas īpašuma tiesības uz Rīgas cirka ēku </w:t>
            </w:r>
            <w:r w:rsidR="000A3C62">
              <w:rPr>
                <w:sz w:val="28"/>
                <w:szCs w:val="28"/>
              </w:rPr>
              <w:t xml:space="preserve">Rīgā, </w:t>
            </w:r>
            <w:r w:rsidRPr="00B00CEB">
              <w:rPr>
                <w:sz w:val="28"/>
                <w:szCs w:val="28"/>
              </w:rPr>
              <w:t>Merķeļa ielā</w:t>
            </w:r>
            <w:r>
              <w:rPr>
                <w:sz w:val="28"/>
                <w:szCs w:val="28"/>
              </w:rPr>
              <w:t xml:space="preserve"> </w:t>
            </w:r>
            <w:r w:rsidR="00DA7D07">
              <w:rPr>
                <w:sz w:val="28"/>
                <w:szCs w:val="28"/>
              </w:rPr>
              <w:t>4, kas</w:t>
            </w:r>
            <w:r w:rsidRPr="00B00CEB">
              <w:rPr>
                <w:sz w:val="28"/>
                <w:szCs w:val="28"/>
              </w:rPr>
              <w:t xml:space="preserve"> atrodas </w:t>
            </w:r>
            <w:r>
              <w:rPr>
                <w:sz w:val="28"/>
                <w:szCs w:val="28"/>
              </w:rPr>
              <w:t xml:space="preserve">uz </w:t>
            </w:r>
            <w:r w:rsidRPr="00B00CEB">
              <w:rPr>
                <w:sz w:val="28"/>
                <w:szCs w:val="28"/>
              </w:rPr>
              <w:t>zemes gabala ar kadastra apzīmējumu Nr.01000050014.</w:t>
            </w:r>
            <w:r w:rsidR="00CD0F4D" w:rsidRPr="000A3C62">
              <w:rPr>
                <w:sz w:val="28"/>
                <w:szCs w:val="28"/>
              </w:rPr>
              <w:t xml:space="preserve"> Ņemot vērā minēto, </w:t>
            </w:r>
            <w:r w:rsidR="00CD0F4D">
              <w:rPr>
                <w:sz w:val="28"/>
                <w:szCs w:val="28"/>
              </w:rPr>
              <w:t xml:space="preserve">ēka Rīgā, </w:t>
            </w:r>
            <w:r w:rsidR="00CD0F4D" w:rsidRPr="00B00CEB">
              <w:rPr>
                <w:sz w:val="28"/>
                <w:szCs w:val="28"/>
              </w:rPr>
              <w:t>Merķeļa ielā</w:t>
            </w:r>
            <w:r w:rsidR="00CD0F4D">
              <w:rPr>
                <w:sz w:val="28"/>
                <w:szCs w:val="28"/>
              </w:rPr>
              <w:t xml:space="preserve"> 4 </w:t>
            </w:r>
            <w:r w:rsidR="00CD0F4D" w:rsidRPr="000A3C62">
              <w:rPr>
                <w:sz w:val="28"/>
                <w:szCs w:val="28"/>
              </w:rPr>
              <w:t>reģistrēta zemesgrāmatā uz valsts vārda Kultūras ministrijas personā</w:t>
            </w:r>
            <w:r w:rsidR="00CD0F4D">
              <w:rPr>
                <w:sz w:val="28"/>
                <w:szCs w:val="28"/>
              </w:rPr>
              <w:t>.</w:t>
            </w:r>
          </w:p>
          <w:p w:rsidR="00DA7D07" w:rsidRDefault="00DA7D07" w:rsidP="00DA7D07">
            <w:pPr>
              <w:pStyle w:val="naisf"/>
              <w:spacing w:before="0" w:after="0"/>
              <w:ind w:right="34" w:firstLine="0"/>
              <w:rPr>
                <w:sz w:val="28"/>
                <w:szCs w:val="28"/>
              </w:rPr>
            </w:pPr>
          </w:p>
          <w:p w:rsidR="00C777C2" w:rsidRPr="00CD0F4D" w:rsidRDefault="009123B2" w:rsidP="00DA7D07">
            <w:pPr>
              <w:pStyle w:val="naisf"/>
              <w:spacing w:before="0" w:after="0"/>
              <w:ind w:right="34" w:firstLine="0"/>
              <w:rPr>
                <w:rFonts w:eastAsia="Arial Unicode MS"/>
                <w:sz w:val="28"/>
                <w:szCs w:val="28"/>
              </w:rPr>
            </w:pPr>
            <w:r w:rsidRPr="00B00CEB">
              <w:rPr>
                <w:sz w:val="28"/>
                <w:szCs w:val="28"/>
              </w:rPr>
              <w:t xml:space="preserve">Kultūras ministrija </w:t>
            </w:r>
            <w:r w:rsidR="00CD0F4D">
              <w:rPr>
                <w:sz w:val="28"/>
                <w:szCs w:val="28"/>
              </w:rPr>
              <w:t xml:space="preserve">līdz šim </w:t>
            </w:r>
            <w:r w:rsidRPr="00B00CEB">
              <w:rPr>
                <w:sz w:val="28"/>
                <w:szCs w:val="28"/>
              </w:rPr>
              <w:t xml:space="preserve">ir segusi neatliekamos izdevumus, lai nodrošinātu cirka mākslas pieejamību Sabiedrības </w:t>
            </w:r>
            <w:r w:rsidR="00CD0F4D">
              <w:rPr>
                <w:sz w:val="28"/>
                <w:szCs w:val="28"/>
              </w:rPr>
              <w:t>lietošanā</w:t>
            </w:r>
            <w:r w:rsidRPr="00B00CEB">
              <w:rPr>
                <w:sz w:val="28"/>
                <w:szCs w:val="28"/>
              </w:rPr>
              <w:t xml:space="preserve"> esošajā ēkā: 2014.gadā papildus </w:t>
            </w:r>
            <w:r w:rsidRPr="000B5B13">
              <w:rPr>
                <w:sz w:val="28"/>
                <w:szCs w:val="28"/>
              </w:rPr>
              <w:t>pamatdotācijai (</w:t>
            </w:r>
            <w:r w:rsidRPr="000B5B13">
              <w:rPr>
                <w:rFonts w:eastAsia="Arial Unicode MS"/>
                <w:sz w:val="28"/>
                <w:szCs w:val="28"/>
              </w:rPr>
              <w:t xml:space="preserve">148 740 </w:t>
            </w:r>
            <w:r w:rsidRPr="000B5B13">
              <w:rPr>
                <w:rFonts w:eastAsia="Arial Unicode MS"/>
                <w:i/>
                <w:sz w:val="28"/>
                <w:szCs w:val="28"/>
              </w:rPr>
              <w:t>euro</w:t>
            </w:r>
            <w:r w:rsidR="00CD0F4D">
              <w:rPr>
                <w:rFonts w:eastAsia="Arial Unicode MS"/>
                <w:sz w:val="28"/>
                <w:szCs w:val="28"/>
              </w:rPr>
              <w:t>) ir piešķirts finansējums 80 </w:t>
            </w:r>
            <w:r w:rsidRPr="000B5B13">
              <w:rPr>
                <w:rFonts w:eastAsia="Arial Unicode MS"/>
                <w:sz w:val="28"/>
                <w:szCs w:val="28"/>
              </w:rPr>
              <w:t xml:space="preserve">542 </w:t>
            </w:r>
            <w:proofErr w:type="spellStart"/>
            <w:r w:rsidRPr="000B5B13">
              <w:rPr>
                <w:rFonts w:eastAsia="Arial Unicode MS"/>
                <w:i/>
                <w:sz w:val="28"/>
                <w:szCs w:val="28"/>
              </w:rPr>
              <w:t>euro</w:t>
            </w:r>
            <w:proofErr w:type="spellEnd"/>
            <w:r w:rsidR="001B29D5">
              <w:rPr>
                <w:rFonts w:eastAsia="Arial Unicode MS"/>
                <w:sz w:val="28"/>
                <w:szCs w:val="28"/>
              </w:rPr>
              <w:t xml:space="preserve"> </w:t>
            </w:r>
            <w:r w:rsidR="00CD0F4D">
              <w:rPr>
                <w:rFonts w:eastAsia="Arial Unicode MS"/>
                <w:sz w:val="28"/>
                <w:szCs w:val="28"/>
              </w:rPr>
              <w:t xml:space="preserve">apmērā </w:t>
            </w:r>
            <w:r w:rsidRPr="000B5B13">
              <w:rPr>
                <w:rFonts w:eastAsia="Arial Unicode MS"/>
                <w:sz w:val="28"/>
                <w:szCs w:val="28"/>
              </w:rPr>
              <w:t xml:space="preserve">neatliekamiem remontdarbiem, t.sk. 27 120 </w:t>
            </w:r>
            <w:r w:rsidRPr="000B5B13">
              <w:rPr>
                <w:rFonts w:eastAsia="Arial Unicode MS"/>
                <w:i/>
                <w:sz w:val="28"/>
                <w:szCs w:val="28"/>
              </w:rPr>
              <w:t>euro</w:t>
            </w:r>
            <w:r w:rsidRPr="000B5B13">
              <w:rPr>
                <w:rFonts w:eastAsia="Arial Unicode MS"/>
                <w:sz w:val="28"/>
                <w:szCs w:val="28"/>
              </w:rPr>
              <w:t xml:space="preserve"> kanalizācijas sistēmas rekonstrukcijai, 35</w:t>
            </w:r>
            <w:r w:rsidR="00CD0F4D">
              <w:rPr>
                <w:rFonts w:eastAsia="Arial Unicode MS"/>
                <w:sz w:val="28"/>
                <w:szCs w:val="28"/>
              </w:rPr>
              <w:t> </w:t>
            </w:r>
            <w:r w:rsidRPr="000B5B13">
              <w:rPr>
                <w:rFonts w:eastAsia="Arial Unicode MS"/>
                <w:sz w:val="28"/>
                <w:szCs w:val="28"/>
              </w:rPr>
              <w:t>635</w:t>
            </w:r>
            <w:r w:rsidR="00CD0F4D">
              <w:rPr>
                <w:rFonts w:eastAsia="Arial Unicode MS"/>
                <w:sz w:val="28"/>
                <w:szCs w:val="28"/>
              </w:rPr>
              <w:t> </w:t>
            </w:r>
            <w:proofErr w:type="spellStart"/>
            <w:r w:rsidRPr="000B5B13">
              <w:rPr>
                <w:rFonts w:eastAsia="Arial Unicode MS"/>
                <w:i/>
                <w:sz w:val="28"/>
                <w:szCs w:val="28"/>
              </w:rPr>
              <w:t>euro</w:t>
            </w:r>
            <w:proofErr w:type="spellEnd"/>
            <w:r>
              <w:rPr>
                <w:rFonts w:eastAsia="Arial Unicode MS"/>
                <w:sz w:val="28"/>
                <w:szCs w:val="28"/>
              </w:rPr>
              <w:t xml:space="preserve"> galveno ieejas kāpņu remontam, </w:t>
            </w:r>
            <w:r w:rsidRPr="000B5B13">
              <w:rPr>
                <w:rFonts w:eastAsia="Arial Unicode MS"/>
                <w:sz w:val="28"/>
                <w:szCs w:val="28"/>
              </w:rPr>
              <w:t xml:space="preserve">10 164 </w:t>
            </w:r>
            <w:r w:rsidRPr="000B5B13">
              <w:rPr>
                <w:rFonts w:eastAsia="Arial Unicode MS"/>
                <w:i/>
                <w:sz w:val="28"/>
                <w:szCs w:val="28"/>
              </w:rPr>
              <w:t>euro</w:t>
            </w:r>
            <w:r w:rsidRPr="000B5B13">
              <w:rPr>
                <w:rFonts w:eastAsia="Arial Unicode MS"/>
                <w:sz w:val="28"/>
                <w:szCs w:val="28"/>
              </w:rPr>
              <w:t xml:space="preserve"> nožogoj</w:t>
            </w:r>
            <w:r>
              <w:rPr>
                <w:rFonts w:eastAsia="Arial Unicode MS"/>
                <w:sz w:val="28"/>
                <w:szCs w:val="28"/>
              </w:rPr>
              <w:t xml:space="preserve">uma gar A.Kalniņa ielu remontam, </w:t>
            </w:r>
            <w:r w:rsidRPr="000B5B13">
              <w:rPr>
                <w:rFonts w:eastAsia="Arial Unicode MS"/>
                <w:sz w:val="28"/>
                <w:szCs w:val="28"/>
              </w:rPr>
              <w:t xml:space="preserve">7 623 </w:t>
            </w:r>
            <w:r w:rsidRPr="000B5B13">
              <w:rPr>
                <w:rFonts w:eastAsia="Arial Unicode MS"/>
                <w:i/>
                <w:sz w:val="28"/>
                <w:szCs w:val="28"/>
              </w:rPr>
              <w:t>euro</w:t>
            </w:r>
            <w:r w:rsidRPr="000B5B13">
              <w:rPr>
                <w:rFonts w:eastAsia="Arial Unicode MS"/>
                <w:sz w:val="28"/>
                <w:szCs w:val="28"/>
              </w:rPr>
              <w:t xml:space="preserve"> nožogojuma starp cirka ēkas pagalmu un A.Kalniņa ielas 3 nama pagalmu remontam</w:t>
            </w:r>
            <w:r w:rsidR="00CD0F4D">
              <w:rPr>
                <w:rFonts w:eastAsia="Arial Unicode MS"/>
                <w:sz w:val="28"/>
                <w:szCs w:val="28"/>
              </w:rPr>
              <w:t xml:space="preserve">; </w:t>
            </w:r>
            <w:r>
              <w:rPr>
                <w:rFonts w:eastAsia="Arial Unicode MS"/>
                <w:sz w:val="28"/>
                <w:szCs w:val="28"/>
              </w:rPr>
              <w:t xml:space="preserve">2015.gadā </w:t>
            </w:r>
            <w:r w:rsidRPr="00B00CEB">
              <w:rPr>
                <w:sz w:val="28"/>
                <w:szCs w:val="28"/>
              </w:rPr>
              <w:t xml:space="preserve">papildus </w:t>
            </w:r>
            <w:proofErr w:type="spellStart"/>
            <w:r w:rsidRPr="000B5B13">
              <w:rPr>
                <w:sz w:val="28"/>
                <w:szCs w:val="28"/>
              </w:rPr>
              <w:t>pamatdotācijai</w:t>
            </w:r>
            <w:proofErr w:type="spellEnd"/>
            <w:r w:rsidRPr="000B5B13">
              <w:rPr>
                <w:sz w:val="28"/>
                <w:szCs w:val="28"/>
              </w:rPr>
              <w:t xml:space="preserve"> (156 </w:t>
            </w:r>
            <w:r w:rsidR="00884641">
              <w:rPr>
                <w:sz w:val="28"/>
                <w:szCs w:val="28"/>
              </w:rPr>
              <w:t>44</w:t>
            </w:r>
            <w:r w:rsidR="00884641" w:rsidRPr="000B5B13">
              <w:rPr>
                <w:sz w:val="28"/>
                <w:szCs w:val="28"/>
              </w:rPr>
              <w:t xml:space="preserve">0 </w:t>
            </w:r>
            <w:proofErr w:type="spellStart"/>
            <w:r w:rsidR="002A2E2D" w:rsidRPr="002A2E2D">
              <w:rPr>
                <w:i/>
                <w:sz w:val="28"/>
                <w:szCs w:val="28"/>
              </w:rPr>
              <w:t>euro</w:t>
            </w:r>
            <w:proofErr w:type="spellEnd"/>
            <w:r w:rsidRPr="000B5B13">
              <w:rPr>
                <w:sz w:val="28"/>
                <w:szCs w:val="28"/>
              </w:rPr>
              <w:t xml:space="preserve">) ir piešķirts finansējums </w:t>
            </w:r>
            <w:r w:rsidRPr="000B5B13">
              <w:rPr>
                <w:rFonts w:eastAsia="Arial Unicode MS"/>
                <w:sz w:val="28"/>
                <w:szCs w:val="28"/>
              </w:rPr>
              <w:t xml:space="preserve">30 760 </w:t>
            </w:r>
            <w:proofErr w:type="spellStart"/>
            <w:r w:rsidRPr="000B5B13">
              <w:rPr>
                <w:rFonts w:eastAsia="Arial Unicode MS"/>
                <w:i/>
                <w:sz w:val="28"/>
                <w:szCs w:val="28"/>
              </w:rPr>
              <w:t>euro</w:t>
            </w:r>
            <w:proofErr w:type="spellEnd"/>
            <w:r w:rsidRPr="000B5B13">
              <w:rPr>
                <w:rFonts w:eastAsia="Arial Unicode MS"/>
                <w:sz w:val="28"/>
                <w:szCs w:val="28"/>
              </w:rPr>
              <w:t xml:space="preserve"> </w:t>
            </w:r>
            <w:r w:rsidR="00CD0F4D">
              <w:rPr>
                <w:rFonts w:eastAsia="Arial Unicode MS"/>
                <w:sz w:val="28"/>
                <w:szCs w:val="28"/>
              </w:rPr>
              <w:t xml:space="preserve">apmērā </w:t>
            </w:r>
            <w:r w:rsidRPr="000B5B13">
              <w:rPr>
                <w:rStyle w:val="BodytextItalic"/>
                <w:rFonts w:eastAsiaTheme="minorHAnsi"/>
                <w:i w:val="0"/>
                <w:sz w:val="28"/>
                <w:szCs w:val="28"/>
              </w:rPr>
              <w:t>ugunsgrēka seku likvidēšanai</w:t>
            </w:r>
            <w:r w:rsidRPr="000B5B13">
              <w:rPr>
                <w:rFonts w:eastAsia="Arial Unicode MS"/>
                <w:sz w:val="28"/>
                <w:szCs w:val="28"/>
              </w:rPr>
              <w:t>,</w:t>
            </w:r>
            <w:r w:rsidRPr="000B5B13">
              <w:rPr>
                <w:rFonts w:eastAsia="Arial Unicode MS"/>
                <w:i/>
                <w:sz w:val="28"/>
                <w:szCs w:val="28"/>
              </w:rPr>
              <w:t xml:space="preserve"> </w:t>
            </w:r>
            <w:r w:rsidRPr="000B5B13">
              <w:rPr>
                <w:rFonts w:eastAsia="Arial Unicode MS"/>
                <w:sz w:val="28"/>
                <w:szCs w:val="28"/>
              </w:rPr>
              <w:t>4</w:t>
            </w:r>
            <w:r w:rsidR="00CD0F4D">
              <w:rPr>
                <w:rFonts w:eastAsia="Arial Unicode MS"/>
                <w:sz w:val="28"/>
                <w:szCs w:val="28"/>
              </w:rPr>
              <w:t> </w:t>
            </w:r>
            <w:r w:rsidRPr="000B5B13">
              <w:rPr>
                <w:rFonts w:eastAsia="Arial Unicode MS"/>
                <w:sz w:val="28"/>
                <w:szCs w:val="28"/>
              </w:rPr>
              <w:t>500</w:t>
            </w:r>
            <w:r w:rsidR="00CD0F4D">
              <w:rPr>
                <w:rFonts w:eastAsia="Arial Unicode MS"/>
                <w:sz w:val="28"/>
                <w:szCs w:val="28"/>
              </w:rPr>
              <w:t> </w:t>
            </w:r>
            <w:proofErr w:type="spellStart"/>
            <w:r w:rsidRPr="000B5B13">
              <w:rPr>
                <w:rFonts w:eastAsia="Arial Unicode MS"/>
                <w:i/>
                <w:sz w:val="28"/>
                <w:szCs w:val="28"/>
              </w:rPr>
              <w:t>euro</w:t>
            </w:r>
            <w:proofErr w:type="spellEnd"/>
            <w:r w:rsidRPr="000B5B13">
              <w:rPr>
                <w:rFonts w:eastAsia="Arial Unicode MS"/>
                <w:sz w:val="28"/>
                <w:szCs w:val="28"/>
              </w:rPr>
              <w:t xml:space="preserve"> </w:t>
            </w:r>
            <w:r w:rsidRPr="000B5B13">
              <w:rPr>
                <w:rStyle w:val="BodytextItalic"/>
                <w:rFonts w:eastAsiaTheme="minorHAnsi"/>
                <w:i w:val="0"/>
                <w:sz w:val="28"/>
                <w:szCs w:val="28"/>
              </w:rPr>
              <w:t>kupola izturības testēšanai</w:t>
            </w:r>
            <w:r w:rsidRPr="00CD0F4D">
              <w:rPr>
                <w:rStyle w:val="BodytextItalic"/>
                <w:rFonts w:eastAsiaTheme="minorHAnsi"/>
                <w:i w:val="0"/>
                <w:sz w:val="28"/>
                <w:szCs w:val="28"/>
              </w:rPr>
              <w:t>,</w:t>
            </w:r>
            <w:r w:rsidRPr="000B5B13">
              <w:rPr>
                <w:rStyle w:val="BodytextItalic"/>
                <w:rFonts w:eastAsiaTheme="minorHAnsi"/>
                <w:sz w:val="28"/>
                <w:szCs w:val="28"/>
              </w:rPr>
              <w:t xml:space="preserve"> </w:t>
            </w:r>
            <w:r w:rsidRPr="000B5B13">
              <w:rPr>
                <w:rFonts w:eastAsia="Arial Unicode MS"/>
                <w:sz w:val="28"/>
                <w:szCs w:val="28"/>
              </w:rPr>
              <w:t xml:space="preserve">4 834 </w:t>
            </w:r>
            <w:r w:rsidRPr="000B5B13">
              <w:rPr>
                <w:rFonts w:eastAsia="Arial Unicode MS"/>
                <w:i/>
                <w:sz w:val="28"/>
                <w:szCs w:val="28"/>
              </w:rPr>
              <w:t>euro</w:t>
            </w:r>
            <w:r w:rsidRPr="000B5B13">
              <w:rPr>
                <w:rFonts w:eastAsia="Arial Unicode MS"/>
                <w:sz w:val="28"/>
                <w:szCs w:val="28"/>
              </w:rPr>
              <w:t xml:space="preserve"> </w:t>
            </w:r>
            <w:r w:rsidRPr="000B5B13">
              <w:rPr>
                <w:rFonts w:eastAsia="Arial Unicode MS"/>
                <w:iCs/>
                <w:sz w:val="28"/>
                <w:szCs w:val="28"/>
              </w:rPr>
              <w:t>ēkas un tās konstrukciju tehniskajai izpētei un ēkas konstrukcijas ugunsdrošajai apstrādei</w:t>
            </w:r>
            <w:r w:rsidRPr="000B5B13">
              <w:rPr>
                <w:rFonts w:eastAsia="Arial Unicode MS"/>
                <w:sz w:val="28"/>
                <w:szCs w:val="28"/>
              </w:rPr>
              <w:t>,</w:t>
            </w:r>
            <w:r w:rsidRPr="000B5B13">
              <w:rPr>
                <w:rFonts w:eastAsia="Arial Unicode MS"/>
                <w:iCs/>
                <w:sz w:val="28"/>
                <w:szCs w:val="28"/>
              </w:rPr>
              <w:t xml:space="preserve"> </w:t>
            </w:r>
            <w:r w:rsidR="00884641">
              <w:rPr>
                <w:rFonts w:eastAsia="Arial Unicode MS"/>
                <w:iCs/>
                <w:sz w:val="28"/>
                <w:szCs w:val="28"/>
              </w:rPr>
              <w:t xml:space="preserve">40 000 </w:t>
            </w:r>
            <w:r w:rsidR="002A2E2D" w:rsidRPr="002A2E2D">
              <w:rPr>
                <w:rFonts w:eastAsia="Arial Unicode MS"/>
                <w:i/>
                <w:iCs/>
                <w:sz w:val="28"/>
                <w:szCs w:val="28"/>
              </w:rPr>
              <w:t>euro</w:t>
            </w:r>
            <w:r w:rsidR="00884641">
              <w:rPr>
                <w:rFonts w:eastAsia="Arial Unicode MS"/>
                <w:iCs/>
                <w:sz w:val="28"/>
                <w:szCs w:val="28"/>
              </w:rPr>
              <w:t xml:space="preserve"> telpu remonta nodrošināšanai pēc ugunsgrēka, </w:t>
            </w:r>
            <w:r w:rsidRPr="000B5B13">
              <w:rPr>
                <w:rFonts w:eastAsia="Arial Unicode MS"/>
                <w:iCs/>
                <w:sz w:val="28"/>
                <w:szCs w:val="28"/>
              </w:rPr>
              <w:t xml:space="preserve">71 000 </w:t>
            </w:r>
            <w:proofErr w:type="spellStart"/>
            <w:r w:rsidRPr="000B5B13">
              <w:rPr>
                <w:rFonts w:eastAsia="Arial Unicode MS"/>
                <w:i/>
                <w:iCs/>
                <w:sz w:val="28"/>
                <w:szCs w:val="28"/>
              </w:rPr>
              <w:t>euro</w:t>
            </w:r>
            <w:proofErr w:type="spellEnd"/>
            <w:r w:rsidRPr="000B5B13">
              <w:rPr>
                <w:rFonts w:eastAsia="Arial Unicode MS"/>
                <w:iCs/>
                <w:sz w:val="28"/>
                <w:szCs w:val="28"/>
              </w:rPr>
              <w:t xml:space="preserve"> </w:t>
            </w:r>
            <w:r w:rsidR="00CD0F4D">
              <w:rPr>
                <w:rFonts w:eastAsia="Arial Unicode MS"/>
                <w:iCs/>
                <w:sz w:val="28"/>
                <w:szCs w:val="28"/>
              </w:rPr>
              <w:t>SIA „Rīgas satiksme</w:t>
            </w:r>
            <w:r>
              <w:rPr>
                <w:rFonts w:eastAsia="Arial Unicode MS"/>
                <w:iCs/>
                <w:sz w:val="28"/>
                <w:szCs w:val="28"/>
              </w:rPr>
              <w:t>”</w:t>
            </w:r>
            <w:r w:rsidRPr="000B5B13">
              <w:rPr>
                <w:rFonts w:eastAsia="Arial Unicode MS"/>
                <w:iCs/>
                <w:sz w:val="28"/>
                <w:szCs w:val="28"/>
              </w:rPr>
              <w:t xml:space="preserve"> atsaišu noņemšanai.</w:t>
            </w:r>
          </w:p>
          <w:p w:rsidR="00DA7D07" w:rsidRDefault="00DA7D07" w:rsidP="00DA7D07">
            <w:pPr>
              <w:pStyle w:val="naisf"/>
              <w:spacing w:before="0" w:after="0"/>
              <w:ind w:right="34" w:firstLine="0"/>
              <w:rPr>
                <w:sz w:val="28"/>
                <w:szCs w:val="28"/>
              </w:rPr>
            </w:pPr>
          </w:p>
          <w:p w:rsidR="00CD0F4D" w:rsidRDefault="00A65DB9" w:rsidP="00DA7D07">
            <w:pPr>
              <w:pStyle w:val="naisf"/>
              <w:spacing w:before="0" w:after="0"/>
              <w:ind w:right="34" w:firstLine="0"/>
              <w:rPr>
                <w:noProof/>
                <w:sz w:val="28"/>
                <w:szCs w:val="28"/>
              </w:rPr>
            </w:pPr>
            <w:r>
              <w:rPr>
                <w:sz w:val="28"/>
                <w:szCs w:val="28"/>
              </w:rPr>
              <w:t>Ēkas konstrukcijām ir veiktas vairākas pārbaudes, kuru rezultātā</w:t>
            </w:r>
            <w:r w:rsidR="006C3764" w:rsidRPr="00DE2D0D">
              <w:rPr>
                <w:sz w:val="28"/>
                <w:szCs w:val="28"/>
              </w:rPr>
              <w:t xml:space="preserve"> ir konstatētas nopietnas inženiertehniskas problēmas attiecībā uz būvkonstrukciju stiprību, stabilitāti un citām būtiskām prasībām ēkas drošai izmantošanai.</w:t>
            </w:r>
            <w:r w:rsidR="00DE2D0D" w:rsidRPr="00DE2D0D">
              <w:rPr>
                <w:sz w:val="28"/>
                <w:szCs w:val="28"/>
              </w:rPr>
              <w:t xml:space="preserve"> No 2015.gada 26.marta līdz 2015.gada 2.aprīlim Rīgas Tehniskās universitātes Būvniecības inženierzinātņu fakultātes Ēku un inženiertehnisko būvju zinā</w:t>
            </w:r>
            <w:r w:rsidR="00DE2D0D">
              <w:rPr>
                <w:sz w:val="28"/>
                <w:szCs w:val="28"/>
              </w:rPr>
              <w:t>tniski pētnieciskā laboratorija</w:t>
            </w:r>
            <w:r w:rsidR="00DE2D0D" w:rsidRPr="00DE2D0D">
              <w:rPr>
                <w:sz w:val="28"/>
                <w:szCs w:val="28"/>
              </w:rPr>
              <w:t xml:space="preserve"> </w:t>
            </w:r>
            <w:r>
              <w:rPr>
                <w:sz w:val="28"/>
                <w:szCs w:val="28"/>
              </w:rPr>
              <w:t xml:space="preserve">veica </w:t>
            </w:r>
            <w:r w:rsidR="00DE2D0D" w:rsidRPr="00DE2D0D">
              <w:rPr>
                <w:sz w:val="28"/>
                <w:szCs w:val="28"/>
              </w:rPr>
              <w:t xml:space="preserve">ēkas kupola nesošo konstrukciju slodzēšanu (deformācijas pārbaudi). </w:t>
            </w:r>
            <w:r w:rsidR="00DE2D0D">
              <w:rPr>
                <w:sz w:val="28"/>
                <w:szCs w:val="28"/>
              </w:rPr>
              <w:t xml:space="preserve">Savukārt </w:t>
            </w:r>
            <w:r w:rsidR="00DE2D0D" w:rsidRPr="00DE2D0D">
              <w:rPr>
                <w:sz w:val="28"/>
                <w:szCs w:val="28"/>
              </w:rPr>
              <w:t xml:space="preserve">2015.gada 28.maijā </w:t>
            </w:r>
            <w:r w:rsidR="00DE2D0D">
              <w:rPr>
                <w:sz w:val="28"/>
                <w:szCs w:val="28"/>
              </w:rPr>
              <w:t xml:space="preserve">Būvniecības valsts kontroles birojs (turpmāk – </w:t>
            </w:r>
            <w:r w:rsidR="00DE2D0D" w:rsidRPr="00DE2D0D">
              <w:rPr>
                <w:sz w:val="28"/>
                <w:szCs w:val="28"/>
              </w:rPr>
              <w:t>BVKB</w:t>
            </w:r>
            <w:r w:rsidR="00DE2D0D">
              <w:rPr>
                <w:sz w:val="28"/>
                <w:szCs w:val="28"/>
              </w:rPr>
              <w:t>)</w:t>
            </w:r>
            <w:r w:rsidR="00DE2D0D" w:rsidRPr="00DE2D0D">
              <w:rPr>
                <w:sz w:val="28"/>
                <w:szCs w:val="28"/>
              </w:rPr>
              <w:t xml:space="preserve"> veica ēkas apsekošanu</w:t>
            </w:r>
            <w:r w:rsidR="00DE2D0D">
              <w:rPr>
                <w:sz w:val="28"/>
                <w:szCs w:val="28"/>
              </w:rPr>
              <w:t xml:space="preserve">, kā rezultātā </w:t>
            </w:r>
            <w:r w:rsidR="00DE2D0D" w:rsidRPr="00DE2D0D">
              <w:rPr>
                <w:noProof/>
                <w:sz w:val="28"/>
                <w:szCs w:val="28"/>
              </w:rPr>
              <w:lastRenderedPageBreak/>
              <w:t>2015.gada 29.jūnijā BVKB</w:t>
            </w:r>
            <w:r w:rsidR="00CD0F4D">
              <w:rPr>
                <w:noProof/>
                <w:sz w:val="28"/>
                <w:szCs w:val="28"/>
              </w:rPr>
              <w:t xml:space="preserve"> </w:t>
            </w:r>
            <w:r w:rsidR="00DE2D0D" w:rsidRPr="00DE2D0D">
              <w:rPr>
                <w:noProof/>
                <w:sz w:val="28"/>
                <w:szCs w:val="28"/>
              </w:rPr>
              <w:t xml:space="preserve">pieņēma lēmumu Nr.5-2/355, ar kuru uzlika ēkas valdītājam pienākumu divu mēnešu laikā no lēmuma spēkā stāšanās dienas veikt ēkas nesošo konstrukciju tehniskā stāvokļa izpēti, t.sk. pārbaudot BVKB konstatēto ēkas konstrukciju defektu ietekmi uz </w:t>
            </w:r>
            <w:r w:rsidR="00DE2D0D" w:rsidRPr="006518BC">
              <w:rPr>
                <w:noProof/>
                <w:sz w:val="28"/>
                <w:szCs w:val="28"/>
              </w:rPr>
              <w:t xml:space="preserve">ēkas drošumu, lai nodrošinātu ēkas turpmāko ekspluatāciju un novērstu ēkas un tās ekspluatācijas bīstamību. </w:t>
            </w:r>
          </w:p>
          <w:p w:rsidR="00CD0F4D" w:rsidRDefault="00CD0F4D" w:rsidP="00DA7D07">
            <w:pPr>
              <w:pStyle w:val="naisf"/>
              <w:spacing w:before="0" w:after="0"/>
              <w:ind w:right="34" w:firstLine="0"/>
              <w:rPr>
                <w:noProof/>
                <w:sz w:val="28"/>
                <w:szCs w:val="28"/>
              </w:rPr>
            </w:pPr>
          </w:p>
          <w:p w:rsidR="006518BC" w:rsidRPr="006518BC" w:rsidRDefault="00DE2D0D" w:rsidP="00DA7D07">
            <w:pPr>
              <w:pStyle w:val="naisf"/>
              <w:spacing w:before="0" w:after="0"/>
              <w:ind w:right="34" w:firstLine="0"/>
              <w:rPr>
                <w:noProof/>
                <w:sz w:val="28"/>
                <w:szCs w:val="28"/>
              </w:rPr>
            </w:pPr>
            <w:r w:rsidRPr="006518BC">
              <w:rPr>
                <w:noProof/>
                <w:sz w:val="28"/>
                <w:szCs w:val="28"/>
              </w:rPr>
              <w:t>2015.gada augustā</w:t>
            </w:r>
            <w:r w:rsidR="00DA7D07">
              <w:rPr>
                <w:noProof/>
                <w:sz w:val="28"/>
                <w:szCs w:val="28"/>
              </w:rPr>
              <w:t xml:space="preserve"> </w:t>
            </w:r>
            <w:r w:rsidR="00CD0F4D">
              <w:rPr>
                <w:noProof/>
                <w:sz w:val="28"/>
                <w:szCs w:val="28"/>
              </w:rPr>
              <w:t>un</w:t>
            </w:r>
            <w:r w:rsidR="00DA7D07">
              <w:rPr>
                <w:noProof/>
                <w:sz w:val="28"/>
                <w:szCs w:val="28"/>
              </w:rPr>
              <w:t xml:space="preserve"> </w:t>
            </w:r>
            <w:r w:rsidRPr="006518BC">
              <w:rPr>
                <w:noProof/>
                <w:sz w:val="28"/>
                <w:szCs w:val="28"/>
              </w:rPr>
              <w:t xml:space="preserve">septembrī tika veikta ēkas apsekošana, kurā konstatēts, ka ēkas konstrukciju nestspēja kopumā ir daļēji apmierinoša – nav pazīmju par konstrukciju pilnīgas vai daļējas sabrukšanas draudiem, bet neapmierinošs stāvoklis ir konstatēts ēkas Merķeļa ielas fasādes pusē. </w:t>
            </w:r>
            <w:r w:rsidRPr="006518BC">
              <w:rPr>
                <w:sz w:val="28"/>
                <w:szCs w:val="28"/>
              </w:rPr>
              <w:t>2015.gada 9.septembrī BVKB pieņēma lēmumu</w:t>
            </w:r>
            <w:r w:rsidR="006518BC" w:rsidRPr="006518BC">
              <w:rPr>
                <w:sz w:val="28"/>
                <w:szCs w:val="28"/>
              </w:rPr>
              <w:t xml:space="preserve"> Nr.50-2.3-15/9</w:t>
            </w:r>
            <w:r w:rsidRPr="006518BC">
              <w:rPr>
                <w:sz w:val="28"/>
                <w:szCs w:val="28"/>
              </w:rPr>
              <w:t>, ar kuru tika uzdots nekavējoties veikt darbības, lai novērstu bīstamību, kas saistīta ar ēkas Merķeļa ielas fasādes deformāciju (atslogot sienu no trolejbusa vadiem, risināt fasādes sienas pagaidu nostiprināšanu).</w:t>
            </w:r>
            <w:r w:rsidR="006518BC" w:rsidRPr="006518BC">
              <w:rPr>
                <w:sz w:val="28"/>
                <w:szCs w:val="28"/>
              </w:rPr>
              <w:t xml:space="preserve"> 2016.gada 18.janvārī Sab</w:t>
            </w:r>
            <w:r w:rsidR="00CD0F4D">
              <w:rPr>
                <w:sz w:val="28"/>
                <w:szCs w:val="28"/>
              </w:rPr>
              <w:t xml:space="preserve">iedrība ir noslēgusi līgumu ar </w:t>
            </w:r>
            <w:r w:rsidR="006518BC" w:rsidRPr="006518BC">
              <w:rPr>
                <w:sz w:val="28"/>
                <w:szCs w:val="28"/>
              </w:rPr>
              <w:t>SIA „Rīgas satiksme” par pilsētas elektrotransporta kontakttīkla atsaišu noņemšanu no ēkas Merķeļa ielas fasādes. Darbu izpildes termiņš ir 2016.gada 30.jūnijs.</w:t>
            </w:r>
            <w:r w:rsidR="006105DB">
              <w:rPr>
                <w:sz w:val="28"/>
                <w:szCs w:val="28"/>
              </w:rPr>
              <w:t xml:space="preserve"> Darbi ir pabeigti un atsaites noņemtas. </w:t>
            </w:r>
          </w:p>
          <w:p w:rsidR="00DA7D07" w:rsidRDefault="00DA7D07" w:rsidP="00DA7D07">
            <w:pPr>
              <w:pStyle w:val="naisf"/>
              <w:spacing w:before="0" w:after="0"/>
              <w:ind w:right="34" w:firstLine="0"/>
              <w:rPr>
                <w:sz w:val="28"/>
                <w:szCs w:val="28"/>
              </w:rPr>
            </w:pPr>
          </w:p>
          <w:p w:rsidR="006518BC" w:rsidRPr="00CD0F4D" w:rsidRDefault="006518BC" w:rsidP="00CD0F4D">
            <w:pPr>
              <w:pStyle w:val="naisf"/>
              <w:spacing w:before="0" w:after="0"/>
              <w:ind w:right="34" w:firstLine="0"/>
              <w:rPr>
                <w:sz w:val="28"/>
                <w:szCs w:val="28"/>
              </w:rPr>
            </w:pPr>
            <w:r w:rsidRPr="006518BC">
              <w:rPr>
                <w:sz w:val="28"/>
                <w:szCs w:val="28"/>
              </w:rPr>
              <w:t xml:space="preserve">2016.gada 9.februārī BVKB </w:t>
            </w:r>
            <w:r w:rsidR="00A65DB9">
              <w:rPr>
                <w:sz w:val="28"/>
                <w:szCs w:val="28"/>
              </w:rPr>
              <w:t xml:space="preserve">veica atkārtotu ēkas apsekošanu un </w:t>
            </w:r>
            <w:r w:rsidR="00CD0F4D">
              <w:rPr>
                <w:sz w:val="28"/>
                <w:szCs w:val="28"/>
              </w:rPr>
              <w:t xml:space="preserve">2016.gada </w:t>
            </w:r>
            <w:r w:rsidRPr="006518BC">
              <w:rPr>
                <w:sz w:val="28"/>
                <w:szCs w:val="28"/>
              </w:rPr>
              <w:t>10.februārī izdeva atzinumu, pam</w:t>
            </w:r>
            <w:r w:rsidR="00C777C2">
              <w:rPr>
                <w:sz w:val="28"/>
                <w:szCs w:val="28"/>
              </w:rPr>
              <w:t>atojoties uz kuru 2016.gada 22.</w:t>
            </w:r>
            <w:r w:rsidRPr="006518BC">
              <w:rPr>
                <w:sz w:val="28"/>
                <w:szCs w:val="28"/>
              </w:rPr>
              <w:t xml:space="preserve">februārī pieņēma lēmumu </w:t>
            </w:r>
            <w:r w:rsidR="00CD0F4D">
              <w:rPr>
                <w:sz w:val="28"/>
                <w:szCs w:val="28"/>
              </w:rPr>
              <w:t xml:space="preserve">Nr.4-2-16/58, ar kuru </w:t>
            </w:r>
            <w:r w:rsidRPr="00CD0F4D">
              <w:rPr>
                <w:sz w:val="28"/>
                <w:szCs w:val="28"/>
              </w:rPr>
              <w:t>uzdots:</w:t>
            </w:r>
          </w:p>
          <w:p w:rsidR="006518BC" w:rsidRPr="00CD0F4D" w:rsidRDefault="006518BC" w:rsidP="00CD0F4D">
            <w:pPr>
              <w:pStyle w:val="Sarakstarindkopa"/>
              <w:numPr>
                <w:ilvl w:val="0"/>
                <w:numId w:val="20"/>
              </w:numPr>
              <w:spacing w:after="0" w:line="240" w:lineRule="auto"/>
              <w:ind w:left="458" w:right="34" w:hanging="458"/>
              <w:jc w:val="both"/>
              <w:rPr>
                <w:rFonts w:ascii="Times New Roman" w:hAnsi="Times New Roman"/>
                <w:sz w:val="28"/>
                <w:szCs w:val="28"/>
                <w:lang w:val="lv-LV"/>
              </w:rPr>
            </w:pPr>
            <w:r w:rsidRPr="00CD0F4D">
              <w:rPr>
                <w:rFonts w:ascii="Times New Roman" w:hAnsi="Times New Roman"/>
                <w:sz w:val="28"/>
                <w:szCs w:val="28"/>
                <w:lang w:val="lv-LV"/>
              </w:rPr>
              <w:t>ne vēlāk kā līdz 2016.gada 1.decembrim novērst bīstamību</w:t>
            </w:r>
            <w:r w:rsidR="000B5B13" w:rsidRPr="00CD0F4D">
              <w:rPr>
                <w:rFonts w:ascii="Times New Roman" w:hAnsi="Times New Roman"/>
                <w:sz w:val="28"/>
                <w:szCs w:val="28"/>
                <w:lang w:val="lv-LV"/>
              </w:rPr>
              <w:t xml:space="preserve"> – </w:t>
            </w:r>
            <w:r w:rsidRPr="00CD0F4D">
              <w:rPr>
                <w:rFonts w:ascii="Times New Roman" w:hAnsi="Times New Roman"/>
                <w:sz w:val="28"/>
                <w:szCs w:val="28"/>
                <w:lang w:val="lv-LV"/>
              </w:rPr>
              <w:t xml:space="preserve">veikt cirka ēkas Merķeļa ielas fasādes konservāciju, lai novērstu tās iespējamo apgāšanos, un iesniegt </w:t>
            </w:r>
            <w:r w:rsidR="00CD0F4D" w:rsidRPr="00CD0F4D">
              <w:rPr>
                <w:rFonts w:ascii="Times New Roman" w:hAnsi="Times New Roman"/>
                <w:sz w:val="28"/>
                <w:szCs w:val="28"/>
                <w:lang w:val="lv-LV"/>
              </w:rPr>
              <w:t xml:space="preserve">BVKB </w:t>
            </w:r>
            <w:r w:rsidRPr="00CD0F4D">
              <w:rPr>
                <w:rFonts w:ascii="Times New Roman" w:hAnsi="Times New Roman"/>
                <w:sz w:val="28"/>
                <w:szCs w:val="28"/>
                <w:lang w:val="lv-LV"/>
              </w:rPr>
              <w:t>būvdarbu izpildes dokumentāciju;</w:t>
            </w:r>
          </w:p>
          <w:p w:rsidR="006518BC" w:rsidRPr="00CD0F4D" w:rsidRDefault="006518BC" w:rsidP="00CD0F4D">
            <w:pPr>
              <w:pStyle w:val="Sarakstarindkopa"/>
              <w:numPr>
                <w:ilvl w:val="0"/>
                <w:numId w:val="20"/>
              </w:numPr>
              <w:spacing w:after="0" w:line="240" w:lineRule="auto"/>
              <w:ind w:left="458" w:right="34" w:hanging="458"/>
              <w:jc w:val="both"/>
              <w:rPr>
                <w:rFonts w:ascii="Times New Roman" w:hAnsi="Times New Roman"/>
                <w:sz w:val="28"/>
                <w:szCs w:val="28"/>
                <w:lang w:val="lv-LV"/>
              </w:rPr>
            </w:pPr>
            <w:r w:rsidRPr="00CD0F4D">
              <w:rPr>
                <w:rFonts w:ascii="Times New Roman" w:hAnsi="Times New Roman"/>
                <w:sz w:val="28"/>
                <w:szCs w:val="28"/>
                <w:lang w:val="lv-LV"/>
              </w:rPr>
              <w:t xml:space="preserve">aizliegt cirka ēkas kā publiskas būves ekspluatāciju līdz būvniecību reglamentējošo normatīvo aktu kārtībā ir veikta cirka ēkas atjaunošana (restaurācija) vai pārbūve un novērsta </w:t>
            </w:r>
            <w:r w:rsidR="00CD0F4D" w:rsidRPr="00CD0F4D">
              <w:rPr>
                <w:rFonts w:ascii="Times New Roman" w:hAnsi="Times New Roman"/>
                <w:sz w:val="28"/>
                <w:szCs w:val="28"/>
                <w:lang w:val="lv-LV"/>
              </w:rPr>
              <w:t xml:space="preserve">BVKB </w:t>
            </w:r>
            <w:r w:rsidR="00CD0F4D">
              <w:rPr>
                <w:rFonts w:ascii="Times New Roman" w:hAnsi="Times New Roman"/>
                <w:sz w:val="28"/>
                <w:szCs w:val="28"/>
                <w:lang w:val="lv-LV"/>
              </w:rPr>
              <w:t>a</w:t>
            </w:r>
            <w:r w:rsidRPr="00CD0F4D">
              <w:rPr>
                <w:rFonts w:ascii="Times New Roman" w:hAnsi="Times New Roman"/>
                <w:sz w:val="28"/>
                <w:szCs w:val="28"/>
                <w:lang w:val="lv-LV"/>
              </w:rPr>
              <w:t>tzinumā konstatētā cirka ēkas bīstamība.</w:t>
            </w:r>
          </w:p>
          <w:p w:rsidR="00CD0F4D" w:rsidRDefault="00CD0F4D" w:rsidP="00DA7D07">
            <w:pPr>
              <w:ind w:right="34"/>
              <w:jc w:val="both"/>
              <w:rPr>
                <w:sz w:val="28"/>
                <w:szCs w:val="28"/>
              </w:rPr>
            </w:pPr>
          </w:p>
          <w:p w:rsidR="00DA7D07" w:rsidRDefault="00CD0F4D" w:rsidP="00DA7D07">
            <w:pPr>
              <w:ind w:right="34"/>
              <w:jc w:val="both"/>
              <w:rPr>
                <w:sz w:val="28"/>
                <w:szCs w:val="28"/>
              </w:rPr>
            </w:pPr>
            <w:r>
              <w:rPr>
                <w:sz w:val="28"/>
                <w:szCs w:val="28"/>
              </w:rPr>
              <w:t>Pamatojoties uz</w:t>
            </w:r>
            <w:r w:rsidR="006518BC" w:rsidRPr="006518BC">
              <w:rPr>
                <w:sz w:val="28"/>
                <w:szCs w:val="28"/>
              </w:rPr>
              <w:t xml:space="preserve"> BVKB </w:t>
            </w:r>
            <w:r>
              <w:rPr>
                <w:sz w:val="28"/>
                <w:szCs w:val="28"/>
              </w:rPr>
              <w:t>2016.gada 22.</w:t>
            </w:r>
            <w:r w:rsidRPr="006518BC">
              <w:rPr>
                <w:sz w:val="28"/>
                <w:szCs w:val="28"/>
              </w:rPr>
              <w:t>febr</w:t>
            </w:r>
            <w:r>
              <w:rPr>
                <w:sz w:val="28"/>
                <w:szCs w:val="28"/>
              </w:rPr>
              <w:t xml:space="preserve">uāra </w:t>
            </w:r>
            <w:r w:rsidR="006518BC" w:rsidRPr="006518BC">
              <w:rPr>
                <w:sz w:val="28"/>
                <w:szCs w:val="28"/>
              </w:rPr>
              <w:t>lēmumu</w:t>
            </w:r>
            <w:r>
              <w:rPr>
                <w:sz w:val="28"/>
                <w:szCs w:val="28"/>
              </w:rPr>
              <w:t xml:space="preserve"> Nr.</w:t>
            </w:r>
            <w:r w:rsidRPr="00CD0F4D">
              <w:rPr>
                <w:sz w:val="28"/>
                <w:szCs w:val="28"/>
              </w:rPr>
              <w:t>4-2-16/58</w:t>
            </w:r>
            <w:r w:rsidR="006518BC" w:rsidRPr="006518BC">
              <w:rPr>
                <w:sz w:val="28"/>
                <w:szCs w:val="28"/>
              </w:rPr>
              <w:t xml:space="preserve">, </w:t>
            </w:r>
            <w:r w:rsidR="009123B2">
              <w:rPr>
                <w:sz w:val="28"/>
                <w:szCs w:val="28"/>
              </w:rPr>
              <w:t xml:space="preserve">cirka ēka publiskiem pasākumiem tika slēgta un izrāžu darbība tika pārtraukta. </w:t>
            </w:r>
          </w:p>
          <w:p w:rsidR="00624C8A" w:rsidRDefault="00624C8A" w:rsidP="00CD0F4D">
            <w:pPr>
              <w:ind w:right="34"/>
              <w:jc w:val="both"/>
              <w:rPr>
                <w:sz w:val="28"/>
                <w:szCs w:val="28"/>
              </w:rPr>
            </w:pPr>
          </w:p>
          <w:p w:rsidR="00F53EF0" w:rsidRPr="00CD0F4D" w:rsidRDefault="00F53EF0" w:rsidP="00CD0F4D">
            <w:pPr>
              <w:ind w:right="34"/>
              <w:jc w:val="both"/>
              <w:rPr>
                <w:sz w:val="28"/>
                <w:szCs w:val="28"/>
              </w:rPr>
            </w:pPr>
            <w:r>
              <w:rPr>
                <w:sz w:val="28"/>
                <w:szCs w:val="28"/>
              </w:rPr>
              <w:t xml:space="preserve">Lai izpildītu </w:t>
            </w:r>
            <w:r w:rsidR="00CD0F4D">
              <w:rPr>
                <w:sz w:val="28"/>
                <w:szCs w:val="28"/>
              </w:rPr>
              <w:t xml:space="preserve">minētajā </w:t>
            </w:r>
            <w:r w:rsidRPr="006518BC">
              <w:rPr>
                <w:sz w:val="28"/>
                <w:szCs w:val="28"/>
              </w:rPr>
              <w:t>BVKB</w:t>
            </w:r>
            <w:r>
              <w:rPr>
                <w:sz w:val="28"/>
                <w:szCs w:val="28"/>
              </w:rPr>
              <w:t xml:space="preserve"> lēmumā noteikto, līdz šim ir </w:t>
            </w:r>
            <w:r w:rsidRPr="00CD0F4D">
              <w:rPr>
                <w:sz w:val="28"/>
                <w:szCs w:val="28"/>
              </w:rPr>
              <w:lastRenderedPageBreak/>
              <w:t>veiktas šādas darbības:</w:t>
            </w:r>
          </w:p>
          <w:p w:rsidR="00F53EF0" w:rsidRPr="00CD0F4D" w:rsidRDefault="00F92D7C" w:rsidP="00CD0F4D">
            <w:pPr>
              <w:pStyle w:val="Sarakstarindkopa"/>
              <w:numPr>
                <w:ilvl w:val="0"/>
                <w:numId w:val="25"/>
              </w:numPr>
              <w:spacing w:after="0" w:line="240" w:lineRule="auto"/>
              <w:ind w:left="458" w:right="34" w:hanging="425"/>
              <w:jc w:val="both"/>
              <w:rPr>
                <w:rFonts w:ascii="Times New Roman" w:hAnsi="Times New Roman"/>
                <w:sz w:val="28"/>
                <w:szCs w:val="28"/>
                <w:lang w:val="lv-LV"/>
              </w:rPr>
            </w:pPr>
            <w:r>
              <w:rPr>
                <w:rFonts w:ascii="Times New Roman" w:hAnsi="Times New Roman"/>
                <w:sz w:val="28"/>
                <w:szCs w:val="28"/>
                <w:lang w:val="lv-LV"/>
              </w:rPr>
              <w:t>2016.gada 5.maijā noslēgts līgums ar SIA „ADZ birojs”</w:t>
            </w:r>
            <w:r w:rsidR="00F53EF0" w:rsidRPr="00CD0F4D">
              <w:rPr>
                <w:rFonts w:ascii="Times New Roman" w:hAnsi="Times New Roman"/>
                <w:sz w:val="28"/>
                <w:szCs w:val="28"/>
                <w:lang w:val="lv-LV"/>
              </w:rPr>
              <w:t xml:space="preserve"> par  ēkas </w:t>
            </w:r>
            <w:r>
              <w:rPr>
                <w:rFonts w:ascii="Times New Roman" w:hAnsi="Times New Roman"/>
                <w:sz w:val="28"/>
                <w:szCs w:val="28"/>
                <w:lang w:val="lv-LV"/>
              </w:rPr>
              <w:t xml:space="preserve">Rīgā, </w:t>
            </w:r>
            <w:r w:rsidR="00F53EF0" w:rsidRPr="00CD0F4D">
              <w:rPr>
                <w:rFonts w:ascii="Times New Roman" w:hAnsi="Times New Roman"/>
                <w:sz w:val="28"/>
                <w:szCs w:val="28"/>
                <w:lang w:val="lv-LV"/>
              </w:rPr>
              <w:t>Merķeļa ielā 4 fasādes konservācijas un nostiprināš</w:t>
            </w:r>
            <w:r w:rsidR="003537FD" w:rsidRPr="00CD0F4D">
              <w:rPr>
                <w:rFonts w:ascii="Times New Roman" w:hAnsi="Times New Roman"/>
                <w:sz w:val="28"/>
                <w:szCs w:val="28"/>
                <w:lang w:val="lv-LV"/>
              </w:rPr>
              <w:t>anas būvprojekta dokumentācijas</w:t>
            </w:r>
            <w:r w:rsidR="00F53EF0" w:rsidRPr="00CD0F4D">
              <w:rPr>
                <w:rFonts w:ascii="Times New Roman" w:hAnsi="Times New Roman"/>
                <w:sz w:val="28"/>
                <w:szCs w:val="28"/>
                <w:lang w:val="lv-LV"/>
              </w:rPr>
              <w:t xml:space="preserve"> izstrādi;</w:t>
            </w:r>
          </w:p>
          <w:p w:rsidR="003537FD" w:rsidRPr="00CD0F4D" w:rsidRDefault="00F92D7C" w:rsidP="00CD0F4D">
            <w:pPr>
              <w:pStyle w:val="Sarakstarindkopa"/>
              <w:numPr>
                <w:ilvl w:val="0"/>
                <w:numId w:val="25"/>
              </w:numPr>
              <w:spacing w:after="0" w:line="240" w:lineRule="auto"/>
              <w:ind w:left="458" w:right="34" w:hanging="425"/>
              <w:jc w:val="both"/>
              <w:rPr>
                <w:rFonts w:ascii="Times New Roman" w:hAnsi="Times New Roman"/>
                <w:sz w:val="28"/>
                <w:szCs w:val="28"/>
                <w:lang w:val="lv-LV"/>
              </w:rPr>
            </w:pPr>
            <w:r>
              <w:rPr>
                <w:rFonts w:ascii="Times New Roman" w:hAnsi="Times New Roman"/>
                <w:sz w:val="28"/>
                <w:szCs w:val="28"/>
                <w:lang w:val="lv-LV"/>
              </w:rPr>
              <w:t xml:space="preserve">2016.gada 1.jūnijā </w:t>
            </w:r>
            <w:r w:rsidR="003537FD" w:rsidRPr="00CD0F4D">
              <w:rPr>
                <w:rFonts w:ascii="Times New Roman" w:hAnsi="Times New Roman"/>
                <w:sz w:val="28"/>
                <w:szCs w:val="28"/>
                <w:lang w:val="lv-LV"/>
              </w:rPr>
              <w:t>noslēgts</w:t>
            </w:r>
            <w:r>
              <w:rPr>
                <w:rFonts w:ascii="Times New Roman" w:hAnsi="Times New Roman"/>
                <w:sz w:val="28"/>
                <w:szCs w:val="28"/>
                <w:lang w:val="lv-LV"/>
              </w:rPr>
              <w:t xml:space="preserve"> līgums ar SIA „SV </w:t>
            </w:r>
            <w:proofErr w:type="spellStart"/>
            <w:r>
              <w:rPr>
                <w:rFonts w:ascii="Times New Roman" w:hAnsi="Times New Roman"/>
                <w:sz w:val="28"/>
                <w:szCs w:val="28"/>
                <w:lang w:val="lv-LV"/>
              </w:rPr>
              <w:t>Solution</w:t>
            </w:r>
            <w:proofErr w:type="spellEnd"/>
            <w:r>
              <w:rPr>
                <w:rFonts w:ascii="Times New Roman" w:hAnsi="Times New Roman"/>
                <w:sz w:val="28"/>
                <w:szCs w:val="28"/>
                <w:lang w:val="lv-LV"/>
              </w:rPr>
              <w:t>”</w:t>
            </w:r>
            <w:r w:rsidR="003537FD" w:rsidRPr="00CD0F4D">
              <w:rPr>
                <w:rFonts w:ascii="Times New Roman" w:hAnsi="Times New Roman"/>
                <w:sz w:val="28"/>
                <w:szCs w:val="28"/>
                <w:lang w:val="lv-LV"/>
              </w:rPr>
              <w:t xml:space="preserve"> par ēkas </w:t>
            </w:r>
            <w:r>
              <w:rPr>
                <w:rFonts w:ascii="Times New Roman" w:hAnsi="Times New Roman"/>
                <w:sz w:val="28"/>
                <w:szCs w:val="28"/>
                <w:lang w:val="lv-LV"/>
              </w:rPr>
              <w:t xml:space="preserve">Rīgā, </w:t>
            </w:r>
            <w:r w:rsidR="003537FD" w:rsidRPr="00CD0F4D">
              <w:rPr>
                <w:rFonts w:ascii="Times New Roman" w:hAnsi="Times New Roman"/>
                <w:sz w:val="28"/>
                <w:szCs w:val="28"/>
                <w:lang w:val="lv-LV"/>
              </w:rPr>
              <w:t xml:space="preserve">Merķeļa ielā 4, Rīgā 3D skenēšanu un </w:t>
            </w:r>
            <w:proofErr w:type="spellStart"/>
            <w:r w:rsidR="003537FD" w:rsidRPr="00CD0F4D">
              <w:rPr>
                <w:rFonts w:ascii="Times New Roman" w:hAnsi="Times New Roman"/>
                <w:sz w:val="28"/>
                <w:szCs w:val="28"/>
                <w:lang w:val="lv-LV"/>
              </w:rPr>
              <w:t>ģeoskenēšanu</w:t>
            </w:r>
            <w:proofErr w:type="spellEnd"/>
            <w:r w:rsidR="003537FD" w:rsidRPr="00CD0F4D">
              <w:rPr>
                <w:rFonts w:ascii="Times New Roman" w:hAnsi="Times New Roman"/>
                <w:sz w:val="28"/>
                <w:szCs w:val="28"/>
                <w:lang w:val="lv-LV"/>
              </w:rPr>
              <w:t>;</w:t>
            </w:r>
          </w:p>
          <w:p w:rsidR="00C777C2" w:rsidRPr="003537FD" w:rsidRDefault="00F53EF0" w:rsidP="00CD0F4D">
            <w:pPr>
              <w:pStyle w:val="Sarakstarindkopa"/>
              <w:numPr>
                <w:ilvl w:val="0"/>
                <w:numId w:val="25"/>
              </w:numPr>
              <w:spacing w:line="240" w:lineRule="auto"/>
              <w:ind w:left="458" w:right="34" w:hanging="425"/>
              <w:jc w:val="both"/>
              <w:rPr>
                <w:rFonts w:ascii="Times New Roman" w:hAnsi="Times New Roman"/>
                <w:sz w:val="28"/>
                <w:szCs w:val="28"/>
                <w:lang w:val="lv-LV"/>
              </w:rPr>
            </w:pPr>
            <w:r w:rsidRPr="00CD0F4D">
              <w:rPr>
                <w:rFonts w:ascii="Times New Roman" w:hAnsi="Times New Roman"/>
                <w:sz w:val="28"/>
                <w:szCs w:val="28"/>
                <w:lang w:val="lv-LV"/>
              </w:rPr>
              <w:t xml:space="preserve">no </w:t>
            </w:r>
            <w:r w:rsidR="00F92D7C">
              <w:rPr>
                <w:rFonts w:ascii="Times New Roman" w:hAnsi="Times New Roman"/>
                <w:sz w:val="28"/>
                <w:szCs w:val="28"/>
                <w:lang w:val="lv-LV"/>
              </w:rPr>
              <w:t xml:space="preserve">2016.gada </w:t>
            </w:r>
            <w:r w:rsidRPr="00CD0F4D">
              <w:rPr>
                <w:rFonts w:ascii="Times New Roman" w:hAnsi="Times New Roman"/>
                <w:sz w:val="28"/>
                <w:szCs w:val="28"/>
                <w:lang w:val="lv-LV"/>
              </w:rPr>
              <w:t xml:space="preserve">6.jūnija līdz </w:t>
            </w:r>
            <w:r w:rsidR="00F92D7C">
              <w:rPr>
                <w:rFonts w:ascii="Times New Roman" w:hAnsi="Times New Roman"/>
                <w:sz w:val="28"/>
                <w:szCs w:val="28"/>
                <w:lang w:val="lv-LV"/>
              </w:rPr>
              <w:t xml:space="preserve">2016.gada </w:t>
            </w:r>
            <w:r w:rsidRPr="00CD0F4D">
              <w:rPr>
                <w:rFonts w:ascii="Times New Roman" w:hAnsi="Times New Roman"/>
                <w:sz w:val="28"/>
                <w:szCs w:val="28"/>
                <w:lang w:val="lv-LV"/>
              </w:rPr>
              <w:t>4.jūlijam</w:t>
            </w:r>
            <w:proofErr w:type="gramStart"/>
            <w:r w:rsidRPr="00CD0F4D">
              <w:rPr>
                <w:rFonts w:ascii="Times New Roman" w:hAnsi="Times New Roman"/>
                <w:sz w:val="28"/>
                <w:szCs w:val="28"/>
                <w:lang w:val="lv-LV"/>
              </w:rPr>
              <w:t xml:space="preserve"> </w:t>
            </w:r>
            <w:r w:rsidR="00F92D7C" w:rsidRPr="00F92D7C">
              <w:rPr>
                <w:rFonts w:ascii="Times New Roman" w:eastAsia="Times New Roman" w:hAnsi="Times New Roman"/>
                <w:sz w:val="28"/>
                <w:szCs w:val="28"/>
                <w:lang w:val="lv-LV" w:eastAsia="lv-LV"/>
              </w:rPr>
              <w:t xml:space="preserve"> </w:t>
            </w:r>
            <w:proofErr w:type="gramEnd"/>
            <w:r w:rsidR="00F92D7C" w:rsidRPr="00F92D7C">
              <w:rPr>
                <w:rFonts w:ascii="Times New Roman" w:hAnsi="Times New Roman"/>
                <w:sz w:val="28"/>
                <w:szCs w:val="28"/>
                <w:lang w:val="lv-LV"/>
              </w:rPr>
              <w:t xml:space="preserve">Rīgas Tehniskās universitātes </w:t>
            </w:r>
            <w:r w:rsidRPr="00CD0F4D">
              <w:rPr>
                <w:rFonts w:ascii="Times New Roman" w:hAnsi="Times New Roman"/>
                <w:sz w:val="28"/>
                <w:szCs w:val="28"/>
                <w:lang w:val="lv-LV"/>
              </w:rPr>
              <w:t xml:space="preserve">Būvniecības inženierzinātņu fakultātes Ēku un inženiertehnisko būvju diagnostikas zinātniski pētnieciskā laboratorija </w:t>
            </w:r>
            <w:r w:rsidR="003537FD" w:rsidRPr="00CD0F4D">
              <w:rPr>
                <w:rFonts w:ascii="Times New Roman" w:hAnsi="Times New Roman"/>
                <w:sz w:val="28"/>
                <w:szCs w:val="28"/>
                <w:lang w:val="lv-LV"/>
              </w:rPr>
              <w:t xml:space="preserve">ir veikusi </w:t>
            </w:r>
            <w:r w:rsidRPr="00CD0F4D">
              <w:rPr>
                <w:rFonts w:ascii="Times New Roman" w:hAnsi="Times New Roman"/>
                <w:sz w:val="28"/>
                <w:szCs w:val="28"/>
                <w:lang w:val="lv-LV"/>
              </w:rPr>
              <w:t xml:space="preserve">cirka arēnas partera skatītāju tribīņu </w:t>
            </w:r>
            <w:proofErr w:type="spellStart"/>
            <w:r w:rsidRPr="00CD0F4D">
              <w:rPr>
                <w:rFonts w:ascii="Times New Roman" w:hAnsi="Times New Roman"/>
                <w:sz w:val="28"/>
                <w:szCs w:val="28"/>
                <w:lang w:val="lv-LV"/>
              </w:rPr>
              <w:t>deformējamības</w:t>
            </w:r>
            <w:proofErr w:type="spellEnd"/>
            <w:r w:rsidRPr="00CD0F4D">
              <w:rPr>
                <w:rFonts w:ascii="Times New Roman" w:hAnsi="Times New Roman"/>
                <w:sz w:val="28"/>
                <w:szCs w:val="28"/>
                <w:lang w:val="lv-LV"/>
              </w:rPr>
              <w:t xml:space="preserve"> fiksēšanu reālas slodzes apstākļos</w:t>
            </w:r>
            <w:r w:rsidR="003537FD">
              <w:rPr>
                <w:rFonts w:ascii="Times New Roman" w:hAnsi="Times New Roman"/>
                <w:sz w:val="28"/>
                <w:szCs w:val="28"/>
                <w:lang w:val="lv-LV"/>
              </w:rPr>
              <w:t>.</w:t>
            </w:r>
          </w:p>
          <w:p w:rsidR="003537FD" w:rsidRDefault="00C777C2" w:rsidP="00DA7D07">
            <w:pPr>
              <w:jc w:val="both"/>
              <w:rPr>
                <w:sz w:val="28"/>
                <w:szCs w:val="28"/>
              </w:rPr>
            </w:pPr>
            <w:r>
              <w:rPr>
                <w:sz w:val="28"/>
                <w:szCs w:val="28"/>
              </w:rPr>
              <w:t>Ņemot vērā iepriekš minētos apstākļus, Sabiedrības pamatdarbība 2015./2016.gada sezon</w:t>
            </w:r>
            <w:r w:rsidR="00E64BCE">
              <w:rPr>
                <w:sz w:val="28"/>
                <w:szCs w:val="28"/>
              </w:rPr>
              <w:t xml:space="preserve">ā </w:t>
            </w:r>
            <w:r>
              <w:rPr>
                <w:sz w:val="28"/>
                <w:szCs w:val="28"/>
              </w:rPr>
              <w:t>nav notikusi plānotajā apjomā, savukārt kopš 2016.gada februāra tā ir pilnībā apdraudēta.</w:t>
            </w:r>
            <w:r w:rsidR="00A65DB9">
              <w:rPr>
                <w:sz w:val="28"/>
                <w:szCs w:val="28"/>
              </w:rPr>
              <w:t xml:space="preserve"> </w:t>
            </w:r>
            <w:r w:rsidR="0007436E">
              <w:rPr>
                <w:sz w:val="28"/>
                <w:szCs w:val="28"/>
              </w:rPr>
              <w:t xml:space="preserve">Publiskie paziņojumi par ēkas tehnisko stāvokli, kā arī līdztekus tam notikušās biedrības </w:t>
            </w:r>
            <w:r w:rsidR="0007436E" w:rsidRPr="00E64BCE">
              <w:rPr>
                <w:sz w:val="28"/>
                <w:szCs w:val="28"/>
              </w:rPr>
              <w:t>„Dzīvnieku brīvība”</w:t>
            </w:r>
            <w:r w:rsidR="0007436E">
              <w:rPr>
                <w:sz w:val="28"/>
                <w:szCs w:val="28"/>
              </w:rPr>
              <w:t xml:space="preserve"> protesta akcijas pret savvaļas dzīvnieku izmantošanu cirka izrādēs būtiski ietekmēja apmeklētāju skaitu un līdz ar to arī biļešu ieņēmumu apjomu. </w:t>
            </w:r>
            <w:r w:rsidR="00872860">
              <w:rPr>
                <w:sz w:val="28"/>
                <w:szCs w:val="28"/>
              </w:rPr>
              <w:t xml:space="preserve">Šī tendence jau ir parādījusies 2015.gada rudenī </w:t>
            </w:r>
            <w:r w:rsidR="00F92D7C">
              <w:rPr>
                <w:sz w:val="28"/>
                <w:szCs w:val="28"/>
              </w:rPr>
              <w:t>īstenotajā</w:t>
            </w:r>
            <w:r w:rsidR="00872860">
              <w:rPr>
                <w:sz w:val="28"/>
                <w:szCs w:val="28"/>
              </w:rPr>
              <w:t xml:space="preserve"> projektā „Gigantisko strūklaku šovs”, taču </w:t>
            </w:r>
            <w:r w:rsidR="00782FCE">
              <w:rPr>
                <w:sz w:val="28"/>
                <w:szCs w:val="28"/>
              </w:rPr>
              <w:t xml:space="preserve">2015.gada nogalē </w:t>
            </w:r>
            <w:r w:rsidR="00F92D7C">
              <w:rPr>
                <w:sz w:val="28"/>
                <w:szCs w:val="28"/>
              </w:rPr>
              <w:t>īstenotā</w:t>
            </w:r>
            <w:r w:rsidR="00782FCE">
              <w:rPr>
                <w:sz w:val="28"/>
                <w:szCs w:val="28"/>
              </w:rPr>
              <w:t xml:space="preserve"> Ziemassvētku programmas izrāžu sērija nesa Sabiedrībai zaudējumus</w:t>
            </w:r>
            <w:r w:rsidR="00872860">
              <w:rPr>
                <w:sz w:val="28"/>
                <w:szCs w:val="28"/>
              </w:rPr>
              <w:t>.</w:t>
            </w:r>
          </w:p>
          <w:p w:rsidR="00DA7D07" w:rsidRDefault="00DA7D07" w:rsidP="00DA7D07">
            <w:pPr>
              <w:jc w:val="both"/>
              <w:rPr>
                <w:sz w:val="28"/>
                <w:szCs w:val="28"/>
              </w:rPr>
            </w:pPr>
          </w:p>
          <w:p w:rsidR="003537FD" w:rsidRDefault="00F92D7C" w:rsidP="00DA7D07">
            <w:pPr>
              <w:jc w:val="both"/>
              <w:rPr>
                <w:sz w:val="28"/>
                <w:szCs w:val="28"/>
              </w:rPr>
            </w:pPr>
            <w:r>
              <w:rPr>
                <w:sz w:val="28"/>
                <w:szCs w:val="28"/>
              </w:rPr>
              <w:t>Cirka p</w:t>
            </w:r>
            <w:r w:rsidR="00E64BCE">
              <w:rPr>
                <w:sz w:val="28"/>
                <w:szCs w:val="28"/>
              </w:rPr>
              <w:t>rogramma „Tropu fantāzija”,</w:t>
            </w:r>
            <w:r w:rsidR="00872860">
              <w:rPr>
                <w:sz w:val="28"/>
                <w:szCs w:val="28"/>
              </w:rPr>
              <w:t xml:space="preserve"> </w:t>
            </w:r>
            <w:r w:rsidR="00B748E5">
              <w:rPr>
                <w:sz w:val="28"/>
                <w:szCs w:val="28"/>
              </w:rPr>
              <w:t>kuru bija plānots izrādīt 2016.gada februārī un martā</w:t>
            </w:r>
            <w:r w:rsidR="00E64BCE">
              <w:rPr>
                <w:sz w:val="28"/>
                <w:szCs w:val="28"/>
              </w:rPr>
              <w:t>, tika atcelta sakarā ar ēkas slēgšanu</w:t>
            </w:r>
            <w:r w:rsidR="002A05F8">
              <w:rPr>
                <w:sz w:val="28"/>
                <w:szCs w:val="28"/>
              </w:rPr>
              <w:t xml:space="preserve"> publiskajiem pasākumiem. No ieplānotajām 20 izrādēm, Rīgas cirka ēkā notika tikai 3 izrādes.</w:t>
            </w:r>
            <w:r w:rsidR="0037549B">
              <w:rPr>
                <w:sz w:val="28"/>
                <w:szCs w:val="28"/>
              </w:rPr>
              <w:t xml:space="preserve"> </w:t>
            </w:r>
            <w:r w:rsidR="00617662">
              <w:rPr>
                <w:sz w:val="28"/>
                <w:szCs w:val="28"/>
              </w:rPr>
              <w:t xml:space="preserve">Sabiedrība </w:t>
            </w:r>
            <w:r w:rsidR="00B748E5">
              <w:rPr>
                <w:sz w:val="28"/>
                <w:szCs w:val="28"/>
              </w:rPr>
              <w:t>par</w:t>
            </w:r>
            <w:r w:rsidR="00617662">
              <w:rPr>
                <w:sz w:val="28"/>
                <w:szCs w:val="28"/>
              </w:rPr>
              <w:t xml:space="preserve"> programmas</w:t>
            </w:r>
            <w:r w:rsidR="00B748E5">
              <w:rPr>
                <w:sz w:val="28"/>
                <w:szCs w:val="28"/>
              </w:rPr>
              <w:t xml:space="preserve"> „Tropu fantāzija” izrādīšanu bija uzņēmusies līgumsaistības ar </w:t>
            </w:r>
            <w:r w:rsidR="00872860">
              <w:rPr>
                <w:sz w:val="28"/>
                <w:szCs w:val="28"/>
              </w:rPr>
              <w:t>ārvalstu</w:t>
            </w:r>
            <w:r w:rsidR="00617662">
              <w:rPr>
                <w:sz w:val="28"/>
                <w:szCs w:val="28"/>
              </w:rPr>
              <w:t xml:space="preserve"> māksliniekiem, kuri</w:t>
            </w:r>
            <w:r w:rsidR="00674335">
              <w:rPr>
                <w:sz w:val="28"/>
                <w:szCs w:val="28"/>
              </w:rPr>
              <w:t xml:space="preserve"> brīdī</w:t>
            </w:r>
            <w:r w:rsidR="003A5F6E">
              <w:rPr>
                <w:sz w:val="28"/>
                <w:szCs w:val="28"/>
              </w:rPr>
              <w:t>, kad tika pieņemts lēmums par ēkas s</w:t>
            </w:r>
            <w:r w:rsidR="003A5F6E" w:rsidRPr="002A05F8">
              <w:rPr>
                <w:sz w:val="28"/>
                <w:szCs w:val="28"/>
              </w:rPr>
              <w:t>lēgšanu</w:t>
            </w:r>
            <w:r w:rsidR="003A5F6E">
              <w:rPr>
                <w:sz w:val="28"/>
                <w:szCs w:val="28"/>
              </w:rPr>
              <w:t>,</w:t>
            </w:r>
            <w:r w:rsidR="00617662">
              <w:rPr>
                <w:sz w:val="28"/>
                <w:szCs w:val="28"/>
              </w:rPr>
              <w:t xml:space="preserve"> </w:t>
            </w:r>
            <w:r w:rsidR="00B748E5">
              <w:rPr>
                <w:sz w:val="28"/>
                <w:szCs w:val="28"/>
              </w:rPr>
              <w:t>jau bija ieradušies Rīgā</w:t>
            </w:r>
            <w:r w:rsidR="002A05F8">
              <w:rPr>
                <w:sz w:val="28"/>
                <w:szCs w:val="28"/>
              </w:rPr>
              <w:t>, tādēļ Sabiedrībai nebija iespējams līgumattiecības izbeigt.</w:t>
            </w:r>
            <w:r w:rsidR="000738F3">
              <w:rPr>
                <w:sz w:val="28"/>
                <w:szCs w:val="28"/>
              </w:rPr>
              <w:t xml:space="preserve"> Ar izrādes apkalpojošo personālu bija noslēgti terminētie līgumi, tādēļ personālam tika maksāts par dīkstāvi.</w:t>
            </w:r>
            <w:r w:rsidR="00377019">
              <w:rPr>
                <w:sz w:val="28"/>
                <w:szCs w:val="28"/>
              </w:rPr>
              <w:t xml:space="preserve"> R</w:t>
            </w:r>
            <w:r w:rsidR="0037549B">
              <w:rPr>
                <w:sz w:val="28"/>
                <w:szCs w:val="28"/>
              </w:rPr>
              <w:t>eaģēj</w:t>
            </w:r>
            <w:r w:rsidR="00377019">
              <w:rPr>
                <w:sz w:val="28"/>
                <w:szCs w:val="28"/>
              </w:rPr>
              <w:t xml:space="preserve">ot uz jaunajiem apstākļiem, </w:t>
            </w:r>
            <w:r w:rsidR="0037549B">
              <w:rPr>
                <w:sz w:val="28"/>
                <w:szCs w:val="28"/>
              </w:rPr>
              <w:t>Sabiedrība pārstrukturēj</w:t>
            </w:r>
            <w:r>
              <w:rPr>
                <w:sz w:val="28"/>
                <w:szCs w:val="28"/>
              </w:rPr>
              <w:t>a izrāžu darbību, organizējot 6 </w:t>
            </w:r>
            <w:r w:rsidR="0037549B">
              <w:rPr>
                <w:sz w:val="28"/>
                <w:szCs w:val="28"/>
              </w:rPr>
              <w:t>izrāžu norisi ārpus Rīgas cirka ēkas – reģion</w:t>
            </w:r>
            <w:r w:rsidR="00377019">
              <w:rPr>
                <w:sz w:val="28"/>
                <w:szCs w:val="28"/>
              </w:rPr>
              <w:t>os, kas radīja papildu neplānotu</w:t>
            </w:r>
            <w:r w:rsidR="0037549B">
              <w:rPr>
                <w:sz w:val="28"/>
                <w:szCs w:val="28"/>
              </w:rPr>
              <w:t xml:space="preserve">s izdevumus 18 038 </w:t>
            </w:r>
            <w:proofErr w:type="spellStart"/>
            <w:r w:rsidR="0037549B" w:rsidRPr="000738F3">
              <w:rPr>
                <w:i/>
                <w:sz w:val="28"/>
                <w:szCs w:val="28"/>
              </w:rPr>
              <w:t>euro</w:t>
            </w:r>
            <w:proofErr w:type="spellEnd"/>
            <w:r w:rsidR="0037549B" w:rsidRPr="000738F3">
              <w:rPr>
                <w:i/>
                <w:sz w:val="28"/>
                <w:szCs w:val="28"/>
              </w:rPr>
              <w:t xml:space="preserve"> </w:t>
            </w:r>
            <w:r w:rsidR="0037549B">
              <w:rPr>
                <w:sz w:val="28"/>
                <w:szCs w:val="28"/>
              </w:rPr>
              <w:t xml:space="preserve">apmērā, </w:t>
            </w:r>
            <w:r w:rsidR="00377019">
              <w:rPr>
                <w:sz w:val="28"/>
                <w:szCs w:val="28"/>
              </w:rPr>
              <w:t>tomēr</w:t>
            </w:r>
            <w:r w:rsidR="0037549B">
              <w:rPr>
                <w:sz w:val="28"/>
                <w:szCs w:val="28"/>
              </w:rPr>
              <w:t xml:space="preserve"> vienlaikus nodrošināja ieņēmumu gūšanu par pārdotajām </w:t>
            </w:r>
            <w:r w:rsidR="0037549B">
              <w:rPr>
                <w:sz w:val="28"/>
                <w:szCs w:val="28"/>
              </w:rPr>
              <w:lastRenderedPageBreak/>
              <w:t xml:space="preserve">biļetēm 27 267 </w:t>
            </w:r>
            <w:proofErr w:type="spellStart"/>
            <w:r w:rsidR="0037549B" w:rsidRPr="000738F3">
              <w:rPr>
                <w:i/>
                <w:sz w:val="28"/>
                <w:szCs w:val="28"/>
              </w:rPr>
              <w:t>euro</w:t>
            </w:r>
            <w:proofErr w:type="spellEnd"/>
            <w:r w:rsidR="0037549B">
              <w:rPr>
                <w:sz w:val="28"/>
                <w:szCs w:val="28"/>
              </w:rPr>
              <w:t>, daļēji sedz</w:t>
            </w:r>
            <w:r w:rsidR="00377019">
              <w:rPr>
                <w:sz w:val="28"/>
                <w:szCs w:val="28"/>
              </w:rPr>
              <w:t>ot</w:t>
            </w:r>
            <w:r w:rsidR="0037549B">
              <w:rPr>
                <w:sz w:val="28"/>
                <w:szCs w:val="28"/>
              </w:rPr>
              <w:t xml:space="preserve"> programmas „Tropu fantāzija” kopējos izdevumus </w:t>
            </w:r>
            <w:r w:rsidR="000738F3">
              <w:rPr>
                <w:sz w:val="28"/>
                <w:szCs w:val="28"/>
              </w:rPr>
              <w:t xml:space="preserve">73 743 </w:t>
            </w:r>
            <w:proofErr w:type="spellStart"/>
            <w:r w:rsidR="000738F3" w:rsidRPr="000738F3">
              <w:rPr>
                <w:i/>
                <w:sz w:val="28"/>
                <w:szCs w:val="28"/>
              </w:rPr>
              <w:t>euro</w:t>
            </w:r>
            <w:proofErr w:type="spellEnd"/>
            <w:r w:rsidR="0037549B">
              <w:rPr>
                <w:sz w:val="28"/>
                <w:szCs w:val="28"/>
              </w:rPr>
              <w:t xml:space="preserve">. </w:t>
            </w:r>
            <w:r w:rsidR="000738F3">
              <w:rPr>
                <w:sz w:val="28"/>
                <w:szCs w:val="28"/>
              </w:rPr>
              <w:t>Rīgas cirka ēkas neplānotā slēgšana programmas „Tropu fantāzija” norises laikā ir radīju</w:t>
            </w:r>
            <w:r w:rsidR="003537FD">
              <w:rPr>
                <w:sz w:val="28"/>
                <w:szCs w:val="28"/>
              </w:rPr>
              <w:t>si Sabiedrībai zaudējumus 46 476</w:t>
            </w:r>
            <w:r w:rsidR="003D2BEC">
              <w:rPr>
                <w:sz w:val="28"/>
                <w:szCs w:val="28"/>
              </w:rPr>
              <w:t xml:space="preserve"> </w:t>
            </w:r>
            <w:proofErr w:type="spellStart"/>
            <w:r w:rsidR="000738F3" w:rsidRPr="00377019">
              <w:rPr>
                <w:i/>
                <w:sz w:val="28"/>
                <w:szCs w:val="28"/>
              </w:rPr>
              <w:t>euro</w:t>
            </w:r>
            <w:proofErr w:type="spellEnd"/>
            <w:r w:rsidR="003D2BEC">
              <w:rPr>
                <w:sz w:val="28"/>
                <w:szCs w:val="28"/>
              </w:rPr>
              <w:t xml:space="preserve"> apmērā</w:t>
            </w:r>
            <w:r w:rsidR="00D67C24">
              <w:rPr>
                <w:sz w:val="28"/>
                <w:szCs w:val="28"/>
              </w:rPr>
              <w:t xml:space="preserve">, </w:t>
            </w:r>
            <w:r w:rsidR="000738F3">
              <w:rPr>
                <w:sz w:val="28"/>
                <w:szCs w:val="28"/>
              </w:rPr>
              <w:t xml:space="preserve">no kuriem 30 250 </w:t>
            </w:r>
            <w:proofErr w:type="spellStart"/>
            <w:r w:rsidR="000738F3" w:rsidRPr="00377019">
              <w:rPr>
                <w:i/>
                <w:sz w:val="28"/>
                <w:szCs w:val="28"/>
              </w:rPr>
              <w:t>euro</w:t>
            </w:r>
            <w:proofErr w:type="spellEnd"/>
            <w:r w:rsidR="000738F3" w:rsidRPr="00377019">
              <w:rPr>
                <w:i/>
                <w:sz w:val="28"/>
                <w:szCs w:val="28"/>
              </w:rPr>
              <w:t xml:space="preserve"> </w:t>
            </w:r>
            <w:r w:rsidR="000738F3">
              <w:rPr>
                <w:sz w:val="28"/>
                <w:szCs w:val="28"/>
              </w:rPr>
              <w:t>ir nenokārtotās saistības ar māksliniekiem. Ievērojot to, ka izrāžu darbība ir pārtraukta, Sabiedrība nevar gūt papildu ieņēmumus izdevumu segšanai.</w:t>
            </w:r>
          </w:p>
          <w:p w:rsidR="003113C8" w:rsidRDefault="003113C8" w:rsidP="00DA7D07">
            <w:pPr>
              <w:jc w:val="both"/>
              <w:rPr>
                <w:sz w:val="28"/>
                <w:szCs w:val="28"/>
              </w:rPr>
            </w:pPr>
          </w:p>
          <w:tbl>
            <w:tblPr>
              <w:tblW w:w="5000" w:type="pct"/>
              <w:tblLayout w:type="fixed"/>
              <w:tblCellMar>
                <w:left w:w="0" w:type="dxa"/>
                <w:right w:w="0" w:type="dxa"/>
              </w:tblCellMar>
              <w:tblLook w:val="04A0"/>
            </w:tblPr>
            <w:tblGrid>
              <w:gridCol w:w="1286"/>
              <w:gridCol w:w="696"/>
              <w:gridCol w:w="911"/>
              <w:gridCol w:w="911"/>
              <w:gridCol w:w="911"/>
              <w:gridCol w:w="965"/>
              <w:gridCol w:w="1029"/>
            </w:tblGrid>
            <w:tr w:rsidR="003537FD" w:rsidTr="003113C8">
              <w:trPr>
                <w:trHeight w:val="1290"/>
              </w:trPr>
              <w:tc>
                <w:tcPr>
                  <w:tcW w:w="958"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D37368" w:rsidRDefault="003537FD" w:rsidP="00085736">
                  <w:pPr>
                    <w:framePr w:hSpace="180" w:wrap="around" w:vAnchor="text" w:hAnchor="margin" w:xAlign="center" w:y="149"/>
                    <w:jc w:val="center"/>
                    <w:rPr>
                      <w:b/>
                      <w:bCs/>
                      <w:color w:val="000000"/>
                      <w:sz w:val="18"/>
                      <w:szCs w:val="18"/>
                    </w:rPr>
                  </w:pPr>
                  <w:r w:rsidRPr="00D37368">
                    <w:rPr>
                      <w:b/>
                      <w:bCs/>
                      <w:color w:val="000000"/>
                      <w:sz w:val="18"/>
                      <w:szCs w:val="18"/>
                    </w:rPr>
                    <w:t>Izdevumu nosaukums</w:t>
                  </w:r>
                </w:p>
              </w:tc>
              <w:tc>
                <w:tcPr>
                  <w:tcW w:w="519"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D37368" w:rsidRDefault="003537FD" w:rsidP="00085736">
                  <w:pPr>
                    <w:framePr w:hSpace="180" w:wrap="around" w:vAnchor="text" w:hAnchor="margin" w:xAlign="center" w:y="149"/>
                    <w:jc w:val="center"/>
                    <w:rPr>
                      <w:b/>
                      <w:bCs/>
                      <w:color w:val="000000"/>
                      <w:sz w:val="18"/>
                      <w:szCs w:val="18"/>
                    </w:rPr>
                  </w:pPr>
                  <w:r w:rsidRPr="00D37368">
                    <w:rPr>
                      <w:b/>
                      <w:bCs/>
                      <w:color w:val="000000"/>
                      <w:sz w:val="18"/>
                      <w:szCs w:val="18"/>
                    </w:rPr>
                    <w:t xml:space="preserve">Uzņemtās </w:t>
                  </w:r>
                  <w:proofErr w:type="spellStart"/>
                  <w:r w:rsidRPr="00D37368">
                    <w:rPr>
                      <w:b/>
                      <w:bCs/>
                      <w:color w:val="000000"/>
                      <w:sz w:val="18"/>
                      <w:szCs w:val="18"/>
                    </w:rPr>
                    <w:t>saiatības</w:t>
                  </w:r>
                  <w:proofErr w:type="spellEnd"/>
                  <w:r w:rsidRPr="00D37368">
                    <w:rPr>
                      <w:b/>
                      <w:bCs/>
                      <w:color w:val="000000"/>
                      <w:sz w:val="18"/>
                      <w:szCs w:val="18"/>
                    </w:rPr>
                    <w:t xml:space="preserve"> (pirms ēkas slēgšanas), </w:t>
                  </w:r>
                  <w:proofErr w:type="spellStart"/>
                  <w:r w:rsidRPr="00D37368">
                    <w:rPr>
                      <w:b/>
                      <w:bCs/>
                      <w:i/>
                      <w:iCs/>
                      <w:color w:val="000000"/>
                      <w:sz w:val="18"/>
                      <w:szCs w:val="18"/>
                    </w:rPr>
                    <w:t>euro</w:t>
                  </w:r>
                  <w:proofErr w:type="spellEnd"/>
                </w:p>
              </w:tc>
              <w:tc>
                <w:tcPr>
                  <w:tcW w:w="679"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D37368" w:rsidRDefault="003537FD" w:rsidP="00085736">
                  <w:pPr>
                    <w:framePr w:hSpace="180" w:wrap="around" w:vAnchor="text" w:hAnchor="margin" w:xAlign="center" w:y="149"/>
                    <w:jc w:val="center"/>
                    <w:rPr>
                      <w:b/>
                      <w:bCs/>
                      <w:color w:val="000000"/>
                      <w:sz w:val="18"/>
                      <w:szCs w:val="18"/>
                    </w:rPr>
                  </w:pPr>
                  <w:r w:rsidRPr="00D37368">
                    <w:rPr>
                      <w:b/>
                      <w:bCs/>
                      <w:color w:val="000000"/>
                      <w:sz w:val="18"/>
                      <w:szCs w:val="18"/>
                    </w:rPr>
                    <w:t xml:space="preserve">Neplānotie izdevumi (saistībā ar ēkas slēgšanu), </w:t>
                  </w:r>
                  <w:proofErr w:type="spellStart"/>
                  <w:r w:rsidRPr="00D37368">
                    <w:rPr>
                      <w:b/>
                      <w:bCs/>
                      <w:i/>
                      <w:iCs/>
                      <w:color w:val="000000"/>
                      <w:sz w:val="18"/>
                      <w:szCs w:val="18"/>
                    </w:rPr>
                    <w:t>euro</w:t>
                  </w:r>
                  <w:proofErr w:type="spellEnd"/>
                </w:p>
              </w:tc>
              <w:tc>
                <w:tcPr>
                  <w:tcW w:w="679"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D37368" w:rsidRDefault="003537FD" w:rsidP="00085736">
                  <w:pPr>
                    <w:framePr w:hSpace="180" w:wrap="around" w:vAnchor="text" w:hAnchor="margin" w:xAlign="center" w:y="149"/>
                    <w:jc w:val="center"/>
                    <w:rPr>
                      <w:b/>
                      <w:bCs/>
                      <w:color w:val="000000"/>
                      <w:sz w:val="18"/>
                      <w:szCs w:val="18"/>
                    </w:rPr>
                  </w:pPr>
                  <w:r w:rsidRPr="00D37368">
                    <w:rPr>
                      <w:b/>
                      <w:bCs/>
                      <w:color w:val="000000"/>
                      <w:sz w:val="18"/>
                      <w:szCs w:val="18"/>
                    </w:rPr>
                    <w:t xml:space="preserve">Kopējie izdevumi (saistīti ar Tropu fantāziju), </w:t>
                  </w:r>
                  <w:proofErr w:type="spellStart"/>
                  <w:r w:rsidRPr="00D37368">
                    <w:rPr>
                      <w:b/>
                      <w:bCs/>
                      <w:color w:val="000000"/>
                      <w:sz w:val="18"/>
                      <w:szCs w:val="18"/>
                    </w:rPr>
                    <w:t>euro</w:t>
                  </w:r>
                  <w:proofErr w:type="spellEnd"/>
                </w:p>
              </w:tc>
              <w:tc>
                <w:tcPr>
                  <w:tcW w:w="679"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D37368" w:rsidRDefault="003537FD" w:rsidP="00085736">
                  <w:pPr>
                    <w:framePr w:hSpace="180" w:wrap="around" w:vAnchor="text" w:hAnchor="margin" w:xAlign="center" w:y="149"/>
                    <w:jc w:val="center"/>
                    <w:rPr>
                      <w:b/>
                      <w:bCs/>
                      <w:color w:val="000000"/>
                      <w:sz w:val="18"/>
                      <w:szCs w:val="18"/>
                    </w:rPr>
                  </w:pPr>
                  <w:r w:rsidRPr="00D37368">
                    <w:rPr>
                      <w:b/>
                      <w:bCs/>
                      <w:color w:val="000000"/>
                      <w:sz w:val="18"/>
                      <w:szCs w:val="18"/>
                    </w:rPr>
                    <w:t xml:space="preserve">Faktiskie biļešu ieņēmumi, </w:t>
                  </w:r>
                  <w:proofErr w:type="spellStart"/>
                  <w:r w:rsidRPr="00D37368">
                    <w:rPr>
                      <w:b/>
                      <w:bCs/>
                      <w:i/>
                      <w:iCs/>
                      <w:color w:val="000000"/>
                      <w:sz w:val="18"/>
                      <w:szCs w:val="18"/>
                    </w:rPr>
                    <w:t>euro</w:t>
                  </w:r>
                  <w:proofErr w:type="spellEnd"/>
                </w:p>
              </w:tc>
              <w:tc>
                <w:tcPr>
                  <w:tcW w:w="719"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D37368" w:rsidRDefault="003537FD" w:rsidP="00085736">
                  <w:pPr>
                    <w:framePr w:hSpace="180" w:wrap="around" w:vAnchor="text" w:hAnchor="margin" w:xAlign="center" w:y="149"/>
                    <w:jc w:val="center"/>
                    <w:rPr>
                      <w:b/>
                      <w:bCs/>
                      <w:color w:val="000000"/>
                      <w:sz w:val="18"/>
                      <w:szCs w:val="18"/>
                    </w:rPr>
                  </w:pPr>
                  <w:r w:rsidRPr="00D37368">
                    <w:rPr>
                      <w:b/>
                      <w:bCs/>
                      <w:color w:val="000000"/>
                      <w:sz w:val="18"/>
                      <w:szCs w:val="18"/>
                    </w:rPr>
                    <w:t xml:space="preserve">Faktiskie veiktie izdevumi, </w:t>
                  </w:r>
                  <w:proofErr w:type="spellStart"/>
                  <w:r w:rsidRPr="00D37368">
                    <w:rPr>
                      <w:b/>
                      <w:bCs/>
                      <w:color w:val="000000"/>
                      <w:sz w:val="18"/>
                      <w:szCs w:val="18"/>
                    </w:rPr>
                    <w:t>t.sk</w:t>
                  </w:r>
                  <w:proofErr w:type="spellEnd"/>
                  <w:r w:rsidRPr="00D37368">
                    <w:rPr>
                      <w:b/>
                      <w:bCs/>
                      <w:color w:val="000000"/>
                      <w:sz w:val="18"/>
                      <w:szCs w:val="18"/>
                    </w:rPr>
                    <w:t xml:space="preserve"> no biļešu ieņēmumiem,</w:t>
                  </w:r>
                  <w:r w:rsidRPr="00D37368">
                    <w:rPr>
                      <w:b/>
                      <w:bCs/>
                      <w:i/>
                      <w:iCs/>
                      <w:color w:val="000000"/>
                      <w:sz w:val="18"/>
                      <w:szCs w:val="18"/>
                    </w:rPr>
                    <w:t xml:space="preserve"> </w:t>
                  </w:r>
                  <w:proofErr w:type="spellStart"/>
                  <w:r w:rsidRPr="00D37368">
                    <w:rPr>
                      <w:b/>
                      <w:bCs/>
                      <w:i/>
                      <w:iCs/>
                      <w:color w:val="000000"/>
                      <w:sz w:val="18"/>
                      <w:szCs w:val="18"/>
                    </w:rPr>
                    <w:t>euro</w:t>
                  </w:r>
                  <w:proofErr w:type="spellEnd"/>
                </w:p>
              </w:tc>
              <w:tc>
                <w:tcPr>
                  <w:tcW w:w="767"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D37368" w:rsidRDefault="003537FD" w:rsidP="00085736">
                  <w:pPr>
                    <w:framePr w:hSpace="180" w:wrap="around" w:vAnchor="text" w:hAnchor="margin" w:xAlign="center" w:y="149"/>
                    <w:jc w:val="center"/>
                    <w:rPr>
                      <w:b/>
                      <w:bCs/>
                      <w:color w:val="000000"/>
                      <w:sz w:val="18"/>
                      <w:szCs w:val="18"/>
                    </w:rPr>
                  </w:pPr>
                  <w:r w:rsidRPr="00D37368">
                    <w:rPr>
                      <w:b/>
                      <w:bCs/>
                      <w:color w:val="000000"/>
                      <w:sz w:val="18"/>
                      <w:szCs w:val="18"/>
                    </w:rPr>
                    <w:t>Nenokārtotās saistības,</w:t>
                  </w:r>
                  <w:r w:rsidRPr="00D37368">
                    <w:rPr>
                      <w:b/>
                      <w:bCs/>
                      <w:i/>
                      <w:iCs/>
                      <w:color w:val="000000"/>
                      <w:sz w:val="18"/>
                      <w:szCs w:val="18"/>
                    </w:rPr>
                    <w:t xml:space="preserve"> </w:t>
                  </w:r>
                  <w:proofErr w:type="spellStart"/>
                  <w:r w:rsidRPr="00D37368">
                    <w:rPr>
                      <w:b/>
                      <w:bCs/>
                      <w:i/>
                      <w:iCs/>
                      <w:color w:val="000000"/>
                      <w:sz w:val="18"/>
                      <w:szCs w:val="18"/>
                    </w:rPr>
                    <w:t>euro</w:t>
                  </w:r>
                  <w:proofErr w:type="spellEnd"/>
                </w:p>
              </w:tc>
            </w:tr>
            <w:tr w:rsidR="003537FD" w:rsidTr="003113C8">
              <w:trPr>
                <w:trHeight w:val="151"/>
              </w:trPr>
              <w:tc>
                <w:tcPr>
                  <w:tcW w:w="958" w:type="pct"/>
                  <w:tcBorders>
                    <w:top w:val="single" w:sz="8"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3537FD" w:rsidRPr="00085736" w:rsidRDefault="003537FD" w:rsidP="00085736">
                  <w:pPr>
                    <w:framePr w:hSpace="180" w:wrap="around" w:vAnchor="text" w:hAnchor="margin" w:xAlign="center" w:y="149"/>
                    <w:jc w:val="center"/>
                    <w:rPr>
                      <w:color w:val="000000"/>
                      <w:sz w:val="20"/>
                      <w:szCs w:val="20"/>
                    </w:rPr>
                  </w:pPr>
                  <w:r w:rsidRPr="00085736">
                    <w:rPr>
                      <w:color w:val="000000"/>
                      <w:sz w:val="20"/>
                      <w:szCs w:val="20"/>
                    </w:rPr>
                    <w:t>1</w:t>
                  </w:r>
                </w:p>
              </w:tc>
              <w:tc>
                <w:tcPr>
                  <w:tcW w:w="519" w:type="pct"/>
                  <w:tcBorders>
                    <w:top w:val="single" w:sz="8"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3537FD" w:rsidRPr="00085736" w:rsidRDefault="003537FD" w:rsidP="00085736">
                  <w:pPr>
                    <w:framePr w:hSpace="180" w:wrap="around" w:vAnchor="text" w:hAnchor="margin" w:xAlign="center" w:y="149"/>
                    <w:jc w:val="center"/>
                    <w:rPr>
                      <w:color w:val="000000"/>
                      <w:sz w:val="20"/>
                      <w:szCs w:val="20"/>
                    </w:rPr>
                  </w:pPr>
                  <w:r w:rsidRPr="00085736">
                    <w:rPr>
                      <w:color w:val="000000"/>
                      <w:sz w:val="20"/>
                      <w:szCs w:val="20"/>
                    </w:rPr>
                    <w:t>2</w:t>
                  </w:r>
                </w:p>
              </w:tc>
              <w:tc>
                <w:tcPr>
                  <w:tcW w:w="679" w:type="pct"/>
                  <w:tcBorders>
                    <w:top w:val="single" w:sz="8"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3537FD" w:rsidRPr="00085736" w:rsidRDefault="003537FD" w:rsidP="00085736">
                  <w:pPr>
                    <w:framePr w:hSpace="180" w:wrap="around" w:vAnchor="text" w:hAnchor="margin" w:xAlign="center" w:y="149"/>
                    <w:jc w:val="center"/>
                    <w:rPr>
                      <w:color w:val="000000"/>
                      <w:sz w:val="20"/>
                      <w:szCs w:val="20"/>
                    </w:rPr>
                  </w:pPr>
                  <w:r w:rsidRPr="00085736">
                    <w:rPr>
                      <w:color w:val="000000"/>
                      <w:sz w:val="20"/>
                      <w:szCs w:val="20"/>
                    </w:rPr>
                    <w:t>3</w:t>
                  </w:r>
                </w:p>
              </w:tc>
              <w:tc>
                <w:tcPr>
                  <w:tcW w:w="679" w:type="pct"/>
                  <w:tcBorders>
                    <w:top w:val="single" w:sz="8"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3537FD" w:rsidRPr="00085736" w:rsidRDefault="003537FD" w:rsidP="00085736">
                  <w:pPr>
                    <w:framePr w:hSpace="180" w:wrap="around" w:vAnchor="text" w:hAnchor="margin" w:xAlign="center" w:y="149"/>
                    <w:jc w:val="center"/>
                    <w:rPr>
                      <w:color w:val="000000"/>
                      <w:sz w:val="20"/>
                      <w:szCs w:val="20"/>
                    </w:rPr>
                  </w:pPr>
                  <w:r w:rsidRPr="00085736">
                    <w:rPr>
                      <w:color w:val="000000"/>
                      <w:sz w:val="20"/>
                      <w:szCs w:val="20"/>
                    </w:rPr>
                    <w:t>4</w:t>
                  </w:r>
                </w:p>
              </w:tc>
              <w:tc>
                <w:tcPr>
                  <w:tcW w:w="679" w:type="pct"/>
                  <w:tcBorders>
                    <w:top w:val="single" w:sz="8"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3537FD" w:rsidRPr="00085736" w:rsidRDefault="003537FD" w:rsidP="00085736">
                  <w:pPr>
                    <w:framePr w:hSpace="180" w:wrap="around" w:vAnchor="text" w:hAnchor="margin" w:xAlign="center" w:y="149"/>
                    <w:jc w:val="center"/>
                    <w:rPr>
                      <w:color w:val="000000"/>
                      <w:sz w:val="20"/>
                      <w:szCs w:val="20"/>
                    </w:rPr>
                  </w:pPr>
                  <w:r w:rsidRPr="00085736">
                    <w:rPr>
                      <w:color w:val="000000"/>
                      <w:sz w:val="20"/>
                      <w:szCs w:val="20"/>
                    </w:rPr>
                    <w:t>5</w:t>
                  </w:r>
                </w:p>
              </w:tc>
              <w:tc>
                <w:tcPr>
                  <w:tcW w:w="719" w:type="pct"/>
                  <w:tcBorders>
                    <w:top w:val="single" w:sz="8"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3537FD" w:rsidRPr="00085736" w:rsidRDefault="003537FD" w:rsidP="00085736">
                  <w:pPr>
                    <w:framePr w:hSpace="180" w:wrap="around" w:vAnchor="text" w:hAnchor="margin" w:xAlign="center" w:y="149"/>
                    <w:jc w:val="center"/>
                    <w:rPr>
                      <w:color w:val="000000"/>
                      <w:sz w:val="20"/>
                      <w:szCs w:val="20"/>
                    </w:rPr>
                  </w:pPr>
                  <w:r w:rsidRPr="00085736">
                    <w:rPr>
                      <w:color w:val="000000"/>
                      <w:sz w:val="20"/>
                      <w:szCs w:val="20"/>
                    </w:rPr>
                    <w:t>6</w:t>
                  </w:r>
                </w:p>
              </w:tc>
              <w:tc>
                <w:tcPr>
                  <w:tcW w:w="767" w:type="pct"/>
                  <w:tcBorders>
                    <w:top w:val="single" w:sz="8" w:space="0" w:color="auto"/>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3537FD" w:rsidRPr="00085736" w:rsidRDefault="003537FD" w:rsidP="00085736">
                  <w:pPr>
                    <w:framePr w:hSpace="180" w:wrap="around" w:vAnchor="text" w:hAnchor="margin" w:xAlign="center" w:y="149"/>
                    <w:jc w:val="center"/>
                    <w:rPr>
                      <w:color w:val="000000"/>
                      <w:sz w:val="20"/>
                      <w:szCs w:val="20"/>
                    </w:rPr>
                  </w:pPr>
                  <w:r w:rsidRPr="00085736">
                    <w:rPr>
                      <w:color w:val="000000"/>
                      <w:sz w:val="20"/>
                      <w:szCs w:val="20"/>
                    </w:rPr>
                    <w:t>7</w:t>
                  </w:r>
                </w:p>
              </w:tc>
            </w:tr>
            <w:tr w:rsidR="003537FD" w:rsidTr="003113C8">
              <w:trPr>
                <w:trHeight w:val="384"/>
              </w:trPr>
              <w:tc>
                <w:tcPr>
                  <w:tcW w:w="5000" w:type="pct"/>
                  <w:gridSpan w:val="7"/>
                  <w:tcBorders>
                    <w:top w:val="nil"/>
                    <w:left w:val="single" w:sz="8" w:space="0" w:color="auto"/>
                    <w:bottom w:val="single" w:sz="8" w:space="0" w:color="auto"/>
                    <w:right w:val="nil"/>
                  </w:tcBorders>
                  <w:shd w:val="clear" w:color="000000" w:fill="FFFFFF"/>
                  <w:tcMar>
                    <w:top w:w="15" w:type="dxa"/>
                    <w:left w:w="15" w:type="dxa"/>
                    <w:bottom w:w="0" w:type="dxa"/>
                    <w:right w:w="15" w:type="dxa"/>
                  </w:tcMar>
                  <w:vAlign w:val="center"/>
                  <w:hideMark/>
                </w:tcPr>
                <w:p w:rsidR="003537FD" w:rsidRPr="00D37368" w:rsidRDefault="003537FD" w:rsidP="00D37368">
                  <w:pPr>
                    <w:framePr w:hSpace="180" w:wrap="around" w:vAnchor="text" w:hAnchor="margin" w:xAlign="center" w:y="149"/>
                    <w:jc w:val="center"/>
                    <w:rPr>
                      <w:b/>
                      <w:color w:val="000000"/>
                      <w:sz w:val="20"/>
                      <w:szCs w:val="20"/>
                    </w:rPr>
                  </w:pPr>
                  <w:r w:rsidRPr="00D37368">
                    <w:rPr>
                      <w:b/>
                      <w:color w:val="000000"/>
                      <w:sz w:val="20"/>
                      <w:szCs w:val="20"/>
                    </w:rPr>
                    <w:t>Tiešās ar izrādi saistīt</w:t>
                  </w:r>
                  <w:r w:rsidR="00F92D7C">
                    <w:rPr>
                      <w:b/>
                      <w:color w:val="000000"/>
                      <w:sz w:val="20"/>
                      <w:szCs w:val="20"/>
                    </w:rPr>
                    <w:t>ie izdevumi (neieskaitot Rīgas c</w:t>
                  </w:r>
                  <w:r w:rsidRPr="00D37368">
                    <w:rPr>
                      <w:b/>
                      <w:color w:val="000000"/>
                      <w:sz w:val="20"/>
                      <w:szCs w:val="20"/>
                    </w:rPr>
                    <w:t>irka ekspluatācijas izdevumus, štata darbinieku atalgojumu):</w:t>
                  </w:r>
                </w:p>
              </w:tc>
            </w:tr>
            <w:tr w:rsidR="003537FD" w:rsidTr="003113C8">
              <w:trPr>
                <w:trHeight w:val="900"/>
              </w:trPr>
              <w:tc>
                <w:tcPr>
                  <w:tcW w:w="958"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proofErr w:type="spellStart"/>
                  <w:r w:rsidRPr="00085736">
                    <w:rPr>
                      <w:color w:val="000000"/>
                      <w:sz w:val="20"/>
                      <w:szCs w:val="20"/>
                    </w:rPr>
                    <w:t>Kubas</w:t>
                  </w:r>
                  <w:proofErr w:type="spellEnd"/>
                  <w:r w:rsidRPr="00085736">
                    <w:rPr>
                      <w:color w:val="000000"/>
                      <w:sz w:val="20"/>
                      <w:szCs w:val="20"/>
                    </w:rPr>
                    <w:t xml:space="preserve"> nacionālais cirks „Tropu fantāzija”</w:t>
                  </w:r>
                </w:p>
              </w:tc>
              <w:tc>
                <w:tcPr>
                  <w:tcW w:w="51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45 000</w:t>
                  </w:r>
                </w:p>
              </w:tc>
              <w:tc>
                <w:tcPr>
                  <w:tcW w:w="67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w:t>
                  </w:r>
                </w:p>
              </w:tc>
              <w:tc>
                <w:tcPr>
                  <w:tcW w:w="679" w:type="pct"/>
                  <w:tcBorders>
                    <w:top w:val="nil"/>
                    <w:left w:val="single" w:sz="8" w:space="0" w:color="auto"/>
                    <w:bottom w:val="single" w:sz="8" w:space="0" w:color="auto"/>
                    <w:right w:val="single" w:sz="8" w:space="0" w:color="auto"/>
                  </w:tcBorders>
                  <w:shd w:val="clear" w:color="000000" w:fill="DBE5F1"/>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45 000</w:t>
                  </w:r>
                </w:p>
              </w:tc>
              <w:tc>
                <w:tcPr>
                  <w:tcW w:w="67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w:t>
                  </w:r>
                </w:p>
              </w:tc>
              <w:tc>
                <w:tcPr>
                  <w:tcW w:w="719" w:type="pct"/>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20 250</w:t>
                  </w:r>
                </w:p>
              </w:tc>
              <w:tc>
                <w:tcPr>
                  <w:tcW w:w="767" w:type="pct"/>
                  <w:tcBorders>
                    <w:top w:val="nil"/>
                    <w:left w:val="single" w:sz="8" w:space="0" w:color="auto"/>
                    <w:bottom w:val="single" w:sz="8" w:space="0" w:color="auto"/>
                    <w:right w:val="single" w:sz="8" w:space="0" w:color="auto"/>
                  </w:tcBorders>
                  <w:shd w:val="clear" w:color="000000" w:fill="E5E0EC"/>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24 750</w:t>
                  </w:r>
                </w:p>
              </w:tc>
            </w:tr>
            <w:tr w:rsidR="003537FD" w:rsidTr="003113C8">
              <w:trPr>
                <w:trHeight w:val="900"/>
              </w:trPr>
              <w:tc>
                <w:tcPr>
                  <w:tcW w:w="958"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proofErr w:type="spellStart"/>
                  <w:r w:rsidRPr="00085736">
                    <w:rPr>
                      <w:color w:val="000000"/>
                      <w:sz w:val="20"/>
                      <w:szCs w:val="20"/>
                    </w:rPr>
                    <w:t>Liv</w:t>
                  </w:r>
                  <w:proofErr w:type="spellEnd"/>
                  <w:r w:rsidRPr="00085736">
                    <w:rPr>
                      <w:color w:val="000000"/>
                      <w:sz w:val="20"/>
                      <w:szCs w:val="20"/>
                    </w:rPr>
                    <w:t xml:space="preserve"> </w:t>
                  </w:r>
                  <w:proofErr w:type="spellStart"/>
                  <w:r w:rsidRPr="00085736">
                    <w:rPr>
                      <w:color w:val="000000"/>
                      <w:sz w:val="20"/>
                      <w:szCs w:val="20"/>
                    </w:rPr>
                    <w:t>Knoche&amp;Tobias</w:t>
                  </w:r>
                  <w:proofErr w:type="spellEnd"/>
                  <w:r w:rsidRPr="00085736">
                    <w:rPr>
                      <w:color w:val="000000"/>
                      <w:sz w:val="20"/>
                      <w:szCs w:val="20"/>
                    </w:rPr>
                    <w:t xml:space="preserve"> </w:t>
                  </w:r>
                  <w:proofErr w:type="spellStart"/>
                  <w:r w:rsidRPr="00085736">
                    <w:rPr>
                      <w:color w:val="000000"/>
                      <w:sz w:val="20"/>
                      <w:szCs w:val="20"/>
                    </w:rPr>
                    <w:t>Willach</w:t>
                  </w:r>
                  <w:proofErr w:type="spellEnd"/>
                  <w:r w:rsidRPr="00085736">
                    <w:rPr>
                      <w:color w:val="000000"/>
                      <w:sz w:val="20"/>
                      <w:szCs w:val="20"/>
                    </w:rPr>
                    <w:t xml:space="preserve"> „DUO TRAPEZE”</w:t>
                  </w:r>
                </w:p>
              </w:tc>
              <w:tc>
                <w:tcPr>
                  <w:tcW w:w="51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4 000</w:t>
                  </w:r>
                </w:p>
              </w:tc>
              <w:tc>
                <w:tcPr>
                  <w:tcW w:w="67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w:t>
                  </w:r>
                </w:p>
              </w:tc>
              <w:tc>
                <w:tcPr>
                  <w:tcW w:w="679" w:type="pct"/>
                  <w:tcBorders>
                    <w:top w:val="nil"/>
                    <w:left w:val="single" w:sz="8" w:space="0" w:color="auto"/>
                    <w:bottom w:val="single" w:sz="8" w:space="0" w:color="auto"/>
                    <w:right w:val="single" w:sz="8" w:space="0" w:color="auto"/>
                  </w:tcBorders>
                  <w:shd w:val="clear" w:color="000000" w:fill="DBE5F1"/>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4 000</w:t>
                  </w:r>
                </w:p>
              </w:tc>
              <w:tc>
                <w:tcPr>
                  <w:tcW w:w="67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w:t>
                  </w:r>
                </w:p>
              </w:tc>
              <w:tc>
                <w:tcPr>
                  <w:tcW w:w="719" w:type="pct"/>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1 800</w:t>
                  </w:r>
                </w:p>
              </w:tc>
              <w:tc>
                <w:tcPr>
                  <w:tcW w:w="767" w:type="pct"/>
                  <w:tcBorders>
                    <w:top w:val="nil"/>
                    <w:left w:val="single" w:sz="8" w:space="0" w:color="auto"/>
                    <w:bottom w:val="single" w:sz="8" w:space="0" w:color="auto"/>
                    <w:right w:val="single" w:sz="8" w:space="0" w:color="auto"/>
                  </w:tcBorders>
                  <w:shd w:val="clear" w:color="000000" w:fill="E5E0EC"/>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2 200</w:t>
                  </w:r>
                </w:p>
              </w:tc>
            </w:tr>
            <w:tr w:rsidR="003537FD" w:rsidTr="003113C8">
              <w:trPr>
                <w:trHeight w:val="900"/>
              </w:trPr>
              <w:tc>
                <w:tcPr>
                  <w:tcW w:w="958"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proofErr w:type="spellStart"/>
                  <w:r w:rsidRPr="00085736">
                    <w:rPr>
                      <w:color w:val="000000"/>
                      <w:sz w:val="20"/>
                      <w:szCs w:val="20"/>
                    </w:rPr>
                    <w:t>Marleen</w:t>
                  </w:r>
                  <w:proofErr w:type="spellEnd"/>
                  <w:r w:rsidRPr="00085736">
                    <w:rPr>
                      <w:color w:val="000000"/>
                      <w:sz w:val="20"/>
                      <w:szCs w:val="20"/>
                    </w:rPr>
                    <w:t xml:space="preserve"> de </w:t>
                  </w:r>
                  <w:proofErr w:type="spellStart"/>
                  <w:r w:rsidRPr="00085736">
                    <w:rPr>
                      <w:color w:val="000000"/>
                      <w:sz w:val="20"/>
                      <w:szCs w:val="20"/>
                    </w:rPr>
                    <w:t>Koeyer</w:t>
                  </w:r>
                  <w:proofErr w:type="spellEnd"/>
                  <w:r w:rsidRPr="00085736">
                    <w:rPr>
                      <w:color w:val="000000"/>
                      <w:sz w:val="20"/>
                      <w:szCs w:val="20"/>
                    </w:rPr>
                    <w:t xml:space="preserve"> Atrakcija ar dzīvniekiem</w:t>
                  </w:r>
                </w:p>
              </w:tc>
              <w:tc>
                <w:tcPr>
                  <w:tcW w:w="51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6 000</w:t>
                  </w:r>
                </w:p>
              </w:tc>
              <w:tc>
                <w:tcPr>
                  <w:tcW w:w="67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w:t>
                  </w:r>
                </w:p>
              </w:tc>
              <w:tc>
                <w:tcPr>
                  <w:tcW w:w="679" w:type="pct"/>
                  <w:tcBorders>
                    <w:top w:val="nil"/>
                    <w:left w:val="single" w:sz="8" w:space="0" w:color="auto"/>
                    <w:bottom w:val="single" w:sz="8" w:space="0" w:color="auto"/>
                    <w:right w:val="single" w:sz="8" w:space="0" w:color="auto"/>
                  </w:tcBorders>
                  <w:shd w:val="clear" w:color="000000" w:fill="DBE5F1"/>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6 000</w:t>
                  </w:r>
                </w:p>
              </w:tc>
              <w:tc>
                <w:tcPr>
                  <w:tcW w:w="67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w:t>
                  </w:r>
                </w:p>
              </w:tc>
              <w:tc>
                <w:tcPr>
                  <w:tcW w:w="719" w:type="pct"/>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2 700</w:t>
                  </w:r>
                </w:p>
              </w:tc>
              <w:tc>
                <w:tcPr>
                  <w:tcW w:w="767" w:type="pct"/>
                  <w:tcBorders>
                    <w:top w:val="nil"/>
                    <w:left w:val="single" w:sz="8" w:space="0" w:color="auto"/>
                    <w:bottom w:val="single" w:sz="8" w:space="0" w:color="auto"/>
                    <w:right w:val="single" w:sz="8" w:space="0" w:color="auto"/>
                  </w:tcBorders>
                  <w:shd w:val="clear" w:color="000000" w:fill="E5E0EC"/>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3 300</w:t>
                  </w:r>
                </w:p>
              </w:tc>
            </w:tr>
            <w:tr w:rsidR="003537FD" w:rsidTr="003113C8">
              <w:trPr>
                <w:trHeight w:val="900"/>
              </w:trPr>
              <w:tc>
                <w:tcPr>
                  <w:tcW w:w="958"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xml:space="preserve">MUSTEATA </w:t>
                  </w:r>
                  <w:proofErr w:type="spellStart"/>
                  <w:r w:rsidRPr="00085736">
                    <w:rPr>
                      <w:color w:val="000000"/>
                      <w:sz w:val="20"/>
                      <w:szCs w:val="20"/>
                    </w:rPr>
                    <w:t>Oleg</w:t>
                  </w:r>
                  <w:proofErr w:type="spellEnd"/>
                  <w:r w:rsidRPr="00085736">
                    <w:rPr>
                      <w:color w:val="000000"/>
                      <w:sz w:val="20"/>
                      <w:szCs w:val="20"/>
                    </w:rPr>
                    <w:t xml:space="preserve"> „KLAUNA </w:t>
                  </w:r>
                  <w:proofErr w:type="spellStart"/>
                  <w:r w:rsidRPr="00085736">
                    <w:rPr>
                      <w:color w:val="000000"/>
                      <w:sz w:val="20"/>
                      <w:szCs w:val="20"/>
                    </w:rPr>
                    <w:t>reprīzes</w:t>
                  </w:r>
                  <w:proofErr w:type="spellEnd"/>
                  <w:r w:rsidRPr="00085736">
                    <w:rPr>
                      <w:color w:val="000000"/>
                      <w:sz w:val="20"/>
                      <w:szCs w:val="20"/>
                    </w:rPr>
                    <w:t>” *</w:t>
                  </w:r>
                </w:p>
              </w:tc>
              <w:tc>
                <w:tcPr>
                  <w:tcW w:w="51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1 500</w:t>
                  </w:r>
                </w:p>
              </w:tc>
              <w:tc>
                <w:tcPr>
                  <w:tcW w:w="67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w:t>
                  </w:r>
                </w:p>
              </w:tc>
              <w:tc>
                <w:tcPr>
                  <w:tcW w:w="679" w:type="pct"/>
                  <w:tcBorders>
                    <w:top w:val="nil"/>
                    <w:left w:val="single" w:sz="8" w:space="0" w:color="auto"/>
                    <w:bottom w:val="single" w:sz="8" w:space="0" w:color="auto"/>
                    <w:right w:val="single" w:sz="8" w:space="0" w:color="auto"/>
                  </w:tcBorders>
                  <w:shd w:val="clear" w:color="000000" w:fill="DBE5F1"/>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225</w:t>
                  </w:r>
                </w:p>
              </w:tc>
              <w:tc>
                <w:tcPr>
                  <w:tcW w:w="67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w:t>
                  </w:r>
                </w:p>
              </w:tc>
              <w:tc>
                <w:tcPr>
                  <w:tcW w:w="719" w:type="pct"/>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225</w:t>
                  </w:r>
                </w:p>
              </w:tc>
              <w:tc>
                <w:tcPr>
                  <w:tcW w:w="767" w:type="pct"/>
                  <w:tcBorders>
                    <w:top w:val="nil"/>
                    <w:left w:val="single" w:sz="8" w:space="0" w:color="auto"/>
                    <w:bottom w:val="single" w:sz="8" w:space="0" w:color="auto"/>
                    <w:right w:val="single" w:sz="8" w:space="0" w:color="auto"/>
                  </w:tcBorders>
                  <w:shd w:val="clear" w:color="000000" w:fill="E5E0EC"/>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0</w:t>
                  </w:r>
                </w:p>
              </w:tc>
            </w:tr>
            <w:tr w:rsidR="003537FD" w:rsidTr="003113C8">
              <w:trPr>
                <w:trHeight w:val="300"/>
              </w:trPr>
              <w:tc>
                <w:tcPr>
                  <w:tcW w:w="958"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xml:space="preserve">ZNACENI Mihail „Klauna </w:t>
                  </w:r>
                  <w:proofErr w:type="spellStart"/>
                  <w:r w:rsidRPr="00085736">
                    <w:rPr>
                      <w:color w:val="000000"/>
                      <w:sz w:val="20"/>
                      <w:szCs w:val="20"/>
                    </w:rPr>
                    <w:t>reprīzes</w:t>
                  </w:r>
                  <w:proofErr w:type="spellEnd"/>
                  <w:r w:rsidRPr="00085736">
                    <w:rPr>
                      <w:color w:val="000000"/>
                      <w:sz w:val="20"/>
                      <w:szCs w:val="20"/>
                    </w:rPr>
                    <w:t>” *</w:t>
                  </w:r>
                </w:p>
              </w:tc>
              <w:tc>
                <w:tcPr>
                  <w:tcW w:w="519"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1 600</w:t>
                  </w:r>
                </w:p>
              </w:tc>
              <w:tc>
                <w:tcPr>
                  <w:tcW w:w="679"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w:t>
                  </w:r>
                </w:p>
              </w:tc>
              <w:tc>
                <w:tcPr>
                  <w:tcW w:w="679" w:type="pct"/>
                  <w:vMerge w:val="restart"/>
                  <w:tcBorders>
                    <w:top w:val="nil"/>
                    <w:left w:val="single" w:sz="8" w:space="0" w:color="auto"/>
                    <w:bottom w:val="single" w:sz="8" w:space="0" w:color="000000"/>
                    <w:right w:val="single" w:sz="8" w:space="0" w:color="auto"/>
                  </w:tcBorders>
                  <w:shd w:val="clear" w:color="000000" w:fill="DBE5F1"/>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480</w:t>
                  </w:r>
                </w:p>
              </w:tc>
              <w:tc>
                <w:tcPr>
                  <w:tcW w:w="679"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w:t>
                  </w:r>
                </w:p>
              </w:tc>
              <w:tc>
                <w:tcPr>
                  <w:tcW w:w="719" w:type="pct"/>
                  <w:vMerge w:val="restart"/>
                  <w:tcBorders>
                    <w:top w:val="nil"/>
                    <w:left w:val="single" w:sz="8" w:space="0" w:color="auto"/>
                    <w:bottom w:val="single" w:sz="8" w:space="0" w:color="000000"/>
                    <w:right w:val="single" w:sz="8" w:space="0" w:color="auto"/>
                  </w:tcBorders>
                  <w:shd w:val="clear" w:color="000000" w:fill="DDD9C3"/>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480</w:t>
                  </w:r>
                </w:p>
              </w:tc>
              <w:tc>
                <w:tcPr>
                  <w:tcW w:w="767" w:type="pct"/>
                  <w:tcBorders>
                    <w:top w:val="nil"/>
                    <w:left w:val="single" w:sz="8" w:space="0" w:color="auto"/>
                    <w:bottom w:val="nil"/>
                    <w:right w:val="single" w:sz="8" w:space="0" w:color="auto"/>
                  </w:tcBorders>
                  <w:shd w:val="clear" w:color="000000" w:fill="E5E0EC"/>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0</w:t>
                  </w:r>
                </w:p>
              </w:tc>
            </w:tr>
            <w:tr w:rsidR="003537FD" w:rsidTr="003113C8">
              <w:trPr>
                <w:trHeight w:val="315"/>
              </w:trPr>
              <w:tc>
                <w:tcPr>
                  <w:tcW w:w="958" w:type="pct"/>
                  <w:vMerge/>
                  <w:tcBorders>
                    <w:top w:val="single" w:sz="8" w:space="0" w:color="auto"/>
                    <w:left w:val="single" w:sz="8" w:space="0" w:color="auto"/>
                    <w:bottom w:val="single" w:sz="8" w:space="0" w:color="000000"/>
                    <w:right w:val="single" w:sz="8" w:space="0" w:color="auto"/>
                  </w:tcBorders>
                  <w:vAlign w:val="center"/>
                  <w:hideMark/>
                </w:tcPr>
                <w:p w:rsidR="003537FD" w:rsidRPr="00085736" w:rsidRDefault="003537FD" w:rsidP="00085736">
                  <w:pPr>
                    <w:framePr w:hSpace="180" w:wrap="around" w:vAnchor="text" w:hAnchor="margin" w:xAlign="center" w:y="149"/>
                    <w:rPr>
                      <w:color w:val="000000"/>
                      <w:sz w:val="20"/>
                      <w:szCs w:val="20"/>
                    </w:rPr>
                  </w:pPr>
                </w:p>
              </w:tc>
              <w:tc>
                <w:tcPr>
                  <w:tcW w:w="519" w:type="pct"/>
                  <w:vMerge/>
                  <w:tcBorders>
                    <w:top w:val="nil"/>
                    <w:left w:val="single" w:sz="8" w:space="0" w:color="auto"/>
                    <w:bottom w:val="single" w:sz="8" w:space="0" w:color="000000"/>
                    <w:right w:val="single" w:sz="8" w:space="0" w:color="auto"/>
                  </w:tcBorders>
                  <w:vAlign w:val="center"/>
                  <w:hideMark/>
                </w:tcPr>
                <w:p w:rsidR="003537FD" w:rsidRPr="00085736" w:rsidRDefault="003537FD" w:rsidP="00085736">
                  <w:pPr>
                    <w:framePr w:hSpace="180" w:wrap="around" w:vAnchor="text" w:hAnchor="margin" w:xAlign="center" w:y="149"/>
                    <w:rPr>
                      <w:color w:val="000000"/>
                      <w:sz w:val="20"/>
                      <w:szCs w:val="20"/>
                    </w:rPr>
                  </w:pPr>
                </w:p>
              </w:tc>
              <w:tc>
                <w:tcPr>
                  <w:tcW w:w="679" w:type="pct"/>
                  <w:vMerge/>
                  <w:tcBorders>
                    <w:top w:val="nil"/>
                    <w:left w:val="single" w:sz="8" w:space="0" w:color="auto"/>
                    <w:bottom w:val="single" w:sz="8" w:space="0" w:color="000000"/>
                    <w:right w:val="single" w:sz="8" w:space="0" w:color="auto"/>
                  </w:tcBorders>
                  <w:vAlign w:val="center"/>
                  <w:hideMark/>
                </w:tcPr>
                <w:p w:rsidR="003537FD" w:rsidRPr="00085736" w:rsidRDefault="003537FD" w:rsidP="00085736">
                  <w:pPr>
                    <w:framePr w:hSpace="180" w:wrap="around" w:vAnchor="text" w:hAnchor="margin" w:xAlign="center" w:y="149"/>
                    <w:rPr>
                      <w:color w:val="000000"/>
                      <w:sz w:val="20"/>
                      <w:szCs w:val="20"/>
                    </w:rPr>
                  </w:pPr>
                </w:p>
              </w:tc>
              <w:tc>
                <w:tcPr>
                  <w:tcW w:w="679" w:type="pct"/>
                  <w:vMerge/>
                  <w:tcBorders>
                    <w:top w:val="nil"/>
                    <w:left w:val="single" w:sz="8" w:space="0" w:color="auto"/>
                    <w:bottom w:val="single" w:sz="8" w:space="0" w:color="000000"/>
                    <w:right w:val="single" w:sz="8" w:space="0" w:color="auto"/>
                  </w:tcBorders>
                  <w:vAlign w:val="center"/>
                  <w:hideMark/>
                </w:tcPr>
                <w:p w:rsidR="003537FD" w:rsidRPr="00085736" w:rsidRDefault="003537FD" w:rsidP="00085736">
                  <w:pPr>
                    <w:framePr w:hSpace="180" w:wrap="around" w:vAnchor="text" w:hAnchor="margin" w:xAlign="center" w:y="149"/>
                    <w:rPr>
                      <w:color w:val="000000"/>
                      <w:sz w:val="20"/>
                      <w:szCs w:val="20"/>
                    </w:rPr>
                  </w:pPr>
                </w:p>
              </w:tc>
              <w:tc>
                <w:tcPr>
                  <w:tcW w:w="679" w:type="pct"/>
                  <w:vMerge/>
                  <w:tcBorders>
                    <w:top w:val="nil"/>
                    <w:left w:val="single" w:sz="8" w:space="0" w:color="auto"/>
                    <w:bottom w:val="single" w:sz="8" w:space="0" w:color="000000"/>
                    <w:right w:val="single" w:sz="8" w:space="0" w:color="auto"/>
                  </w:tcBorders>
                  <w:vAlign w:val="center"/>
                  <w:hideMark/>
                </w:tcPr>
                <w:p w:rsidR="003537FD" w:rsidRPr="00085736" w:rsidRDefault="003537FD" w:rsidP="00085736">
                  <w:pPr>
                    <w:framePr w:hSpace="180" w:wrap="around" w:vAnchor="text" w:hAnchor="margin" w:xAlign="center" w:y="149"/>
                    <w:rPr>
                      <w:color w:val="000000"/>
                      <w:sz w:val="20"/>
                      <w:szCs w:val="20"/>
                    </w:rPr>
                  </w:pPr>
                </w:p>
              </w:tc>
              <w:tc>
                <w:tcPr>
                  <w:tcW w:w="719" w:type="pct"/>
                  <w:vMerge/>
                  <w:tcBorders>
                    <w:top w:val="nil"/>
                    <w:left w:val="single" w:sz="8" w:space="0" w:color="auto"/>
                    <w:bottom w:val="single" w:sz="8" w:space="0" w:color="000000"/>
                    <w:right w:val="single" w:sz="8" w:space="0" w:color="auto"/>
                  </w:tcBorders>
                  <w:vAlign w:val="center"/>
                  <w:hideMark/>
                </w:tcPr>
                <w:p w:rsidR="003537FD" w:rsidRPr="00085736" w:rsidRDefault="003537FD" w:rsidP="00085736">
                  <w:pPr>
                    <w:framePr w:hSpace="180" w:wrap="around" w:vAnchor="text" w:hAnchor="margin" w:xAlign="center" w:y="149"/>
                    <w:rPr>
                      <w:color w:val="000000"/>
                      <w:sz w:val="20"/>
                      <w:szCs w:val="20"/>
                    </w:rPr>
                  </w:pPr>
                </w:p>
              </w:tc>
              <w:tc>
                <w:tcPr>
                  <w:tcW w:w="767" w:type="pct"/>
                  <w:tcBorders>
                    <w:top w:val="nil"/>
                    <w:left w:val="single" w:sz="8" w:space="0" w:color="auto"/>
                    <w:bottom w:val="single" w:sz="8" w:space="0" w:color="auto"/>
                    <w:right w:val="single" w:sz="8" w:space="0" w:color="auto"/>
                  </w:tcBorders>
                  <w:shd w:val="clear" w:color="000000" w:fill="E5E0EC"/>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xml:space="preserve"> </w:t>
                  </w:r>
                </w:p>
              </w:tc>
            </w:tr>
            <w:tr w:rsidR="003537FD" w:rsidTr="003113C8">
              <w:trPr>
                <w:trHeight w:val="300"/>
              </w:trPr>
              <w:tc>
                <w:tcPr>
                  <w:tcW w:w="958" w:type="pct"/>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hideMark/>
                </w:tcPr>
                <w:p w:rsidR="003537FD" w:rsidRPr="00085736" w:rsidRDefault="003537FD" w:rsidP="00F92D7C">
                  <w:pPr>
                    <w:framePr w:hSpace="180" w:wrap="around" w:vAnchor="text" w:hAnchor="margin" w:xAlign="center" w:y="149"/>
                    <w:rPr>
                      <w:color w:val="000000"/>
                      <w:sz w:val="20"/>
                      <w:szCs w:val="20"/>
                    </w:rPr>
                  </w:pPr>
                  <w:r w:rsidRPr="00085736">
                    <w:rPr>
                      <w:color w:val="000000"/>
                      <w:sz w:val="20"/>
                      <w:szCs w:val="20"/>
                    </w:rPr>
                    <w:t xml:space="preserve"> ROSTIKOVS  </w:t>
                  </w:r>
                </w:p>
              </w:tc>
              <w:tc>
                <w:tcPr>
                  <w:tcW w:w="519"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w:t>
                  </w:r>
                </w:p>
              </w:tc>
              <w:tc>
                <w:tcPr>
                  <w:tcW w:w="679"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900</w:t>
                  </w:r>
                </w:p>
              </w:tc>
              <w:tc>
                <w:tcPr>
                  <w:tcW w:w="679" w:type="pct"/>
                  <w:vMerge w:val="restart"/>
                  <w:tcBorders>
                    <w:top w:val="nil"/>
                    <w:left w:val="single" w:sz="8" w:space="0" w:color="auto"/>
                    <w:bottom w:val="single" w:sz="8" w:space="0" w:color="000000"/>
                    <w:right w:val="single" w:sz="8" w:space="0" w:color="auto"/>
                  </w:tcBorders>
                  <w:shd w:val="clear" w:color="000000" w:fill="DBE5F1"/>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900</w:t>
                  </w:r>
                </w:p>
              </w:tc>
              <w:tc>
                <w:tcPr>
                  <w:tcW w:w="679" w:type="pct"/>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w:t>
                  </w:r>
                </w:p>
              </w:tc>
              <w:tc>
                <w:tcPr>
                  <w:tcW w:w="719" w:type="pct"/>
                  <w:vMerge w:val="restart"/>
                  <w:tcBorders>
                    <w:top w:val="nil"/>
                    <w:left w:val="single" w:sz="8" w:space="0" w:color="auto"/>
                    <w:bottom w:val="single" w:sz="8" w:space="0" w:color="000000"/>
                    <w:right w:val="single" w:sz="8" w:space="0" w:color="auto"/>
                  </w:tcBorders>
                  <w:shd w:val="clear" w:color="000000" w:fill="DDD9C3"/>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900</w:t>
                  </w:r>
                </w:p>
              </w:tc>
              <w:tc>
                <w:tcPr>
                  <w:tcW w:w="767" w:type="pct"/>
                  <w:vMerge w:val="restart"/>
                  <w:tcBorders>
                    <w:top w:val="nil"/>
                    <w:left w:val="single" w:sz="8" w:space="0" w:color="auto"/>
                    <w:bottom w:val="single" w:sz="8" w:space="0" w:color="000000"/>
                    <w:right w:val="single" w:sz="8" w:space="0" w:color="auto"/>
                  </w:tcBorders>
                  <w:shd w:val="clear" w:color="000000" w:fill="E5E0EC"/>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0</w:t>
                  </w:r>
                </w:p>
              </w:tc>
            </w:tr>
            <w:tr w:rsidR="003537FD" w:rsidTr="003113C8">
              <w:trPr>
                <w:trHeight w:val="243"/>
              </w:trPr>
              <w:tc>
                <w:tcPr>
                  <w:tcW w:w="958"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xml:space="preserve">„Klauna </w:t>
                  </w:r>
                  <w:proofErr w:type="spellStart"/>
                  <w:r w:rsidRPr="00085736">
                    <w:rPr>
                      <w:color w:val="000000"/>
                      <w:sz w:val="20"/>
                      <w:szCs w:val="20"/>
                    </w:rPr>
                    <w:t>reprīzes</w:t>
                  </w:r>
                  <w:proofErr w:type="spellEnd"/>
                  <w:r w:rsidRPr="00085736">
                    <w:rPr>
                      <w:color w:val="000000"/>
                      <w:sz w:val="20"/>
                      <w:szCs w:val="20"/>
                    </w:rPr>
                    <w:t>”</w:t>
                  </w:r>
                </w:p>
              </w:tc>
              <w:tc>
                <w:tcPr>
                  <w:tcW w:w="519" w:type="pct"/>
                  <w:vMerge/>
                  <w:tcBorders>
                    <w:top w:val="nil"/>
                    <w:left w:val="single" w:sz="8" w:space="0" w:color="auto"/>
                    <w:bottom w:val="single" w:sz="8" w:space="0" w:color="000000"/>
                    <w:right w:val="single" w:sz="8" w:space="0" w:color="auto"/>
                  </w:tcBorders>
                  <w:vAlign w:val="center"/>
                  <w:hideMark/>
                </w:tcPr>
                <w:p w:rsidR="003537FD" w:rsidRPr="00085736" w:rsidRDefault="003537FD" w:rsidP="00085736">
                  <w:pPr>
                    <w:framePr w:hSpace="180" w:wrap="around" w:vAnchor="text" w:hAnchor="margin" w:xAlign="center" w:y="149"/>
                    <w:rPr>
                      <w:color w:val="000000"/>
                      <w:sz w:val="20"/>
                      <w:szCs w:val="20"/>
                    </w:rPr>
                  </w:pPr>
                </w:p>
              </w:tc>
              <w:tc>
                <w:tcPr>
                  <w:tcW w:w="679" w:type="pct"/>
                  <w:vMerge/>
                  <w:tcBorders>
                    <w:top w:val="nil"/>
                    <w:left w:val="single" w:sz="8" w:space="0" w:color="auto"/>
                    <w:bottom w:val="single" w:sz="8" w:space="0" w:color="000000"/>
                    <w:right w:val="single" w:sz="8" w:space="0" w:color="auto"/>
                  </w:tcBorders>
                  <w:vAlign w:val="center"/>
                  <w:hideMark/>
                </w:tcPr>
                <w:p w:rsidR="003537FD" w:rsidRPr="00085736" w:rsidRDefault="003537FD" w:rsidP="00085736">
                  <w:pPr>
                    <w:framePr w:hSpace="180" w:wrap="around" w:vAnchor="text" w:hAnchor="margin" w:xAlign="center" w:y="149"/>
                    <w:rPr>
                      <w:color w:val="000000"/>
                      <w:sz w:val="20"/>
                      <w:szCs w:val="20"/>
                    </w:rPr>
                  </w:pPr>
                </w:p>
              </w:tc>
              <w:tc>
                <w:tcPr>
                  <w:tcW w:w="679" w:type="pct"/>
                  <w:vMerge/>
                  <w:tcBorders>
                    <w:top w:val="nil"/>
                    <w:left w:val="single" w:sz="8" w:space="0" w:color="auto"/>
                    <w:bottom w:val="single" w:sz="8" w:space="0" w:color="000000"/>
                    <w:right w:val="single" w:sz="8" w:space="0" w:color="auto"/>
                  </w:tcBorders>
                  <w:vAlign w:val="center"/>
                  <w:hideMark/>
                </w:tcPr>
                <w:p w:rsidR="003537FD" w:rsidRPr="00085736" w:rsidRDefault="003537FD" w:rsidP="00085736">
                  <w:pPr>
                    <w:framePr w:hSpace="180" w:wrap="around" w:vAnchor="text" w:hAnchor="margin" w:xAlign="center" w:y="149"/>
                    <w:rPr>
                      <w:color w:val="000000"/>
                      <w:sz w:val="20"/>
                      <w:szCs w:val="20"/>
                    </w:rPr>
                  </w:pPr>
                </w:p>
              </w:tc>
              <w:tc>
                <w:tcPr>
                  <w:tcW w:w="679" w:type="pct"/>
                  <w:vMerge/>
                  <w:tcBorders>
                    <w:top w:val="nil"/>
                    <w:left w:val="single" w:sz="8" w:space="0" w:color="auto"/>
                    <w:bottom w:val="single" w:sz="8" w:space="0" w:color="000000"/>
                    <w:right w:val="single" w:sz="8" w:space="0" w:color="auto"/>
                  </w:tcBorders>
                  <w:vAlign w:val="center"/>
                  <w:hideMark/>
                </w:tcPr>
                <w:p w:rsidR="003537FD" w:rsidRPr="00085736" w:rsidRDefault="003537FD" w:rsidP="00085736">
                  <w:pPr>
                    <w:framePr w:hSpace="180" w:wrap="around" w:vAnchor="text" w:hAnchor="margin" w:xAlign="center" w:y="149"/>
                    <w:rPr>
                      <w:color w:val="000000"/>
                      <w:sz w:val="20"/>
                      <w:szCs w:val="20"/>
                    </w:rPr>
                  </w:pPr>
                </w:p>
              </w:tc>
              <w:tc>
                <w:tcPr>
                  <w:tcW w:w="719" w:type="pct"/>
                  <w:vMerge/>
                  <w:tcBorders>
                    <w:top w:val="nil"/>
                    <w:left w:val="single" w:sz="8" w:space="0" w:color="auto"/>
                    <w:bottom w:val="single" w:sz="8" w:space="0" w:color="000000"/>
                    <w:right w:val="single" w:sz="8" w:space="0" w:color="auto"/>
                  </w:tcBorders>
                  <w:vAlign w:val="center"/>
                  <w:hideMark/>
                </w:tcPr>
                <w:p w:rsidR="003537FD" w:rsidRPr="00085736" w:rsidRDefault="003537FD" w:rsidP="00085736">
                  <w:pPr>
                    <w:framePr w:hSpace="180" w:wrap="around" w:vAnchor="text" w:hAnchor="margin" w:xAlign="center" w:y="149"/>
                    <w:rPr>
                      <w:color w:val="000000"/>
                      <w:sz w:val="20"/>
                      <w:szCs w:val="20"/>
                    </w:rPr>
                  </w:pPr>
                </w:p>
              </w:tc>
              <w:tc>
                <w:tcPr>
                  <w:tcW w:w="767" w:type="pct"/>
                  <w:vMerge/>
                  <w:tcBorders>
                    <w:top w:val="nil"/>
                    <w:left w:val="single" w:sz="8" w:space="0" w:color="auto"/>
                    <w:bottom w:val="single" w:sz="8" w:space="0" w:color="000000"/>
                    <w:right w:val="single" w:sz="8" w:space="0" w:color="auto"/>
                  </w:tcBorders>
                  <w:vAlign w:val="center"/>
                  <w:hideMark/>
                </w:tcPr>
                <w:p w:rsidR="003537FD" w:rsidRPr="00085736" w:rsidRDefault="003537FD" w:rsidP="00085736">
                  <w:pPr>
                    <w:framePr w:hSpace="180" w:wrap="around" w:vAnchor="text" w:hAnchor="margin" w:xAlign="center" w:y="149"/>
                    <w:rPr>
                      <w:color w:val="000000"/>
                      <w:sz w:val="20"/>
                      <w:szCs w:val="20"/>
                    </w:rPr>
                  </w:pPr>
                </w:p>
              </w:tc>
            </w:tr>
            <w:tr w:rsidR="003537FD" w:rsidTr="003113C8">
              <w:trPr>
                <w:trHeight w:val="1314"/>
              </w:trPr>
              <w:tc>
                <w:tcPr>
                  <w:tcW w:w="958"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Apkalpojošais personāls, izmaksātās kompensācijas par dīkstāvi Rīgā</w:t>
                  </w:r>
                </w:p>
              </w:tc>
              <w:tc>
                <w:tcPr>
                  <w:tcW w:w="51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w:t>
                  </w:r>
                </w:p>
              </w:tc>
              <w:tc>
                <w:tcPr>
                  <w:tcW w:w="67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7 221</w:t>
                  </w:r>
                </w:p>
              </w:tc>
              <w:tc>
                <w:tcPr>
                  <w:tcW w:w="679" w:type="pct"/>
                  <w:tcBorders>
                    <w:top w:val="nil"/>
                    <w:left w:val="single" w:sz="8" w:space="0" w:color="auto"/>
                    <w:bottom w:val="single" w:sz="8" w:space="0" w:color="auto"/>
                    <w:right w:val="single" w:sz="8" w:space="0" w:color="auto"/>
                  </w:tcBorders>
                  <w:shd w:val="clear" w:color="000000" w:fill="DBE5F1"/>
                  <w:tcMar>
                    <w:top w:w="15" w:type="dxa"/>
                    <w:left w:w="15" w:type="dxa"/>
                    <w:bottom w:w="0" w:type="dxa"/>
                    <w:right w:w="15" w:type="dxa"/>
                  </w:tcMar>
                  <w:vAlign w:val="bottom"/>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7 221</w:t>
                  </w:r>
                </w:p>
              </w:tc>
              <w:tc>
                <w:tcPr>
                  <w:tcW w:w="67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w:t>
                  </w:r>
                </w:p>
              </w:tc>
              <w:tc>
                <w:tcPr>
                  <w:tcW w:w="719" w:type="pct"/>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bottom"/>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7 221</w:t>
                  </w:r>
                </w:p>
              </w:tc>
              <w:tc>
                <w:tcPr>
                  <w:tcW w:w="767" w:type="pct"/>
                  <w:tcBorders>
                    <w:top w:val="nil"/>
                    <w:left w:val="single" w:sz="8" w:space="0" w:color="auto"/>
                    <w:bottom w:val="single" w:sz="8" w:space="0" w:color="auto"/>
                    <w:right w:val="single" w:sz="8" w:space="0" w:color="auto"/>
                  </w:tcBorders>
                  <w:shd w:val="clear" w:color="000000" w:fill="E5E0EC"/>
                  <w:noWrap/>
                  <w:tcMar>
                    <w:top w:w="15" w:type="dxa"/>
                    <w:left w:w="15" w:type="dxa"/>
                    <w:bottom w:w="0" w:type="dxa"/>
                    <w:right w:w="15" w:type="dxa"/>
                  </w:tcMar>
                  <w:vAlign w:val="bottom"/>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0</w:t>
                  </w:r>
                </w:p>
              </w:tc>
            </w:tr>
            <w:tr w:rsidR="003537FD" w:rsidTr="003113C8">
              <w:trPr>
                <w:trHeight w:val="900"/>
              </w:trPr>
              <w:tc>
                <w:tcPr>
                  <w:tcW w:w="958"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Apkalpojošais personāls izmaksa reģionos</w:t>
                  </w:r>
                </w:p>
              </w:tc>
              <w:tc>
                <w:tcPr>
                  <w:tcW w:w="51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w:t>
                  </w:r>
                </w:p>
              </w:tc>
              <w:tc>
                <w:tcPr>
                  <w:tcW w:w="67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2 733</w:t>
                  </w:r>
                </w:p>
              </w:tc>
              <w:tc>
                <w:tcPr>
                  <w:tcW w:w="679" w:type="pct"/>
                  <w:tcBorders>
                    <w:top w:val="nil"/>
                    <w:left w:val="single" w:sz="8" w:space="0" w:color="auto"/>
                    <w:bottom w:val="single" w:sz="8" w:space="0" w:color="auto"/>
                    <w:right w:val="single" w:sz="8" w:space="0" w:color="auto"/>
                  </w:tcBorders>
                  <w:shd w:val="clear" w:color="000000" w:fill="DBE5F1"/>
                  <w:tcMar>
                    <w:top w:w="15" w:type="dxa"/>
                    <w:left w:w="15" w:type="dxa"/>
                    <w:bottom w:w="0" w:type="dxa"/>
                    <w:right w:w="15" w:type="dxa"/>
                  </w:tcMar>
                  <w:vAlign w:val="bottom"/>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2 733</w:t>
                  </w:r>
                </w:p>
              </w:tc>
              <w:tc>
                <w:tcPr>
                  <w:tcW w:w="679"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w:t>
                  </w:r>
                </w:p>
              </w:tc>
              <w:tc>
                <w:tcPr>
                  <w:tcW w:w="719" w:type="pct"/>
                  <w:tcBorders>
                    <w:top w:val="nil"/>
                    <w:left w:val="single" w:sz="8" w:space="0" w:color="auto"/>
                    <w:bottom w:val="single" w:sz="8" w:space="0" w:color="auto"/>
                    <w:right w:val="single" w:sz="8" w:space="0" w:color="auto"/>
                  </w:tcBorders>
                  <w:shd w:val="clear" w:color="000000" w:fill="DDD9C3"/>
                  <w:tcMar>
                    <w:top w:w="15" w:type="dxa"/>
                    <w:left w:w="15" w:type="dxa"/>
                    <w:bottom w:w="0" w:type="dxa"/>
                    <w:right w:w="15" w:type="dxa"/>
                  </w:tcMar>
                  <w:vAlign w:val="bottom"/>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2 733</w:t>
                  </w:r>
                </w:p>
              </w:tc>
              <w:tc>
                <w:tcPr>
                  <w:tcW w:w="767" w:type="pct"/>
                  <w:tcBorders>
                    <w:top w:val="nil"/>
                    <w:left w:val="single" w:sz="8" w:space="0" w:color="auto"/>
                    <w:bottom w:val="single" w:sz="8" w:space="0" w:color="auto"/>
                    <w:right w:val="single" w:sz="8" w:space="0" w:color="auto"/>
                  </w:tcBorders>
                  <w:shd w:val="clear" w:color="000000" w:fill="E5E0EC"/>
                  <w:noWrap/>
                  <w:tcMar>
                    <w:top w:w="15" w:type="dxa"/>
                    <w:left w:w="15" w:type="dxa"/>
                    <w:bottom w:w="0" w:type="dxa"/>
                    <w:right w:w="15" w:type="dxa"/>
                  </w:tcMar>
                  <w:vAlign w:val="bottom"/>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0</w:t>
                  </w:r>
                </w:p>
              </w:tc>
            </w:tr>
            <w:tr w:rsidR="003537FD" w:rsidTr="003113C8">
              <w:trPr>
                <w:trHeight w:val="315"/>
              </w:trPr>
              <w:tc>
                <w:tcPr>
                  <w:tcW w:w="958" w:type="pct"/>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Telpu noma</w:t>
                  </w:r>
                </w:p>
              </w:tc>
              <w:tc>
                <w:tcPr>
                  <w:tcW w:w="519"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w:t>
                  </w:r>
                </w:p>
              </w:tc>
              <w:tc>
                <w:tcPr>
                  <w:tcW w:w="679"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7 184</w:t>
                  </w:r>
                </w:p>
              </w:tc>
              <w:tc>
                <w:tcPr>
                  <w:tcW w:w="679" w:type="pct"/>
                  <w:tcBorders>
                    <w:top w:val="nil"/>
                    <w:left w:val="single" w:sz="8" w:space="0" w:color="auto"/>
                    <w:bottom w:val="single" w:sz="4" w:space="0" w:color="auto"/>
                    <w:right w:val="single" w:sz="8" w:space="0" w:color="auto"/>
                  </w:tcBorders>
                  <w:shd w:val="clear" w:color="000000" w:fill="DBE5F1"/>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7 184</w:t>
                  </w:r>
                </w:p>
              </w:tc>
              <w:tc>
                <w:tcPr>
                  <w:tcW w:w="679"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w:t>
                  </w:r>
                </w:p>
              </w:tc>
              <w:tc>
                <w:tcPr>
                  <w:tcW w:w="719" w:type="pct"/>
                  <w:tcBorders>
                    <w:top w:val="nil"/>
                    <w:left w:val="single" w:sz="8" w:space="0" w:color="auto"/>
                    <w:bottom w:val="single" w:sz="4" w:space="0" w:color="auto"/>
                    <w:right w:val="single" w:sz="8" w:space="0" w:color="auto"/>
                  </w:tcBorders>
                  <w:shd w:val="clear" w:color="000000" w:fill="DDD9C3"/>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7 184</w:t>
                  </w:r>
                </w:p>
              </w:tc>
              <w:tc>
                <w:tcPr>
                  <w:tcW w:w="767" w:type="pct"/>
                  <w:tcBorders>
                    <w:top w:val="nil"/>
                    <w:left w:val="single" w:sz="8" w:space="0" w:color="auto"/>
                    <w:bottom w:val="single" w:sz="4" w:space="0" w:color="auto"/>
                    <w:right w:val="single" w:sz="8" w:space="0" w:color="auto"/>
                  </w:tcBorders>
                  <w:shd w:val="clear" w:color="000000" w:fill="E5E0EC"/>
                  <w:noWrap/>
                  <w:tcMar>
                    <w:top w:w="15" w:type="dxa"/>
                    <w:left w:w="15" w:type="dxa"/>
                    <w:bottom w:w="0" w:type="dxa"/>
                    <w:right w:w="15" w:type="dxa"/>
                  </w:tcMar>
                  <w:vAlign w:val="bottom"/>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0</w:t>
                  </w:r>
                </w:p>
              </w:tc>
            </w:tr>
            <w:tr w:rsidR="003113C8" w:rsidTr="003113C8">
              <w:trPr>
                <w:trHeight w:val="333"/>
              </w:trPr>
              <w:tc>
                <w:tcPr>
                  <w:tcW w:w="9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113C8" w:rsidRPr="003113C8" w:rsidRDefault="003113C8" w:rsidP="003113C8">
                  <w:pPr>
                    <w:framePr w:hSpace="180" w:wrap="around" w:vAnchor="text" w:hAnchor="margin" w:xAlign="center" w:y="149"/>
                    <w:jc w:val="center"/>
                    <w:rPr>
                      <w:color w:val="000000"/>
                      <w:sz w:val="22"/>
                      <w:szCs w:val="22"/>
                    </w:rPr>
                  </w:pPr>
                  <w:r w:rsidRPr="003113C8">
                    <w:rPr>
                      <w:b/>
                      <w:bCs/>
                      <w:color w:val="000000"/>
                      <w:sz w:val="22"/>
                      <w:szCs w:val="22"/>
                    </w:rPr>
                    <w:t>Kopā:</w:t>
                  </w:r>
                </w:p>
              </w:tc>
              <w:tc>
                <w:tcPr>
                  <w:tcW w:w="51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113C8" w:rsidRPr="003113C8" w:rsidRDefault="003113C8" w:rsidP="003113C8">
                  <w:pPr>
                    <w:framePr w:hSpace="180" w:wrap="around" w:vAnchor="text" w:hAnchor="margin" w:xAlign="center" w:y="149"/>
                    <w:jc w:val="right"/>
                    <w:rPr>
                      <w:b/>
                      <w:bCs/>
                      <w:color w:val="000000"/>
                      <w:sz w:val="22"/>
                      <w:szCs w:val="22"/>
                    </w:rPr>
                  </w:pPr>
                  <w:r w:rsidRPr="003113C8">
                    <w:rPr>
                      <w:b/>
                      <w:bCs/>
                      <w:color w:val="000000"/>
                      <w:sz w:val="22"/>
                      <w:szCs w:val="22"/>
                    </w:rPr>
                    <w:t>58 100</w:t>
                  </w:r>
                </w:p>
              </w:tc>
              <w:tc>
                <w:tcPr>
                  <w:tcW w:w="67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113C8" w:rsidRPr="003113C8" w:rsidRDefault="003113C8" w:rsidP="003113C8">
                  <w:pPr>
                    <w:framePr w:hSpace="180" w:wrap="around" w:vAnchor="text" w:hAnchor="margin" w:xAlign="center" w:y="149"/>
                    <w:jc w:val="right"/>
                    <w:rPr>
                      <w:b/>
                      <w:bCs/>
                      <w:color w:val="000000"/>
                      <w:sz w:val="22"/>
                      <w:szCs w:val="22"/>
                    </w:rPr>
                  </w:pPr>
                  <w:r w:rsidRPr="003113C8">
                    <w:rPr>
                      <w:b/>
                      <w:bCs/>
                      <w:color w:val="000000"/>
                      <w:sz w:val="22"/>
                      <w:szCs w:val="22"/>
                    </w:rPr>
                    <w:t>18 038</w:t>
                  </w:r>
                </w:p>
              </w:tc>
              <w:tc>
                <w:tcPr>
                  <w:tcW w:w="679" w:type="pct"/>
                  <w:tcBorders>
                    <w:top w:val="single" w:sz="4" w:space="0" w:color="auto"/>
                    <w:left w:val="single" w:sz="4" w:space="0" w:color="auto"/>
                    <w:bottom w:val="single" w:sz="4" w:space="0" w:color="auto"/>
                    <w:right w:val="single" w:sz="4" w:space="0" w:color="auto"/>
                  </w:tcBorders>
                  <w:shd w:val="clear" w:color="000000" w:fill="DBE5F1"/>
                  <w:tcMar>
                    <w:top w:w="15" w:type="dxa"/>
                    <w:left w:w="15" w:type="dxa"/>
                    <w:bottom w:w="0" w:type="dxa"/>
                    <w:right w:w="15" w:type="dxa"/>
                  </w:tcMar>
                  <w:vAlign w:val="bottom"/>
                  <w:hideMark/>
                </w:tcPr>
                <w:p w:rsidR="003113C8" w:rsidRPr="003113C8" w:rsidRDefault="003113C8" w:rsidP="003113C8">
                  <w:pPr>
                    <w:framePr w:hSpace="180" w:wrap="around" w:vAnchor="text" w:hAnchor="margin" w:xAlign="center" w:y="149"/>
                    <w:jc w:val="right"/>
                    <w:rPr>
                      <w:b/>
                      <w:bCs/>
                      <w:color w:val="000000"/>
                      <w:sz w:val="22"/>
                      <w:szCs w:val="22"/>
                    </w:rPr>
                  </w:pPr>
                  <w:r w:rsidRPr="003113C8">
                    <w:rPr>
                      <w:b/>
                      <w:bCs/>
                      <w:color w:val="000000"/>
                      <w:sz w:val="22"/>
                      <w:szCs w:val="22"/>
                    </w:rPr>
                    <w:t>73 743</w:t>
                  </w:r>
                </w:p>
              </w:tc>
              <w:tc>
                <w:tcPr>
                  <w:tcW w:w="67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113C8" w:rsidRPr="003113C8" w:rsidRDefault="003113C8" w:rsidP="003113C8">
                  <w:pPr>
                    <w:framePr w:hSpace="180" w:wrap="around" w:vAnchor="text" w:hAnchor="margin" w:xAlign="center" w:y="149"/>
                    <w:jc w:val="right"/>
                    <w:rPr>
                      <w:b/>
                      <w:bCs/>
                      <w:color w:val="000000"/>
                      <w:sz w:val="22"/>
                      <w:szCs w:val="22"/>
                    </w:rPr>
                  </w:pPr>
                  <w:r w:rsidRPr="003113C8">
                    <w:rPr>
                      <w:b/>
                      <w:bCs/>
                      <w:color w:val="000000"/>
                      <w:sz w:val="22"/>
                      <w:szCs w:val="22"/>
                    </w:rPr>
                    <w:t>27 267</w:t>
                  </w:r>
                </w:p>
              </w:tc>
              <w:tc>
                <w:tcPr>
                  <w:tcW w:w="719" w:type="pct"/>
                  <w:tcBorders>
                    <w:top w:val="single" w:sz="4" w:space="0" w:color="auto"/>
                    <w:left w:val="single" w:sz="4" w:space="0" w:color="auto"/>
                    <w:bottom w:val="single" w:sz="4" w:space="0" w:color="auto"/>
                    <w:right w:val="single" w:sz="4" w:space="0" w:color="auto"/>
                  </w:tcBorders>
                  <w:shd w:val="clear" w:color="000000" w:fill="DDD9C3"/>
                  <w:tcMar>
                    <w:top w:w="15" w:type="dxa"/>
                    <w:left w:w="15" w:type="dxa"/>
                    <w:bottom w:w="0" w:type="dxa"/>
                    <w:right w:w="15" w:type="dxa"/>
                  </w:tcMar>
                  <w:vAlign w:val="bottom"/>
                  <w:hideMark/>
                </w:tcPr>
                <w:p w:rsidR="003113C8" w:rsidRPr="003113C8" w:rsidRDefault="003113C8" w:rsidP="003113C8">
                  <w:pPr>
                    <w:framePr w:hSpace="180" w:wrap="around" w:vAnchor="text" w:hAnchor="margin" w:xAlign="center" w:y="149"/>
                    <w:jc w:val="right"/>
                    <w:rPr>
                      <w:b/>
                      <w:bCs/>
                      <w:color w:val="000000"/>
                      <w:sz w:val="22"/>
                      <w:szCs w:val="22"/>
                    </w:rPr>
                  </w:pPr>
                  <w:r w:rsidRPr="003113C8">
                    <w:rPr>
                      <w:b/>
                      <w:bCs/>
                      <w:color w:val="000000"/>
                      <w:sz w:val="22"/>
                      <w:szCs w:val="22"/>
                    </w:rPr>
                    <w:t>43 493</w:t>
                  </w:r>
                </w:p>
              </w:tc>
              <w:tc>
                <w:tcPr>
                  <w:tcW w:w="767" w:type="pct"/>
                  <w:tcBorders>
                    <w:top w:val="single" w:sz="4" w:space="0" w:color="auto"/>
                    <w:left w:val="single" w:sz="4" w:space="0" w:color="auto"/>
                    <w:bottom w:val="single" w:sz="4" w:space="0" w:color="auto"/>
                    <w:right w:val="single" w:sz="4" w:space="0" w:color="auto"/>
                  </w:tcBorders>
                  <w:shd w:val="clear" w:color="000000" w:fill="E5E0EC"/>
                  <w:tcMar>
                    <w:top w:w="15" w:type="dxa"/>
                    <w:left w:w="15" w:type="dxa"/>
                    <w:bottom w:w="0" w:type="dxa"/>
                    <w:right w:w="15" w:type="dxa"/>
                  </w:tcMar>
                  <w:vAlign w:val="bottom"/>
                  <w:hideMark/>
                </w:tcPr>
                <w:p w:rsidR="003113C8" w:rsidRPr="003113C8" w:rsidRDefault="003113C8" w:rsidP="003113C8">
                  <w:pPr>
                    <w:framePr w:hSpace="180" w:wrap="around" w:vAnchor="text" w:hAnchor="margin" w:xAlign="center" w:y="149"/>
                    <w:jc w:val="right"/>
                    <w:rPr>
                      <w:b/>
                      <w:bCs/>
                      <w:color w:val="000000"/>
                      <w:sz w:val="22"/>
                      <w:szCs w:val="22"/>
                    </w:rPr>
                  </w:pPr>
                  <w:r w:rsidRPr="003113C8">
                    <w:rPr>
                      <w:b/>
                      <w:bCs/>
                      <w:color w:val="000000"/>
                      <w:sz w:val="22"/>
                      <w:szCs w:val="22"/>
                    </w:rPr>
                    <w:t>30 250</w:t>
                  </w:r>
                </w:p>
              </w:tc>
            </w:tr>
            <w:tr w:rsidR="003537FD" w:rsidTr="00F45BA1">
              <w:trPr>
                <w:trHeight w:val="315"/>
              </w:trPr>
              <w:tc>
                <w:tcPr>
                  <w:tcW w:w="5000" w:type="pct"/>
                  <w:gridSpan w:val="7"/>
                  <w:tcBorders>
                    <w:top w:val="single" w:sz="4" w:space="0" w:color="auto"/>
                    <w:bottom w:val="single" w:sz="8" w:space="0" w:color="auto"/>
                  </w:tcBorders>
                  <w:shd w:val="clear" w:color="000000" w:fill="FFFFFF"/>
                  <w:tcMar>
                    <w:top w:w="15" w:type="dxa"/>
                    <w:left w:w="15" w:type="dxa"/>
                    <w:bottom w:w="0" w:type="dxa"/>
                    <w:right w:w="15" w:type="dxa"/>
                  </w:tcMar>
                  <w:hideMark/>
                </w:tcPr>
                <w:p w:rsidR="00F45BA1" w:rsidRDefault="00F45BA1" w:rsidP="00085736">
                  <w:pPr>
                    <w:framePr w:hSpace="180" w:wrap="around" w:vAnchor="text" w:hAnchor="margin" w:xAlign="center" w:y="149"/>
                    <w:jc w:val="center"/>
                    <w:rPr>
                      <w:color w:val="000000"/>
                      <w:sz w:val="22"/>
                      <w:szCs w:val="22"/>
                    </w:rPr>
                  </w:pPr>
                </w:p>
                <w:p w:rsidR="003537FD" w:rsidRPr="003537FD" w:rsidRDefault="003537FD" w:rsidP="00085736">
                  <w:pPr>
                    <w:framePr w:hSpace="180" w:wrap="around" w:vAnchor="text" w:hAnchor="margin" w:xAlign="center" w:y="149"/>
                    <w:jc w:val="center"/>
                    <w:rPr>
                      <w:color w:val="000000"/>
                      <w:sz w:val="22"/>
                      <w:szCs w:val="22"/>
                    </w:rPr>
                  </w:pPr>
                  <w:r w:rsidRPr="003537FD">
                    <w:rPr>
                      <w:color w:val="000000"/>
                      <w:sz w:val="22"/>
                      <w:szCs w:val="22"/>
                    </w:rPr>
                    <w:t> </w:t>
                  </w:r>
                </w:p>
              </w:tc>
            </w:tr>
            <w:tr w:rsidR="003537FD" w:rsidTr="00F45BA1">
              <w:trPr>
                <w:trHeight w:val="315"/>
              </w:trPr>
              <w:tc>
                <w:tcPr>
                  <w:tcW w:w="958" w:type="pct"/>
                  <w:tcBorders>
                    <w:top w:val="single" w:sz="8" w:space="0" w:color="auto"/>
                    <w:left w:val="single" w:sz="8" w:space="0" w:color="auto"/>
                    <w:bottom w:val="single" w:sz="8" w:space="0" w:color="auto"/>
                    <w:right w:val="single" w:sz="8" w:space="0" w:color="auto"/>
                  </w:tcBorders>
                  <w:shd w:val="clear" w:color="000000" w:fill="FDE9D9"/>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Izrāžu skaits Rīgā</w:t>
                  </w:r>
                </w:p>
              </w:tc>
              <w:tc>
                <w:tcPr>
                  <w:tcW w:w="519" w:type="pct"/>
                  <w:tcBorders>
                    <w:top w:val="single" w:sz="8" w:space="0" w:color="auto"/>
                    <w:left w:val="single" w:sz="8" w:space="0" w:color="auto"/>
                    <w:bottom w:val="single" w:sz="8" w:space="0" w:color="auto"/>
                    <w:right w:val="single" w:sz="8" w:space="0" w:color="auto"/>
                  </w:tcBorders>
                  <w:shd w:val="clear" w:color="000000" w:fill="FDE9D9"/>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20</w:t>
                  </w:r>
                </w:p>
              </w:tc>
              <w:tc>
                <w:tcPr>
                  <w:tcW w:w="679" w:type="pct"/>
                  <w:tcBorders>
                    <w:top w:val="single" w:sz="8" w:space="0" w:color="auto"/>
                    <w:left w:val="single" w:sz="8" w:space="0" w:color="auto"/>
                    <w:bottom w:val="single" w:sz="8" w:space="0" w:color="auto"/>
                    <w:right w:val="single" w:sz="8" w:space="0" w:color="auto"/>
                  </w:tcBorders>
                  <w:shd w:val="clear" w:color="000000" w:fill="FDE9D9"/>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w:t>
                  </w:r>
                </w:p>
              </w:tc>
              <w:tc>
                <w:tcPr>
                  <w:tcW w:w="679" w:type="pct"/>
                  <w:tcBorders>
                    <w:top w:val="single" w:sz="8" w:space="0" w:color="auto"/>
                    <w:left w:val="single" w:sz="8" w:space="0" w:color="auto"/>
                    <w:bottom w:val="single" w:sz="8" w:space="0" w:color="auto"/>
                    <w:right w:val="single" w:sz="8" w:space="0" w:color="auto"/>
                  </w:tcBorders>
                  <w:shd w:val="clear" w:color="000000" w:fill="FDE9D9"/>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w:t>
                  </w:r>
                </w:p>
              </w:tc>
              <w:tc>
                <w:tcPr>
                  <w:tcW w:w="679" w:type="pct"/>
                  <w:tcBorders>
                    <w:top w:val="single" w:sz="8" w:space="0" w:color="auto"/>
                    <w:left w:val="single" w:sz="8" w:space="0" w:color="auto"/>
                    <w:bottom w:val="single" w:sz="8" w:space="0" w:color="auto"/>
                    <w:right w:val="single" w:sz="8" w:space="0" w:color="auto"/>
                  </w:tcBorders>
                  <w:shd w:val="clear" w:color="000000" w:fill="FDE9D9"/>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w:t>
                  </w:r>
                </w:p>
              </w:tc>
              <w:tc>
                <w:tcPr>
                  <w:tcW w:w="719" w:type="pct"/>
                  <w:tcBorders>
                    <w:top w:val="single" w:sz="8" w:space="0" w:color="auto"/>
                    <w:left w:val="single" w:sz="8" w:space="0" w:color="auto"/>
                    <w:bottom w:val="single" w:sz="8" w:space="0" w:color="auto"/>
                    <w:right w:val="single" w:sz="8" w:space="0" w:color="auto"/>
                  </w:tcBorders>
                  <w:shd w:val="clear" w:color="000000" w:fill="FDE9D9"/>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3</w:t>
                  </w:r>
                </w:p>
              </w:tc>
              <w:tc>
                <w:tcPr>
                  <w:tcW w:w="767" w:type="pct"/>
                  <w:tcBorders>
                    <w:top w:val="single" w:sz="8" w:space="0" w:color="auto"/>
                    <w:left w:val="single" w:sz="8" w:space="0" w:color="auto"/>
                    <w:bottom w:val="single" w:sz="8" w:space="0" w:color="auto"/>
                    <w:right w:val="single" w:sz="8" w:space="0" w:color="auto"/>
                  </w:tcBorders>
                  <w:shd w:val="clear" w:color="000000" w:fill="FDE9D9"/>
                  <w:noWrap/>
                  <w:tcMar>
                    <w:top w:w="15" w:type="dxa"/>
                    <w:left w:w="15" w:type="dxa"/>
                    <w:bottom w:w="0" w:type="dxa"/>
                    <w:right w:w="15" w:type="dxa"/>
                  </w:tcMar>
                  <w:vAlign w:val="bottom"/>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w:t>
                  </w:r>
                </w:p>
              </w:tc>
            </w:tr>
            <w:tr w:rsidR="003537FD" w:rsidTr="003113C8">
              <w:trPr>
                <w:trHeight w:val="394"/>
              </w:trPr>
              <w:tc>
                <w:tcPr>
                  <w:tcW w:w="958" w:type="pct"/>
                  <w:tcBorders>
                    <w:top w:val="single" w:sz="8" w:space="0" w:color="auto"/>
                    <w:left w:val="single" w:sz="8" w:space="0" w:color="auto"/>
                    <w:bottom w:val="single" w:sz="8" w:space="0" w:color="auto"/>
                    <w:right w:val="single" w:sz="8" w:space="0" w:color="auto"/>
                  </w:tcBorders>
                  <w:shd w:val="clear" w:color="000000" w:fill="FDE9D9"/>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Izrāžu skaits reģionos</w:t>
                  </w:r>
                </w:p>
              </w:tc>
              <w:tc>
                <w:tcPr>
                  <w:tcW w:w="519" w:type="pct"/>
                  <w:tcBorders>
                    <w:top w:val="nil"/>
                    <w:left w:val="single" w:sz="8" w:space="0" w:color="auto"/>
                    <w:bottom w:val="single" w:sz="8" w:space="0" w:color="auto"/>
                    <w:right w:val="single" w:sz="8" w:space="0" w:color="auto"/>
                  </w:tcBorders>
                  <w:shd w:val="clear" w:color="000000" w:fill="FDE9D9"/>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0</w:t>
                  </w:r>
                </w:p>
              </w:tc>
              <w:tc>
                <w:tcPr>
                  <w:tcW w:w="679" w:type="pct"/>
                  <w:tcBorders>
                    <w:top w:val="nil"/>
                    <w:left w:val="single" w:sz="8" w:space="0" w:color="auto"/>
                    <w:bottom w:val="single" w:sz="8" w:space="0" w:color="auto"/>
                    <w:right w:val="single" w:sz="8" w:space="0" w:color="auto"/>
                  </w:tcBorders>
                  <w:shd w:val="clear" w:color="000000" w:fill="FDE9D9"/>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w:t>
                  </w:r>
                </w:p>
              </w:tc>
              <w:tc>
                <w:tcPr>
                  <w:tcW w:w="679" w:type="pct"/>
                  <w:tcBorders>
                    <w:top w:val="nil"/>
                    <w:left w:val="single" w:sz="8" w:space="0" w:color="auto"/>
                    <w:bottom w:val="single" w:sz="8" w:space="0" w:color="auto"/>
                    <w:right w:val="single" w:sz="8" w:space="0" w:color="auto"/>
                  </w:tcBorders>
                  <w:shd w:val="clear" w:color="000000" w:fill="FDE9D9"/>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w:t>
                  </w:r>
                </w:p>
              </w:tc>
              <w:tc>
                <w:tcPr>
                  <w:tcW w:w="679" w:type="pct"/>
                  <w:tcBorders>
                    <w:top w:val="nil"/>
                    <w:left w:val="single" w:sz="8" w:space="0" w:color="auto"/>
                    <w:bottom w:val="single" w:sz="8" w:space="0" w:color="auto"/>
                    <w:right w:val="single" w:sz="8" w:space="0" w:color="auto"/>
                  </w:tcBorders>
                  <w:shd w:val="clear" w:color="000000" w:fill="FDE9D9"/>
                  <w:tcMar>
                    <w:top w:w="15" w:type="dxa"/>
                    <w:left w:w="15" w:type="dxa"/>
                    <w:bottom w:w="0" w:type="dxa"/>
                    <w:right w:w="15" w:type="dxa"/>
                  </w:tcMar>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w:t>
                  </w:r>
                </w:p>
              </w:tc>
              <w:tc>
                <w:tcPr>
                  <w:tcW w:w="719" w:type="pct"/>
                  <w:tcBorders>
                    <w:top w:val="nil"/>
                    <w:left w:val="single" w:sz="8" w:space="0" w:color="auto"/>
                    <w:bottom w:val="single" w:sz="8" w:space="0" w:color="auto"/>
                    <w:right w:val="single" w:sz="8" w:space="0" w:color="auto"/>
                  </w:tcBorders>
                  <w:shd w:val="clear" w:color="000000" w:fill="FDE9D9"/>
                  <w:tcMar>
                    <w:top w:w="15" w:type="dxa"/>
                    <w:left w:w="15" w:type="dxa"/>
                    <w:bottom w:w="0" w:type="dxa"/>
                    <w:right w:w="15" w:type="dxa"/>
                  </w:tcMar>
                  <w:hideMark/>
                </w:tcPr>
                <w:p w:rsidR="003537FD" w:rsidRPr="00085736" w:rsidRDefault="003537FD" w:rsidP="00085736">
                  <w:pPr>
                    <w:framePr w:hSpace="180" w:wrap="around" w:vAnchor="text" w:hAnchor="margin" w:xAlign="center" w:y="149"/>
                    <w:jc w:val="right"/>
                    <w:rPr>
                      <w:color w:val="000000"/>
                      <w:sz w:val="20"/>
                      <w:szCs w:val="20"/>
                    </w:rPr>
                  </w:pPr>
                  <w:r w:rsidRPr="00085736">
                    <w:rPr>
                      <w:color w:val="000000"/>
                      <w:sz w:val="20"/>
                      <w:szCs w:val="20"/>
                    </w:rPr>
                    <w:t>6</w:t>
                  </w:r>
                </w:p>
              </w:tc>
              <w:tc>
                <w:tcPr>
                  <w:tcW w:w="767" w:type="pct"/>
                  <w:tcBorders>
                    <w:top w:val="nil"/>
                    <w:left w:val="single" w:sz="8" w:space="0" w:color="auto"/>
                    <w:bottom w:val="single" w:sz="8" w:space="0" w:color="auto"/>
                    <w:right w:val="single" w:sz="8" w:space="0" w:color="auto"/>
                  </w:tcBorders>
                  <w:shd w:val="clear" w:color="000000" w:fill="FDE9D9"/>
                  <w:noWrap/>
                  <w:tcMar>
                    <w:top w:w="15" w:type="dxa"/>
                    <w:left w:w="15" w:type="dxa"/>
                    <w:bottom w:w="0" w:type="dxa"/>
                    <w:right w:w="15" w:type="dxa"/>
                  </w:tcMar>
                  <w:vAlign w:val="bottom"/>
                  <w:hideMark/>
                </w:tcPr>
                <w:p w:rsidR="003537FD" w:rsidRPr="00085736" w:rsidRDefault="003537FD" w:rsidP="00085736">
                  <w:pPr>
                    <w:framePr w:hSpace="180" w:wrap="around" w:vAnchor="text" w:hAnchor="margin" w:xAlign="center" w:y="149"/>
                    <w:rPr>
                      <w:color w:val="000000"/>
                      <w:sz w:val="20"/>
                      <w:szCs w:val="20"/>
                    </w:rPr>
                  </w:pPr>
                  <w:r w:rsidRPr="00085736">
                    <w:rPr>
                      <w:color w:val="000000"/>
                      <w:sz w:val="20"/>
                      <w:szCs w:val="20"/>
                    </w:rPr>
                    <w:t> </w:t>
                  </w:r>
                </w:p>
              </w:tc>
            </w:tr>
            <w:tr w:rsidR="003537FD" w:rsidTr="003113C8">
              <w:trPr>
                <w:trHeight w:val="330"/>
              </w:trPr>
              <w:tc>
                <w:tcPr>
                  <w:tcW w:w="4233" w:type="pct"/>
                  <w:gridSpan w:val="6"/>
                  <w:tcBorders>
                    <w:top w:val="single" w:sz="8" w:space="0" w:color="auto"/>
                    <w:left w:val="single" w:sz="8" w:space="0" w:color="auto"/>
                    <w:bottom w:val="single" w:sz="8" w:space="0" w:color="auto"/>
                    <w:right w:val="single" w:sz="8" w:space="0" w:color="auto"/>
                  </w:tcBorders>
                  <w:shd w:val="clear" w:color="000000" w:fill="CCC0DA"/>
                  <w:tcMar>
                    <w:top w:w="15" w:type="dxa"/>
                    <w:left w:w="15" w:type="dxa"/>
                    <w:bottom w:w="0" w:type="dxa"/>
                    <w:right w:w="15" w:type="dxa"/>
                  </w:tcMar>
                  <w:vAlign w:val="center"/>
                  <w:hideMark/>
                </w:tcPr>
                <w:p w:rsidR="003537FD" w:rsidRPr="00085736" w:rsidRDefault="003537FD" w:rsidP="00085736">
                  <w:pPr>
                    <w:framePr w:hSpace="180" w:wrap="around" w:vAnchor="text" w:hAnchor="margin" w:xAlign="center" w:y="149"/>
                    <w:rPr>
                      <w:b/>
                      <w:bCs/>
                      <w:color w:val="000000"/>
                      <w:sz w:val="20"/>
                      <w:szCs w:val="20"/>
                    </w:rPr>
                  </w:pPr>
                  <w:r w:rsidRPr="00085736">
                    <w:rPr>
                      <w:b/>
                      <w:bCs/>
                      <w:color w:val="000000"/>
                      <w:sz w:val="20"/>
                      <w:szCs w:val="20"/>
                    </w:rPr>
                    <w:t>Izrādes "Tropu fantāzija" zaudējumi (4.-5.)</w:t>
                  </w:r>
                </w:p>
              </w:tc>
              <w:tc>
                <w:tcPr>
                  <w:tcW w:w="767" w:type="pct"/>
                  <w:tcBorders>
                    <w:top w:val="nil"/>
                    <w:left w:val="single" w:sz="8" w:space="0" w:color="auto"/>
                    <w:bottom w:val="single" w:sz="8" w:space="0" w:color="auto"/>
                    <w:right w:val="single" w:sz="8" w:space="0" w:color="auto"/>
                  </w:tcBorders>
                  <w:shd w:val="clear" w:color="000000" w:fill="CCC0DA"/>
                  <w:tcMar>
                    <w:top w:w="15" w:type="dxa"/>
                    <w:left w:w="15" w:type="dxa"/>
                    <w:bottom w:w="0" w:type="dxa"/>
                    <w:right w:w="15" w:type="dxa"/>
                  </w:tcMar>
                  <w:vAlign w:val="center"/>
                  <w:hideMark/>
                </w:tcPr>
                <w:p w:rsidR="003537FD" w:rsidRPr="00085736" w:rsidRDefault="003537FD" w:rsidP="00085736">
                  <w:pPr>
                    <w:framePr w:hSpace="180" w:wrap="around" w:vAnchor="text" w:hAnchor="margin" w:xAlign="center" w:y="149"/>
                    <w:jc w:val="right"/>
                    <w:rPr>
                      <w:b/>
                      <w:bCs/>
                      <w:color w:val="000000"/>
                      <w:sz w:val="20"/>
                      <w:szCs w:val="20"/>
                    </w:rPr>
                  </w:pPr>
                  <w:r w:rsidRPr="00085736">
                    <w:rPr>
                      <w:b/>
                      <w:bCs/>
                      <w:color w:val="000000"/>
                      <w:sz w:val="20"/>
                      <w:szCs w:val="20"/>
                    </w:rPr>
                    <w:t>46 476</w:t>
                  </w:r>
                </w:p>
              </w:tc>
            </w:tr>
            <w:tr w:rsidR="003537FD" w:rsidTr="003113C8">
              <w:trPr>
                <w:trHeight w:val="394"/>
              </w:trPr>
              <w:tc>
                <w:tcPr>
                  <w:tcW w:w="4233" w:type="pct"/>
                  <w:gridSpan w:val="6"/>
                  <w:tcBorders>
                    <w:top w:val="single" w:sz="8" w:space="0" w:color="auto"/>
                    <w:left w:val="single" w:sz="8" w:space="0" w:color="auto"/>
                    <w:bottom w:val="single" w:sz="8" w:space="0" w:color="auto"/>
                    <w:right w:val="single" w:sz="8" w:space="0" w:color="auto"/>
                  </w:tcBorders>
                  <w:shd w:val="clear" w:color="000000" w:fill="CCC0DA"/>
                  <w:tcMar>
                    <w:top w:w="15" w:type="dxa"/>
                    <w:left w:w="15" w:type="dxa"/>
                    <w:bottom w:w="0" w:type="dxa"/>
                    <w:right w:w="15" w:type="dxa"/>
                  </w:tcMar>
                  <w:vAlign w:val="center"/>
                  <w:hideMark/>
                </w:tcPr>
                <w:p w:rsidR="003537FD" w:rsidRPr="00085736" w:rsidRDefault="003537FD" w:rsidP="00085736">
                  <w:pPr>
                    <w:framePr w:hSpace="180" w:wrap="around" w:vAnchor="text" w:hAnchor="margin" w:xAlign="center" w:y="149"/>
                    <w:rPr>
                      <w:b/>
                      <w:bCs/>
                      <w:color w:val="000000"/>
                      <w:sz w:val="20"/>
                      <w:szCs w:val="20"/>
                    </w:rPr>
                  </w:pPr>
                  <w:r w:rsidRPr="00085736">
                    <w:rPr>
                      <w:b/>
                      <w:bCs/>
                      <w:color w:val="000000"/>
                      <w:sz w:val="20"/>
                      <w:szCs w:val="20"/>
                    </w:rPr>
                    <w:t>Izrādes "Tropu fantāzija" nenokārtotās saistības (4.-6.)</w:t>
                  </w:r>
                </w:p>
              </w:tc>
              <w:tc>
                <w:tcPr>
                  <w:tcW w:w="767" w:type="pct"/>
                  <w:tcBorders>
                    <w:top w:val="nil"/>
                    <w:left w:val="single" w:sz="8" w:space="0" w:color="auto"/>
                    <w:bottom w:val="single" w:sz="8" w:space="0" w:color="auto"/>
                    <w:right w:val="single" w:sz="8" w:space="0" w:color="auto"/>
                  </w:tcBorders>
                  <w:shd w:val="clear" w:color="000000" w:fill="CCC0DA"/>
                  <w:tcMar>
                    <w:top w:w="15" w:type="dxa"/>
                    <w:left w:w="15" w:type="dxa"/>
                    <w:bottom w:w="0" w:type="dxa"/>
                    <w:right w:w="15" w:type="dxa"/>
                  </w:tcMar>
                  <w:vAlign w:val="center"/>
                  <w:hideMark/>
                </w:tcPr>
                <w:p w:rsidR="003537FD" w:rsidRPr="00085736" w:rsidRDefault="003537FD" w:rsidP="00085736">
                  <w:pPr>
                    <w:framePr w:hSpace="180" w:wrap="around" w:vAnchor="text" w:hAnchor="margin" w:xAlign="center" w:y="149"/>
                    <w:jc w:val="right"/>
                    <w:rPr>
                      <w:b/>
                      <w:bCs/>
                      <w:color w:val="000000"/>
                      <w:sz w:val="20"/>
                      <w:szCs w:val="20"/>
                    </w:rPr>
                  </w:pPr>
                  <w:r w:rsidRPr="00085736">
                    <w:rPr>
                      <w:b/>
                      <w:bCs/>
                      <w:color w:val="000000"/>
                      <w:sz w:val="20"/>
                      <w:szCs w:val="20"/>
                    </w:rPr>
                    <w:t>30 250</w:t>
                  </w:r>
                </w:p>
              </w:tc>
            </w:tr>
          </w:tbl>
          <w:p w:rsidR="0040356D" w:rsidRPr="0040356D" w:rsidRDefault="0040356D" w:rsidP="00624C8A">
            <w:pPr>
              <w:jc w:val="both"/>
              <w:rPr>
                <w:sz w:val="20"/>
                <w:szCs w:val="20"/>
              </w:rPr>
            </w:pPr>
            <w:r w:rsidRPr="0040356D">
              <w:rPr>
                <w:color w:val="000000"/>
                <w:sz w:val="20"/>
                <w:szCs w:val="20"/>
              </w:rPr>
              <w:t>* panākta vienošanās par līguma pārtraukšanu, kompensējot tiešos izdevumus</w:t>
            </w:r>
            <w:r>
              <w:rPr>
                <w:color w:val="000000"/>
                <w:sz w:val="20"/>
                <w:szCs w:val="20"/>
              </w:rPr>
              <w:t>.</w:t>
            </w:r>
          </w:p>
          <w:p w:rsidR="00624C8A" w:rsidRDefault="00624C8A" w:rsidP="00624C8A">
            <w:pPr>
              <w:jc w:val="both"/>
              <w:rPr>
                <w:sz w:val="28"/>
                <w:szCs w:val="28"/>
              </w:rPr>
            </w:pPr>
          </w:p>
          <w:p w:rsidR="003D2BEC" w:rsidRDefault="000738F3" w:rsidP="00624C8A">
            <w:pPr>
              <w:jc w:val="both"/>
              <w:rPr>
                <w:sz w:val="28"/>
                <w:szCs w:val="28"/>
              </w:rPr>
            </w:pPr>
            <w:r>
              <w:rPr>
                <w:sz w:val="28"/>
                <w:szCs w:val="28"/>
              </w:rPr>
              <w:t>I</w:t>
            </w:r>
            <w:r w:rsidR="00926508" w:rsidRPr="00B85337">
              <w:rPr>
                <w:sz w:val="28"/>
                <w:szCs w:val="28"/>
              </w:rPr>
              <w:t xml:space="preserve">zrāžu darbības apturēšana ir būtiski ietekmējusi Sabiedrības finanšu situāciju, jo Sabiedrības </w:t>
            </w:r>
            <w:r w:rsidR="00B45C4B">
              <w:rPr>
                <w:sz w:val="28"/>
                <w:szCs w:val="28"/>
              </w:rPr>
              <w:t xml:space="preserve">galvenais ieņēmumu avots </w:t>
            </w:r>
            <w:r w:rsidR="00926508" w:rsidRPr="00B85337">
              <w:rPr>
                <w:sz w:val="28"/>
                <w:szCs w:val="28"/>
              </w:rPr>
              <w:t>ir biļešu ieņēmumi</w:t>
            </w:r>
            <w:r w:rsidR="00FF2CF7">
              <w:rPr>
                <w:sz w:val="28"/>
                <w:szCs w:val="28"/>
              </w:rPr>
              <w:t xml:space="preserve">, kas sastāda nozīmīgu daļu no Sabiedrības kopējiem ieņēmumiem un to pilnīgs iztrūkums 2016.gada ietvaros </w:t>
            </w:r>
            <w:r w:rsidR="00B45C4B">
              <w:rPr>
                <w:sz w:val="28"/>
                <w:szCs w:val="28"/>
              </w:rPr>
              <w:t xml:space="preserve">ir </w:t>
            </w:r>
            <w:r w:rsidR="00FF2CF7">
              <w:rPr>
                <w:sz w:val="28"/>
                <w:szCs w:val="28"/>
              </w:rPr>
              <w:t>rad</w:t>
            </w:r>
            <w:r w:rsidR="00B45C4B">
              <w:rPr>
                <w:sz w:val="28"/>
                <w:szCs w:val="28"/>
              </w:rPr>
              <w:t xml:space="preserve">ījis finanšu </w:t>
            </w:r>
            <w:r w:rsidR="00FF2CF7">
              <w:rPr>
                <w:sz w:val="28"/>
                <w:szCs w:val="28"/>
              </w:rPr>
              <w:t xml:space="preserve">plūsmas </w:t>
            </w:r>
            <w:r w:rsidR="00B45C4B">
              <w:rPr>
                <w:sz w:val="28"/>
                <w:szCs w:val="28"/>
              </w:rPr>
              <w:t>ļoti būtisku samazinājumu</w:t>
            </w:r>
            <w:r w:rsidR="000D7D43">
              <w:rPr>
                <w:sz w:val="28"/>
                <w:szCs w:val="28"/>
              </w:rPr>
              <w:t>.</w:t>
            </w:r>
          </w:p>
          <w:p w:rsidR="00D37368" w:rsidRDefault="00D37368" w:rsidP="006105DB">
            <w:pPr>
              <w:jc w:val="center"/>
              <w:rPr>
                <w:b/>
                <w:sz w:val="20"/>
                <w:szCs w:val="20"/>
              </w:rPr>
            </w:pPr>
          </w:p>
          <w:p w:rsidR="006105DB" w:rsidRPr="00D37368" w:rsidRDefault="006105DB" w:rsidP="006105DB">
            <w:pPr>
              <w:jc w:val="center"/>
              <w:rPr>
                <w:b/>
                <w:sz w:val="22"/>
                <w:szCs w:val="22"/>
              </w:rPr>
            </w:pPr>
            <w:r w:rsidRPr="00D37368">
              <w:rPr>
                <w:b/>
                <w:sz w:val="22"/>
                <w:szCs w:val="22"/>
              </w:rPr>
              <w:t>Biļešu ieņēmumu un dotācijas īpatsvara attiecība izdevumos (%)</w:t>
            </w:r>
          </w:p>
          <w:p w:rsidR="00D37368" w:rsidRPr="00D37368" w:rsidRDefault="00D37368" w:rsidP="006105DB">
            <w:pPr>
              <w:jc w:val="center"/>
              <w:rPr>
                <w:b/>
                <w:sz w:val="20"/>
                <w:szCs w:val="20"/>
              </w:rPr>
            </w:pPr>
          </w:p>
          <w:tbl>
            <w:tblPr>
              <w:tblW w:w="5000" w:type="pct"/>
              <w:tblLayout w:type="fixed"/>
              <w:tblCellMar>
                <w:left w:w="0" w:type="dxa"/>
                <w:right w:w="0" w:type="dxa"/>
              </w:tblCellMar>
              <w:tblLook w:val="04A0"/>
            </w:tblPr>
            <w:tblGrid>
              <w:gridCol w:w="2093"/>
              <w:gridCol w:w="1040"/>
              <w:gridCol w:w="1040"/>
              <w:gridCol w:w="1040"/>
              <w:gridCol w:w="1496"/>
            </w:tblGrid>
            <w:tr w:rsidR="006105DB" w:rsidRPr="00D37368" w:rsidTr="00DA7D07">
              <w:trPr>
                <w:trHeight w:val="608"/>
              </w:trPr>
              <w:tc>
                <w:tcPr>
                  <w:tcW w:w="15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105DB" w:rsidRPr="00D37368" w:rsidRDefault="006105DB" w:rsidP="00085736">
                  <w:pPr>
                    <w:framePr w:hSpace="180" w:wrap="around" w:vAnchor="text" w:hAnchor="margin" w:xAlign="center" w:y="149"/>
                    <w:rPr>
                      <w:rFonts w:eastAsiaTheme="minorHAnsi"/>
                      <w:color w:val="000000"/>
                      <w:sz w:val="20"/>
                      <w:szCs w:val="20"/>
                    </w:rPr>
                  </w:pPr>
                  <w:r w:rsidRPr="00D37368">
                    <w:rPr>
                      <w:color w:val="000000"/>
                      <w:sz w:val="20"/>
                      <w:szCs w:val="20"/>
                    </w:rPr>
                    <w:t> </w:t>
                  </w:r>
                </w:p>
              </w:tc>
              <w:tc>
                <w:tcPr>
                  <w:tcW w:w="7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05DB" w:rsidRPr="00D37368" w:rsidRDefault="006105DB" w:rsidP="00085736">
                  <w:pPr>
                    <w:framePr w:hSpace="180" w:wrap="around" w:vAnchor="text" w:hAnchor="margin" w:xAlign="center" w:y="149"/>
                    <w:jc w:val="center"/>
                    <w:rPr>
                      <w:rFonts w:eastAsiaTheme="minorHAnsi"/>
                      <w:color w:val="000000"/>
                      <w:sz w:val="20"/>
                      <w:szCs w:val="20"/>
                    </w:rPr>
                  </w:pPr>
                  <w:r w:rsidRPr="00D37368">
                    <w:rPr>
                      <w:color w:val="000000"/>
                      <w:sz w:val="20"/>
                      <w:szCs w:val="20"/>
                    </w:rPr>
                    <w:t xml:space="preserve">2013.gads </w:t>
                  </w:r>
                </w:p>
              </w:tc>
              <w:tc>
                <w:tcPr>
                  <w:tcW w:w="7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05DB" w:rsidRPr="00D37368" w:rsidRDefault="006105DB" w:rsidP="00085736">
                  <w:pPr>
                    <w:framePr w:hSpace="180" w:wrap="around" w:vAnchor="text" w:hAnchor="margin" w:xAlign="center" w:y="149"/>
                    <w:jc w:val="center"/>
                    <w:rPr>
                      <w:rFonts w:eastAsiaTheme="minorHAnsi"/>
                      <w:color w:val="000000"/>
                      <w:sz w:val="20"/>
                      <w:szCs w:val="20"/>
                    </w:rPr>
                  </w:pPr>
                  <w:r w:rsidRPr="00D37368">
                    <w:rPr>
                      <w:color w:val="000000"/>
                      <w:sz w:val="20"/>
                      <w:szCs w:val="20"/>
                    </w:rPr>
                    <w:t xml:space="preserve">2014.gads </w:t>
                  </w:r>
                </w:p>
              </w:tc>
              <w:tc>
                <w:tcPr>
                  <w:tcW w:w="7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05DB" w:rsidRPr="00D37368" w:rsidRDefault="006105DB" w:rsidP="00085736">
                  <w:pPr>
                    <w:framePr w:hSpace="180" w:wrap="around" w:vAnchor="text" w:hAnchor="margin" w:xAlign="center" w:y="149"/>
                    <w:jc w:val="center"/>
                    <w:rPr>
                      <w:rFonts w:eastAsiaTheme="minorHAnsi"/>
                      <w:color w:val="000000"/>
                      <w:sz w:val="20"/>
                      <w:szCs w:val="20"/>
                    </w:rPr>
                  </w:pPr>
                  <w:r w:rsidRPr="00D37368">
                    <w:rPr>
                      <w:color w:val="000000"/>
                      <w:sz w:val="20"/>
                      <w:szCs w:val="20"/>
                    </w:rPr>
                    <w:t xml:space="preserve">2015.gads </w:t>
                  </w:r>
                </w:p>
              </w:tc>
              <w:tc>
                <w:tcPr>
                  <w:tcW w:w="111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05DB" w:rsidRPr="00D37368" w:rsidRDefault="006105DB" w:rsidP="00D37368">
                  <w:pPr>
                    <w:framePr w:hSpace="180" w:wrap="around" w:vAnchor="text" w:hAnchor="margin" w:xAlign="center" w:y="149"/>
                    <w:rPr>
                      <w:rFonts w:eastAsiaTheme="minorHAnsi"/>
                      <w:color w:val="000000"/>
                      <w:sz w:val="20"/>
                      <w:szCs w:val="20"/>
                    </w:rPr>
                  </w:pPr>
                  <w:r w:rsidRPr="00D37368">
                    <w:rPr>
                      <w:color w:val="000000"/>
                      <w:sz w:val="20"/>
                      <w:szCs w:val="20"/>
                    </w:rPr>
                    <w:t>2016.gads  uz 01.07.2016.</w:t>
                  </w:r>
                </w:p>
              </w:tc>
            </w:tr>
            <w:tr w:rsidR="006105DB" w:rsidRPr="00D37368" w:rsidTr="00DA7D07">
              <w:trPr>
                <w:trHeight w:val="335"/>
              </w:trPr>
              <w:tc>
                <w:tcPr>
                  <w:tcW w:w="15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105DB" w:rsidRPr="00D37368" w:rsidRDefault="006105DB" w:rsidP="00085736">
                  <w:pPr>
                    <w:framePr w:hSpace="180" w:wrap="around" w:vAnchor="text" w:hAnchor="margin" w:xAlign="center" w:y="149"/>
                    <w:rPr>
                      <w:rFonts w:eastAsiaTheme="minorHAnsi"/>
                      <w:color w:val="000000"/>
                      <w:sz w:val="20"/>
                      <w:szCs w:val="20"/>
                    </w:rPr>
                  </w:pPr>
                  <w:r w:rsidRPr="00D37368">
                    <w:rPr>
                      <w:color w:val="000000"/>
                      <w:sz w:val="20"/>
                      <w:szCs w:val="20"/>
                    </w:rPr>
                    <w:t>Izdevumi</w:t>
                  </w:r>
                </w:p>
              </w:tc>
              <w:tc>
                <w:tcPr>
                  <w:tcW w:w="77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05DB" w:rsidRPr="00D37368" w:rsidRDefault="006105DB" w:rsidP="00085736">
                  <w:pPr>
                    <w:framePr w:hSpace="180" w:wrap="around" w:vAnchor="text" w:hAnchor="margin" w:xAlign="center" w:y="149"/>
                    <w:jc w:val="right"/>
                    <w:rPr>
                      <w:rFonts w:eastAsiaTheme="minorHAnsi"/>
                      <w:color w:val="000000"/>
                      <w:sz w:val="20"/>
                      <w:szCs w:val="20"/>
                    </w:rPr>
                  </w:pPr>
                  <w:r w:rsidRPr="00D37368">
                    <w:rPr>
                      <w:color w:val="000000"/>
                      <w:sz w:val="20"/>
                      <w:szCs w:val="20"/>
                    </w:rPr>
                    <w:t>1 065 121</w:t>
                  </w:r>
                </w:p>
              </w:tc>
              <w:tc>
                <w:tcPr>
                  <w:tcW w:w="77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05DB" w:rsidRPr="00D37368" w:rsidRDefault="006105DB" w:rsidP="00085736">
                  <w:pPr>
                    <w:framePr w:hSpace="180" w:wrap="around" w:vAnchor="text" w:hAnchor="margin" w:xAlign="center" w:y="149"/>
                    <w:jc w:val="right"/>
                    <w:rPr>
                      <w:rFonts w:eastAsiaTheme="minorHAnsi"/>
                      <w:color w:val="000000"/>
                      <w:sz w:val="20"/>
                      <w:szCs w:val="20"/>
                    </w:rPr>
                  </w:pPr>
                  <w:r w:rsidRPr="00D37368">
                    <w:rPr>
                      <w:color w:val="000000"/>
                      <w:sz w:val="20"/>
                      <w:szCs w:val="20"/>
                    </w:rPr>
                    <w:t>1 008 263</w:t>
                  </w:r>
                </w:p>
              </w:tc>
              <w:tc>
                <w:tcPr>
                  <w:tcW w:w="77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05DB" w:rsidRPr="00D37368" w:rsidRDefault="006105DB" w:rsidP="00085736">
                  <w:pPr>
                    <w:framePr w:hSpace="180" w:wrap="around" w:vAnchor="text" w:hAnchor="margin" w:xAlign="center" w:y="149"/>
                    <w:jc w:val="right"/>
                    <w:rPr>
                      <w:rFonts w:eastAsiaTheme="minorHAnsi"/>
                      <w:color w:val="000000"/>
                      <w:sz w:val="20"/>
                      <w:szCs w:val="20"/>
                    </w:rPr>
                  </w:pPr>
                  <w:r w:rsidRPr="00D37368">
                    <w:rPr>
                      <w:color w:val="000000"/>
                      <w:sz w:val="20"/>
                      <w:szCs w:val="20"/>
                    </w:rPr>
                    <w:t>1 085 524</w:t>
                  </w:r>
                </w:p>
              </w:tc>
              <w:tc>
                <w:tcPr>
                  <w:tcW w:w="111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05DB" w:rsidRPr="00D37368" w:rsidRDefault="006105DB" w:rsidP="00D37368">
                  <w:pPr>
                    <w:framePr w:hSpace="180" w:wrap="around" w:vAnchor="text" w:hAnchor="margin" w:xAlign="center" w:y="149"/>
                    <w:rPr>
                      <w:rFonts w:eastAsiaTheme="minorHAnsi"/>
                      <w:color w:val="000000"/>
                      <w:sz w:val="20"/>
                      <w:szCs w:val="20"/>
                    </w:rPr>
                  </w:pPr>
                  <w:r w:rsidRPr="00D37368">
                    <w:rPr>
                      <w:color w:val="000000"/>
                      <w:sz w:val="20"/>
                      <w:szCs w:val="20"/>
                    </w:rPr>
                    <w:t>497 125</w:t>
                  </w:r>
                </w:p>
              </w:tc>
            </w:tr>
            <w:tr w:rsidR="006105DB" w:rsidRPr="00D37368" w:rsidTr="00DA7D07">
              <w:trPr>
                <w:trHeight w:val="304"/>
              </w:trPr>
              <w:tc>
                <w:tcPr>
                  <w:tcW w:w="15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105DB" w:rsidRPr="00D37368" w:rsidRDefault="006105DB" w:rsidP="00085736">
                  <w:pPr>
                    <w:framePr w:hSpace="180" w:wrap="around" w:vAnchor="text" w:hAnchor="margin" w:xAlign="center" w:y="149"/>
                    <w:rPr>
                      <w:rFonts w:eastAsiaTheme="minorHAnsi"/>
                      <w:color w:val="000000"/>
                      <w:sz w:val="20"/>
                      <w:szCs w:val="20"/>
                    </w:rPr>
                  </w:pPr>
                  <w:r w:rsidRPr="00D37368">
                    <w:rPr>
                      <w:color w:val="000000"/>
                      <w:sz w:val="20"/>
                      <w:szCs w:val="20"/>
                    </w:rPr>
                    <w:t>Dotācija</w:t>
                  </w:r>
                </w:p>
              </w:tc>
              <w:tc>
                <w:tcPr>
                  <w:tcW w:w="77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05DB" w:rsidRPr="00D37368" w:rsidRDefault="006105DB" w:rsidP="00085736">
                  <w:pPr>
                    <w:framePr w:hSpace="180" w:wrap="around" w:vAnchor="text" w:hAnchor="margin" w:xAlign="center" w:y="149"/>
                    <w:jc w:val="right"/>
                    <w:rPr>
                      <w:rFonts w:eastAsiaTheme="minorHAnsi"/>
                      <w:color w:val="000000"/>
                      <w:sz w:val="20"/>
                      <w:szCs w:val="20"/>
                    </w:rPr>
                  </w:pPr>
                  <w:r w:rsidRPr="00D37368">
                    <w:rPr>
                      <w:color w:val="000000"/>
                      <w:sz w:val="20"/>
                      <w:szCs w:val="20"/>
                    </w:rPr>
                    <w:t>92 487</w:t>
                  </w:r>
                </w:p>
              </w:tc>
              <w:tc>
                <w:tcPr>
                  <w:tcW w:w="77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05DB" w:rsidRPr="00D37368" w:rsidRDefault="006105DB" w:rsidP="00085736">
                  <w:pPr>
                    <w:framePr w:hSpace="180" w:wrap="around" w:vAnchor="text" w:hAnchor="margin" w:xAlign="center" w:y="149"/>
                    <w:jc w:val="right"/>
                    <w:rPr>
                      <w:rFonts w:eastAsiaTheme="minorHAnsi"/>
                      <w:color w:val="000000"/>
                      <w:sz w:val="20"/>
                      <w:szCs w:val="20"/>
                    </w:rPr>
                  </w:pPr>
                  <w:r w:rsidRPr="00D37368">
                    <w:rPr>
                      <w:color w:val="000000"/>
                      <w:sz w:val="20"/>
                      <w:szCs w:val="20"/>
                    </w:rPr>
                    <w:t>247 568</w:t>
                  </w:r>
                </w:p>
              </w:tc>
              <w:tc>
                <w:tcPr>
                  <w:tcW w:w="77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05DB" w:rsidRPr="00D37368" w:rsidRDefault="006105DB" w:rsidP="00085736">
                  <w:pPr>
                    <w:framePr w:hSpace="180" w:wrap="around" w:vAnchor="text" w:hAnchor="margin" w:xAlign="center" w:y="149"/>
                    <w:jc w:val="right"/>
                    <w:rPr>
                      <w:rFonts w:eastAsiaTheme="minorHAnsi"/>
                      <w:color w:val="000000"/>
                      <w:sz w:val="20"/>
                      <w:szCs w:val="20"/>
                    </w:rPr>
                  </w:pPr>
                  <w:r w:rsidRPr="00D37368">
                    <w:rPr>
                      <w:color w:val="000000"/>
                      <w:sz w:val="20"/>
                      <w:szCs w:val="20"/>
                    </w:rPr>
                    <w:t>196 534</w:t>
                  </w:r>
                </w:p>
              </w:tc>
              <w:tc>
                <w:tcPr>
                  <w:tcW w:w="111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05DB" w:rsidRPr="00D37368" w:rsidRDefault="006105DB" w:rsidP="00D37368">
                  <w:pPr>
                    <w:framePr w:hSpace="180" w:wrap="around" w:vAnchor="text" w:hAnchor="margin" w:xAlign="center" w:y="149"/>
                    <w:rPr>
                      <w:rFonts w:eastAsiaTheme="minorHAnsi"/>
                      <w:color w:val="000000"/>
                      <w:sz w:val="20"/>
                      <w:szCs w:val="20"/>
                    </w:rPr>
                  </w:pPr>
                  <w:r w:rsidRPr="00D37368">
                    <w:rPr>
                      <w:color w:val="000000"/>
                      <w:sz w:val="20"/>
                      <w:szCs w:val="20"/>
                    </w:rPr>
                    <w:t>165 000</w:t>
                  </w:r>
                </w:p>
              </w:tc>
            </w:tr>
            <w:tr w:rsidR="006105DB" w:rsidRPr="00D37368" w:rsidTr="00DA7D07">
              <w:trPr>
                <w:trHeight w:val="304"/>
              </w:trPr>
              <w:tc>
                <w:tcPr>
                  <w:tcW w:w="15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105DB" w:rsidRPr="00D37368" w:rsidRDefault="006105DB" w:rsidP="00085736">
                  <w:pPr>
                    <w:framePr w:hSpace="180" w:wrap="around" w:vAnchor="text" w:hAnchor="margin" w:xAlign="center" w:y="149"/>
                    <w:rPr>
                      <w:rFonts w:eastAsiaTheme="minorHAnsi"/>
                      <w:color w:val="000000"/>
                      <w:sz w:val="20"/>
                      <w:szCs w:val="20"/>
                    </w:rPr>
                  </w:pPr>
                  <w:r w:rsidRPr="00D37368">
                    <w:rPr>
                      <w:color w:val="000000"/>
                      <w:sz w:val="20"/>
                      <w:szCs w:val="20"/>
                    </w:rPr>
                    <w:t>Biļešu ieņēmumi</w:t>
                  </w:r>
                </w:p>
              </w:tc>
              <w:tc>
                <w:tcPr>
                  <w:tcW w:w="77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05DB" w:rsidRPr="00D37368" w:rsidRDefault="006105DB" w:rsidP="00085736">
                  <w:pPr>
                    <w:framePr w:hSpace="180" w:wrap="around" w:vAnchor="text" w:hAnchor="margin" w:xAlign="center" w:y="149"/>
                    <w:jc w:val="right"/>
                    <w:rPr>
                      <w:rFonts w:eastAsiaTheme="minorHAnsi"/>
                      <w:color w:val="000000"/>
                      <w:sz w:val="20"/>
                      <w:szCs w:val="20"/>
                    </w:rPr>
                  </w:pPr>
                  <w:r w:rsidRPr="00D37368">
                    <w:rPr>
                      <w:color w:val="000000"/>
                      <w:sz w:val="20"/>
                      <w:szCs w:val="20"/>
                    </w:rPr>
                    <w:t>925 580</w:t>
                  </w:r>
                </w:p>
              </w:tc>
              <w:tc>
                <w:tcPr>
                  <w:tcW w:w="77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05DB" w:rsidRPr="00D37368" w:rsidRDefault="006105DB" w:rsidP="00085736">
                  <w:pPr>
                    <w:framePr w:hSpace="180" w:wrap="around" w:vAnchor="text" w:hAnchor="margin" w:xAlign="center" w:y="149"/>
                    <w:jc w:val="right"/>
                    <w:rPr>
                      <w:rFonts w:eastAsiaTheme="minorHAnsi"/>
                      <w:color w:val="000000"/>
                      <w:sz w:val="20"/>
                      <w:szCs w:val="20"/>
                    </w:rPr>
                  </w:pPr>
                  <w:r w:rsidRPr="00D37368">
                    <w:rPr>
                      <w:color w:val="000000"/>
                      <w:sz w:val="20"/>
                      <w:szCs w:val="20"/>
                    </w:rPr>
                    <w:t>989 331</w:t>
                  </w:r>
                </w:p>
              </w:tc>
              <w:tc>
                <w:tcPr>
                  <w:tcW w:w="77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05DB" w:rsidRPr="00D37368" w:rsidRDefault="006105DB" w:rsidP="00085736">
                  <w:pPr>
                    <w:framePr w:hSpace="180" w:wrap="around" w:vAnchor="text" w:hAnchor="margin" w:xAlign="center" w:y="149"/>
                    <w:jc w:val="right"/>
                    <w:rPr>
                      <w:rFonts w:eastAsiaTheme="minorHAnsi"/>
                      <w:color w:val="000000"/>
                      <w:sz w:val="20"/>
                      <w:szCs w:val="20"/>
                    </w:rPr>
                  </w:pPr>
                  <w:r w:rsidRPr="00D37368">
                    <w:rPr>
                      <w:color w:val="000000"/>
                      <w:sz w:val="20"/>
                      <w:szCs w:val="20"/>
                    </w:rPr>
                    <w:t>612 803</w:t>
                  </w:r>
                </w:p>
              </w:tc>
              <w:tc>
                <w:tcPr>
                  <w:tcW w:w="111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105DB" w:rsidRPr="00D37368" w:rsidRDefault="006105DB" w:rsidP="00D37368">
                  <w:pPr>
                    <w:framePr w:hSpace="180" w:wrap="around" w:vAnchor="text" w:hAnchor="margin" w:xAlign="center" w:y="149"/>
                    <w:rPr>
                      <w:rFonts w:eastAsiaTheme="minorHAnsi"/>
                      <w:color w:val="000000"/>
                      <w:sz w:val="20"/>
                      <w:szCs w:val="20"/>
                    </w:rPr>
                  </w:pPr>
                  <w:r w:rsidRPr="00D37368">
                    <w:rPr>
                      <w:color w:val="000000"/>
                      <w:sz w:val="20"/>
                      <w:szCs w:val="20"/>
                    </w:rPr>
                    <w:t>142 869</w:t>
                  </w:r>
                </w:p>
              </w:tc>
            </w:tr>
            <w:tr w:rsidR="006105DB" w:rsidRPr="00D37368" w:rsidTr="00DA7D07">
              <w:trPr>
                <w:trHeight w:val="730"/>
              </w:trPr>
              <w:tc>
                <w:tcPr>
                  <w:tcW w:w="1560" w:type="pct"/>
                  <w:tcBorders>
                    <w:top w:val="nil"/>
                    <w:left w:val="single" w:sz="8" w:space="0" w:color="auto"/>
                    <w:bottom w:val="nil"/>
                    <w:right w:val="single" w:sz="8" w:space="0" w:color="auto"/>
                  </w:tcBorders>
                  <w:tcMar>
                    <w:top w:w="0" w:type="dxa"/>
                    <w:left w:w="108" w:type="dxa"/>
                    <w:bottom w:w="0" w:type="dxa"/>
                    <w:right w:w="108" w:type="dxa"/>
                  </w:tcMar>
                  <w:vAlign w:val="bottom"/>
                  <w:hideMark/>
                </w:tcPr>
                <w:p w:rsidR="006105DB" w:rsidRPr="00D37368" w:rsidRDefault="006105DB" w:rsidP="00085736">
                  <w:pPr>
                    <w:framePr w:hSpace="180" w:wrap="around" w:vAnchor="text" w:hAnchor="margin" w:xAlign="center" w:y="149"/>
                    <w:rPr>
                      <w:rFonts w:eastAsiaTheme="minorHAnsi"/>
                      <w:color w:val="000000"/>
                      <w:sz w:val="20"/>
                      <w:szCs w:val="20"/>
                    </w:rPr>
                  </w:pPr>
                  <w:r w:rsidRPr="00D37368">
                    <w:rPr>
                      <w:color w:val="000000"/>
                      <w:sz w:val="20"/>
                      <w:szCs w:val="20"/>
                    </w:rPr>
                    <w:t>Biļešu ieņēmumu īpatsvars Izdevumos (%)</w:t>
                  </w:r>
                </w:p>
              </w:tc>
              <w:tc>
                <w:tcPr>
                  <w:tcW w:w="775" w:type="pct"/>
                  <w:tcBorders>
                    <w:top w:val="nil"/>
                    <w:left w:val="nil"/>
                    <w:bottom w:val="nil"/>
                    <w:right w:val="single" w:sz="8" w:space="0" w:color="auto"/>
                  </w:tcBorders>
                  <w:noWrap/>
                  <w:tcMar>
                    <w:top w:w="0" w:type="dxa"/>
                    <w:left w:w="108" w:type="dxa"/>
                    <w:bottom w:w="0" w:type="dxa"/>
                    <w:right w:w="108" w:type="dxa"/>
                  </w:tcMar>
                  <w:vAlign w:val="bottom"/>
                  <w:hideMark/>
                </w:tcPr>
                <w:p w:rsidR="006105DB" w:rsidRPr="00D37368" w:rsidRDefault="006105DB" w:rsidP="00085736">
                  <w:pPr>
                    <w:framePr w:hSpace="180" w:wrap="around" w:vAnchor="text" w:hAnchor="margin" w:xAlign="center" w:y="149"/>
                    <w:jc w:val="right"/>
                    <w:rPr>
                      <w:rFonts w:eastAsiaTheme="minorHAnsi"/>
                      <w:color w:val="000000"/>
                      <w:sz w:val="20"/>
                      <w:szCs w:val="20"/>
                    </w:rPr>
                  </w:pPr>
                  <w:r w:rsidRPr="00D37368">
                    <w:rPr>
                      <w:color w:val="000000"/>
                      <w:sz w:val="20"/>
                      <w:szCs w:val="20"/>
                    </w:rPr>
                    <w:t>86.90</w:t>
                  </w:r>
                </w:p>
              </w:tc>
              <w:tc>
                <w:tcPr>
                  <w:tcW w:w="775" w:type="pct"/>
                  <w:tcBorders>
                    <w:top w:val="nil"/>
                    <w:left w:val="nil"/>
                    <w:bottom w:val="nil"/>
                    <w:right w:val="single" w:sz="8" w:space="0" w:color="auto"/>
                  </w:tcBorders>
                  <w:noWrap/>
                  <w:tcMar>
                    <w:top w:w="0" w:type="dxa"/>
                    <w:left w:w="108" w:type="dxa"/>
                    <w:bottom w:w="0" w:type="dxa"/>
                    <w:right w:w="108" w:type="dxa"/>
                  </w:tcMar>
                  <w:vAlign w:val="bottom"/>
                  <w:hideMark/>
                </w:tcPr>
                <w:p w:rsidR="006105DB" w:rsidRPr="00D37368" w:rsidRDefault="006105DB" w:rsidP="00085736">
                  <w:pPr>
                    <w:framePr w:hSpace="180" w:wrap="around" w:vAnchor="text" w:hAnchor="margin" w:xAlign="center" w:y="149"/>
                    <w:jc w:val="right"/>
                    <w:rPr>
                      <w:rFonts w:eastAsiaTheme="minorHAnsi"/>
                      <w:color w:val="000000"/>
                      <w:sz w:val="20"/>
                      <w:szCs w:val="20"/>
                    </w:rPr>
                  </w:pPr>
                  <w:r w:rsidRPr="00D37368">
                    <w:rPr>
                      <w:color w:val="000000"/>
                      <w:sz w:val="20"/>
                      <w:szCs w:val="20"/>
                    </w:rPr>
                    <w:t>98.12</w:t>
                  </w:r>
                </w:p>
              </w:tc>
              <w:tc>
                <w:tcPr>
                  <w:tcW w:w="775" w:type="pct"/>
                  <w:tcBorders>
                    <w:top w:val="nil"/>
                    <w:left w:val="nil"/>
                    <w:bottom w:val="nil"/>
                    <w:right w:val="single" w:sz="8" w:space="0" w:color="auto"/>
                  </w:tcBorders>
                  <w:noWrap/>
                  <w:tcMar>
                    <w:top w:w="0" w:type="dxa"/>
                    <w:left w:w="108" w:type="dxa"/>
                    <w:bottom w:w="0" w:type="dxa"/>
                    <w:right w:w="108" w:type="dxa"/>
                  </w:tcMar>
                  <w:vAlign w:val="bottom"/>
                  <w:hideMark/>
                </w:tcPr>
                <w:p w:rsidR="006105DB" w:rsidRPr="00D37368" w:rsidRDefault="006105DB" w:rsidP="00085736">
                  <w:pPr>
                    <w:framePr w:hSpace="180" w:wrap="around" w:vAnchor="text" w:hAnchor="margin" w:xAlign="center" w:y="149"/>
                    <w:jc w:val="right"/>
                    <w:rPr>
                      <w:rFonts w:eastAsiaTheme="minorHAnsi"/>
                      <w:color w:val="000000"/>
                      <w:sz w:val="20"/>
                      <w:szCs w:val="20"/>
                    </w:rPr>
                  </w:pPr>
                  <w:r w:rsidRPr="00D37368">
                    <w:rPr>
                      <w:color w:val="000000"/>
                      <w:sz w:val="20"/>
                      <w:szCs w:val="20"/>
                    </w:rPr>
                    <w:t>56.45</w:t>
                  </w:r>
                </w:p>
              </w:tc>
              <w:tc>
                <w:tcPr>
                  <w:tcW w:w="1115" w:type="pct"/>
                  <w:tcBorders>
                    <w:top w:val="nil"/>
                    <w:left w:val="nil"/>
                    <w:bottom w:val="nil"/>
                    <w:right w:val="single" w:sz="8" w:space="0" w:color="auto"/>
                  </w:tcBorders>
                  <w:noWrap/>
                  <w:tcMar>
                    <w:top w:w="0" w:type="dxa"/>
                    <w:left w:w="108" w:type="dxa"/>
                    <w:bottom w:w="0" w:type="dxa"/>
                    <w:right w:w="108" w:type="dxa"/>
                  </w:tcMar>
                  <w:vAlign w:val="bottom"/>
                  <w:hideMark/>
                </w:tcPr>
                <w:p w:rsidR="006105DB" w:rsidRPr="00D37368" w:rsidRDefault="006105DB" w:rsidP="00D37368">
                  <w:pPr>
                    <w:framePr w:hSpace="180" w:wrap="around" w:vAnchor="text" w:hAnchor="margin" w:xAlign="center" w:y="149"/>
                    <w:rPr>
                      <w:rFonts w:eastAsiaTheme="minorHAnsi"/>
                      <w:color w:val="000000"/>
                      <w:sz w:val="20"/>
                      <w:szCs w:val="20"/>
                    </w:rPr>
                  </w:pPr>
                  <w:r w:rsidRPr="00D37368">
                    <w:rPr>
                      <w:color w:val="000000"/>
                      <w:sz w:val="20"/>
                      <w:szCs w:val="20"/>
                    </w:rPr>
                    <w:t>28.74</w:t>
                  </w:r>
                </w:p>
              </w:tc>
            </w:tr>
            <w:tr w:rsidR="006105DB" w:rsidRPr="00D37368" w:rsidTr="00DA7D07">
              <w:trPr>
                <w:trHeight w:val="608"/>
              </w:trPr>
              <w:tc>
                <w:tcPr>
                  <w:tcW w:w="15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105DB" w:rsidRPr="00D37368" w:rsidRDefault="006105DB" w:rsidP="00085736">
                  <w:pPr>
                    <w:framePr w:hSpace="180" w:wrap="around" w:vAnchor="text" w:hAnchor="margin" w:xAlign="center" w:y="149"/>
                    <w:rPr>
                      <w:rFonts w:eastAsiaTheme="minorHAnsi"/>
                      <w:color w:val="000000"/>
                      <w:sz w:val="20"/>
                      <w:szCs w:val="20"/>
                    </w:rPr>
                  </w:pPr>
                  <w:r w:rsidRPr="00D37368">
                    <w:rPr>
                      <w:color w:val="000000"/>
                      <w:sz w:val="20"/>
                      <w:szCs w:val="20"/>
                    </w:rPr>
                    <w:t>Dotācijas īpatsvars izdevumos (%)</w:t>
                  </w:r>
                </w:p>
              </w:tc>
              <w:tc>
                <w:tcPr>
                  <w:tcW w:w="77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105DB" w:rsidRPr="00D37368" w:rsidRDefault="006105DB" w:rsidP="00085736">
                  <w:pPr>
                    <w:framePr w:hSpace="180" w:wrap="around" w:vAnchor="text" w:hAnchor="margin" w:xAlign="center" w:y="149"/>
                    <w:jc w:val="right"/>
                    <w:rPr>
                      <w:rFonts w:eastAsiaTheme="minorHAnsi"/>
                      <w:color w:val="000000"/>
                      <w:sz w:val="20"/>
                      <w:szCs w:val="20"/>
                    </w:rPr>
                  </w:pPr>
                  <w:r w:rsidRPr="00D37368">
                    <w:rPr>
                      <w:color w:val="000000"/>
                      <w:sz w:val="20"/>
                      <w:szCs w:val="20"/>
                    </w:rPr>
                    <w:t>8.68</w:t>
                  </w:r>
                </w:p>
              </w:tc>
              <w:tc>
                <w:tcPr>
                  <w:tcW w:w="77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105DB" w:rsidRPr="00D37368" w:rsidRDefault="006105DB" w:rsidP="00085736">
                  <w:pPr>
                    <w:framePr w:hSpace="180" w:wrap="around" w:vAnchor="text" w:hAnchor="margin" w:xAlign="center" w:y="149"/>
                    <w:jc w:val="right"/>
                    <w:rPr>
                      <w:rFonts w:eastAsiaTheme="minorHAnsi"/>
                      <w:color w:val="000000"/>
                      <w:sz w:val="20"/>
                      <w:szCs w:val="20"/>
                    </w:rPr>
                  </w:pPr>
                  <w:r w:rsidRPr="00D37368">
                    <w:rPr>
                      <w:color w:val="000000"/>
                      <w:sz w:val="20"/>
                      <w:szCs w:val="20"/>
                    </w:rPr>
                    <w:t>24.55</w:t>
                  </w:r>
                </w:p>
              </w:tc>
              <w:tc>
                <w:tcPr>
                  <w:tcW w:w="77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105DB" w:rsidRPr="00D37368" w:rsidRDefault="006105DB" w:rsidP="00085736">
                  <w:pPr>
                    <w:framePr w:hSpace="180" w:wrap="around" w:vAnchor="text" w:hAnchor="margin" w:xAlign="center" w:y="149"/>
                    <w:jc w:val="right"/>
                    <w:rPr>
                      <w:rFonts w:eastAsiaTheme="minorHAnsi"/>
                      <w:color w:val="000000"/>
                      <w:sz w:val="20"/>
                      <w:szCs w:val="20"/>
                    </w:rPr>
                  </w:pPr>
                  <w:r w:rsidRPr="00D37368">
                    <w:rPr>
                      <w:color w:val="000000"/>
                      <w:sz w:val="20"/>
                      <w:szCs w:val="20"/>
                    </w:rPr>
                    <w:t>18.10</w:t>
                  </w:r>
                </w:p>
              </w:tc>
              <w:tc>
                <w:tcPr>
                  <w:tcW w:w="111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105DB" w:rsidRPr="00D37368" w:rsidRDefault="006105DB" w:rsidP="00D37368">
                  <w:pPr>
                    <w:framePr w:hSpace="180" w:wrap="around" w:vAnchor="text" w:hAnchor="margin" w:xAlign="center" w:y="149"/>
                    <w:rPr>
                      <w:rFonts w:eastAsiaTheme="minorHAnsi"/>
                      <w:color w:val="000000"/>
                      <w:sz w:val="20"/>
                      <w:szCs w:val="20"/>
                    </w:rPr>
                  </w:pPr>
                  <w:r w:rsidRPr="00D37368">
                    <w:rPr>
                      <w:color w:val="000000"/>
                      <w:sz w:val="20"/>
                      <w:szCs w:val="20"/>
                    </w:rPr>
                    <w:t>33.19</w:t>
                  </w:r>
                </w:p>
              </w:tc>
            </w:tr>
          </w:tbl>
          <w:p w:rsidR="006105DB" w:rsidRDefault="006105DB">
            <w:pPr>
              <w:jc w:val="both"/>
              <w:rPr>
                <w:sz w:val="28"/>
                <w:szCs w:val="28"/>
              </w:rPr>
            </w:pPr>
          </w:p>
          <w:p w:rsidR="0040356D" w:rsidRDefault="00926508" w:rsidP="0040356D">
            <w:pPr>
              <w:jc w:val="both"/>
              <w:rPr>
                <w:color w:val="1F497D"/>
              </w:rPr>
            </w:pPr>
            <w:r w:rsidRPr="00B85337">
              <w:rPr>
                <w:sz w:val="28"/>
                <w:szCs w:val="28"/>
              </w:rPr>
              <w:t>Reaģējot uz būtisko ieņēmumu k</w:t>
            </w:r>
            <w:r w:rsidR="00617662" w:rsidRPr="00B85337">
              <w:rPr>
                <w:sz w:val="28"/>
                <w:szCs w:val="28"/>
              </w:rPr>
              <w:t xml:space="preserve">ritumu, kā arī izrāžu darbības </w:t>
            </w:r>
            <w:r w:rsidRPr="00B85337">
              <w:rPr>
                <w:sz w:val="28"/>
                <w:szCs w:val="28"/>
              </w:rPr>
              <w:t xml:space="preserve">apturēšanu cirka ēkā, Sabiedrība </w:t>
            </w:r>
            <w:r w:rsidR="00AE0CB0">
              <w:rPr>
                <w:sz w:val="28"/>
                <w:szCs w:val="28"/>
              </w:rPr>
              <w:t>veica</w:t>
            </w:r>
            <w:r w:rsidRPr="00B85337">
              <w:rPr>
                <w:sz w:val="28"/>
                <w:szCs w:val="28"/>
              </w:rPr>
              <w:t xml:space="preserve"> darbinieku atlaišanu</w:t>
            </w:r>
            <w:r w:rsidR="00F92D7C">
              <w:rPr>
                <w:sz w:val="28"/>
                <w:szCs w:val="28"/>
              </w:rPr>
              <w:t xml:space="preserve"> (kopā atlaisti 44 darbinieki)</w:t>
            </w:r>
            <w:r w:rsidR="006A018E" w:rsidRPr="006A018E">
              <w:rPr>
                <w:sz w:val="28"/>
                <w:szCs w:val="28"/>
              </w:rPr>
              <w:t xml:space="preserve">. </w:t>
            </w:r>
            <w:r w:rsidR="00450DF2" w:rsidRPr="006A018E">
              <w:rPr>
                <w:sz w:val="28"/>
                <w:szCs w:val="28"/>
              </w:rPr>
              <w:t xml:space="preserve">Uz 2016.gada 1.janvāri Sabiedrībā strādāja </w:t>
            </w:r>
            <w:r w:rsidR="00AE0CB0">
              <w:rPr>
                <w:sz w:val="28"/>
                <w:szCs w:val="28"/>
              </w:rPr>
              <w:t xml:space="preserve">62 </w:t>
            </w:r>
            <w:r w:rsidR="00450DF2" w:rsidRPr="006A018E">
              <w:rPr>
                <w:sz w:val="28"/>
                <w:szCs w:val="28"/>
              </w:rPr>
              <w:t>darbinieki, taču</w:t>
            </w:r>
            <w:r w:rsidR="00F92D7C">
              <w:rPr>
                <w:sz w:val="28"/>
                <w:szCs w:val="28"/>
              </w:rPr>
              <w:t>,</w:t>
            </w:r>
            <w:r w:rsidR="00450DF2" w:rsidRPr="006A018E">
              <w:rPr>
                <w:sz w:val="28"/>
                <w:szCs w:val="28"/>
              </w:rPr>
              <w:t xml:space="preserve"> situācijai attīstoties</w:t>
            </w:r>
            <w:r w:rsidR="00F92D7C">
              <w:rPr>
                <w:sz w:val="28"/>
                <w:szCs w:val="28"/>
              </w:rPr>
              <w:t>,</w:t>
            </w:r>
            <w:r w:rsidR="00450DF2" w:rsidRPr="006A018E">
              <w:rPr>
                <w:sz w:val="28"/>
                <w:szCs w:val="28"/>
              </w:rPr>
              <w:t xml:space="preserve"> pēc </w:t>
            </w:r>
            <w:r w:rsidR="00F92D7C">
              <w:rPr>
                <w:sz w:val="28"/>
                <w:szCs w:val="28"/>
              </w:rPr>
              <w:t>programmas</w:t>
            </w:r>
            <w:r w:rsidR="00B45C4B">
              <w:rPr>
                <w:sz w:val="28"/>
                <w:szCs w:val="28"/>
              </w:rPr>
              <w:t xml:space="preserve"> „</w:t>
            </w:r>
            <w:r w:rsidR="00450DF2" w:rsidRPr="006A018E">
              <w:rPr>
                <w:sz w:val="28"/>
                <w:szCs w:val="28"/>
              </w:rPr>
              <w:t>Tropu fantāzija</w:t>
            </w:r>
            <w:r w:rsidR="00B45C4B">
              <w:rPr>
                <w:sz w:val="28"/>
                <w:szCs w:val="28"/>
              </w:rPr>
              <w:t>”</w:t>
            </w:r>
            <w:r w:rsidR="00450DF2" w:rsidRPr="006A018E">
              <w:rPr>
                <w:sz w:val="28"/>
                <w:szCs w:val="28"/>
              </w:rPr>
              <w:t xml:space="preserve"> </w:t>
            </w:r>
            <w:r w:rsidR="00B45C4B">
              <w:rPr>
                <w:sz w:val="28"/>
                <w:szCs w:val="28"/>
              </w:rPr>
              <w:t xml:space="preserve">pārtraukšanas </w:t>
            </w:r>
            <w:r w:rsidR="000757BC">
              <w:rPr>
                <w:sz w:val="28"/>
                <w:szCs w:val="28"/>
              </w:rPr>
              <w:t xml:space="preserve">uz 2016.gada 30.martu </w:t>
            </w:r>
            <w:r w:rsidR="00AE0CB0" w:rsidRPr="006A018E">
              <w:rPr>
                <w:sz w:val="28"/>
                <w:szCs w:val="28"/>
              </w:rPr>
              <w:t>tika at</w:t>
            </w:r>
            <w:r w:rsidR="00AE0CB0">
              <w:rPr>
                <w:sz w:val="28"/>
                <w:szCs w:val="28"/>
              </w:rPr>
              <w:t xml:space="preserve">laisti </w:t>
            </w:r>
            <w:r w:rsidR="0040356D">
              <w:rPr>
                <w:sz w:val="28"/>
                <w:szCs w:val="28"/>
              </w:rPr>
              <w:t>30</w:t>
            </w:r>
            <w:r w:rsidR="00AE0CB0">
              <w:rPr>
                <w:sz w:val="28"/>
                <w:szCs w:val="28"/>
              </w:rPr>
              <w:t xml:space="preserve"> darbinieki. Š</w:t>
            </w:r>
            <w:r w:rsidR="00450DF2" w:rsidRPr="006A018E">
              <w:rPr>
                <w:sz w:val="28"/>
                <w:szCs w:val="28"/>
              </w:rPr>
              <w:t>obrīd Sabiedr</w:t>
            </w:r>
            <w:r w:rsidR="00AE0CB0">
              <w:rPr>
                <w:sz w:val="28"/>
                <w:szCs w:val="28"/>
              </w:rPr>
              <w:t xml:space="preserve">ībā nodarbināti </w:t>
            </w:r>
            <w:r w:rsidR="0040356D">
              <w:rPr>
                <w:sz w:val="28"/>
                <w:szCs w:val="28"/>
              </w:rPr>
              <w:t>18</w:t>
            </w:r>
            <w:r w:rsidR="00AE0CB0">
              <w:rPr>
                <w:sz w:val="28"/>
                <w:szCs w:val="28"/>
              </w:rPr>
              <w:t xml:space="preserve"> darbinieki, kuri nodrošina administratīvo un </w:t>
            </w:r>
            <w:r w:rsidR="00D309C1" w:rsidRPr="006A018E">
              <w:rPr>
                <w:sz w:val="28"/>
                <w:szCs w:val="28"/>
              </w:rPr>
              <w:t>saimniecisk</w:t>
            </w:r>
            <w:r w:rsidR="00AE0CB0">
              <w:rPr>
                <w:sz w:val="28"/>
                <w:szCs w:val="28"/>
              </w:rPr>
              <w:t xml:space="preserve">o funkciju. </w:t>
            </w:r>
            <w:r w:rsidR="00D309C1" w:rsidRPr="006A018E">
              <w:rPr>
                <w:sz w:val="28"/>
                <w:szCs w:val="28"/>
              </w:rPr>
              <w:t xml:space="preserve"> </w:t>
            </w:r>
          </w:p>
          <w:p w:rsidR="005B529A" w:rsidRPr="00187F59" w:rsidRDefault="005B529A" w:rsidP="006A018E">
            <w:pPr>
              <w:jc w:val="both"/>
            </w:pPr>
          </w:p>
          <w:p w:rsidR="00187F59" w:rsidRPr="00D37368" w:rsidRDefault="00187F59" w:rsidP="00187F59">
            <w:pPr>
              <w:jc w:val="center"/>
              <w:rPr>
                <w:b/>
                <w:sz w:val="22"/>
                <w:szCs w:val="22"/>
              </w:rPr>
            </w:pPr>
            <w:r w:rsidRPr="00D37368">
              <w:rPr>
                <w:b/>
                <w:sz w:val="22"/>
                <w:szCs w:val="22"/>
              </w:rPr>
              <w:t>Darbinieku štatu saraksta dinamika 2016.gada ietvaros</w:t>
            </w:r>
          </w:p>
          <w:p w:rsidR="00D37368" w:rsidRPr="00D37368" w:rsidRDefault="00D37368" w:rsidP="00187F59">
            <w:pPr>
              <w:jc w:val="center"/>
              <w:rPr>
                <w:b/>
                <w:sz w:val="22"/>
                <w:szCs w:val="22"/>
              </w:rPr>
            </w:pPr>
          </w:p>
          <w:tbl>
            <w:tblPr>
              <w:tblStyle w:val="Reatabula"/>
              <w:tblW w:w="7225" w:type="dxa"/>
              <w:tblLayout w:type="fixed"/>
              <w:tblLook w:val="04A0"/>
            </w:tblPr>
            <w:tblGrid>
              <w:gridCol w:w="4372"/>
              <w:gridCol w:w="1144"/>
              <w:gridCol w:w="1709"/>
            </w:tblGrid>
            <w:tr w:rsidR="003D2BEC" w:rsidRPr="00D37368" w:rsidTr="00F45BA1">
              <w:trPr>
                <w:trHeight w:val="543"/>
              </w:trPr>
              <w:tc>
                <w:tcPr>
                  <w:tcW w:w="3025" w:type="pct"/>
                </w:tcPr>
                <w:p w:rsidR="003D2BEC" w:rsidRPr="00D37368" w:rsidRDefault="003D2BEC" w:rsidP="00085736">
                  <w:pPr>
                    <w:framePr w:hSpace="180" w:wrap="around" w:vAnchor="text" w:hAnchor="margin" w:xAlign="center" w:y="149"/>
                    <w:jc w:val="both"/>
                    <w:rPr>
                      <w:b/>
                      <w:sz w:val="20"/>
                      <w:szCs w:val="20"/>
                    </w:rPr>
                  </w:pPr>
                  <w:r w:rsidRPr="00D37368">
                    <w:rPr>
                      <w:i/>
                      <w:sz w:val="20"/>
                      <w:szCs w:val="20"/>
                    </w:rPr>
                    <w:t>Darbinieki:</w:t>
                  </w:r>
                </w:p>
              </w:tc>
              <w:tc>
                <w:tcPr>
                  <w:tcW w:w="792" w:type="pct"/>
                  <w:vAlign w:val="center"/>
                </w:tcPr>
                <w:p w:rsidR="003D2BEC" w:rsidRPr="00D37368" w:rsidRDefault="00D37368" w:rsidP="00085736">
                  <w:pPr>
                    <w:framePr w:hSpace="180" w:wrap="around" w:vAnchor="text" w:hAnchor="margin" w:xAlign="center" w:y="149"/>
                    <w:jc w:val="center"/>
                    <w:rPr>
                      <w:b/>
                      <w:sz w:val="20"/>
                      <w:szCs w:val="20"/>
                    </w:rPr>
                  </w:pPr>
                  <w:r>
                    <w:rPr>
                      <w:b/>
                      <w:sz w:val="20"/>
                      <w:szCs w:val="20"/>
                    </w:rPr>
                    <w:t>S</w:t>
                  </w:r>
                  <w:r w:rsidR="003D2BEC" w:rsidRPr="00D37368">
                    <w:rPr>
                      <w:b/>
                      <w:sz w:val="20"/>
                      <w:szCs w:val="20"/>
                    </w:rPr>
                    <w:t>kaits</w:t>
                  </w:r>
                </w:p>
              </w:tc>
              <w:tc>
                <w:tcPr>
                  <w:tcW w:w="1183" w:type="pct"/>
                  <w:vAlign w:val="center"/>
                </w:tcPr>
                <w:p w:rsidR="003D2BEC" w:rsidRPr="00D37368" w:rsidRDefault="003D2BEC" w:rsidP="00624C8A">
                  <w:pPr>
                    <w:framePr w:hSpace="180" w:wrap="around" w:vAnchor="text" w:hAnchor="margin" w:xAlign="center" w:y="149"/>
                    <w:ind w:right="176"/>
                    <w:jc w:val="center"/>
                    <w:rPr>
                      <w:b/>
                      <w:sz w:val="20"/>
                      <w:szCs w:val="20"/>
                    </w:rPr>
                  </w:pPr>
                  <w:r w:rsidRPr="00D37368">
                    <w:rPr>
                      <w:b/>
                      <w:sz w:val="20"/>
                      <w:szCs w:val="20"/>
                    </w:rPr>
                    <w:t>Kompen</w:t>
                  </w:r>
                  <w:r w:rsidR="00B92629" w:rsidRPr="00D37368">
                    <w:rPr>
                      <w:b/>
                      <w:sz w:val="20"/>
                      <w:szCs w:val="20"/>
                    </w:rPr>
                    <w:t>s</w:t>
                  </w:r>
                  <w:r w:rsidRPr="00D37368">
                    <w:rPr>
                      <w:b/>
                      <w:sz w:val="20"/>
                      <w:szCs w:val="20"/>
                    </w:rPr>
                    <w:t>āciju apmērs</w:t>
                  </w:r>
                </w:p>
              </w:tc>
            </w:tr>
            <w:tr w:rsidR="003D2BEC" w:rsidRPr="00D37368" w:rsidTr="00F45BA1">
              <w:tc>
                <w:tcPr>
                  <w:tcW w:w="3025" w:type="pct"/>
                </w:tcPr>
                <w:p w:rsidR="003D2BEC" w:rsidRPr="00D37368" w:rsidRDefault="003D2BEC" w:rsidP="00085736">
                  <w:pPr>
                    <w:framePr w:hSpace="180" w:wrap="around" w:vAnchor="text" w:hAnchor="margin" w:xAlign="center" w:y="149"/>
                    <w:rPr>
                      <w:sz w:val="20"/>
                      <w:szCs w:val="20"/>
                    </w:rPr>
                  </w:pPr>
                  <w:r w:rsidRPr="00D37368">
                    <w:rPr>
                      <w:sz w:val="20"/>
                      <w:szCs w:val="20"/>
                    </w:rPr>
                    <w:t>Skaits uz 01.01.2016.</w:t>
                  </w:r>
                </w:p>
              </w:tc>
              <w:tc>
                <w:tcPr>
                  <w:tcW w:w="792" w:type="pct"/>
                  <w:vAlign w:val="bottom"/>
                </w:tcPr>
                <w:p w:rsidR="003D2BEC" w:rsidRPr="00D37368" w:rsidRDefault="00B33F69" w:rsidP="00D37368">
                  <w:pPr>
                    <w:framePr w:hSpace="180" w:wrap="around" w:vAnchor="text" w:hAnchor="margin" w:xAlign="center" w:y="149"/>
                    <w:jc w:val="center"/>
                    <w:rPr>
                      <w:sz w:val="20"/>
                      <w:szCs w:val="20"/>
                    </w:rPr>
                  </w:pPr>
                  <w:r w:rsidRPr="00D37368">
                    <w:rPr>
                      <w:sz w:val="20"/>
                      <w:szCs w:val="20"/>
                    </w:rPr>
                    <w:t>62</w:t>
                  </w:r>
                </w:p>
              </w:tc>
              <w:tc>
                <w:tcPr>
                  <w:tcW w:w="1183" w:type="pct"/>
                  <w:vAlign w:val="center"/>
                </w:tcPr>
                <w:p w:rsidR="003D2BEC" w:rsidRPr="00D37368" w:rsidRDefault="0094386C" w:rsidP="00085736">
                  <w:pPr>
                    <w:framePr w:hSpace="180" w:wrap="around" w:vAnchor="text" w:hAnchor="margin" w:xAlign="center" w:y="149"/>
                    <w:ind w:left="207" w:right="360"/>
                    <w:jc w:val="right"/>
                    <w:rPr>
                      <w:sz w:val="20"/>
                      <w:szCs w:val="20"/>
                    </w:rPr>
                  </w:pPr>
                  <w:r w:rsidRPr="00D37368">
                    <w:rPr>
                      <w:sz w:val="20"/>
                      <w:szCs w:val="20"/>
                    </w:rPr>
                    <w:t>-</w:t>
                  </w:r>
                </w:p>
              </w:tc>
            </w:tr>
            <w:tr w:rsidR="003D2BEC" w:rsidRPr="00D37368" w:rsidTr="00F45BA1">
              <w:tc>
                <w:tcPr>
                  <w:tcW w:w="3025" w:type="pct"/>
                </w:tcPr>
                <w:p w:rsidR="003D2BEC" w:rsidRPr="00D37368" w:rsidRDefault="003D2BEC" w:rsidP="00085736">
                  <w:pPr>
                    <w:framePr w:hSpace="180" w:wrap="around" w:vAnchor="text" w:hAnchor="margin" w:xAlign="center" w:y="149"/>
                    <w:rPr>
                      <w:sz w:val="20"/>
                      <w:szCs w:val="20"/>
                    </w:rPr>
                  </w:pPr>
                  <w:r w:rsidRPr="00D37368">
                    <w:rPr>
                      <w:sz w:val="20"/>
                      <w:szCs w:val="20"/>
                    </w:rPr>
                    <w:t xml:space="preserve">Skaits uz </w:t>
                  </w:r>
                  <w:r w:rsidR="00B33F69" w:rsidRPr="00D37368">
                    <w:rPr>
                      <w:sz w:val="20"/>
                      <w:szCs w:val="20"/>
                    </w:rPr>
                    <w:t>01</w:t>
                  </w:r>
                  <w:r w:rsidRPr="00D37368">
                    <w:rPr>
                      <w:sz w:val="20"/>
                      <w:szCs w:val="20"/>
                    </w:rPr>
                    <w:t>.0</w:t>
                  </w:r>
                  <w:r w:rsidR="00B33F69" w:rsidRPr="00D37368">
                    <w:rPr>
                      <w:sz w:val="20"/>
                      <w:szCs w:val="20"/>
                    </w:rPr>
                    <w:t>4</w:t>
                  </w:r>
                  <w:r w:rsidRPr="00D37368">
                    <w:rPr>
                      <w:sz w:val="20"/>
                      <w:szCs w:val="20"/>
                    </w:rPr>
                    <w:t>.2016.</w:t>
                  </w:r>
                </w:p>
                <w:p w:rsidR="003D2BEC" w:rsidRPr="00D37368" w:rsidRDefault="003D2BEC" w:rsidP="00085736">
                  <w:pPr>
                    <w:framePr w:hSpace="180" w:wrap="around" w:vAnchor="text" w:hAnchor="margin" w:xAlign="center" w:y="149"/>
                    <w:rPr>
                      <w:sz w:val="20"/>
                      <w:szCs w:val="20"/>
                    </w:rPr>
                  </w:pPr>
                  <w:r w:rsidRPr="00D37368">
                    <w:rPr>
                      <w:sz w:val="20"/>
                      <w:szCs w:val="20"/>
                    </w:rPr>
                    <w:t>darbinieki</w:t>
                  </w:r>
                </w:p>
              </w:tc>
              <w:tc>
                <w:tcPr>
                  <w:tcW w:w="792" w:type="pct"/>
                  <w:vAlign w:val="bottom"/>
                </w:tcPr>
                <w:p w:rsidR="003D2BEC" w:rsidRPr="00D37368" w:rsidRDefault="00B33F69" w:rsidP="00D37368">
                  <w:pPr>
                    <w:framePr w:hSpace="180" w:wrap="around" w:vAnchor="text" w:hAnchor="margin" w:xAlign="center" w:y="149"/>
                    <w:jc w:val="center"/>
                    <w:rPr>
                      <w:sz w:val="20"/>
                      <w:szCs w:val="20"/>
                    </w:rPr>
                  </w:pPr>
                  <w:r w:rsidRPr="00D37368">
                    <w:rPr>
                      <w:sz w:val="20"/>
                      <w:szCs w:val="20"/>
                    </w:rPr>
                    <w:t>30</w:t>
                  </w:r>
                </w:p>
              </w:tc>
              <w:tc>
                <w:tcPr>
                  <w:tcW w:w="1183" w:type="pct"/>
                  <w:vAlign w:val="center"/>
                </w:tcPr>
                <w:p w:rsidR="003D2BEC" w:rsidRPr="00D37368" w:rsidRDefault="00AE0CB0" w:rsidP="00085736">
                  <w:pPr>
                    <w:framePr w:hSpace="180" w:wrap="around" w:vAnchor="text" w:hAnchor="margin" w:xAlign="center" w:y="149"/>
                    <w:ind w:right="360"/>
                    <w:jc w:val="right"/>
                    <w:rPr>
                      <w:sz w:val="20"/>
                      <w:szCs w:val="20"/>
                    </w:rPr>
                  </w:pPr>
                  <w:r w:rsidRPr="00D37368">
                    <w:rPr>
                      <w:sz w:val="20"/>
                      <w:szCs w:val="20"/>
                    </w:rPr>
                    <w:t>8237</w:t>
                  </w:r>
                </w:p>
              </w:tc>
            </w:tr>
            <w:tr w:rsidR="003D2BEC" w:rsidRPr="00D37368" w:rsidTr="00F45BA1">
              <w:tc>
                <w:tcPr>
                  <w:tcW w:w="3025" w:type="pct"/>
                </w:tcPr>
                <w:p w:rsidR="003D2BEC" w:rsidRPr="00D37368" w:rsidRDefault="003D2BEC" w:rsidP="00085736">
                  <w:pPr>
                    <w:framePr w:hSpace="180" w:wrap="around" w:vAnchor="text" w:hAnchor="margin" w:xAlign="center" w:y="149"/>
                    <w:rPr>
                      <w:sz w:val="20"/>
                      <w:szCs w:val="20"/>
                    </w:rPr>
                  </w:pPr>
                  <w:r w:rsidRPr="00D37368">
                    <w:rPr>
                      <w:sz w:val="20"/>
                      <w:szCs w:val="20"/>
                    </w:rPr>
                    <w:t xml:space="preserve">Skaits uz </w:t>
                  </w:r>
                  <w:r w:rsidR="00B33F69" w:rsidRPr="00D37368">
                    <w:rPr>
                      <w:sz w:val="20"/>
                      <w:szCs w:val="20"/>
                    </w:rPr>
                    <w:t>05</w:t>
                  </w:r>
                  <w:r w:rsidRPr="00D37368">
                    <w:rPr>
                      <w:sz w:val="20"/>
                      <w:szCs w:val="20"/>
                    </w:rPr>
                    <w:t>.0</w:t>
                  </w:r>
                  <w:r w:rsidR="00B33F69" w:rsidRPr="00D37368">
                    <w:rPr>
                      <w:sz w:val="20"/>
                      <w:szCs w:val="20"/>
                    </w:rPr>
                    <w:t>7</w:t>
                  </w:r>
                  <w:r w:rsidRPr="00D37368">
                    <w:rPr>
                      <w:sz w:val="20"/>
                      <w:szCs w:val="20"/>
                    </w:rPr>
                    <w:t>.2016.</w:t>
                  </w:r>
                </w:p>
              </w:tc>
              <w:tc>
                <w:tcPr>
                  <w:tcW w:w="792" w:type="pct"/>
                  <w:vAlign w:val="bottom"/>
                </w:tcPr>
                <w:p w:rsidR="003D2BEC" w:rsidRPr="00D37368" w:rsidRDefault="0040356D" w:rsidP="00D37368">
                  <w:pPr>
                    <w:framePr w:hSpace="180" w:wrap="around" w:vAnchor="text" w:hAnchor="margin" w:xAlign="center" w:y="149"/>
                    <w:jc w:val="center"/>
                    <w:rPr>
                      <w:sz w:val="20"/>
                      <w:szCs w:val="20"/>
                    </w:rPr>
                  </w:pPr>
                  <w:r w:rsidRPr="00D37368">
                    <w:rPr>
                      <w:sz w:val="20"/>
                      <w:szCs w:val="20"/>
                    </w:rPr>
                    <w:t>18</w:t>
                  </w:r>
                </w:p>
              </w:tc>
              <w:tc>
                <w:tcPr>
                  <w:tcW w:w="1183" w:type="pct"/>
                  <w:vAlign w:val="center"/>
                </w:tcPr>
                <w:p w:rsidR="003D2BEC" w:rsidRPr="00D37368" w:rsidRDefault="002228BE" w:rsidP="00085736">
                  <w:pPr>
                    <w:framePr w:hSpace="180" w:wrap="around" w:vAnchor="text" w:hAnchor="margin" w:xAlign="center" w:y="149"/>
                    <w:ind w:left="222" w:right="360"/>
                    <w:jc w:val="right"/>
                    <w:rPr>
                      <w:sz w:val="20"/>
                      <w:szCs w:val="20"/>
                    </w:rPr>
                  </w:pPr>
                  <w:r w:rsidRPr="00D37368">
                    <w:rPr>
                      <w:sz w:val="20"/>
                      <w:szCs w:val="20"/>
                    </w:rPr>
                    <w:t>7013</w:t>
                  </w:r>
                </w:p>
              </w:tc>
            </w:tr>
            <w:tr w:rsidR="003D2BEC" w:rsidRPr="00D37368" w:rsidTr="00F45BA1">
              <w:trPr>
                <w:trHeight w:val="278"/>
              </w:trPr>
              <w:tc>
                <w:tcPr>
                  <w:tcW w:w="5000" w:type="pct"/>
                  <w:gridSpan w:val="3"/>
                  <w:vAlign w:val="bottom"/>
                </w:tcPr>
                <w:p w:rsidR="003D2BEC" w:rsidRPr="00D37368" w:rsidRDefault="003D2BEC" w:rsidP="00085736">
                  <w:pPr>
                    <w:framePr w:hSpace="180" w:wrap="around" w:vAnchor="text" w:hAnchor="margin" w:xAlign="center" w:y="149"/>
                    <w:jc w:val="center"/>
                    <w:rPr>
                      <w:sz w:val="20"/>
                      <w:szCs w:val="20"/>
                    </w:rPr>
                  </w:pPr>
                  <w:r w:rsidRPr="00D37368">
                    <w:rPr>
                      <w:sz w:val="20"/>
                      <w:szCs w:val="20"/>
                    </w:rPr>
                    <w:lastRenderedPageBreak/>
                    <w:t xml:space="preserve">Kopējie </w:t>
                  </w:r>
                  <w:r w:rsidR="00F45BA1">
                    <w:rPr>
                      <w:sz w:val="20"/>
                      <w:szCs w:val="20"/>
                    </w:rPr>
                    <w:t>izdevumi saistībā ar atlaišanu:</w:t>
                  </w:r>
                  <w:r w:rsidRPr="00D37368">
                    <w:rPr>
                      <w:sz w:val="20"/>
                      <w:szCs w:val="20"/>
                    </w:rPr>
                    <w:t xml:space="preserve"> </w:t>
                  </w:r>
                  <w:r w:rsidR="002228BE" w:rsidRPr="00D37368">
                    <w:rPr>
                      <w:b/>
                      <w:sz w:val="20"/>
                      <w:szCs w:val="20"/>
                    </w:rPr>
                    <w:t>15 250</w:t>
                  </w:r>
                  <w:r w:rsidR="003B4AEB" w:rsidRPr="00D37368">
                    <w:rPr>
                      <w:b/>
                      <w:sz w:val="20"/>
                      <w:szCs w:val="20"/>
                    </w:rPr>
                    <w:t xml:space="preserve"> </w:t>
                  </w:r>
                  <w:proofErr w:type="spellStart"/>
                  <w:r w:rsidRPr="00D37368">
                    <w:rPr>
                      <w:b/>
                      <w:i/>
                      <w:sz w:val="20"/>
                      <w:szCs w:val="20"/>
                    </w:rPr>
                    <w:t>euro</w:t>
                  </w:r>
                  <w:proofErr w:type="spellEnd"/>
                </w:p>
              </w:tc>
            </w:tr>
          </w:tbl>
          <w:p w:rsidR="00624C8A" w:rsidRDefault="00624C8A" w:rsidP="00F92D7C">
            <w:pPr>
              <w:pStyle w:val="naisf"/>
              <w:spacing w:before="0" w:after="0"/>
              <w:ind w:firstLine="0"/>
              <w:rPr>
                <w:sz w:val="28"/>
                <w:szCs w:val="28"/>
              </w:rPr>
            </w:pPr>
          </w:p>
          <w:p w:rsidR="006518BC" w:rsidRPr="006518BC" w:rsidRDefault="00A65DB9" w:rsidP="00F92D7C">
            <w:pPr>
              <w:pStyle w:val="naisf"/>
              <w:spacing w:before="0" w:after="0"/>
              <w:ind w:firstLine="0"/>
              <w:rPr>
                <w:sz w:val="28"/>
                <w:szCs w:val="28"/>
              </w:rPr>
            </w:pPr>
            <w:r>
              <w:rPr>
                <w:sz w:val="28"/>
                <w:szCs w:val="28"/>
              </w:rPr>
              <w:t>Šobrīd Sabi</w:t>
            </w:r>
            <w:r w:rsidR="0040356D">
              <w:rPr>
                <w:sz w:val="28"/>
                <w:szCs w:val="28"/>
              </w:rPr>
              <w:t>edrība darbojas minimālā apjomā</w:t>
            </w:r>
            <w:r w:rsidR="00E64BCE">
              <w:rPr>
                <w:sz w:val="28"/>
                <w:szCs w:val="28"/>
              </w:rPr>
              <w:t>.</w:t>
            </w:r>
            <w:r>
              <w:rPr>
                <w:sz w:val="28"/>
                <w:szCs w:val="28"/>
              </w:rPr>
              <w:t xml:space="preserve"> </w:t>
            </w:r>
            <w:r w:rsidR="0040356D">
              <w:rPr>
                <w:sz w:val="28"/>
                <w:szCs w:val="28"/>
              </w:rPr>
              <w:t>Ievērojot to, ka</w:t>
            </w:r>
            <w:r>
              <w:rPr>
                <w:sz w:val="28"/>
                <w:szCs w:val="28"/>
              </w:rPr>
              <w:t xml:space="preserve"> tradicionālās cirka mākslas izrādīšanas specifika ir saistāma ar arēnas tipa </w:t>
            </w:r>
            <w:r w:rsidR="00E64BCE">
              <w:rPr>
                <w:sz w:val="28"/>
                <w:szCs w:val="28"/>
              </w:rPr>
              <w:t>zāli</w:t>
            </w:r>
            <w:r>
              <w:rPr>
                <w:sz w:val="28"/>
                <w:szCs w:val="28"/>
              </w:rPr>
              <w:t>, viesizrādēs Latvijas kultūras namos nav iespējams nodrošināt atbilstošu kvalitāti un pilnvērtīgu priekšstatu</w:t>
            </w:r>
            <w:r w:rsidR="00782FCE">
              <w:rPr>
                <w:sz w:val="28"/>
                <w:szCs w:val="28"/>
              </w:rPr>
              <w:t xml:space="preserve"> par cirka mākslu</w:t>
            </w:r>
            <w:r>
              <w:rPr>
                <w:sz w:val="28"/>
                <w:szCs w:val="28"/>
              </w:rPr>
              <w:t xml:space="preserve"> pasākumu apmeklētājiem, tajā skaitā bērniem un jauniešiem, kas </w:t>
            </w:r>
            <w:r w:rsidR="00782FCE">
              <w:rPr>
                <w:sz w:val="28"/>
                <w:szCs w:val="28"/>
              </w:rPr>
              <w:t>veido apmēram</w:t>
            </w:r>
            <w:r>
              <w:rPr>
                <w:sz w:val="28"/>
                <w:szCs w:val="28"/>
              </w:rPr>
              <w:t xml:space="preserve"> pusi no cirka auditorijas Latvijā.</w:t>
            </w:r>
            <w:r w:rsidR="0040356D">
              <w:rPr>
                <w:sz w:val="28"/>
                <w:szCs w:val="28"/>
              </w:rPr>
              <w:t xml:space="preserve"> </w:t>
            </w:r>
          </w:p>
          <w:p w:rsidR="00DA7D07" w:rsidRDefault="00DA7D07" w:rsidP="00DA7D07">
            <w:pPr>
              <w:pStyle w:val="naisf"/>
              <w:spacing w:before="0" w:after="0"/>
              <w:ind w:firstLine="0"/>
              <w:rPr>
                <w:sz w:val="28"/>
                <w:szCs w:val="28"/>
              </w:rPr>
            </w:pPr>
          </w:p>
          <w:p w:rsidR="00D962E1" w:rsidRPr="00A56C50" w:rsidRDefault="00CA4995" w:rsidP="00DA7D07">
            <w:pPr>
              <w:pStyle w:val="naisf"/>
              <w:spacing w:before="0" w:after="0"/>
              <w:ind w:firstLine="0"/>
              <w:rPr>
                <w:sz w:val="28"/>
                <w:szCs w:val="28"/>
              </w:rPr>
            </w:pPr>
            <w:r w:rsidRPr="00A56C50">
              <w:rPr>
                <w:sz w:val="28"/>
                <w:szCs w:val="28"/>
              </w:rPr>
              <w:t>Kultūras ministrija ir apkopojusi informāciju par izdevumiem</w:t>
            </w:r>
            <w:r w:rsidR="00445198">
              <w:rPr>
                <w:sz w:val="28"/>
                <w:szCs w:val="28"/>
              </w:rPr>
              <w:t>, kas</w:t>
            </w:r>
            <w:r w:rsidR="0066658B">
              <w:rPr>
                <w:sz w:val="28"/>
                <w:szCs w:val="28"/>
              </w:rPr>
              <w:t xml:space="preserve"> nepieciešami </w:t>
            </w:r>
            <w:r w:rsidR="00A65DB9">
              <w:rPr>
                <w:sz w:val="28"/>
                <w:szCs w:val="28"/>
              </w:rPr>
              <w:t>Sabiedrības</w:t>
            </w:r>
            <w:r w:rsidR="00445198">
              <w:rPr>
                <w:sz w:val="28"/>
                <w:szCs w:val="28"/>
              </w:rPr>
              <w:t xml:space="preserve"> </w:t>
            </w:r>
            <w:r w:rsidR="00EE1C22">
              <w:rPr>
                <w:sz w:val="28"/>
                <w:szCs w:val="28"/>
              </w:rPr>
              <w:t>finanšu situācijas</w:t>
            </w:r>
            <w:r w:rsidR="00445198">
              <w:rPr>
                <w:sz w:val="28"/>
                <w:szCs w:val="28"/>
              </w:rPr>
              <w:t xml:space="preserve"> </w:t>
            </w:r>
            <w:r w:rsidR="00E64BCE">
              <w:rPr>
                <w:sz w:val="28"/>
                <w:szCs w:val="28"/>
              </w:rPr>
              <w:t>stabilizācijai</w:t>
            </w:r>
            <w:r w:rsidR="00445198">
              <w:rPr>
                <w:sz w:val="28"/>
                <w:szCs w:val="28"/>
              </w:rPr>
              <w:t xml:space="preserve">, </w:t>
            </w:r>
            <w:r w:rsidR="00445198" w:rsidRPr="00B72ADD">
              <w:rPr>
                <w:sz w:val="28"/>
                <w:szCs w:val="28"/>
              </w:rPr>
              <w:t>tajā skaitā</w:t>
            </w:r>
            <w:r w:rsidR="00BA6031" w:rsidRPr="00B72ADD">
              <w:rPr>
                <w:sz w:val="28"/>
                <w:szCs w:val="28"/>
              </w:rPr>
              <w:t xml:space="preserve"> zaudējumu segšanai, kas saistīti ar ēkas</w:t>
            </w:r>
            <w:r w:rsidR="002228BE">
              <w:rPr>
                <w:sz w:val="28"/>
                <w:szCs w:val="28"/>
              </w:rPr>
              <w:t xml:space="preserve"> slēgšanu un izrāžu pārtraukšanu, kā arī izdevumiem, kas nekavējoties nepieciešami ēkas</w:t>
            </w:r>
            <w:r w:rsidR="00BA6031" w:rsidRPr="00B72ADD">
              <w:rPr>
                <w:sz w:val="28"/>
                <w:szCs w:val="28"/>
              </w:rPr>
              <w:t xml:space="preserve"> tehnisk</w:t>
            </w:r>
            <w:r w:rsidR="00AE502C">
              <w:rPr>
                <w:sz w:val="28"/>
                <w:szCs w:val="28"/>
              </w:rPr>
              <w:t>ā</w:t>
            </w:r>
            <w:r w:rsidR="00BA6031" w:rsidRPr="00B72ADD">
              <w:rPr>
                <w:sz w:val="28"/>
                <w:szCs w:val="28"/>
              </w:rPr>
              <w:t xml:space="preserve"> stāvok</w:t>
            </w:r>
            <w:r w:rsidR="00AE502C">
              <w:rPr>
                <w:sz w:val="28"/>
                <w:szCs w:val="28"/>
              </w:rPr>
              <w:t>ļa uzlabošan</w:t>
            </w:r>
            <w:r w:rsidR="002228BE">
              <w:rPr>
                <w:sz w:val="28"/>
                <w:szCs w:val="28"/>
              </w:rPr>
              <w:t>ai.</w:t>
            </w:r>
            <w:r w:rsidR="00BA6031" w:rsidRPr="00B72ADD">
              <w:rPr>
                <w:sz w:val="28"/>
                <w:szCs w:val="28"/>
              </w:rPr>
              <w:t xml:space="preserve"> </w:t>
            </w:r>
            <w:r w:rsidR="00875D72">
              <w:rPr>
                <w:sz w:val="28"/>
                <w:szCs w:val="28"/>
              </w:rPr>
              <w:t xml:space="preserve">Lai arī </w:t>
            </w:r>
            <w:r w:rsidR="002228BE">
              <w:rPr>
                <w:sz w:val="28"/>
                <w:szCs w:val="28"/>
              </w:rPr>
              <w:t>Sabiedrība</w:t>
            </w:r>
            <w:r w:rsidR="00875D72">
              <w:rPr>
                <w:sz w:val="28"/>
                <w:szCs w:val="28"/>
              </w:rPr>
              <w:t xml:space="preserve"> ir veikusi pasākumus izdevumu samazināšanai,</w:t>
            </w:r>
            <w:r w:rsidR="00A11D93">
              <w:rPr>
                <w:sz w:val="28"/>
                <w:szCs w:val="28"/>
              </w:rPr>
              <w:t xml:space="preserve"> </w:t>
            </w:r>
            <w:r w:rsidR="002228BE">
              <w:rPr>
                <w:sz w:val="28"/>
                <w:szCs w:val="28"/>
              </w:rPr>
              <w:t xml:space="preserve">zaudējumi un nenokārtotās saistības, kas radušās ar programmas </w:t>
            </w:r>
            <w:r w:rsidR="00445198">
              <w:rPr>
                <w:sz w:val="28"/>
                <w:szCs w:val="28"/>
              </w:rPr>
              <w:t>„</w:t>
            </w:r>
            <w:r w:rsidR="00A11D93">
              <w:rPr>
                <w:sz w:val="28"/>
                <w:szCs w:val="28"/>
              </w:rPr>
              <w:t>Tropu fantāzija</w:t>
            </w:r>
            <w:r w:rsidR="00E64BCE">
              <w:rPr>
                <w:sz w:val="28"/>
                <w:szCs w:val="28"/>
              </w:rPr>
              <w:t xml:space="preserve">” </w:t>
            </w:r>
            <w:r w:rsidR="002228BE">
              <w:rPr>
                <w:sz w:val="28"/>
                <w:szCs w:val="28"/>
              </w:rPr>
              <w:t>pārtraukšanu</w:t>
            </w:r>
            <w:r w:rsidR="00F53EF0">
              <w:rPr>
                <w:sz w:val="28"/>
                <w:szCs w:val="28"/>
              </w:rPr>
              <w:t>,</w:t>
            </w:r>
            <w:r w:rsidR="002228BE">
              <w:rPr>
                <w:sz w:val="28"/>
                <w:szCs w:val="28"/>
              </w:rPr>
              <w:t xml:space="preserve"> </w:t>
            </w:r>
            <w:r w:rsidR="00AE502C">
              <w:rPr>
                <w:sz w:val="28"/>
                <w:szCs w:val="28"/>
              </w:rPr>
              <w:t>ir</w:t>
            </w:r>
            <w:r w:rsidR="00EE1C22">
              <w:rPr>
                <w:sz w:val="28"/>
                <w:szCs w:val="28"/>
              </w:rPr>
              <w:t xml:space="preserve"> </w:t>
            </w:r>
            <w:r w:rsidR="00060B07">
              <w:rPr>
                <w:sz w:val="28"/>
                <w:szCs w:val="28"/>
              </w:rPr>
              <w:t>30</w:t>
            </w:r>
            <w:r w:rsidR="002228BE">
              <w:rPr>
                <w:sz w:val="28"/>
                <w:szCs w:val="28"/>
              </w:rPr>
              <w:t xml:space="preserve"> 250 </w:t>
            </w:r>
            <w:proofErr w:type="spellStart"/>
            <w:r w:rsidR="00EE1C22" w:rsidRPr="00EE1C22">
              <w:rPr>
                <w:i/>
                <w:sz w:val="28"/>
                <w:szCs w:val="28"/>
              </w:rPr>
              <w:t>euro</w:t>
            </w:r>
            <w:proofErr w:type="spellEnd"/>
            <w:r w:rsidR="002A5C62">
              <w:rPr>
                <w:sz w:val="28"/>
                <w:szCs w:val="28"/>
              </w:rPr>
              <w:t>,</w:t>
            </w:r>
            <w:r w:rsidR="00445198">
              <w:rPr>
                <w:sz w:val="28"/>
                <w:szCs w:val="28"/>
              </w:rPr>
              <w:t xml:space="preserve"> </w:t>
            </w:r>
            <w:r w:rsidR="00F21BD7">
              <w:rPr>
                <w:sz w:val="28"/>
                <w:szCs w:val="28"/>
              </w:rPr>
              <w:t xml:space="preserve">nepieciešamie izdevumi </w:t>
            </w:r>
            <w:r w:rsidR="00751BDE" w:rsidRPr="00017D80">
              <w:rPr>
                <w:color w:val="000000" w:themeColor="text1"/>
                <w:sz w:val="28"/>
                <w:szCs w:val="28"/>
              </w:rPr>
              <w:t xml:space="preserve">ēkas </w:t>
            </w:r>
            <w:r w:rsidR="00BC2C7E">
              <w:rPr>
                <w:color w:val="000000" w:themeColor="text1"/>
                <w:sz w:val="28"/>
                <w:szCs w:val="28"/>
              </w:rPr>
              <w:t xml:space="preserve">Rīgā, </w:t>
            </w:r>
            <w:r w:rsidR="00751BDE" w:rsidRPr="00017D80">
              <w:rPr>
                <w:color w:val="000000" w:themeColor="text1"/>
                <w:sz w:val="28"/>
                <w:szCs w:val="28"/>
              </w:rPr>
              <w:t xml:space="preserve">Merķeļa ielas </w:t>
            </w:r>
            <w:r w:rsidR="00BC2C7E">
              <w:rPr>
                <w:color w:val="000000" w:themeColor="text1"/>
                <w:sz w:val="28"/>
                <w:szCs w:val="28"/>
              </w:rPr>
              <w:t xml:space="preserve">4 </w:t>
            </w:r>
            <w:r w:rsidR="00751BDE" w:rsidRPr="00017D80">
              <w:rPr>
                <w:color w:val="000000" w:themeColor="text1"/>
                <w:sz w:val="28"/>
                <w:szCs w:val="28"/>
              </w:rPr>
              <w:t>fasādes sienas nostiprināšanai</w:t>
            </w:r>
            <w:r w:rsidR="00642F36">
              <w:rPr>
                <w:sz w:val="28"/>
                <w:szCs w:val="28"/>
              </w:rPr>
              <w:t xml:space="preserve"> </w:t>
            </w:r>
            <w:r w:rsidR="00F21BD7">
              <w:rPr>
                <w:sz w:val="28"/>
                <w:szCs w:val="28"/>
              </w:rPr>
              <w:t xml:space="preserve">ir </w:t>
            </w:r>
            <w:r w:rsidR="003D7221">
              <w:rPr>
                <w:color w:val="000000" w:themeColor="text1"/>
                <w:sz w:val="28"/>
                <w:szCs w:val="28"/>
              </w:rPr>
              <w:t>188</w:t>
            </w:r>
            <w:r w:rsidR="00674335">
              <w:rPr>
                <w:color w:val="000000" w:themeColor="text1"/>
                <w:sz w:val="28"/>
                <w:szCs w:val="28"/>
              </w:rPr>
              <w:t xml:space="preserve"> </w:t>
            </w:r>
            <w:r w:rsidR="00BD256E">
              <w:rPr>
                <w:color w:val="000000" w:themeColor="text1"/>
                <w:sz w:val="28"/>
                <w:szCs w:val="28"/>
              </w:rPr>
              <w:t>28</w:t>
            </w:r>
            <w:r w:rsidR="00191AC8">
              <w:rPr>
                <w:color w:val="000000" w:themeColor="text1"/>
                <w:sz w:val="28"/>
                <w:szCs w:val="28"/>
              </w:rPr>
              <w:t>7</w:t>
            </w:r>
            <w:r w:rsidR="00751BDE" w:rsidRPr="00017D80">
              <w:rPr>
                <w:color w:val="000000" w:themeColor="text1"/>
                <w:sz w:val="28"/>
                <w:szCs w:val="28"/>
              </w:rPr>
              <w:t xml:space="preserve"> </w:t>
            </w:r>
            <w:proofErr w:type="spellStart"/>
            <w:r w:rsidR="00751BDE" w:rsidRPr="00017D80">
              <w:rPr>
                <w:i/>
                <w:color w:val="000000" w:themeColor="text1"/>
                <w:sz w:val="28"/>
                <w:szCs w:val="28"/>
              </w:rPr>
              <w:t>euro</w:t>
            </w:r>
            <w:proofErr w:type="spellEnd"/>
            <w:r w:rsidR="008C3760">
              <w:rPr>
                <w:i/>
                <w:color w:val="000000" w:themeColor="text1"/>
                <w:sz w:val="28"/>
                <w:szCs w:val="28"/>
              </w:rPr>
              <w:t xml:space="preserve"> </w:t>
            </w:r>
            <w:r w:rsidR="008C3760">
              <w:rPr>
                <w:color w:val="000000" w:themeColor="text1"/>
                <w:sz w:val="28"/>
                <w:szCs w:val="28"/>
              </w:rPr>
              <w:t xml:space="preserve">(saskaņā ar BVKB </w:t>
            </w:r>
            <w:r w:rsidR="00BC2C7E">
              <w:rPr>
                <w:color w:val="000000" w:themeColor="text1"/>
                <w:sz w:val="28"/>
                <w:szCs w:val="28"/>
              </w:rPr>
              <w:t xml:space="preserve">norādījumiem </w:t>
            </w:r>
            <w:r w:rsidR="008C3760">
              <w:rPr>
                <w:color w:val="000000" w:themeColor="text1"/>
                <w:sz w:val="28"/>
                <w:szCs w:val="28"/>
              </w:rPr>
              <w:t>darbiem jābūt pabeigtiem līdz 2016.gada 1.decembrim)</w:t>
            </w:r>
            <w:r w:rsidR="00751BDE" w:rsidRPr="00017D80">
              <w:rPr>
                <w:color w:val="000000" w:themeColor="text1"/>
                <w:sz w:val="28"/>
                <w:szCs w:val="28"/>
              </w:rPr>
              <w:t>,</w:t>
            </w:r>
            <w:r w:rsidR="00751BDE">
              <w:rPr>
                <w:color w:val="FF0000"/>
                <w:sz w:val="28"/>
                <w:szCs w:val="28"/>
              </w:rPr>
              <w:t xml:space="preserve"> </w:t>
            </w:r>
            <w:r w:rsidR="002A5C62">
              <w:rPr>
                <w:sz w:val="28"/>
                <w:szCs w:val="28"/>
              </w:rPr>
              <w:t>kā arī padziļināt</w:t>
            </w:r>
            <w:r w:rsidR="005B6C35">
              <w:rPr>
                <w:sz w:val="28"/>
                <w:szCs w:val="28"/>
              </w:rPr>
              <w:t>ai</w:t>
            </w:r>
            <w:r w:rsidR="002A5C62">
              <w:rPr>
                <w:sz w:val="28"/>
                <w:szCs w:val="28"/>
              </w:rPr>
              <w:t xml:space="preserve"> ēkas tehnisk</w:t>
            </w:r>
            <w:r w:rsidR="005B6C35">
              <w:rPr>
                <w:sz w:val="28"/>
                <w:szCs w:val="28"/>
              </w:rPr>
              <w:t>ajai</w:t>
            </w:r>
            <w:r w:rsidR="002A5C62">
              <w:rPr>
                <w:sz w:val="28"/>
                <w:szCs w:val="28"/>
              </w:rPr>
              <w:t xml:space="preserve"> apsekošana</w:t>
            </w:r>
            <w:r w:rsidR="005B6C35">
              <w:rPr>
                <w:sz w:val="28"/>
                <w:szCs w:val="28"/>
              </w:rPr>
              <w:t>i</w:t>
            </w:r>
            <w:r w:rsidR="003B5ED7">
              <w:rPr>
                <w:sz w:val="28"/>
                <w:szCs w:val="28"/>
              </w:rPr>
              <w:t xml:space="preserve">, kas </w:t>
            </w:r>
            <w:r w:rsidR="002A5C62">
              <w:rPr>
                <w:sz w:val="28"/>
                <w:szCs w:val="28"/>
              </w:rPr>
              <w:t>nepieciešama, lai varētu konstatēt turpmāk veicamo remontdarbu kopapjomu un veiktu aprēķinus par</w:t>
            </w:r>
            <w:r w:rsidR="003B5ED7">
              <w:rPr>
                <w:sz w:val="28"/>
                <w:szCs w:val="28"/>
              </w:rPr>
              <w:t xml:space="preserve"> nepieciešamajiem </w:t>
            </w:r>
            <w:r w:rsidR="002A5C62">
              <w:rPr>
                <w:sz w:val="28"/>
                <w:szCs w:val="28"/>
              </w:rPr>
              <w:t>finanšu resursiem ēkas sakārtošanai</w:t>
            </w:r>
            <w:r w:rsidR="00F21BD7">
              <w:rPr>
                <w:sz w:val="28"/>
                <w:szCs w:val="28"/>
              </w:rPr>
              <w:t xml:space="preserve">, </w:t>
            </w:r>
            <w:r w:rsidR="005B6C35">
              <w:rPr>
                <w:sz w:val="28"/>
                <w:szCs w:val="28"/>
              </w:rPr>
              <w:t xml:space="preserve">nepieciešamie </w:t>
            </w:r>
            <w:r w:rsidR="00F21BD7">
              <w:rPr>
                <w:sz w:val="28"/>
                <w:szCs w:val="28"/>
              </w:rPr>
              <w:t>izdevumi ir</w:t>
            </w:r>
            <w:r w:rsidR="00642F36">
              <w:rPr>
                <w:sz w:val="28"/>
                <w:szCs w:val="28"/>
              </w:rPr>
              <w:t xml:space="preserve"> </w:t>
            </w:r>
            <w:r w:rsidR="00B718D0">
              <w:rPr>
                <w:color w:val="000000" w:themeColor="text1"/>
                <w:sz w:val="28"/>
                <w:szCs w:val="28"/>
              </w:rPr>
              <w:t>44 67</w:t>
            </w:r>
            <w:r w:rsidR="00191AC8">
              <w:rPr>
                <w:color w:val="000000" w:themeColor="text1"/>
                <w:sz w:val="28"/>
                <w:szCs w:val="28"/>
              </w:rPr>
              <w:t>4</w:t>
            </w:r>
            <w:r w:rsidR="00EE1C22">
              <w:rPr>
                <w:sz w:val="28"/>
                <w:szCs w:val="28"/>
              </w:rPr>
              <w:t xml:space="preserve"> </w:t>
            </w:r>
            <w:proofErr w:type="spellStart"/>
            <w:r w:rsidR="00EE1C22" w:rsidRPr="00EE1C22">
              <w:rPr>
                <w:i/>
                <w:sz w:val="28"/>
                <w:szCs w:val="28"/>
              </w:rPr>
              <w:t>euro</w:t>
            </w:r>
            <w:proofErr w:type="spellEnd"/>
            <w:r w:rsidR="003B5ED7">
              <w:rPr>
                <w:sz w:val="28"/>
                <w:szCs w:val="28"/>
              </w:rPr>
              <w:t xml:space="preserve">. </w:t>
            </w:r>
          </w:p>
          <w:p w:rsidR="00DA7D07" w:rsidRDefault="00DA7D07" w:rsidP="00DA7D07">
            <w:pPr>
              <w:pStyle w:val="naisf"/>
              <w:spacing w:before="0" w:after="0"/>
              <w:ind w:firstLine="0"/>
              <w:rPr>
                <w:sz w:val="28"/>
                <w:szCs w:val="28"/>
              </w:rPr>
            </w:pPr>
          </w:p>
          <w:p w:rsidR="00CA4995" w:rsidRPr="00A56C50" w:rsidRDefault="00604B5A" w:rsidP="00DA7D07">
            <w:pPr>
              <w:pStyle w:val="naisf"/>
              <w:spacing w:before="0" w:after="0"/>
              <w:ind w:firstLine="0"/>
              <w:rPr>
                <w:b/>
                <w:sz w:val="28"/>
                <w:szCs w:val="28"/>
              </w:rPr>
            </w:pPr>
            <w:r w:rsidRPr="00A10555">
              <w:rPr>
                <w:rFonts w:asciiTheme="majorBidi" w:hAnsiTheme="majorBidi" w:cstheme="majorBidi"/>
                <w:sz w:val="28"/>
                <w:szCs w:val="28"/>
              </w:rPr>
              <w:t xml:space="preserve">Valdības rīcības plāna Deklarācijas par Māra </w:t>
            </w:r>
            <w:proofErr w:type="spellStart"/>
            <w:r w:rsidRPr="00A10555">
              <w:rPr>
                <w:rFonts w:asciiTheme="majorBidi" w:hAnsiTheme="majorBidi" w:cstheme="majorBidi"/>
                <w:sz w:val="28"/>
                <w:szCs w:val="28"/>
              </w:rPr>
              <w:t>Kučinska</w:t>
            </w:r>
            <w:proofErr w:type="spellEnd"/>
            <w:r w:rsidRPr="00A10555">
              <w:rPr>
                <w:rFonts w:asciiTheme="majorBidi" w:hAnsiTheme="majorBidi" w:cstheme="majorBidi"/>
                <w:sz w:val="28"/>
                <w:szCs w:val="28"/>
              </w:rPr>
              <w:t xml:space="preserve"> vadītā Ministru kabineta iecerēto darbību īstenošanai (apstiprināts ar Ministru kabineta 2016.ga</w:t>
            </w:r>
            <w:r>
              <w:rPr>
                <w:rFonts w:asciiTheme="majorBidi" w:hAnsiTheme="majorBidi" w:cstheme="majorBidi"/>
                <w:sz w:val="28"/>
                <w:szCs w:val="28"/>
              </w:rPr>
              <w:t>da 3.maija rīkojumu Nr.275) 69.2.punktā ietverts</w:t>
            </w:r>
            <w:r w:rsidRPr="00A10555">
              <w:rPr>
                <w:rFonts w:asciiTheme="majorBidi" w:hAnsiTheme="majorBidi" w:cstheme="majorBidi"/>
                <w:sz w:val="28"/>
                <w:szCs w:val="28"/>
              </w:rPr>
              <w:t xml:space="preserve"> uzdevum</w:t>
            </w:r>
            <w:r>
              <w:rPr>
                <w:rFonts w:asciiTheme="majorBidi" w:hAnsiTheme="majorBidi" w:cstheme="majorBidi"/>
                <w:sz w:val="28"/>
                <w:szCs w:val="28"/>
              </w:rPr>
              <w:t>s</w:t>
            </w:r>
            <w:r w:rsidR="00367861">
              <w:rPr>
                <w:sz w:val="28"/>
                <w:szCs w:val="28"/>
              </w:rPr>
              <w:t>: „</w:t>
            </w:r>
            <w:r w:rsidR="00367861" w:rsidRPr="00E06485">
              <w:rPr>
                <w:sz w:val="28"/>
                <w:szCs w:val="28"/>
                <w:u w:val="single"/>
              </w:rPr>
              <w:t>Sagaidot valsts simtgadi,</w:t>
            </w:r>
            <w:r w:rsidR="00E06485">
              <w:rPr>
                <w:sz w:val="28"/>
                <w:szCs w:val="28"/>
                <w:u w:val="single"/>
              </w:rPr>
              <w:t xml:space="preserve"> </w:t>
            </w:r>
            <w:r w:rsidR="00367861" w:rsidRPr="00487F3B">
              <w:rPr>
                <w:sz w:val="28"/>
                <w:szCs w:val="28"/>
                <w:u w:val="single"/>
              </w:rPr>
              <w:t>pilnveidosim nacionālo kultūras infrastruktūru</w:t>
            </w:r>
            <w:r w:rsidR="00367861" w:rsidRPr="00367861">
              <w:rPr>
                <w:sz w:val="28"/>
                <w:szCs w:val="28"/>
              </w:rPr>
              <w:t>. Vienosimies par mūsdienīgas akustiskās koncertzāles projekta uzsākšanu Rīgā. Sadarbībā ar privātiem mecenātiem veidosim Latvijas Laikmetīgās mākslas muzeju. Nodrošināsim Latvijas Okupācijas muzeja, Jaunā Rīgas teātra un Latvijas Nacionālā vēstures muzeja (Rīgas pilī) atjaunošanu un izveidosim Ventspils Mūzikas vidusskolu ar koncertzāli.</w:t>
            </w:r>
            <w:r w:rsidR="00367861">
              <w:rPr>
                <w:sz w:val="28"/>
                <w:szCs w:val="28"/>
              </w:rPr>
              <w:t>”</w:t>
            </w:r>
            <w:r w:rsidR="00367861" w:rsidRPr="00367861">
              <w:rPr>
                <w:sz w:val="28"/>
                <w:szCs w:val="28"/>
              </w:rPr>
              <w:t xml:space="preserve"> </w:t>
            </w:r>
            <w:r w:rsidR="00CA4995" w:rsidRPr="00A56C50">
              <w:rPr>
                <w:sz w:val="28"/>
                <w:szCs w:val="28"/>
              </w:rPr>
              <w:t xml:space="preserve">Kultūrpolitikas pamatnostādņu 2014. – 2020.gadam „Radošā Latvija” (apstiprinātas ar Ministru kabineta 2014.gada 29.jūlija rīkojumu Nr.401) </w:t>
            </w:r>
            <w:bookmarkStart w:id="4" w:name="_Toc372020001"/>
            <w:r w:rsidR="00CA4995" w:rsidRPr="00A56C50">
              <w:rPr>
                <w:bCs/>
                <w:sz w:val="28"/>
                <w:szCs w:val="28"/>
              </w:rPr>
              <w:t>5.1.nodaļas „</w:t>
            </w:r>
            <w:bookmarkStart w:id="5" w:name="_Toc393961936"/>
            <w:r w:rsidR="00CA4995" w:rsidRPr="00A56C50">
              <w:rPr>
                <w:sz w:val="28"/>
                <w:szCs w:val="28"/>
              </w:rPr>
              <w:t xml:space="preserve">Kultūras kapitāla </w:t>
            </w:r>
            <w:r w:rsidR="00CA4995" w:rsidRPr="00A56C50">
              <w:rPr>
                <w:sz w:val="28"/>
                <w:szCs w:val="28"/>
              </w:rPr>
              <w:lastRenderedPageBreak/>
              <w:t>saglabāšana un attīstība, sabiedrībai līdzdarbojoties kultūras procesos</w:t>
            </w:r>
            <w:bookmarkEnd w:id="5"/>
            <w:r w:rsidR="00CA4995" w:rsidRPr="00A56C50">
              <w:rPr>
                <w:bCs/>
                <w:sz w:val="28"/>
                <w:szCs w:val="28"/>
              </w:rPr>
              <w:t xml:space="preserve">” </w:t>
            </w:r>
            <w:r w:rsidR="00CA4995" w:rsidRPr="00A56C50">
              <w:rPr>
                <w:sz w:val="28"/>
                <w:szCs w:val="28"/>
              </w:rPr>
              <w:t xml:space="preserve">5.1.6.apakšnodaļas „Prioritātes rīcības virzienu ietvaros veicamie uzdevumi un aktivitātes” 1.rīcības virziena </w:t>
            </w:r>
            <w:bookmarkEnd w:id="4"/>
            <w:r w:rsidR="00CA4995" w:rsidRPr="00A56C50">
              <w:rPr>
                <w:sz w:val="28"/>
                <w:szCs w:val="28"/>
              </w:rPr>
              <w:t>„Labvēlīgas vides veidošana kultūras mantojuma saglabāšanai un attīstībai, kā arī jaunu vērtību radīšanai</w:t>
            </w:r>
            <w:r w:rsidR="00CA4995" w:rsidRPr="00A56C50">
              <w:rPr>
                <w:bCs/>
                <w:sz w:val="28"/>
                <w:szCs w:val="28"/>
              </w:rPr>
              <w:t xml:space="preserve">” </w:t>
            </w:r>
            <w:r w:rsidR="00367861" w:rsidRPr="00A56C50">
              <w:rPr>
                <w:bCs/>
                <w:sz w:val="28"/>
                <w:szCs w:val="28"/>
              </w:rPr>
              <w:t>ietvaros noteikt</w:t>
            </w:r>
            <w:r w:rsidR="00367861">
              <w:rPr>
                <w:bCs/>
                <w:sz w:val="28"/>
                <w:szCs w:val="28"/>
              </w:rPr>
              <w:t>s</w:t>
            </w:r>
            <w:r w:rsidR="00367861" w:rsidRPr="00A56C50">
              <w:rPr>
                <w:bCs/>
                <w:sz w:val="28"/>
                <w:szCs w:val="28"/>
              </w:rPr>
              <w:t xml:space="preserve"> </w:t>
            </w:r>
            <w:r w:rsidR="00367861">
              <w:rPr>
                <w:bCs/>
                <w:sz w:val="28"/>
                <w:szCs w:val="28"/>
              </w:rPr>
              <w:t>1.2.uzdevums</w:t>
            </w:r>
            <w:r w:rsidR="00CA4995" w:rsidRPr="00A56C50">
              <w:rPr>
                <w:bCs/>
                <w:sz w:val="28"/>
                <w:szCs w:val="28"/>
              </w:rPr>
              <w:t xml:space="preserve"> „</w:t>
            </w:r>
            <w:r w:rsidR="00CA4995" w:rsidRPr="00A56C50">
              <w:rPr>
                <w:sz w:val="28"/>
                <w:szCs w:val="28"/>
              </w:rPr>
              <w:t>Nodrošināt atbalstu kultūras institūciju ilgtspējīgai darbībai</w:t>
            </w:r>
            <w:r w:rsidR="00CA4995" w:rsidRPr="00A56C50">
              <w:rPr>
                <w:bCs/>
                <w:sz w:val="28"/>
                <w:szCs w:val="28"/>
              </w:rPr>
              <w:t>”</w:t>
            </w:r>
            <w:r w:rsidR="00367861">
              <w:rPr>
                <w:bCs/>
                <w:sz w:val="28"/>
                <w:szCs w:val="28"/>
              </w:rPr>
              <w:t>.</w:t>
            </w:r>
            <w:r w:rsidR="00CA4995" w:rsidRPr="00A56C50">
              <w:rPr>
                <w:sz w:val="28"/>
                <w:szCs w:val="28"/>
              </w:rPr>
              <w:t xml:space="preserve"> </w:t>
            </w:r>
          </w:p>
          <w:p w:rsidR="00DA7D07" w:rsidRDefault="00DA7D07" w:rsidP="00DA7D07">
            <w:pPr>
              <w:pStyle w:val="naisf"/>
              <w:spacing w:before="0" w:after="0"/>
              <w:ind w:firstLine="0"/>
              <w:rPr>
                <w:sz w:val="28"/>
                <w:szCs w:val="28"/>
              </w:rPr>
            </w:pPr>
          </w:p>
          <w:p w:rsidR="00487F3B" w:rsidRPr="00A56C50" w:rsidRDefault="00487F3B" w:rsidP="00DA7D07">
            <w:pPr>
              <w:pStyle w:val="naisf"/>
              <w:spacing w:before="0" w:after="0"/>
              <w:ind w:firstLine="0"/>
              <w:rPr>
                <w:sz w:val="28"/>
                <w:szCs w:val="28"/>
              </w:rPr>
            </w:pPr>
            <w:r>
              <w:rPr>
                <w:sz w:val="28"/>
                <w:szCs w:val="28"/>
              </w:rPr>
              <w:t>Savukārt</w:t>
            </w:r>
            <w:r w:rsidRPr="00A56C50">
              <w:rPr>
                <w:sz w:val="28"/>
                <w:szCs w:val="28"/>
              </w:rPr>
              <w:t xml:space="preserve"> viena no Kultūras ministrijas iesniegtajām </w:t>
            </w:r>
            <w:r w:rsidRPr="00A56C50">
              <w:rPr>
                <w:rStyle w:val="st"/>
                <w:sz w:val="28"/>
                <w:szCs w:val="28"/>
              </w:rPr>
              <w:t>Jaun</w:t>
            </w:r>
            <w:r w:rsidR="00604B5A">
              <w:rPr>
                <w:rStyle w:val="st"/>
                <w:sz w:val="28"/>
                <w:szCs w:val="28"/>
              </w:rPr>
              <w:t>ajām</w:t>
            </w:r>
            <w:r w:rsidRPr="00A56C50">
              <w:rPr>
                <w:rStyle w:val="st"/>
                <w:sz w:val="28"/>
                <w:szCs w:val="28"/>
              </w:rPr>
              <w:t xml:space="preserve"> politikas iniciatīvām </w:t>
            </w:r>
            <w:r>
              <w:rPr>
                <w:rStyle w:val="Izclums"/>
                <w:b w:val="0"/>
                <w:sz w:val="28"/>
                <w:szCs w:val="28"/>
              </w:rPr>
              <w:t>2015.</w:t>
            </w:r>
            <w:r w:rsidRPr="00A56C50">
              <w:rPr>
                <w:rStyle w:val="Izclums"/>
                <w:b w:val="0"/>
                <w:sz w:val="28"/>
                <w:szCs w:val="28"/>
              </w:rPr>
              <w:t>– 2017</w:t>
            </w:r>
            <w:r w:rsidRPr="00A56C50">
              <w:rPr>
                <w:rStyle w:val="st"/>
                <w:sz w:val="28"/>
                <w:szCs w:val="28"/>
              </w:rPr>
              <w:t>.</w:t>
            </w:r>
            <w:r w:rsidRPr="00A56C50">
              <w:rPr>
                <w:rStyle w:val="Izclums"/>
                <w:b w:val="0"/>
                <w:sz w:val="28"/>
                <w:szCs w:val="28"/>
              </w:rPr>
              <w:t>gadam bija arī J</w:t>
            </w:r>
            <w:r w:rsidR="00604B5A">
              <w:rPr>
                <w:rStyle w:val="Izclums"/>
                <w:b w:val="0"/>
                <w:sz w:val="28"/>
                <w:szCs w:val="28"/>
              </w:rPr>
              <w:t>aunā politikas iniciatīva</w:t>
            </w:r>
            <w:r w:rsidRPr="00A56C50">
              <w:rPr>
                <w:rStyle w:val="Izclums"/>
                <w:b w:val="0"/>
                <w:sz w:val="28"/>
                <w:szCs w:val="28"/>
              </w:rPr>
              <w:t xml:space="preserve"> „Neatliekamie kapitālieguldījumi kultūras nozares īpašumos un citi neatliekamie izdevumi”, kura netika atbalstīta. </w:t>
            </w:r>
          </w:p>
          <w:p w:rsidR="00DA7D07" w:rsidRDefault="00DA7D07" w:rsidP="00DA7D07">
            <w:pPr>
              <w:pStyle w:val="naisf"/>
              <w:spacing w:before="0" w:after="0"/>
              <w:ind w:firstLine="0"/>
              <w:rPr>
                <w:sz w:val="28"/>
                <w:szCs w:val="28"/>
              </w:rPr>
            </w:pPr>
          </w:p>
          <w:p w:rsidR="00CA4995" w:rsidRPr="00A56C50" w:rsidRDefault="00CA4995" w:rsidP="00DA7D07">
            <w:pPr>
              <w:pStyle w:val="naisf"/>
              <w:spacing w:before="0" w:after="0"/>
              <w:ind w:firstLine="0"/>
              <w:rPr>
                <w:sz w:val="28"/>
                <w:szCs w:val="28"/>
              </w:rPr>
            </w:pPr>
            <w:r w:rsidRPr="00A56C50">
              <w:rPr>
                <w:sz w:val="28"/>
                <w:szCs w:val="28"/>
              </w:rPr>
              <w:t>Ņemot vērā</w:t>
            </w:r>
            <w:r w:rsidR="007224E5">
              <w:rPr>
                <w:sz w:val="28"/>
                <w:szCs w:val="28"/>
              </w:rPr>
              <w:t xml:space="preserve"> </w:t>
            </w:r>
            <w:r w:rsidR="00487F3B">
              <w:rPr>
                <w:sz w:val="28"/>
                <w:szCs w:val="28"/>
              </w:rPr>
              <w:t>šā brīža apstākļus</w:t>
            </w:r>
            <w:r w:rsidR="007224E5">
              <w:rPr>
                <w:sz w:val="28"/>
                <w:szCs w:val="28"/>
              </w:rPr>
              <w:t xml:space="preserve">, ir apgrūtināta daudzveidīgu </w:t>
            </w:r>
            <w:r w:rsidRPr="00A56C50">
              <w:rPr>
                <w:sz w:val="28"/>
                <w:szCs w:val="28"/>
              </w:rPr>
              <w:t xml:space="preserve">kultūras </w:t>
            </w:r>
            <w:r w:rsidR="007224E5">
              <w:rPr>
                <w:sz w:val="28"/>
                <w:szCs w:val="28"/>
              </w:rPr>
              <w:t xml:space="preserve">pasākumu pieejamības </w:t>
            </w:r>
            <w:r w:rsidR="00367861">
              <w:rPr>
                <w:sz w:val="28"/>
                <w:szCs w:val="28"/>
              </w:rPr>
              <w:t>nodrošināšana</w:t>
            </w:r>
            <w:r w:rsidR="007224E5">
              <w:rPr>
                <w:sz w:val="28"/>
                <w:szCs w:val="28"/>
              </w:rPr>
              <w:t xml:space="preserve"> Latvijas sabiedrībai</w:t>
            </w:r>
            <w:r w:rsidR="00367861">
              <w:rPr>
                <w:sz w:val="28"/>
                <w:szCs w:val="28"/>
              </w:rPr>
              <w:t xml:space="preserve">, </w:t>
            </w:r>
            <w:r w:rsidR="00604B5A">
              <w:rPr>
                <w:sz w:val="28"/>
                <w:szCs w:val="28"/>
              </w:rPr>
              <w:t xml:space="preserve">un </w:t>
            </w:r>
            <w:r w:rsidR="00367861">
              <w:rPr>
                <w:sz w:val="28"/>
                <w:szCs w:val="28"/>
              </w:rPr>
              <w:t>konkrēti</w:t>
            </w:r>
            <w:r w:rsidR="00604B5A">
              <w:rPr>
                <w:sz w:val="28"/>
                <w:szCs w:val="28"/>
              </w:rPr>
              <w:t xml:space="preserve">, </w:t>
            </w:r>
            <w:r w:rsidR="00367861">
              <w:rPr>
                <w:sz w:val="28"/>
                <w:szCs w:val="28"/>
              </w:rPr>
              <w:t>cirka mākslas</w:t>
            </w:r>
            <w:r w:rsidR="007224E5">
              <w:rPr>
                <w:sz w:val="28"/>
                <w:szCs w:val="28"/>
              </w:rPr>
              <w:t xml:space="preserve"> popularizēšana,</w:t>
            </w:r>
            <w:r w:rsidR="00367861">
              <w:rPr>
                <w:sz w:val="28"/>
                <w:szCs w:val="28"/>
              </w:rPr>
              <w:t xml:space="preserve"> saglabāšana un attīstība Latvijā, jo </w:t>
            </w:r>
            <w:r w:rsidR="00604B5A">
              <w:rPr>
                <w:sz w:val="28"/>
                <w:szCs w:val="28"/>
              </w:rPr>
              <w:t xml:space="preserve">Sabiedrība, kas ir </w:t>
            </w:r>
            <w:r w:rsidR="00367861">
              <w:rPr>
                <w:sz w:val="28"/>
                <w:szCs w:val="28"/>
              </w:rPr>
              <w:t xml:space="preserve">vienīgā </w:t>
            </w:r>
            <w:r w:rsidR="00604B5A">
              <w:rPr>
                <w:sz w:val="28"/>
                <w:szCs w:val="28"/>
              </w:rPr>
              <w:t xml:space="preserve">valsts </w:t>
            </w:r>
            <w:r w:rsidR="00367861">
              <w:rPr>
                <w:sz w:val="28"/>
                <w:szCs w:val="28"/>
              </w:rPr>
              <w:t>institūcija</w:t>
            </w:r>
            <w:r w:rsidR="007224E5">
              <w:rPr>
                <w:sz w:val="28"/>
                <w:szCs w:val="28"/>
              </w:rPr>
              <w:t xml:space="preserve">, kas pārstāv </w:t>
            </w:r>
            <w:r w:rsidR="00604B5A">
              <w:rPr>
                <w:sz w:val="28"/>
                <w:szCs w:val="28"/>
              </w:rPr>
              <w:t>cirka</w:t>
            </w:r>
            <w:r w:rsidR="007224E5">
              <w:rPr>
                <w:sz w:val="28"/>
                <w:szCs w:val="28"/>
              </w:rPr>
              <w:t xml:space="preserve"> </w:t>
            </w:r>
            <w:r w:rsidRPr="00A56C50">
              <w:rPr>
                <w:sz w:val="28"/>
                <w:szCs w:val="28"/>
              </w:rPr>
              <w:t>nozar</w:t>
            </w:r>
            <w:r w:rsidR="007224E5">
              <w:rPr>
                <w:sz w:val="28"/>
                <w:szCs w:val="28"/>
              </w:rPr>
              <w:t>i</w:t>
            </w:r>
            <w:r w:rsidRPr="00A56C50">
              <w:rPr>
                <w:sz w:val="28"/>
                <w:szCs w:val="28"/>
              </w:rPr>
              <w:t xml:space="preserve">, darbojas nepilnvērtīgi saistībā ar </w:t>
            </w:r>
            <w:r w:rsidR="007224E5">
              <w:rPr>
                <w:sz w:val="28"/>
                <w:szCs w:val="28"/>
              </w:rPr>
              <w:t>cirka ēkas</w:t>
            </w:r>
            <w:r w:rsidRPr="00A56C50">
              <w:rPr>
                <w:sz w:val="28"/>
                <w:szCs w:val="28"/>
              </w:rPr>
              <w:t xml:space="preserve"> </w:t>
            </w:r>
            <w:r w:rsidR="007224E5">
              <w:rPr>
                <w:sz w:val="28"/>
                <w:szCs w:val="28"/>
              </w:rPr>
              <w:t xml:space="preserve">neapmierinošo </w:t>
            </w:r>
            <w:r w:rsidRPr="00A56C50">
              <w:rPr>
                <w:sz w:val="28"/>
                <w:szCs w:val="28"/>
              </w:rPr>
              <w:t>tehnisko</w:t>
            </w:r>
            <w:r w:rsidR="00902A24">
              <w:rPr>
                <w:sz w:val="28"/>
                <w:szCs w:val="28"/>
              </w:rPr>
              <w:t xml:space="preserve"> stāvokli, </w:t>
            </w:r>
            <w:r w:rsidR="007224E5">
              <w:rPr>
                <w:sz w:val="28"/>
                <w:szCs w:val="28"/>
              </w:rPr>
              <w:t xml:space="preserve">un tās </w:t>
            </w:r>
            <w:r w:rsidRPr="00A56C50">
              <w:rPr>
                <w:sz w:val="28"/>
                <w:szCs w:val="28"/>
              </w:rPr>
              <w:t xml:space="preserve">darbinieki ir spiesti domāt </w:t>
            </w:r>
            <w:r w:rsidR="00487F3B">
              <w:rPr>
                <w:sz w:val="28"/>
                <w:szCs w:val="28"/>
              </w:rPr>
              <w:t>galvenokārt</w:t>
            </w:r>
            <w:r w:rsidR="007224E5">
              <w:rPr>
                <w:sz w:val="28"/>
                <w:szCs w:val="28"/>
              </w:rPr>
              <w:t xml:space="preserve"> </w:t>
            </w:r>
            <w:r w:rsidRPr="00A56C50">
              <w:rPr>
                <w:sz w:val="28"/>
                <w:szCs w:val="28"/>
              </w:rPr>
              <w:t>par tehniskiem jautājumiem, nevis deleģēt</w:t>
            </w:r>
            <w:r w:rsidR="007C7A93">
              <w:rPr>
                <w:sz w:val="28"/>
                <w:szCs w:val="28"/>
              </w:rPr>
              <w:t>o</w:t>
            </w:r>
            <w:r w:rsidRPr="00A56C50">
              <w:rPr>
                <w:sz w:val="28"/>
                <w:szCs w:val="28"/>
              </w:rPr>
              <w:t xml:space="preserve"> </w:t>
            </w:r>
            <w:r w:rsidR="007C7A93" w:rsidRPr="00A56C50">
              <w:rPr>
                <w:sz w:val="28"/>
                <w:szCs w:val="28"/>
              </w:rPr>
              <w:t xml:space="preserve">valsts </w:t>
            </w:r>
            <w:r w:rsidR="007C7A93">
              <w:rPr>
                <w:sz w:val="28"/>
                <w:szCs w:val="28"/>
              </w:rPr>
              <w:t>pārvaldes uzdevumu kultūras jomā</w:t>
            </w:r>
            <w:r w:rsidRPr="00A56C50">
              <w:rPr>
                <w:sz w:val="28"/>
                <w:szCs w:val="28"/>
              </w:rPr>
              <w:t xml:space="preserve"> </w:t>
            </w:r>
            <w:r w:rsidR="007C7A93">
              <w:rPr>
                <w:sz w:val="28"/>
                <w:szCs w:val="28"/>
              </w:rPr>
              <w:t>īstenošanu</w:t>
            </w:r>
            <w:r w:rsidRPr="00A56C50">
              <w:rPr>
                <w:sz w:val="28"/>
                <w:szCs w:val="28"/>
              </w:rPr>
              <w:t xml:space="preserve">.   </w:t>
            </w:r>
          </w:p>
          <w:p w:rsidR="00DA7D07" w:rsidRDefault="00DA7D07" w:rsidP="00DA7D07">
            <w:pPr>
              <w:pStyle w:val="naisf"/>
              <w:spacing w:before="0" w:after="0"/>
              <w:ind w:firstLine="0"/>
              <w:rPr>
                <w:sz w:val="28"/>
                <w:szCs w:val="28"/>
              </w:rPr>
            </w:pPr>
          </w:p>
          <w:p w:rsidR="005B31E2" w:rsidRDefault="005B31E2" w:rsidP="00DA7D07">
            <w:pPr>
              <w:pStyle w:val="naisf"/>
              <w:spacing w:before="0" w:after="0"/>
              <w:ind w:firstLine="0"/>
              <w:rPr>
                <w:sz w:val="28"/>
                <w:szCs w:val="28"/>
              </w:rPr>
            </w:pPr>
            <w:r w:rsidRPr="005B31E2">
              <w:rPr>
                <w:sz w:val="28"/>
                <w:szCs w:val="28"/>
              </w:rPr>
              <w:t>Saskaņā ar Līguma par Eiropas Savienības darbību 107.panta 1.punktā un citos Eiropas Savienības aktos noteikto, lai finansiālo palīdzību komercdarbībai (preču un pakalpojumu piedāvāšana tirgū) uzskatītu par komercdarbības atbalstu, tai jāatbilst vienlaicīgi visām četrām pazīmēm (tās minētas arī Komercdarbības atbalsta kontroles likuma 5.pantā)</w:t>
            </w:r>
            <w:r>
              <w:rPr>
                <w:sz w:val="28"/>
                <w:szCs w:val="28"/>
              </w:rPr>
              <w:t xml:space="preserve">. </w:t>
            </w:r>
            <w:r w:rsidRPr="005B31E2">
              <w:rPr>
                <w:sz w:val="28"/>
                <w:szCs w:val="28"/>
              </w:rPr>
              <w:t>P</w:t>
            </w:r>
            <w:r w:rsidRPr="005B31E2">
              <w:rPr>
                <w:bCs/>
                <w:sz w:val="28"/>
                <w:szCs w:val="28"/>
              </w:rPr>
              <w:t xml:space="preserve">asākums piešķirt Kultūras ministrijai noteiktu summu pārskaitīšanai </w:t>
            </w:r>
            <w:r>
              <w:rPr>
                <w:bCs/>
                <w:sz w:val="28"/>
                <w:szCs w:val="28"/>
              </w:rPr>
              <w:t>Sabiedrībai</w:t>
            </w:r>
            <w:r w:rsidRPr="005B31E2">
              <w:rPr>
                <w:bCs/>
                <w:sz w:val="28"/>
                <w:szCs w:val="28"/>
              </w:rPr>
              <w:t xml:space="preserve"> vienreizēju izdevumu segšanai 2016.gadā nekvalificējas kā komercdarbības atbalsts, jo </w:t>
            </w:r>
            <w:r w:rsidRPr="005B31E2">
              <w:rPr>
                <w:sz w:val="28"/>
                <w:szCs w:val="28"/>
              </w:rPr>
              <w:t xml:space="preserve">neizpildās ceturtā komercdarbības atbalstu raksturojošā pazīme (ietekme </w:t>
            </w:r>
            <w:r>
              <w:rPr>
                <w:sz w:val="28"/>
                <w:szCs w:val="28"/>
              </w:rPr>
              <w:t>uz tirdzniecību un konkurenci Eiropas Savienības</w:t>
            </w:r>
            <w:r w:rsidRPr="005B31E2">
              <w:rPr>
                <w:sz w:val="28"/>
                <w:szCs w:val="28"/>
              </w:rPr>
              <w:t xml:space="preserve"> iekšējā tirgū). </w:t>
            </w:r>
            <w:r>
              <w:rPr>
                <w:bCs/>
                <w:sz w:val="28"/>
                <w:szCs w:val="28"/>
              </w:rPr>
              <w:t>Sabiedrība</w:t>
            </w:r>
            <w:r w:rsidRPr="005B31E2">
              <w:rPr>
                <w:bCs/>
                <w:sz w:val="28"/>
                <w:szCs w:val="28"/>
              </w:rPr>
              <w:t xml:space="preserve"> piedāvā izrādes pārsvarā </w:t>
            </w:r>
            <w:r w:rsidRPr="005B31E2">
              <w:rPr>
                <w:sz w:val="28"/>
                <w:szCs w:val="28"/>
              </w:rPr>
              <w:t>vietējā mērogā un apmeklētāji galvenokārt ir vietējie iedzīvotāji, līdz ar to sniegto pakalpojumu ietekme uz kaimiņos esošo dalībvalstu tirgiem un patērētājiem ir nebūtiska, ja tāda vispār ir.</w:t>
            </w:r>
          </w:p>
          <w:p w:rsidR="005B31E2" w:rsidRDefault="005B31E2" w:rsidP="00DA7D07">
            <w:pPr>
              <w:pStyle w:val="naisf"/>
              <w:spacing w:before="0" w:after="0"/>
              <w:ind w:firstLine="0"/>
              <w:rPr>
                <w:sz w:val="28"/>
                <w:szCs w:val="28"/>
              </w:rPr>
            </w:pPr>
          </w:p>
          <w:p w:rsidR="004F42DA" w:rsidRPr="00A56C50" w:rsidRDefault="00AE7793" w:rsidP="005B31E2">
            <w:pPr>
              <w:pStyle w:val="naisf"/>
              <w:spacing w:before="0" w:after="0"/>
              <w:ind w:firstLine="0"/>
              <w:rPr>
                <w:sz w:val="28"/>
                <w:szCs w:val="28"/>
              </w:rPr>
            </w:pPr>
            <w:r w:rsidRPr="001F6570">
              <w:rPr>
                <w:sz w:val="28"/>
                <w:szCs w:val="28"/>
              </w:rPr>
              <w:t>Ņemot vērā iepriekšminēto,</w:t>
            </w:r>
            <w:r w:rsidR="002F6FC4" w:rsidRPr="001F6570">
              <w:rPr>
                <w:sz w:val="28"/>
                <w:szCs w:val="28"/>
              </w:rPr>
              <w:t xml:space="preserve"> </w:t>
            </w:r>
            <w:r w:rsidR="00F75A8D" w:rsidRPr="001F6570">
              <w:rPr>
                <w:sz w:val="28"/>
                <w:szCs w:val="28"/>
              </w:rPr>
              <w:t xml:space="preserve">papildus nepieciešamais finansējums no valsts budžeta programmas 02.00.00 </w:t>
            </w:r>
            <w:r w:rsidR="00F75A8D" w:rsidRPr="001F6570">
              <w:rPr>
                <w:sz w:val="28"/>
                <w:szCs w:val="28"/>
              </w:rPr>
              <w:lastRenderedPageBreak/>
              <w:t xml:space="preserve">„Līdzekļi neparedzētiem gadījumiem” ir </w:t>
            </w:r>
            <w:r w:rsidR="0012449A">
              <w:rPr>
                <w:sz w:val="28"/>
                <w:szCs w:val="28"/>
              </w:rPr>
              <w:t>263 211</w:t>
            </w:r>
            <w:r w:rsidR="003A4DE6">
              <w:rPr>
                <w:sz w:val="28"/>
                <w:szCs w:val="28"/>
              </w:rPr>
              <w:t xml:space="preserve"> </w:t>
            </w:r>
            <w:proofErr w:type="spellStart"/>
            <w:r w:rsidR="002A2E2D" w:rsidRPr="003A4DE6">
              <w:rPr>
                <w:i/>
                <w:sz w:val="28"/>
                <w:szCs w:val="28"/>
              </w:rPr>
              <w:t>euro</w:t>
            </w:r>
            <w:proofErr w:type="spellEnd"/>
            <w:r w:rsidR="00F75A8D" w:rsidRPr="001F6570">
              <w:rPr>
                <w:sz w:val="28"/>
                <w:szCs w:val="28"/>
              </w:rPr>
              <w:t xml:space="preserve">. Līdzekļu piešķiršana </w:t>
            </w:r>
            <w:r w:rsidR="002F6FC4" w:rsidRPr="001F6570">
              <w:rPr>
                <w:sz w:val="28"/>
                <w:szCs w:val="28"/>
              </w:rPr>
              <w:t xml:space="preserve">ir nepieciešama, lai </w:t>
            </w:r>
            <w:r w:rsidR="007224E5">
              <w:rPr>
                <w:sz w:val="28"/>
                <w:szCs w:val="28"/>
              </w:rPr>
              <w:t xml:space="preserve">nodrošinātu cirka </w:t>
            </w:r>
            <w:r w:rsidR="00222356">
              <w:rPr>
                <w:sz w:val="28"/>
                <w:szCs w:val="28"/>
              </w:rPr>
              <w:t>ēkas Rīgā</w:t>
            </w:r>
            <w:r w:rsidR="007224E5">
              <w:rPr>
                <w:sz w:val="28"/>
                <w:szCs w:val="28"/>
              </w:rPr>
              <w:t xml:space="preserve">, Merķeļa </w:t>
            </w:r>
            <w:r w:rsidR="00DA7D07">
              <w:rPr>
                <w:sz w:val="28"/>
                <w:szCs w:val="28"/>
              </w:rPr>
              <w:t xml:space="preserve">ielā 4 </w:t>
            </w:r>
            <w:r w:rsidR="007224E5">
              <w:rPr>
                <w:sz w:val="28"/>
                <w:szCs w:val="28"/>
              </w:rPr>
              <w:t>tehnisko apsekošanu</w:t>
            </w:r>
            <w:r w:rsidR="00222356">
              <w:rPr>
                <w:sz w:val="28"/>
                <w:szCs w:val="28"/>
              </w:rPr>
              <w:t xml:space="preserve"> un </w:t>
            </w:r>
            <w:r w:rsidR="006D0873">
              <w:rPr>
                <w:sz w:val="28"/>
                <w:szCs w:val="28"/>
              </w:rPr>
              <w:t>Sabiedrības</w:t>
            </w:r>
            <w:r w:rsidR="00BC2C7E">
              <w:rPr>
                <w:sz w:val="28"/>
                <w:szCs w:val="28"/>
              </w:rPr>
              <w:t xml:space="preserve"> </w:t>
            </w:r>
            <w:r w:rsidR="00222356">
              <w:rPr>
                <w:sz w:val="28"/>
                <w:szCs w:val="28"/>
              </w:rPr>
              <w:t>finanšu situācijas stabilizācij</w:t>
            </w:r>
            <w:bookmarkStart w:id="6" w:name="_GoBack"/>
            <w:bookmarkEnd w:id="6"/>
            <w:r w:rsidR="005B6C35">
              <w:rPr>
                <w:sz w:val="28"/>
                <w:szCs w:val="28"/>
              </w:rPr>
              <w:t>u</w:t>
            </w:r>
            <w:r w:rsidR="00222356">
              <w:rPr>
                <w:sz w:val="28"/>
                <w:szCs w:val="28"/>
              </w:rPr>
              <w:t>.</w:t>
            </w:r>
          </w:p>
        </w:tc>
      </w:tr>
      <w:tr w:rsidR="00262E2B" w:rsidRPr="00A56C50" w:rsidTr="00DA7D07">
        <w:trPr>
          <w:trHeight w:val="476"/>
        </w:trPr>
        <w:tc>
          <w:tcPr>
            <w:tcW w:w="253" w:type="pct"/>
          </w:tcPr>
          <w:p w:rsidR="00262E2B" w:rsidRPr="00A56C50" w:rsidRDefault="006E626B" w:rsidP="002C0D1E">
            <w:pPr>
              <w:pStyle w:val="naiskr"/>
              <w:spacing w:before="0" w:after="0"/>
              <w:jc w:val="center"/>
              <w:rPr>
                <w:sz w:val="28"/>
                <w:szCs w:val="28"/>
              </w:rPr>
            </w:pPr>
            <w:r w:rsidRPr="00A56C50">
              <w:rPr>
                <w:sz w:val="28"/>
                <w:szCs w:val="28"/>
              </w:rPr>
              <w:lastRenderedPageBreak/>
              <w:t>3</w:t>
            </w:r>
            <w:r w:rsidR="00262E2B" w:rsidRPr="00A56C50">
              <w:rPr>
                <w:sz w:val="28"/>
                <w:szCs w:val="28"/>
              </w:rPr>
              <w:t>.</w:t>
            </w:r>
          </w:p>
        </w:tc>
        <w:tc>
          <w:tcPr>
            <w:tcW w:w="861" w:type="pct"/>
          </w:tcPr>
          <w:p w:rsidR="00262E2B" w:rsidRPr="00A56C50" w:rsidRDefault="001A4066" w:rsidP="006C4607">
            <w:pPr>
              <w:pStyle w:val="naiskr"/>
              <w:spacing w:before="0" w:after="0"/>
              <w:rPr>
                <w:sz w:val="28"/>
                <w:szCs w:val="28"/>
              </w:rPr>
            </w:pPr>
            <w:r w:rsidRPr="00A56C50">
              <w:rPr>
                <w:sz w:val="28"/>
                <w:szCs w:val="28"/>
              </w:rPr>
              <w:t>Projekta i</w:t>
            </w:r>
            <w:r w:rsidR="00262E2B" w:rsidRPr="00A56C50">
              <w:rPr>
                <w:sz w:val="28"/>
                <w:szCs w:val="28"/>
              </w:rPr>
              <w:t>zstrād</w:t>
            </w:r>
            <w:r w:rsidR="00420870" w:rsidRPr="00A56C50">
              <w:rPr>
                <w:sz w:val="28"/>
                <w:szCs w:val="28"/>
              </w:rPr>
              <w:t xml:space="preserve">ē </w:t>
            </w:r>
            <w:r w:rsidR="00262E2B" w:rsidRPr="00A56C50">
              <w:rPr>
                <w:sz w:val="28"/>
                <w:szCs w:val="28"/>
              </w:rPr>
              <w:t>iesaistītās institūcijas</w:t>
            </w:r>
          </w:p>
        </w:tc>
        <w:tc>
          <w:tcPr>
            <w:tcW w:w="3886" w:type="pct"/>
          </w:tcPr>
          <w:p w:rsidR="00262E2B" w:rsidRPr="00A56C50" w:rsidRDefault="00D37368" w:rsidP="00095A68">
            <w:pPr>
              <w:pStyle w:val="naisf"/>
              <w:ind w:firstLine="0"/>
              <w:rPr>
                <w:bCs/>
                <w:sz w:val="28"/>
                <w:szCs w:val="28"/>
              </w:rPr>
            </w:pPr>
            <w:r>
              <w:rPr>
                <w:sz w:val="28"/>
                <w:szCs w:val="28"/>
              </w:rPr>
              <w:t xml:space="preserve"> </w:t>
            </w:r>
            <w:r w:rsidR="00166E03" w:rsidRPr="00A56C50">
              <w:rPr>
                <w:sz w:val="28"/>
                <w:szCs w:val="28"/>
              </w:rPr>
              <w:t>Kultūras ministrija</w:t>
            </w:r>
            <w:r w:rsidR="00E2585A" w:rsidRPr="00A56C50">
              <w:rPr>
                <w:sz w:val="28"/>
                <w:szCs w:val="28"/>
              </w:rPr>
              <w:t>.</w:t>
            </w:r>
          </w:p>
        </w:tc>
      </w:tr>
      <w:tr w:rsidR="00262E2B" w:rsidRPr="00A56C50" w:rsidTr="00DA7D07">
        <w:trPr>
          <w:trHeight w:val="410"/>
        </w:trPr>
        <w:tc>
          <w:tcPr>
            <w:tcW w:w="253" w:type="pct"/>
          </w:tcPr>
          <w:p w:rsidR="00262E2B" w:rsidRPr="00A56C50" w:rsidRDefault="006E626B" w:rsidP="002C0D1E">
            <w:pPr>
              <w:pStyle w:val="naiskr"/>
              <w:spacing w:before="0" w:after="0"/>
              <w:jc w:val="center"/>
              <w:rPr>
                <w:sz w:val="28"/>
                <w:szCs w:val="28"/>
              </w:rPr>
            </w:pPr>
            <w:r w:rsidRPr="00A56C50">
              <w:rPr>
                <w:sz w:val="28"/>
                <w:szCs w:val="28"/>
              </w:rPr>
              <w:t>4</w:t>
            </w:r>
            <w:r w:rsidR="00262E2B" w:rsidRPr="00A56C50">
              <w:rPr>
                <w:sz w:val="28"/>
                <w:szCs w:val="28"/>
              </w:rPr>
              <w:t>.</w:t>
            </w:r>
          </w:p>
        </w:tc>
        <w:tc>
          <w:tcPr>
            <w:tcW w:w="861" w:type="pct"/>
          </w:tcPr>
          <w:p w:rsidR="00262E2B" w:rsidRPr="00A56C50" w:rsidRDefault="00262E2B" w:rsidP="006C4607">
            <w:pPr>
              <w:pStyle w:val="naiskr"/>
              <w:spacing w:before="0" w:after="0"/>
              <w:rPr>
                <w:sz w:val="28"/>
                <w:szCs w:val="28"/>
              </w:rPr>
            </w:pPr>
            <w:r w:rsidRPr="00A56C50">
              <w:rPr>
                <w:sz w:val="28"/>
                <w:szCs w:val="28"/>
              </w:rPr>
              <w:t>Cita informācija</w:t>
            </w:r>
          </w:p>
        </w:tc>
        <w:tc>
          <w:tcPr>
            <w:tcW w:w="3886" w:type="pct"/>
          </w:tcPr>
          <w:p w:rsidR="00262E2B" w:rsidRPr="00A56C50" w:rsidRDefault="00D37368" w:rsidP="006C4607">
            <w:pPr>
              <w:pStyle w:val="naiskr"/>
              <w:spacing w:before="0" w:after="0"/>
              <w:rPr>
                <w:sz w:val="28"/>
                <w:szCs w:val="28"/>
              </w:rPr>
            </w:pPr>
            <w:r>
              <w:rPr>
                <w:sz w:val="28"/>
                <w:szCs w:val="28"/>
              </w:rPr>
              <w:t xml:space="preserve"> </w:t>
            </w:r>
            <w:r w:rsidR="00571028" w:rsidRPr="00A56C50">
              <w:rPr>
                <w:sz w:val="28"/>
                <w:szCs w:val="28"/>
              </w:rPr>
              <w:t>Nav</w:t>
            </w:r>
          </w:p>
        </w:tc>
      </w:tr>
    </w:tbl>
    <w:p w:rsidR="00AD50DF" w:rsidRDefault="00AD50DF" w:rsidP="00F00BC9">
      <w:pPr>
        <w:pStyle w:val="naisf"/>
        <w:spacing w:before="0" w:after="0"/>
        <w:ind w:firstLine="0"/>
        <w:rPr>
          <w:sz w:val="28"/>
          <w:szCs w:val="28"/>
        </w:rPr>
      </w:pPr>
    </w:p>
    <w:p w:rsidR="00604B5A" w:rsidRDefault="00604B5A" w:rsidP="00604B5A">
      <w:pPr>
        <w:spacing w:before="75" w:after="75"/>
        <w:ind w:left="284"/>
        <w:outlineLvl w:val="0"/>
        <w:rPr>
          <w:i/>
          <w:iCs/>
          <w:sz w:val="28"/>
          <w:szCs w:val="28"/>
        </w:rPr>
      </w:pPr>
      <w:r w:rsidRPr="006126B1">
        <w:rPr>
          <w:i/>
          <w:iCs/>
          <w:sz w:val="28"/>
          <w:szCs w:val="28"/>
        </w:rPr>
        <w:t>Anot</w:t>
      </w:r>
      <w:r>
        <w:rPr>
          <w:i/>
          <w:iCs/>
          <w:sz w:val="28"/>
          <w:szCs w:val="28"/>
        </w:rPr>
        <w:t>ācijas II, IV, V un VI sadaļa – P</w:t>
      </w:r>
      <w:r w:rsidRPr="006126B1">
        <w:rPr>
          <w:i/>
          <w:iCs/>
          <w:sz w:val="28"/>
          <w:szCs w:val="28"/>
        </w:rPr>
        <w:t xml:space="preserve">rojekts šīs jomas neskar. </w:t>
      </w:r>
    </w:p>
    <w:p w:rsidR="00F45BA1" w:rsidRDefault="00F45BA1" w:rsidP="00604B5A">
      <w:pPr>
        <w:spacing w:before="75" w:after="75"/>
        <w:ind w:left="284"/>
        <w:outlineLvl w:val="0"/>
        <w:rPr>
          <w:i/>
          <w:iCs/>
          <w:sz w:val="28"/>
          <w:szCs w:val="28"/>
        </w:rPr>
      </w:pPr>
    </w:p>
    <w:tbl>
      <w:tblPr>
        <w:tblW w:w="4927" w:type="pct"/>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1503"/>
        <w:gridCol w:w="1492"/>
        <w:gridCol w:w="1391"/>
        <w:gridCol w:w="1391"/>
        <w:gridCol w:w="1393"/>
      </w:tblGrid>
      <w:tr w:rsidR="006C418A" w:rsidRPr="006126B1" w:rsidTr="00F92D7C">
        <w:trPr>
          <w:jc w:val="center"/>
        </w:trPr>
        <w:tc>
          <w:tcPr>
            <w:tcW w:w="5000" w:type="pct"/>
            <w:gridSpan w:val="6"/>
            <w:vAlign w:val="center"/>
          </w:tcPr>
          <w:p w:rsidR="006C418A" w:rsidRPr="006126B1" w:rsidRDefault="006C418A" w:rsidP="00A20419">
            <w:pPr>
              <w:pStyle w:val="naisf"/>
              <w:spacing w:before="0" w:after="0"/>
              <w:ind w:firstLine="0"/>
              <w:jc w:val="center"/>
              <w:rPr>
                <w:b/>
                <w:sz w:val="28"/>
                <w:szCs w:val="28"/>
              </w:rPr>
            </w:pPr>
            <w:r w:rsidRPr="006126B1">
              <w:rPr>
                <w:b/>
                <w:sz w:val="28"/>
                <w:szCs w:val="28"/>
              </w:rPr>
              <w:t>III. Tiesību akta projekta ietekme uz valsts budžetu un pašvaldību budžetiem</w:t>
            </w:r>
          </w:p>
        </w:tc>
      </w:tr>
      <w:tr w:rsidR="00362D93" w:rsidRPr="006126B1" w:rsidTr="00604B5A">
        <w:trPr>
          <w:jc w:val="center"/>
        </w:trPr>
        <w:tc>
          <w:tcPr>
            <w:tcW w:w="1083" w:type="pct"/>
            <w:vMerge w:val="restart"/>
            <w:vAlign w:val="center"/>
          </w:tcPr>
          <w:p w:rsidR="00571028" w:rsidRPr="006126B1" w:rsidRDefault="00571028" w:rsidP="00A20419">
            <w:pPr>
              <w:pStyle w:val="naisf"/>
              <w:spacing w:before="0" w:after="0"/>
              <w:ind w:left="114" w:hanging="114"/>
              <w:jc w:val="center"/>
              <w:rPr>
                <w:b/>
                <w:sz w:val="28"/>
                <w:szCs w:val="28"/>
              </w:rPr>
            </w:pPr>
            <w:r w:rsidRPr="006126B1">
              <w:rPr>
                <w:b/>
                <w:sz w:val="28"/>
                <w:szCs w:val="28"/>
              </w:rPr>
              <w:t>Rādītāji</w:t>
            </w:r>
          </w:p>
        </w:tc>
        <w:tc>
          <w:tcPr>
            <w:tcW w:w="1636" w:type="pct"/>
            <w:gridSpan w:val="2"/>
            <w:vMerge w:val="restart"/>
            <w:vAlign w:val="center"/>
          </w:tcPr>
          <w:p w:rsidR="00571028" w:rsidRPr="006126B1" w:rsidRDefault="00DD7AA6" w:rsidP="00A20419">
            <w:pPr>
              <w:pStyle w:val="naisf"/>
              <w:spacing w:before="0" w:after="0"/>
              <w:ind w:firstLine="0"/>
              <w:jc w:val="center"/>
              <w:rPr>
                <w:b/>
                <w:sz w:val="28"/>
                <w:szCs w:val="28"/>
              </w:rPr>
            </w:pPr>
            <w:r>
              <w:rPr>
                <w:b/>
                <w:sz w:val="28"/>
                <w:szCs w:val="28"/>
              </w:rPr>
              <w:t>2016</w:t>
            </w:r>
            <w:r w:rsidR="00571028" w:rsidRPr="006126B1">
              <w:rPr>
                <w:b/>
                <w:sz w:val="28"/>
                <w:szCs w:val="28"/>
              </w:rPr>
              <w:t>.</w:t>
            </w:r>
            <w:r w:rsidR="00F46414" w:rsidRPr="006126B1">
              <w:rPr>
                <w:b/>
                <w:sz w:val="28"/>
                <w:szCs w:val="28"/>
              </w:rPr>
              <w:t>gads</w:t>
            </w:r>
          </w:p>
        </w:tc>
        <w:tc>
          <w:tcPr>
            <w:tcW w:w="2280" w:type="pct"/>
            <w:gridSpan w:val="3"/>
            <w:vAlign w:val="center"/>
          </w:tcPr>
          <w:p w:rsidR="00571028" w:rsidRPr="006126B1" w:rsidRDefault="00571028" w:rsidP="004A05EF">
            <w:pPr>
              <w:pStyle w:val="naisf"/>
              <w:spacing w:before="0" w:after="0"/>
              <w:ind w:firstLine="0"/>
              <w:jc w:val="center"/>
              <w:rPr>
                <w:b/>
                <w:i/>
                <w:sz w:val="28"/>
                <w:szCs w:val="28"/>
              </w:rPr>
            </w:pPr>
            <w:r w:rsidRPr="006126B1">
              <w:rPr>
                <w:sz w:val="28"/>
                <w:szCs w:val="28"/>
              </w:rPr>
              <w:t>Turpmākie trīs gadi (</w:t>
            </w:r>
            <w:r w:rsidR="004A05EF" w:rsidRPr="006126B1">
              <w:rPr>
                <w:i/>
                <w:sz w:val="28"/>
                <w:szCs w:val="28"/>
              </w:rPr>
              <w:t>euro</w:t>
            </w:r>
            <w:r w:rsidRPr="006126B1">
              <w:rPr>
                <w:sz w:val="28"/>
                <w:szCs w:val="28"/>
              </w:rPr>
              <w:t>)</w:t>
            </w:r>
          </w:p>
        </w:tc>
      </w:tr>
      <w:tr w:rsidR="00185D7F" w:rsidRPr="006126B1" w:rsidTr="00604B5A">
        <w:trPr>
          <w:jc w:val="center"/>
        </w:trPr>
        <w:tc>
          <w:tcPr>
            <w:tcW w:w="1083" w:type="pct"/>
            <w:vMerge/>
            <w:vAlign w:val="center"/>
          </w:tcPr>
          <w:p w:rsidR="00571028" w:rsidRPr="006126B1" w:rsidRDefault="00571028" w:rsidP="00A20419">
            <w:pPr>
              <w:pStyle w:val="naisf"/>
              <w:spacing w:before="0" w:after="0"/>
              <w:ind w:firstLine="0"/>
              <w:jc w:val="center"/>
              <w:rPr>
                <w:b/>
                <w:i/>
                <w:sz w:val="28"/>
                <w:szCs w:val="28"/>
              </w:rPr>
            </w:pPr>
          </w:p>
        </w:tc>
        <w:tc>
          <w:tcPr>
            <w:tcW w:w="1636" w:type="pct"/>
            <w:gridSpan w:val="2"/>
            <w:vMerge/>
            <w:vAlign w:val="center"/>
          </w:tcPr>
          <w:p w:rsidR="00571028" w:rsidRPr="006126B1" w:rsidRDefault="00571028" w:rsidP="00A20419">
            <w:pPr>
              <w:pStyle w:val="naisf"/>
              <w:spacing w:before="0" w:after="0"/>
              <w:ind w:firstLine="0"/>
              <w:jc w:val="center"/>
              <w:rPr>
                <w:b/>
                <w:i/>
                <w:sz w:val="28"/>
                <w:szCs w:val="28"/>
              </w:rPr>
            </w:pPr>
          </w:p>
        </w:tc>
        <w:tc>
          <w:tcPr>
            <w:tcW w:w="760" w:type="pct"/>
            <w:vAlign w:val="center"/>
          </w:tcPr>
          <w:p w:rsidR="00571028" w:rsidRPr="006126B1" w:rsidRDefault="00DD7AA6" w:rsidP="00A20419">
            <w:pPr>
              <w:pStyle w:val="naisf"/>
              <w:spacing w:before="0" w:after="0"/>
              <w:ind w:firstLine="0"/>
              <w:jc w:val="center"/>
              <w:rPr>
                <w:b/>
                <w:i/>
                <w:sz w:val="28"/>
                <w:szCs w:val="28"/>
              </w:rPr>
            </w:pPr>
            <w:r>
              <w:rPr>
                <w:b/>
                <w:bCs/>
                <w:sz w:val="28"/>
                <w:szCs w:val="28"/>
              </w:rPr>
              <w:t>2017</w:t>
            </w:r>
            <w:r w:rsidR="00571028" w:rsidRPr="006126B1">
              <w:rPr>
                <w:b/>
                <w:bCs/>
                <w:sz w:val="28"/>
                <w:szCs w:val="28"/>
              </w:rPr>
              <w:t>.</w:t>
            </w:r>
            <w:r w:rsidR="00F46414" w:rsidRPr="006126B1">
              <w:rPr>
                <w:b/>
                <w:bCs/>
                <w:sz w:val="28"/>
                <w:szCs w:val="28"/>
              </w:rPr>
              <w:t>gads</w:t>
            </w:r>
          </w:p>
        </w:tc>
        <w:tc>
          <w:tcPr>
            <w:tcW w:w="760" w:type="pct"/>
            <w:vAlign w:val="center"/>
          </w:tcPr>
          <w:p w:rsidR="00571028" w:rsidRPr="006126B1" w:rsidRDefault="00DD7AA6" w:rsidP="00A20419">
            <w:pPr>
              <w:pStyle w:val="naisf"/>
              <w:spacing w:before="0" w:after="0"/>
              <w:ind w:firstLine="0"/>
              <w:jc w:val="center"/>
              <w:rPr>
                <w:b/>
                <w:i/>
                <w:sz w:val="28"/>
                <w:szCs w:val="28"/>
              </w:rPr>
            </w:pPr>
            <w:r>
              <w:rPr>
                <w:b/>
                <w:bCs/>
                <w:sz w:val="28"/>
                <w:szCs w:val="28"/>
              </w:rPr>
              <w:t>2018</w:t>
            </w:r>
            <w:r w:rsidR="00571028" w:rsidRPr="006126B1">
              <w:rPr>
                <w:b/>
                <w:bCs/>
                <w:sz w:val="28"/>
                <w:szCs w:val="28"/>
              </w:rPr>
              <w:t>.</w:t>
            </w:r>
            <w:r w:rsidR="00F46414" w:rsidRPr="006126B1">
              <w:rPr>
                <w:b/>
                <w:bCs/>
                <w:sz w:val="28"/>
                <w:szCs w:val="28"/>
              </w:rPr>
              <w:t>gads</w:t>
            </w:r>
          </w:p>
        </w:tc>
        <w:tc>
          <w:tcPr>
            <w:tcW w:w="760" w:type="pct"/>
            <w:vAlign w:val="center"/>
          </w:tcPr>
          <w:p w:rsidR="00571028" w:rsidRPr="006126B1" w:rsidRDefault="00DD7AA6" w:rsidP="00A20419">
            <w:pPr>
              <w:pStyle w:val="naisf"/>
              <w:spacing w:before="0" w:after="0"/>
              <w:ind w:firstLine="0"/>
              <w:jc w:val="center"/>
              <w:rPr>
                <w:b/>
                <w:i/>
                <w:sz w:val="28"/>
                <w:szCs w:val="28"/>
              </w:rPr>
            </w:pPr>
            <w:r>
              <w:rPr>
                <w:b/>
                <w:bCs/>
                <w:sz w:val="28"/>
                <w:szCs w:val="28"/>
              </w:rPr>
              <w:t>2019</w:t>
            </w:r>
            <w:r w:rsidR="00571028" w:rsidRPr="006126B1">
              <w:rPr>
                <w:b/>
                <w:bCs/>
                <w:sz w:val="28"/>
                <w:szCs w:val="28"/>
              </w:rPr>
              <w:t>.</w:t>
            </w:r>
            <w:r w:rsidR="00F46414" w:rsidRPr="006126B1">
              <w:rPr>
                <w:b/>
                <w:bCs/>
                <w:sz w:val="28"/>
                <w:szCs w:val="28"/>
              </w:rPr>
              <w:t>gads</w:t>
            </w:r>
          </w:p>
        </w:tc>
      </w:tr>
      <w:tr w:rsidR="00362D93" w:rsidRPr="006126B1" w:rsidTr="00604B5A">
        <w:trPr>
          <w:jc w:val="center"/>
        </w:trPr>
        <w:tc>
          <w:tcPr>
            <w:tcW w:w="1083" w:type="pct"/>
            <w:vMerge/>
            <w:vAlign w:val="center"/>
          </w:tcPr>
          <w:p w:rsidR="00571028" w:rsidRPr="006126B1" w:rsidRDefault="00571028" w:rsidP="00A20419">
            <w:pPr>
              <w:pStyle w:val="naisf"/>
              <w:spacing w:before="0" w:after="0"/>
              <w:ind w:firstLine="0"/>
              <w:jc w:val="center"/>
              <w:rPr>
                <w:b/>
                <w:i/>
                <w:sz w:val="28"/>
                <w:szCs w:val="28"/>
              </w:rPr>
            </w:pPr>
          </w:p>
        </w:tc>
        <w:tc>
          <w:tcPr>
            <w:tcW w:w="821" w:type="pct"/>
            <w:vAlign w:val="center"/>
          </w:tcPr>
          <w:p w:rsidR="00571028" w:rsidRPr="006126B1" w:rsidRDefault="00571028" w:rsidP="00A20419">
            <w:pPr>
              <w:pStyle w:val="naisf"/>
              <w:spacing w:before="0" w:after="0"/>
              <w:ind w:firstLine="0"/>
              <w:jc w:val="center"/>
              <w:rPr>
                <w:b/>
                <w:i/>
                <w:sz w:val="28"/>
                <w:szCs w:val="28"/>
              </w:rPr>
            </w:pPr>
            <w:r w:rsidRPr="006126B1">
              <w:rPr>
                <w:sz w:val="28"/>
                <w:szCs w:val="28"/>
              </w:rPr>
              <w:t>Saskaņā ar valsts budžetu kārtējam gadam</w:t>
            </w:r>
          </w:p>
        </w:tc>
        <w:tc>
          <w:tcPr>
            <w:tcW w:w="815" w:type="pct"/>
            <w:vAlign w:val="center"/>
          </w:tcPr>
          <w:p w:rsidR="00571028" w:rsidRPr="006126B1" w:rsidRDefault="00571028" w:rsidP="00A20419">
            <w:pPr>
              <w:pStyle w:val="naisf"/>
              <w:spacing w:before="0" w:after="0"/>
              <w:ind w:firstLine="0"/>
              <w:jc w:val="center"/>
              <w:rPr>
                <w:b/>
                <w:i/>
                <w:sz w:val="28"/>
                <w:szCs w:val="28"/>
              </w:rPr>
            </w:pPr>
            <w:r w:rsidRPr="006126B1">
              <w:rPr>
                <w:sz w:val="28"/>
                <w:szCs w:val="28"/>
              </w:rPr>
              <w:t>Izmaiņas kārtējā gadā, salīdzinot ar budžetu kārtējam gadam</w:t>
            </w:r>
          </w:p>
        </w:tc>
        <w:tc>
          <w:tcPr>
            <w:tcW w:w="760" w:type="pct"/>
            <w:vAlign w:val="center"/>
          </w:tcPr>
          <w:p w:rsidR="00571028" w:rsidRPr="006126B1" w:rsidRDefault="00571028" w:rsidP="009B4154">
            <w:pPr>
              <w:pStyle w:val="naisf"/>
              <w:spacing w:before="0" w:after="0"/>
              <w:ind w:firstLine="0"/>
              <w:jc w:val="center"/>
              <w:rPr>
                <w:b/>
                <w:i/>
                <w:sz w:val="28"/>
                <w:szCs w:val="28"/>
              </w:rPr>
            </w:pPr>
            <w:r w:rsidRPr="006126B1">
              <w:rPr>
                <w:sz w:val="28"/>
                <w:szCs w:val="28"/>
              </w:rPr>
              <w:t>Izmaiņas, salīdzinot ar kārtējo (</w:t>
            </w:r>
            <w:r w:rsidR="00445E81">
              <w:rPr>
                <w:sz w:val="28"/>
                <w:szCs w:val="28"/>
              </w:rPr>
              <w:t>2016</w:t>
            </w:r>
            <w:r w:rsidRPr="006126B1">
              <w:rPr>
                <w:sz w:val="28"/>
                <w:szCs w:val="28"/>
              </w:rPr>
              <w:t>) gadu</w:t>
            </w:r>
          </w:p>
        </w:tc>
        <w:tc>
          <w:tcPr>
            <w:tcW w:w="760" w:type="pct"/>
            <w:vAlign w:val="center"/>
          </w:tcPr>
          <w:p w:rsidR="00571028" w:rsidRPr="006126B1" w:rsidRDefault="00571028" w:rsidP="009B4154">
            <w:pPr>
              <w:pStyle w:val="naisf"/>
              <w:spacing w:before="0" w:after="0"/>
              <w:ind w:firstLine="0"/>
              <w:jc w:val="center"/>
              <w:rPr>
                <w:b/>
                <w:i/>
                <w:sz w:val="28"/>
                <w:szCs w:val="28"/>
              </w:rPr>
            </w:pPr>
            <w:r w:rsidRPr="006126B1">
              <w:rPr>
                <w:sz w:val="28"/>
                <w:szCs w:val="28"/>
              </w:rPr>
              <w:t>Izmaiņas, salīdzinot ar kārtējo (</w:t>
            </w:r>
            <w:r w:rsidR="00445E81">
              <w:rPr>
                <w:sz w:val="28"/>
                <w:szCs w:val="28"/>
              </w:rPr>
              <w:t>2016</w:t>
            </w:r>
            <w:r w:rsidRPr="006126B1">
              <w:rPr>
                <w:sz w:val="28"/>
                <w:szCs w:val="28"/>
              </w:rPr>
              <w:t>) gadu</w:t>
            </w:r>
          </w:p>
        </w:tc>
        <w:tc>
          <w:tcPr>
            <w:tcW w:w="760" w:type="pct"/>
            <w:vAlign w:val="center"/>
          </w:tcPr>
          <w:p w:rsidR="00571028" w:rsidRPr="006126B1" w:rsidRDefault="00571028" w:rsidP="009B4154">
            <w:pPr>
              <w:pStyle w:val="naisf"/>
              <w:spacing w:before="0" w:after="0"/>
              <w:ind w:firstLine="0"/>
              <w:jc w:val="center"/>
              <w:rPr>
                <w:b/>
                <w:i/>
                <w:sz w:val="28"/>
                <w:szCs w:val="28"/>
              </w:rPr>
            </w:pPr>
            <w:r w:rsidRPr="006126B1">
              <w:rPr>
                <w:sz w:val="28"/>
                <w:szCs w:val="28"/>
              </w:rPr>
              <w:t>Izmaiņas, salīdzinot ar kārtējo (</w:t>
            </w:r>
            <w:r w:rsidR="00445E81">
              <w:rPr>
                <w:sz w:val="28"/>
                <w:szCs w:val="28"/>
              </w:rPr>
              <w:t>2016</w:t>
            </w:r>
            <w:r w:rsidRPr="006126B1">
              <w:rPr>
                <w:sz w:val="28"/>
                <w:szCs w:val="28"/>
              </w:rPr>
              <w:t>) gadu</w:t>
            </w:r>
          </w:p>
        </w:tc>
      </w:tr>
      <w:tr w:rsidR="00362D93" w:rsidRPr="006126B1" w:rsidTr="00604B5A">
        <w:trPr>
          <w:jc w:val="center"/>
        </w:trPr>
        <w:tc>
          <w:tcPr>
            <w:tcW w:w="1083"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1</w:t>
            </w:r>
          </w:p>
        </w:tc>
        <w:tc>
          <w:tcPr>
            <w:tcW w:w="821"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2</w:t>
            </w:r>
          </w:p>
        </w:tc>
        <w:tc>
          <w:tcPr>
            <w:tcW w:w="815"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3</w:t>
            </w:r>
          </w:p>
        </w:tc>
        <w:tc>
          <w:tcPr>
            <w:tcW w:w="760"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4</w:t>
            </w:r>
          </w:p>
        </w:tc>
        <w:tc>
          <w:tcPr>
            <w:tcW w:w="760"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5</w:t>
            </w:r>
          </w:p>
        </w:tc>
        <w:tc>
          <w:tcPr>
            <w:tcW w:w="760" w:type="pct"/>
            <w:vAlign w:val="center"/>
          </w:tcPr>
          <w:p w:rsidR="00571028" w:rsidRPr="006126B1" w:rsidRDefault="00571028" w:rsidP="00A20419">
            <w:pPr>
              <w:pStyle w:val="naisf"/>
              <w:spacing w:before="0" w:after="0"/>
              <w:ind w:firstLine="0"/>
              <w:jc w:val="center"/>
              <w:rPr>
                <w:bCs/>
                <w:sz w:val="22"/>
                <w:szCs w:val="22"/>
              </w:rPr>
            </w:pPr>
            <w:r w:rsidRPr="006126B1">
              <w:rPr>
                <w:bCs/>
                <w:sz w:val="22"/>
                <w:szCs w:val="22"/>
              </w:rPr>
              <w:t>6</w:t>
            </w:r>
          </w:p>
        </w:tc>
      </w:tr>
      <w:tr w:rsidR="00362D93" w:rsidRPr="0012449A" w:rsidTr="00604B5A">
        <w:trPr>
          <w:jc w:val="center"/>
        </w:trPr>
        <w:tc>
          <w:tcPr>
            <w:tcW w:w="1083" w:type="pct"/>
          </w:tcPr>
          <w:p w:rsidR="00470309" w:rsidRPr="006126B1" w:rsidRDefault="00470309" w:rsidP="004A05EF">
            <w:pPr>
              <w:pStyle w:val="naisf"/>
              <w:spacing w:before="0" w:after="0"/>
              <w:ind w:firstLine="0"/>
              <w:jc w:val="left"/>
              <w:rPr>
                <w:i/>
                <w:sz w:val="28"/>
                <w:szCs w:val="28"/>
              </w:rPr>
            </w:pPr>
            <w:r w:rsidRPr="006126B1">
              <w:rPr>
                <w:sz w:val="28"/>
                <w:szCs w:val="28"/>
              </w:rPr>
              <w:t>1. Budžeta ieņēmumi:</w:t>
            </w:r>
          </w:p>
        </w:tc>
        <w:tc>
          <w:tcPr>
            <w:tcW w:w="821" w:type="pct"/>
          </w:tcPr>
          <w:p w:rsidR="00470309" w:rsidRPr="0012449A" w:rsidRDefault="00470309" w:rsidP="00FB4FC6">
            <w:pPr>
              <w:pStyle w:val="naisf"/>
              <w:spacing w:before="0" w:after="0"/>
              <w:ind w:firstLine="0"/>
              <w:jc w:val="center"/>
              <w:rPr>
                <w:sz w:val="28"/>
                <w:szCs w:val="28"/>
              </w:rPr>
            </w:pPr>
            <w:r w:rsidRPr="0012449A">
              <w:rPr>
                <w:sz w:val="28"/>
                <w:szCs w:val="28"/>
              </w:rPr>
              <w:t>0</w:t>
            </w:r>
          </w:p>
        </w:tc>
        <w:tc>
          <w:tcPr>
            <w:tcW w:w="815"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r>
      <w:tr w:rsidR="00362D93" w:rsidRPr="006126B1" w:rsidTr="00604B5A">
        <w:trPr>
          <w:jc w:val="center"/>
        </w:trPr>
        <w:tc>
          <w:tcPr>
            <w:tcW w:w="1083" w:type="pct"/>
          </w:tcPr>
          <w:p w:rsidR="00470309" w:rsidRPr="006126B1" w:rsidRDefault="00470309" w:rsidP="004A05EF">
            <w:pPr>
              <w:pStyle w:val="naisf"/>
              <w:spacing w:before="0" w:after="0"/>
              <w:ind w:firstLine="0"/>
              <w:jc w:val="left"/>
              <w:rPr>
                <w:i/>
                <w:sz w:val="28"/>
                <w:szCs w:val="28"/>
              </w:rPr>
            </w:pPr>
            <w:r w:rsidRPr="006126B1">
              <w:rPr>
                <w:sz w:val="28"/>
                <w:szCs w:val="28"/>
              </w:rPr>
              <w:t>1.1. valsts pamatbudžets, tai skaitā ieņēmumi no maksas pakalpojumiem un citi pašu ieņēmumi</w:t>
            </w:r>
          </w:p>
        </w:tc>
        <w:tc>
          <w:tcPr>
            <w:tcW w:w="821" w:type="pct"/>
          </w:tcPr>
          <w:p w:rsidR="00470309" w:rsidRPr="006126B1" w:rsidRDefault="00470309" w:rsidP="00FB4FC6">
            <w:pPr>
              <w:pStyle w:val="naisf"/>
              <w:spacing w:before="0" w:after="0"/>
              <w:ind w:firstLine="0"/>
              <w:jc w:val="center"/>
              <w:rPr>
                <w:sz w:val="28"/>
                <w:szCs w:val="28"/>
              </w:rPr>
            </w:pPr>
            <w:r w:rsidRPr="006126B1">
              <w:rPr>
                <w:sz w:val="28"/>
                <w:szCs w:val="28"/>
              </w:rPr>
              <w:t>0</w:t>
            </w:r>
          </w:p>
        </w:tc>
        <w:tc>
          <w:tcPr>
            <w:tcW w:w="815"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F46414">
            <w:pPr>
              <w:pStyle w:val="naisf"/>
              <w:spacing w:before="0" w:after="0"/>
              <w:ind w:firstLine="0"/>
              <w:jc w:val="center"/>
              <w:rPr>
                <w:sz w:val="28"/>
                <w:szCs w:val="28"/>
              </w:rPr>
            </w:pPr>
            <w:r w:rsidRPr="006126B1">
              <w:rPr>
                <w:sz w:val="28"/>
                <w:szCs w:val="28"/>
              </w:rPr>
              <w:t>0</w:t>
            </w:r>
          </w:p>
        </w:tc>
      </w:tr>
      <w:tr w:rsidR="00362D93" w:rsidRPr="006126B1" w:rsidTr="00604B5A">
        <w:trPr>
          <w:jc w:val="center"/>
        </w:trPr>
        <w:tc>
          <w:tcPr>
            <w:tcW w:w="1083" w:type="pct"/>
          </w:tcPr>
          <w:p w:rsidR="00470309" w:rsidRPr="006126B1" w:rsidRDefault="00470309" w:rsidP="004A05EF">
            <w:pPr>
              <w:pStyle w:val="naisf"/>
              <w:spacing w:before="0" w:after="0"/>
              <w:ind w:firstLine="0"/>
              <w:jc w:val="left"/>
              <w:rPr>
                <w:i/>
                <w:sz w:val="28"/>
                <w:szCs w:val="28"/>
              </w:rPr>
            </w:pPr>
            <w:r w:rsidRPr="006126B1">
              <w:rPr>
                <w:sz w:val="28"/>
                <w:szCs w:val="28"/>
              </w:rPr>
              <w:t>1.2. valsts speciālais budžets</w:t>
            </w:r>
          </w:p>
        </w:tc>
        <w:tc>
          <w:tcPr>
            <w:tcW w:w="821" w:type="pct"/>
          </w:tcPr>
          <w:p w:rsidR="00470309" w:rsidRPr="006126B1" w:rsidRDefault="00470309" w:rsidP="00FB4FC6">
            <w:pPr>
              <w:pStyle w:val="naisf"/>
              <w:spacing w:before="0" w:after="0"/>
              <w:ind w:firstLine="0"/>
              <w:jc w:val="center"/>
              <w:rPr>
                <w:sz w:val="28"/>
                <w:szCs w:val="28"/>
              </w:rPr>
            </w:pPr>
            <w:r w:rsidRPr="006126B1">
              <w:rPr>
                <w:sz w:val="28"/>
                <w:szCs w:val="28"/>
              </w:rPr>
              <w:t>0</w:t>
            </w:r>
          </w:p>
        </w:tc>
        <w:tc>
          <w:tcPr>
            <w:tcW w:w="815"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604B5A">
        <w:trPr>
          <w:jc w:val="center"/>
        </w:trPr>
        <w:tc>
          <w:tcPr>
            <w:tcW w:w="1083" w:type="pct"/>
          </w:tcPr>
          <w:p w:rsidR="00470309" w:rsidRPr="006126B1" w:rsidRDefault="00470309" w:rsidP="004A05EF">
            <w:pPr>
              <w:pStyle w:val="naisf"/>
              <w:spacing w:before="0" w:after="0"/>
              <w:ind w:firstLine="0"/>
              <w:jc w:val="left"/>
              <w:rPr>
                <w:i/>
                <w:sz w:val="28"/>
                <w:szCs w:val="28"/>
              </w:rPr>
            </w:pPr>
            <w:r w:rsidRPr="006126B1">
              <w:rPr>
                <w:sz w:val="28"/>
                <w:szCs w:val="28"/>
              </w:rPr>
              <w:t>1.3. pašvaldību budžets</w:t>
            </w:r>
          </w:p>
        </w:tc>
        <w:tc>
          <w:tcPr>
            <w:tcW w:w="821" w:type="pct"/>
          </w:tcPr>
          <w:p w:rsidR="00470309" w:rsidRPr="006126B1" w:rsidRDefault="00470309" w:rsidP="00FB4FC6">
            <w:pPr>
              <w:pStyle w:val="naisf"/>
              <w:spacing w:before="0" w:after="0"/>
              <w:ind w:firstLine="0"/>
              <w:jc w:val="center"/>
              <w:rPr>
                <w:sz w:val="28"/>
                <w:szCs w:val="28"/>
              </w:rPr>
            </w:pPr>
            <w:r w:rsidRPr="006126B1">
              <w:rPr>
                <w:sz w:val="28"/>
                <w:szCs w:val="28"/>
              </w:rPr>
              <w:t>0</w:t>
            </w:r>
          </w:p>
        </w:tc>
        <w:tc>
          <w:tcPr>
            <w:tcW w:w="815"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12449A" w:rsidTr="00604B5A">
        <w:trPr>
          <w:jc w:val="center"/>
        </w:trPr>
        <w:tc>
          <w:tcPr>
            <w:tcW w:w="1083" w:type="pct"/>
          </w:tcPr>
          <w:p w:rsidR="00470309" w:rsidRPr="006126B1" w:rsidRDefault="00470309" w:rsidP="004A05EF">
            <w:pPr>
              <w:rPr>
                <w:sz w:val="28"/>
                <w:szCs w:val="28"/>
              </w:rPr>
            </w:pPr>
            <w:r w:rsidRPr="006126B1">
              <w:rPr>
                <w:sz w:val="28"/>
                <w:szCs w:val="28"/>
              </w:rPr>
              <w:t>2. Budžeta izdevumi:</w:t>
            </w:r>
          </w:p>
        </w:tc>
        <w:tc>
          <w:tcPr>
            <w:tcW w:w="821" w:type="pct"/>
          </w:tcPr>
          <w:p w:rsidR="00470309" w:rsidRPr="0012449A" w:rsidRDefault="00470309" w:rsidP="00FB4FC6">
            <w:pPr>
              <w:pStyle w:val="naisf"/>
              <w:spacing w:before="0" w:after="0"/>
              <w:ind w:firstLine="0"/>
              <w:jc w:val="center"/>
              <w:rPr>
                <w:sz w:val="28"/>
                <w:szCs w:val="28"/>
              </w:rPr>
            </w:pPr>
            <w:r w:rsidRPr="0012449A">
              <w:rPr>
                <w:sz w:val="28"/>
                <w:szCs w:val="28"/>
              </w:rPr>
              <w:t>0</w:t>
            </w:r>
          </w:p>
        </w:tc>
        <w:tc>
          <w:tcPr>
            <w:tcW w:w="815" w:type="pct"/>
          </w:tcPr>
          <w:p w:rsidR="00470309" w:rsidRPr="0012449A" w:rsidRDefault="0012449A" w:rsidP="00F21BD7">
            <w:pPr>
              <w:pStyle w:val="naisf"/>
              <w:spacing w:before="0" w:after="0"/>
              <w:ind w:firstLine="0"/>
              <w:jc w:val="center"/>
              <w:rPr>
                <w:sz w:val="26"/>
                <w:szCs w:val="26"/>
              </w:rPr>
            </w:pPr>
            <w:r>
              <w:rPr>
                <w:sz w:val="28"/>
                <w:szCs w:val="28"/>
              </w:rPr>
              <w:t>263 211</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r>
      <w:tr w:rsidR="00362D93" w:rsidRPr="006126B1" w:rsidTr="00604B5A">
        <w:trPr>
          <w:jc w:val="center"/>
        </w:trPr>
        <w:tc>
          <w:tcPr>
            <w:tcW w:w="1083" w:type="pct"/>
          </w:tcPr>
          <w:p w:rsidR="00470309" w:rsidRPr="006126B1" w:rsidRDefault="00470309" w:rsidP="004A05EF">
            <w:pPr>
              <w:rPr>
                <w:sz w:val="28"/>
                <w:szCs w:val="28"/>
              </w:rPr>
            </w:pPr>
            <w:r w:rsidRPr="006126B1">
              <w:rPr>
                <w:sz w:val="28"/>
                <w:szCs w:val="28"/>
              </w:rPr>
              <w:lastRenderedPageBreak/>
              <w:t>2.1. valsts pamatbudžets</w:t>
            </w:r>
          </w:p>
        </w:tc>
        <w:tc>
          <w:tcPr>
            <w:tcW w:w="821" w:type="pct"/>
          </w:tcPr>
          <w:p w:rsidR="00470309" w:rsidRPr="006126B1" w:rsidRDefault="00470309" w:rsidP="00FB4FC6">
            <w:pPr>
              <w:pStyle w:val="naisf"/>
              <w:spacing w:before="0" w:after="0"/>
              <w:ind w:firstLine="0"/>
              <w:jc w:val="center"/>
              <w:rPr>
                <w:sz w:val="28"/>
                <w:szCs w:val="28"/>
              </w:rPr>
            </w:pPr>
            <w:r w:rsidRPr="006126B1">
              <w:rPr>
                <w:sz w:val="28"/>
                <w:szCs w:val="28"/>
              </w:rPr>
              <w:t>0</w:t>
            </w:r>
          </w:p>
        </w:tc>
        <w:tc>
          <w:tcPr>
            <w:tcW w:w="815" w:type="pct"/>
          </w:tcPr>
          <w:p w:rsidR="00470309" w:rsidRPr="00EA797C" w:rsidRDefault="00AE0E80" w:rsidP="0012449A">
            <w:pPr>
              <w:pStyle w:val="naisf"/>
              <w:spacing w:before="0" w:after="0"/>
              <w:ind w:firstLine="0"/>
              <w:jc w:val="center"/>
              <w:rPr>
                <w:b/>
                <w:sz w:val="28"/>
                <w:szCs w:val="28"/>
              </w:rPr>
            </w:pPr>
            <w:r>
              <w:rPr>
                <w:b/>
                <w:sz w:val="28"/>
                <w:szCs w:val="28"/>
              </w:rPr>
              <w:t> </w:t>
            </w:r>
            <w:r w:rsidR="0012449A">
              <w:rPr>
                <w:sz w:val="28"/>
                <w:szCs w:val="28"/>
              </w:rPr>
              <w:t>263 211</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604B5A">
        <w:trPr>
          <w:jc w:val="center"/>
        </w:trPr>
        <w:tc>
          <w:tcPr>
            <w:tcW w:w="1083" w:type="pct"/>
          </w:tcPr>
          <w:p w:rsidR="00367C3B" w:rsidRPr="006126B1" w:rsidRDefault="00367C3B" w:rsidP="004A05EF">
            <w:pPr>
              <w:rPr>
                <w:sz w:val="28"/>
                <w:szCs w:val="28"/>
              </w:rPr>
            </w:pPr>
            <w:r w:rsidRPr="006126B1">
              <w:rPr>
                <w:sz w:val="28"/>
                <w:szCs w:val="28"/>
              </w:rPr>
              <w:t>2.2. valsts speciālais budžets</w:t>
            </w:r>
          </w:p>
        </w:tc>
        <w:tc>
          <w:tcPr>
            <w:tcW w:w="821"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815"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2D93" w:rsidRPr="006126B1" w:rsidTr="00604B5A">
        <w:trPr>
          <w:jc w:val="center"/>
        </w:trPr>
        <w:tc>
          <w:tcPr>
            <w:tcW w:w="1083" w:type="pct"/>
          </w:tcPr>
          <w:p w:rsidR="00367C3B" w:rsidRPr="006126B1" w:rsidRDefault="00367C3B" w:rsidP="004A05EF">
            <w:pPr>
              <w:rPr>
                <w:sz w:val="28"/>
                <w:szCs w:val="28"/>
              </w:rPr>
            </w:pPr>
            <w:r w:rsidRPr="006126B1">
              <w:rPr>
                <w:sz w:val="28"/>
                <w:szCs w:val="28"/>
              </w:rPr>
              <w:t xml:space="preserve">2.3. pašvaldību budžets </w:t>
            </w:r>
          </w:p>
        </w:tc>
        <w:tc>
          <w:tcPr>
            <w:tcW w:w="821"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815"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2D93" w:rsidRPr="0012449A" w:rsidTr="00604B5A">
        <w:trPr>
          <w:jc w:val="center"/>
        </w:trPr>
        <w:tc>
          <w:tcPr>
            <w:tcW w:w="1083" w:type="pct"/>
          </w:tcPr>
          <w:p w:rsidR="00470309" w:rsidRPr="006126B1" w:rsidRDefault="00470309" w:rsidP="004A05EF">
            <w:pPr>
              <w:rPr>
                <w:sz w:val="28"/>
                <w:szCs w:val="28"/>
              </w:rPr>
            </w:pPr>
            <w:r w:rsidRPr="006126B1">
              <w:rPr>
                <w:sz w:val="28"/>
                <w:szCs w:val="28"/>
              </w:rPr>
              <w:t>3. Finansiālā ietekme:</w:t>
            </w:r>
          </w:p>
        </w:tc>
        <w:tc>
          <w:tcPr>
            <w:tcW w:w="821" w:type="pct"/>
            <w:shd w:val="clear" w:color="auto" w:fill="auto"/>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815" w:type="pct"/>
          </w:tcPr>
          <w:p w:rsidR="00470309" w:rsidRPr="0012449A" w:rsidRDefault="002A2E2D" w:rsidP="00EA797C">
            <w:pPr>
              <w:pStyle w:val="naisf"/>
              <w:spacing w:before="0" w:after="0"/>
              <w:ind w:firstLine="0"/>
              <w:jc w:val="center"/>
              <w:rPr>
                <w:sz w:val="28"/>
                <w:szCs w:val="28"/>
              </w:rPr>
            </w:pPr>
            <w:r w:rsidRPr="0012449A">
              <w:rPr>
                <w:sz w:val="26"/>
                <w:szCs w:val="26"/>
              </w:rPr>
              <w:t xml:space="preserve">- </w:t>
            </w:r>
            <w:r w:rsidR="0012449A">
              <w:rPr>
                <w:sz w:val="28"/>
                <w:szCs w:val="28"/>
              </w:rPr>
              <w:t>263 211</w:t>
            </w:r>
          </w:p>
          <w:p w:rsidR="00AE0E80" w:rsidRPr="0012449A" w:rsidRDefault="00AE0E80" w:rsidP="00AE0E80">
            <w:pPr>
              <w:pStyle w:val="naisf"/>
              <w:spacing w:before="0" w:after="0"/>
              <w:ind w:firstLine="0"/>
              <w:jc w:val="center"/>
              <w:rPr>
                <w:sz w:val="26"/>
                <w:szCs w:val="26"/>
              </w:rPr>
            </w:pP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c>
          <w:tcPr>
            <w:tcW w:w="760" w:type="pct"/>
          </w:tcPr>
          <w:p w:rsidR="00470309" w:rsidRPr="0012449A" w:rsidRDefault="00470309" w:rsidP="009E5705">
            <w:pPr>
              <w:pStyle w:val="naisf"/>
              <w:spacing w:before="0" w:after="0"/>
              <w:ind w:firstLine="0"/>
              <w:jc w:val="center"/>
              <w:rPr>
                <w:sz w:val="28"/>
                <w:szCs w:val="28"/>
              </w:rPr>
            </w:pPr>
            <w:r w:rsidRPr="0012449A">
              <w:rPr>
                <w:sz w:val="28"/>
                <w:szCs w:val="28"/>
              </w:rPr>
              <w:t>0</w:t>
            </w:r>
          </w:p>
        </w:tc>
      </w:tr>
      <w:tr w:rsidR="00362D93" w:rsidRPr="006126B1" w:rsidTr="00604B5A">
        <w:trPr>
          <w:jc w:val="center"/>
        </w:trPr>
        <w:tc>
          <w:tcPr>
            <w:tcW w:w="1083" w:type="pct"/>
          </w:tcPr>
          <w:p w:rsidR="00470309" w:rsidRPr="006126B1" w:rsidRDefault="00470309" w:rsidP="004A05EF">
            <w:pPr>
              <w:rPr>
                <w:sz w:val="28"/>
                <w:szCs w:val="28"/>
              </w:rPr>
            </w:pPr>
            <w:r w:rsidRPr="006126B1">
              <w:rPr>
                <w:sz w:val="28"/>
                <w:szCs w:val="28"/>
              </w:rPr>
              <w:t>3.1. valsts pamatbudžets</w:t>
            </w:r>
          </w:p>
        </w:tc>
        <w:tc>
          <w:tcPr>
            <w:tcW w:w="821" w:type="pct"/>
            <w:shd w:val="clear" w:color="auto" w:fill="auto"/>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815" w:type="pct"/>
          </w:tcPr>
          <w:p w:rsidR="00EA797C" w:rsidRPr="00EA797C" w:rsidRDefault="00EA797C" w:rsidP="00EA797C">
            <w:pPr>
              <w:pStyle w:val="naisf"/>
              <w:spacing w:before="0" w:after="0"/>
              <w:ind w:firstLine="0"/>
              <w:jc w:val="center"/>
              <w:rPr>
                <w:b/>
                <w:sz w:val="28"/>
                <w:szCs w:val="28"/>
              </w:rPr>
            </w:pPr>
            <w:r w:rsidRPr="00EA797C">
              <w:rPr>
                <w:b/>
                <w:sz w:val="26"/>
                <w:szCs w:val="26"/>
              </w:rPr>
              <w:t xml:space="preserve">- </w:t>
            </w:r>
            <w:r w:rsidR="0012449A">
              <w:rPr>
                <w:sz w:val="28"/>
                <w:szCs w:val="28"/>
              </w:rPr>
              <w:t>263 211</w:t>
            </w:r>
          </w:p>
          <w:p w:rsidR="00AE0E80" w:rsidRPr="006126B1" w:rsidRDefault="00AE0E80" w:rsidP="00AE0E80">
            <w:pPr>
              <w:pStyle w:val="naisf"/>
              <w:spacing w:before="0" w:after="0"/>
              <w:ind w:firstLine="0"/>
              <w:jc w:val="center"/>
              <w:rPr>
                <w:sz w:val="26"/>
                <w:szCs w:val="26"/>
              </w:rPr>
            </w:pP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604B5A">
        <w:trPr>
          <w:jc w:val="center"/>
        </w:trPr>
        <w:tc>
          <w:tcPr>
            <w:tcW w:w="1083" w:type="pct"/>
          </w:tcPr>
          <w:p w:rsidR="00470309" w:rsidRPr="006126B1" w:rsidRDefault="00470309" w:rsidP="004A05EF">
            <w:pPr>
              <w:rPr>
                <w:sz w:val="28"/>
                <w:szCs w:val="28"/>
              </w:rPr>
            </w:pPr>
            <w:r w:rsidRPr="006126B1">
              <w:rPr>
                <w:sz w:val="28"/>
                <w:szCs w:val="28"/>
              </w:rPr>
              <w:t>3.2. speciālais budžets</w:t>
            </w:r>
          </w:p>
        </w:tc>
        <w:tc>
          <w:tcPr>
            <w:tcW w:w="821" w:type="pct"/>
            <w:shd w:val="clear" w:color="auto" w:fill="auto"/>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815" w:type="pct"/>
          </w:tcPr>
          <w:p w:rsidR="00470309" w:rsidRPr="006126B1" w:rsidRDefault="00470309" w:rsidP="00FB4FC6">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604B5A">
        <w:trPr>
          <w:jc w:val="center"/>
        </w:trPr>
        <w:tc>
          <w:tcPr>
            <w:tcW w:w="1083" w:type="pct"/>
          </w:tcPr>
          <w:p w:rsidR="00470309" w:rsidRPr="006126B1" w:rsidRDefault="00470309" w:rsidP="004A05EF">
            <w:pPr>
              <w:rPr>
                <w:sz w:val="28"/>
                <w:szCs w:val="28"/>
              </w:rPr>
            </w:pPr>
            <w:r w:rsidRPr="006126B1">
              <w:rPr>
                <w:sz w:val="28"/>
                <w:szCs w:val="28"/>
              </w:rPr>
              <w:t xml:space="preserve">3.3. pašvaldību budžets </w:t>
            </w:r>
          </w:p>
        </w:tc>
        <w:tc>
          <w:tcPr>
            <w:tcW w:w="821" w:type="pct"/>
            <w:shd w:val="clear" w:color="auto" w:fill="auto"/>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815" w:type="pct"/>
          </w:tcPr>
          <w:p w:rsidR="00470309" w:rsidRPr="006126B1" w:rsidRDefault="00470309" w:rsidP="00FB4FC6">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604B5A">
        <w:trPr>
          <w:jc w:val="center"/>
        </w:trPr>
        <w:tc>
          <w:tcPr>
            <w:tcW w:w="1083" w:type="pct"/>
          </w:tcPr>
          <w:p w:rsidR="00470309" w:rsidRPr="006126B1" w:rsidRDefault="00470309" w:rsidP="004A05EF">
            <w:pPr>
              <w:rPr>
                <w:sz w:val="28"/>
                <w:szCs w:val="28"/>
              </w:rPr>
            </w:pPr>
            <w:r w:rsidRPr="006126B1">
              <w:rPr>
                <w:sz w:val="28"/>
                <w:szCs w:val="28"/>
              </w:rPr>
              <w:t>4. Finanšu līdzekļi papildu izde</w:t>
            </w:r>
            <w:r w:rsidRPr="006126B1">
              <w:rPr>
                <w:sz w:val="28"/>
                <w:szCs w:val="28"/>
              </w:rPr>
              <w:softHyphen/>
              <w:t>vumu finansēšanai (kompensējošu izdevumu samazinājumu norāda ar "+" zīmi)</w:t>
            </w:r>
          </w:p>
        </w:tc>
        <w:tc>
          <w:tcPr>
            <w:tcW w:w="821" w:type="pct"/>
          </w:tcPr>
          <w:p w:rsidR="00470309" w:rsidRPr="006126B1" w:rsidRDefault="00470309" w:rsidP="00A20419">
            <w:pPr>
              <w:pStyle w:val="naisf"/>
              <w:spacing w:before="0" w:after="0"/>
              <w:ind w:firstLine="0"/>
              <w:jc w:val="center"/>
              <w:rPr>
                <w:i/>
                <w:sz w:val="28"/>
                <w:szCs w:val="28"/>
              </w:rPr>
            </w:pPr>
            <w:r w:rsidRPr="006126B1">
              <w:rPr>
                <w:sz w:val="28"/>
                <w:szCs w:val="28"/>
              </w:rPr>
              <w:t>X</w:t>
            </w:r>
          </w:p>
        </w:tc>
        <w:tc>
          <w:tcPr>
            <w:tcW w:w="815" w:type="pct"/>
          </w:tcPr>
          <w:p w:rsidR="00AE0E80" w:rsidRPr="006126B1" w:rsidRDefault="00AE0E80" w:rsidP="00F21BD7">
            <w:pPr>
              <w:pStyle w:val="naisf"/>
              <w:spacing w:before="0" w:after="0"/>
              <w:ind w:firstLine="0"/>
              <w:jc w:val="center"/>
              <w:rPr>
                <w:i/>
                <w:sz w:val="26"/>
                <w:szCs w:val="26"/>
              </w:rPr>
            </w:pP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c>
          <w:tcPr>
            <w:tcW w:w="760" w:type="pct"/>
          </w:tcPr>
          <w:p w:rsidR="00470309" w:rsidRPr="006126B1" w:rsidRDefault="00470309" w:rsidP="009E5705">
            <w:pPr>
              <w:pStyle w:val="naisf"/>
              <w:spacing w:before="0" w:after="0"/>
              <w:ind w:firstLine="0"/>
              <w:jc w:val="center"/>
              <w:rPr>
                <w:sz w:val="28"/>
                <w:szCs w:val="28"/>
              </w:rPr>
            </w:pPr>
            <w:r w:rsidRPr="006126B1">
              <w:rPr>
                <w:sz w:val="28"/>
                <w:szCs w:val="28"/>
              </w:rPr>
              <w:t>0</w:t>
            </w:r>
          </w:p>
        </w:tc>
      </w:tr>
      <w:tr w:rsidR="00362D93" w:rsidRPr="006126B1" w:rsidTr="00604B5A">
        <w:trPr>
          <w:jc w:val="center"/>
        </w:trPr>
        <w:tc>
          <w:tcPr>
            <w:tcW w:w="1083" w:type="pct"/>
          </w:tcPr>
          <w:p w:rsidR="00367C3B" w:rsidRPr="006126B1" w:rsidRDefault="00367C3B" w:rsidP="004A05EF">
            <w:pPr>
              <w:rPr>
                <w:sz w:val="28"/>
                <w:szCs w:val="28"/>
              </w:rPr>
            </w:pPr>
            <w:r w:rsidRPr="006126B1">
              <w:rPr>
                <w:sz w:val="28"/>
                <w:szCs w:val="28"/>
              </w:rPr>
              <w:t>5. Precizēta finansiālā ietekme:</w:t>
            </w:r>
          </w:p>
        </w:tc>
        <w:tc>
          <w:tcPr>
            <w:tcW w:w="821" w:type="pct"/>
            <w:vMerge w:val="restart"/>
          </w:tcPr>
          <w:p w:rsidR="00367C3B" w:rsidRPr="006126B1" w:rsidRDefault="00367C3B" w:rsidP="00A20419">
            <w:pPr>
              <w:pStyle w:val="naisf"/>
              <w:spacing w:before="0" w:after="0"/>
              <w:ind w:firstLine="0"/>
              <w:jc w:val="center"/>
              <w:rPr>
                <w:i/>
                <w:sz w:val="28"/>
                <w:szCs w:val="28"/>
              </w:rPr>
            </w:pPr>
            <w:r w:rsidRPr="006126B1">
              <w:rPr>
                <w:sz w:val="28"/>
                <w:szCs w:val="28"/>
              </w:rPr>
              <w:t>X</w:t>
            </w:r>
          </w:p>
        </w:tc>
        <w:tc>
          <w:tcPr>
            <w:tcW w:w="815"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r>
      <w:tr w:rsidR="00362D93" w:rsidRPr="006126B1" w:rsidTr="00604B5A">
        <w:trPr>
          <w:jc w:val="center"/>
        </w:trPr>
        <w:tc>
          <w:tcPr>
            <w:tcW w:w="1083" w:type="pct"/>
          </w:tcPr>
          <w:p w:rsidR="00367C3B" w:rsidRPr="006126B1" w:rsidRDefault="00367C3B" w:rsidP="004A05EF">
            <w:pPr>
              <w:rPr>
                <w:sz w:val="28"/>
                <w:szCs w:val="28"/>
              </w:rPr>
            </w:pPr>
            <w:r w:rsidRPr="006126B1">
              <w:rPr>
                <w:sz w:val="28"/>
                <w:szCs w:val="28"/>
              </w:rPr>
              <w:t>5.1. valsts pamatbudžets</w:t>
            </w:r>
          </w:p>
        </w:tc>
        <w:tc>
          <w:tcPr>
            <w:tcW w:w="821" w:type="pct"/>
            <w:vMerge/>
            <w:vAlign w:val="center"/>
          </w:tcPr>
          <w:p w:rsidR="00367C3B" w:rsidRPr="006126B1" w:rsidRDefault="00367C3B" w:rsidP="00A20419">
            <w:pPr>
              <w:pStyle w:val="naisf"/>
              <w:spacing w:before="0" w:after="0"/>
              <w:ind w:firstLine="0"/>
              <w:jc w:val="center"/>
              <w:rPr>
                <w:i/>
                <w:sz w:val="28"/>
                <w:szCs w:val="28"/>
              </w:rPr>
            </w:pPr>
          </w:p>
        </w:tc>
        <w:tc>
          <w:tcPr>
            <w:tcW w:w="815"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c>
          <w:tcPr>
            <w:tcW w:w="760" w:type="pct"/>
          </w:tcPr>
          <w:p w:rsidR="00367C3B" w:rsidRPr="006126B1" w:rsidRDefault="00367C3B" w:rsidP="009E5705">
            <w:pPr>
              <w:pStyle w:val="naisf"/>
              <w:spacing w:before="0" w:after="0"/>
              <w:ind w:firstLine="0"/>
              <w:jc w:val="center"/>
              <w:rPr>
                <w:sz w:val="28"/>
                <w:szCs w:val="28"/>
              </w:rPr>
            </w:pPr>
            <w:r w:rsidRPr="006126B1">
              <w:rPr>
                <w:sz w:val="28"/>
                <w:szCs w:val="28"/>
              </w:rPr>
              <w:t>0</w:t>
            </w:r>
          </w:p>
        </w:tc>
      </w:tr>
      <w:tr w:rsidR="00362D93" w:rsidRPr="006126B1" w:rsidTr="00604B5A">
        <w:trPr>
          <w:jc w:val="center"/>
        </w:trPr>
        <w:tc>
          <w:tcPr>
            <w:tcW w:w="1083" w:type="pct"/>
            <w:tcBorders>
              <w:bottom w:val="single" w:sz="4" w:space="0" w:color="auto"/>
            </w:tcBorders>
          </w:tcPr>
          <w:p w:rsidR="00367C3B" w:rsidRPr="006126B1" w:rsidRDefault="00367C3B" w:rsidP="004A05EF">
            <w:pPr>
              <w:rPr>
                <w:sz w:val="28"/>
                <w:szCs w:val="28"/>
              </w:rPr>
            </w:pPr>
            <w:r w:rsidRPr="006126B1">
              <w:rPr>
                <w:sz w:val="28"/>
                <w:szCs w:val="28"/>
              </w:rPr>
              <w:t>5.2. speciālais budžets</w:t>
            </w:r>
          </w:p>
        </w:tc>
        <w:tc>
          <w:tcPr>
            <w:tcW w:w="821" w:type="pct"/>
            <w:vMerge/>
            <w:tcBorders>
              <w:bottom w:val="single" w:sz="4" w:space="0" w:color="auto"/>
            </w:tcBorders>
            <w:vAlign w:val="center"/>
          </w:tcPr>
          <w:p w:rsidR="00367C3B" w:rsidRPr="006126B1" w:rsidRDefault="00367C3B" w:rsidP="00A20419">
            <w:pPr>
              <w:pStyle w:val="naisf"/>
              <w:spacing w:before="0" w:after="0"/>
              <w:ind w:firstLine="0"/>
              <w:jc w:val="center"/>
              <w:rPr>
                <w:i/>
                <w:sz w:val="28"/>
                <w:szCs w:val="28"/>
              </w:rPr>
            </w:pPr>
          </w:p>
        </w:tc>
        <w:tc>
          <w:tcPr>
            <w:tcW w:w="815"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bottom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2D93" w:rsidRPr="006126B1" w:rsidTr="00604B5A">
        <w:trPr>
          <w:jc w:val="center"/>
        </w:trPr>
        <w:tc>
          <w:tcPr>
            <w:tcW w:w="1083"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t xml:space="preserve">5.3. pašvaldību budžets </w:t>
            </w:r>
          </w:p>
        </w:tc>
        <w:tc>
          <w:tcPr>
            <w:tcW w:w="821" w:type="pct"/>
            <w:vMerge/>
            <w:tcBorders>
              <w:top w:val="single" w:sz="4" w:space="0" w:color="auto"/>
              <w:left w:val="single" w:sz="4" w:space="0" w:color="auto"/>
              <w:bottom w:val="single" w:sz="4" w:space="0" w:color="auto"/>
              <w:right w:val="single" w:sz="4" w:space="0" w:color="auto"/>
            </w:tcBorders>
            <w:vAlign w:val="center"/>
          </w:tcPr>
          <w:p w:rsidR="00367C3B" w:rsidRPr="006126B1" w:rsidRDefault="00367C3B" w:rsidP="00A20419">
            <w:pPr>
              <w:pStyle w:val="naisf"/>
              <w:spacing w:before="0" w:after="0"/>
              <w:ind w:firstLine="0"/>
              <w:jc w:val="center"/>
              <w:rPr>
                <w:i/>
                <w:sz w:val="28"/>
                <w:szCs w:val="28"/>
              </w:rPr>
            </w:pPr>
          </w:p>
        </w:tc>
        <w:tc>
          <w:tcPr>
            <w:tcW w:w="815"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c>
          <w:tcPr>
            <w:tcW w:w="760" w:type="pct"/>
            <w:tcBorders>
              <w:top w:val="single" w:sz="4" w:space="0" w:color="auto"/>
              <w:left w:val="single" w:sz="4" w:space="0" w:color="auto"/>
              <w:bottom w:val="single" w:sz="4" w:space="0" w:color="auto"/>
              <w:right w:val="single" w:sz="4" w:space="0" w:color="auto"/>
            </w:tcBorders>
          </w:tcPr>
          <w:p w:rsidR="00367C3B" w:rsidRPr="006126B1" w:rsidRDefault="009E5705" w:rsidP="009E5705">
            <w:pPr>
              <w:pStyle w:val="naisf"/>
              <w:spacing w:before="0" w:after="0"/>
              <w:ind w:firstLine="0"/>
              <w:jc w:val="center"/>
              <w:rPr>
                <w:sz w:val="28"/>
                <w:szCs w:val="28"/>
              </w:rPr>
            </w:pPr>
            <w:r w:rsidRPr="006126B1">
              <w:rPr>
                <w:sz w:val="28"/>
                <w:szCs w:val="28"/>
              </w:rPr>
              <w:t>0</w:t>
            </w:r>
          </w:p>
        </w:tc>
      </w:tr>
      <w:tr w:rsidR="00367C3B" w:rsidRPr="006126B1" w:rsidTr="00604B5A">
        <w:trPr>
          <w:trHeight w:val="707"/>
          <w:jc w:val="center"/>
        </w:trPr>
        <w:tc>
          <w:tcPr>
            <w:tcW w:w="1083"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t>6. Detalizēts ieņēmumu un izdevu</w:t>
            </w:r>
            <w:r w:rsidRPr="006126B1">
              <w:rPr>
                <w:sz w:val="28"/>
                <w:szCs w:val="28"/>
              </w:rPr>
              <w:softHyphen/>
              <w:t xml:space="preserve">mu aprēķins (ja nepieciešams, detalizētu ieņēmumu un izdevumu aprēķinu var </w:t>
            </w:r>
            <w:r w:rsidRPr="006126B1">
              <w:rPr>
                <w:sz w:val="28"/>
                <w:szCs w:val="28"/>
              </w:rPr>
              <w:lastRenderedPageBreak/>
              <w:t>pievienot anotācijas pielikumā):</w:t>
            </w:r>
          </w:p>
        </w:tc>
        <w:tc>
          <w:tcPr>
            <w:tcW w:w="3917" w:type="pct"/>
            <w:gridSpan w:val="5"/>
            <w:vMerge w:val="restart"/>
            <w:tcBorders>
              <w:top w:val="single" w:sz="4" w:space="0" w:color="auto"/>
              <w:left w:val="single" w:sz="4" w:space="0" w:color="auto"/>
              <w:bottom w:val="single" w:sz="4" w:space="0" w:color="auto"/>
              <w:right w:val="single" w:sz="4" w:space="0" w:color="auto"/>
            </w:tcBorders>
          </w:tcPr>
          <w:p w:rsidR="00991329" w:rsidRPr="00604B5A" w:rsidRDefault="00923847" w:rsidP="00604B5A">
            <w:pPr>
              <w:pStyle w:val="tv213"/>
              <w:jc w:val="both"/>
              <w:rPr>
                <w:sz w:val="28"/>
                <w:szCs w:val="28"/>
              </w:rPr>
            </w:pPr>
            <w:r w:rsidRPr="002228BE">
              <w:rPr>
                <w:bCs/>
                <w:sz w:val="28"/>
                <w:szCs w:val="28"/>
              </w:rPr>
              <w:lastRenderedPageBreak/>
              <w:t>Detalizēti izdevumu aprēķini</w:t>
            </w:r>
            <w:r w:rsidRPr="002228BE">
              <w:rPr>
                <w:sz w:val="28"/>
                <w:szCs w:val="28"/>
              </w:rPr>
              <w:t xml:space="preserve"> un p</w:t>
            </w:r>
            <w:r w:rsidR="00E2585A" w:rsidRPr="002228BE">
              <w:rPr>
                <w:sz w:val="28"/>
                <w:szCs w:val="28"/>
              </w:rPr>
              <w:t>apildu</w:t>
            </w:r>
            <w:r w:rsidR="008D0936" w:rsidRPr="002228BE">
              <w:rPr>
                <w:sz w:val="28"/>
                <w:szCs w:val="28"/>
              </w:rPr>
              <w:t xml:space="preserve"> informācija </w:t>
            </w:r>
            <w:r w:rsidR="00E2585A" w:rsidRPr="002228BE">
              <w:rPr>
                <w:sz w:val="28"/>
                <w:szCs w:val="28"/>
              </w:rPr>
              <w:t xml:space="preserve">sniegta </w:t>
            </w:r>
            <w:r w:rsidR="00604B5A">
              <w:rPr>
                <w:sz w:val="28"/>
                <w:szCs w:val="28"/>
              </w:rPr>
              <w:t xml:space="preserve">Projekta </w:t>
            </w:r>
            <w:r w:rsidR="00604B5A" w:rsidRPr="00604B5A">
              <w:rPr>
                <w:sz w:val="28"/>
                <w:szCs w:val="28"/>
              </w:rPr>
              <w:t>sākotnējās ietekmes novērtējuma ziņojum</w:t>
            </w:r>
            <w:r w:rsidR="00604B5A">
              <w:rPr>
                <w:sz w:val="28"/>
                <w:szCs w:val="28"/>
              </w:rPr>
              <w:t>a</w:t>
            </w:r>
            <w:r w:rsidR="00604B5A" w:rsidRPr="00604B5A">
              <w:rPr>
                <w:sz w:val="28"/>
                <w:szCs w:val="28"/>
              </w:rPr>
              <w:t xml:space="preserve"> (anotācija</w:t>
            </w:r>
            <w:r w:rsidR="00604B5A">
              <w:rPr>
                <w:sz w:val="28"/>
                <w:szCs w:val="28"/>
              </w:rPr>
              <w:t>s</w:t>
            </w:r>
            <w:r w:rsidR="00604B5A" w:rsidRPr="00604B5A">
              <w:rPr>
                <w:sz w:val="28"/>
                <w:szCs w:val="28"/>
              </w:rPr>
              <w:t>)</w:t>
            </w:r>
            <w:r w:rsidR="00604B5A">
              <w:rPr>
                <w:sz w:val="28"/>
                <w:szCs w:val="28"/>
              </w:rPr>
              <w:t xml:space="preserve"> 1. un 2.pielikumā.</w:t>
            </w:r>
          </w:p>
        </w:tc>
      </w:tr>
      <w:tr w:rsidR="00367C3B" w:rsidRPr="006126B1" w:rsidTr="00604B5A">
        <w:trPr>
          <w:jc w:val="center"/>
        </w:trPr>
        <w:tc>
          <w:tcPr>
            <w:tcW w:w="1083"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lastRenderedPageBreak/>
              <w:t>6.1. detalizēts ieņēmumu aprēķins</w:t>
            </w:r>
          </w:p>
        </w:tc>
        <w:tc>
          <w:tcPr>
            <w:tcW w:w="3917" w:type="pct"/>
            <w:gridSpan w:val="5"/>
            <w:vMerge/>
            <w:tcBorders>
              <w:top w:val="single" w:sz="4" w:space="0" w:color="auto"/>
              <w:left w:val="single" w:sz="4" w:space="0" w:color="auto"/>
              <w:bottom w:val="single" w:sz="4" w:space="0" w:color="auto"/>
              <w:right w:val="single" w:sz="4" w:space="0" w:color="auto"/>
            </w:tcBorders>
          </w:tcPr>
          <w:p w:rsidR="00367C3B" w:rsidRPr="006126B1" w:rsidRDefault="00367C3B" w:rsidP="00A20419">
            <w:pPr>
              <w:pStyle w:val="naisf"/>
              <w:spacing w:before="0" w:after="0"/>
              <w:ind w:firstLine="0"/>
              <w:rPr>
                <w:b/>
                <w:i/>
                <w:sz w:val="28"/>
                <w:szCs w:val="28"/>
              </w:rPr>
            </w:pPr>
          </w:p>
        </w:tc>
      </w:tr>
      <w:tr w:rsidR="00367C3B" w:rsidRPr="006126B1" w:rsidTr="00604B5A">
        <w:trPr>
          <w:jc w:val="center"/>
        </w:trPr>
        <w:tc>
          <w:tcPr>
            <w:tcW w:w="1083"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rPr>
                <w:sz w:val="28"/>
                <w:szCs w:val="28"/>
              </w:rPr>
            </w:pPr>
            <w:r w:rsidRPr="006126B1">
              <w:rPr>
                <w:sz w:val="28"/>
                <w:szCs w:val="28"/>
              </w:rPr>
              <w:t>6.2. detalizēts izdevumu aprēķins</w:t>
            </w:r>
          </w:p>
        </w:tc>
        <w:tc>
          <w:tcPr>
            <w:tcW w:w="3917" w:type="pct"/>
            <w:gridSpan w:val="5"/>
            <w:vMerge/>
            <w:tcBorders>
              <w:top w:val="single" w:sz="4" w:space="0" w:color="auto"/>
              <w:left w:val="single" w:sz="4" w:space="0" w:color="auto"/>
              <w:bottom w:val="single" w:sz="4" w:space="0" w:color="auto"/>
              <w:right w:val="single" w:sz="4" w:space="0" w:color="auto"/>
            </w:tcBorders>
          </w:tcPr>
          <w:p w:rsidR="00367C3B" w:rsidRPr="006126B1" w:rsidRDefault="00367C3B" w:rsidP="00A20419">
            <w:pPr>
              <w:pStyle w:val="naisf"/>
              <w:spacing w:before="0" w:after="0"/>
              <w:ind w:firstLine="0"/>
              <w:rPr>
                <w:b/>
                <w:i/>
                <w:sz w:val="28"/>
                <w:szCs w:val="28"/>
              </w:rPr>
            </w:pPr>
          </w:p>
        </w:tc>
      </w:tr>
      <w:tr w:rsidR="00367C3B" w:rsidRPr="006126B1" w:rsidTr="00604B5A">
        <w:trPr>
          <w:trHeight w:val="1574"/>
          <w:jc w:val="center"/>
        </w:trPr>
        <w:tc>
          <w:tcPr>
            <w:tcW w:w="1083" w:type="pct"/>
            <w:tcBorders>
              <w:top w:val="single" w:sz="4" w:space="0" w:color="auto"/>
              <w:left w:val="single" w:sz="4" w:space="0" w:color="auto"/>
              <w:bottom w:val="single" w:sz="4" w:space="0" w:color="auto"/>
              <w:right w:val="single" w:sz="4" w:space="0" w:color="auto"/>
            </w:tcBorders>
          </w:tcPr>
          <w:p w:rsidR="00367C3B" w:rsidRPr="006126B1" w:rsidRDefault="00367C3B" w:rsidP="004A05EF">
            <w:pPr>
              <w:tabs>
                <w:tab w:val="left" w:pos="5940"/>
              </w:tabs>
              <w:rPr>
                <w:sz w:val="28"/>
                <w:szCs w:val="28"/>
              </w:rPr>
            </w:pPr>
            <w:r w:rsidRPr="006126B1">
              <w:rPr>
                <w:sz w:val="28"/>
                <w:szCs w:val="28"/>
              </w:rPr>
              <w:t>7. Cita informācija</w:t>
            </w:r>
          </w:p>
        </w:tc>
        <w:tc>
          <w:tcPr>
            <w:tcW w:w="3917" w:type="pct"/>
            <w:gridSpan w:val="5"/>
            <w:tcBorders>
              <w:top w:val="single" w:sz="4" w:space="0" w:color="auto"/>
              <w:left w:val="single" w:sz="4" w:space="0" w:color="auto"/>
              <w:bottom w:val="single" w:sz="4" w:space="0" w:color="auto"/>
              <w:right w:val="single" w:sz="4" w:space="0" w:color="auto"/>
            </w:tcBorders>
          </w:tcPr>
          <w:p w:rsidR="00FC18A3" w:rsidRPr="006126B1" w:rsidRDefault="00CA3AD3" w:rsidP="00E2585A">
            <w:pPr>
              <w:pStyle w:val="ParastaisWeb"/>
              <w:tabs>
                <w:tab w:val="left" w:pos="223"/>
              </w:tabs>
              <w:spacing w:before="0" w:beforeAutospacing="0" w:after="120" w:afterAutospacing="0"/>
              <w:jc w:val="both"/>
            </w:pPr>
            <w:r w:rsidRPr="006126B1">
              <w:rPr>
                <w:sz w:val="28"/>
                <w:szCs w:val="28"/>
              </w:rPr>
              <w:t>Izdevumus sedz no valsts budžeta programmas 02.00.00 „Līdzekļi neparedzētiem gadījumiem” atbilstoši Ministru kabineta 2009.gada 22.decembra noteikumiem Nr.1644 „Kārtība, kādā pieprasa un izlieto budžeta programmas „Līdzekļi neparedzētiem gadījumiem” līdzekļus”.</w:t>
            </w:r>
          </w:p>
        </w:tc>
      </w:tr>
    </w:tbl>
    <w:p w:rsidR="003A1BB5" w:rsidRDefault="003A1BB5" w:rsidP="00F00BC9">
      <w:pPr>
        <w:spacing w:before="75" w:after="75"/>
        <w:outlineLvl w:val="0"/>
        <w:rPr>
          <w:i/>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34"/>
        <w:gridCol w:w="3647"/>
        <w:gridCol w:w="4846"/>
      </w:tblGrid>
      <w:tr w:rsidR="0023436E" w:rsidRPr="006126B1" w:rsidTr="002C0D1E">
        <w:tc>
          <w:tcPr>
            <w:tcW w:w="5000" w:type="pct"/>
            <w:gridSpan w:val="3"/>
            <w:tcBorders>
              <w:top w:val="single" w:sz="4" w:space="0" w:color="auto"/>
            </w:tcBorders>
          </w:tcPr>
          <w:p w:rsidR="0023436E" w:rsidRPr="006126B1" w:rsidRDefault="0023436E" w:rsidP="006C418A">
            <w:pPr>
              <w:pStyle w:val="naisnod"/>
              <w:spacing w:before="0" w:after="0"/>
              <w:ind w:left="-170" w:right="57"/>
              <w:rPr>
                <w:sz w:val="28"/>
                <w:szCs w:val="28"/>
              </w:rPr>
            </w:pPr>
            <w:r w:rsidRPr="006126B1">
              <w:rPr>
                <w:sz w:val="28"/>
                <w:szCs w:val="28"/>
              </w:rPr>
              <w:t>VII</w:t>
            </w:r>
            <w:r w:rsidR="000941C5" w:rsidRPr="006126B1">
              <w:rPr>
                <w:sz w:val="28"/>
                <w:szCs w:val="28"/>
              </w:rPr>
              <w:t>.</w:t>
            </w:r>
            <w:r w:rsidRPr="006126B1">
              <w:rPr>
                <w:sz w:val="28"/>
                <w:szCs w:val="28"/>
              </w:rPr>
              <w:t xml:space="preserve"> Tiesību akta projekta izpildes nodrošināšana un tās ietekme uz institūcijām</w:t>
            </w:r>
          </w:p>
        </w:tc>
      </w:tr>
      <w:tr w:rsidR="00470309" w:rsidRPr="006126B1" w:rsidTr="004B7999">
        <w:trPr>
          <w:trHeight w:val="427"/>
        </w:trPr>
        <w:tc>
          <w:tcPr>
            <w:tcW w:w="347" w:type="pct"/>
          </w:tcPr>
          <w:p w:rsidR="00470309" w:rsidRPr="006126B1" w:rsidRDefault="00470309" w:rsidP="00E37EAB">
            <w:pPr>
              <w:pStyle w:val="naisnod"/>
              <w:spacing w:before="0" w:after="0"/>
              <w:ind w:left="57" w:right="57"/>
              <w:rPr>
                <w:b w:val="0"/>
                <w:sz w:val="28"/>
                <w:szCs w:val="28"/>
              </w:rPr>
            </w:pPr>
            <w:r w:rsidRPr="006126B1">
              <w:rPr>
                <w:b w:val="0"/>
                <w:sz w:val="28"/>
                <w:szCs w:val="28"/>
              </w:rPr>
              <w:t>1.</w:t>
            </w:r>
          </w:p>
        </w:tc>
        <w:tc>
          <w:tcPr>
            <w:tcW w:w="1998" w:type="pct"/>
          </w:tcPr>
          <w:p w:rsidR="00470309" w:rsidRPr="006126B1" w:rsidRDefault="00470309" w:rsidP="007D099D">
            <w:pPr>
              <w:pStyle w:val="naisf"/>
              <w:spacing w:before="0" w:after="0"/>
              <w:ind w:left="57" w:right="57" w:firstLine="0"/>
              <w:jc w:val="left"/>
              <w:rPr>
                <w:sz w:val="28"/>
                <w:szCs w:val="28"/>
              </w:rPr>
            </w:pPr>
            <w:r w:rsidRPr="006126B1">
              <w:rPr>
                <w:sz w:val="28"/>
                <w:szCs w:val="28"/>
              </w:rPr>
              <w:t xml:space="preserve">Projekta izpildē iesaistītās institūcijas </w:t>
            </w:r>
          </w:p>
        </w:tc>
        <w:tc>
          <w:tcPr>
            <w:tcW w:w="2655" w:type="pct"/>
          </w:tcPr>
          <w:p w:rsidR="00470309" w:rsidRPr="006126B1" w:rsidRDefault="00DA7D07" w:rsidP="000938DD">
            <w:pPr>
              <w:spacing w:before="75" w:after="75"/>
              <w:jc w:val="both"/>
              <w:rPr>
                <w:sz w:val="28"/>
                <w:szCs w:val="28"/>
              </w:rPr>
            </w:pPr>
            <w:r>
              <w:rPr>
                <w:color w:val="000000"/>
                <w:sz w:val="28"/>
                <w:szCs w:val="28"/>
              </w:rPr>
              <w:t xml:space="preserve"> </w:t>
            </w:r>
            <w:r w:rsidR="00E2585A" w:rsidRPr="006126B1">
              <w:rPr>
                <w:color w:val="000000"/>
                <w:sz w:val="28"/>
                <w:szCs w:val="28"/>
              </w:rPr>
              <w:t xml:space="preserve">Kultūras ministrija, </w:t>
            </w:r>
            <w:r w:rsidR="00C7244C" w:rsidRPr="006126B1">
              <w:rPr>
                <w:color w:val="000000"/>
                <w:sz w:val="28"/>
                <w:szCs w:val="28"/>
              </w:rPr>
              <w:t>Finanšu ministrija.</w:t>
            </w:r>
          </w:p>
        </w:tc>
      </w:tr>
      <w:tr w:rsidR="00470309" w:rsidRPr="006126B1" w:rsidTr="004B7999">
        <w:trPr>
          <w:trHeight w:val="463"/>
        </w:trPr>
        <w:tc>
          <w:tcPr>
            <w:tcW w:w="347" w:type="pct"/>
          </w:tcPr>
          <w:p w:rsidR="00470309" w:rsidRPr="006126B1" w:rsidRDefault="00470309" w:rsidP="00E37EAB">
            <w:pPr>
              <w:pStyle w:val="naisnod"/>
              <w:spacing w:before="0" w:after="0"/>
              <w:ind w:left="57" w:right="57"/>
              <w:rPr>
                <w:b w:val="0"/>
                <w:sz w:val="28"/>
                <w:szCs w:val="28"/>
              </w:rPr>
            </w:pPr>
            <w:r w:rsidRPr="006126B1">
              <w:rPr>
                <w:b w:val="0"/>
                <w:sz w:val="28"/>
                <w:szCs w:val="28"/>
              </w:rPr>
              <w:t>2.</w:t>
            </w:r>
          </w:p>
        </w:tc>
        <w:tc>
          <w:tcPr>
            <w:tcW w:w="1998" w:type="pct"/>
          </w:tcPr>
          <w:p w:rsidR="00470309" w:rsidRPr="006126B1" w:rsidRDefault="00470309" w:rsidP="007D099D">
            <w:pPr>
              <w:pStyle w:val="naisf"/>
              <w:spacing w:before="0" w:after="0"/>
              <w:ind w:left="57" w:right="57" w:firstLine="0"/>
              <w:jc w:val="left"/>
              <w:rPr>
                <w:sz w:val="28"/>
                <w:szCs w:val="28"/>
              </w:rPr>
            </w:pPr>
            <w:r w:rsidRPr="006126B1">
              <w:rPr>
                <w:sz w:val="28"/>
                <w:szCs w:val="28"/>
              </w:rPr>
              <w:t>Projekta izpildes ietekme uz pārvaldes funkcijām un institucionālo struktūru.</w:t>
            </w:r>
          </w:p>
          <w:p w:rsidR="00470309" w:rsidRPr="006126B1" w:rsidRDefault="00470309" w:rsidP="007D099D">
            <w:pPr>
              <w:pStyle w:val="naisf"/>
              <w:spacing w:before="0" w:after="0"/>
              <w:ind w:left="57" w:right="57" w:firstLine="0"/>
              <w:jc w:val="left"/>
              <w:rPr>
                <w:sz w:val="28"/>
                <w:szCs w:val="28"/>
              </w:rPr>
            </w:pPr>
          </w:p>
          <w:p w:rsidR="00470309" w:rsidRPr="006126B1" w:rsidRDefault="00470309" w:rsidP="007D099D">
            <w:pPr>
              <w:pStyle w:val="naisf"/>
              <w:spacing w:before="0" w:after="0"/>
              <w:ind w:left="57" w:right="57" w:firstLine="0"/>
              <w:jc w:val="left"/>
              <w:rPr>
                <w:sz w:val="28"/>
                <w:szCs w:val="28"/>
              </w:rPr>
            </w:pPr>
            <w:r w:rsidRPr="006126B1">
              <w:rPr>
                <w:sz w:val="28"/>
                <w:szCs w:val="28"/>
              </w:rPr>
              <w:t>Jaunu institūciju izveide, esošu institūciju likvidācija vai reorganizācija, to ietekme uz institūcijas cilvēkresursiem</w:t>
            </w:r>
          </w:p>
        </w:tc>
        <w:tc>
          <w:tcPr>
            <w:tcW w:w="2655" w:type="pct"/>
          </w:tcPr>
          <w:p w:rsidR="00470309" w:rsidRPr="006126B1" w:rsidRDefault="00DA7D07" w:rsidP="00222356">
            <w:pPr>
              <w:jc w:val="both"/>
              <w:rPr>
                <w:sz w:val="28"/>
                <w:szCs w:val="28"/>
              </w:rPr>
            </w:pPr>
            <w:r>
              <w:rPr>
                <w:sz w:val="28"/>
                <w:szCs w:val="28"/>
              </w:rPr>
              <w:t xml:space="preserve"> Projekts šo jomu neskar.</w:t>
            </w:r>
          </w:p>
        </w:tc>
      </w:tr>
      <w:tr w:rsidR="000157C7" w:rsidRPr="006126B1" w:rsidTr="004B7999">
        <w:trPr>
          <w:trHeight w:val="476"/>
        </w:trPr>
        <w:tc>
          <w:tcPr>
            <w:tcW w:w="347" w:type="pct"/>
          </w:tcPr>
          <w:p w:rsidR="000157C7" w:rsidRPr="006126B1" w:rsidRDefault="004A05EF" w:rsidP="00E37EAB">
            <w:pPr>
              <w:pStyle w:val="naiskr"/>
              <w:spacing w:before="0" w:after="0"/>
              <w:ind w:left="57" w:right="57"/>
              <w:jc w:val="center"/>
              <w:rPr>
                <w:sz w:val="28"/>
                <w:szCs w:val="28"/>
              </w:rPr>
            </w:pPr>
            <w:r w:rsidRPr="006126B1">
              <w:rPr>
                <w:sz w:val="28"/>
                <w:szCs w:val="28"/>
              </w:rPr>
              <w:t>3</w:t>
            </w:r>
            <w:r w:rsidR="000157C7" w:rsidRPr="006126B1">
              <w:rPr>
                <w:sz w:val="28"/>
                <w:szCs w:val="28"/>
              </w:rPr>
              <w:t>.</w:t>
            </w:r>
          </w:p>
        </w:tc>
        <w:tc>
          <w:tcPr>
            <w:tcW w:w="1998" w:type="pct"/>
          </w:tcPr>
          <w:p w:rsidR="000157C7" w:rsidRPr="006126B1" w:rsidRDefault="000157C7" w:rsidP="007D099D">
            <w:pPr>
              <w:pStyle w:val="naiskr"/>
              <w:spacing w:before="0" w:after="0"/>
              <w:ind w:left="57" w:right="57"/>
              <w:rPr>
                <w:sz w:val="28"/>
                <w:szCs w:val="28"/>
              </w:rPr>
            </w:pPr>
            <w:r w:rsidRPr="006126B1">
              <w:rPr>
                <w:sz w:val="28"/>
                <w:szCs w:val="28"/>
              </w:rPr>
              <w:t>Cita informācija</w:t>
            </w:r>
          </w:p>
        </w:tc>
        <w:tc>
          <w:tcPr>
            <w:tcW w:w="2655" w:type="pct"/>
          </w:tcPr>
          <w:p w:rsidR="000157C7" w:rsidRPr="006126B1" w:rsidRDefault="000157C7" w:rsidP="00215125">
            <w:pPr>
              <w:spacing w:before="75" w:after="75"/>
              <w:rPr>
                <w:sz w:val="28"/>
                <w:szCs w:val="28"/>
              </w:rPr>
            </w:pPr>
            <w:r w:rsidRPr="006126B1">
              <w:rPr>
                <w:sz w:val="28"/>
                <w:szCs w:val="28"/>
              </w:rPr>
              <w:t> </w:t>
            </w:r>
            <w:r w:rsidR="00C7244C" w:rsidRPr="006126B1">
              <w:rPr>
                <w:sz w:val="28"/>
                <w:szCs w:val="28"/>
              </w:rPr>
              <w:t>Nav</w:t>
            </w:r>
          </w:p>
        </w:tc>
      </w:tr>
    </w:tbl>
    <w:p w:rsidR="00156BBA" w:rsidRDefault="00156BBA" w:rsidP="008E67D1">
      <w:pPr>
        <w:tabs>
          <w:tab w:val="left" w:pos="6804"/>
        </w:tabs>
        <w:jc w:val="both"/>
        <w:rPr>
          <w:sz w:val="28"/>
          <w:szCs w:val="28"/>
        </w:rPr>
      </w:pPr>
    </w:p>
    <w:p w:rsidR="00887A7F" w:rsidRPr="000306D2" w:rsidRDefault="00887A7F" w:rsidP="00887A7F">
      <w:pPr>
        <w:ind w:left="284"/>
        <w:jc w:val="both"/>
        <w:rPr>
          <w:sz w:val="28"/>
          <w:szCs w:val="28"/>
        </w:rPr>
      </w:pPr>
      <w:r>
        <w:rPr>
          <w:sz w:val="28"/>
          <w:szCs w:val="28"/>
        </w:rPr>
        <w:t>Kultūras ministra p.i.</w:t>
      </w:r>
      <w:r w:rsidRPr="00C53A59">
        <w:rPr>
          <w:sz w:val="28"/>
          <w:szCs w:val="28"/>
        </w:rPr>
        <w:tab/>
      </w:r>
      <w:r w:rsidRPr="00C53A59">
        <w:rPr>
          <w:sz w:val="28"/>
          <w:szCs w:val="28"/>
        </w:rPr>
        <w:tab/>
      </w:r>
      <w:r w:rsidRPr="00C53A59">
        <w:rPr>
          <w:sz w:val="28"/>
          <w:szCs w:val="28"/>
        </w:rPr>
        <w:tab/>
      </w:r>
      <w:r w:rsidRPr="00C53A59">
        <w:rPr>
          <w:sz w:val="28"/>
          <w:szCs w:val="28"/>
        </w:rPr>
        <w:tab/>
      </w:r>
      <w:r w:rsidRPr="00C53A59">
        <w:rPr>
          <w:sz w:val="28"/>
          <w:szCs w:val="28"/>
        </w:rPr>
        <w:tab/>
      </w:r>
      <w:r w:rsidRPr="00C53A59">
        <w:rPr>
          <w:sz w:val="28"/>
          <w:szCs w:val="28"/>
        </w:rPr>
        <w:tab/>
      </w:r>
      <w:r>
        <w:rPr>
          <w:sz w:val="28"/>
          <w:szCs w:val="28"/>
        </w:rPr>
        <w:tab/>
      </w:r>
    </w:p>
    <w:p w:rsidR="00887A7F" w:rsidRDefault="00887A7F" w:rsidP="00887A7F">
      <w:pPr>
        <w:ind w:left="284"/>
        <w:jc w:val="both"/>
        <w:rPr>
          <w:sz w:val="28"/>
          <w:szCs w:val="28"/>
        </w:rPr>
      </w:pPr>
      <w:r>
        <w:rPr>
          <w:sz w:val="28"/>
          <w:szCs w:val="28"/>
        </w:rPr>
        <w:t xml:space="preserve">veselības ministre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B09C3">
        <w:rPr>
          <w:sz w:val="28"/>
          <w:szCs w:val="28"/>
        </w:rPr>
        <w:t>A</w:t>
      </w:r>
      <w:r>
        <w:rPr>
          <w:sz w:val="28"/>
          <w:szCs w:val="28"/>
        </w:rPr>
        <w:t>.Čakša</w:t>
      </w:r>
    </w:p>
    <w:p w:rsidR="00156BBA" w:rsidRPr="006126B1" w:rsidRDefault="00156BBA" w:rsidP="00E37EAB">
      <w:pPr>
        <w:tabs>
          <w:tab w:val="left" w:pos="6804"/>
        </w:tabs>
        <w:ind w:left="284"/>
        <w:jc w:val="both"/>
        <w:rPr>
          <w:sz w:val="28"/>
          <w:szCs w:val="28"/>
        </w:rPr>
      </w:pPr>
    </w:p>
    <w:p w:rsidR="00E2585A" w:rsidRPr="006126B1" w:rsidRDefault="008E67D1" w:rsidP="009B275C">
      <w:pPr>
        <w:ind w:left="284"/>
        <w:rPr>
          <w:sz w:val="28"/>
          <w:szCs w:val="28"/>
        </w:rPr>
      </w:pPr>
      <w:r w:rsidRPr="006126B1">
        <w:rPr>
          <w:sz w:val="28"/>
          <w:szCs w:val="28"/>
        </w:rPr>
        <w:t>V</w:t>
      </w:r>
      <w:r w:rsidR="00156BBA" w:rsidRPr="006126B1">
        <w:rPr>
          <w:sz w:val="28"/>
          <w:szCs w:val="28"/>
        </w:rPr>
        <w:t>īza: Valsts sekretār</w:t>
      </w:r>
      <w:r w:rsidR="00292CB5">
        <w:rPr>
          <w:sz w:val="28"/>
          <w:szCs w:val="28"/>
        </w:rPr>
        <w:t>s</w:t>
      </w:r>
      <w:r w:rsidR="00292CB5">
        <w:rPr>
          <w:sz w:val="28"/>
          <w:szCs w:val="28"/>
        </w:rPr>
        <w:tab/>
      </w:r>
      <w:r w:rsidR="00963E1C">
        <w:rPr>
          <w:sz w:val="28"/>
          <w:szCs w:val="28"/>
        </w:rPr>
        <w:tab/>
      </w:r>
      <w:r w:rsidR="006852EC" w:rsidRPr="006126B1">
        <w:rPr>
          <w:sz w:val="28"/>
          <w:szCs w:val="28"/>
        </w:rPr>
        <w:tab/>
      </w:r>
      <w:r w:rsidR="006852EC" w:rsidRPr="006126B1">
        <w:rPr>
          <w:sz w:val="28"/>
          <w:szCs w:val="28"/>
        </w:rPr>
        <w:tab/>
      </w:r>
      <w:r w:rsidR="006852EC" w:rsidRPr="006126B1">
        <w:rPr>
          <w:sz w:val="28"/>
          <w:szCs w:val="28"/>
        </w:rPr>
        <w:tab/>
      </w:r>
      <w:r w:rsidR="006852EC" w:rsidRPr="006126B1">
        <w:rPr>
          <w:sz w:val="28"/>
          <w:szCs w:val="28"/>
        </w:rPr>
        <w:tab/>
      </w:r>
      <w:r w:rsidR="00963E1C">
        <w:rPr>
          <w:sz w:val="28"/>
          <w:szCs w:val="28"/>
        </w:rPr>
        <w:tab/>
      </w:r>
      <w:r w:rsidR="00292CB5">
        <w:rPr>
          <w:sz w:val="28"/>
          <w:szCs w:val="28"/>
        </w:rPr>
        <w:t>S.Voldiņš</w:t>
      </w:r>
    </w:p>
    <w:p w:rsidR="00F00BC9" w:rsidRDefault="00F00BC9" w:rsidP="007C5128">
      <w:pPr>
        <w:pStyle w:val="ParastaisWeb"/>
        <w:spacing w:before="0" w:beforeAutospacing="0" w:after="0" w:afterAutospacing="0"/>
        <w:rPr>
          <w:sz w:val="22"/>
          <w:szCs w:val="22"/>
        </w:rPr>
      </w:pPr>
    </w:p>
    <w:p w:rsidR="00043EC4" w:rsidRDefault="00043EC4" w:rsidP="007C5128">
      <w:pPr>
        <w:pStyle w:val="ParastaisWeb"/>
        <w:spacing w:before="0" w:beforeAutospacing="0" w:after="0" w:afterAutospacing="0"/>
        <w:rPr>
          <w:sz w:val="22"/>
          <w:szCs w:val="22"/>
        </w:rPr>
      </w:pPr>
    </w:p>
    <w:p w:rsidR="008B1194" w:rsidRDefault="008B1194" w:rsidP="007C5128">
      <w:pPr>
        <w:pStyle w:val="ParastaisWeb"/>
        <w:spacing w:before="0" w:beforeAutospacing="0" w:after="0" w:afterAutospacing="0"/>
        <w:rPr>
          <w:sz w:val="22"/>
          <w:szCs w:val="22"/>
        </w:rPr>
      </w:pPr>
    </w:p>
    <w:p w:rsidR="005B31E2" w:rsidRDefault="005B31E2" w:rsidP="007C5128">
      <w:pPr>
        <w:pStyle w:val="ParastaisWeb"/>
        <w:spacing w:before="0" w:beforeAutospacing="0" w:after="0" w:afterAutospacing="0"/>
        <w:rPr>
          <w:sz w:val="22"/>
          <w:szCs w:val="22"/>
        </w:rPr>
      </w:pPr>
    </w:p>
    <w:p w:rsidR="00887A7F" w:rsidRPr="007C5128" w:rsidRDefault="00887A7F" w:rsidP="007C5128">
      <w:pPr>
        <w:pStyle w:val="ParastaisWeb"/>
        <w:spacing w:before="0" w:beforeAutospacing="0" w:after="0" w:afterAutospacing="0"/>
        <w:rPr>
          <w:sz w:val="22"/>
          <w:szCs w:val="22"/>
        </w:rPr>
      </w:pPr>
    </w:p>
    <w:p w:rsidR="00FB4B23" w:rsidRPr="00085736" w:rsidRDefault="00667D9F" w:rsidP="007C5128">
      <w:pPr>
        <w:pStyle w:val="Galvene"/>
        <w:tabs>
          <w:tab w:val="left" w:pos="720"/>
        </w:tabs>
        <w:rPr>
          <w:sz w:val="22"/>
          <w:szCs w:val="22"/>
        </w:rPr>
      </w:pPr>
      <w:r w:rsidRPr="00085736">
        <w:rPr>
          <w:sz w:val="22"/>
          <w:szCs w:val="22"/>
        </w:rPr>
        <w:fldChar w:fldCharType="begin"/>
      </w:r>
      <w:r w:rsidR="00FB4B23" w:rsidRPr="00085736">
        <w:rPr>
          <w:sz w:val="22"/>
          <w:szCs w:val="22"/>
        </w:rPr>
        <w:instrText xml:space="preserve"> DATE  \@ "yyyy.MM.dd. H:mm"  \* MERGEFORMAT </w:instrText>
      </w:r>
      <w:r w:rsidRPr="00085736">
        <w:rPr>
          <w:sz w:val="22"/>
          <w:szCs w:val="22"/>
        </w:rPr>
        <w:fldChar w:fldCharType="separate"/>
      </w:r>
      <w:r w:rsidR="00BB24BD">
        <w:rPr>
          <w:noProof/>
          <w:sz w:val="22"/>
          <w:szCs w:val="22"/>
        </w:rPr>
        <w:t>2016.07.25. 11:09</w:t>
      </w:r>
      <w:r w:rsidRPr="00085736">
        <w:rPr>
          <w:sz w:val="22"/>
          <w:szCs w:val="22"/>
        </w:rPr>
        <w:fldChar w:fldCharType="end"/>
      </w:r>
    </w:p>
    <w:p w:rsidR="00963E1C" w:rsidRPr="00085736" w:rsidRDefault="000757BC" w:rsidP="007C5128">
      <w:pPr>
        <w:pStyle w:val="Galvene"/>
        <w:tabs>
          <w:tab w:val="left" w:pos="780"/>
        </w:tabs>
        <w:rPr>
          <w:sz w:val="22"/>
          <w:szCs w:val="22"/>
        </w:rPr>
      </w:pPr>
      <w:bookmarkStart w:id="7" w:name="OLE_LINK4"/>
      <w:bookmarkStart w:id="8" w:name="OLE_LINK5"/>
      <w:bookmarkStart w:id="9" w:name="OLE_LINK6"/>
      <w:bookmarkStart w:id="10" w:name="OLE_LINK9"/>
      <w:r w:rsidRPr="00085736">
        <w:rPr>
          <w:sz w:val="22"/>
          <w:szCs w:val="22"/>
        </w:rPr>
        <w:t>2</w:t>
      </w:r>
      <w:r w:rsidR="00674335" w:rsidRPr="00085736">
        <w:rPr>
          <w:sz w:val="22"/>
          <w:szCs w:val="22"/>
        </w:rPr>
        <w:t xml:space="preserve"> </w:t>
      </w:r>
      <w:r w:rsidR="005B31E2">
        <w:rPr>
          <w:sz w:val="22"/>
          <w:szCs w:val="22"/>
        </w:rPr>
        <w:t>439</w:t>
      </w:r>
    </w:p>
    <w:p w:rsidR="00085736" w:rsidRPr="00085736" w:rsidRDefault="00085736" w:rsidP="00085736">
      <w:pPr>
        <w:rPr>
          <w:sz w:val="22"/>
          <w:szCs w:val="22"/>
        </w:rPr>
      </w:pPr>
      <w:bookmarkStart w:id="11" w:name="OLE_LINK14"/>
      <w:bookmarkStart w:id="12" w:name="OLE_LINK15"/>
      <w:bookmarkEnd w:id="7"/>
      <w:bookmarkEnd w:id="8"/>
      <w:bookmarkEnd w:id="9"/>
      <w:bookmarkEnd w:id="10"/>
      <w:r w:rsidRPr="00085736">
        <w:rPr>
          <w:sz w:val="22"/>
          <w:szCs w:val="22"/>
        </w:rPr>
        <w:t>I.Treija</w:t>
      </w:r>
      <w:bookmarkEnd w:id="11"/>
      <w:bookmarkEnd w:id="12"/>
      <w:r w:rsidRPr="00085736">
        <w:rPr>
          <w:sz w:val="22"/>
          <w:szCs w:val="22"/>
        </w:rPr>
        <w:t xml:space="preserve">, </w:t>
      </w:r>
      <w:bookmarkStart w:id="13" w:name="OLE_LINK12"/>
      <w:bookmarkStart w:id="14" w:name="OLE_LINK13"/>
      <w:r w:rsidRPr="00085736">
        <w:rPr>
          <w:sz w:val="22"/>
          <w:szCs w:val="22"/>
        </w:rPr>
        <w:t>67330262</w:t>
      </w:r>
    </w:p>
    <w:p w:rsidR="004C7CAC" w:rsidRDefault="00667D9F" w:rsidP="005B31E2">
      <w:pPr>
        <w:tabs>
          <w:tab w:val="left" w:pos="7425"/>
        </w:tabs>
      </w:pPr>
      <w:hyperlink r:id="rId8" w:history="1">
        <w:r w:rsidR="00085736" w:rsidRPr="00085736">
          <w:rPr>
            <w:rStyle w:val="Hipersaite"/>
            <w:sz w:val="22"/>
            <w:szCs w:val="22"/>
          </w:rPr>
          <w:t>Iluta.Treija@km.gov.lv</w:t>
        </w:r>
      </w:hyperlink>
      <w:r w:rsidR="00085736" w:rsidRPr="00085736">
        <w:rPr>
          <w:sz w:val="22"/>
          <w:szCs w:val="22"/>
        </w:rPr>
        <w:t xml:space="preserve"> </w:t>
      </w:r>
      <w:bookmarkEnd w:id="13"/>
      <w:bookmarkEnd w:id="14"/>
    </w:p>
    <w:sectPr w:rsidR="004C7CAC" w:rsidSect="00085736">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2DA" w:rsidRDefault="004F42DA">
      <w:r>
        <w:separator/>
      </w:r>
    </w:p>
  </w:endnote>
  <w:endnote w:type="continuationSeparator" w:id="0">
    <w:p w:rsidR="004F42DA" w:rsidRDefault="004F42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2DA" w:rsidRPr="00187F59" w:rsidRDefault="00667D9F" w:rsidP="00187F59">
    <w:pPr>
      <w:pStyle w:val="ParastaisWeb"/>
      <w:spacing w:before="0" w:beforeAutospacing="0" w:after="0" w:afterAutospacing="0"/>
      <w:ind w:left="-142"/>
      <w:jc w:val="both"/>
      <w:rPr>
        <w:sz w:val="22"/>
        <w:szCs w:val="22"/>
      </w:rPr>
    </w:pPr>
    <w:fldSimple w:instr=" FILENAME   \* MERGEFORMAT ">
      <w:r w:rsidR="004F42DA">
        <w:rPr>
          <w:noProof/>
          <w:sz w:val="22"/>
          <w:szCs w:val="22"/>
        </w:rPr>
        <w:t>KMAnot_21</w:t>
      </w:r>
      <w:r w:rsidR="004F42DA" w:rsidRPr="008C3760">
        <w:rPr>
          <w:noProof/>
          <w:sz w:val="22"/>
          <w:szCs w:val="22"/>
        </w:rPr>
        <w:t>0</w:t>
      </w:r>
      <w:r w:rsidR="004F42DA">
        <w:rPr>
          <w:noProof/>
          <w:sz w:val="22"/>
          <w:szCs w:val="22"/>
        </w:rPr>
        <w:t>7</w:t>
      </w:r>
      <w:r w:rsidR="004F42DA" w:rsidRPr="008C3760">
        <w:rPr>
          <w:noProof/>
          <w:sz w:val="22"/>
          <w:szCs w:val="22"/>
        </w:rPr>
        <w:t>16_LNG</w:t>
      </w:r>
      <w:r w:rsidR="004F42DA">
        <w:rPr>
          <w:noProof/>
        </w:rPr>
        <w:t>_Cirks</w:t>
      </w:r>
    </w:fldSimple>
    <w:r w:rsidR="004F42DA" w:rsidRPr="00E37EAB">
      <w:rPr>
        <w:sz w:val="22"/>
        <w:szCs w:val="22"/>
      </w:rPr>
      <w:t xml:space="preserve">; Ministru kabineta rīkojuma projekta „Par finanšu līdzekļu piešķiršanu no valsts budžeta programmas „Līdzekļi neparedzētiem gadījumiem”” sākotnējās ietekmes novērtējuma ziņojums (anotācija)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2DA" w:rsidRPr="00E37EAB" w:rsidRDefault="00667D9F" w:rsidP="0096272B">
    <w:pPr>
      <w:pStyle w:val="ParastaisWeb"/>
      <w:spacing w:before="0" w:beforeAutospacing="0" w:after="0" w:afterAutospacing="0"/>
      <w:ind w:left="-142"/>
      <w:jc w:val="both"/>
      <w:rPr>
        <w:sz w:val="22"/>
        <w:szCs w:val="22"/>
      </w:rPr>
    </w:pPr>
    <w:fldSimple w:instr=" FILENAME   \* MERGEFORMAT ">
      <w:r w:rsidR="004F42DA" w:rsidRPr="008C3760">
        <w:rPr>
          <w:noProof/>
          <w:sz w:val="22"/>
          <w:szCs w:val="22"/>
        </w:rPr>
        <w:t>KMAnot_</w:t>
      </w:r>
      <w:r w:rsidR="004F42DA">
        <w:rPr>
          <w:noProof/>
          <w:sz w:val="22"/>
          <w:szCs w:val="22"/>
        </w:rPr>
        <w:t>2107</w:t>
      </w:r>
      <w:r w:rsidR="004F42DA" w:rsidRPr="008C3760">
        <w:rPr>
          <w:noProof/>
          <w:sz w:val="22"/>
          <w:szCs w:val="22"/>
        </w:rPr>
        <w:t>16_LNG</w:t>
      </w:r>
      <w:r w:rsidR="004F42DA">
        <w:rPr>
          <w:noProof/>
        </w:rPr>
        <w:t>_Cirks</w:t>
      </w:r>
    </w:fldSimple>
    <w:r w:rsidR="004F42DA" w:rsidRPr="00E37EAB">
      <w:rPr>
        <w:sz w:val="22"/>
        <w:szCs w:val="22"/>
      </w:rPr>
      <w:t xml:space="preserve">; </w:t>
    </w:r>
    <w:bookmarkStart w:id="15" w:name="OLE_LINK7"/>
    <w:bookmarkStart w:id="16" w:name="OLE_LINK8"/>
    <w:bookmarkStart w:id="17" w:name="_Hlk373840471"/>
    <w:r w:rsidR="004F42DA" w:rsidRPr="00E37EAB">
      <w:rPr>
        <w:sz w:val="22"/>
        <w:szCs w:val="22"/>
      </w:rPr>
      <w:t xml:space="preserve">Ministru kabineta rīkojuma projekta „Par finanšu līdzekļu piešķiršanu no valsts budžeta programmas „Līdzekļi neparedzētiem gadījumiem”” sākotnējās ietekmes novērtējuma ziņojums (anotācija) </w:t>
    </w:r>
    <w:bookmarkEnd w:id="15"/>
    <w:bookmarkEnd w:id="16"/>
    <w:bookmarkEnd w:id="1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2DA" w:rsidRDefault="004F42DA">
      <w:r>
        <w:separator/>
      </w:r>
    </w:p>
  </w:footnote>
  <w:footnote w:type="continuationSeparator" w:id="0">
    <w:p w:rsidR="004F42DA" w:rsidRDefault="004F4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2DA" w:rsidRDefault="00667D9F" w:rsidP="003C449B">
    <w:pPr>
      <w:pStyle w:val="Galvene"/>
      <w:framePr w:wrap="around" w:vAnchor="text" w:hAnchor="margin" w:xAlign="center" w:y="1"/>
      <w:rPr>
        <w:rStyle w:val="Lappusesnumurs"/>
      </w:rPr>
    </w:pPr>
    <w:r>
      <w:rPr>
        <w:rStyle w:val="Lappusesnumurs"/>
      </w:rPr>
      <w:fldChar w:fldCharType="begin"/>
    </w:r>
    <w:r w:rsidR="004F42DA">
      <w:rPr>
        <w:rStyle w:val="Lappusesnumurs"/>
      </w:rPr>
      <w:instrText xml:space="preserve">PAGE  </w:instrText>
    </w:r>
    <w:r>
      <w:rPr>
        <w:rStyle w:val="Lappusesnumurs"/>
      </w:rPr>
      <w:fldChar w:fldCharType="end"/>
    </w:r>
  </w:p>
  <w:p w:rsidR="004F42DA" w:rsidRDefault="004F42D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2DA" w:rsidRPr="00E37EAB" w:rsidRDefault="00667D9F" w:rsidP="003C449B">
    <w:pPr>
      <w:pStyle w:val="Galvene"/>
      <w:framePr w:wrap="around" w:vAnchor="text" w:hAnchor="margin" w:xAlign="center" w:y="1"/>
      <w:rPr>
        <w:rStyle w:val="Lappusesnumurs"/>
        <w:sz w:val="22"/>
        <w:szCs w:val="22"/>
      </w:rPr>
    </w:pPr>
    <w:r w:rsidRPr="00E37EAB">
      <w:rPr>
        <w:rStyle w:val="Lappusesnumurs"/>
        <w:sz w:val="22"/>
        <w:szCs w:val="22"/>
      </w:rPr>
      <w:fldChar w:fldCharType="begin"/>
    </w:r>
    <w:r w:rsidR="004F42DA" w:rsidRPr="00E37EAB">
      <w:rPr>
        <w:rStyle w:val="Lappusesnumurs"/>
        <w:sz w:val="22"/>
        <w:szCs w:val="22"/>
      </w:rPr>
      <w:instrText xml:space="preserve">PAGE  </w:instrText>
    </w:r>
    <w:r w:rsidRPr="00E37EAB">
      <w:rPr>
        <w:rStyle w:val="Lappusesnumurs"/>
        <w:sz w:val="22"/>
        <w:szCs w:val="22"/>
      </w:rPr>
      <w:fldChar w:fldCharType="separate"/>
    </w:r>
    <w:r w:rsidR="00BB24BD">
      <w:rPr>
        <w:rStyle w:val="Lappusesnumurs"/>
        <w:noProof/>
        <w:sz w:val="22"/>
        <w:szCs w:val="22"/>
      </w:rPr>
      <w:t>2</w:t>
    </w:r>
    <w:r w:rsidRPr="00E37EAB">
      <w:rPr>
        <w:rStyle w:val="Lappusesnumurs"/>
        <w:sz w:val="22"/>
        <w:szCs w:val="22"/>
      </w:rPr>
      <w:fldChar w:fldCharType="end"/>
    </w:r>
  </w:p>
  <w:p w:rsidR="004F42DA" w:rsidRDefault="004F42DA" w:rsidP="00187F59">
    <w:pPr>
      <w:ind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49CE"/>
    <w:multiLevelType w:val="hybridMultilevel"/>
    <w:tmpl w:val="766C87C6"/>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1">
    <w:nsid w:val="097926B4"/>
    <w:multiLevelType w:val="multilevel"/>
    <w:tmpl w:val="0458F1D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607946"/>
    <w:multiLevelType w:val="hybridMultilevel"/>
    <w:tmpl w:val="6D92F4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5C42BC8"/>
    <w:multiLevelType w:val="hybridMultilevel"/>
    <w:tmpl w:val="95F8DBE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1C5B1839"/>
    <w:multiLevelType w:val="hybridMultilevel"/>
    <w:tmpl w:val="D0001E80"/>
    <w:lvl w:ilvl="0" w:tplc="04260001">
      <w:start w:val="1"/>
      <w:numFmt w:val="bullet"/>
      <w:lvlText w:val=""/>
      <w:lvlJc w:val="left"/>
      <w:pPr>
        <w:ind w:left="1088" w:hanging="360"/>
      </w:pPr>
      <w:rPr>
        <w:rFonts w:ascii="Symbol" w:hAnsi="Symbol" w:hint="default"/>
      </w:rPr>
    </w:lvl>
    <w:lvl w:ilvl="1" w:tplc="04260003" w:tentative="1">
      <w:start w:val="1"/>
      <w:numFmt w:val="bullet"/>
      <w:lvlText w:val="o"/>
      <w:lvlJc w:val="left"/>
      <w:pPr>
        <w:ind w:left="1808" w:hanging="360"/>
      </w:pPr>
      <w:rPr>
        <w:rFonts w:ascii="Courier New" w:hAnsi="Courier New" w:cs="Courier New" w:hint="default"/>
      </w:rPr>
    </w:lvl>
    <w:lvl w:ilvl="2" w:tplc="04260005" w:tentative="1">
      <w:start w:val="1"/>
      <w:numFmt w:val="bullet"/>
      <w:lvlText w:val=""/>
      <w:lvlJc w:val="left"/>
      <w:pPr>
        <w:ind w:left="2528" w:hanging="360"/>
      </w:pPr>
      <w:rPr>
        <w:rFonts w:ascii="Wingdings" w:hAnsi="Wingdings" w:hint="default"/>
      </w:rPr>
    </w:lvl>
    <w:lvl w:ilvl="3" w:tplc="04260001" w:tentative="1">
      <w:start w:val="1"/>
      <w:numFmt w:val="bullet"/>
      <w:lvlText w:val=""/>
      <w:lvlJc w:val="left"/>
      <w:pPr>
        <w:ind w:left="3248" w:hanging="360"/>
      </w:pPr>
      <w:rPr>
        <w:rFonts w:ascii="Symbol" w:hAnsi="Symbol" w:hint="default"/>
      </w:rPr>
    </w:lvl>
    <w:lvl w:ilvl="4" w:tplc="04260003" w:tentative="1">
      <w:start w:val="1"/>
      <w:numFmt w:val="bullet"/>
      <w:lvlText w:val="o"/>
      <w:lvlJc w:val="left"/>
      <w:pPr>
        <w:ind w:left="3968" w:hanging="360"/>
      </w:pPr>
      <w:rPr>
        <w:rFonts w:ascii="Courier New" w:hAnsi="Courier New" w:cs="Courier New" w:hint="default"/>
      </w:rPr>
    </w:lvl>
    <w:lvl w:ilvl="5" w:tplc="04260005" w:tentative="1">
      <w:start w:val="1"/>
      <w:numFmt w:val="bullet"/>
      <w:lvlText w:val=""/>
      <w:lvlJc w:val="left"/>
      <w:pPr>
        <w:ind w:left="4688" w:hanging="360"/>
      </w:pPr>
      <w:rPr>
        <w:rFonts w:ascii="Wingdings" w:hAnsi="Wingdings" w:hint="default"/>
      </w:rPr>
    </w:lvl>
    <w:lvl w:ilvl="6" w:tplc="04260001" w:tentative="1">
      <w:start w:val="1"/>
      <w:numFmt w:val="bullet"/>
      <w:lvlText w:val=""/>
      <w:lvlJc w:val="left"/>
      <w:pPr>
        <w:ind w:left="5408" w:hanging="360"/>
      </w:pPr>
      <w:rPr>
        <w:rFonts w:ascii="Symbol" w:hAnsi="Symbol" w:hint="default"/>
      </w:rPr>
    </w:lvl>
    <w:lvl w:ilvl="7" w:tplc="04260003" w:tentative="1">
      <w:start w:val="1"/>
      <w:numFmt w:val="bullet"/>
      <w:lvlText w:val="o"/>
      <w:lvlJc w:val="left"/>
      <w:pPr>
        <w:ind w:left="6128" w:hanging="360"/>
      </w:pPr>
      <w:rPr>
        <w:rFonts w:ascii="Courier New" w:hAnsi="Courier New" w:cs="Courier New" w:hint="default"/>
      </w:rPr>
    </w:lvl>
    <w:lvl w:ilvl="8" w:tplc="04260005" w:tentative="1">
      <w:start w:val="1"/>
      <w:numFmt w:val="bullet"/>
      <w:lvlText w:val=""/>
      <w:lvlJc w:val="left"/>
      <w:pPr>
        <w:ind w:left="6848" w:hanging="360"/>
      </w:pPr>
      <w:rPr>
        <w:rFonts w:ascii="Wingdings" w:hAnsi="Wingdings" w:hint="default"/>
      </w:rPr>
    </w:lvl>
  </w:abstractNum>
  <w:abstractNum w:abstractNumId="5">
    <w:nsid w:val="1D37084B"/>
    <w:multiLevelType w:val="hybridMultilevel"/>
    <w:tmpl w:val="A6743D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B812FBE"/>
    <w:multiLevelType w:val="hybridMultilevel"/>
    <w:tmpl w:val="6C22AAF4"/>
    <w:lvl w:ilvl="0" w:tplc="04260001">
      <w:start w:val="1"/>
      <w:numFmt w:val="bullet"/>
      <w:lvlText w:val=""/>
      <w:lvlJc w:val="left"/>
      <w:pPr>
        <w:ind w:left="2203" w:hanging="360"/>
      </w:pPr>
      <w:rPr>
        <w:rFonts w:ascii="Symbol" w:hAnsi="Symbol" w:hint="default"/>
      </w:rPr>
    </w:lvl>
    <w:lvl w:ilvl="1" w:tplc="04260003">
      <w:start w:val="1"/>
      <w:numFmt w:val="bullet"/>
      <w:lvlText w:val="o"/>
      <w:lvlJc w:val="left"/>
      <w:pPr>
        <w:ind w:left="2923" w:hanging="360"/>
      </w:pPr>
      <w:rPr>
        <w:rFonts w:ascii="Courier New" w:hAnsi="Courier New" w:cs="Courier New" w:hint="default"/>
      </w:rPr>
    </w:lvl>
    <w:lvl w:ilvl="2" w:tplc="04260005" w:tentative="1">
      <w:start w:val="1"/>
      <w:numFmt w:val="bullet"/>
      <w:lvlText w:val=""/>
      <w:lvlJc w:val="left"/>
      <w:pPr>
        <w:ind w:left="3643" w:hanging="360"/>
      </w:pPr>
      <w:rPr>
        <w:rFonts w:ascii="Wingdings" w:hAnsi="Wingdings" w:hint="default"/>
      </w:rPr>
    </w:lvl>
    <w:lvl w:ilvl="3" w:tplc="04260001" w:tentative="1">
      <w:start w:val="1"/>
      <w:numFmt w:val="bullet"/>
      <w:lvlText w:val=""/>
      <w:lvlJc w:val="left"/>
      <w:pPr>
        <w:ind w:left="4363" w:hanging="360"/>
      </w:pPr>
      <w:rPr>
        <w:rFonts w:ascii="Symbol" w:hAnsi="Symbol" w:hint="default"/>
      </w:rPr>
    </w:lvl>
    <w:lvl w:ilvl="4" w:tplc="04260003" w:tentative="1">
      <w:start w:val="1"/>
      <w:numFmt w:val="bullet"/>
      <w:lvlText w:val="o"/>
      <w:lvlJc w:val="left"/>
      <w:pPr>
        <w:ind w:left="5083" w:hanging="360"/>
      </w:pPr>
      <w:rPr>
        <w:rFonts w:ascii="Courier New" w:hAnsi="Courier New" w:cs="Courier New" w:hint="default"/>
      </w:rPr>
    </w:lvl>
    <w:lvl w:ilvl="5" w:tplc="04260005" w:tentative="1">
      <w:start w:val="1"/>
      <w:numFmt w:val="bullet"/>
      <w:lvlText w:val=""/>
      <w:lvlJc w:val="left"/>
      <w:pPr>
        <w:ind w:left="5803" w:hanging="360"/>
      </w:pPr>
      <w:rPr>
        <w:rFonts w:ascii="Wingdings" w:hAnsi="Wingdings" w:hint="default"/>
      </w:rPr>
    </w:lvl>
    <w:lvl w:ilvl="6" w:tplc="04260001" w:tentative="1">
      <w:start w:val="1"/>
      <w:numFmt w:val="bullet"/>
      <w:lvlText w:val=""/>
      <w:lvlJc w:val="left"/>
      <w:pPr>
        <w:ind w:left="6523" w:hanging="360"/>
      </w:pPr>
      <w:rPr>
        <w:rFonts w:ascii="Symbol" w:hAnsi="Symbol" w:hint="default"/>
      </w:rPr>
    </w:lvl>
    <w:lvl w:ilvl="7" w:tplc="04260003" w:tentative="1">
      <w:start w:val="1"/>
      <w:numFmt w:val="bullet"/>
      <w:lvlText w:val="o"/>
      <w:lvlJc w:val="left"/>
      <w:pPr>
        <w:ind w:left="7243" w:hanging="360"/>
      </w:pPr>
      <w:rPr>
        <w:rFonts w:ascii="Courier New" w:hAnsi="Courier New" w:cs="Courier New" w:hint="default"/>
      </w:rPr>
    </w:lvl>
    <w:lvl w:ilvl="8" w:tplc="04260005" w:tentative="1">
      <w:start w:val="1"/>
      <w:numFmt w:val="bullet"/>
      <w:lvlText w:val=""/>
      <w:lvlJc w:val="left"/>
      <w:pPr>
        <w:ind w:left="7963" w:hanging="360"/>
      </w:pPr>
      <w:rPr>
        <w:rFonts w:ascii="Wingdings" w:hAnsi="Wingdings" w:hint="default"/>
      </w:rPr>
    </w:lvl>
  </w:abstractNum>
  <w:abstractNum w:abstractNumId="8">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nsid w:val="2E0C2B43"/>
    <w:multiLevelType w:val="hybridMultilevel"/>
    <w:tmpl w:val="9FE24136"/>
    <w:lvl w:ilvl="0" w:tplc="FDF08602">
      <w:start w:val="1"/>
      <w:numFmt w:val="decimal"/>
      <w:lvlText w:val="%1."/>
      <w:lvlJc w:val="left"/>
      <w:pPr>
        <w:ind w:left="360" w:hanging="360"/>
      </w:pPr>
      <w:rPr>
        <w:rFonts w:hint="default"/>
        <w:b/>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30A14BF1"/>
    <w:multiLevelType w:val="hybridMultilevel"/>
    <w:tmpl w:val="31F27340"/>
    <w:lvl w:ilvl="0" w:tplc="6DCA4DB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4F26CBC"/>
    <w:multiLevelType w:val="hybridMultilevel"/>
    <w:tmpl w:val="5880B9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5390F62"/>
    <w:multiLevelType w:val="hybridMultilevel"/>
    <w:tmpl w:val="84984BA8"/>
    <w:lvl w:ilvl="0" w:tplc="5D062E2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9B273DD"/>
    <w:multiLevelType w:val="multilevel"/>
    <w:tmpl w:val="E62471A2"/>
    <w:lvl w:ilvl="0">
      <w:start w:val="1"/>
      <w:numFmt w:val="bullet"/>
      <w:lvlText w:val=""/>
      <w:lvlJc w:val="left"/>
      <w:pPr>
        <w:ind w:left="220" w:hanging="360"/>
      </w:pPr>
      <w:rPr>
        <w:rFonts w:ascii="Symbol" w:hAnsi="Symbol" w:hint="default"/>
        <w:b/>
        <w:color w:val="2A2A2A"/>
      </w:rPr>
    </w:lvl>
    <w:lvl w:ilvl="1">
      <w:start w:val="1"/>
      <w:numFmt w:val="bullet"/>
      <w:lvlText w:val=""/>
      <w:lvlJc w:val="left"/>
      <w:pPr>
        <w:ind w:left="514" w:hanging="720"/>
      </w:pPr>
      <w:rPr>
        <w:rFonts w:ascii="Symbol" w:hAnsi="Symbol" w:hint="default"/>
        <w:b w:val="0"/>
      </w:rPr>
    </w:lvl>
    <w:lvl w:ilvl="2">
      <w:start w:val="1"/>
      <w:numFmt w:val="decimal"/>
      <w:lvlText w:val="%3."/>
      <w:lvlJc w:val="left"/>
      <w:pPr>
        <w:ind w:left="514" w:hanging="720"/>
      </w:pPr>
      <w:rPr>
        <w:rFonts w:hint="default"/>
      </w:rPr>
    </w:lvl>
    <w:lvl w:ilvl="3">
      <w:start w:val="1"/>
      <w:numFmt w:val="decimal"/>
      <w:isLgl/>
      <w:lvlText w:val="%1.%2.%3.%4."/>
      <w:lvlJc w:val="left"/>
      <w:pPr>
        <w:ind w:left="874" w:hanging="1080"/>
      </w:pPr>
      <w:rPr>
        <w:rFonts w:hint="default"/>
      </w:rPr>
    </w:lvl>
    <w:lvl w:ilvl="4">
      <w:start w:val="1"/>
      <w:numFmt w:val="decimal"/>
      <w:isLgl/>
      <w:lvlText w:val="%1.%2.%3.%4.%5."/>
      <w:lvlJc w:val="left"/>
      <w:pPr>
        <w:ind w:left="874" w:hanging="1080"/>
      </w:pPr>
      <w:rPr>
        <w:rFonts w:hint="default"/>
      </w:rPr>
    </w:lvl>
    <w:lvl w:ilvl="5">
      <w:start w:val="1"/>
      <w:numFmt w:val="decimal"/>
      <w:isLgl/>
      <w:lvlText w:val="%1.%2.%3.%4.%5.%6."/>
      <w:lvlJc w:val="left"/>
      <w:pPr>
        <w:ind w:left="1234" w:hanging="1440"/>
      </w:pPr>
      <w:rPr>
        <w:rFonts w:hint="default"/>
      </w:rPr>
    </w:lvl>
    <w:lvl w:ilvl="6">
      <w:start w:val="1"/>
      <w:numFmt w:val="decimal"/>
      <w:isLgl/>
      <w:lvlText w:val="%1.%2.%3.%4.%5.%6.%7."/>
      <w:lvlJc w:val="left"/>
      <w:pPr>
        <w:ind w:left="1594" w:hanging="1800"/>
      </w:pPr>
      <w:rPr>
        <w:rFonts w:hint="default"/>
      </w:rPr>
    </w:lvl>
    <w:lvl w:ilvl="7">
      <w:start w:val="1"/>
      <w:numFmt w:val="decimal"/>
      <w:isLgl/>
      <w:lvlText w:val="%1.%2.%3.%4.%5.%6.%7.%8."/>
      <w:lvlJc w:val="left"/>
      <w:pPr>
        <w:ind w:left="1594" w:hanging="1800"/>
      </w:pPr>
      <w:rPr>
        <w:rFonts w:hint="default"/>
      </w:rPr>
    </w:lvl>
    <w:lvl w:ilvl="8">
      <w:start w:val="1"/>
      <w:numFmt w:val="decimal"/>
      <w:isLgl/>
      <w:lvlText w:val="%1.%2.%3.%4.%5.%6.%7.%8.%9."/>
      <w:lvlJc w:val="left"/>
      <w:pPr>
        <w:ind w:left="1954" w:hanging="2160"/>
      </w:pPr>
      <w:rPr>
        <w:rFonts w:hint="default"/>
      </w:rPr>
    </w:lvl>
  </w:abstractNum>
  <w:abstractNum w:abstractNumId="14">
    <w:nsid w:val="4A2F2020"/>
    <w:multiLevelType w:val="multilevel"/>
    <w:tmpl w:val="8BA47384"/>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15">
    <w:nsid w:val="4DE51BC4"/>
    <w:multiLevelType w:val="multilevel"/>
    <w:tmpl w:val="C4E4013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6A41649"/>
    <w:multiLevelType w:val="hybridMultilevel"/>
    <w:tmpl w:val="116A5F94"/>
    <w:lvl w:ilvl="0" w:tplc="0A42E12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7FB7BA6"/>
    <w:multiLevelType w:val="hybridMultilevel"/>
    <w:tmpl w:val="B722205C"/>
    <w:lvl w:ilvl="0" w:tplc="F63AC374">
      <w:start w:val="8"/>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BA7550F"/>
    <w:multiLevelType w:val="hybridMultilevel"/>
    <w:tmpl w:val="D44AC09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63B73AC8"/>
    <w:multiLevelType w:val="hybridMultilevel"/>
    <w:tmpl w:val="8DA21C44"/>
    <w:lvl w:ilvl="0" w:tplc="7D6C3AD0">
      <w:start w:val="169"/>
      <w:numFmt w:val="bullet"/>
      <w:lvlText w:val="-"/>
      <w:lvlJc w:val="left"/>
      <w:pPr>
        <w:ind w:left="720" w:hanging="360"/>
      </w:pPr>
      <w:rPr>
        <w:rFonts w:ascii="Times New Roman" w:eastAsia="Times New Roman" w:hAnsi="Times New Roman" w:cs="Times New Roman" w:hint="default"/>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outline w:val="0"/>
        <w:shadow w:val="0"/>
        <w:emboss w:val="0"/>
        <w:imprint w:val="0"/>
        <w:vanish w:val="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nsid w:val="7163309D"/>
    <w:multiLevelType w:val="hybridMultilevel"/>
    <w:tmpl w:val="9732D044"/>
    <w:lvl w:ilvl="0" w:tplc="6DCA4DB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B2D4189"/>
    <w:multiLevelType w:val="multilevel"/>
    <w:tmpl w:val="83A26788"/>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i w:val="0"/>
        <w:sz w:val="28"/>
        <w:szCs w:val="28"/>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7DB8419C"/>
    <w:multiLevelType w:val="hybridMultilevel"/>
    <w:tmpl w:val="983E088E"/>
    <w:lvl w:ilvl="0" w:tplc="5D062E2E">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21"/>
  </w:num>
  <w:num w:numId="2">
    <w:abstractNumId w:val="13"/>
  </w:num>
  <w:num w:numId="3">
    <w:abstractNumId w:val="2"/>
  </w:num>
  <w:num w:numId="4">
    <w:abstractNumId w:val="4"/>
  </w:num>
  <w:num w:numId="5">
    <w:abstractNumId w:val="3"/>
  </w:num>
  <w:num w:numId="6">
    <w:abstractNumId w:val="11"/>
  </w:num>
  <w:num w:numId="7">
    <w:abstractNumId w:val="5"/>
  </w:num>
  <w:num w:numId="8">
    <w:abstractNumId w:val="18"/>
  </w:num>
  <w:num w:numId="9">
    <w:abstractNumId w:val="19"/>
  </w:num>
  <w:num w:numId="10">
    <w:abstractNumId w:val="23"/>
  </w:num>
  <w:num w:numId="11">
    <w:abstractNumId w:val="7"/>
  </w:num>
  <w:num w:numId="12">
    <w:abstractNumId w:val="0"/>
  </w:num>
  <w:num w:numId="13">
    <w:abstractNumId w:val="14"/>
  </w:num>
  <w:num w:numId="14">
    <w:abstractNumId w:val="1"/>
  </w:num>
  <w:num w:numId="15">
    <w:abstractNumId w:val="20"/>
  </w:num>
  <w:num w:numId="16">
    <w:abstractNumId w:val="9"/>
  </w:num>
  <w:num w:numId="17">
    <w:abstractNumId w:val="15"/>
  </w:num>
  <w:num w:numId="18">
    <w:abstractNumId w:val="12"/>
  </w:num>
  <w:num w:numId="19">
    <w:abstractNumId w:val="24"/>
  </w:num>
  <w:num w:numId="20">
    <w:abstractNumId w:val="8"/>
  </w:num>
  <w:num w:numId="21">
    <w:abstractNumId w:val="10"/>
  </w:num>
  <w:num w:numId="22">
    <w:abstractNumId w:val="22"/>
  </w:num>
  <w:num w:numId="23">
    <w:abstractNumId w:val="16"/>
  </w:num>
  <w:num w:numId="24">
    <w:abstractNumId w:val="17"/>
  </w:num>
  <w:num w:numId="25">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07EF"/>
    <w:rsid w:val="00000FB9"/>
    <w:rsid w:val="00001C60"/>
    <w:rsid w:val="00003D7F"/>
    <w:rsid w:val="000058C9"/>
    <w:rsid w:val="00010DB1"/>
    <w:rsid w:val="00011294"/>
    <w:rsid w:val="00011914"/>
    <w:rsid w:val="00011D24"/>
    <w:rsid w:val="00012389"/>
    <w:rsid w:val="00013AD5"/>
    <w:rsid w:val="00013DBA"/>
    <w:rsid w:val="00013FF4"/>
    <w:rsid w:val="000157C7"/>
    <w:rsid w:val="00017D80"/>
    <w:rsid w:val="00020A88"/>
    <w:rsid w:val="00020FE1"/>
    <w:rsid w:val="00021C35"/>
    <w:rsid w:val="000220A6"/>
    <w:rsid w:val="00022E13"/>
    <w:rsid w:val="000244EF"/>
    <w:rsid w:val="00030800"/>
    <w:rsid w:val="00030FC0"/>
    <w:rsid w:val="000315D2"/>
    <w:rsid w:val="00031FA2"/>
    <w:rsid w:val="00032388"/>
    <w:rsid w:val="00035CE2"/>
    <w:rsid w:val="00037D2D"/>
    <w:rsid w:val="00041DB8"/>
    <w:rsid w:val="00043AF1"/>
    <w:rsid w:val="00043EC4"/>
    <w:rsid w:val="00043FC8"/>
    <w:rsid w:val="00046430"/>
    <w:rsid w:val="00046577"/>
    <w:rsid w:val="00046E7C"/>
    <w:rsid w:val="00050254"/>
    <w:rsid w:val="00052E94"/>
    <w:rsid w:val="0005389F"/>
    <w:rsid w:val="00053B9C"/>
    <w:rsid w:val="000545DD"/>
    <w:rsid w:val="0005553B"/>
    <w:rsid w:val="000604D2"/>
    <w:rsid w:val="00060B07"/>
    <w:rsid w:val="00060B7A"/>
    <w:rsid w:val="00061210"/>
    <w:rsid w:val="0006162D"/>
    <w:rsid w:val="00064903"/>
    <w:rsid w:val="00065067"/>
    <w:rsid w:val="00065C42"/>
    <w:rsid w:val="000738F3"/>
    <w:rsid w:val="0007436E"/>
    <w:rsid w:val="000757BC"/>
    <w:rsid w:val="000768F9"/>
    <w:rsid w:val="000804E7"/>
    <w:rsid w:val="00083996"/>
    <w:rsid w:val="00084A96"/>
    <w:rsid w:val="00085736"/>
    <w:rsid w:val="000862E2"/>
    <w:rsid w:val="00086621"/>
    <w:rsid w:val="0009005E"/>
    <w:rsid w:val="000901B8"/>
    <w:rsid w:val="00092FA1"/>
    <w:rsid w:val="000938DD"/>
    <w:rsid w:val="000941C5"/>
    <w:rsid w:val="00094963"/>
    <w:rsid w:val="00094CE7"/>
    <w:rsid w:val="000954A5"/>
    <w:rsid w:val="00095A68"/>
    <w:rsid w:val="00095B2B"/>
    <w:rsid w:val="000964D0"/>
    <w:rsid w:val="000A380C"/>
    <w:rsid w:val="000A381B"/>
    <w:rsid w:val="000A3C62"/>
    <w:rsid w:val="000A4EC1"/>
    <w:rsid w:val="000A4FE7"/>
    <w:rsid w:val="000A52ED"/>
    <w:rsid w:val="000A5827"/>
    <w:rsid w:val="000A631B"/>
    <w:rsid w:val="000A6451"/>
    <w:rsid w:val="000A74EB"/>
    <w:rsid w:val="000B01A0"/>
    <w:rsid w:val="000B064E"/>
    <w:rsid w:val="000B2AA5"/>
    <w:rsid w:val="000B3DD5"/>
    <w:rsid w:val="000B5B13"/>
    <w:rsid w:val="000B6454"/>
    <w:rsid w:val="000B69CF"/>
    <w:rsid w:val="000B6AC0"/>
    <w:rsid w:val="000B713E"/>
    <w:rsid w:val="000B7562"/>
    <w:rsid w:val="000C0510"/>
    <w:rsid w:val="000C0FF0"/>
    <w:rsid w:val="000C3111"/>
    <w:rsid w:val="000C32E0"/>
    <w:rsid w:val="000C3C27"/>
    <w:rsid w:val="000C4E25"/>
    <w:rsid w:val="000C5022"/>
    <w:rsid w:val="000C62AE"/>
    <w:rsid w:val="000C66DE"/>
    <w:rsid w:val="000C7665"/>
    <w:rsid w:val="000C790C"/>
    <w:rsid w:val="000D0916"/>
    <w:rsid w:val="000D1644"/>
    <w:rsid w:val="000D2466"/>
    <w:rsid w:val="000D4289"/>
    <w:rsid w:val="000D488F"/>
    <w:rsid w:val="000D7D43"/>
    <w:rsid w:val="000E0238"/>
    <w:rsid w:val="000E02E8"/>
    <w:rsid w:val="000E0912"/>
    <w:rsid w:val="000E1216"/>
    <w:rsid w:val="000E193B"/>
    <w:rsid w:val="000E3E00"/>
    <w:rsid w:val="000E46FC"/>
    <w:rsid w:val="000E535E"/>
    <w:rsid w:val="000E72DA"/>
    <w:rsid w:val="000F017A"/>
    <w:rsid w:val="000F061D"/>
    <w:rsid w:val="000F127C"/>
    <w:rsid w:val="000F24C7"/>
    <w:rsid w:val="000F2A5D"/>
    <w:rsid w:val="000F3299"/>
    <w:rsid w:val="000F4150"/>
    <w:rsid w:val="000F4794"/>
    <w:rsid w:val="000F6B39"/>
    <w:rsid w:val="00100D94"/>
    <w:rsid w:val="001029F7"/>
    <w:rsid w:val="001039B1"/>
    <w:rsid w:val="00103FFB"/>
    <w:rsid w:val="001061B7"/>
    <w:rsid w:val="001062C4"/>
    <w:rsid w:val="00111039"/>
    <w:rsid w:val="00111BD0"/>
    <w:rsid w:val="00112396"/>
    <w:rsid w:val="00112602"/>
    <w:rsid w:val="00113127"/>
    <w:rsid w:val="00113D06"/>
    <w:rsid w:val="00116498"/>
    <w:rsid w:val="00120DC1"/>
    <w:rsid w:val="001231BB"/>
    <w:rsid w:val="001234E6"/>
    <w:rsid w:val="00123CDF"/>
    <w:rsid w:val="0012449A"/>
    <w:rsid w:val="00124F12"/>
    <w:rsid w:val="0012622D"/>
    <w:rsid w:val="0012655D"/>
    <w:rsid w:val="00127062"/>
    <w:rsid w:val="00131921"/>
    <w:rsid w:val="001347AB"/>
    <w:rsid w:val="0013627D"/>
    <w:rsid w:val="00137FB2"/>
    <w:rsid w:val="00144351"/>
    <w:rsid w:val="00144E3A"/>
    <w:rsid w:val="00145304"/>
    <w:rsid w:val="00150037"/>
    <w:rsid w:val="0015060C"/>
    <w:rsid w:val="00150DBF"/>
    <w:rsid w:val="001518E0"/>
    <w:rsid w:val="00153888"/>
    <w:rsid w:val="00153CF8"/>
    <w:rsid w:val="00156BBA"/>
    <w:rsid w:val="00156D77"/>
    <w:rsid w:val="00157CE1"/>
    <w:rsid w:val="0016018A"/>
    <w:rsid w:val="001612EB"/>
    <w:rsid w:val="00161F0E"/>
    <w:rsid w:val="001627E6"/>
    <w:rsid w:val="00164354"/>
    <w:rsid w:val="00165D59"/>
    <w:rsid w:val="00166E03"/>
    <w:rsid w:val="00170E2A"/>
    <w:rsid w:val="001722A0"/>
    <w:rsid w:val="001732ED"/>
    <w:rsid w:val="00175328"/>
    <w:rsid w:val="00177394"/>
    <w:rsid w:val="0018056D"/>
    <w:rsid w:val="0018093B"/>
    <w:rsid w:val="00182C18"/>
    <w:rsid w:val="00183CC2"/>
    <w:rsid w:val="001849D8"/>
    <w:rsid w:val="00185D7F"/>
    <w:rsid w:val="00187460"/>
    <w:rsid w:val="001877A1"/>
    <w:rsid w:val="00187F59"/>
    <w:rsid w:val="00187F94"/>
    <w:rsid w:val="001900E4"/>
    <w:rsid w:val="00190F88"/>
    <w:rsid w:val="0019161F"/>
    <w:rsid w:val="001917C8"/>
    <w:rsid w:val="00191AC8"/>
    <w:rsid w:val="00192CC1"/>
    <w:rsid w:val="00194F81"/>
    <w:rsid w:val="00195EF1"/>
    <w:rsid w:val="00196DCF"/>
    <w:rsid w:val="00197E06"/>
    <w:rsid w:val="001A14D4"/>
    <w:rsid w:val="001A2F93"/>
    <w:rsid w:val="001A33E1"/>
    <w:rsid w:val="001A35F2"/>
    <w:rsid w:val="001A4066"/>
    <w:rsid w:val="001A6AE4"/>
    <w:rsid w:val="001A71BA"/>
    <w:rsid w:val="001A75EA"/>
    <w:rsid w:val="001B01FD"/>
    <w:rsid w:val="001B14D1"/>
    <w:rsid w:val="001B2720"/>
    <w:rsid w:val="001B29D5"/>
    <w:rsid w:val="001B4A71"/>
    <w:rsid w:val="001B646C"/>
    <w:rsid w:val="001C0207"/>
    <w:rsid w:val="001C6577"/>
    <w:rsid w:val="001D5850"/>
    <w:rsid w:val="001D5B54"/>
    <w:rsid w:val="001D64BE"/>
    <w:rsid w:val="001D77D4"/>
    <w:rsid w:val="001E10A4"/>
    <w:rsid w:val="001E1383"/>
    <w:rsid w:val="001E1DBF"/>
    <w:rsid w:val="001E318A"/>
    <w:rsid w:val="001E4639"/>
    <w:rsid w:val="001E4857"/>
    <w:rsid w:val="001E4A7D"/>
    <w:rsid w:val="001E4C07"/>
    <w:rsid w:val="001E57AB"/>
    <w:rsid w:val="001E6353"/>
    <w:rsid w:val="001E7972"/>
    <w:rsid w:val="001E7BF0"/>
    <w:rsid w:val="001F4209"/>
    <w:rsid w:val="001F43A8"/>
    <w:rsid w:val="001F44B1"/>
    <w:rsid w:val="001F4DFA"/>
    <w:rsid w:val="001F5CD6"/>
    <w:rsid w:val="001F6290"/>
    <w:rsid w:val="001F6570"/>
    <w:rsid w:val="001F6804"/>
    <w:rsid w:val="00203EBA"/>
    <w:rsid w:val="00204A43"/>
    <w:rsid w:val="00206529"/>
    <w:rsid w:val="002075EC"/>
    <w:rsid w:val="00210029"/>
    <w:rsid w:val="002106A5"/>
    <w:rsid w:val="0021176C"/>
    <w:rsid w:val="0021263D"/>
    <w:rsid w:val="00213F0C"/>
    <w:rsid w:val="00214094"/>
    <w:rsid w:val="00215125"/>
    <w:rsid w:val="0021592D"/>
    <w:rsid w:val="00215B07"/>
    <w:rsid w:val="0021754C"/>
    <w:rsid w:val="002204F5"/>
    <w:rsid w:val="00221805"/>
    <w:rsid w:val="00222356"/>
    <w:rsid w:val="002228BE"/>
    <w:rsid w:val="00222BA2"/>
    <w:rsid w:val="00222D76"/>
    <w:rsid w:val="0022363E"/>
    <w:rsid w:val="00223B65"/>
    <w:rsid w:val="00223EB1"/>
    <w:rsid w:val="00224B65"/>
    <w:rsid w:val="002303CA"/>
    <w:rsid w:val="00230443"/>
    <w:rsid w:val="00231344"/>
    <w:rsid w:val="002322E4"/>
    <w:rsid w:val="002333C0"/>
    <w:rsid w:val="00233761"/>
    <w:rsid w:val="0023436E"/>
    <w:rsid w:val="002347C0"/>
    <w:rsid w:val="00234D48"/>
    <w:rsid w:val="0023550F"/>
    <w:rsid w:val="00236C89"/>
    <w:rsid w:val="002408AE"/>
    <w:rsid w:val="00241A6C"/>
    <w:rsid w:val="00241BF4"/>
    <w:rsid w:val="00241F8A"/>
    <w:rsid w:val="00242D2B"/>
    <w:rsid w:val="00243069"/>
    <w:rsid w:val="00243362"/>
    <w:rsid w:val="002442A3"/>
    <w:rsid w:val="00244303"/>
    <w:rsid w:val="00244CDE"/>
    <w:rsid w:val="00245503"/>
    <w:rsid w:val="0024564A"/>
    <w:rsid w:val="00247828"/>
    <w:rsid w:val="002504E9"/>
    <w:rsid w:val="00251545"/>
    <w:rsid w:val="00251674"/>
    <w:rsid w:val="0025188A"/>
    <w:rsid w:val="002518FC"/>
    <w:rsid w:val="00262510"/>
    <w:rsid w:val="00262E2B"/>
    <w:rsid w:val="00263358"/>
    <w:rsid w:val="00265832"/>
    <w:rsid w:val="00267442"/>
    <w:rsid w:val="00270429"/>
    <w:rsid w:val="00271D14"/>
    <w:rsid w:val="00271D99"/>
    <w:rsid w:val="002723E9"/>
    <w:rsid w:val="002734A9"/>
    <w:rsid w:val="00273979"/>
    <w:rsid w:val="00277929"/>
    <w:rsid w:val="00277A1D"/>
    <w:rsid w:val="00277AD4"/>
    <w:rsid w:val="00281FB0"/>
    <w:rsid w:val="002825FA"/>
    <w:rsid w:val="00283B82"/>
    <w:rsid w:val="0028404C"/>
    <w:rsid w:val="002846E9"/>
    <w:rsid w:val="00284C34"/>
    <w:rsid w:val="00285B77"/>
    <w:rsid w:val="0028639C"/>
    <w:rsid w:val="00286884"/>
    <w:rsid w:val="00286ABF"/>
    <w:rsid w:val="0029066C"/>
    <w:rsid w:val="002906F6"/>
    <w:rsid w:val="00292C46"/>
    <w:rsid w:val="00292CB5"/>
    <w:rsid w:val="00295301"/>
    <w:rsid w:val="00295F49"/>
    <w:rsid w:val="002A05F8"/>
    <w:rsid w:val="002A18EA"/>
    <w:rsid w:val="002A2E2D"/>
    <w:rsid w:val="002A3B89"/>
    <w:rsid w:val="002A4FD3"/>
    <w:rsid w:val="002A5C62"/>
    <w:rsid w:val="002A760E"/>
    <w:rsid w:val="002B07D9"/>
    <w:rsid w:val="002B428B"/>
    <w:rsid w:val="002B50DB"/>
    <w:rsid w:val="002B77B4"/>
    <w:rsid w:val="002C0674"/>
    <w:rsid w:val="002C0D1E"/>
    <w:rsid w:val="002C11B0"/>
    <w:rsid w:val="002C12AB"/>
    <w:rsid w:val="002C15C1"/>
    <w:rsid w:val="002C2123"/>
    <w:rsid w:val="002C229B"/>
    <w:rsid w:val="002C4401"/>
    <w:rsid w:val="002C67DB"/>
    <w:rsid w:val="002C6EB3"/>
    <w:rsid w:val="002C7CAC"/>
    <w:rsid w:val="002D0A32"/>
    <w:rsid w:val="002D3306"/>
    <w:rsid w:val="002D48AA"/>
    <w:rsid w:val="002D6390"/>
    <w:rsid w:val="002D6683"/>
    <w:rsid w:val="002D7659"/>
    <w:rsid w:val="002D7B7C"/>
    <w:rsid w:val="002D7BAA"/>
    <w:rsid w:val="002D7F54"/>
    <w:rsid w:val="002E01C7"/>
    <w:rsid w:val="002E2FA1"/>
    <w:rsid w:val="002E3A53"/>
    <w:rsid w:val="002E3FF4"/>
    <w:rsid w:val="002E6572"/>
    <w:rsid w:val="002F0E05"/>
    <w:rsid w:val="002F3228"/>
    <w:rsid w:val="002F35E5"/>
    <w:rsid w:val="002F39C7"/>
    <w:rsid w:val="002F6FC4"/>
    <w:rsid w:val="002F78C8"/>
    <w:rsid w:val="002F7BCD"/>
    <w:rsid w:val="0030050B"/>
    <w:rsid w:val="003006DA"/>
    <w:rsid w:val="003016AD"/>
    <w:rsid w:val="00301CF3"/>
    <w:rsid w:val="003022A2"/>
    <w:rsid w:val="00302DD5"/>
    <w:rsid w:val="003055E7"/>
    <w:rsid w:val="003059CF"/>
    <w:rsid w:val="003063C1"/>
    <w:rsid w:val="00306852"/>
    <w:rsid w:val="00307BC8"/>
    <w:rsid w:val="00307ED0"/>
    <w:rsid w:val="003113C8"/>
    <w:rsid w:val="003160DF"/>
    <w:rsid w:val="00316D16"/>
    <w:rsid w:val="003206F7"/>
    <w:rsid w:val="0032176B"/>
    <w:rsid w:val="00321B63"/>
    <w:rsid w:val="00322D97"/>
    <w:rsid w:val="0032434F"/>
    <w:rsid w:val="003247D3"/>
    <w:rsid w:val="00325DC1"/>
    <w:rsid w:val="003261B7"/>
    <w:rsid w:val="00326AF1"/>
    <w:rsid w:val="0032715C"/>
    <w:rsid w:val="00327CDC"/>
    <w:rsid w:val="00330D3A"/>
    <w:rsid w:val="0033114F"/>
    <w:rsid w:val="00332271"/>
    <w:rsid w:val="00332EC6"/>
    <w:rsid w:val="00334BC5"/>
    <w:rsid w:val="00335156"/>
    <w:rsid w:val="003351AE"/>
    <w:rsid w:val="00337CA5"/>
    <w:rsid w:val="0034051C"/>
    <w:rsid w:val="0034210D"/>
    <w:rsid w:val="0034322F"/>
    <w:rsid w:val="003434F3"/>
    <w:rsid w:val="00343601"/>
    <w:rsid w:val="0034598F"/>
    <w:rsid w:val="003466CA"/>
    <w:rsid w:val="003537FD"/>
    <w:rsid w:val="003543B0"/>
    <w:rsid w:val="00361FD8"/>
    <w:rsid w:val="00362410"/>
    <w:rsid w:val="00362478"/>
    <w:rsid w:val="00362D93"/>
    <w:rsid w:val="00363B37"/>
    <w:rsid w:val="00364EF7"/>
    <w:rsid w:val="00367861"/>
    <w:rsid w:val="00367C3B"/>
    <w:rsid w:val="00370AD6"/>
    <w:rsid w:val="00370FF7"/>
    <w:rsid w:val="003720FB"/>
    <w:rsid w:val="00374D9E"/>
    <w:rsid w:val="0037549B"/>
    <w:rsid w:val="003758A0"/>
    <w:rsid w:val="00375B25"/>
    <w:rsid w:val="00377019"/>
    <w:rsid w:val="0037786A"/>
    <w:rsid w:val="0038132C"/>
    <w:rsid w:val="00383B2E"/>
    <w:rsid w:val="00385295"/>
    <w:rsid w:val="00387DAF"/>
    <w:rsid w:val="003906A6"/>
    <w:rsid w:val="00390AE2"/>
    <w:rsid w:val="00391C58"/>
    <w:rsid w:val="00392F31"/>
    <w:rsid w:val="00393441"/>
    <w:rsid w:val="00393A0E"/>
    <w:rsid w:val="00396542"/>
    <w:rsid w:val="0039685B"/>
    <w:rsid w:val="003A1AA3"/>
    <w:rsid w:val="003A1BB5"/>
    <w:rsid w:val="003A1D69"/>
    <w:rsid w:val="003A31A6"/>
    <w:rsid w:val="003A47C5"/>
    <w:rsid w:val="003A4DE6"/>
    <w:rsid w:val="003A55C5"/>
    <w:rsid w:val="003A5F6E"/>
    <w:rsid w:val="003A669D"/>
    <w:rsid w:val="003A7F0C"/>
    <w:rsid w:val="003A7F79"/>
    <w:rsid w:val="003B195B"/>
    <w:rsid w:val="003B234D"/>
    <w:rsid w:val="003B4AEB"/>
    <w:rsid w:val="003B5ED7"/>
    <w:rsid w:val="003B6404"/>
    <w:rsid w:val="003B696C"/>
    <w:rsid w:val="003B6D22"/>
    <w:rsid w:val="003C1760"/>
    <w:rsid w:val="003C1EF3"/>
    <w:rsid w:val="003C2FCB"/>
    <w:rsid w:val="003C449B"/>
    <w:rsid w:val="003C505E"/>
    <w:rsid w:val="003C6AFA"/>
    <w:rsid w:val="003C7145"/>
    <w:rsid w:val="003D21FF"/>
    <w:rsid w:val="003D2BEC"/>
    <w:rsid w:val="003D3158"/>
    <w:rsid w:val="003D3FA3"/>
    <w:rsid w:val="003D4DBA"/>
    <w:rsid w:val="003D7221"/>
    <w:rsid w:val="003D7708"/>
    <w:rsid w:val="003D791B"/>
    <w:rsid w:val="003E071F"/>
    <w:rsid w:val="003E1ABD"/>
    <w:rsid w:val="003E1B4D"/>
    <w:rsid w:val="003E6026"/>
    <w:rsid w:val="003F0112"/>
    <w:rsid w:val="003F0181"/>
    <w:rsid w:val="003F071A"/>
    <w:rsid w:val="003F0D36"/>
    <w:rsid w:val="003F160B"/>
    <w:rsid w:val="003F2A25"/>
    <w:rsid w:val="003F32AF"/>
    <w:rsid w:val="003F5D4B"/>
    <w:rsid w:val="003F65DE"/>
    <w:rsid w:val="003F67C0"/>
    <w:rsid w:val="00400032"/>
    <w:rsid w:val="00400B5B"/>
    <w:rsid w:val="004020DF"/>
    <w:rsid w:val="0040356D"/>
    <w:rsid w:val="00403DC0"/>
    <w:rsid w:val="00404C43"/>
    <w:rsid w:val="00405A00"/>
    <w:rsid w:val="00406891"/>
    <w:rsid w:val="00407070"/>
    <w:rsid w:val="004076DB"/>
    <w:rsid w:val="004102E9"/>
    <w:rsid w:val="004108F7"/>
    <w:rsid w:val="00410C30"/>
    <w:rsid w:val="004114A0"/>
    <w:rsid w:val="004130F9"/>
    <w:rsid w:val="00413E2D"/>
    <w:rsid w:val="00413F79"/>
    <w:rsid w:val="00414291"/>
    <w:rsid w:val="00417C02"/>
    <w:rsid w:val="00420870"/>
    <w:rsid w:val="00425DC3"/>
    <w:rsid w:val="00425E33"/>
    <w:rsid w:val="00425FC0"/>
    <w:rsid w:val="00426664"/>
    <w:rsid w:val="00427067"/>
    <w:rsid w:val="0043184E"/>
    <w:rsid w:val="00432D0C"/>
    <w:rsid w:val="00432DEC"/>
    <w:rsid w:val="0043642F"/>
    <w:rsid w:val="0043791B"/>
    <w:rsid w:val="004403AF"/>
    <w:rsid w:val="00440AED"/>
    <w:rsid w:val="004411F3"/>
    <w:rsid w:val="00441483"/>
    <w:rsid w:val="00441BCB"/>
    <w:rsid w:val="00441D79"/>
    <w:rsid w:val="00442AC9"/>
    <w:rsid w:val="00445198"/>
    <w:rsid w:val="00445E81"/>
    <w:rsid w:val="00450DF2"/>
    <w:rsid w:val="00450E9E"/>
    <w:rsid w:val="0045176A"/>
    <w:rsid w:val="00452563"/>
    <w:rsid w:val="00452AC6"/>
    <w:rsid w:val="00452BA5"/>
    <w:rsid w:val="00453F59"/>
    <w:rsid w:val="00455179"/>
    <w:rsid w:val="0045563C"/>
    <w:rsid w:val="00456332"/>
    <w:rsid w:val="00460709"/>
    <w:rsid w:val="00461045"/>
    <w:rsid w:val="00461826"/>
    <w:rsid w:val="004620BF"/>
    <w:rsid w:val="0046237E"/>
    <w:rsid w:val="00462432"/>
    <w:rsid w:val="00462F80"/>
    <w:rsid w:val="004667EF"/>
    <w:rsid w:val="00470013"/>
    <w:rsid w:val="00470309"/>
    <w:rsid w:val="004703D2"/>
    <w:rsid w:val="00470BB7"/>
    <w:rsid w:val="00471F21"/>
    <w:rsid w:val="00473C70"/>
    <w:rsid w:val="00474955"/>
    <w:rsid w:val="004751E2"/>
    <w:rsid w:val="004756FA"/>
    <w:rsid w:val="004764F8"/>
    <w:rsid w:val="00477032"/>
    <w:rsid w:val="004800F9"/>
    <w:rsid w:val="00482182"/>
    <w:rsid w:val="004823BE"/>
    <w:rsid w:val="00482487"/>
    <w:rsid w:val="004840B2"/>
    <w:rsid w:val="004847E2"/>
    <w:rsid w:val="00485F52"/>
    <w:rsid w:val="004865DD"/>
    <w:rsid w:val="00486F54"/>
    <w:rsid w:val="00487F3B"/>
    <w:rsid w:val="0049040F"/>
    <w:rsid w:val="0049134A"/>
    <w:rsid w:val="0049251D"/>
    <w:rsid w:val="00495205"/>
    <w:rsid w:val="00496A89"/>
    <w:rsid w:val="00496FEC"/>
    <w:rsid w:val="00497711"/>
    <w:rsid w:val="004A01C7"/>
    <w:rsid w:val="004A05EF"/>
    <w:rsid w:val="004A0E66"/>
    <w:rsid w:val="004A29BA"/>
    <w:rsid w:val="004A37A5"/>
    <w:rsid w:val="004A53FF"/>
    <w:rsid w:val="004A58CB"/>
    <w:rsid w:val="004A5F72"/>
    <w:rsid w:val="004A6178"/>
    <w:rsid w:val="004A70C4"/>
    <w:rsid w:val="004A7A22"/>
    <w:rsid w:val="004A7D16"/>
    <w:rsid w:val="004B1795"/>
    <w:rsid w:val="004B49A4"/>
    <w:rsid w:val="004B56DD"/>
    <w:rsid w:val="004B751A"/>
    <w:rsid w:val="004B7999"/>
    <w:rsid w:val="004B7CFC"/>
    <w:rsid w:val="004C020F"/>
    <w:rsid w:val="004C1AFD"/>
    <w:rsid w:val="004C1E6F"/>
    <w:rsid w:val="004C3157"/>
    <w:rsid w:val="004C322F"/>
    <w:rsid w:val="004C37AF"/>
    <w:rsid w:val="004C385F"/>
    <w:rsid w:val="004C3BEB"/>
    <w:rsid w:val="004C3EA9"/>
    <w:rsid w:val="004C558B"/>
    <w:rsid w:val="004C5DB4"/>
    <w:rsid w:val="004C663A"/>
    <w:rsid w:val="004C74BD"/>
    <w:rsid w:val="004C7CAC"/>
    <w:rsid w:val="004D0B68"/>
    <w:rsid w:val="004D1791"/>
    <w:rsid w:val="004D1FC3"/>
    <w:rsid w:val="004D2145"/>
    <w:rsid w:val="004D2886"/>
    <w:rsid w:val="004D3B0F"/>
    <w:rsid w:val="004D70F8"/>
    <w:rsid w:val="004D7982"/>
    <w:rsid w:val="004E0BC4"/>
    <w:rsid w:val="004E2B73"/>
    <w:rsid w:val="004E4615"/>
    <w:rsid w:val="004E5711"/>
    <w:rsid w:val="004E6275"/>
    <w:rsid w:val="004E6B25"/>
    <w:rsid w:val="004E6F47"/>
    <w:rsid w:val="004F0B4F"/>
    <w:rsid w:val="004F1F88"/>
    <w:rsid w:val="004F42DA"/>
    <w:rsid w:val="004F443F"/>
    <w:rsid w:val="004F4C95"/>
    <w:rsid w:val="004F5F1B"/>
    <w:rsid w:val="004F6188"/>
    <w:rsid w:val="004F67DF"/>
    <w:rsid w:val="004F7038"/>
    <w:rsid w:val="004F74AA"/>
    <w:rsid w:val="004F7734"/>
    <w:rsid w:val="00501BD8"/>
    <w:rsid w:val="00502374"/>
    <w:rsid w:val="00503D5F"/>
    <w:rsid w:val="00503F42"/>
    <w:rsid w:val="005060A1"/>
    <w:rsid w:val="00506121"/>
    <w:rsid w:val="00514B97"/>
    <w:rsid w:val="00514E83"/>
    <w:rsid w:val="00514FCE"/>
    <w:rsid w:val="0051565F"/>
    <w:rsid w:val="00516072"/>
    <w:rsid w:val="00517060"/>
    <w:rsid w:val="0052004A"/>
    <w:rsid w:val="005217D8"/>
    <w:rsid w:val="00521D64"/>
    <w:rsid w:val="00522DC8"/>
    <w:rsid w:val="00526158"/>
    <w:rsid w:val="005267C9"/>
    <w:rsid w:val="005269E9"/>
    <w:rsid w:val="005300C6"/>
    <w:rsid w:val="0053138A"/>
    <w:rsid w:val="005332EC"/>
    <w:rsid w:val="00533AA7"/>
    <w:rsid w:val="00534418"/>
    <w:rsid w:val="00534C69"/>
    <w:rsid w:val="005353AB"/>
    <w:rsid w:val="00536325"/>
    <w:rsid w:val="00540810"/>
    <w:rsid w:val="00541992"/>
    <w:rsid w:val="00543243"/>
    <w:rsid w:val="005459BA"/>
    <w:rsid w:val="005478CB"/>
    <w:rsid w:val="0055152B"/>
    <w:rsid w:val="005527E6"/>
    <w:rsid w:val="005530EC"/>
    <w:rsid w:val="00555101"/>
    <w:rsid w:val="005555DA"/>
    <w:rsid w:val="005560BC"/>
    <w:rsid w:val="005573BE"/>
    <w:rsid w:val="00557B4A"/>
    <w:rsid w:val="005609A3"/>
    <w:rsid w:val="00560ED8"/>
    <w:rsid w:val="0056164F"/>
    <w:rsid w:val="005624EF"/>
    <w:rsid w:val="00563CC8"/>
    <w:rsid w:val="00565694"/>
    <w:rsid w:val="00567D80"/>
    <w:rsid w:val="00571028"/>
    <w:rsid w:val="005710A4"/>
    <w:rsid w:val="00571102"/>
    <w:rsid w:val="005726AB"/>
    <w:rsid w:val="00572700"/>
    <w:rsid w:val="00572830"/>
    <w:rsid w:val="00572D22"/>
    <w:rsid w:val="0057520A"/>
    <w:rsid w:val="0057541E"/>
    <w:rsid w:val="00576EDF"/>
    <w:rsid w:val="00577C6A"/>
    <w:rsid w:val="00580468"/>
    <w:rsid w:val="00581F45"/>
    <w:rsid w:val="00582231"/>
    <w:rsid w:val="00582A10"/>
    <w:rsid w:val="0058389E"/>
    <w:rsid w:val="005839CB"/>
    <w:rsid w:val="00584517"/>
    <w:rsid w:val="00584C46"/>
    <w:rsid w:val="00585377"/>
    <w:rsid w:val="0058603B"/>
    <w:rsid w:val="0058733D"/>
    <w:rsid w:val="00587E56"/>
    <w:rsid w:val="00592406"/>
    <w:rsid w:val="0059431B"/>
    <w:rsid w:val="00595C9A"/>
    <w:rsid w:val="005968C0"/>
    <w:rsid w:val="005A0AF8"/>
    <w:rsid w:val="005A39CC"/>
    <w:rsid w:val="005A3C46"/>
    <w:rsid w:val="005A4441"/>
    <w:rsid w:val="005A4462"/>
    <w:rsid w:val="005A580A"/>
    <w:rsid w:val="005A7FB0"/>
    <w:rsid w:val="005B08B8"/>
    <w:rsid w:val="005B31E2"/>
    <w:rsid w:val="005B4730"/>
    <w:rsid w:val="005B529A"/>
    <w:rsid w:val="005B65EC"/>
    <w:rsid w:val="005B6C35"/>
    <w:rsid w:val="005C31FF"/>
    <w:rsid w:val="005C5535"/>
    <w:rsid w:val="005C6808"/>
    <w:rsid w:val="005C70FA"/>
    <w:rsid w:val="005C7BB3"/>
    <w:rsid w:val="005C7C1C"/>
    <w:rsid w:val="005D00CD"/>
    <w:rsid w:val="005D0694"/>
    <w:rsid w:val="005D1D21"/>
    <w:rsid w:val="005D37D0"/>
    <w:rsid w:val="005D4DC0"/>
    <w:rsid w:val="005D5B3C"/>
    <w:rsid w:val="005D6EC2"/>
    <w:rsid w:val="005E015F"/>
    <w:rsid w:val="005E05D7"/>
    <w:rsid w:val="005E20B8"/>
    <w:rsid w:val="005E41E7"/>
    <w:rsid w:val="005E4215"/>
    <w:rsid w:val="005E450F"/>
    <w:rsid w:val="005F2628"/>
    <w:rsid w:val="005F4175"/>
    <w:rsid w:val="005F4B2C"/>
    <w:rsid w:val="005F67A6"/>
    <w:rsid w:val="005F6ADD"/>
    <w:rsid w:val="00601EF2"/>
    <w:rsid w:val="0060255B"/>
    <w:rsid w:val="00602933"/>
    <w:rsid w:val="00602DBF"/>
    <w:rsid w:val="00604B5A"/>
    <w:rsid w:val="006105DB"/>
    <w:rsid w:val="006119C1"/>
    <w:rsid w:val="006126B1"/>
    <w:rsid w:val="00612E22"/>
    <w:rsid w:val="00613614"/>
    <w:rsid w:val="006142B9"/>
    <w:rsid w:val="00616711"/>
    <w:rsid w:val="00616D20"/>
    <w:rsid w:val="00617557"/>
    <w:rsid w:val="00617662"/>
    <w:rsid w:val="00620E97"/>
    <w:rsid w:val="00621638"/>
    <w:rsid w:val="006225AC"/>
    <w:rsid w:val="006227CA"/>
    <w:rsid w:val="0062298A"/>
    <w:rsid w:val="00623B9B"/>
    <w:rsid w:val="00624C8A"/>
    <w:rsid w:val="00626514"/>
    <w:rsid w:val="00626589"/>
    <w:rsid w:val="00626E62"/>
    <w:rsid w:val="00630CA8"/>
    <w:rsid w:val="006332A6"/>
    <w:rsid w:val="00633767"/>
    <w:rsid w:val="00633997"/>
    <w:rsid w:val="006339A0"/>
    <w:rsid w:val="00634D07"/>
    <w:rsid w:val="00635252"/>
    <w:rsid w:val="0063634A"/>
    <w:rsid w:val="006409A5"/>
    <w:rsid w:val="0064111B"/>
    <w:rsid w:val="00641263"/>
    <w:rsid w:val="006413A8"/>
    <w:rsid w:val="00641FAD"/>
    <w:rsid w:val="00642E56"/>
    <w:rsid w:val="00642F36"/>
    <w:rsid w:val="00643CC3"/>
    <w:rsid w:val="00647339"/>
    <w:rsid w:val="0065105A"/>
    <w:rsid w:val="006518BC"/>
    <w:rsid w:val="00651E00"/>
    <w:rsid w:val="0065363E"/>
    <w:rsid w:val="00656EEB"/>
    <w:rsid w:val="00661A10"/>
    <w:rsid w:val="006629F4"/>
    <w:rsid w:val="006634B6"/>
    <w:rsid w:val="00663BD4"/>
    <w:rsid w:val="00663DDB"/>
    <w:rsid w:val="00664F19"/>
    <w:rsid w:val="0066515A"/>
    <w:rsid w:val="0066658B"/>
    <w:rsid w:val="00667335"/>
    <w:rsid w:val="00667D9F"/>
    <w:rsid w:val="006716E6"/>
    <w:rsid w:val="00671816"/>
    <w:rsid w:val="00672895"/>
    <w:rsid w:val="00672CC6"/>
    <w:rsid w:val="00674335"/>
    <w:rsid w:val="00674572"/>
    <w:rsid w:val="006748CB"/>
    <w:rsid w:val="00674FEE"/>
    <w:rsid w:val="006838BA"/>
    <w:rsid w:val="006852EC"/>
    <w:rsid w:val="00685873"/>
    <w:rsid w:val="00685C7E"/>
    <w:rsid w:val="00687763"/>
    <w:rsid w:val="00687969"/>
    <w:rsid w:val="00687DD9"/>
    <w:rsid w:val="00690D11"/>
    <w:rsid w:val="006929AC"/>
    <w:rsid w:val="00692A75"/>
    <w:rsid w:val="00692B0D"/>
    <w:rsid w:val="00693E0E"/>
    <w:rsid w:val="006959CB"/>
    <w:rsid w:val="00695EE2"/>
    <w:rsid w:val="006A018E"/>
    <w:rsid w:val="006A1173"/>
    <w:rsid w:val="006A1AE3"/>
    <w:rsid w:val="006A29B7"/>
    <w:rsid w:val="006A2FEC"/>
    <w:rsid w:val="006A4AA0"/>
    <w:rsid w:val="006A4CA8"/>
    <w:rsid w:val="006A4DFB"/>
    <w:rsid w:val="006A5578"/>
    <w:rsid w:val="006A6EAA"/>
    <w:rsid w:val="006A7E04"/>
    <w:rsid w:val="006B3470"/>
    <w:rsid w:val="006B3A27"/>
    <w:rsid w:val="006B67B8"/>
    <w:rsid w:val="006B740E"/>
    <w:rsid w:val="006C2ABD"/>
    <w:rsid w:val="006C2F3D"/>
    <w:rsid w:val="006C30E1"/>
    <w:rsid w:val="006C3764"/>
    <w:rsid w:val="006C418A"/>
    <w:rsid w:val="006C4607"/>
    <w:rsid w:val="006C55B0"/>
    <w:rsid w:val="006C6CEB"/>
    <w:rsid w:val="006C74C5"/>
    <w:rsid w:val="006D0493"/>
    <w:rsid w:val="006D0854"/>
    <w:rsid w:val="006D0873"/>
    <w:rsid w:val="006D1C88"/>
    <w:rsid w:val="006D48F1"/>
    <w:rsid w:val="006D639C"/>
    <w:rsid w:val="006E044E"/>
    <w:rsid w:val="006E1A03"/>
    <w:rsid w:val="006E21C6"/>
    <w:rsid w:val="006E2F90"/>
    <w:rsid w:val="006E3FE0"/>
    <w:rsid w:val="006E5288"/>
    <w:rsid w:val="006E626B"/>
    <w:rsid w:val="006F3BA2"/>
    <w:rsid w:val="006F45BE"/>
    <w:rsid w:val="006F5A31"/>
    <w:rsid w:val="006F61DA"/>
    <w:rsid w:val="006F66D9"/>
    <w:rsid w:val="006F698B"/>
    <w:rsid w:val="00700079"/>
    <w:rsid w:val="007004FC"/>
    <w:rsid w:val="00703487"/>
    <w:rsid w:val="00703A34"/>
    <w:rsid w:val="007054E1"/>
    <w:rsid w:val="00706548"/>
    <w:rsid w:val="00706670"/>
    <w:rsid w:val="00706F28"/>
    <w:rsid w:val="00710672"/>
    <w:rsid w:val="00710A86"/>
    <w:rsid w:val="00710B15"/>
    <w:rsid w:val="00710F56"/>
    <w:rsid w:val="00711F59"/>
    <w:rsid w:val="0071332C"/>
    <w:rsid w:val="00717437"/>
    <w:rsid w:val="00720B2E"/>
    <w:rsid w:val="007224E5"/>
    <w:rsid w:val="00722DF4"/>
    <w:rsid w:val="0072417C"/>
    <w:rsid w:val="00734450"/>
    <w:rsid w:val="00734E9B"/>
    <w:rsid w:val="00736B15"/>
    <w:rsid w:val="00740BC1"/>
    <w:rsid w:val="00741ABB"/>
    <w:rsid w:val="0074392E"/>
    <w:rsid w:val="00743E5D"/>
    <w:rsid w:val="007444A8"/>
    <w:rsid w:val="00744CAC"/>
    <w:rsid w:val="00745075"/>
    <w:rsid w:val="007450AF"/>
    <w:rsid w:val="00745F67"/>
    <w:rsid w:val="00746E7F"/>
    <w:rsid w:val="00746EB3"/>
    <w:rsid w:val="0075039E"/>
    <w:rsid w:val="00750FF0"/>
    <w:rsid w:val="00751BDE"/>
    <w:rsid w:val="007526D3"/>
    <w:rsid w:val="00752D9D"/>
    <w:rsid w:val="00754784"/>
    <w:rsid w:val="007551BF"/>
    <w:rsid w:val="00755DBD"/>
    <w:rsid w:val="00756F8C"/>
    <w:rsid w:val="00757B1B"/>
    <w:rsid w:val="00757C6E"/>
    <w:rsid w:val="00762BDA"/>
    <w:rsid w:val="00764F4F"/>
    <w:rsid w:val="00765787"/>
    <w:rsid w:val="007665D3"/>
    <w:rsid w:val="007669A7"/>
    <w:rsid w:val="0076757D"/>
    <w:rsid w:val="007770F4"/>
    <w:rsid w:val="00777614"/>
    <w:rsid w:val="00777ABC"/>
    <w:rsid w:val="00780081"/>
    <w:rsid w:val="007805DC"/>
    <w:rsid w:val="007805FD"/>
    <w:rsid w:val="00780D84"/>
    <w:rsid w:val="00781347"/>
    <w:rsid w:val="00781D69"/>
    <w:rsid w:val="00782C97"/>
    <w:rsid w:val="00782FCE"/>
    <w:rsid w:val="0078413D"/>
    <w:rsid w:val="00784422"/>
    <w:rsid w:val="00784494"/>
    <w:rsid w:val="007846C3"/>
    <w:rsid w:val="00785198"/>
    <w:rsid w:val="007903FD"/>
    <w:rsid w:val="00792967"/>
    <w:rsid w:val="00793D07"/>
    <w:rsid w:val="00796D3D"/>
    <w:rsid w:val="007A02E3"/>
    <w:rsid w:val="007A3342"/>
    <w:rsid w:val="007A38DB"/>
    <w:rsid w:val="007A4F3C"/>
    <w:rsid w:val="007A5080"/>
    <w:rsid w:val="007A7FDE"/>
    <w:rsid w:val="007B0541"/>
    <w:rsid w:val="007B084D"/>
    <w:rsid w:val="007B1781"/>
    <w:rsid w:val="007B3B54"/>
    <w:rsid w:val="007B3FA0"/>
    <w:rsid w:val="007B43BB"/>
    <w:rsid w:val="007B47D2"/>
    <w:rsid w:val="007B5343"/>
    <w:rsid w:val="007B6DC8"/>
    <w:rsid w:val="007B71ED"/>
    <w:rsid w:val="007B76CB"/>
    <w:rsid w:val="007B7F80"/>
    <w:rsid w:val="007C098F"/>
    <w:rsid w:val="007C0F2C"/>
    <w:rsid w:val="007C18A5"/>
    <w:rsid w:val="007C2BCC"/>
    <w:rsid w:val="007C3D5B"/>
    <w:rsid w:val="007C4E18"/>
    <w:rsid w:val="007C4EF0"/>
    <w:rsid w:val="007C5128"/>
    <w:rsid w:val="007C5993"/>
    <w:rsid w:val="007C62BB"/>
    <w:rsid w:val="007C7A93"/>
    <w:rsid w:val="007D099D"/>
    <w:rsid w:val="007D3C70"/>
    <w:rsid w:val="007D4150"/>
    <w:rsid w:val="007D5A1B"/>
    <w:rsid w:val="007D6105"/>
    <w:rsid w:val="007D66E1"/>
    <w:rsid w:val="007E1F60"/>
    <w:rsid w:val="007E2664"/>
    <w:rsid w:val="007E28B0"/>
    <w:rsid w:val="007E2A3E"/>
    <w:rsid w:val="007E2CFF"/>
    <w:rsid w:val="007E3ABF"/>
    <w:rsid w:val="007E3BFA"/>
    <w:rsid w:val="007E5843"/>
    <w:rsid w:val="007E5BFA"/>
    <w:rsid w:val="007E6689"/>
    <w:rsid w:val="007E6C2E"/>
    <w:rsid w:val="007E731C"/>
    <w:rsid w:val="007F0A03"/>
    <w:rsid w:val="007F5FBC"/>
    <w:rsid w:val="007F6513"/>
    <w:rsid w:val="00803D2B"/>
    <w:rsid w:val="0080471D"/>
    <w:rsid w:val="00810040"/>
    <w:rsid w:val="008112C5"/>
    <w:rsid w:val="00812E29"/>
    <w:rsid w:val="00816E8E"/>
    <w:rsid w:val="0082023A"/>
    <w:rsid w:val="00820A83"/>
    <w:rsid w:val="00821A7A"/>
    <w:rsid w:val="008253F8"/>
    <w:rsid w:val="00826B79"/>
    <w:rsid w:val="00826F2D"/>
    <w:rsid w:val="00827409"/>
    <w:rsid w:val="00827E29"/>
    <w:rsid w:val="00830392"/>
    <w:rsid w:val="00832182"/>
    <w:rsid w:val="008325E4"/>
    <w:rsid w:val="00832A2B"/>
    <w:rsid w:val="0083351C"/>
    <w:rsid w:val="00835D6B"/>
    <w:rsid w:val="0084222C"/>
    <w:rsid w:val="00843C5D"/>
    <w:rsid w:val="00845811"/>
    <w:rsid w:val="00846994"/>
    <w:rsid w:val="00850451"/>
    <w:rsid w:val="00851CAA"/>
    <w:rsid w:val="00851FAF"/>
    <w:rsid w:val="00852042"/>
    <w:rsid w:val="00852EC6"/>
    <w:rsid w:val="008534C9"/>
    <w:rsid w:val="00854725"/>
    <w:rsid w:val="00854A3F"/>
    <w:rsid w:val="0085564C"/>
    <w:rsid w:val="0085599D"/>
    <w:rsid w:val="00860288"/>
    <w:rsid w:val="00860D18"/>
    <w:rsid w:val="008627E0"/>
    <w:rsid w:val="0086510F"/>
    <w:rsid w:val="00865E9D"/>
    <w:rsid w:val="00872860"/>
    <w:rsid w:val="00872C34"/>
    <w:rsid w:val="0087510C"/>
    <w:rsid w:val="00875D72"/>
    <w:rsid w:val="00882A69"/>
    <w:rsid w:val="00882D59"/>
    <w:rsid w:val="008834C3"/>
    <w:rsid w:val="00884641"/>
    <w:rsid w:val="00884AF7"/>
    <w:rsid w:val="00885FEB"/>
    <w:rsid w:val="00887A7F"/>
    <w:rsid w:val="00890842"/>
    <w:rsid w:val="00892AC3"/>
    <w:rsid w:val="00894516"/>
    <w:rsid w:val="008959D1"/>
    <w:rsid w:val="008968D2"/>
    <w:rsid w:val="00897300"/>
    <w:rsid w:val="0089738E"/>
    <w:rsid w:val="008A19AD"/>
    <w:rsid w:val="008A1EAC"/>
    <w:rsid w:val="008A200F"/>
    <w:rsid w:val="008A419E"/>
    <w:rsid w:val="008A60E8"/>
    <w:rsid w:val="008A6200"/>
    <w:rsid w:val="008A67F9"/>
    <w:rsid w:val="008A6C64"/>
    <w:rsid w:val="008A7CD7"/>
    <w:rsid w:val="008B0077"/>
    <w:rsid w:val="008B1194"/>
    <w:rsid w:val="008B2401"/>
    <w:rsid w:val="008B305C"/>
    <w:rsid w:val="008B5C27"/>
    <w:rsid w:val="008B5FDB"/>
    <w:rsid w:val="008B7279"/>
    <w:rsid w:val="008B7890"/>
    <w:rsid w:val="008C3760"/>
    <w:rsid w:val="008C4E2C"/>
    <w:rsid w:val="008C50F4"/>
    <w:rsid w:val="008C5441"/>
    <w:rsid w:val="008C5649"/>
    <w:rsid w:val="008C60A7"/>
    <w:rsid w:val="008C735B"/>
    <w:rsid w:val="008D01E9"/>
    <w:rsid w:val="008D07A0"/>
    <w:rsid w:val="008D0936"/>
    <w:rsid w:val="008D19A1"/>
    <w:rsid w:val="008D280F"/>
    <w:rsid w:val="008D396D"/>
    <w:rsid w:val="008D3984"/>
    <w:rsid w:val="008D410F"/>
    <w:rsid w:val="008D462F"/>
    <w:rsid w:val="008D5A83"/>
    <w:rsid w:val="008D5C3C"/>
    <w:rsid w:val="008D6C8A"/>
    <w:rsid w:val="008E2253"/>
    <w:rsid w:val="008E2C20"/>
    <w:rsid w:val="008E3C8E"/>
    <w:rsid w:val="008E43F9"/>
    <w:rsid w:val="008E44A2"/>
    <w:rsid w:val="008E4FE3"/>
    <w:rsid w:val="008E67D1"/>
    <w:rsid w:val="008E697D"/>
    <w:rsid w:val="008E6A76"/>
    <w:rsid w:val="008E74E9"/>
    <w:rsid w:val="008E7B2E"/>
    <w:rsid w:val="008F0666"/>
    <w:rsid w:val="008F752C"/>
    <w:rsid w:val="00901C8E"/>
    <w:rsid w:val="00902A24"/>
    <w:rsid w:val="00903263"/>
    <w:rsid w:val="00905C52"/>
    <w:rsid w:val="00905F91"/>
    <w:rsid w:val="00906A21"/>
    <w:rsid w:val="009079C3"/>
    <w:rsid w:val="00910462"/>
    <w:rsid w:val="009107FF"/>
    <w:rsid w:val="009109F6"/>
    <w:rsid w:val="00911749"/>
    <w:rsid w:val="009123B2"/>
    <w:rsid w:val="009146A2"/>
    <w:rsid w:val="009153CD"/>
    <w:rsid w:val="00915AB1"/>
    <w:rsid w:val="00917532"/>
    <w:rsid w:val="00917599"/>
    <w:rsid w:val="00917E41"/>
    <w:rsid w:val="00920151"/>
    <w:rsid w:val="00920796"/>
    <w:rsid w:val="00920E7D"/>
    <w:rsid w:val="0092187A"/>
    <w:rsid w:val="0092217C"/>
    <w:rsid w:val="0092220A"/>
    <w:rsid w:val="00922DB7"/>
    <w:rsid w:val="009235BA"/>
    <w:rsid w:val="00923847"/>
    <w:rsid w:val="00924023"/>
    <w:rsid w:val="00924CE2"/>
    <w:rsid w:val="00925B9F"/>
    <w:rsid w:val="00925D15"/>
    <w:rsid w:val="00926508"/>
    <w:rsid w:val="00930CB1"/>
    <w:rsid w:val="00931AED"/>
    <w:rsid w:val="0093661A"/>
    <w:rsid w:val="00940C52"/>
    <w:rsid w:val="00940E81"/>
    <w:rsid w:val="00941715"/>
    <w:rsid w:val="0094386C"/>
    <w:rsid w:val="00944A67"/>
    <w:rsid w:val="00944CC6"/>
    <w:rsid w:val="009450F1"/>
    <w:rsid w:val="0094533A"/>
    <w:rsid w:val="00946184"/>
    <w:rsid w:val="00946BE3"/>
    <w:rsid w:val="009476A3"/>
    <w:rsid w:val="0095098D"/>
    <w:rsid w:val="00951C3D"/>
    <w:rsid w:val="0095334F"/>
    <w:rsid w:val="00953522"/>
    <w:rsid w:val="00953CE7"/>
    <w:rsid w:val="009574E1"/>
    <w:rsid w:val="009576F6"/>
    <w:rsid w:val="00960333"/>
    <w:rsid w:val="009606F2"/>
    <w:rsid w:val="0096272B"/>
    <w:rsid w:val="00963E1C"/>
    <w:rsid w:val="00964147"/>
    <w:rsid w:val="00965231"/>
    <w:rsid w:val="00965897"/>
    <w:rsid w:val="009662B7"/>
    <w:rsid w:val="0096630A"/>
    <w:rsid w:val="00966D50"/>
    <w:rsid w:val="0096748E"/>
    <w:rsid w:val="0096765C"/>
    <w:rsid w:val="00971882"/>
    <w:rsid w:val="009727E4"/>
    <w:rsid w:val="009734C6"/>
    <w:rsid w:val="0097461E"/>
    <w:rsid w:val="00974FF5"/>
    <w:rsid w:val="00975619"/>
    <w:rsid w:val="00975873"/>
    <w:rsid w:val="00975D4D"/>
    <w:rsid w:val="00975DDC"/>
    <w:rsid w:val="00976F6C"/>
    <w:rsid w:val="00982908"/>
    <w:rsid w:val="00982B9C"/>
    <w:rsid w:val="00984A4D"/>
    <w:rsid w:val="00984F92"/>
    <w:rsid w:val="00985FEE"/>
    <w:rsid w:val="0098651A"/>
    <w:rsid w:val="00991329"/>
    <w:rsid w:val="00991713"/>
    <w:rsid w:val="00992D5B"/>
    <w:rsid w:val="009934C5"/>
    <w:rsid w:val="009944A9"/>
    <w:rsid w:val="009944BE"/>
    <w:rsid w:val="009947C2"/>
    <w:rsid w:val="00994C0F"/>
    <w:rsid w:val="009A1CE5"/>
    <w:rsid w:val="009A2E58"/>
    <w:rsid w:val="009A2E70"/>
    <w:rsid w:val="009A5BE8"/>
    <w:rsid w:val="009A60B1"/>
    <w:rsid w:val="009A7508"/>
    <w:rsid w:val="009B006B"/>
    <w:rsid w:val="009B013F"/>
    <w:rsid w:val="009B1F1D"/>
    <w:rsid w:val="009B22D7"/>
    <w:rsid w:val="009B275C"/>
    <w:rsid w:val="009B4154"/>
    <w:rsid w:val="009B4BB1"/>
    <w:rsid w:val="009B5CEE"/>
    <w:rsid w:val="009B72ED"/>
    <w:rsid w:val="009C4639"/>
    <w:rsid w:val="009C588D"/>
    <w:rsid w:val="009C5D77"/>
    <w:rsid w:val="009C6DEB"/>
    <w:rsid w:val="009C6EA2"/>
    <w:rsid w:val="009C7936"/>
    <w:rsid w:val="009D0017"/>
    <w:rsid w:val="009D057A"/>
    <w:rsid w:val="009D0EFA"/>
    <w:rsid w:val="009D11AA"/>
    <w:rsid w:val="009D2A73"/>
    <w:rsid w:val="009D3EAF"/>
    <w:rsid w:val="009D4A3C"/>
    <w:rsid w:val="009D63E9"/>
    <w:rsid w:val="009D6504"/>
    <w:rsid w:val="009D6BBE"/>
    <w:rsid w:val="009E08CB"/>
    <w:rsid w:val="009E12D7"/>
    <w:rsid w:val="009E22AB"/>
    <w:rsid w:val="009E2CB0"/>
    <w:rsid w:val="009E5705"/>
    <w:rsid w:val="009E5930"/>
    <w:rsid w:val="009E5C50"/>
    <w:rsid w:val="009E661A"/>
    <w:rsid w:val="009E6E39"/>
    <w:rsid w:val="009E770F"/>
    <w:rsid w:val="009F184E"/>
    <w:rsid w:val="009F1D65"/>
    <w:rsid w:val="009F2240"/>
    <w:rsid w:val="009F2644"/>
    <w:rsid w:val="009F3446"/>
    <w:rsid w:val="009F3834"/>
    <w:rsid w:val="009F6926"/>
    <w:rsid w:val="009F769A"/>
    <w:rsid w:val="009F7BC9"/>
    <w:rsid w:val="00A00AA4"/>
    <w:rsid w:val="00A011A6"/>
    <w:rsid w:val="00A020AD"/>
    <w:rsid w:val="00A028E3"/>
    <w:rsid w:val="00A0372A"/>
    <w:rsid w:val="00A03BB6"/>
    <w:rsid w:val="00A03FD4"/>
    <w:rsid w:val="00A04BEE"/>
    <w:rsid w:val="00A04FA1"/>
    <w:rsid w:val="00A06781"/>
    <w:rsid w:val="00A074C3"/>
    <w:rsid w:val="00A106E0"/>
    <w:rsid w:val="00A10C36"/>
    <w:rsid w:val="00A11D93"/>
    <w:rsid w:val="00A127F2"/>
    <w:rsid w:val="00A1509C"/>
    <w:rsid w:val="00A202BF"/>
    <w:rsid w:val="00A20419"/>
    <w:rsid w:val="00A22AA5"/>
    <w:rsid w:val="00A23E46"/>
    <w:rsid w:val="00A249B9"/>
    <w:rsid w:val="00A303F2"/>
    <w:rsid w:val="00A30D20"/>
    <w:rsid w:val="00A30F0B"/>
    <w:rsid w:val="00A31354"/>
    <w:rsid w:val="00A34260"/>
    <w:rsid w:val="00A345DF"/>
    <w:rsid w:val="00A35B35"/>
    <w:rsid w:val="00A36444"/>
    <w:rsid w:val="00A36AEF"/>
    <w:rsid w:val="00A37486"/>
    <w:rsid w:val="00A42061"/>
    <w:rsid w:val="00A42282"/>
    <w:rsid w:val="00A42A4D"/>
    <w:rsid w:val="00A4734C"/>
    <w:rsid w:val="00A56775"/>
    <w:rsid w:val="00A567AC"/>
    <w:rsid w:val="00A56C50"/>
    <w:rsid w:val="00A60642"/>
    <w:rsid w:val="00A60E6D"/>
    <w:rsid w:val="00A618BF"/>
    <w:rsid w:val="00A62AF5"/>
    <w:rsid w:val="00A64686"/>
    <w:rsid w:val="00A6485B"/>
    <w:rsid w:val="00A65DB9"/>
    <w:rsid w:val="00A70CFD"/>
    <w:rsid w:val="00A721FB"/>
    <w:rsid w:val="00A72A0B"/>
    <w:rsid w:val="00A74FE2"/>
    <w:rsid w:val="00A75366"/>
    <w:rsid w:val="00A76C08"/>
    <w:rsid w:val="00A813BA"/>
    <w:rsid w:val="00A81E42"/>
    <w:rsid w:val="00A84B36"/>
    <w:rsid w:val="00A84E52"/>
    <w:rsid w:val="00A864FE"/>
    <w:rsid w:val="00A86D54"/>
    <w:rsid w:val="00A86E94"/>
    <w:rsid w:val="00A86F41"/>
    <w:rsid w:val="00A87D04"/>
    <w:rsid w:val="00A91C2D"/>
    <w:rsid w:val="00A93861"/>
    <w:rsid w:val="00A93C40"/>
    <w:rsid w:val="00A94F34"/>
    <w:rsid w:val="00A950C5"/>
    <w:rsid w:val="00AA1D25"/>
    <w:rsid w:val="00AA1E37"/>
    <w:rsid w:val="00AA4B6B"/>
    <w:rsid w:val="00AB0C60"/>
    <w:rsid w:val="00AB1B5E"/>
    <w:rsid w:val="00AB2B1A"/>
    <w:rsid w:val="00AB397F"/>
    <w:rsid w:val="00AB5738"/>
    <w:rsid w:val="00AB5832"/>
    <w:rsid w:val="00AB659F"/>
    <w:rsid w:val="00AB7BC1"/>
    <w:rsid w:val="00AC3E45"/>
    <w:rsid w:val="00AC51F2"/>
    <w:rsid w:val="00AD188D"/>
    <w:rsid w:val="00AD2BA4"/>
    <w:rsid w:val="00AD3269"/>
    <w:rsid w:val="00AD3D98"/>
    <w:rsid w:val="00AD3FEF"/>
    <w:rsid w:val="00AD45EF"/>
    <w:rsid w:val="00AD508C"/>
    <w:rsid w:val="00AD50DF"/>
    <w:rsid w:val="00AD56F9"/>
    <w:rsid w:val="00AD766E"/>
    <w:rsid w:val="00AE0CB0"/>
    <w:rsid w:val="00AE0E80"/>
    <w:rsid w:val="00AE193F"/>
    <w:rsid w:val="00AE502C"/>
    <w:rsid w:val="00AE5066"/>
    <w:rsid w:val="00AE5211"/>
    <w:rsid w:val="00AE58D8"/>
    <w:rsid w:val="00AE5E24"/>
    <w:rsid w:val="00AE61B7"/>
    <w:rsid w:val="00AE6A19"/>
    <w:rsid w:val="00AE6C88"/>
    <w:rsid w:val="00AE6CBA"/>
    <w:rsid w:val="00AE6FEF"/>
    <w:rsid w:val="00AE7793"/>
    <w:rsid w:val="00AE79AD"/>
    <w:rsid w:val="00AF0193"/>
    <w:rsid w:val="00AF0A78"/>
    <w:rsid w:val="00AF14EB"/>
    <w:rsid w:val="00AF35E4"/>
    <w:rsid w:val="00AF4734"/>
    <w:rsid w:val="00AF5496"/>
    <w:rsid w:val="00AF58E9"/>
    <w:rsid w:val="00AF5CDE"/>
    <w:rsid w:val="00B00CEB"/>
    <w:rsid w:val="00B00D18"/>
    <w:rsid w:val="00B02A19"/>
    <w:rsid w:val="00B05E0E"/>
    <w:rsid w:val="00B062A7"/>
    <w:rsid w:val="00B1092C"/>
    <w:rsid w:val="00B11A57"/>
    <w:rsid w:val="00B13844"/>
    <w:rsid w:val="00B13F9B"/>
    <w:rsid w:val="00B14B45"/>
    <w:rsid w:val="00B1690A"/>
    <w:rsid w:val="00B172CA"/>
    <w:rsid w:val="00B211C3"/>
    <w:rsid w:val="00B22DAA"/>
    <w:rsid w:val="00B234C3"/>
    <w:rsid w:val="00B23FBA"/>
    <w:rsid w:val="00B24206"/>
    <w:rsid w:val="00B25597"/>
    <w:rsid w:val="00B26284"/>
    <w:rsid w:val="00B267B9"/>
    <w:rsid w:val="00B311EF"/>
    <w:rsid w:val="00B32F76"/>
    <w:rsid w:val="00B33E09"/>
    <w:rsid w:val="00B33F69"/>
    <w:rsid w:val="00B35D5C"/>
    <w:rsid w:val="00B374B2"/>
    <w:rsid w:val="00B40BDF"/>
    <w:rsid w:val="00B42E11"/>
    <w:rsid w:val="00B43EE5"/>
    <w:rsid w:val="00B44AC4"/>
    <w:rsid w:val="00B45C4B"/>
    <w:rsid w:val="00B50708"/>
    <w:rsid w:val="00B50C68"/>
    <w:rsid w:val="00B5108F"/>
    <w:rsid w:val="00B51293"/>
    <w:rsid w:val="00B51A49"/>
    <w:rsid w:val="00B51F7D"/>
    <w:rsid w:val="00B52B1E"/>
    <w:rsid w:val="00B52CF4"/>
    <w:rsid w:val="00B54755"/>
    <w:rsid w:val="00B54BFA"/>
    <w:rsid w:val="00B54E1F"/>
    <w:rsid w:val="00B55481"/>
    <w:rsid w:val="00B554E2"/>
    <w:rsid w:val="00B55540"/>
    <w:rsid w:val="00B56C32"/>
    <w:rsid w:val="00B57ACF"/>
    <w:rsid w:val="00B614F7"/>
    <w:rsid w:val="00B61FA7"/>
    <w:rsid w:val="00B6242C"/>
    <w:rsid w:val="00B62716"/>
    <w:rsid w:val="00B63AC8"/>
    <w:rsid w:val="00B64708"/>
    <w:rsid w:val="00B64BB1"/>
    <w:rsid w:val="00B67963"/>
    <w:rsid w:val="00B7171E"/>
    <w:rsid w:val="00B718D0"/>
    <w:rsid w:val="00B72ADD"/>
    <w:rsid w:val="00B73166"/>
    <w:rsid w:val="00B748E5"/>
    <w:rsid w:val="00B7516F"/>
    <w:rsid w:val="00B76C96"/>
    <w:rsid w:val="00B779AD"/>
    <w:rsid w:val="00B80FFC"/>
    <w:rsid w:val="00B8135F"/>
    <w:rsid w:val="00B83896"/>
    <w:rsid w:val="00B83B69"/>
    <w:rsid w:val="00B8426C"/>
    <w:rsid w:val="00B84865"/>
    <w:rsid w:val="00B85337"/>
    <w:rsid w:val="00B86B37"/>
    <w:rsid w:val="00B86D05"/>
    <w:rsid w:val="00B86DA2"/>
    <w:rsid w:val="00B90203"/>
    <w:rsid w:val="00B90AC2"/>
    <w:rsid w:val="00B91B8D"/>
    <w:rsid w:val="00B91FFD"/>
    <w:rsid w:val="00B92629"/>
    <w:rsid w:val="00B9285F"/>
    <w:rsid w:val="00B92A34"/>
    <w:rsid w:val="00B94D0D"/>
    <w:rsid w:val="00B94E90"/>
    <w:rsid w:val="00B96FB9"/>
    <w:rsid w:val="00BA0065"/>
    <w:rsid w:val="00BA3622"/>
    <w:rsid w:val="00BA372E"/>
    <w:rsid w:val="00BA5C6A"/>
    <w:rsid w:val="00BA6031"/>
    <w:rsid w:val="00BA67EC"/>
    <w:rsid w:val="00BA6FF0"/>
    <w:rsid w:val="00BB0A82"/>
    <w:rsid w:val="00BB245E"/>
    <w:rsid w:val="00BB24BD"/>
    <w:rsid w:val="00BB3204"/>
    <w:rsid w:val="00BB4D17"/>
    <w:rsid w:val="00BB6607"/>
    <w:rsid w:val="00BB7C94"/>
    <w:rsid w:val="00BC0A9D"/>
    <w:rsid w:val="00BC2C7E"/>
    <w:rsid w:val="00BC3A4F"/>
    <w:rsid w:val="00BC4BA9"/>
    <w:rsid w:val="00BC50D4"/>
    <w:rsid w:val="00BD0646"/>
    <w:rsid w:val="00BD0A04"/>
    <w:rsid w:val="00BD10DE"/>
    <w:rsid w:val="00BD256E"/>
    <w:rsid w:val="00BD55DA"/>
    <w:rsid w:val="00BD61B2"/>
    <w:rsid w:val="00BD6D60"/>
    <w:rsid w:val="00BE04ED"/>
    <w:rsid w:val="00BE083D"/>
    <w:rsid w:val="00BE0AEB"/>
    <w:rsid w:val="00BE10B3"/>
    <w:rsid w:val="00BE2DCE"/>
    <w:rsid w:val="00BE4EC8"/>
    <w:rsid w:val="00BE5E9A"/>
    <w:rsid w:val="00BE6DC9"/>
    <w:rsid w:val="00BF0018"/>
    <w:rsid w:val="00BF059E"/>
    <w:rsid w:val="00BF1309"/>
    <w:rsid w:val="00BF1942"/>
    <w:rsid w:val="00BF40ED"/>
    <w:rsid w:val="00BF446F"/>
    <w:rsid w:val="00BF5BC2"/>
    <w:rsid w:val="00BF656D"/>
    <w:rsid w:val="00C01151"/>
    <w:rsid w:val="00C0120F"/>
    <w:rsid w:val="00C03C24"/>
    <w:rsid w:val="00C03D3B"/>
    <w:rsid w:val="00C045AB"/>
    <w:rsid w:val="00C060FA"/>
    <w:rsid w:val="00C07063"/>
    <w:rsid w:val="00C07D15"/>
    <w:rsid w:val="00C1133D"/>
    <w:rsid w:val="00C11941"/>
    <w:rsid w:val="00C13697"/>
    <w:rsid w:val="00C15380"/>
    <w:rsid w:val="00C15800"/>
    <w:rsid w:val="00C15BEB"/>
    <w:rsid w:val="00C238DD"/>
    <w:rsid w:val="00C24270"/>
    <w:rsid w:val="00C27A08"/>
    <w:rsid w:val="00C31312"/>
    <w:rsid w:val="00C31445"/>
    <w:rsid w:val="00C31E36"/>
    <w:rsid w:val="00C326C6"/>
    <w:rsid w:val="00C32876"/>
    <w:rsid w:val="00C33585"/>
    <w:rsid w:val="00C35295"/>
    <w:rsid w:val="00C36A64"/>
    <w:rsid w:val="00C36ADD"/>
    <w:rsid w:val="00C36E74"/>
    <w:rsid w:val="00C374DE"/>
    <w:rsid w:val="00C40595"/>
    <w:rsid w:val="00C41621"/>
    <w:rsid w:val="00C449FA"/>
    <w:rsid w:val="00C50808"/>
    <w:rsid w:val="00C53023"/>
    <w:rsid w:val="00C5384F"/>
    <w:rsid w:val="00C5405A"/>
    <w:rsid w:val="00C5501B"/>
    <w:rsid w:val="00C56964"/>
    <w:rsid w:val="00C656D5"/>
    <w:rsid w:val="00C6601E"/>
    <w:rsid w:val="00C67103"/>
    <w:rsid w:val="00C673B2"/>
    <w:rsid w:val="00C676F3"/>
    <w:rsid w:val="00C708DE"/>
    <w:rsid w:val="00C71BB9"/>
    <w:rsid w:val="00C71FE0"/>
    <w:rsid w:val="00C721A9"/>
    <w:rsid w:val="00C7244C"/>
    <w:rsid w:val="00C74539"/>
    <w:rsid w:val="00C75626"/>
    <w:rsid w:val="00C75E73"/>
    <w:rsid w:val="00C776E6"/>
    <w:rsid w:val="00C777C2"/>
    <w:rsid w:val="00C77ECE"/>
    <w:rsid w:val="00C82BB6"/>
    <w:rsid w:val="00C83412"/>
    <w:rsid w:val="00C840BE"/>
    <w:rsid w:val="00C86365"/>
    <w:rsid w:val="00C8656C"/>
    <w:rsid w:val="00C91FD0"/>
    <w:rsid w:val="00C926BE"/>
    <w:rsid w:val="00C94C28"/>
    <w:rsid w:val="00C94EB6"/>
    <w:rsid w:val="00CA048D"/>
    <w:rsid w:val="00CA0A3D"/>
    <w:rsid w:val="00CA2556"/>
    <w:rsid w:val="00CA2A49"/>
    <w:rsid w:val="00CA3AD3"/>
    <w:rsid w:val="00CA4995"/>
    <w:rsid w:val="00CA5BEC"/>
    <w:rsid w:val="00CA7289"/>
    <w:rsid w:val="00CB0247"/>
    <w:rsid w:val="00CB0601"/>
    <w:rsid w:val="00CB0A65"/>
    <w:rsid w:val="00CB2B21"/>
    <w:rsid w:val="00CB2D9F"/>
    <w:rsid w:val="00CB3440"/>
    <w:rsid w:val="00CB57DC"/>
    <w:rsid w:val="00CB5966"/>
    <w:rsid w:val="00CC0477"/>
    <w:rsid w:val="00CC1692"/>
    <w:rsid w:val="00CC3A7E"/>
    <w:rsid w:val="00CC5848"/>
    <w:rsid w:val="00CC5B93"/>
    <w:rsid w:val="00CC5D87"/>
    <w:rsid w:val="00CC6F38"/>
    <w:rsid w:val="00CC753C"/>
    <w:rsid w:val="00CD0F4D"/>
    <w:rsid w:val="00CD138B"/>
    <w:rsid w:val="00CD28AF"/>
    <w:rsid w:val="00CD33A6"/>
    <w:rsid w:val="00CD3E31"/>
    <w:rsid w:val="00CD3EAB"/>
    <w:rsid w:val="00CD5561"/>
    <w:rsid w:val="00CD5FF4"/>
    <w:rsid w:val="00CD74A3"/>
    <w:rsid w:val="00CD78E7"/>
    <w:rsid w:val="00CE0527"/>
    <w:rsid w:val="00CE26EB"/>
    <w:rsid w:val="00CE5B23"/>
    <w:rsid w:val="00CE5EA6"/>
    <w:rsid w:val="00CE63FF"/>
    <w:rsid w:val="00CF3F9A"/>
    <w:rsid w:val="00CF516F"/>
    <w:rsid w:val="00CF5856"/>
    <w:rsid w:val="00CF70AD"/>
    <w:rsid w:val="00CF7729"/>
    <w:rsid w:val="00D00059"/>
    <w:rsid w:val="00D0046B"/>
    <w:rsid w:val="00D014F5"/>
    <w:rsid w:val="00D0191F"/>
    <w:rsid w:val="00D02FDA"/>
    <w:rsid w:val="00D035E0"/>
    <w:rsid w:val="00D03765"/>
    <w:rsid w:val="00D0609D"/>
    <w:rsid w:val="00D07F40"/>
    <w:rsid w:val="00D107FA"/>
    <w:rsid w:val="00D12275"/>
    <w:rsid w:val="00D12766"/>
    <w:rsid w:val="00D12770"/>
    <w:rsid w:val="00D13D1E"/>
    <w:rsid w:val="00D1522F"/>
    <w:rsid w:val="00D162BB"/>
    <w:rsid w:val="00D1708B"/>
    <w:rsid w:val="00D17347"/>
    <w:rsid w:val="00D20FF4"/>
    <w:rsid w:val="00D22F39"/>
    <w:rsid w:val="00D24D2C"/>
    <w:rsid w:val="00D250A7"/>
    <w:rsid w:val="00D250C9"/>
    <w:rsid w:val="00D309C1"/>
    <w:rsid w:val="00D35881"/>
    <w:rsid w:val="00D37368"/>
    <w:rsid w:val="00D400E9"/>
    <w:rsid w:val="00D40F01"/>
    <w:rsid w:val="00D42A76"/>
    <w:rsid w:val="00D437AC"/>
    <w:rsid w:val="00D450EB"/>
    <w:rsid w:val="00D477D9"/>
    <w:rsid w:val="00D50470"/>
    <w:rsid w:val="00D5338F"/>
    <w:rsid w:val="00D54C9C"/>
    <w:rsid w:val="00D55A41"/>
    <w:rsid w:val="00D60570"/>
    <w:rsid w:val="00D606F7"/>
    <w:rsid w:val="00D61F49"/>
    <w:rsid w:val="00D63201"/>
    <w:rsid w:val="00D635B6"/>
    <w:rsid w:val="00D637F7"/>
    <w:rsid w:val="00D65A91"/>
    <w:rsid w:val="00D66B19"/>
    <w:rsid w:val="00D67C24"/>
    <w:rsid w:val="00D700F8"/>
    <w:rsid w:val="00D71DF2"/>
    <w:rsid w:val="00D74680"/>
    <w:rsid w:val="00D76B34"/>
    <w:rsid w:val="00D77783"/>
    <w:rsid w:val="00D81E79"/>
    <w:rsid w:val="00D81E91"/>
    <w:rsid w:val="00D83010"/>
    <w:rsid w:val="00D8340A"/>
    <w:rsid w:val="00D84F01"/>
    <w:rsid w:val="00D8634A"/>
    <w:rsid w:val="00D86B3F"/>
    <w:rsid w:val="00D901F2"/>
    <w:rsid w:val="00D90C2D"/>
    <w:rsid w:val="00D93C61"/>
    <w:rsid w:val="00D962E1"/>
    <w:rsid w:val="00D96B6F"/>
    <w:rsid w:val="00DA0685"/>
    <w:rsid w:val="00DA0BEF"/>
    <w:rsid w:val="00DA346A"/>
    <w:rsid w:val="00DA3749"/>
    <w:rsid w:val="00DA50E3"/>
    <w:rsid w:val="00DA59AC"/>
    <w:rsid w:val="00DA63EE"/>
    <w:rsid w:val="00DA7D07"/>
    <w:rsid w:val="00DA7DA5"/>
    <w:rsid w:val="00DB073B"/>
    <w:rsid w:val="00DB292E"/>
    <w:rsid w:val="00DB3BFB"/>
    <w:rsid w:val="00DB78F0"/>
    <w:rsid w:val="00DB79AA"/>
    <w:rsid w:val="00DB7C38"/>
    <w:rsid w:val="00DC0CEA"/>
    <w:rsid w:val="00DC1729"/>
    <w:rsid w:val="00DC225A"/>
    <w:rsid w:val="00DC2E43"/>
    <w:rsid w:val="00DC32B2"/>
    <w:rsid w:val="00DC3440"/>
    <w:rsid w:val="00DC3A38"/>
    <w:rsid w:val="00DC4CFF"/>
    <w:rsid w:val="00DC4D3C"/>
    <w:rsid w:val="00DC641F"/>
    <w:rsid w:val="00DC6A03"/>
    <w:rsid w:val="00DC78A2"/>
    <w:rsid w:val="00DD095C"/>
    <w:rsid w:val="00DD0EF8"/>
    <w:rsid w:val="00DD1020"/>
    <w:rsid w:val="00DD1125"/>
    <w:rsid w:val="00DD1330"/>
    <w:rsid w:val="00DD2C4A"/>
    <w:rsid w:val="00DD561B"/>
    <w:rsid w:val="00DD7AA6"/>
    <w:rsid w:val="00DD7EF3"/>
    <w:rsid w:val="00DE017B"/>
    <w:rsid w:val="00DE0B83"/>
    <w:rsid w:val="00DE1239"/>
    <w:rsid w:val="00DE1A81"/>
    <w:rsid w:val="00DE1C13"/>
    <w:rsid w:val="00DE2D0D"/>
    <w:rsid w:val="00DE4E10"/>
    <w:rsid w:val="00DE7B56"/>
    <w:rsid w:val="00DF199E"/>
    <w:rsid w:val="00DF6574"/>
    <w:rsid w:val="00DF69A4"/>
    <w:rsid w:val="00DF7889"/>
    <w:rsid w:val="00DF7B7B"/>
    <w:rsid w:val="00E02ABF"/>
    <w:rsid w:val="00E06485"/>
    <w:rsid w:val="00E1108A"/>
    <w:rsid w:val="00E11820"/>
    <w:rsid w:val="00E12CB1"/>
    <w:rsid w:val="00E12F6C"/>
    <w:rsid w:val="00E14995"/>
    <w:rsid w:val="00E162DD"/>
    <w:rsid w:val="00E1727D"/>
    <w:rsid w:val="00E179CD"/>
    <w:rsid w:val="00E20007"/>
    <w:rsid w:val="00E2007E"/>
    <w:rsid w:val="00E203AE"/>
    <w:rsid w:val="00E2079B"/>
    <w:rsid w:val="00E23E8D"/>
    <w:rsid w:val="00E2585A"/>
    <w:rsid w:val="00E336BC"/>
    <w:rsid w:val="00E336D8"/>
    <w:rsid w:val="00E37EAB"/>
    <w:rsid w:val="00E37F98"/>
    <w:rsid w:val="00E40B14"/>
    <w:rsid w:val="00E40B45"/>
    <w:rsid w:val="00E417E6"/>
    <w:rsid w:val="00E429D9"/>
    <w:rsid w:val="00E45348"/>
    <w:rsid w:val="00E459B7"/>
    <w:rsid w:val="00E46559"/>
    <w:rsid w:val="00E50563"/>
    <w:rsid w:val="00E509FF"/>
    <w:rsid w:val="00E50AC5"/>
    <w:rsid w:val="00E52D07"/>
    <w:rsid w:val="00E53DEF"/>
    <w:rsid w:val="00E5437E"/>
    <w:rsid w:val="00E547FE"/>
    <w:rsid w:val="00E5536D"/>
    <w:rsid w:val="00E55A35"/>
    <w:rsid w:val="00E56BB1"/>
    <w:rsid w:val="00E6073C"/>
    <w:rsid w:val="00E607E6"/>
    <w:rsid w:val="00E61434"/>
    <w:rsid w:val="00E622AB"/>
    <w:rsid w:val="00E62FC4"/>
    <w:rsid w:val="00E630EE"/>
    <w:rsid w:val="00E643CC"/>
    <w:rsid w:val="00E64BCE"/>
    <w:rsid w:val="00E65BD1"/>
    <w:rsid w:val="00E6670C"/>
    <w:rsid w:val="00E6693E"/>
    <w:rsid w:val="00E703FD"/>
    <w:rsid w:val="00E71479"/>
    <w:rsid w:val="00E72720"/>
    <w:rsid w:val="00E75156"/>
    <w:rsid w:val="00E77525"/>
    <w:rsid w:val="00E776E8"/>
    <w:rsid w:val="00E80598"/>
    <w:rsid w:val="00E80AAF"/>
    <w:rsid w:val="00E833B4"/>
    <w:rsid w:val="00E8397C"/>
    <w:rsid w:val="00E84356"/>
    <w:rsid w:val="00E8596C"/>
    <w:rsid w:val="00E86400"/>
    <w:rsid w:val="00E86DCD"/>
    <w:rsid w:val="00E90832"/>
    <w:rsid w:val="00E9299A"/>
    <w:rsid w:val="00E92C1F"/>
    <w:rsid w:val="00E9328B"/>
    <w:rsid w:val="00E94FC9"/>
    <w:rsid w:val="00E95D4B"/>
    <w:rsid w:val="00EA03D8"/>
    <w:rsid w:val="00EA1FEA"/>
    <w:rsid w:val="00EA797C"/>
    <w:rsid w:val="00EB0C90"/>
    <w:rsid w:val="00EB199F"/>
    <w:rsid w:val="00EB3476"/>
    <w:rsid w:val="00EB4A06"/>
    <w:rsid w:val="00EB5836"/>
    <w:rsid w:val="00EB5E71"/>
    <w:rsid w:val="00EC0444"/>
    <w:rsid w:val="00EC0717"/>
    <w:rsid w:val="00EC0B79"/>
    <w:rsid w:val="00EC1710"/>
    <w:rsid w:val="00EC23F7"/>
    <w:rsid w:val="00EC3D39"/>
    <w:rsid w:val="00EC4969"/>
    <w:rsid w:val="00EC4BD8"/>
    <w:rsid w:val="00EC63EB"/>
    <w:rsid w:val="00EC7CD9"/>
    <w:rsid w:val="00ED05C4"/>
    <w:rsid w:val="00ED074C"/>
    <w:rsid w:val="00ED0E1D"/>
    <w:rsid w:val="00ED356F"/>
    <w:rsid w:val="00ED412F"/>
    <w:rsid w:val="00ED4793"/>
    <w:rsid w:val="00EE0A57"/>
    <w:rsid w:val="00EE1218"/>
    <w:rsid w:val="00EE184D"/>
    <w:rsid w:val="00EE1C22"/>
    <w:rsid w:val="00EE48CD"/>
    <w:rsid w:val="00EE5C47"/>
    <w:rsid w:val="00EE5C76"/>
    <w:rsid w:val="00EE5CF9"/>
    <w:rsid w:val="00EE5EAA"/>
    <w:rsid w:val="00EF1CA1"/>
    <w:rsid w:val="00EF1E48"/>
    <w:rsid w:val="00EF317A"/>
    <w:rsid w:val="00EF36B2"/>
    <w:rsid w:val="00EF6B7C"/>
    <w:rsid w:val="00EF6CF4"/>
    <w:rsid w:val="00EF7550"/>
    <w:rsid w:val="00F008D9"/>
    <w:rsid w:val="00F00BC9"/>
    <w:rsid w:val="00F00E43"/>
    <w:rsid w:val="00F01985"/>
    <w:rsid w:val="00F02958"/>
    <w:rsid w:val="00F03552"/>
    <w:rsid w:val="00F06DAE"/>
    <w:rsid w:val="00F06DED"/>
    <w:rsid w:val="00F078E0"/>
    <w:rsid w:val="00F11126"/>
    <w:rsid w:val="00F1246B"/>
    <w:rsid w:val="00F138E9"/>
    <w:rsid w:val="00F13B2B"/>
    <w:rsid w:val="00F14ABD"/>
    <w:rsid w:val="00F1712D"/>
    <w:rsid w:val="00F17B84"/>
    <w:rsid w:val="00F201EC"/>
    <w:rsid w:val="00F208A9"/>
    <w:rsid w:val="00F21BD7"/>
    <w:rsid w:val="00F234CA"/>
    <w:rsid w:val="00F23EB2"/>
    <w:rsid w:val="00F25C22"/>
    <w:rsid w:val="00F27778"/>
    <w:rsid w:val="00F30A15"/>
    <w:rsid w:val="00F3317D"/>
    <w:rsid w:val="00F41D75"/>
    <w:rsid w:val="00F42719"/>
    <w:rsid w:val="00F42790"/>
    <w:rsid w:val="00F434F5"/>
    <w:rsid w:val="00F44C9D"/>
    <w:rsid w:val="00F454FB"/>
    <w:rsid w:val="00F457CB"/>
    <w:rsid w:val="00F45BA1"/>
    <w:rsid w:val="00F46414"/>
    <w:rsid w:val="00F50521"/>
    <w:rsid w:val="00F510B4"/>
    <w:rsid w:val="00F5139D"/>
    <w:rsid w:val="00F53EF0"/>
    <w:rsid w:val="00F54E2C"/>
    <w:rsid w:val="00F558E2"/>
    <w:rsid w:val="00F55C77"/>
    <w:rsid w:val="00F6096C"/>
    <w:rsid w:val="00F6140C"/>
    <w:rsid w:val="00F61E45"/>
    <w:rsid w:val="00F62BA0"/>
    <w:rsid w:val="00F63DAC"/>
    <w:rsid w:val="00F656A8"/>
    <w:rsid w:val="00F65813"/>
    <w:rsid w:val="00F70C6C"/>
    <w:rsid w:val="00F7125F"/>
    <w:rsid w:val="00F7180D"/>
    <w:rsid w:val="00F74211"/>
    <w:rsid w:val="00F7454F"/>
    <w:rsid w:val="00F745D1"/>
    <w:rsid w:val="00F75A8D"/>
    <w:rsid w:val="00F77988"/>
    <w:rsid w:val="00F77F48"/>
    <w:rsid w:val="00F80235"/>
    <w:rsid w:val="00F803A9"/>
    <w:rsid w:val="00F8309F"/>
    <w:rsid w:val="00F8321C"/>
    <w:rsid w:val="00F84741"/>
    <w:rsid w:val="00F84AB1"/>
    <w:rsid w:val="00F8573F"/>
    <w:rsid w:val="00F85B89"/>
    <w:rsid w:val="00F91081"/>
    <w:rsid w:val="00F92D7C"/>
    <w:rsid w:val="00F931B1"/>
    <w:rsid w:val="00F93D4D"/>
    <w:rsid w:val="00F945D9"/>
    <w:rsid w:val="00F9523D"/>
    <w:rsid w:val="00F95A92"/>
    <w:rsid w:val="00F971B2"/>
    <w:rsid w:val="00FA1696"/>
    <w:rsid w:val="00FA2817"/>
    <w:rsid w:val="00FA2BC5"/>
    <w:rsid w:val="00FA2E47"/>
    <w:rsid w:val="00FA5F90"/>
    <w:rsid w:val="00FA64DC"/>
    <w:rsid w:val="00FB0113"/>
    <w:rsid w:val="00FB09D4"/>
    <w:rsid w:val="00FB1BE1"/>
    <w:rsid w:val="00FB30F1"/>
    <w:rsid w:val="00FB4B23"/>
    <w:rsid w:val="00FB4FC6"/>
    <w:rsid w:val="00FB53E7"/>
    <w:rsid w:val="00FC0874"/>
    <w:rsid w:val="00FC1517"/>
    <w:rsid w:val="00FC18A3"/>
    <w:rsid w:val="00FD0D35"/>
    <w:rsid w:val="00FD0E86"/>
    <w:rsid w:val="00FD2187"/>
    <w:rsid w:val="00FD2A8A"/>
    <w:rsid w:val="00FD547D"/>
    <w:rsid w:val="00FD6C8F"/>
    <w:rsid w:val="00FD6D2D"/>
    <w:rsid w:val="00FD7218"/>
    <w:rsid w:val="00FE0C10"/>
    <w:rsid w:val="00FE0C93"/>
    <w:rsid w:val="00FE1DE5"/>
    <w:rsid w:val="00FE3B7B"/>
    <w:rsid w:val="00FE49A9"/>
    <w:rsid w:val="00FE4DBB"/>
    <w:rsid w:val="00FE4F79"/>
    <w:rsid w:val="00FE5A02"/>
    <w:rsid w:val="00FE6B8C"/>
    <w:rsid w:val="00FF0F2E"/>
    <w:rsid w:val="00FF1A52"/>
    <w:rsid w:val="00FF2CF7"/>
    <w:rsid w:val="00FF401F"/>
    <w:rsid w:val="00FF62AB"/>
    <w:rsid w:val="00FF6702"/>
    <w:rsid w:val="00FF6AEE"/>
    <w:rsid w:val="00FF6CA6"/>
    <w:rsid w:val="00FF7F7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B32F76"/>
    <w:rPr>
      <w:sz w:val="24"/>
      <w:szCs w:val="24"/>
    </w:rPr>
  </w:style>
  <w:style w:type="paragraph" w:styleId="Virsraksts1">
    <w:name w:val="heading 1"/>
    <w:basedOn w:val="Parastais"/>
    <w:next w:val="Parastais"/>
    <w:link w:val="Virsraksts1Rakstz"/>
    <w:qFormat/>
    <w:rsid w:val="00BB6607"/>
    <w:pPr>
      <w:keepNext/>
      <w:spacing w:before="240" w:after="60"/>
      <w:outlineLvl w:val="0"/>
    </w:pPr>
    <w:rPr>
      <w:rFonts w:ascii="Cambria" w:hAnsi="Cambria"/>
      <w:b/>
      <w:bCs/>
      <w:kern w:val="32"/>
      <w:sz w:val="32"/>
      <w:szCs w:val="32"/>
    </w:rPr>
  </w:style>
  <w:style w:type="paragraph" w:styleId="Virsraksts3">
    <w:name w:val="heading 3"/>
    <w:basedOn w:val="Parastais"/>
    <w:next w:val="Parastais"/>
    <w:link w:val="Virsraksts3Rakstz"/>
    <w:uiPriority w:val="9"/>
    <w:semiHidden/>
    <w:unhideWhenUsed/>
    <w:qFormat/>
    <w:rsid w:val="00706548"/>
    <w:pPr>
      <w:pBdr>
        <w:top w:val="dotted" w:sz="4" w:space="1" w:color="622423"/>
        <w:bottom w:val="dotted" w:sz="4" w:space="1" w:color="622423"/>
      </w:pBdr>
      <w:spacing w:before="300" w:after="200" w:line="252" w:lineRule="auto"/>
      <w:jc w:val="center"/>
      <w:outlineLvl w:val="2"/>
    </w:pPr>
    <w:rPr>
      <w:rFonts w:ascii="Cambria" w:eastAsia="Calibri" w:hAnsi="Cambria"/>
      <w:caps/>
      <w:color w:val="622423"/>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rsid w:val="008C5649"/>
    <w:rPr>
      <w:sz w:val="20"/>
      <w:szCs w:val="20"/>
    </w:rPr>
  </w:style>
  <w:style w:type="character" w:styleId="Vresatsauce">
    <w:name w:val="footnote reference"/>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rastaisWeb">
    <w:name w:val="Normal (Web)"/>
    <w:basedOn w:val="Parastais"/>
    <w:link w:val="ParastaisWebRakstz"/>
    <w:uiPriority w:val="99"/>
    <w:rsid w:val="00C83412"/>
    <w:pPr>
      <w:spacing w:before="100" w:beforeAutospacing="1" w:after="100" w:afterAutospacing="1"/>
    </w:pPr>
  </w:style>
  <w:style w:type="paragraph" w:styleId="Bezatstarpm">
    <w:name w:val="No Spacing"/>
    <w:link w:val="BezatstarpmRakstz"/>
    <w:uiPriority w:val="99"/>
    <w:qFormat/>
    <w:rsid w:val="00720B2E"/>
    <w:rPr>
      <w:rFonts w:ascii="Calibri" w:eastAsia="Calibri" w:hAnsi="Calibri"/>
      <w:sz w:val="22"/>
      <w:szCs w:val="22"/>
      <w:lang w:eastAsia="en-US"/>
    </w:rPr>
  </w:style>
  <w:style w:type="paragraph" w:customStyle="1" w:styleId="tv213">
    <w:name w:val="tv213"/>
    <w:basedOn w:val="Parastais"/>
    <w:rsid w:val="00065067"/>
    <w:pPr>
      <w:spacing w:before="100" w:beforeAutospacing="1" w:after="100" w:afterAutospacing="1"/>
    </w:pPr>
  </w:style>
  <w:style w:type="paragraph" w:customStyle="1" w:styleId="labojumupamats">
    <w:name w:val="labojumu_pamats"/>
    <w:basedOn w:val="Parastais"/>
    <w:rsid w:val="00065067"/>
    <w:pPr>
      <w:spacing w:before="100" w:beforeAutospacing="1" w:after="100" w:afterAutospacing="1"/>
    </w:pPr>
  </w:style>
  <w:style w:type="character" w:customStyle="1" w:styleId="spelle">
    <w:name w:val="spelle"/>
    <w:basedOn w:val="Noklusjumarindkopasfonts"/>
    <w:rsid w:val="003D3FA3"/>
  </w:style>
  <w:style w:type="character" w:customStyle="1" w:styleId="Virsraksts3Rakstz">
    <w:name w:val="Virsraksts 3 Rakstz."/>
    <w:basedOn w:val="Noklusjumarindkopasfonts"/>
    <w:link w:val="Virsraksts3"/>
    <w:uiPriority w:val="9"/>
    <w:semiHidden/>
    <w:rsid w:val="00706548"/>
    <w:rPr>
      <w:rFonts w:ascii="Cambria" w:eastAsia="Calibri" w:hAnsi="Cambria" w:cs="Times New Roman"/>
      <w:caps/>
      <w:color w:val="622423"/>
      <w:sz w:val="24"/>
      <w:szCs w:val="24"/>
      <w:lang w:val="lv-LV"/>
    </w:rPr>
  </w:style>
  <w:style w:type="paragraph" w:styleId="Sarakstarindkopa">
    <w:name w:val="List Paragraph"/>
    <w:aliases w:val="2,List Paragraph"/>
    <w:basedOn w:val="Parastais"/>
    <w:link w:val="SarakstarindkopaRakstz"/>
    <w:uiPriority w:val="34"/>
    <w:qFormat/>
    <w:rsid w:val="00470309"/>
    <w:pPr>
      <w:spacing w:after="200" w:line="276" w:lineRule="auto"/>
      <w:ind w:left="720"/>
      <w:contextualSpacing/>
    </w:pPr>
    <w:rPr>
      <w:rFonts w:ascii="Calibri" w:eastAsia="Calibri" w:hAnsi="Calibri"/>
      <w:sz w:val="22"/>
      <w:szCs w:val="22"/>
      <w:lang w:val="en-US" w:eastAsia="en-US"/>
    </w:rPr>
  </w:style>
  <w:style w:type="character" w:customStyle="1" w:styleId="ParastaisWebRakstz">
    <w:name w:val="Parastais (Web) Rakstz."/>
    <w:basedOn w:val="Noklusjumarindkopasfonts"/>
    <w:link w:val="ParastaisWeb"/>
    <w:rsid w:val="00470309"/>
    <w:rPr>
      <w:sz w:val="24"/>
      <w:szCs w:val="24"/>
      <w:lang w:val="lv-LV" w:eastAsia="lv-LV"/>
    </w:rPr>
  </w:style>
  <w:style w:type="character" w:customStyle="1" w:styleId="BezatstarpmRakstz">
    <w:name w:val="Bez atstarpēm Rakstz."/>
    <w:basedOn w:val="Noklusjumarindkopasfonts"/>
    <w:link w:val="Bezatstarpm"/>
    <w:uiPriority w:val="99"/>
    <w:rsid w:val="00BB4D17"/>
    <w:rPr>
      <w:rFonts w:ascii="Calibri" w:eastAsia="Calibri" w:hAnsi="Calibri"/>
      <w:sz w:val="22"/>
      <w:szCs w:val="22"/>
      <w:lang w:val="lv-LV" w:eastAsia="en-US" w:bidi="ar-SA"/>
    </w:rPr>
  </w:style>
  <w:style w:type="paragraph" w:customStyle="1" w:styleId="Statuti">
    <w:name w:val="Statuti"/>
    <w:basedOn w:val="Parastais"/>
    <w:rsid w:val="00462432"/>
    <w:pPr>
      <w:numPr>
        <w:ilvl w:val="3"/>
        <w:numId w:val="1"/>
      </w:numPr>
      <w:spacing w:line="360" w:lineRule="auto"/>
      <w:jc w:val="both"/>
    </w:pPr>
    <w:rPr>
      <w:rFonts w:ascii="Arial Narrow" w:hAnsi="Arial Narrow"/>
      <w:szCs w:val="20"/>
    </w:rPr>
  </w:style>
  <w:style w:type="paragraph" w:customStyle="1" w:styleId="Virsraksti4">
    <w:name w:val="Virsraksti4"/>
    <w:basedOn w:val="Parastais"/>
    <w:rsid w:val="00462432"/>
    <w:pPr>
      <w:numPr>
        <w:ilvl w:val="4"/>
        <w:numId w:val="1"/>
      </w:numPr>
      <w:spacing w:before="60" w:after="120"/>
    </w:pPr>
    <w:rPr>
      <w:szCs w:val="20"/>
    </w:rPr>
  </w:style>
  <w:style w:type="paragraph" w:customStyle="1" w:styleId="Virsraksti1">
    <w:name w:val="Virsraksti1"/>
    <w:basedOn w:val="Parastais"/>
    <w:rsid w:val="00462432"/>
    <w:pPr>
      <w:numPr>
        <w:numId w:val="1"/>
      </w:numPr>
      <w:ind w:left="0" w:firstLine="0"/>
    </w:pPr>
    <w:rPr>
      <w:rFonts w:eastAsia="Calibri"/>
      <w:szCs w:val="22"/>
      <w:lang w:eastAsia="en-US"/>
    </w:rPr>
  </w:style>
  <w:style w:type="paragraph" w:customStyle="1" w:styleId="Virsraksti2">
    <w:name w:val="Virsraksti_2"/>
    <w:basedOn w:val="Parastais"/>
    <w:rsid w:val="00462432"/>
    <w:pPr>
      <w:numPr>
        <w:ilvl w:val="1"/>
        <w:numId w:val="1"/>
      </w:numPr>
      <w:ind w:left="0" w:firstLine="0"/>
    </w:pPr>
    <w:rPr>
      <w:rFonts w:eastAsia="Calibri"/>
      <w:szCs w:val="22"/>
      <w:lang w:eastAsia="en-US"/>
    </w:rPr>
  </w:style>
  <w:style w:type="paragraph" w:customStyle="1" w:styleId="Virsraksti3">
    <w:name w:val="Virsraksti_3"/>
    <w:basedOn w:val="Parastais"/>
    <w:rsid w:val="00462432"/>
    <w:pPr>
      <w:numPr>
        <w:ilvl w:val="2"/>
        <w:numId w:val="1"/>
      </w:numPr>
      <w:ind w:left="0" w:firstLine="0"/>
    </w:pPr>
    <w:rPr>
      <w:rFonts w:eastAsia="Calibri"/>
      <w:szCs w:val="22"/>
      <w:lang w:eastAsia="en-US"/>
    </w:rPr>
  </w:style>
  <w:style w:type="character" w:customStyle="1" w:styleId="VrestekstsRakstz">
    <w:name w:val="Vēres teksts Rakstz."/>
    <w:basedOn w:val="Noklusjumarindkopasfonts"/>
    <w:link w:val="Vresteksts"/>
    <w:rsid w:val="00462432"/>
    <w:rPr>
      <w:lang w:val="lv-LV" w:eastAsia="lv-LV"/>
    </w:rPr>
  </w:style>
  <w:style w:type="paragraph" w:styleId="Nosaukums">
    <w:name w:val="Title"/>
    <w:basedOn w:val="Parastais"/>
    <w:link w:val="NosaukumsRakstz"/>
    <w:qFormat/>
    <w:rsid w:val="00F42719"/>
    <w:pPr>
      <w:jc w:val="center"/>
    </w:pPr>
    <w:rPr>
      <w:szCs w:val="20"/>
      <w:lang w:eastAsia="en-US"/>
    </w:rPr>
  </w:style>
  <w:style w:type="character" w:customStyle="1" w:styleId="NosaukumsRakstz">
    <w:name w:val="Nosaukums Rakstz."/>
    <w:basedOn w:val="Noklusjumarindkopasfonts"/>
    <w:link w:val="Nosaukums"/>
    <w:rsid w:val="00F42719"/>
    <w:rPr>
      <w:sz w:val="24"/>
      <w:lang w:val="lv-LV"/>
    </w:rPr>
  </w:style>
  <w:style w:type="character" w:styleId="Izclums">
    <w:name w:val="Emphasis"/>
    <w:basedOn w:val="Noklusjumarindkopasfonts"/>
    <w:uiPriority w:val="20"/>
    <w:qFormat/>
    <w:rsid w:val="00AB0C60"/>
    <w:rPr>
      <w:b/>
      <w:bCs/>
      <w:i w:val="0"/>
      <w:iCs w:val="0"/>
    </w:rPr>
  </w:style>
  <w:style w:type="character" w:customStyle="1" w:styleId="st">
    <w:name w:val="st"/>
    <w:basedOn w:val="Noklusjumarindkopasfonts"/>
    <w:rsid w:val="00EC0B79"/>
  </w:style>
  <w:style w:type="character" w:customStyle="1" w:styleId="Bodytext11">
    <w:name w:val="Body text (11)_"/>
    <w:basedOn w:val="Noklusjumarindkopasfonts"/>
    <w:link w:val="Bodytext110"/>
    <w:rsid w:val="00FE49A9"/>
    <w:rPr>
      <w:sz w:val="21"/>
      <w:szCs w:val="21"/>
      <w:shd w:val="clear" w:color="auto" w:fill="FFFFFF"/>
    </w:rPr>
  </w:style>
  <w:style w:type="paragraph" w:customStyle="1" w:styleId="Bodytext110">
    <w:name w:val="Body text (11)"/>
    <w:basedOn w:val="Parastais"/>
    <w:link w:val="Bodytext11"/>
    <w:rsid w:val="00FE49A9"/>
    <w:pPr>
      <w:shd w:val="clear" w:color="auto" w:fill="FFFFFF"/>
      <w:spacing w:line="274" w:lineRule="exact"/>
      <w:ind w:hanging="360"/>
      <w:jc w:val="right"/>
    </w:pPr>
    <w:rPr>
      <w:sz w:val="21"/>
      <w:szCs w:val="21"/>
    </w:rPr>
  </w:style>
  <w:style w:type="character" w:styleId="Izteiksmgs">
    <w:name w:val="Strong"/>
    <w:basedOn w:val="Noklusjumarindkopasfonts"/>
    <w:uiPriority w:val="22"/>
    <w:qFormat/>
    <w:rsid w:val="0085564C"/>
    <w:rPr>
      <w:b/>
      <w:bCs/>
    </w:rPr>
  </w:style>
  <w:style w:type="character" w:customStyle="1" w:styleId="GalveneRakstz">
    <w:name w:val="Galvene Rakstz."/>
    <w:aliases w:val="18pt Bold Rakstz."/>
    <w:basedOn w:val="Noklusjumarindkopasfonts"/>
    <w:link w:val="Galvene"/>
    <w:uiPriority w:val="99"/>
    <w:rsid w:val="00FB4B23"/>
    <w:rPr>
      <w:sz w:val="24"/>
      <w:szCs w:val="24"/>
    </w:rPr>
  </w:style>
  <w:style w:type="character" w:customStyle="1" w:styleId="pasts">
    <w:name w:val="pasts"/>
    <w:basedOn w:val="Noklusjumarindkopasfonts"/>
    <w:rsid w:val="00DF199E"/>
  </w:style>
  <w:style w:type="paragraph" w:customStyle="1" w:styleId="Default">
    <w:name w:val="Default"/>
    <w:rsid w:val="007B76CB"/>
    <w:pPr>
      <w:autoSpaceDE w:val="0"/>
      <w:autoSpaceDN w:val="0"/>
      <w:adjustRightInd w:val="0"/>
    </w:pPr>
    <w:rPr>
      <w:color w:val="000000"/>
      <w:sz w:val="24"/>
      <w:szCs w:val="24"/>
    </w:rPr>
  </w:style>
  <w:style w:type="character" w:customStyle="1" w:styleId="Virsraksts1Rakstz">
    <w:name w:val="Virsraksts 1 Rakstz."/>
    <w:basedOn w:val="Noklusjumarindkopasfonts"/>
    <w:link w:val="Virsraksts1"/>
    <w:uiPriority w:val="99"/>
    <w:rsid w:val="00BB6607"/>
    <w:rPr>
      <w:rFonts w:ascii="Cambria" w:eastAsia="Times New Roman" w:hAnsi="Cambria" w:cs="Times New Roman"/>
      <w:b/>
      <w:bCs/>
      <w:kern w:val="32"/>
      <w:sz w:val="32"/>
      <w:szCs w:val="32"/>
    </w:rPr>
  </w:style>
  <w:style w:type="character" w:customStyle="1" w:styleId="Bodytext">
    <w:name w:val="Body text_"/>
    <w:basedOn w:val="Noklusjumarindkopasfonts"/>
    <w:rsid w:val="004D70F8"/>
    <w:rPr>
      <w:rFonts w:ascii="Times New Roman" w:eastAsia="Times New Roman" w:hAnsi="Times New Roman" w:cs="Times New Roman"/>
      <w:b w:val="0"/>
      <w:bCs w:val="0"/>
      <w:i w:val="0"/>
      <w:iCs w:val="0"/>
      <w:smallCaps w:val="0"/>
      <w:strike w:val="0"/>
      <w:spacing w:val="0"/>
      <w:sz w:val="23"/>
      <w:szCs w:val="23"/>
    </w:rPr>
  </w:style>
  <w:style w:type="character" w:customStyle="1" w:styleId="Bodytext0">
    <w:name w:val="Body text"/>
    <w:basedOn w:val="Bodytext"/>
    <w:rsid w:val="004D70F8"/>
  </w:style>
  <w:style w:type="character" w:customStyle="1" w:styleId="c4">
    <w:name w:val="c4"/>
    <w:basedOn w:val="Noklusjumarindkopasfonts"/>
    <w:rsid w:val="00CF516F"/>
  </w:style>
  <w:style w:type="character" w:customStyle="1" w:styleId="c5">
    <w:name w:val="c5"/>
    <w:basedOn w:val="Noklusjumarindkopasfonts"/>
    <w:rsid w:val="00AC3E45"/>
  </w:style>
  <w:style w:type="paragraph" w:customStyle="1" w:styleId="c11">
    <w:name w:val="c11"/>
    <w:basedOn w:val="Parastais"/>
    <w:rsid w:val="005459BA"/>
    <w:pPr>
      <w:spacing w:before="105" w:after="105"/>
    </w:pPr>
  </w:style>
  <w:style w:type="character" w:customStyle="1" w:styleId="c10">
    <w:name w:val="c10"/>
    <w:basedOn w:val="Noklusjumarindkopasfonts"/>
    <w:rsid w:val="005459BA"/>
  </w:style>
  <w:style w:type="character" w:customStyle="1" w:styleId="c9">
    <w:name w:val="c9"/>
    <w:basedOn w:val="Noklusjumarindkopasfonts"/>
    <w:rsid w:val="005459BA"/>
  </w:style>
  <w:style w:type="character" w:customStyle="1" w:styleId="c8">
    <w:name w:val="c8"/>
    <w:basedOn w:val="Noklusjumarindkopasfonts"/>
    <w:rsid w:val="005459BA"/>
  </w:style>
  <w:style w:type="paragraph" w:customStyle="1" w:styleId="c12">
    <w:name w:val="c12"/>
    <w:basedOn w:val="Parastais"/>
    <w:rsid w:val="005459BA"/>
    <w:pPr>
      <w:spacing w:before="105" w:after="105"/>
    </w:pPr>
  </w:style>
  <w:style w:type="character" w:customStyle="1" w:styleId="Bodytext5">
    <w:name w:val="Body text (5)_"/>
    <w:link w:val="Bodytext50"/>
    <w:rsid w:val="007E1F60"/>
    <w:rPr>
      <w:shd w:val="clear" w:color="auto" w:fill="FFFFFF"/>
    </w:rPr>
  </w:style>
  <w:style w:type="paragraph" w:customStyle="1" w:styleId="Bodytext50">
    <w:name w:val="Body text (5)"/>
    <w:basedOn w:val="Parastais"/>
    <w:link w:val="Bodytext5"/>
    <w:rsid w:val="007E1F60"/>
    <w:pPr>
      <w:shd w:val="clear" w:color="auto" w:fill="FFFFFF"/>
      <w:spacing w:after="240" w:line="274" w:lineRule="exact"/>
      <w:jc w:val="both"/>
    </w:pPr>
    <w:rPr>
      <w:sz w:val="20"/>
      <w:szCs w:val="20"/>
    </w:rPr>
  </w:style>
  <w:style w:type="character" w:customStyle="1" w:styleId="Heading4">
    <w:name w:val="Heading #4_"/>
    <w:basedOn w:val="Noklusjumarindkopasfonts"/>
    <w:link w:val="Heading40"/>
    <w:rsid w:val="008627E0"/>
    <w:rPr>
      <w:sz w:val="22"/>
      <w:szCs w:val="22"/>
      <w:shd w:val="clear" w:color="auto" w:fill="FFFFFF"/>
    </w:rPr>
  </w:style>
  <w:style w:type="paragraph" w:customStyle="1" w:styleId="Heading40">
    <w:name w:val="Heading #4"/>
    <w:basedOn w:val="Parastais"/>
    <w:link w:val="Heading4"/>
    <w:rsid w:val="008627E0"/>
    <w:pPr>
      <w:shd w:val="clear" w:color="auto" w:fill="FFFFFF"/>
      <w:spacing w:after="300" w:line="302" w:lineRule="exact"/>
      <w:outlineLvl w:val="3"/>
    </w:pPr>
    <w:rPr>
      <w:sz w:val="22"/>
      <w:szCs w:val="22"/>
    </w:rPr>
  </w:style>
  <w:style w:type="character" w:customStyle="1" w:styleId="parastaischar">
    <w:name w:val="parastais__char"/>
    <w:basedOn w:val="Noklusjumarindkopasfonts"/>
    <w:rsid w:val="000E1216"/>
  </w:style>
  <w:style w:type="character" w:customStyle="1" w:styleId="BodytextBoldSpacing0pt">
    <w:name w:val="Body text + Bold;Spacing 0 pt"/>
    <w:basedOn w:val="Bodytext"/>
    <w:rsid w:val="00BE04ED"/>
    <w:rPr>
      <w:b/>
      <w:bCs/>
      <w:spacing w:val="10"/>
      <w:sz w:val="21"/>
      <w:szCs w:val="21"/>
    </w:rPr>
  </w:style>
  <w:style w:type="character" w:customStyle="1" w:styleId="Bodytext11pt">
    <w:name w:val="Body text + 11 pt"/>
    <w:basedOn w:val="Bodytext"/>
    <w:rsid w:val="00CA4995"/>
    <w:rPr>
      <w:sz w:val="22"/>
      <w:szCs w:val="22"/>
    </w:rPr>
  </w:style>
  <w:style w:type="character" w:customStyle="1" w:styleId="BodytextBoldItalic">
    <w:name w:val="Body text + Bold;Italic"/>
    <w:basedOn w:val="Bodytext"/>
    <w:rsid w:val="00E50AC5"/>
    <w:rPr>
      <w:b/>
      <w:bCs/>
      <w:i/>
      <w:iCs/>
      <w:sz w:val="22"/>
      <w:szCs w:val="22"/>
    </w:rPr>
  </w:style>
  <w:style w:type="character" w:customStyle="1" w:styleId="Bodytext7">
    <w:name w:val="Body text (7)_"/>
    <w:basedOn w:val="Noklusjumarindkopasfonts"/>
    <w:rsid w:val="005968C0"/>
    <w:rPr>
      <w:rFonts w:ascii="Calibri" w:eastAsia="Calibri" w:hAnsi="Calibri" w:cs="Calibri"/>
      <w:b w:val="0"/>
      <w:bCs w:val="0"/>
      <w:i w:val="0"/>
      <w:iCs w:val="0"/>
      <w:smallCaps w:val="0"/>
      <w:strike w:val="0"/>
      <w:sz w:val="46"/>
      <w:szCs w:val="46"/>
    </w:rPr>
  </w:style>
  <w:style w:type="character" w:customStyle="1" w:styleId="Bodytext70">
    <w:name w:val="Body text (7)"/>
    <w:basedOn w:val="Bodytext7"/>
    <w:rsid w:val="005968C0"/>
  </w:style>
  <w:style w:type="character" w:customStyle="1" w:styleId="SarakstarindkopaRakstz">
    <w:name w:val="Saraksta rindkopa Rakstz."/>
    <w:aliases w:val="2 Rakstz.,List Paragraph Rakstz."/>
    <w:link w:val="Sarakstarindkopa"/>
    <w:uiPriority w:val="34"/>
    <w:locked/>
    <w:rsid w:val="00DE2D0D"/>
    <w:rPr>
      <w:rFonts w:ascii="Calibri" w:eastAsia="Calibri" w:hAnsi="Calibri"/>
      <w:sz w:val="22"/>
      <w:szCs w:val="22"/>
      <w:lang w:val="en-US" w:eastAsia="en-US"/>
    </w:rPr>
  </w:style>
  <w:style w:type="character" w:customStyle="1" w:styleId="BodytextItalic">
    <w:name w:val="Body text + Italic"/>
    <w:rsid w:val="00B00CEB"/>
    <w:rPr>
      <w:rFonts w:ascii="Times New Roman" w:eastAsia="Times New Roman" w:hAnsi="Times New Roman" w:cs="Times New Roman"/>
      <w:b w:val="0"/>
      <w:bCs w:val="0"/>
      <w:i/>
      <w:iCs/>
      <w:smallCaps w:val="0"/>
      <w:strike w:val="0"/>
      <w:spacing w:val="0"/>
      <w:sz w:val="22"/>
      <w:szCs w:val="22"/>
    </w:rPr>
  </w:style>
</w:styles>
</file>

<file path=word/webSettings.xml><?xml version="1.0" encoding="utf-8"?>
<w:webSettings xmlns:r="http://schemas.openxmlformats.org/officeDocument/2006/relationships" xmlns:w="http://schemas.openxmlformats.org/wordprocessingml/2006/main">
  <w:divs>
    <w:div w:id="108472049">
      <w:bodyDiv w:val="1"/>
      <w:marLeft w:val="0"/>
      <w:marRight w:val="0"/>
      <w:marTop w:val="0"/>
      <w:marBottom w:val="0"/>
      <w:divBdr>
        <w:top w:val="none" w:sz="0" w:space="0" w:color="auto"/>
        <w:left w:val="none" w:sz="0" w:space="0" w:color="auto"/>
        <w:bottom w:val="none" w:sz="0" w:space="0" w:color="auto"/>
        <w:right w:val="none" w:sz="0" w:space="0" w:color="auto"/>
      </w:divBdr>
    </w:div>
    <w:div w:id="209151261">
      <w:bodyDiv w:val="1"/>
      <w:marLeft w:val="105"/>
      <w:marRight w:val="105"/>
      <w:marTop w:val="0"/>
      <w:marBottom w:val="0"/>
      <w:divBdr>
        <w:top w:val="none" w:sz="0" w:space="0" w:color="auto"/>
        <w:left w:val="none" w:sz="0" w:space="0" w:color="auto"/>
        <w:bottom w:val="none" w:sz="0" w:space="0" w:color="auto"/>
        <w:right w:val="none" w:sz="0" w:space="0" w:color="auto"/>
      </w:divBdr>
      <w:divsChild>
        <w:div w:id="1925067019">
          <w:marLeft w:val="0"/>
          <w:marRight w:val="0"/>
          <w:marTop w:val="0"/>
          <w:marBottom w:val="0"/>
          <w:divBdr>
            <w:top w:val="single" w:sz="2" w:space="5" w:color="CCCCCC"/>
            <w:left w:val="single" w:sz="6" w:space="5" w:color="CCCCCC"/>
            <w:bottom w:val="single" w:sz="6" w:space="5" w:color="CCCCCC"/>
            <w:right w:val="single" w:sz="6" w:space="5" w:color="CCCCCC"/>
          </w:divBdr>
          <w:divsChild>
            <w:div w:id="1032539057">
              <w:marLeft w:val="0"/>
              <w:marRight w:val="0"/>
              <w:marTop w:val="0"/>
              <w:marBottom w:val="0"/>
              <w:divBdr>
                <w:top w:val="none" w:sz="0" w:space="0" w:color="auto"/>
                <w:left w:val="none" w:sz="0" w:space="0" w:color="auto"/>
                <w:bottom w:val="none" w:sz="0" w:space="0" w:color="auto"/>
                <w:right w:val="none" w:sz="0" w:space="0" w:color="auto"/>
              </w:divBdr>
              <w:divsChild>
                <w:div w:id="875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53338">
      <w:bodyDiv w:val="1"/>
      <w:marLeft w:val="0"/>
      <w:marRight w:val="0"/>
      <w:marTop w:val="0"/>
      <w:marBottom w:val="0"/>
      <w:divBdr>
        <w:top w:val="none" w:sz="0" w:space="0" w:color="auto"/>
        <w:left w:val="none" w:sz="0" w:space="0" w:color="auto"/>
        <w:bottom w:val="none" w:sz="0" w:space="0" w:color="auto"/>
        <w:right w:val="none" w:sz="0" w:space="0" w:color="auto"/>
      </w:divBdr>
      <w:divsChild>
        <w:div w:id="517547691">
          <w:marLeft w:val="0"/>
          <w:marRight w:val="0"/>
          <w:marTop w:val="0"/>
          <w:marBottom w:val="0"/>
          <w:divBdr>
            <w:top w:val="none" w:sz="0" w:space="0" w:color="auto"/>
            <w:left w:val="none" w:sz="0" w:space="0" w:color="auto"/>
            <w:bottom w:val="none" w:sz="0" w:space="0" w:color="auto"/>
            <w:right w:val="none" w:sz="0" w:space="0" w:color="auto"/>
          </w:divBdr>
        </w:div>
        <w:div w:id="1076170045">
          <w:marLeft w:val="0"/>
          <w:marRight w:val="0"/>
          <w:marTop w:val="0"/>
          <w:marBottom w:val="0"/>
          <w:divBdr>
            <w:top w:val="none" w:sz="0" w:space="0" w:color="auto"/>
            <w:left w:val="none" w:sz="0" w:space="0" w:color="auto"/>
            <w:bottom w:val="none" w:sz="0" w:space="0" w:color="auto"/>
            <w:right w:val="none" w:sz="0" w:space="0" w:color="auto"/>
          </w:divBdr>
        </w:div>
        <w:div w:id="1077288572">
          <w:marLeft w:val="0"/>
          <w:marRight w:val="0"/>
          <w:marTop w:val="0"/>
          <w:marBottom w:val="0"/>
          <w:divBdr>
            <w:top w:val="none" w:sz="0" w:space="0" w:color="auto"/>
            <w:left w:val="none" w:sz="0" w:space="0" w:color="auto"/>
            <w:bottom w:val="none" w:sz="0" w:space="0" w:color="auto"/>
            <w:right w:val="none" w:sz="0" w:space="0" w:color="auto"/>
          </w:divBdr>
        </w:div>
        <w:div w:id="1754662288">
          <w:marLeft w:val="0"/>
          <w:marRight w:val="0"/>
          <w:marTop w:val="0"/>
          <w:marBottom w:val="0"/>
          <w:divBdr>
            <w:top w:val="none" w:sz="0" w:space="0" w:color="auto"/>
            <w:left w:val="none" w:sz="0" w:space="0" w:color="auto"/>
            <w:bottom w:val="none" w:sz="0" w:space="0" w:color="auto"/>
            <w:right w:val="none" w:sz="0" w:space="0" w:color="auto"/>
          </w:divBdr>
        </w:div>
        <w:div w:id="2020697620">
          <w:marLeft w:val="0"/>
          <w:marRight w:val="0"/>
          <w:marTop w:val="0"/>
          <w:marBottom w:val="0"/>
          <w:divBdr>
            <w:top w:val="none" w:sz="0" w:space="0" w:color="auto"/>
            <w:left w:val="none" w:sz="0" w:space="0" w:color="auto"/>
            <w:bottom w:val="none" w:sz="0" w:space="0" w:color="auto"/>
            <w:right w:val="none" w:sz="0" w:space="0" w:color="auto"/>
          </w:divBdr>
        </w:div>
      </w:divsChild>
    </w:div>
    <w:div w:id="346711423">
      <w:bodyDiv w:val="1"/>
      <w:marLeft w:val="0"/>
      <w:marRight w:val="0"/>
      <w:marTop w:val="0"/>
      <w:marBottom w:val="0"/>
      <w:divBdr>
        <w:top w:val="none" w:sz="0" w:space="0" w:color="auto"/>
        <w:left w:val="none" w:sz="0" w:space="0" w:color="auto"/>
        <w:bottom w:val="none" w:sz="0" w:space="0" w:color="auto"/>
        <w:right w:val="none" w:sz="0" w:space="0" w:color="auto"/>
      </w:divBdr>
    </w:div>
    <w:div w:id="360672750">
      <w:bodyDiv w:val="1"/>
      <w:marLeft w:val="0"/>
      <w:marRight w:val="0"/>
      <w:marTop w:val="0"/>
      <w:marBottom w:val="0"/>
      <w:divBdr>
        <w:top w:val="none" w:sz="0" w:space="0" w:color="auto"/>
        <w:left w:val="none" w:sz="0" w:space="0" w:color="auto"/>
        <w:bottom w:val="none" w:sz="0" w:space="0" w:color="auto"/>
        <w:right w:val="none" w:sz="0" w:space="0" w:color="auto"/>
      </w:divBdr>
      <w:divsChild>
        <w:div w:id="1581401350">
          <w:marLeft w:val="0"/>
          <w:marRight w:val="0"/>
          <w:marTop w:val="0"/>
          <w:marBottom w:val="0"/>
          <w:divBdr>
            <w:top w:val="none" w:sz="0" w:space="0" w:color="auto"/>
            <w:left w:val="none" w:sz="0" w:space="0" w:color="auto"/>
            <w:bottom w:val="none" w:sz="0" w:space="0" w:color="auto"/>
            <w:right w:val="none" w:sz="0" w:space="0" w:color="auto"/>
          </w:divBdr>
        </w:div>
      </w:divsChild>
    </w:div>
    <w:div w:id="379981258">
      <w:bodyDiv w:val="1"/>
      <w:marLeft w:val="0"/>
      <w:marRight w:val="0"/>
      <w:marTop w:val="0"/>
      <w:marBottom w:val="0"/>
      <w:divBdr>
        <w:top w:val="none" w:sz="0" w:space="0" w:color="auto"/>
        <w:left w:val="none" w:sz="0" w:space="0" w:color="auto"/>
        <w:bottom w:val="none" w:sz="0" w:space="0" w:color="auto"/>
        <w:right w:val="none" w:sz="0" w:space="0" w:color="auto"/>
      </w:divBdr>
    </w:div>
    <w:div w:id="617295964">
      <w:bodyDiv w:val="1"/>
      <w:marLeft w:val="0"/>
      <w:marRight w:val="0"/>
      <w:marTop w:val="0"/>
      <w:marBottom w:val="0"/>
      <w:divBdr>
        <w:top w:val="none" w:sz="0" w:space="0" w:color="auto"/>
        <w:left w:val="none" w:sz="0" w:space="0" w:color="auto"/>
        <w:bottom w:val="none" w:sz="0" w:space="0" w:color="auto"/>
        <w:right w:val="none" w:sz="0" w:space="0" w:color="auto"/>
      </w:divBdr>
    </w:div>
    <w:div w:id="747309158">
      <w:bodyDiv w:val="1"/>
      <w:marLeft w:val="0"/>
      <w:marRight w:val="0"/>
      <w:marTop w:val="0"/>
      <w:marBottom w:val="0"/>
      <w:divBdr>
        <w:top w:val="none" w:sz="0" w:space="0" w:color="auto"/>
        <w:left w:val="none" w:sz="0" w:space="0" w:color="auto"/>
        <w:bottom w:val="none" w:sz="0" w:space="0" w:color="auto"/>
        <w:right w:val="none" w:sz="0" w:space="0" w:color="auto"/>
      </w:divBdr>
    </w:div>
    <w:div w:id="949357907">
      <w:bodyDiv w:val="1"/>
      <w:marLeft w:val="0"/>
      <w:marRight w:val="0"/>
      <w:marTop w:val="0"/>
      <w:marBottom w:val="0"/>
      <w:divBdr>
        <w:top w:val="none" w:sz="0" w:space="0" w:color="auto"/>
        <w:left w:val="none" w:sz="0" w:space="0" w:color="auto"/>
        <w:bottom w:val="none" w:sz="0" w:space="0" w:color="auto"/>
        <w:right w:val="none" w:sz="0" w:space="0" w:color="auto"/>
      </w:divBdr>
    </w:div>
    <w:div w:id="973407254">
      <w:bodyDiv w:val="1"/>
      <w:marLeft w:val="0"/>
      <w:marRight w:val="0"/>
      <w:marTop w:val="0"/>
      <w:marBottom w:val="0"/>
      <w:divBdr>
        <w:top w:val="none" w:sz="0" w:space="0" w:color="auto"/>
        <w:left w:val="none" w:sz="0" w:space="0" w:color="auto"/>
        <w:bottom w:val="none" w:sz="0" w:space="0" w:color="auto"/>
        <w:right w:val="none" w:sz="0" w:space="0" w:color="auto"/>
      </w:divBdr>
    </w:div>
    <w:div w:id="986666946">
      <w:bodyDiv w:val="1"/>
      <w:marLeft w:val="0"/>
      <w:marRight w:val="0"/>
      <w:marTop w:val="0"/>
      <w:marBottom w:val="0"/>
      <w:divBdr>
        <w:top w:val="none" w:sz="0" w:space="0" w:color="auto"/>
        <w:left w:val="none" w:sz="0" w:space="0" w:color="auto"/>
        <w:bottom w:val="none" w:sz="0" w:space="0" w:color="auto"/>
        <w:right w:val="none" w:sz="0" w:space="0" w:color="auto"/>
      </w:divBdr>
    </w:div>
    <w:div w:id="1001735020">
      <w:bodyDiv w:val="1"/>
      <w:marLeft w:val="0"/>
      <w:marRight w:val="0"/>
      <w:marTop w:val="0"/>
      <w:marBottom w:val="0"/>
      <w:divBdr>
        <w:top w:val="none" w:sz="0" w:space="0" w:color="auto"/>
        <w:left w:val="none" w:sz="0" w:space="0" w:color="auto"/>
        <w:bottom w:val="none" w:sz="0" w:space="0" w:color="auto"/>
        <w:right w:val="none" w:sz="0" w:space="0" w:color="auto"/>
      </w:divBdr>
    </w:div>
    <w:div w:id="1122572328">
      <w:bodyDiv w:val="1"/>
      <w:marLeft w:val="0"/>
      <w:marRight w:val="0"/>
      <w:marTop w:val="0"/>
      <w:marBottom w:val="0"/>
      <w:divBdr>
        <w:top w:val="none" w:sz="0" w:space="0" w:color="auto"/>
        <w:left w:val="none" w:sz="0" w:space="0" w:color="auto"/>
        <w:bottom w:val="none" w:sz="0" w:space="0" w:color="auto"/>
        <w:right w:val="none" w:sz="0" w:space="0" w:color="auto"/>
      </w:divBdr>
    </w:div>
    <w:div w:id="1125588345">
      <w:bodyDiv w:val="1"/>
      <w:marLeft w:val="0"/>
      <w:marRight w:val="0"/>
      <w:marTop w:val="0"/>
      <w:marBottom w:val="0"/>
      <w:divBdr>
        <w:top w:val="none" w:sz="0" w:space="0" w:color="auto"/>
        <w:left w:val="none" w:sz="0" w:space="0" w:color="auto"/>
        <w:bottom w:val="none" w:sz="0" w:space="0" w:color="auto"/>
        <w:right w:val="none" w:sz="0" w:space="0" w:color="auto"/>
      </w:divBdr>
    </w:div>
    <w:div w:id="1143346599">
      <w:bodyDiv w:val="1"/>
      <w:marLeft w:val="0"/>
      <w:marRight w:val="0"/>
      <w:marTop w:val="0"/>
      <w:marBottom w:val="0"/>
      <w:divBdr>
        <w:top w:val="none" w:sz="0" w:space="0" w:color="auto"/>
        <w:left w:val="none" w:sz="0" w:space="0" w:color="auto"/>
        <w:bottom w:val="none" w:sz="0" w:space="0" w:color="auto"/>
        <w:right w:val="none" w:sz="0" w:space="0" w:color="auto"/>
      </w:divBdr>
    </w:div>
    <w:div w:id="1194464899">
      <w:bodyDiv w:val="1"/>
      <w:marLeft w:val="0"/>
      <w:marRight w:val="0"/>
      <w:marTop w:val="0"/>
      <w:marBottom w:val="0"/>
      <w:divBdr>
        <w:top w:val="none" w:sz="0" w:space="0" w:color="auto"/>
        <w:left w:val="none" w:sz="0" w:space="0" w:color="auto"/>
        <w:bottom w:val="none" w:sz="0" w:space="0" w:color="auto"/>
        <w:right w:val="none" w:sz="0" w:space="0" w:color="auto"/>
      </w:divBdr>
    </w:div>
    <w:div w:id="1243372677">
      <w:bodyDiv w:val="1"/>
      <w:marLeft w:val="0"/>
      <w:marRight w:val="0"/>
      <w:marTop w:val="0"/>
      <w:marBottom w:val="0"/>
      <w:divBdr>
        <w:top w:val="none" w:sz="0" w:space="0" w:color="auto"/>
        <w:left w:val="none" w:sz="0" w:space="0" w:color="auto"/>
        <w:bottom w:val="none" w:sz="0" w:space="0" w:color="auto"/>
        <w:right w:val="none" w:sz="0" w:space="0" w:color="auto"/>
      </w:divBdr>
    </w:div>
    <w:div w:id="1302425623">
      <w:bodyDiv w:val="1"/>
      <w:marLeft w:val="0"/>
      <w:marRight w:val="0"/>
      <w:marTop w:val="0"/>
      <w:marBottom w:val="0"/>
      <w:divBdr>
        <w:top w:val="none" w:sz="0" w:space="0" w:color="auto"/>
        <w:left w:val="none" w:sz="0" w:space="0" w:color="auto"/>
        <w:bottom w:val="none" w:sz="0" w:space="0" w:color="auto"/>
        <w:right w:val="none" w:sz="0" w:space="0" w:color="auto"/>
      </w:divBdr>
    </w:div>
    <w:div w:id="1347247774">
      <w:bodyDiv w:val="1"/>
      <w:marLeft w:val="0"/>
      <w:marRight w:val="0"/>
      <w:marTop w:val="0"/>
      <w:marBottom w:val="0"/>
      <w:divBdr>
        <w:top w:val="none" w:sz="0" w:space="0" w:color="auto"/>
        <w:left w:val="none" w:sz="0" w:space="0" w:color="auto"/>
        <w:bottom w:val="none" w:sz="0" w:space="0" w:color="auto"/>
        <w:right w:val="none" w:sz="0" w:space="0" w:color="auto"/>
      </w:divBdr>
    </w:div>
    <w:div w:id="1421561465">
      <w:bodyDiv w:val="1"/>
      <w:marLeft w:val="0"/>
      <w:marRight w:val="0"/>
      <w:marTop w:val="0"/>
      <w:marBottom w:val="0"/>
      <w:divBdr>
        <w:top w:val="none" w:sz="0" w:space="0" w:color="auto"/>
        <w:left w:val="none" w:sz="0" w:space="0" w:color="auto"/>
        <w:bottom w:val="none" w:sz="0" w:space="0" w:color="auto"/>
        <w:right w:val="none" w:sz="0" w:space="0" w:color="auto"/>
      </w:divBdr>
      <w:divsChild>
        <w:div w:id="2125343662">
          <w:marLeft w:val="0"/>
          <w:marRight w:val="0"/>
          <w:marTop w:val="0"/>
          <w:marBottom w:val="0"/>
          <w:divBdr>
            <w:top w:val="none" w:sz="0" w:space="0" w:color="auto"/>
            <w:left w:val="none" w:sz="0" w:space="0" w:color="auto"/>
            <w:bottom w:val="none" w:sz="0" w:space="0" w:color="auto"/>
            <w:right w:val="none" w:sz="0" w:space="0" w:color="auto"/>
          </w:divBdr>
        </w:div>
      </w:divsChild>
    </w:div>
    <w:div w:id="1428890623">
      <w:bodyDiv w:val="1"/>
      <w:marLeft w:val="0"/>
      <w:marRight w:val="0"/>
      <w:marTop w:val="0"/>
      <w:marBottom w:val="0"/>
      <w:divBdr>
        <w:top w:val="none" w:sz="0" w:space="0" w:color="auto"/>
        <w:left w:val="none" w:sz="0" w:space="0" w:color="auto"/>
        <w:bottom w:val="none" w:sz="0" w:space="0" w:color="auto"/>
        <w:right w:val="none" w:sz="0" w:space="0" w:color="auto"/>
      </w:divBdr>
    </w:div>
    <w:div w:id="1489320272">
      <w:bodyDiv w:val="1"/>
      <w:marLeft w:val="0"/>
      <w:marRight w:val="0"/>
      <w:marTop w:val="0"/>
      <w:marBottom w:val="0"/>
      <w:divBdr>
        <w:top w:val="none" w:sz="0" w:space="0" w:color="auto"/>
        <w:left w:val="none" w:sz="0" w:space="0" w:color="auto"/>
        <w:bottom w:val="none" w:sz="0" w:space="0" w:color="auto"/>
        <w:right w:val="none" w:sz="0" w:space="0" w:color="auto"/>
      </w:divBdr>
    </w:div>
    <w:div w:id="1553997508">
      <w:bodyDiv w:val="1"/>
      <w:marLeft w:val="0"/>
      <w:marRight w:val="0"/>
      <w:marTop w:val="0"/>
      <w:marBottom w:val="0"/>
      <w:divBdr>
        <w:top w:val="none" w:sz="0" w:space="0" w:color="auto"/>
        <w:left w:val="none" w:sz="0" w:space="0" w:color="auto"/>
        <w:bottom w:val="none" w:sz="0" w:space="0" w:color="auto"/>
        <w:right w:val="none" w:sz="0" w:space="0" w:color="auto"/>
      </w:divBdr>
      <w:divsChild>
        <w:div w:id="897209302">
          <w:marLeft w:val="0"/>
          <w:marRight w:val="0"/>
          <w:marTop w:val="0"/>
          <w:marBottom w:val="0"/>
          <w:divBdr>
            <w:top w:val="none" w:sz="0" w:space="0" w:color="auto"/>
            <w:left w:val="none" w:sz="0" w:space="0" w:color="auto"/>
            <w:bottom w:val="none" w:sz="0" w:space="0" w:color="auto"/>
            <w:right w:val="none" w:sz="0" w:space="0" w:color="auto"/>
          </w:divBdr>
        </w:div>
      </w:divsChild>
    </w:div>
    <w:div w:id="1607273425">
      <w:bodyDiv w:val="1"/>
      <w:marLeft w:val="0"/>
      <w:marRight w:val="0"/>
      <w:marTop w:val="0"/>
      <w:marBottom w:val="0"/>
      <w:divBdr>
        <w:top w:val="none" w:sz="0" w:space="0" w:color="auto"/>
        <w:left w:val="none" w:sz="0" w:space="0" w:color="auto"/>
        <w:bottom w:val="none" w:sz="0" w:space="0" w:color="auto"/>
        <w:right w:val="none" w:sz="0" w:space="0" w:color="auto"/>
      </w:divBdr>
    </w:div>
    <w:div w:id="1853910067">
      <w:bodyDiv w:val="1"/>
      <w:marLeft w:val="0"/>
      <w:marRight w:val="0"/>
      <w:marTop w:val="0"/>
      <w:marBottom w:val="0"/>
      <w:divBdr>
        <w:top w:val="none" w:sz="0" w:space="0" w:color="auto"/>
        <w:left w:val="none" w:sz="0" w:space="0" w:color="auto"/>
        <w:bottom w:val="none" w:sz="0" w:space="0" w:color="auto"/>
        <w:right w:val="none" w:sz="0" w:space="0" w:color="auto"/>
      </w:divBdr>
    </w:div>
    <w:div w:id="1889414052">
      <w:bodyDiv w:val="1"/>
      <w:marLeft w:val="0"/>
      <w:marRight w:val="0"/>
      <w:marTop w:val="0"/>
      <w:marBottom w:val="0"/>
      <w:divBdr>
        <w:top w:val="none" w:sz="0" w:space="0" w:color="auto"/>
        <w:left w:val="none" w:sz="0" w:space="0" w:color="auto"/>
        <w:bottom w:val="none" w:sz="0" w:space="0" w:color="auto"/>
        <w:right w:val="none" w:sz="0" w:space="0" w:color="auto"/>
      </w:divBdr>
    </w:div>
    <w:div w:id="202292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uta.Treij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128B8-6B66-4189-B854-3B7E52D7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2439</Words>
  <Characters>16305</Characters>
  <Application>Microsoft Office Word</Application>
  <DocSecurity>0</DocSecurity>
  <Lines>135</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Veselības ministrija</Company>
  <LinksUpToDate>false</LinksUpToDate>
  <CharactersWithSpaces>18707</CharactersWithSpaces>
  <SharedDoc>false</SharedDoc>
  <HLinks>
    <vt:vector size="18" baseType="variant">
      <vt:variant>
        <vt:i4>7602253</vt:i4>
      </vt:variant>
      <vt:variant>
        <vt:i4>12</vt:i4>
      </vt:variant>
      <vt:variant>
        <vt:i4>0</vt:i4>
      </vt:variant>
      <vt:variant>
        <vt:i4>5</vt:i4>
      </vt:variant>
      <vt:variant>
        <vt:lpwstr>mailto:Arta.Alberta@km.gov.lv</vt:lpwstr>
      </vt:variant>
      <vt:variant>
        <vt:lpwstr/>
      </vt:variant>
      <vt:variant>
        <vt:i4>5636221</vt:i4>
      </vt:variant>
      <vt:variant>
        <vt:i4>9</vt:i4>
      </vt:variant>
      <vt:variant>
        <vt:i4>0</vt:i4>
      </vt:variant>
      <vt:variant>
        <vt:i4>5</vt:i4>
      </vt:variant>
      <vt:variant>
        <vt:lpwstr>mailto:Ilze.Zubova@km.gov.lv</vt:lpwstr>
      </vt:variant>
      <vt:variant>
        <vt:lpwstr/>
      </vt:variant>
      <vt:variant>
        <vt:i4>6684724</vt:i4>
      </vt:variant>
      <vt:variant>
        <vt:i4>0</vt:i4>
      </vt:variant>
      <vt:variant>
        <vt:i4>0</vt:i4>
      </vt:variant>
      <vt:variant>
        <vt:i4>5</vt:i4>
      </vt:variant>
      <vt:variant>
        <vt:lpwstr>http://likumi.lv/ta/id/268503-par-finansu-lidzeklu-pieskirsanu-no-valsts-budzeta-programmas-lidzekli-neparedzetiem-gadijumiem-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I.Treija, A.Alberta,</dc:creator>
  <dc:description>A.Alberta
Tālr. 67330259; fakss 67330256
Arta.Alberta@km.gov.lv 
R. Putniņa
Tālr. 67330288; fakss 67330256
Roventa.Putnina@km.gov.lv</dc:description>
  <cp:lastModifiedBy>Dzintra Rozīte</cp:lastModifiedBy>
  <cp:revision>32</cp:revision>
  <cp:lastPrinted>2016-07-05T10:27:00Z</cp:lastPrinted>
  <dcterms:created xsi:type="dcterms:W3CDTF">2016-07-13T15:29:00Z</dcterms:created>
  <dcterms:modified xsi:type="dcterms:W3CDTF">2016-07-25T08:09:00Z</dcterms:modified>
</cp:coreProperties>
</file>