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3E9BF" w14:textId="77777777" w:rsidR="00C63C4D" w:rsidRPr="004108D5" w:rsidRDefault="00C63C4D" w:rsidP="00C63C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3042"/>
      </w:tblGrid>
      <w:tr w:rsidR="00C63C4D" w:rsidRPr="004108D5" w14:paraId="56835710" w14:textId="77777777" w:rsidTr="00335D4F">
        <w:tc>
          <w:tcPr>
            <w:tcW w:w="0" w:type="auto"/>
            <w:tcBorders>
              <w:top w:val="nil"/>
              <w:left w:val="nil"/>
              <w:bottom w:val="nil"/>
              <w:right w:val="nil"/>
            </w:tcBorders>
            <w:shd w:val="clear" w:color="auto" w:fill="auto"/>
          </w:tcPr>
          <w:p w14:paraId="7E1B209F" w14:textId="77777777" w:rsidR="00C63C4D" w:rsidRPr="004108D5" w:rsidRDefault="00C63C4D" w:rsidP="0013093A">
            <w:pPr>
              <w:jc w:val="both"/>
            </w:pPr>
          </w:p>
        </w:tc>
        <w:tc>
          <w:tcPr>
            <w:tcW w:w="0" w:type="auto"/>
            <w:tcBorders>
              <w:top w:val="nil"/>
              <w:left w:val="nil"/>
              <w:bottom w:val="nil"/>
              <w:right w:val="nil"/>
            </w:tcBorders>
            <w:shd w:val="clear" w:color="auto" w:fill="auto"/>
          </w:tcPr>
          <w:p w14:paraId="784773E5" w14:textId="77777777" w:rsidR="00C63C4D" w:rsidRPr="004108D5" w:rsidRDefault="00C63C4D" w:rsidP="00D7491E">
            <w:pPr>
              <w:jc w:val="right"/>
            </w:pPr>
            <w:r w:rsidRPr="004108D5">
              <w:t>3.pielikums</w:t>
            </w:r>
            <w:r w:rsidR="00D7491E" w:rsidRPr="004108D5">
              <w:t xml:space="preserve"> informatīvajam ziņojumam “Par Apvienoto Nāciju Organizācijas Bērnu tiesību komitejas noslēguma apsvērumos Latvijai izteikto rekomendāciju izpildes nodrošināšanu līdz 2021.gadam”</w:t>
            </w:r>
          </w:p>
          <w:p w14:paraId="71BF649A" w14:textId="37DDBF46" w:rsidR="00D7491E" w:rsidRPr="004108D5" w:rsidRDefault="00D7491E" w:rsidP="00D7491E">
            <w:pPr>
              <w:jc w:val="right"/>
            </w:pPr>
          </w:p>
        </w:tc>
      </w:tr>
      <w:tr w:rsidR="00D7491E" w:rsidRPr="004108D5" w14:paraId="4DBCF000" w14:textId="77777777" w:rsidTr="00D011F3">
        <w:tc>
          <w:tcPr>
            <w:tcW w:w="0" w:type="auto"/>
            <w:gridSpan w:val="2"/>
            <w:tcBorders>
              <w:top w:val="nil"/>
              <w:left w:val="nil"/>
              <w:right w:val="nil"/>
            </w:tcBorders>
            <w:shd w:val="clear" w:color="auto" w:fill="auto"/>
          </w:tcPr>
          <w:p w14:paraId="68360450" w14:textId="66A9E4EA" w:rsidR="00D7491E" w:rsidRPr="004108D5" w:rsidRDefault="00D7491E" w:rsidP="00D7491E">
            <w:pPr>
              <w:jc w:val="center"/>
              <w:rPr>
                <w:b/>
              </w:rPr>
            </w:pPr>
            <w:r w:rsidRPr="004108D5">
              <w:rPr>
                <w:b/>
              </w:rPr>
              <w:t>Kompetenču sadalījums</w:t>
            </w:r>
            <w:r w:rsidR="00414CAE">
              <w:rPr>
                <w:rStyle w:val="Vresatsauce"/>
                <w:b/>
              </w:rPr>
              <w:footnoteReference w:id="1"/>
            </w:r>
            <w:r w:rsidRPr="004108D5">
              <w:rPr>
                <w:b/>
              </w:rPr>
              <w:t xml:space="preserve"> par ANO Bērnu tiesību komitejas 2016.gada 29.janvārī pieņemtajiem noslēguma apsvērumiem par Latvijas sākotnējo ziņojumu par konvencijas papildu protokola par bērnu iesaistīšanu bruņotos konfliktos izpildi</w:t>
            </w:r>
          </w:p>
          <w:p w14:paraId="028BF183" w14:textId="3D36BEEE" w:rsidR="00D7491E" w:rsidRPr="004108D5" w:rsidRDefault="00D7491E" w:rsidP="00FC2F4D">
            <w:pPr>
              <w:jc w:val="both"/>
            </w:pPr>
          </w:p>
        </w:tc>
      </w:tr>
      <w:tr w:rsidR="00C63C4D" w:rsidRPr="004108D5" w14:paraId="086B2CB9" w14:textId="77777777" w:rsidTr="00335D4F">
        <w:tc>
          <w:tcPr>
            <w:tcW w:w="0" w:type="auto"/>
            <w:shd w:val="clear" w:color="auto" w:fill="auto"/>
          </w:tcPr>
          <w:p w14:paraId="64501FCB" w14:textId="77777777" w:rsidR="00C63C4D" w:rsidRPr="004108D5" w:rsidRDefault="00C63C4D" w:rsidP="0013093A">
            <w:pPr>
              <w:pStyle w:val="Default"/>
              <w:jc w:val="both"/>
            </w:pPr>
          </w:p>
          <w:p w14:paraId="70E09FE3" w14:textId="6DBDE4F3" w:rsidR="00C63C4D" w:rsidRPr="004108D5" w:rsidRDefault="0071780D" w:rsidP="0013093A">
            <w:pPr>
              <w:jc w:val="both"/>
            </w:pPr>
            <w:r w:rsidRPr="004108D5">
              <w:t xml:space="preserve"> 1. Komisija izskatīja Latvijas sākotnējo ziņojumu (CRC/C/OPAC/LVA/1) savā 2062.sanāksmē (skatīt CRC/C/SR.2062), kas notika 2016.gada 13.janvārī, un savā 2104.sanāksmē (skatīt CRC/C/SR.2104), kas notika 2016.gada 29.janvārī, pieņēma šādus noslēguma apsvērumus.</w:t>
            </w:r>
          </w:p>
        </w:tc>
        <w:tc>
          <w:tcPr>
            <w:tcW w:w="0" w:type="auto"/>
            <w:shd w:val="clear" w:color="auto" w:fill="auto"/>
          </w:tcPr>
          <w:p w14:paraId="7462ABF1" w14:textId="77777777" w:rsidR="00C63C4D" w:rsidRPr="004108D5" w:rsidRDefault="00C63C4D" w:rsidP="00FC2F4D">
            <w:pPr>
              <w:jc w:val="both"/>
            </w:pPr>
          </w:p>
        </w:tc>
      </w:tr>
      <w:tr w:rsidR="00C63C4D" w:rsidRPr="004108D5" w14:paraId="2ECAD681" w14:textId="77777777" w:rsidTr="00335D4F">
        <w:tc>
          <w:tcPr>
            <w:tcW w:w="0" w:type="auto"/>
            <w:shd w:val="clear" w:color="auto" w:fill="auto"/>
          </w:tcPr>
          <w:p w14:paraId="129F658A" w14:textId="77777777" w:rsidR="00C63C4D" w:rsidRPr="004108D5" w:rsidRDefault="00C63C4D" w:rsidP="0013093A">
            <w:pPr>
              <w:pStyle w:val="Default"/>
              <w:jc w:val="both"/>
            </w:pPr>
          </w:p>
          <w:p w14:paraId="080718AE" w14:textId="32F6309E" w:rsidR="00C63C4D" w:rsidRPr="004108D5" w:rsidRDefault="00C63C4D" w:rsidP="0013093A">
            <w:pPr>
              <w:jc w:val="both"/>
            </w:pPr>
            <w:r w:rsidRPr="004108D5">
              <w:t xml:space="preserve"> </w:t>
            </w:r>
            <w:r w:rsidR="0071780D" w:rsidRPr="004108D5">
              <w:t>I. </w:t>
            </w:r>
            <w:r w:rsidR="0071780D" w:rsidRPr="004108D5">
              <w:rPr>
                <w:bCs/>
              </w:rPr>
              <w:t>Ievads</w:t>
            </w:r>
          </w:p>
        </w:tc>
        <w:tc>
          <w:tcPr>
            <w:tcW w:w="0" w:type="auto"/>
            <w:shd w:val="clear" w:color="auto" w:fill="auto"/>
          </w:tcPr>
          <w:p w14:paraId="134A91DF" w14:textId="77777777" w:rsidR="00C63C4D" w:rsidRPr="004108D5" w:rsidRDefault="00C63C4D" w:rsidP="00FC2F4D">
            <w:pPr>
              <w:jc w:val="both"/>
            </w:pPr>
          </w:p>
        </w:tc>
      </w:tr>
      <w:tr w:rsidR="00C63C4D" w:rsidRPr="004108D5" w14:paraId="203F65FE" w14:textId="77777777" w:rsidTr="00335D4F">
        <w:tc>
          <w:tcPr>
            <w:tcW w:w="0" w:type="auto"/>
            <w:shd w:val="clear" w:color="auto" w:fill="auto"/>
          </w:tcPr>
          <w:p w14:paraId="3693D912" w14:textId="77777777" w:rsidR="00C63C4D" w:rsidRPr="004108D5" w:rsidRDefault="00C63C4D" w:rsidP="0013093A">
            <w:pPr>
              <w:pStyle w:val="Default"/>
              <w:jc w:val="both"/>
            </w:pPr>
          </w:p>
          <w:p w14:paraId="60FB68F2" w14:textId="29B2289C" w:rsidR="00C63C4D" w:rsidRPr="004108D5" w:rsidRDefault="00C63C4D" w:rsidP="0013093A">
            <w:pPr>
              <w:jc w:val="both"/>
            </w:pPr>
            <w:r w:rsidRPr="004108D5">
              <w:t xml:space="preserve"> </w:t>
            </w:r>
            <w:r w:rsidR="0071780D" w:rsidRPr="004108D5">
              <w:t>2. Komiteja atzinīgi vērtē dalībvalsts sākotnējā ziņojuma iesniegšanu un tās rakstveida atbildes uz jautājumu sarakstu (CRC/C/OPAC/LVA/Q/1/Add.1). Komiteja pauž atzinību par konstruktīvo dialogu ar dalībvalsts augsta līmeņa un daudznozaru delegāciju.</w:t>
            </w:r>
          </w:p>
        </w:tc>
        <w:tc>
          <w:tcPr>
            <w:tcW w:w="0" w:type="auto"/>
            <w:shd w:val="clear" w:color="auto" w:fill="auto"/>
          </w:tcPr>
          <w:p w14:paraId="27F5EADA" w14:textId="77777777" w:rsidR="00C63C4D" w:rsidRPr="004108D5" w:rsidRDefault="00C63C4D" w:rsidP="00FC2F4D">
            <w:pPr>
              <w:jc w:val="both"/>
            </w:pPr>
          </w:p>
        </w:tc>
      </w:tr>
      <w:tr w:rsidR="00C63C4D" w:rsidRPr="004108D5" w14:paraId="56132A51" w14:textId="77777777" w:rsidTr="00335D4F">
        <w:tc>
          <w:tcPr>
            <w:tcW w:w="0" w:type="auto"/>
            <w:shd w:val="clear" w:color="auto" w:fill="auto"/>
          </w:tcPr>
          <w:p w14:paraId="03D1CE29" w14:textId="1001C732" w:rsidR="00C63C4D" w:rsidRPr="004108D5" w:rsidRDefault="0071780D" w:rsidP="0013093A">
            <w:pPr>
              <w:jc w:val="both"/>
            </w:pPr>
            <w:r w:rsidRPr="004108D5">
              <w:rPr>
                <w:color w:val="000000"/>
                <w:lang w:eastAsia="en-US"/>
              </w:rPr>
              <w:t xml:space="preserve">3. Komiteja atgādina dalībvalstij, ka šie noslēguma apsvērumi ir jāskata kopā ar noslēguma apsvērumiem par dalībvalsts saskaņā ar Konvenciju par bērna tiesībām iesniegto apvienoto trešo līdz piekto periodisko ziņojumu (CRC/C/LVA/CO/3-5) un par saskaņā ar </w:t>
            </w:r>
            <w:r w:rsidR="004108EB">
              <w:rPr>
                <w:color w:val="000000"/>
                <w:lang w:eastAsia="en-US"/>
              </w:rPr>
              <w:t>Papildu</w:t>
            </w:r>
            <w:r w:rsidRPr="004108D5">
              <w:rPr>
                <w:color w:val="000000"/>
                <w:lang w:eastAsia="en-US"/>
              </w:rPr>
              <w:t xml:space="preserve"> protokolu par bērnu tirdzniecību, bērnu prostitūciju un bērnu pornogrāfiju iesniegto sākotnējo ziņojumu (CRC/C/OPSC/LVA/CO/1), kas pieņemtas 2016.gada 29.janvārī.</w:t>
            </w:r>
          </w:p>
        </w:tc>
        <w:tc>
          <w:tcPr>
            <w:tcW w:w="0" w:type="auto"/>
            <w:shd w:val="clear" w:color="auto" w:fill="auto"/>
          </w:tcPr>
          <w:p w14:paraId="22DEBD5C" w14:textId="04FEA1BE" w:rsidR="00C63C4D" w:rsidRPr="004108D5" w:rsidRDefault="00694A2C" w:rsidP="00FC2F4D">
            <w:pPr>
              <w:jc w:val="both"/>
            </w:pPr>
            <w:r w:rsidRPr="004108D5">
              <w:t>Visas ministrijas</w:t>
            </w:r>
          </w:p>
        </w:tc>
      </w:tr>
      <w:tr w:rsidR="00C63C4D" w:rsidRPr="004108D5" w14:paraId="61076C3E" w14:textId="77777777" w:rsidTr="00335D4F">
        <w:tc>
          <w:tcPr>
            <w:tcW w:w="0" w:type="auto"/>
            <w:shd w:val="clear" w:color="auto" w:fill="auto"/>
          </w:tcPr>
          <w:p w14:paraId="384B5299" w14:textId="77777777" w:rsidR="00C63C4D" w:rsidRPr="004108D5" w:rsidRDefault="00C63C4D" w:rsidP="0013093A">
            <w:pPr>
              <w:pStyle w:val="Default"/>
              <w:jc w:val="both"/>
            </w:pPr>
          </w:p>
          <w:p w14:paraId="3CAC8402" w14:textId="62460337" w:rsidR="00C63C4D" w:rsidRPr="004108D5" w:rsidRDefault="00C63C4D" w:rsidP="0013093A">
            <w:pPr>
              <w:jc w:val="both"/>
            </w:pPr>
            <w:r w:rsidRPr="004108D5">
              <w:t xml:space="preserve"> </w:t>
            </w:r>
            <w:r w:rsidRPr="004108D5">
              <w:rPr>
                <w:bCs/>
              </w:rPr>
              <w:t xml:space="preserve">II. </w:t>
            </w:r>
            <w:r w:rsidR="0071780D" w:rsidRPr="004108D5">
              <w:rPr>
                <w:bCs/>
              </w:rPr>
              <w:t>Vispārējie apsvērumi</w:t>
            </w:r>
          </w:p>
        </w:tc>
        <w:tc>
          <w:tcPr>
            <w:tcW w:w="0" w:type="auto"/>
            <w:shd w:val="clear" w:color="auto" w:fill="auto"/>
          </w:tcPr>
          <w:p w14:paraId="4151250E" w14:textId="77777777" w:rsidR="00C63C4D" w:rsidRPr="004108D5" w:rsidRDefault="00C63C4D" w:rsidP="00FC2F4D">
            <w:pPr>
              <w:jc w:val="both"/>
            </w:pPr>
          </w:p>
        </w:tc>
      </w:tr>
      <w:tr w:rsidR="00C63C4D" w:rsidRPr="004108D5" w14:paraId="3923156D" w14:textId="77777777" w:rsidTr="00335D4F">
        <w:tc>
          <w:tcPr>
            <w:tcW w:w="0" w:type="auto"/>
            <w:shd w:val="clear" w:color="auto" w:fill="auto"/>
          </w:tcPr>
          <w:p w14:paraId="74D05E69" w14:textId="77777777" w:rsidR="00C63C4D" w:rsidRPr="004108D5" w:rsidRDefault="00C63C4D" w:rsidP="0013093A">
            <w:pPr>
              <w:pStyle w:val="Default"/>
              <w:jc w:val="both"/>
            </w:pPr>
          </w:p>
          <w:p w14:paraId="64532467" w14:textId="77777777" w:rsidR="0071780D" w:rsidRPr="004108D5" w:rsidRDefault="00C63C4D" w:rsidP="0071780D">
            <w:pPr>
              <w:pStyle w:val="Default"/>
              <w:jc w:val="both"/>
              <w:rPr>
                <w:bCs/>
              </w:rPr>
            </w:pPr>
            <w:r w:rsidRPr="004108D5">
              <w:t xml:space="preserve"> </w:t>
            </w:r>
            <w:r w:rsidR="0071780D" w:rsidRPr="004108D5">
              <w:rPr>
                <w:bCs/>
              </w:rPr>
              <w:t>Pozitīvie aspekti</w:t>
            </w:r>
          </w:p>
          <w:p w14:paraId="64A86ABE" w14:textId="1D610264" w:rsidR="0071780D" w:rsidRPr="004108D5" w:rsidRDefault="0071780D" w:rsidP="0071780D">
            <w:pPr>
              <w:pStyle w:val="Default"/>
              <w:jc w:val="both"/>
              <w:rPr>
                <w:bCs/>
              </w:rPr>
            </w:pPr>
            <w:r w:rsidRPr="004108D5">
              <w:rPr>
                <w:bCs/>
              </w:rPr>
              <w:t xml:space="preserve">4. Komiteja pauž atzinību par to, ka dalībvalsts ir pievienojusies vai ratificējusi: </w:t>
            </w:r>
          </w:p>
          <w:p w14:paraId="5C6EA038" w14:textId="3E79CE44" w:rsidR="00C63C4D" w:rsidRPr="004108D5" w:rsidRDefault="0071780D" w:rsidP="0071780D">
            <w:pPr>
              <w:jc w:val="both"/>
            </w:pPr>
            <w:r w:rsidRPr="004108D5">
              <w:rPr>
                <w:bCs/>
              </w:rPr>
              <w:t xml:space="preserve">a) Protokolu par šaujamieroču, to detaļu, sastāvdaļu un munīcijas nelegālas izgatavošanas un aprites apkarošanu, kas papildina Apvienoto Nāciju Organizācijas Konvenciju pret transnacionālo </w:t>
            </w:r>
            <w:r w:rsidRPr="004108D5">
              <w:rPr>
                <w:bCs/>
              </w:rPr>
              <w:lastRenderedPageBreak/>
              <w:t>organizēto noziedzību 2004.gada jūlijā;</w:t>
            </w:r>
          </w:p>
        </w:tc>
        <w:tc>
          <w:tcPr>
            <w:tcW w:w="0" w:type="auto"/>
            <w:shd w:val="clear" w:color="auto" w:fill="auto"/>
          </w:tcPr>
          <w:p w14:paraId="1B0565E7" w14:textId="3BB42246" w:rsidR="00C63C4D" w:rsidRPr="004108D5" w:rsidRDefault="00C63C4D" w:rsidP="00FC2F4D">
            <w:pPr>
              <w:jc w:val="both"/>
            </w:pPr>
          </w:p>
        </w:tc>
      </w:tr>
      <w:tr w:rsidR="00C63C4D" w:rsidRPr="004108D5" w14:paraId="48B1C313" w14:textId="77777777" w:rsidTr="00335D4F">
        <w:tc>
          <w:tcPr>
            <w:tcW w:w="0" w:type="auto"/>
            <w:shd w:val="clear" w:color="auto" w:fill="auto"/>
          </w:tcPr>
          <w:p w14:paraId="11F9CD85" w14:textId="63CE6E9B" w:rsidR="00C63C4D" w:rsidRPr="004108D5" w:rsidRDefault="0071780D" w:rsidP="0013093A">
            <w:pPr>
              <w:jc w:val="both"/>
            </w:pPr>
            <w:r w:rsidRPr="004108D5">
              <w:t xml:space="preserve">b) Starptautiskās Krimināltiesas Romas statūtus 2002.gada jūnijā;  </w:t>
            </w:r>
          </w:p>
        </w:tc>
        <w:tc>
          <w:tcPr>
            <w:tcW w:w="0" w:type="auto"/>
            <w:shd w:val="clear" w:color="auto" w:fill="auto"/>
          </w:tcPr>
          <w:p w14:paraId="374E0F67" w14:textId="77777777" w:rsidR="00C63C4D" w:rsidRPr="004108D5" w:rsidRDefault="00C63C4D" w:rsidP="00FC2F4D">
            <w:pPr>
              <w:jc w:val="both"/>
            </w:pPr>
          </w:p>
        </w:tc>
      </w:tr>
      <w:tr w:rsidR="00C63C4D" w:rsidRPr="004108D5" w14:paraId="0B3FFB58" w14:textId="77777777" w:rsidTr="00335D4F">
        <w:tc>
          <w:tcPr>
            <w:tcW w:w="0" w:type="auto"/>
            <w:shd w:val="clear" w:color="auto" w:fill="auto"/>
          </w:tcPr>
          <w:p w14:paraId="669595E1" w14:textId="79A07895" w:rsidR="00C63C4D" w:rsidRPr="004108D5" w:rsidRDefault="0071780D" w:rsidP="0013093A">
            <w:pPr>
              <w:jc w:val="both"/>
            </w:pPr>
            <w:r w:rsidRPr="004108D5">
              <w:t>c) Apvienoto Nāciju Organizācijas Konvenciju pret transnacionālo organizēto noziedzību 2001.gada decembrī;</w:t>
            </w:r>
          </w:p>
        </w:tc>
        <w:tc>
          <w:tcPr>
            <w:tcW w:w="0" w:type="auto"/>
            <w:shd w:val="clear" w:color="auto" w:fill="auto"/>
          </w:tcPr>
          <w:p w14:paraId="13A3BABF" w14:textId="58C5EA23" w:rsidR="00C63C4D" w:rsidRPr="004108D5" w:rsidRDefault="00C63C4D" w:rsidP="00FC2F4D">
            <w:pPr>
              <w:jc w:val="both"/>
            </w:pPr>
          </w:p>
        </w:tc>
      </w:tr>
      <w:tr w:rsidR="00C63C4D" w:rsidRPr="004108D5" w14:paraId="54CE58BF" w14:textId="77777777" w:rsidTr="00335D4F">
        <w:tc>
          <w:tcPr>
            <w:tcW w:w="0" w:type="auto"/>
            <w:shd w:val="clear" w:color="auto" w:fill="auto"/>
          </w:tcPr>
          <w:p w14:paraId="309A1D29" w14:textId="17A73259" w:rsidR="00C63C4D" w:rsidRPr="004108D5" w:rsidRDefault="0071780D" w:rsidP="0013093A">
            <w:pPr>
              <w:jc w:val="both"/>
            </w:pPr>
            <w:r w:rsidRPr="004108D5">
              <w:t>d) 1949.gada Ženēvas Konvencijas un to 1. un 2.papildprotokolam 1991.gada decembrī.</w:t>
            </w:r>
          </w:p>
        </w:tc>
        <w:tc>
          <w:tcPr>
            <w:tcW w:w="0" w:type="auto"/>
            <w:shd w:val="clear" w:color="auto" w:fill="auto"/>
          </w:tcPr>
          <w:p w14:paraId="235D7E98" w14:textId="77777777" w:rsidR="00C63C4D" w:rsidRPr="004108D5" w:rsidRDefault="00C63C4D" w:rsidP="00FC2F4D">
            <w:pPr>
              <w:jc w:val="both"/>
            </w:pPr>
          </w:p>
        </w:tc>
      </w:tr>
      <w:tr w:rsidR="00C63C4D" w:rsidRPr="004108D5" w14:paraId="47ACCB77" w14:textId="77777777" w:rsidTr="00335D4F">
        <w:tc>
          <w:tcPr>
            <w:tcW w:w="0" w:type="auto"/>
            <w:shd w:val="clear" w:color="auto" w:fill="auto"/>
          </w:tcPr>
          <w:p w14:paraId="5F32533F" w14:textId="6E86E99B" w:rsidR="0071780D" w:rsidRPr="004108D5" w:rsidRDefault="0071780D" w:rsidP="0071780D">
            <w:pPr>
              <w:pStyle w:val="Default"/>
              <w:jc w:val="both"/>
            </w:pPr>
            <w:r w:rsidRPr="004108D5">
              <w:t xml:space="preserve">5. Komiteja atzinīgi novērtē dažādos pozitīvos pasākumus </w:t>
            </w:r>
            <w:r w:rsidR="004108EB">
              <w:t>Papildu</w:t>
            </w:r>
            <w:r w:rsidRPr="004108D5">
              <w:t xml:space="preserve"> protokola īstenošanas jomās, jo īpaši: </w:t>
            </w:r>
          </w:p>
          <w:p w14:paraId="36A18989" w14:textId="2231B5F1" w:rsidR="00C63C4D" w:rsidRPr="004108D5" w:rsidRDefault="0071780D" w:rsidP="0071780D">
            <w:pPr>
              <w:jc w:val="both"/>
            </w:pPr>
            <w:r w:rsidRPr="004108D5">
              <w:t>a) 2015.gada februāra grozījumus Krimināllikumā, kas aizliedz Latvijas valstspiederīgo piedalīšanos bruņotos konfliktos, kas ir pretrunā starptautiskajām tiesībām, un kas ierobežo bruņotu konfliktu finansēšanu, informatīvās kampaņas un cita veida atbalstu personām, kas piedalās bruņotā konfliktā ārvalstīs;</w:t>
            </w:r>
          </w:p>
        </w:tc>
        <w:tc>
          <w:tcPr>
            <w:tcW w:w="0" w:type="auto"/>
            <w:shd w:val="clear" w:color="auto" w:fill="auto"/>
          </w:tcPr>
          <w:p w14:paraId="6E26202A" w14:textId="6AB5BAA3" w:rsidR="00C63C4D" w:rsidRPr="004108D5" w:rsidRDefault="00C63C4D" w:rsidP="00FC2F4D">
            <w:pPr>
              <w:jc w:val="both"/>
            </w:pPr>
          </w:p>
        </w:tc>
      </w:tr>
      <w:tr w:rsidR="00C63C4D" w:rsidRPr="004108D5" w14:paraId="6E7A3E52" w14:textId="77777777" w:rsidTr="00335D4F">
        <w:tc>
          <w:tcPr>
            <w:tcW w:w="0" w:type="auto"/>
            <w:shd w:val="clear" w:color="auto" w:fill="auto"/>
          </w:tcPr>
          <w:p w14:paraId="4B0676C3" w14:textId="7B1F1F37" w:rsidR="00C63C4D" w:rsidRPr="004108D5" w:rsidRDefault="0071780D" w:rsidP="0013093A">
            <w:pPr>
              <w:jc w:val="both"/>
            </w:pPr>
            <w:r w:rsidRPr="004108D5">
              <w:t>b) 2009.gada decembra Ministru kabineta noteikumus Nr.1613 „Kārtība, kādā nepieciešamo palīdzību sniedz bērnam, kurš cietis no prettiesiskām darbībām”;</w:t>
            </w:r>
          </w:p>
        </w:tc>
        <w:tc>
          <w:tcPr>
            <w:tcW w:w="0" w:type="auto"/>
            <w:shd w:val="clear" w:color="auto" w:fill="auto"/>
          </w:tcPr>
          <w:p w14:paraId="5206EB35" w14:textId="08939DF1" w:rsidR="00C63C4D" w:rsidRPr="004108D5" w:rsidRDefault="00C63C4D" w:rsidP="00FC2F4D">
            <w:pPr>
              <w:jc w:val="both"/>
            </w:pPr>
          </w:p>
        </w:tc>
      </w:tr>
      <w:tr w:rsidR="00C63C4D" w:rsidRPr="004108D5" w14:paraId="3BB764D1" w14:textId="77777777" w:rsidTr="00335D4F">
        <w:tc>
          <w:tcPr>
            <w:tcW w:w="0" w:type="auto"/>
            <w:shd w:val="clear" w:color="auto" w:fill="auto"/>
          </w:tcPr>
          <w:p w14:paraId="62B5C979" w14:textId="1212DAD0" w:rsidR="00C63C4D" w:rsidRPr="004108D5" w:rsidRDefault="0071780D" w:rsidP="0013093A">
            <w:pPr>
              <w:jc w:val="both"/>
            </w:pPr>
            <w:r w:rsidRPr="004108D5">
              <w:t>c) Aizliegumu par bērnu uzņemšanu profesionālajā Iekšlietu ministrijas sistēmas iestāžu un Cietumu administrācijas dienestā, kas nostiprināts 2006.gada oktobrī pieņemtajā Iekšlietu ministrijas sistēmas iestāžu un Ieslodzījuma vietu pārvaldes amatpersonu ar speciālajām dienesta pakāpēm dienesta gaitas likuma 7.panta pirmajā daļā;</w:t>
            </w:r>
          </w:p>
        </w:tc>
        <w:tc>
          <w:tcPr>
            <w:tcW w:w="0" w:type="auto"/>
            <w:shd w:val="clear" w:color="auto" w:fill="auto"/>
          </w:tcPr>
          <w:p w14:paraId="72FF0032" w14:textId="12CF0E1C" w:rsidR="00C63C4D" w:rsidRPr="004108D5" w:rsidRDefault="00C63C4D" w:rsidP="00FC2F4D">
            <w:pPr>
              <w:jc w:val="both"/>
            </w:pPr>
          </w:p>
        </w:tc>
      </w:tr>
      <w:tr w:rsidR="00C63C4D" w:rsidRPr="004108D5" w14:paraId="62DC2212" w14:textId="77777777" w:rsidTr="00335D4F">
        <w:tc>
          <w:tcPr>
            <w:tcW w:w="0" w:type="auto"/>
            <w:shd w:val="clear" w:color="auto" w:fill="auto"/>
          </w:tcPr>
          <w:p w14:paraId="05A37A13" w14:textId="11C2E67C" w:rsidR="00C63C4D" w:rsidRPr="004108D5" w:rsidRDefault="0071780D" w:rsidP="0013093A">
            <w:pPr>
              <w:jc w:val="both"/>
            </w:pPr>
            <w:r w:rsidRPr="004108D5">
              <w:t>d) Deklarāciju, kas pieņemta vienlaicīgi ar ratifikāciju, par to, ka minimālais vecums, lai brīvprātīgi iestātos militārajā dienestā, dalībvalstī ir 18 gadi.</w:t>
            </w:r>
          </w:p>
        </w:tc>
        <w:tc>
          <w:tcPr>
            <w:tcW w:w="0" w:type="auto"/>
            <w:shd w:val="clear" w:color="auto" w:fill="auto"/>
          </w:tcPr>
          <w:p w14:paraId="6B8EDDB4" w14:textId="77777777" w:rsidR="00C63C4D" w:rsidRPr="004108D5" w:rsidRDefault="00C63C4D" w:rsidP="00FC2F4D">
            <w:pPr>
              <w:jc w:val="both"/>
            </w:pPr>
          </w:p>
        </w:tc>
      </w:tr>
      <w:tr w:rsidR="00C63C4D" w:rsidRPr="004108D5" w14:paraId="32AFBA76" w14:textId="77777777" w:rsidTr="00335D4F">
        <w:tc>
          <w:tcPr>
            <w:tcW w:w="0" w:type="auto"/>
            <w:shd w:val="clear" w:color="auto" w:fill="auto"/>
          </w:tcPr>
          <w:p w14:paraId="32140B18" w14:textId="79FBF215" w:rsidR="00C63C4D" w:rsidRPr="004108D5" w:rsidRDefault="00C63C4D" w:rsidP="0013093A">
            <w:pPr>
              <w:jc w:val="both"/>
            </w:pPr>
            <w:r w:rsidRPr="004108D5">
              <w:rPr>
                <w:bCs/>
              </w:rPr>
              <w:t xml:space="preserve">III. </w:t>
            </w:r>
            <w:r w:rsidR="0071780D" w:rsidRPr="004108D5">
              <w:rPr>
                <w:bCs/>
              </w:rPr>
              <w:t>Vispārējie īstenošanas pasākumi</w:t>
            </w:r>
          </w:p>
        </w:tc>
        <w:tc>
          <w:tcPr>
            <w:tcW w:w="0" w:type="auto"/>
            <w:shd w:val="clear" w:color="auto" w:fill="auto"/>
          </w:tcPr>
          <w:p w14:paraId="45FA698A" w14:textId="77777777" w:rsidR="00C63C4D" w:rsidRPr="004108D5" w:rsidRDefault="00C63C4D" w:rsidP="00FC2F4D">
            <w:pPr>
              <w:jc w:val="both"/>
            </w:pPr>
          </w:p>
        </w:tc>
      </w:tr>
      <w:tr w:rsidR="00C63C4D" w:rsidRPr="004108D5" w14:paraId="4D102367" w14:textId="77777777" w:rsidTr="00335D4F">
        <w:tc>
          <w:tcPr>
            <w:tcW w:w="0" w:type="auto"/>
            <w:shd w:val="clear" w:color="auto" w:fill="auto"/>
          </w:tcPr>
          <w:p w14:paraId="6B6DAD01" w14:textId="77777777" w:rsidR="006E36BC" w:rsidRPr="004108D5" w:rsidRDefault="006E36BC" w:rsidP="006E36BC">
            <w:pPr>
              <w:pStyle w:val="Default"/>
              <w:jc w:val="both"/>
              <w:rPr>
                <w:bCs/>
              </w:rPr>
            </w:pPr>
            <w:r w:rsidRPr="004108D5">
              <w:rPr>
                <w:bCs/>
              </w:rPr>
              <w:t>Izplatīšana un izpratnes veicināšana</w:t>
            </w:r>
          </w:p>
          <w:p w14:paraId="48C0A5B2" w14:textId="2F4373F3" w:rsidR="00C63C4D" w:rsidRPr="004108D5" w:rsidRDefault="006E36BC" w:rsidP="006E36BC">
            <w:pPr>
              <w:jc w:val="both"/>
            </w:pPr>
            <w:r w:rsidRPr="004108D5">
              <w:rPr>
                <w:bCs/>
              </w:rPr>
              <w:t xml:space="preserve">6. Komiteja pauž bažas par to, ka nav notikušas nekādas kampaņas izpratnes par </w:t>
            </w:r>
            <w:r w:rsidR="004108EB">
              <w:rPr>
                <w:bCs/>
              </w:rPr>
              <w:t>Papildu</w:t>
            </w:r>
            <w:r w:rsidRPr="004108D5">
              <w:rPr>
                <w:bCs/>
              </w:rPr>
              <w:t xml:space="preserve"> protokolu veicināšanai un ka dalībvalsts nav plaši izplatījusi tā principus un nosacījumus bruņotajiem spēkiem un sabiedrībai kopumā, tai skaitā bērniem un viņu ģimenēm.</w:t>
            </w:r>
          </w:p>
        </w:tc>
        <w:tc>
          <w:tcPr>
            <w:tcW w:w="0" w:type="auto"/>
            <w:shd w:val="clear" w:color="auto" w:fill="auto"/>
          </w:tcPr>
          <w:p w14:paraId="21A188F7" w14:textId="6E978145" w:rsidR="00C63C4D" w:rsidRPr="004108D5" w:rsidRDefault="002C6354" w:rsidP="00FC2F4D">
            <w:pPr>
              <w:jc w:val="both"/>
            </w:pPr>
            <w:r w:rsidRPr="004108D5">
              <w:t>AIM</w:t>
            </w:r>
            <w:r w:rsidR="00362B75" w:rsidRPr="004108D5">
              <w:t>, LM</w:t>
            </w:r>
          </w:p>
        </w:tc>
      </w:tr>
      <w:tr w:rsidR="00C63C4D" w:rsidRPr="004108D5" w14:paraId="5D3FCB10" w14:textId="77777777" w:rsidTr="00335D4F">
        <w:tc>
          <w:tcPr>
            <w:tcW w:w="0" w:type="auto"/>
            <w:shd w:val="clear" w:color="auto" w:fill="auto"/>
          </w:tcPr>
          <w:p w14:paraId="7F2AFEAE" w14:textId="6DE56989" w:rsidR="00C63C4D" w:rsidRPr="004108D5" w:rsidRDefault="006E36BC" w:rsidP="0013093A">
            <w:pPr>
              <w:jc w:val="both"/>
            </w:pPr>
            <w:r w:rsidRPr="004108D5">
              <w:t xml:space="preserve">7. Saskaņā ar </w:t>
            </w:r>
            <w:r w:rsidR="004108EB">
              <w:t>Papildu</w:t>
            </w:r>
            <w:r w:rsidRPr="004108D5">
              <w:t xml:space="preserve"> protokola 6.panta 2.punktu, Komiteja rekomendē dalībvalstij pastiprināt savus centienus, lai padarītu </w:t>
            </w:r>
            <w:r w:rsidR="004108EB">
              <w:t>Papildu</w:t>
            </w:r>
            <w:r w:rsidRPr="004108D5">
              <w:t xml:space="preserve"> protokola principus un nosacījumus plaši zināmus bruņotajiem spēkiem, sabiedrībai kopumā un jo īpaši bērniem, tostarp ar lielāku plašsaziņas līdzekļu iesaisti izpratnes veicināšanas programmās.</w:t>
            </w:r>
          </w:p>
        </w:tc>
        <w:tc>
          <w:tcPr>
            <w:tcW w:w="0" w:type="auto"/>
            <w:shd w:val="clear" w:color="auto" w:fill="auto"/>
          </w:tcPr>
          <w:p w14:paraId="2F79585E" w14:textId="3D075C36" w:rsidR="00C63C4D" w:rsidRPr="004108D5" w:rsidRDefault="00362B75" w:rsidP="00FC2F4D">
            <w:pPr>
              <w:jc w:val="both"/>
            </w:pPr>
            <w:r w:rsidRPr="004108D5">
              <w:t>AIM, LM</w:t>
            </w:r>
          </w:p>
        </w:tc>
      </w:tr>
      <w:tr w:rsidR="00C63C4D" w:rsidRPr="004108D5" w14:paraId="2F75A2C3" w14:textId="77777777" w:rsidTr="00335D4F">
        <w:tc>
          <w:tcPr>
            <w:tcW w:w="0" w:type="auto"/>
            <w:shd w:val="clear" w:color="auto" w:fill="auto"/>
          </w:tcPr>
          <w:p w14:paraId="768EC205" w14:textId="77777777" w:rsidR="006E36BC" w:rsidRPr="004108D5" w:rsidRDefault="006E36BC" w:rsidP="006E36BC">
            <w:pPr>
              <w:pStyle w:val="Default"/>
              <w:jc w:val="both"/>
              <w:rPr>
                <w:bCs/>
              </w:rPr>
            </w:pPr>
            <w:r w:rsidRPr="004108D5">
              <w:rPr>
                <w:bCs/>
              </w:rPr>
              <w:t>Apmācība</w:t>
            </w:r>
          </w:p>
          <w:p w14:paraId="7BDED1B8" w14:textId="6C70DC69" w:rsidR="00C63C4D" w:rsidRPr="004108D5" w:rsidRDefault="006E36BC" w:rsidP="006E36BC">
            <w:pPr>
              <w:jc w:val="both"/>
            </w:pPr>
            <w:r w:rsidRPr="004108D5">
              <w:rPr>
                <w:bCs/>
              </w:rPr>
              <w:t xml:space="preserve">8. Atzīmējot, ka tēmas, kas saistītas ar bērnu iesaistīšanu bruņotā konfliktā, tiek risinātas dažādu neformālu izglītības kursu studiju programmu ietvaros, kas pieejamas Valsts policijas koledžā un Valsts </w:t>
            </w:r>
            <w:r w:rsidRPr="004108D5">
              <w:rPr>
                <w:bCs/>
              </w:rPr>
              <w:lastRenderedPageBreak/>
              <w:t xml:space="preserve">robežsardzes koledžā, Komiteja tomēr pauž nožēlu par to, ka trūkst speciālas apmācības par bērnu tiesībām un </w:t>
            </w:r>
            <w:r w:rsidR="004108EB">
              <w:rPr>
                <w:bCs/>
              </w:rPr>
              <w:t>Papildu</w:t>
            </w:r>
            <w:r w:rsidRPr="004108D5">
              <w:rPr>
                <w:bCs/>
              </w:rPr>
              <w:t xml:space="preserve"> protokola nosacījumiem mācību programmās, kas paredzētas militāro un tiesībsargājošo iestāžu personālam, ieskaitos tos, kuri ir iesaistīti miera uzturēšanas operācijās.</w:t>
            </w:r>
          </w:p>
        </w:tc>
        <w:tc>
          <w:tcPr>
            <w:tcW w:w="0" w:type="auto"/>
            <w:shd w:val="clear" w:color="auto" w:fill="auto"/>
          </w:tcPr>
          <w:p w14:paraId="2E207D5A" w14:textId="29A5C6A0" w:rsidR="00C63C4D" w:rsidRPr="004108D5" w:rsidRDefault="0029132A" w:rsidP="0029132A">
            <w:pPr>
              <w:jc w:val="both"/>
            </w:pPr>
            <w:r w:rsidRPr="004108D5">
              <w:lastRenderedPageBreak/>
              <w:t>AIM,</w:t>
            </w:r>
            <w:r>
              <w:t xml:space="preserve"> </w:t>
            </w:r>
            <w:r w:rsidR="00C07D55" w:rsidRPr="004108D5">
              <w:t>IEM, TM</w:t>
            </w:r>
          </w:p>
        </w:tc>
      </w:tr>
      <w:tr w:rsidR="00C63C4D" w:rsidRPr="004108D5" w14:paraId="188FB36B" w14:textId="77777777" w:rsidTr="00335D4F">
        <w:tc>
          <w:tcPr>
            <w:tcW w:w="0" w:type="auto"/>
            <w:shd w:val="clear" w:color="auto" w:fill="auto"/>
          </w:tcPr>
          <w:p w14:paraId="4EF1EE1A" w14:textId="148F5A4D" w:rsidR="00C63C4D" w:rsidRPr="004108D5" w:rsidRDefault="006E36BC" w:rsidP="0013093A">
            <w:pPr>
              <w:jc w:val="both"/>
            </w:pPr>
            <w:r w:rsidRPr="004108D5">
              <w:t xml:space="preserve">9. Komiteja rekomendē to, lai </w:t>
            </w:r>
            <w:r w:rsidR="009670AD">
              <w:t>Papildu</w:t>
            </w:r>
            <w:r w:rsidRPr="004108D5">
              <w:t xml:space="preserve"> protokols tiek sistemātiski ietverts visu attiecīgo profesionāļu grupu, jo īpaši bruņoto spēku un starptautisko miera uzturēšanas spēku, tiesībsargājošo iestāžu un imigrācijas amatpersonu, prokuroru, advokātu, tiesnešu, sociālo darbinieku, medicīnas profesionāļu, skolotāju, plašsaziņas līdzekļu profesionāļu un vietējo un rajona amatpersonu, apmācībā.</w:t>
            </w:r>
          </w:p>
        </w:tc>
        <w:tc>
          <w:tcPr>
            <w:tcW w:w="0" w:type="auto"/>
            <w:shd w:val="clear" w:color="auto" w:fill="auto"/>
          </w:tcPr>
          <w:p w14:paraId="32483E6D" w14:textId="2CFCCDEA" w:rsidR="00C63C4D" w:rsidRPr="004108D5" w:rsidRDefault="003806E5" w:rsidP="00227998">
            <w:pPr>
              <w:jc w:val="both"/>
            </w:pPr>
            <w:r w:rsidRPr="004108D5">
              <w:t xml:space="preserve">AIM, IEM, </w:t>
            </w:r>
            <w:r w:rsidR="00227998" w:rsidRPr="004108D5">
              <w:t>IZM,</w:t>
            </w:r>
            <w:r w:rsidR="00227998">
              <w:t xml:space="preserve"> </w:t>
            </w:r>
            <w:r w:rsidR="00227998" w:rsidRPr="004108D5">
              <w:t>KM</w:t>
            </w:r>
            <w:r w:rsidR="00227998">
              <w:t>,</w:t>
            </w:r>
            <w:r w:rsidR="00227998" w:rsidRPr="004108D5">
              <w:t xml:space="preserve"> </w:t>
            </w:r>
            <w:r w:rsidRPr="004108D5">
              <w:t xml:space="preserve">LM, </w:t>
            </w:r>
            <w:r w:rsidR="00227998" w:rsidRPr="004108D5">
              <w:t>TM,</w:t>
            </w:r>
            <w:r w:rsidR="00227998">
              <w:t xml:space="preserve"> </w:t>
            </w:r>
            <w:r w:rsidRPr="004108D5">
              <w:t>VARAM</w:t>
            </w:r>
            <w:r w:rsidR="00227998">
              <w:t>,</w:t>
            </w:r>
            <w:r w:rsidRPr="004108D5">
              <w:t xml:space="preserve"> </w:t>
            </w:r>
            <w:r w:rsidR="00227998" w:rsidRPr="004108D5">
              <w:t>VM</w:t>
            </w:r>
          </w:p>
        </w:tc>
      </w:tr>
      <w:tr w:rsidR="00C63C4D" w:rsidRPr="004108D5" w14:paraId="32B0C82C" w14:textId="77777777" w:rsidTr="00335D4F">
        <w:tc>
          <w:tcPr>
            <w:tcW w:w="0" w:type="auto"/>
            <w:shd w:val="clear" w:color="auto" w:fill="auto"/>
          </w:tcPr>
          <w:p w14:paraId="1DF79BBF" w14:textId="77777777" w:rsidR="006E36BC" w:rsidRPr="004108D5" w:rsidRDefault="006E36BC" w:rsidP="006E36BC">
            <w:pPr>
              <w:pStyle w:val="Default"/>
              <w:jc w:val="both"/>
              <w:rPr>
                <w:bCs/>
              </w:rPr>
            </w:pPr>
            <w:r w:rsidRPr="004108D5">
              <w:rPr>
                <w:bCs/>
              </w:rPr>
              <w:t>Dati</w:t>
            </w:r>
          </w:p>
          <w:p w14:paraId="24C086C4" w14:textId="73360EA3" w:rsidR="00C63C4D" w:rsidRPr="004108D5" w:rsidRDefault="006E36BC" w:rsidP="006E36BC">
            <w:pPr>
              <w:jc w:val="both"/>
            </w:pPr>
            <w:r w:rsidRPr="004108D5">
              <w:rPr>
                <w:bCs/>
              </w:rPr>
              <w:t>10. Komiteja pauž nožēlu par datu trūkumu par patvēruma meklētāju, bēgļu, migrantu un nepavadītiem bērniem, kuri ierodas dalībvalstī un var tikt savervēti vai izmantoti karadarbībās ārvalstīs.</w:t>
            </w:r>
          </w:p>
        </w:tc>
        <w:tc>
          <w:tcPr>
            <w:tcW w:w="0" w:type="auto"/>
            <w:shd w:val="clear" w:color="auto" w:fill="auto"/>
          </w:tcPr>
          <w:p w14:paraId="08FED151" w14:textId="73B3A0AC" w:rsidR="00C63C4D" w:rsidRPr="004108D5" w:rsidRDefault="009E7DA8" w:rsidP="00FC2F4D">
            <w:pPr>
              <w:jc w:val="both"/>
            </w:pPr>
            <w:r w:rsidRPr="004108D5">
              <w:t>IEM</w:t>
            </w:r>
          </w:p>
        </w:tc>
      </w:tr>
      <w:tr w:rsidR="00C63C4D" w:rsidRPr="004108D5" w14:paraId="741062AB" w14:textId="77777777" w:rsidTr="00335D4F">
        <w:tc>
          <w:tcPr>
            <w:tcW w:w="0" w:type="auto"/>
            <w:shd w:val="clear" w:color="auto" w:fill="auto"/>
          </w:tcPr>
          <w:p w14:paraId="42FC1F38" w14:textId="7B5A2567" w:rsidR="00C63C4D" w:rsidRPr="004108D5" w:rsidRDefault="006E36BC" w:rsidP="0013093A">
            <w:pPr>
              <w:jc w:val="both"/>
            </w:pPr>
            <w:r w:rsidRPr="004108D5">
              <w:t>11. Komiteja rekomendē, lai dalībvalsts izveido visaptverošu datu apkopošanas mehānismu, iedalot pēc dzimuma, vecuma, tautības un etniskās izcelsmes, par patvēruma meklētāju, bēgļu, migrantu un nepavadītiem bērniem, kuri ierodas dalībvalstī un var tikt savervēti vai izmantoti karadarbībās ārvalstīs.</w:t>
            </w:r>
          </w:p>
        </w:tc>
        <w:tc>
          <w:tcPr>
            <w:tcW w:w="0" w:type="auto"/>
            <w:shd w:val="clear" w:color="auto" w:fill="auto"/>
          </w:tcPr>
          <w:p w14:paraId="5D467C03" w14:textId="47123A7E" w:rsidR="00C63C4D" w:rsidRPr="004108D5" w:rsidRDefault="00310A49" w:rsidP="00FC2F4D">
            <w:pPr>
              <w:jc w:val="both"/>
            </w:pPr>
            <w:r w:rsidRPr="004108D5">
              <w:t>IEM</w:t>
            </w:r>
          </w:p>
        </w:tc>
      </w:tr>
      <w:tr w:rsidR="00C63C4D" w:rsidRPr="004108D5" w14:paraId="00E3A29D" w14:textId="77777777" w:rsidTr="00335D4F">
        <w:tc>
          <w:tcPr>
            <w:tcW w:w="0" w:type="auto"/>
            <w:shd w:val="clear" w:color="auto" w:fill="auto"/>
          </w:tcPr>
          <w:p w14:paraId="33A62352" w14:textId="6252EDD9" w:rsidR="00C63C4D" w:rsidRPr="004108D5" w:rsidRDefault="00C63C4D" w:rsidP="0013093A">
            <w:pPr>
              <w:jc w:val="both"/>
            </w:pPr>
            <w:r w:rsidRPr="004108D5">
              <w:rPr>
                <w:bCs/>
              </w:rPr>
              <w:t xml:space="preserve">IV. </w:t>
            </w:r>
            <w:r w:rsidR="006E36BC" w:rsidRPr="004108D5">
              <w:rPr>
                <w:bCs/>
              </w:rPr>
              <w:t>Prevencija</w:t>
            </w:r>
          </w:p>
        </w:tc>
        <w:tc>
          <w:tcPr>
            <w:tcW w:w="0" w:type="auto"/>
            <w:shd w:val="clear" w:color="auto" w:fill="auto"/>
          </w:tcPr>
          <w:p w14:paraId="07A5DB88" w14:textId="77777777" w:rsidR="00C63C4D" w:rsidRPr="004108D5" w:rsidRDefault="00C63C4D" w:rsidP="00FC2F4D">
            <w:pPr>
              <w:jc w:val="both"/>
            </w:pPr>
          </w:p>
        </w:tc>
      </w:tr>
      <w:tr w:rsidR="00C63C4D" w:rsidRPr="004108D5" w14:paraId="1F668726" w14:textId="77777777" w:rsidTr="00335D4F">
        <w:tc>
          <w:tcPr>
            <w:tcW w:w="0" w:type="auto"/>
            <w:shd w:val="clear" w:color="auto" w:fill="auto"/>
          </w:tcPr>
          <w:p w14:paraId="3E323431" w14:textId="77777777" w:rsidR="006E36BC" w:rsidRPr="004108D5" w:rsidRDefault="006E36BC" w:rsidP="006E36BC">
            <w:pPr>
              <w:pStyle w:val="Default"/>
              <w:jc w:val="both"/>
              <w:rPr>
                <w:bCs/>
              </w:rPr>
            </w:pPr>
            <w:r w:rsidRPr="004108D5">
              <w:rPr>
                <w:bCs/>
              </w:rPr>
              <w:t>Militārā izglītība</w:t>
            </w:r>
          </w:p>
          <w:p w14:paraId="757F0B2D" w14:textId="1FB4DFC6" w:rsidR="00C63C4D" w:rsidRPr="004108D5" w:rsidRDefault="006E36BC" w:rsidP="006E36BC">
            <w:pPr>
              <w:jc w:val="both"/>
            </w:pPr>
            <w:r w:rsidRPr="004108D5">
              <w:rPr>
                <w:bCs/>
              </w:rPr>
              <w:t>12. Komiteja atzīmē, ka bērni no 10 gadu vecuma var piedalīties brīvprātīgajā kustībā “Jaunsardze”, kas darbojas Aizsardzības ministrijas paspārnē, kuras mērķis ir izglītot jauniešus nacionālās aizsardzības jomā. Komiteja ir ļoti nobažījusies par to, ka Jaunsardzes programma ietver bērnu līdzdalību darbībās, kas saistītas ar ieročiem un militāro apmācību.</w:t>
            </w:r>
          </w:p>
        </w:tc>
        <w:tc>
          <w:tcPr>
            <w:tcW w:w="0" w:type="auto"/>
            <w:shd w:val="clear" w:color="auto" w:fill="auto"/>
          </w:tcPr>
          <w:p w14:paraId="25DCB708" w14:textId="215ACBD1" w:rsidR="00C63C4D" w:rsidRPr="004108D5" w:rsidRDefault="00310A49" w:rsidP="00FC2F4D">
            <w:pPr>
              <w:jc w:val="both"/>
            </w:pPr>
            <w:r w:rsidRPr="004108D5">
              <w:t>AIM</w:t>
            </w:r>
          </w:p>
        </w:tc>
      </w:tr>
      <w:tr w:rsidR="00C63C4D" w:rsidRPr="004108D5" w14:paraId="494598B5" w14:textId="77777777" w:rsidTr="00335D4F">
        <w:tc>
          <w:tcPr>
            <w:tcW w:w="0" w:type="auto"/>
            <w:shd w:val="clear" w:color="auto" w:fill="auto"/>
          </w:tcPr>
          <w:p w14:paraId="3B5B7D18" w14:textId="7F4A8252" w:rsidR="00C63C4D" w:rsidRPr="004108D5" w:rsidRDefault="006E36BC" w:rsidP="00F17B15">
            <w:pPr>
              <w:jc w:val="both"/>
            </w:pPr>
            <w:r w:rsidRPr="004108D5">
              <w:t xml:space="preserve">13. Komiteja mudina dalībvalsti veikt pasākumus, lai aizliegtu ar </w:t>
            </w:r>
            <w:r w:rsidR="00F17B15">
              <w:t>militāro ieroču</w:t>
            </w:r>
            <w:r w:rsidR="00F17B15" w:rsidRPr="004108D5">
              <w:t xml:space="preserve"> </w:t>
            </w:r>
            <w:r w:rsidRPr="004108D5">
              <w:t xml:space="preserve">izmantošanu saistītās militārās apmācības bērniem vecumā līdz 18 gadiem vispār, un jo īpaši Jaunsardzē, un izveidot regulāru Jaunsardzes programmas uzraudzību, lai nodrošinātu to, ka tās mācību programma un mācību personāls ievēro </w:t>
            </w:r>
            <w:r w:rsidR="004108EB">
              <w:t>Papildu</w:t>
            </w:r>
            <w:r w:rsidRPr="004108D5">
              <w:t xml:space="preserve"> protokolu.</w:t>
            </w:r>
          </w:p>
        </w:tc>
        <w:tc>
          <w:tcPr>
            <w:tcW w:w="0" w:type="auto"/>
            <w:shd w:val="clear" w:color="auto" w:fill="auto"/>
          </w:tcPr>
          <w:p w14:paraId="3FDAD5B7" w14:textId="59EFC6D0" w:rsidR="00C63C4D" w:rsidRPr="004108D5" w:rsidRDefault="00310A49" w:rsidP="00FC2F4D">
            <w:pPr>
              <w:jc w:val="both"/>
            </w:pPr>
            <w:r w:rsidRPr="004108D5">
              <w:t>AIM</w:t>
            </w:r>
            <w:r w:rsidR="004D3E14">
              <w:t>, IEM, IZM</w:t>
            </w:r>
          </w:p>
        </w:tc>
      </w:tr>
      <w:tr w:rsidR="00C63C4D" w:rsidRPr="004108D5" w14:paraId="2F3FD9B1" w14:textId="77777777" w:rsidTr="00335D4F">
        <w:tc>
          <w:tcPr>
            <w:tcW w:w="0" w:type="auto"/>
            <w:shd w:val="clear" w:color="auto" w:fill="auto"/>
          </w:tcPr>
          <w:p w14:paraId="0426D418" w14:textId="77777777" w:rsidR="006E36BC" w:rsidRPr="004108D5" w:rsidRDefault="006E36BC" w:rsidP="006E36BC">
            <w:pPr>
              <w:pStyle w:val="Default"/>
              <w:jc w:val="both"/>
              <w:rPr>
                <w:bCs/>
              </w:rPr>
            </w:pPr>
            <w:r w:rsidRPr="004108D5">
              <w:rPr>
                <w:bCs/>
              </w:rPr>
              <w:t>Cilvēktiesību un miera izglītība</w:t>
            </w:r>
          </w:p>
          <w:p w14:paraId="3A97CD94" w14:textId="4FEBF926" w:rsidR="00C63C4D" w:rsidRPr="004108D5" w:rsidRDefault="006E36BC" w:rsidP="006E36BC">
            <w:pPr>
              <w:jc w:val="both"/>
            </w:pPr>
            <w:r w:rsidRPr="004108D5">
              <w:rPr>
                <w:bCs/>
              </w:rPr>
              <w:t xml:space="preserve">14. Komiteja pauž nožēlu par informācijas trūkumu par to, vai iesaucamajiem un aktīvā dienesta karavīriem tiek nodrošināta regulāra un obligāta cilvēktiesību un miera izglītība, tai skaitā par </w:t>
            </w:r>
            <w:r w:rsidR="004108EB">
              <w:rPr>
                <w:bCs/>
              </w:rPr>
              <w:t>Papildu</w:t>
            </w:r>
            <w:r w:rsidRPr="004108D5">
              <w:rPr>
                <w:bCs/>
              </w:rPr>
              <w:t xml:space="preserve"> protokola normām.</w:t>
            </w:r>
          </w:p>
        </w:tc>
        <w:tc>
          <w:tcPr>
            <w:tcW w:w="0" w:type="auto"/>
            <w:shd w:val="clear" w:color="auto" w:fill="auto"/>
          </w:tcPr>
          <w:p w14:paraId="6CB678A9" w14:textId="3275F8C5" w:rsidR="00C63C4D" w:rsidRPr="004108D5" w:rsidRDefault="00310A49" w:rsidP="00FC2F4D">
            <w:pPr>
              <w:jc w:val="both"/>
            </w:pPr>
            <w:r w:rsidRPr="004108D5">
              <w:t>AIM</w:t>
            </w:r>
          </w:p>
        </w:tc>
      </w:tr>
      <w:tr w:rsidR="00C63C4D" w:rsidRPr="004108D5" w14:paraId="79587D20" w14:textId="77777777" w:rsidTr="00335D4F">
        <w:tc>
          <w:tcPr>
            <w:tcW w:w="0" w:type="auto"/>
            <w:shd w:val="clear" w:color="auto" w:fill="auto"/>
          </w:tcPr>
          <w:p w14:paraId="3F8F1D2A" w14:textId="71F290D7" w:rsidR="00C63C4D" w:rsidRPr="004108D5" w:rsidRDefault="006E36BC" w:rsidP="0013093A">
            <w:pPr>
              <w:jc w:val="both"/>
            </w:pPr>
            <w:r w:rsidRPr="004108D5">
              <w:t xml:space="preserve">15. Komiteja rekomendē dalībvalsti veikt nepieciešamos pasākumus, lai iekļautu cilvēktiesību un miera izglītību, kā arī izglītību par </w:t>
            </w:r>
            <w:r w:rsidR="004108EB">
              <w:t>Papildu</w:t>
            </w:r>
            <w:r w:rsidRPr="004108D5">
              <w:t xml:space="preserve"> protokola normām, obligātajā mācību programmā iesaucamajiem un personām aktīvajā militārajā dienestā.</w:t>
            </w:r>
          </w:p>
        </w:tc>
        <w:tc>
          <w:tcPr>
            <w:tcW w:w="0" w:type="auto"/>
            <w:shd w:val="clear" w:color="auto" w:fill="auto"/>
          </w:tcPr>
          <w:p w14:paraId="705EA122" w14:textId="742791E4" w:rsidR="00C63C4D" w:rsidRPr="004108D5" w:rsidRDefault="008A1962" w:rsidP="00FC2F4D">
            <w:pPr>
              <w:jc w:val="both"/>
            </w:pPr>
            <w:r w:rsidRPr="004108D5">
              <w:t>AIM</w:t>
            </w:r>
          </w:p>
        </w:tc>
      </w:tr>
      <w:tr w:rsidR="00C63C4D" w:rsidRPr="004108D5" w14:paraId="10E43F09" w14:textId="77777777" w:rsidTr="00335D4F">
        <w:tc>
          <w:tcPr>
            <w:tcW w:w="0" w:type="auto"/>
            <w:shd w:val="clear" w:color="auto" w:fill="auto"/>
          </w:tcPr>
          <w:p w14:paraId="52C5247E" w14:textId="7E0EF098" w:rsidR="00C63C4D" w:rsidRPr="004108D5" w:rsidRDefault="00C63C4D" w:rsidP="0013093A">
            <w:pPr>
              <w:jc w:val="both"/>
            </w:pPr>
            <w:r w:rsidRPr="004108D5">
              <w:rPr>
                <w:bCs/>
              </w:rPr>
              <w:t xml:space="preserve">V. </w:t>
            </w:r>
            <w:r w:rsidR="006E36BC" w:rsidRPr="004108D5">
              <w:rPr>
                <w:bCs/>
              </w:rPr>
              <w:t>Aizliegums un ar to saistītie jautājumi</w:t>
            </w:r>
          </w:p>
        </w:tc>
        <w:tc>
          <w:tcPr>
            <w:tcW w:w="0" w:type="auto"/>
            <w:shd w:val="clear" w:color="auto" w:fill="auto"/>
          </w:tcPr>
          <w:p w14:paraId="7015D6F4" w14:textId="77777777" w:rsidR="00C63C4D" w:rsidRPr="004108D5" w:rsidRDefault="00C63C4D" w:rsidP="00FC2F4D">
            <w:pPr>
              <w:jc w:val="both"/>
            </w:pPr>
          </w:p>
        </w:tc>
      </w:tr>
      <w:tr w:rsidR="00C63C4D" w:rsidRPr="004108D5" w14:paraId="56E0122F" w14:textId="77777777" w:rsidTr="00DC5D53">
        <w:tc>
          <w:tcPr>
            <w:tcW w:w="0" w:type="auto"/>
            <w:shd w:val="clear" w:color="auto" w:fill="auto"/>
          </w:tcPr>
          <w:p w14:paraId="563993F3" w14:textId="77777777" w:rsidR="006E36BC" w:rsidRPr="004108D5" w:rsidRDefault="006E36BC" w:rsidP="006E36BC">
            <w:pPr>
              <w:pStyle w:val="Default"/>
              <w:jc w:val="both"/>
              <w:rPr>
                <w:bCs/>
              </w:rPr>
            </w:pPr>
            <w:r w:rsidRPr="004108D5">
              <w:rPr>
                <w:bCs/>
              </w:rPr>
              <w:t>Spēkā esošie likumi un noteikumi krimināltiesībās</w:t>
            </w:r>
          </w:p>
          <w:p w14:paraId="4E6AA589" w14:textId="2ECBE5E5" w:rsidR="00C63C4D" w:rsidRPr="004108D5" w:rsidRDefault="006E36BC" w:rsidP="006E36BC">
            <w:pPr>
              <w:jc w:val="both"/>
            </w:pPr>
            <w:r w:rsidRPr="004108D5">
              <w:rPr>
                <w:bCs/>
              </w:rPr>
              <w:t xml:space="preserve">16. Komiteja atzīmē dalībvalsts atbildē uz jautājumu sarakstu sniegto informāciju, ka Krimināllikuma 74.pantā ir iekļauts Romas Starptautiskās krimināltiesas statūtu 8.pants, nosakot kriminālatbildību par bērnu vervēšanu un izmantošanu bruņotā konfliktā gan nacionālajos bruņotajos spēkos, gan nevalstiskos bruņotos grupējumos. Tā tomēr pauž bažas par to, ka bērnu vervēšana un izmantošana bruņotā konfliktā nav minēta Krimināllikuma 74.pantā kara noziegumu sarakstā, kas nav izsmeļošs, un aptver to tikai netieši. Komiteja pauž bažas arī par to, ka Krimināllikumā nav skaidras atsauces uz to, ka kriminālatbildība ir piemērojama arī nevalstiskiem bruņotiem grupējumiem.  </w:t>
            </w:r>
          </w:p>
        </w:tc>
        <w:tc>
          <w:tcPr>
            <w:tcW w:w="0" w:type="auto"/>
            <w:shd w:val="clear" w:color="auto" w:fill="auto"/>
          </w:tcPr>
          <w:p w14:paraId="6C5D6B08" w14:textId="1B0B7901" w:rsidR="00C63C4D" w:rsidRPr="004108D5" w:rsidRDefault="007E6428" w:rsidP="00FC2F4D">
            <w:pPr>
              <w:jc w:val="both"/>
            </w:pPr>
            <w:r w:rsidRPr="004108D5">
              <w:t>TM</w:t>
            </w:r>
          </w:p>
        </w:tc>
      </w:tr>
      <w:tr w:rsidR="00C63C4D" w:rsidRPr="004108D5" w14:paraId="5713C680" w14:textId="77777777" w:rsidTr="00DC5D53">
        <w:tc>
          <w:tcPr>
            <w:tcW w:w="0" w:type="auto"/>
            <w:shd w:val="clear" w:color="auto" w:fill="auto"/>
          </w:tcPr>
          <w:p w14:paraId="6D266DB6" w14:textId="3C9DEB4D" w:rsidR="00C63C4D" w:rsidRPr="004108D5" w:rsidRDefault="006E36BC" w:rsidP="0013093A">
            <w:pPr>
              <w:jc w:val="both"/>
            </w:pPr>
            <w:r w:rsidRPr="004108D5">
              <w:t>17. Komiteja rekomendē, lai dalībvalsts skaidri nosaka kriminālatbildību par bērnu vecumā līdz 18 gadiem vervēšanu no bruņoto spēku vai nevalstisku bruņotu grupējumu puses un par bērnu izmantošanu, iesaistīšanu un līdzdalību karadarbībā.</w:t>
            </w:r>
          </w:p>
        </w:tc>
        <w:tc>
          <w:tcPr>
            <w:tcW w:w="0" w:type="auto"/>
            <w:shd w:val="clear" w:color="auto" w:fill="auto"/>
          </w:tcPr>
          <w:p w14:paraId="764BDABF" w14:textId="2EDB26DF" w:rsidR="00C63C4D" w:rsidRPr="004108D5" w:rsidRDefault="00C20032" w:rsidP="00FC2F4D">
            <w:pPr>
              <w:jc w:val="both"/>
            </w:pPr>
            <w:r w:rsidRPr="004108D5">
              <w:t>TM</w:t>
            </w:r>
          </w:p>
        </w:tc>
      </w:tr>
      <w:tr w:rsidR="00C63C4D" w:rsidRPr="004108D5" w14:paraId="0585F992" w14:textId="77777777" w:rsidTr="00DC5D53">
        <w:tc>
          <w:tcPr>
            <w:tcW w:w="0" w:type="auto"/>
            <w:shd w:val="clear" w:color="auto" w:fill="auto"/>
          </w:tcPr>
          <w:p w14:paraId="76AD703D" w14:textId="77777777" w:rsidR="00327324" w:rsidRPr="004108D5" w:rsidRDefault="00327324" w:rsidP="00327324">
            <w:pPr>
              <w:pStyle w:val="Default"/>
              <w:jc w:val="both"/>
              <w:rPr>
                <w:bCs/>
              </w:rPr>
            </w:pPr>
            <w:r w:rsidRPr="004108D5">
              <w:rPr>
                <w:bCs/>
              </w:rPr>
              <w:t>Ekstrateritoriālā jurisdikcija un izdošana</w:t>
            </w:r>
          </w:p>
          <w:p w14:paraId="68173F7C" w14:textId="5315D472" w:rsidR="00C63C4D" w:rsidRPr="004108D5" w:rsidRDefault="00327324" w:rsidP="00327324">
            <w:pPr>
              <w:jc w:val="both"/>
            </w:pPr>
            <w:r w:rsidRPr="004108D5">
              <w:rPr>
                <w:bCs/>
              </w:rPr>
              <w:t>18. Komiteja atzīmē, ka gadījumā, ja noziegumus izdara ārvalstnieki, kuriem nav pastāvīgās uzturēšanās atļaujas dalībvalstī, tad dalībvalsts likumi paredz ekstrateritoriālu jurisdikciju par noziegumiem, kuri izdarīti pret dalībvalsts vai tās iedzīvotāju interesēm. Tomēr Komiteja pauž bažas par to, ka izdošanas prasība ir abpusēja sodāmība.</w:t>
            </w:r>
          </w:p>
        </w:tc>
        <w:tc>
          <w:tcPr>
            <w:tcW w:w="0" w:type="auto"/>
            <w:shd w:val="clear" w:color="auto" w:fill="auto"/>
          </w:tcPr>
          <w:p w14:paraId="5EEB576E" w14:textId="286F163A" w:rsidR="00C63C4D" w:rsidRPr="004108D5" w:rsidRDefault="00C20032" w:rsidP="00FC2F4D">
            <w:pPr>
              <w:jc w:val="both"/>
            </w:pPr>
            <w:r w:rsidRPr="004108D5">
              <w:t>TM</w:t>
            </w:r>
          </w:p>
        </w:tc>
      </w:tr>
      <w:tr w:rsidR="00C63C4D" w:rsidRPr="004108D5" w14:paraId="2CC2BF7B" w14:textId="77777777" w:rsidTr="00DC5D53">
        <w:tc>
          <w:tcPr>
            <w:tcW w:w="0" w:type="auto"/>
            <w:shd w:val="clear" w:color="auto" w:fill="auto"/>
          </w:tcPr>
          <w:p w14:paraId="7FC40B03" w14:textId="37962815" w:rsidR="00C63C4D" w:rsidRPr="004108D5" w:rsidRDefault="00327324" w:rsidP="0013093A">
            <w:pPr>
              <w:jc w:val="both"/>
            </w:pPr>
            <w:r w:rsidRPr="004108D5">
              <w:t xml:space="preserve">19. Komiteja mudina dalībvalsti izņemt abpusējas sodāmības prasību attiecībā uz izraidīšanu par </w:t>
            </w:r>
            <w:r w:rsidR="006F344C">
              <w:t>Papildu</w:t>
            </w:r>
            <w:r w:rsidRPr="004108D5">
              <w:t xml:space="preserve"> protokolā aptvertajiem nodarījumiem.</w:t>
            </w:r>
          </w:p>
        </w:tc>
        <w:tc>
          <w:tcPr>
            <w:tcW w:w="0" w:type="auto"/>
            <w:shd w:val="clear" w:color="auto" w:fill="auto"/>
          </w:tcPr>
          <w:p w14:paraId="1EE75C0A" w14:textId="48B46F6F" w:rsidR="00C63C4D" w:rsidRPr="004108D5" w:rsidRDefault="00C20032" w:rsidP="00FC2F4D">
            <w:pPr>
              <w:jc w:val="both"/>
            </w:pPr>
            <w:r w:rsidRPr="004108D5">
              <w:t>TM</w:t>
            </w:r>
          </w:p>
        </w:tc>
      </w:tr>
      <w:tr w:rsidR="00C63C4D" w:rsidRPr="004108D5" w14:paraId="47238EBE" w14:textId="77777777" w:rsidTr="00335D4F">
        <w:tc>
          <w:tcPr>
            <w:tcW w:w="0" w:type="auto"/>
            <w:shd w:val="clear" w:color="auto" w:fill="auto"/>
          </w:tcPr>
          <w:p w14:paraId="46388EFA" w14:textId="7D3A1658" w:rsidR="00C63C4D" w:rsidRPr="004108D5" w:rsidRDefault="00C63C4D" w:rsidP="0013093A">
            <w:pPr>
              <w:jc w:val="both"/>
            </w:pPr>
            <w:r w:rsidRPr="004108D5">
              <w:rPr>
                <w:bCs/>
              </w:rPr>
              <w:t xml:space="preserve">VI. </w:t>
            </w:r>
            <w:r w:rsidR="00327324" w:rsidRPr="004108D5">
              <w:rPr>
                <w:bCs/>
              </w:rPr>
              <w:t>Aizsardzība, atveseļošana un reintegrācija</w:t>
            </w:r>
          </w:p>
        </w:tc>
        <w:tc>
          <w:tcPr>
            <w:tcW w:w="0" w:type="auto"/>
            <w:shd w:val="clear" w:color="auto" w:fill="auto"/>
          </w:tcPr>
          <w:p w14:paraId="02D1D6A1" w14:textId="77777777" w:rsidR="00C63C4D" w:rsidRPr="004108D5" w:rsidRDefault="00C63C4D" w:rsidP="00FC2F4D">
            <w:pPr>
              <w:jc w:val="both"/>
            </w:pPr>
          </w:p>
        </w:tc>
      </w:tr>
      <w:tr w:rsidR="00C63C4D" w:rsidRPr="004108D5" w14:paraId="07E5A9EC" w14:textId="77777777" w:rsidTr="00335D4F">
        <w:tc>
          <w:tcPr>
            <w:tcW w:w="0" w:type="auto"/>
            <w:shd w:val="clear" w:color="auto" w:fill="auto"/>
          </w:tcPr>
          <w:p w14:paraId="6589F7DB" w14:textId="77777777" w:rsidR="00327324" w:rsidRPr="004108D5" w:rsidRDefault="00327324" w:rsidP="00327324">
            <w:pPr>
              <w:pStyle w:val="Default"/>
              <w:jc w:val="both"/>
              <w:rPr>
                <w:bCs/>
              </w:rPr>
            </w:pPr>
            <w:r w:rsidRPr="004108D5">
              <w:rPr>
                <w:bCs/>
              </w:rPr>
              <w:t>Cietušo bērnu tiesību aizsardzībai pieņemtie pasākumi</w:t>
            </w:r>
          </w:p>
          <w:p w14:paraId="27FAD084" w14:textId="24CEDF74" w:rsidR="00C63C4D" w:rsidRPr="004108D5" w:rsidRDefault="00327324" w:rsidP="00327324">
            <w:pPr>
              <w:jc w:val="both"/>
              <w:rPr>
                <w:bCs/>
              </w:rPr>
            </w:pPr>
            <w:r w:rsidRPr="004108D5">
              <w:rPr>
                <w:bCs/>
              </w:rPr>
              <w:t xml:space="preserve">20. Komiteja atzīmē dalībvalsts sniegto informāciju par to, ka tās teritorijā nav bērnu, kas cietuši no </w:t>
            </w:r>
            <w:r w:rsidR="006F344C">
              <w:rPr>
                <w:bCs/>
              </w:rPr>
              <w:t>Papildu</w:t>
            </w:r>
            <w:r w:rsidRPr="004108D5">
              <w:rPr>
                <w:bCs/>
              </w:rPr>
              <w:t xml:space="preserve"> protokolā aizliegtiem nodarījumiem, tostarp starp bēgļu, patvēruma meklētāju, migrantu un nepavadītiem bērniem. Tomēr Komiteja pauž nožēlu par to, ka nav mehānismu, kas agrīnā stadijā identificētu patvēruma meklētāju, bēgļu, migrantu un nepavadītus bērnus, kuri ierodas dalībvalstī un varētu būt bijuši vervēti vai izmantoti karadarbībā ārvalstīs.</w:t>
            </w:r>
          </w:p>
        </w:tc>
        <w:tc>
          <w:tcPr>
            <w:tcW w:w="0" w:type="auto"/>
            <w:shd w:val="clear" w:color="auto" w:fill="auto"/>
          </w:tcPr>
          <w:p w14:paraId="5C1E0D00" w14:textId="303CAFF4" w:rsidR="00C63C4D" w:rsidRPr="004108D5" w:rsidRDefault="00EF25D1" w:rsidP="00FC2F4D">
            <w:pPr>
              <w:jc w:val="both"/>
            </w:pPr>
            <w:r w:rsidRPr="004108D5">
              <w:t>IEM</w:t>
            </w:r>
          </w:p>
        </w:tc>
      </w:tr>
      <w:tr w:rsidR="00C63C4D" w:rsidRPr="004108D5" w14:paraId="6B669040" w14:textId="77777777" w:rsidTr="00335D4F">
        <w:tc>
          <w:tcPr>
            <w:tcW w:w="0" w:type="auto"/>
            <w:shd w:val="clear" w:color="auto" w:fill="auto"/>
          </w:tcPr>
          <w:p w14:paraId="10B46BF3" w14:textId="024EE994" w:rsidR="00C63C4D" w:rsidRPr="004108D5" w:rsidRDefault="00327324" w:rsidP="0013093A">
            <w:pPr>
              <w:jc w:val="both"/>
              <w:rPr>
                <w:bCs/>
              </w:rPr>
            </w:pPr>
            <w:r w:rsidRPr="004108D5">
              <w:t>21.</w:t>
            </w:r>
            <w:r w:rsidRPr="004108D5">
              <w:tab/>
              <w:t>Komiteja rekomendē, lai dalībvalsts ievieš mehānismus, lai agrīni identificētu bēgļu, patvēruma meklētāju, migrantu un nepavadītus bērnus, kas ierodas no valstīm, kur notiek vai ir notikuši bruņoti konflikti un kuri varētu būt bijuši iesaistīti karadarbībā. Tā arī rekomendē, lai dalībvalsts nodrošinātu, ka par šādu identifikāciju atbildīgie darbinieki tiek izglītoti par bērnu tiesībām, bērnu aizsardzību un intervēšanas prasmēm. Komiteja vēl rekomendē dalībvalstij izstrādāt protokolus un speciālos pasākumus, lai nodrošinātu to, ka šiem bērniem tiek sniegta piemērota palīdzība viņu fiziskai un psiholoģiskai atveseļošanai un sociālai reintegrācijai.</w:t>
            </w:r>
          </w:p>
        </w:tc>
        <w:tc>
          <w:tcPr>
            <w:tcW w:w="0" w:type="auto"/>
            <w:shd w:val="clear" w:color="auto" w:fill="auto"/>
          </w:tcPr>
          <w:p w14:paraId="749DF901" w14:textId="63B40666" w:rsidR="00C63C4D" w:rsidRPr="004108D5" w:rsidRDefault="00D12364" w:rsidP="00FC2F4D">
            <w:pPr>
              <w:jc w:val="both"/>
            </w:pPr>
            <w:r w:rsidRPr="004108D5">
              <w:t>IEM, LM, VM</w:t>
            </w:r>
          </w:p>
        </w:tc>
      </w:tr>
      <w:tr w:rsidR="00C63C4D" w:rsidRPr="004108D5" w14:paraId="2B3A1EB0" w14:textId="77777777" w:rsidTr="00335D4F">
        <w:tc>
          <w:tcPr>
            <w:tcW w:w="0" w:type="auto"/>
            <w:shd w:val="clear" w:color="auto" w:fill="auto"/>
          </w:tcPr>
          <w:p w14:paraId="58B8CEE0" w14:textId="48531BA4" w:rsidR="00C63C4D" w:rsidRPr="004108D5" w:rsidRDefault="00C63C4D" w:rsidP="0013093A">
            <w:pPr>
              <w:jc w:val="both"/>
              <w:rPr>
                <w:bCs/>
              </w:rPr>
            </w:pPr>
            <w:r w:rsidRPr="004108D5">
              <w:rPr>
                <w:bCs/>
              </w:rPr>
              <w:t xml:space="preserve">VII. </w:t>
            </w:r>
            <w:r w:rsidR="004108D5" w:rsidRPr="004108D5">
              <w:rPr>
                <w:bCs/>
              </w:rPr>
              <w:t>Starptautiskā palīdzība un sadarbība</w:t>
            </w:r>
          </w:p>
        </w:tc>
        <w:tc>
          <w:tcPr>
            <w:tcW w:w="0" w:type="auto"/>
            <w:shd w:val="clear" w:color="auto" w:fill="auto"/>
          </w:tcPr>
          <w:p w14:paraId="44E5494E" w14:textId="77777777" w:rsidR="00C63C4D" w:rsidRPr="004108D5" w:rsidRDefault="00C63C4D" w:rsidP="00FC2F4D">
            <w:pPr>
              <w:jc w:val="both"/>
            </w:pPr>
          </w:p>
        </w:tc>
      </w:tr>
      <w:tr w:rsidR="00C63C4D" w:rsidRPr="004108D5" w14:paraId="5703F2D2" w14:textId="77777777" w:rsidTr="00335D4F">
        <w:tc>
          <w:tcPr>
            <w:tcW w:w="0" w:type="auto"/>
            <w:shd w:val="clear" w:color="auto" w:fill="auto"/>
          </w:tcPr>
          <w:p w14:paraId="50615E73" w14:textId="77777777" w:rsidR="004108D5" w:rsidRPr="004108D5" w:rsidRDefault="004108D5" w:rsidP="004108D5">
            <w:pPr>
              <w:pStyle w:val="Default"/>
              <w:jc w:val="both"/>
              <w:rPr>
                <w:bCs/>
              </w:rPr>
            </w:pPr>
            <w:r w:rsidRPr="004108D5">
              <w:rPr>
                <w:bCs/>
              </w:rPr>
              <w:t xml:space="preserve">Starptautiskā sadarbība </w:t>
            </w:r>
          </w:p>
          <w:p w14:paraId="02214F94" w14:textId="2B2C00CC" w:rsidR="00C63C4D" w:rsidRPr="004108D5" w:rsidRDefault="004108D5" w:rsidP="004108D5">
            <w:pPr>
              <w:jc w:val="both"/>
              <w:rPr>
                <w:bCs/>
              </w:rPr>
            </w:pPr>
            <w:r w:rsidRPr="004108D5">
              <w:rPr>
                <w:bCs/>
              </w:rPr>
              <w:t xml:space="preserve">22. Komiteja rekomendē, lai dalībvalsts turpina un stiprina savu sadarbību ar Starptautisko Sarkanā Krusta komiteju un Ģenerālsekretāra īpašo pārstāvi jautājumos par bērniem un bruņotiem konfliktiem, un lai tā meklē iespējas pastiprināti sadarboties ar Apvienoto Nāciju Bērnu fondu (UNICEF) un citām Apvienoto Nāciju iestādēm, īstenojot </w:t>
            </w:r>
            <w:r w:rsidR="004108EB">
              <w:rPr>
                <w:bCs/>
              </w:rPr>
              <w:t>Papildu</w:t>
            </w:r>
            <w:r w:rsidRPr="004108D5">
              <w:rPr>
                <w:bCs/>
              </w:rPr>
              <w:t xml:space="preserve"> protokolu.</w:t>
            </w:r>
          </w:p>
        </w:tc>
        <w:tc>
          <w:tcPr>
            <w:tcW w:w="0" w:type="auto"/>
            <w:shd w:val="clear" w:color="auto" w:fill="auto"/>
          </w:tcPr>
          <w:p w14:paraId="52F68973" w14:textId="470A1FE0" w:rsidR="00C63C4D" w:rsidRPr="004108D5" w:rsidRDefault="00227998" w:rsidP="00227998">
            <w:pPr>
              <w:jc w:val="both"/>
            </w:pPr>
            <w:r w:rsidRPr="004108D5">
              <w:t>AIM</w:t>
            </w:r>
            <w:r>
              <w:t>,</w:t>
            </w:r>
            <w:r w:rsidRPr="004108D5">
              <w:t xml:space="preserve"> </w:t>
            </w:r>
            <w:r w:rsidR="00D12364" w:rsidRPr="004108D5">
              <w:t xml:space="preserve">LM </w:t>
            </w:r>
          </w:p>
        </w:tc>
      </w:tr>
      <w:tr w:rsidR="00C63C4D" w:rsidRPr="004108D5" w14:paraId="0C001E9E" w14:textId="77777777" w:rsidTr="00335D4F">
        <w:tc>
          <w:tcPr>
            <w:tcW w:w="0" w:type="auto"/>
            <w:shd w:val="clear" w:color="auto" w:fill="auto"/>
          </w:tcPr>
          <w:p w14:paraId="4D873E4D" w14:textId="2BC4A652" w:rsidR="00C63C4D" w:rsidRPr="004108D5" w:rsidRDefault="00C63C4D" w:rsidP="0013093A">
            <w:pPr>
              <w:jc w:val="both"/>
              <w:rPr>
                <w:bCs/>
              </w:rPr>
            </w:pPr>
            <w:r w:rsidRPr="004108D5">
              <w:rPr>
                <w:bCs/>
              </w:rPr>
              <w:t xml:space="preserve">VIII. </w:t>
            </w:r>
            <w:r w:rsidR="004108D5" w:rsidRPr="004108D5">
              <w:rPr>
                <w:bCs/>
              </w:rPr>
              <w:t>Turpmākie pasākumi un izplatīšana</w:t>
            </w:r>
          </w:p>
        </w:tc>
        <w:tc>
          <w:tcPr>
            <w:tcW w:w="0" w:type="auto"/>
            <w:shd w:val="clear" w:color="auto" w:fill="auto"/>
          </w:tcPr>
          <w:p w14:paraId="586DEBE9" w14:textId="77777777" w:rsidR="00C63C4D" w:rsidRPr="004108D5" w:rsidRDefault="00C63C4D" w:rsidP="00FC2F4D">
            <w:pPr>
              <w:jc w:val="both"/>
            </w:pPr>
          </w:p>
        </w:tc>
      </w:tr>
      <w:tr w:rsidR="00C63C4D" w:rsidRPr="004108D5" w14:paraId="66BA6FD7" w14:textId="77777777" w:rsidTr="00335D4F">
        <w:tc>
          <w:tcPr>
            <w:tcW w:w="0" w:type="auto"/>
            <w:shd w:val="clear" w:color="auto" w:fill="auto"/>
          </w:tcPr>
          <w:p w14:paraId="7BA3461F" w14:textId="1F65E256" w:rsidR="00C63C4D" w:rsidRPr="004108D5" w:rsidRDefault="004108D5" w:rsidP="0013093A">
            <w:pPr>
              <w:jc w:val="both"/>
              <w:rPr>
                <w:bCs/>
              </w:rPr>
            </w:pPr>
            <w:r w:rsidRPr="004108D5">
              <w:t>23. Komiteja rekomendē, lai dalībvalsts veic visus piemērotos pasākumus, lai nodrošinātu šo rekomendāciju pilnīgu īstenošanu, tostarp nododot tos parlamentam, atbilstošajām ministrijām, tai skaitā Aizsardzības ministrijai, Augstākajai tiesai un pašvaldībām, izskatīšanai un turpmākai rīcībai.</w:t>
            </w:r>
          </w:p>
        </w:tc>
        <w:tc>
          <w:tcPr>
            <w:tcW w:w="0" w:type="auto"/>
            <w:shd w:val="clear" w:color="auto" w:fill="auto"/>
          </w:tcPr>
          <w:p w14:paraId="41C61257" w14:textId="5AC37981" w:rsidR="00C63C4D" w:rsidRPr="004108D5" w:rsidRDefault="005274E9" w:rsidP="00227998">
            <w:pPr>
              <w:jc w:val="both"/>
            </w:pPr>
            <w:r w:rsidRPr="004108D5">
              <w:t xml:space="preserve">AIM, IEM, </w:t>
            </w:r>
            <w:r w:rsidR="00227998" w:rsidRPr="004108D5">
              <w:t>IZM, KM</w:t>
            </w:r>
            <w:r w:rsidR="00227998">
              <w:t>,</w:t>
            </w:r>
            <w:r w:rsidR="00227998" w:rsidRPr="004108D5">
              <w:t xml:space="preserve"> LM, </w:t>
            </w:r>
            <w:r w:rsidRPr="004108D5">
              <w:t xml:space="preserve">TM, VARAM, </w:t>
            </w:r>
            <w:r w:rsidR="00227998" w:rsidRPr="004108D5">
              <w:t>VM</w:t>
            </w:r>
          </w:p>
        </w:tc>
      </w:tr>
      <w:tr w:rsidR="00C63C4D" w:rsidRPr="004108D5" w14:paraId="73D27550" w14:textId="77777777" w:rsidTr="00335D4F">
        <w:tc>
          <w:tcPr>
            <w:tcW w:w="0" w:type="auto"/>
            <w:shd w:val="clear" w:color="auto" w:fill="auto"/>
          </w:tcPr>
          <w:p w14:paraId="19617BF3" w14:textId="68767348" w:rsidR="00C63C4D" w:rsidRPr="004108D5" w:rsidRDefault="004108D5" w:rsidP="0013093A">
            <w:pPr>
              <w:jc w:val="both"/>
              <w:rPr>
                <w:bCs/>
              </w:rPr>
            </w:pPr>
            <w:r w:rsidRPr="004108D5">
              <w:t>24.</w:t>
            </w:r>
            <w:r w:rsidRPr="004108D5">
              <w:tab/>
              <w:t xml:space="preserve">Komiteja rekomendē, lai dalībvalsts iesniegtais sākotnējais ziņojums un rakstveida atbildes un Komitejas pieņemtie noslēguma apsvērumi ir plaši pieejami, tai skaitā (bet ne tikai) ar interneta palīdzību, sabiedrībai kopumā, pilsoniskās sabiedrības organizācijām, jauniešu grupām, profesionālajām grupām un bērniem, lai raisītu debates un izpratni par </w:t>
            </w:r>
            <w:r w:rsidR="004108EB">
              <w:t>Papildu</w:t>
            </w:r>
            <w:r w:rsidRPr="004108D5">
              <w:t xml:space="preserve"> protokolu, tā īstenošanu un uzraudzību.</w:t>
            </w:r>
          </w:p>
        </w:tc>
        <w:tc>
          <w:tcPr>
            <w:tcW w:w="0" w:type="auto"/>
            <w:shd w:val="clear" w:color="auto" w:fill="auto"/>
          </w:tcPr>
          <w:p w14:paraId="4BDCE1E2" w14:textId="77B3D2BD" w:rsidR="00C63C4D" w:rsidRPr="004108D5" w:rsidRDefault="005274E9" w:rsidP="00227998">
            <w:pPr>
              <w:jc w:val="both"/>
            </w:pPr>
            <w:r w:rsidRPr="004108D5">
              <w:t xml:space="preserve">AIM, IEM, </w:t>
            </w:r>
            <w:r w:rsidR="00227998" w:rsidRPr="004108D5">
              <w:t>IZM, KM</w:t>
            </w:r>
            <w:r w:rsidR="00227998">
              <w:t>,</w:t>
            </w:r>
            <w:r w:rsidR="00227998" w:rsidRPr="004108D5">
              <w:t xml:space="preserve"> LM, </w:t>
            </w:r>
            <w:r w:rsidRPr="004108D5">
              <w:t xml:space="preserve">TM, VARAM, </w:t>
            </w:r>
            <w:r w:rsidR="00227998" w:rsidRPr="004108D5">
              <w:t>VM</w:t>
            </w:r>
          </w:p>
        </w:tc>
      </w:tr>
      <w:tr w:rsidR="00C63C4D" w:rsidRPr="004108D5" w14:paraId="43C93D44" w14:textId="77777777" w:rsidTr="00335D4F">
        <w:tc>
          <w:tcPr>
            <w:tcW w:w="0" w:type="auto"/>
            <w:shd w:val="clear" w:color="auto" w:fill="auto"/>
          </w:tcPr>
          <w:p w14:paraId="6BEB7293" w14:textId="585A3DBE" w:rsidR="00C63C4D" w:rsidRPr="004108D5" w:rsidRDefault="00C63C4D" w:rsidP="0013093A">
            <w:pPr>
              <w:jc w:val="both"/>
              <w:rPr>
                <w:bCs/>
              </w:rPr>
            </w:pPr>
            <w:r w:rsidRPr="004108D5">
              <w:rPr>
                <w:bCs/>
              </w:rPr>
              <w:t xml:space="preserve">IX. </w:t>
            </w:r>
            <w:r w:rsidR="004108D5" w:rsidRPr="004108D5">
              <w:rPr>
                <w:bCs/>
              </w:rPr>
              <w:t>Nākamais ziņojums</w:t>
            </w:r>
          </w:p>
        </w:tc>
        <w:tc>
          <w:tcPr>
            <w:tcW w:w="0" w:type="auto"/>
            <w:shd w:val="clear" w:color="auto" w:fill="auto"/>
          </w:tcPr>
          <w:p w14:paraId="42975CA0" w14:textId="77777777" w:rsidR="00C63C4D" w:rsidRPr="004108D5" w:rsidRDefault="00C63C4D" w:rsidP="00FC2F4D">
            <w:pPr>
              <w:jc w:val="both"/>
            </w:pPr>
          </w:p>
        </w:tc>
      </w:tr>
      <w:tr w:rsidR="00C63C4D" w:rsidRPr="004108D5" w14:paraId="38EE2C20" w14:textId="77777777" w:rsidTr="00335D4F">
        <w:tc>
          <w:tcPr>
            <w:tcW w:w="0" w:type="auto"/>
            <w:shd w:val="clear" w:color="auto" w:fill="auto"/>
          </w:tcPr>
          <w:p w14:paraId="1A403D10" w14:textId="4B45EA65" w:rsidR="00C63C4D" w:rsidRPr="004108D5" w:rsidRDefault="004108D5" w:rsidP="0013093A">
            <w:pPr>
              <w:jc w:val="both"/>
              <w:rPr>
                <w:bCs/>
              </w:rPr>
            </w:pPr>
            <w:r w:rsidRPr="004108D5">
              <w:t xml:space="preserve">25. Saskaņā ar 8.panta 2.paragrāfu Komiteja lūdz dalībvalsti iekļaut tās nākamajā periodiskajā ziņojumā saskaņā ar Konvencijas par bērna tiesībām 44.pantu papildu informāciju par </w:t>
            </w:r>
            <w:r w:rsidR="004108EB">
              <w:t>Papildu</w:t>
            </w:r>
            <w:r w:rsidRPr="004108D5">
              <w:t xml:space="preserve"> protokola un šo noslēguma apsvērumu ieviešanu.</w:t>
            </w:r>
          </w:p>
        </w:tc>
        <w:tc>
          <w:tcPr>
            <w:tcW w:w="0" w:type="auto"/>
            <w:shd w:val="clear" w:color="auto" w:fill="auto"/>
          </w:tcPr>
          <w:p w14:paraId="2D733CBF" w14:textId="3C41C629" w:rsidR="00C63C4D" w:rsidRPr="004108D5" w:rsidRDefault="00227998" w:rsidP="00227998">
            <w:pPr>
              <w:jc w:val="both"/>
            </w:pPr>
            <w:r w:rsidRPr="004108D5">
              <w:t>AIM, IEM, IZM, KM</w:t>
            </w:r>
            <w:r>
              <w:t>,</w:t>
            </w:r>
            <w:r w:rsidRPr="004108D5">
              <w:t xml:space="preserve"> </w:t>
            </w:r>
            <w:r w:rsidR="00E540B7" w:rsidRPr="004108D5">
              <w:t xml:space="preserve">LM, </w:t>
            </w:r>
            <w:r w:rsidR="005274E9" w:rsidRPr="004108D5">
              <w:t xml:space="preserve">TM, VARAM, </w:t>
            </w:r>
            <w:r w:rsidRPr="004108D5">
              <w:t>VM</w:t>
            </w:r>
          </w:p>
        </w:tc>
      </w:tr>
    </w:tbl>
    <w:p w14:paraId="241F9F11" w14:textId="77777777" w:rsidR="00C63C4D" w:rsidRDefault="00C63C4D" w:rsidP="00C63C4D">
      <w:pPr>
        <w:jc w:val="center"/>
      </w:pPr>
    </w:p>
    <w:p w14:paraId="3C87D449" w14:textId="77777777" w:rsidR="00DC5D53" w:rsidRDefault="00DC5D53" w:rsidP="00C63C4D">
      <w:pPr>
        <w:jc w:val="center"/>
      </w:pPr>
    </w:p>
    <w:p w14:paraId="41E7BB2D" w14:textId="77777777" w:rsidR="00DC5D53" w:rsidRDefault="00DC5D53" w:rsidP="00C63C4D">
      <w:pPr>
        <w:jc w:val="center"/>
      </w:pPr>
    </w:p>
    <w:p w14:paraId="72049233" w14:textId="77777777" w:rsidR="00DC5D53" w:rsidRDefault="00DC5D53" w:rsidP="00C63C4D">
      <w:pPr>
        <w:jc w:val="center"/>
      </w:pPr>
    </w:p>
    <w:p w14:paraId="34699B19" w14:textId="77777777" w:rsidR="00DC5D53" w:rsidRDefault="00DC5D53" w:rsidP="00C63C4D">
      <w:pPr>
        <w:jc w:val="center"/>
      </w:pPr>
    </w:p>
    <w:p w14:paraId="430D1205" w14:textId="77777777" w:rsidR="00DC5D53" w:rsidRDefault="00DC5D53" w:rsidP="00C63C4D">
      <w:pPr>
        <w:jc w:val="center"/>
      </w:pPr>
    </w:p>
    <w:p w14:paraId="677917E4" w14:textId="77777777" w:rsidR="00DC5D53" w:rsidRDefault="00DC5D53" w:rsidP="00C63C4D">
      <w:pPr>
        <w:jc w:val="center"/>
      </w:pPr>
    </w:p>
    <w:p w14:paraId="2B966A02" w14:textId="77777777" w:rsidR="00DC5D53" w:rsidRDefault="00DC5D53" w:rsidP="00C63C4D">
      <w:pPr>
        <w:jc w:val="center"/>
      </w:pPr>
    </w:p>
    <w:p w14:paraId="446DA2F2" w14:textId="77777777" w:rsidR="00DC5D53" w:rsidRDefault="00DC5D53" w:rsidP="00C63C4D">
      <w:pPr>
        <w:jc w:val="center"/>
      </w:pPr>
    </w:p>
    <w:p w14:paraId="3D10FE0C" w14:textId="77777777" w:rsidR="00DC5D53" w:rsidRDefault="00DC5D53" w:rsidP="00C63C4D">
      <w:pPr>
        <w:jc w:val="center"/>
      </w:pPr>
    </w:p>
    <w:p w14:paraId="4FEEEDEC" w14:textId="77777777" w:rsidR="00DC5D53" w:rsidRPr="004108D5" w:rsidRDefault="00DC5D53" w:rsidP="00C63C4D">
      <w:pPr>
        <w:jc w:val="center"/>
      </w:pPr>
    </w:p>
    <w:p w14:paraId="39F5276B" w14:textId="77777777" w:rsidR="001F6AB1" w:rsidRPr="004108D5" w:rsidRDefault="001F6AB1" w:rsidP="001F6AB1">
      <w:pPr>
        <w:pStyle w:val="Virsraksts1"/>
        <w:spacing w:before="0" w:after="0"/>
        <w:rPr>
          <w:rFonts w:ascii="Times New Roman" w:hAnsi="Times New Roman"/>
          <w:sz w:val="24"/>
          <w:szCs w:val="24"/>
          <w:lang w:val="lv-LV"/>
        </w:rPr>
      </w:pPr>
      <w:bookmarkStart w:id="0" w:name="_Toc436751720"/>
      <w:r w:rsidRPr="004108D5">
        <w:rPr>
          <w:rFonts w:ascii="Times New Roman" w:hAnsi="Times New Roman"/>
          <w:sz w:val="24"/>
          <w:szCs w:val="24"/>
          <w:lang w:val="lv-LV"/>
        </w:rPr>
        <w:t>Tekstā lietotie saīsinājumi</w:t>
      </w:r>
      <w:bookmarkEnd w:id="0"/>
    </w:p>
    <w:tbl>
      <w:tblPr>
        <w:tblW w:w="5033" w:type="pct"/>
        <w:tblLook w:val="01E0" w:firstRow="1" w:lastRow="1" w:firstColumn="1" w:lastColumn="1" w:noHBand="0" w:noVBand="0"/>
      </w:tblPr>
      <w:tblGrid>
        <w:gridCol w:w="2518"/>
        <w:gridCol w:w="6220"/>
      </w:tblGrid>
      <w:tr w:rsidR="001F6AB1" w:rsidRPr="004108D5" w14:paraId="748A404E" w14:textId="77777777" w:rsidTr="008816BF">
        <w:tc>
          <w:tcPr>
            <w:tcW w:w="1441" w:type="pct"/>
            <w:shd w:val="clear" w:color="auto" w:fill="auto"/>
          </w:tcPr>
          <w:p w14:paraId="0CF5F55D" w14:textId="77777777" w:rsidR="001F6AB1" w:rsidRPr="004108D5" w:rsidRDefault="001F6AB1" w:rsidP="008816BF">
            <w:pPr>
              <w:jc w:val="both"/>
            </w:pPr>
            <w:r w:rsidRPr="004108D5">
              <w:t>AIM</w:t>
            </w:r>
          </w:p>
        </w:tc>
        <w:tc>
          <w:tcPr>
            <w:tcW w:w="3559" w:type="pct"/>
            <w:shd w:val="clear" w:color="auto" w:fill="auto"/>
          </w:tcPr>
          <w:p w14:paraId="52D29AD2" w14:textId="77777777" w:rsidR="001F6AB1" w:rsidRPr="004108D5" w:rsidRDefault="001F6AB1" w:rsidP="008816BF">
            <w:pPr>
              <w:jc w:val="both"/>
            </w:pPr>
            <w:r w:rsidRPr="004108D5">
              <w:t>Aizsardzības ministrija</w:t>
            </w:r>
          </w:p>
        </w:tc>
      </w:tr>
      <w:tr w:rsidR="001F6AB1" w:rsidRPr="004108D5" w14:paraId="16BEAA33" w14:textId="77777777" w:rsidTr="008816BF">
        <w:tc>
          <w:tcPr>
            <w:tcW w:w="1441" w:type="pct"/>
            <w:shd w:val="clear" w:color="auto" w:fill="auto"/>
          </w:tcPr>
          <w:p w14:paraId="0383518B" w14:textId="77777777" w:rsidR="001F6AB1" w:rsidRPr="004108D5" w:rsidRDefault="001F6AB1" w:rsidP="008816BF">
            <w:pPr>
              <w:jc w:val="both"/>
            </w:pPr>
            <w:r w:rsidRPr="004108D5">
              <w:rPr>
                <w:color w:val="000000"/>
              </w:rPr>
              <w:t>IEM</w:t>
            </w:r>
          </w:p>
        </w:tc>
        <w:tc>
          <w:tcPr>
            <w:tcW w:w="3559" w:type="pct"/>
            <w:shd w:val="clear" w:color="auto" w:fill="auto"/>
          </w:tcPr>
          <w:p w14:paraId="5FDC0528" w14:textId="77777777" w:rsidR="001F6AB1" w:rsidRPr="004108D5" w:rsidRDefault="001F6AB1" w:rsidP="008816BF">
            <w:pPr>
              <w:jc w:val="both"/>
            </w:pPr>
            <w:r w:rsidRPr="004108D5">
              <w:t>Iekšlietu ministrija</w:t>
            </w:r>
          </w:p>
        </w:tc>
      </w:tr>
      <w:tr w:rsidR="001F6AB1" w:rsidRPr="004108D5" w14:paraId="6DCD34AF" w14:textId="77777777" w:rsidTr="008816BF">
        <w:tc>
          <w:tcPr>
            <w:tcW w:w="1441" w:type="pct"/>
            <w:shd w:val="clear" w:color="auto" w:fill="auto"/>
          </w:tcPr>
          <w:p w14:paraId="2B9411C3" w14:textId="77777777" w:rsidR="001F6AB1" w:rsidRPr="004108D5" w:rsidRDefault="001F6AB1" w:rsidP="008816BF">
            <w:pPr>
              <w:jc w:val="both"/>
            </w:pPr>
            <w:r w:rsidRPr="004108D5">
              <w:t>IZM</w:t>
            </w:r>
          </w:p>
        </w:tc>
        <w:tc>
          <w:tcPr>
            <w:tcW w:w="3559" w:type="pct"/>
            <w:shd w:val="clear" w:color="auto" w:fill="auto"/>
          </w:tcPr>
          <w:p w14:paraId="6A7A3842" w14:textId="77777777" w:rsidR="001F6AB1" w:rsidRPr="004108D5" w:rsidRDefault="001F6AB1" w:rsidP="008816BF">
            <w:pPr>
              <w:jc w:val="both"/>
            </w:pPr>
            <w:r w:rsidRPr="004108D5">
              <w:t>Izglītības un zinātnes ministrija</w:t>
            </w:r>
          </w:p>
        </w:tc>
      </w:tr>
      <w:tr w:rsidR="001F6AB1" w:rsidRPr="004108D5" w14:paraId="4A53C40A" w14:textId="77777777" w:rsidTr="008816BF">
        <w:tc>
          <w:tcPr>
            <w:tcW w:w="1441" w:type="pct"/>
            <w:shd w:val="clear" w:color="auto" w:fill="auto"/>
          </w:tcPr>
          <w:p w14:paraId="746B0F50" w14:textId="77777777" w:rsidR="001F6AB1" w:rsidRPr="004108D5" w:rsidRDefault="001F6AB1" w:rsidP="008816BF">
            <w:pPr>
              <w:jc w:val="both"/>
            </w:pPr>
            <w:r w:rsidRPr="004108D5">
              <w:t>KM</w:t>
            </w:r>
          </w:p>
        </w:tc>
        <w:tc>
          <w:tcPr>
            <w:tcW w:w="3559" w:type="pct"/>
            <w:shd w:val="clear" w:color="auto" w:fill="auto"/>
          </w:tcPr>
          <w:p w14:paraId="4A376613" w14:textId="77777777" w:rsidR="001F6AB1" w:rsidRPr="004108D5" w:rsidRDefault="001F6AB1" w:rsidP="008816BF">
            <w:pPr>
              <w:jc w:val="both"/>
            </w:pPr>
            <w:r w:rsidRPr="004108D5">
              <w:t>Kultūras ministrija</w:t>
            </w:r>
          </w:p>
        </w:tc>
      </w:tr>
      <w:tr w:rsidR="001F6AB1" w:rsidRPr="004108D5" w14:paraId="0E1C383C" w14:textId="77777777" w:rsidTr="008816BF">
        <w:tc>
          <w:tcPr>
            <w:tcW w:w="1441" w:type="pct"/>
            <w:shd w:val="clear" w:color="auto" w:fill="auto"/>
          </w:tcPr>
          <w:p w14:paraId="0A948502" w14:textId="77777777" w:rsidR="001F6AB1" w:rsidRPr="004108D5" w:rsidRDefault="001F6AB1" w:rsidP="008816BF">
            <w:pPr>
              <w:jc w:val="both"/>
            </w:pPr>
            <w:r w:rsidRPr="004108D5">
              <w:t>LM</w:t>
            </w:r>
          </w:p>
        </w:tc>
        <w:tc>
          <w:tcPr>
            <w:tcW w:w="3559" w:type="pct"/>
            <w:shd w:val="clear" w:color="auto" w:fill="auto"/>
          </w:tcPr>
          <w:p w14:paraId="7EBF5B3D" w14:textId="77777777" w:rsidR="001F6AB1" w:rsidRPr="004108D5" w:rsidRDefault="001F6AB1" w:rsidP="008816BF">
            <w:pPr>
              <w:jc w:val="both"/>
            </w:pPr>
            <w:r w:rsidRPr="004108D5">
              <w:t>Labklājības ministrija</w:t>
            </w:r>
          </w:p>
        </w:tc>
      </w:tr>
      <w:tr w:rsidR="001F6AB1" w:rsidRPr="004108D5" w14:paraId="087E06DA" w14:textId="77777777" w:rsidTr="008816BF">
        <w:tc>
          <w:tcPr>
            <w:tcW w:w="1441" w:type="pct"/>
            <w:shd w:val="clear" w:color="auto" w:fill="auto"/>
          </w:tcPr>
          <w:p w14:paraId="7F011759" w14:textId="77777777" w:rsidR="001F6AB1" w:rsidRPr="004108D5" w:rsidRDefault="001F6AB1" w:rsidP="008816BF">
            <w:r w:rsidRPr="004108D5">
              <w:t>TM</w:t>
            </w:r>
          </w:p>
        </w:tc>
        <w:tc>
          <w:tcPr>
            <w:tcW w:w="3559" w:type="pct"/>
            <w:shd w:val="clear" w:color="auto" w:fill="auto"/>
          </w:tcPr>
          <w:p w14:paraId="67E99ECD" w14:textId="77777777" w:rsidR="001F6AB1" w:rsidRPr="004108D5" w:rsidRDefault="001F6AB1" w:rsidP="008816BF">
            <w:pPr>
              <w:jc w:val="both"/>
            </w:pPr>
            <w:r w:rsidRPr="004108D5">
              <w:t>Tieslietu ministrija</w:t>
            </w:r>
          </w:p>
        </w:tc>
      </w:tr>
      <w:tr w:rsidR="001F6AB1" w:rsidRPr="004108D5" w14:paraId="54665C80" w14:textId="77777777" w:rsidTr="008816BF">
        <w:tc>
          <w:tcPr>
            <w:tcW w:w="1441" w:type="pct"/>
            <w:shd w:val="clear" w:color="auto" w:fill="auto"/>
          </w:tcPr>
          <w:p w14:paraId="65D98DA5" w14:textId="77777777" w:rsidR="001F6AB1" w:rsidRPr="004108D5" w:rsidRDefault="001F6AB1" w:rsidP="008816BF">
            <w:pPr>
              <w:jc w:val="both"/>
            </w:pPr>
            <w:r w:rsidRPr="004108D5">
              <w:t>VARAM</w:t>
            </w:r>
          </w:p>
        </w:tc>
        <w:tc>
          <w:tcPr>
            <w:tcW w:w="3559" w:type="pct"/>
            <w:shd w:val="clear" w:color="auto" w:fill="auto"/>
          </w:tcPr>
          <w:p w14:paraId="661BD279" w14:textId="77777777" w:rsidR="001F6AB1" w:rsidRPr="004108D5" w:rsidRDefault="001F6AB1" w:rsidP="008816BF">
            <w:pPr>
              <w:jc w:val="both"/>
            </w:pPr>
            <w:r w:rsidRPr="004108D5">
              <w:t>Vides aizsardzības un reģionālās attīstības</w:t>
            </w:r>
          </w:p>
        </w:tc>
      </w:tr>
      <w:tr w:rsidR="001F6AB1" w:rsidRPr="004108D5" w14:paraId="612AE605" w14:textId="77777777" w:rsidTr="008816BF">
        <w:tc>
          <w:tcPr>
            <w:tcW w:w="1441" w:type="pct"/>
            <w:shd w:val="clear" w:color="auto" w:fill="auto"/>
          </w:tcPr>
          <w:p w14:paraId="75F76D98" w14:textId="77777777" w:rsidR="001F6AB1" w:rsidRPr="004108D5" w:rsidRDefault="001F6AB1" w:rsidP="008816BF">
            <w:pPr>
              <w:jc w:val="both"/>
            </w:pPr>
            <w:r w:rsidRPr="004108D5">
              <w:t>VM</w:t>
            </w:r>
          </w:p>
        </w:tc>
        <w:tc>
          <w:tcPr>
            <w:tcW w:w="3559" w:type="pct"/>
            <w:shd w:val="clear" w:color="auto" w:fill="auto"/>
          </w:tcPr>
          <w:p w14:paraId="30344AEB" w14:textId="77777777" w:rsidR="001F6AB1" w:rsidRPr="004108D5" w:rsidRDefault="001F6AB1" w:rsidP="008816BF">
            <w:pPr>
              <w:jc w:val="both"/>
            </w:pPr>
            <w:r w:rsidRPr="004108D5">
              <w:t>Veselības ministrija</w:t>
            </w:r>
          </w:p>
        </w:tc>
      </w:tr>
    </w:tbl>
    <w:p w14:paraId="6EE33F2E" w14:textId="77777777" w:rsidR="001F6AB1" w:rsidRPr="004108D5" w:rsidRDefault="001F6AB1" w:rsidP="00C63C4D">
      <w:pPr>
        <w:jc w:val="center"/>
      </w:pPr>
    </w:p>
    <w:p w14:paraId="615534E2" w14:textId="3605E8BA" w:rsidR="004F1421" w:rsidRDefault="004F1421" w:rsidP="004F1421">
      <w:pPr>
        <w:pStyle w:val="Sarakstarindkopa"/>
        <w:jc w:val="both"/>
      </w:pPr>
    </w:p>
    <w:p w14:paraId="1EFBB901" w14:textId="77777777" w:rsidR="001F6AB1" w:rsidRDefault="001F6AB1" w:rsidP="00C63C4D">
      <w:pPr>
        <w:jc w:val="center"/>
      </w:pPr>
    </w:p>
    <w:p w14:paraId="329075C4" w14:textId="77777777" w:rsidR="000056EB" w:rsidRPr="004108D5" w:rsidRDefault="000056EB" w:rsidP="00C63C4D">
      <w:pPr>
        <w:jc w:val="center"/>
      </w:pPr>
    </w:p>
    <w:p w14:paraId="6C26280A" w14:textId="24804CF8" w:rsidR="00C63C4D" w:rsidRPr="004108D5" w:rsidRDefault="002D31AD" w:rsidP="00C63C4D">
      <w:pPr>
        <w:jc w:val="both"/>
      </w:pPr>
      <w:r>
        <w:t>Labklājības ministrs</w:t>
      </w:r>
      <w:r>
        <w:tab/>
      </w:r>
      <w:r>
        <w:tab/>
      </w:r>
      <w:r>
        <w:tab/>
      </w:r>
      <w:r>
        <w:tab/>
      </w:r>
      <w:r>
        <w:tab/>
      </w:r>
      <w:r>
        <w:tab/>
        <w:t xml:space="preserve">        </w:t>
      </w:r>
      <w:r>
        <w:tab/>
        <w:t xml:space="preserve">            Jānis Reirs</w:t>
      </w:r>
    </w:p>
    <w:p w14:paraId="0EDAF1CF" w14:textId="77777777" w:rsidR="00C63C4D" w:rsidRDefault="00C63C4D" w:rsidP="00C63C4D">
      <w:pPr>
        <w:jc w:val="both"/>
      </w:pPr>
    </w:p>
    <w:p w14:paraId="6B029EB1" w14:textId="77777777" w:rsidR="000056EB" w:rsidRDefault="000056EB" w:rsidP="00C63C4D">
      <w:pPr>
        <w:jc w:val="both"/>
      </w:pPr>
    </w:p>
    <w:p w14:paraId="76910E05" w14:textId="77777777" w:rsidR="0011362A" w:rsidRDefault="0011362A" w:rsidP="00C63C4D">
      <w:pPr>
        <w:jc w:val="both"/>
      </w:pPr>
    </w:p>
    <w:p w14:paraId="35D3CCA7" w14:textId="77777777" w:rsidR="0011362A" w:rsidRPr="004108D5" w:rsidRDefault="0011362A" w:rsidP="00C63C4D">
      <w:pPr>
        <w:jc w:val="both"/>
      </w:pPr>
    </w:p>
    <w:p w14:paraId="007B5484" w14:textId="77777777" w:rsidR="00C63C4D" w:rsidRPr="004108D5" w:rsidRDefault="00C63C4D" w:rsidP="00C63C4D">
      <w:r w:rsidRPr="004108D5">
        <w:t>Vīza: Valsts sekretāre</w:t>
      </w:r>
      <w:r w:rsidRPr="004108D5">
        <w:tab/>
      </w:r>
      <w:r w:rsidRPr="004108D5">
        <w:tab/>
      </w:r>
      <w:r w:rsidRPr="004108D5">
        <w:tab/>
      </w:r>
      <w:r w:rsidRPr="004108D5">
        <w:tab/>
      </w:r>
      <w:r w:rsidRPr="004108D5">
        <w:tab/>
      </w:r>
      <w:r w:rsidRPr="004108D5">
        <w:tab/>
      </w:r>
      <w:r w:rsidRPr="004108D5">
        <w:tab/>
        <w:t xml:space="preserve">         Ieva Jaunzeme</w:t>
      </w:r>
    </w:p>
    <w:p w14:paraId="1665F5EA" w14:textId="77777777" w:rsidR="00C63C4D" w:rsidRPr="004108D5" w:rsidRDefault="00C63C4D" w:rsidP="00C63C4D">
      <w:pPr>
        <w:jc w:val="both"/>
      </w:pPr>
    </w:p>
    <w:p w14:paraId="6097E10F" w14:textId="77777777" w:rsidR="00C63C4D" w:rsidRDefault="00C63C4D" w:rsidP="00C63C4D">
      <w:pPr>
        <w:jc w:val="both"/>
      </w:pPr>
    </w:p>
    <w:p w14:paraId="5E8ED8DF" w14:textId="77777777" w:rsidR="000056EB" w:rsidRDefault="000056EB" w:rsidP="00C63C4D">
      <w:pPr>
        <w:jc w:val="both"/>
      </w:pPr>
    </w:p>
    <w:p w14:paraId="2922C47F" w14:textId="77777777" w:rsidR="000056EB" w:rsidRDefault="000056EB" w:rsidP="00C63C4D">
      <w:pPr>
        <w:jc w:val="both"/>
      </w:pPr>
    </w:p>
    <w:p w14:paraId="35D8FBAD" w14:textId="77777777" w:rsidR="000056EB" w:rsidRDefault="000056EB" w:rsidP="00C63C4D">
      <w:pPr>
        <w:jc w:val="both"/>
      </w:pPr>
    </w:p>
    <w:p w14:paraId="603BF6E2" w14:textId="77777777" w:rsidR="000056EB" w:rsidRDefault="000056EB" w:rsidP="00C63C4D">
      <w:pPr>
        <w:jc w:val="both"/>
      </w:pPr>
    </w:p>
    <w:p w14:paraId="777B3089" w14:textId="77777777" w:rsidR="000056EB" w:rsidRDefault="000056EB" w:rsidP="00C63C4D">
      <w:pPr>
        <w:jc w:val="both"/>
      </w:pPr>
    </w:p>
    <w:p w14:paraId="4C020250" w14:textId="77777777" w:rsidR="000056EB" w:rsidRDefault="000056EB" w:rsidP="00C63C4D">
      <w:pPr>
        <w:jc w:val="both"/>
      </w:pPr>
    </w:p>
    <w:p w14:paraId="041F8B5C" w14:textId="77777777" w:rsidR="000056EB" w:rsidRDefault="000056EB" w:rsidP="00C63C4D">
      <w:pPr>
        <w:jc w:val="both"/>
      </w:pPr>
    </w:p>
    <w:p w14:paraId="49320929" w14:textId="77777777" w:rsidR="000056EB" w:rsidRDefault="000056EB" w:rsidP="00C63C4D">
      <w:pPr>
        <w:jc w:val="both"/>
      </w:pPr>
    </w:p>
    <w:p w14:paraId="1F964157" w14:textId="77777777" w:rsidR="000056EB" w:rsidRDefault="000056EB" w:rsidP="00C63C4D">
      <w:pPr>
        <w:jc w:val="both"/>
      </w:pPr>
    </w:p>
    <w:p w14:paraId="6255591B" w14:textId="77777777" w:rsidR="000056EB" w:rsidRDefault="000056EB" w:rsidP="00C63C4D">
      <w:pPr>
        <w:jc w:val="both"/>
      </w:pPr>
    </w:p>
    <w:p w14:paraId="7F484AFA" w14:textId="77777777" w:rsidR="000056EB" w:rsidRDefault="000056EB" w:rsidP="00C63C4D">
      <w:pPr>
        <w:jc w:val="both"/>
      </w:pPr>
    </w:p>
    <w:p w14:paraId="137167C9" w14:textId="77777777" w:rsidR="000056EB" w:rsidRDefault="000056EB" w:rsidP="00C63C4D">
      <w:pPr>
        <w:jc w:val="both"/>
      </w:pPr>
    </w:p>
    <w:p w14:paraId="00A75361" w14:textId="77777777" w:rsidR="000056EB" w:rsidRDefault="000056EB" w:rsidP="00C63C4D">
      <w:pPr>
        <w:jc w:val="both"/>
      </w:pPr>
    </w:p>
    <w:p w14:paraId="2E365D0C" w14:textId="77777777" w:rsidR="000056EB" w:rsidRDefault="000056EB" w:rsidP="00C63C4D">
      <w:pPr>
        <w:jc w:val="both"/>
      </w:pPr>
    </w:p>
    <w:p w14:paraId="769C60A9" w14:textId="77777777" w:rsidR="000056EB" w:rsidRDefault="000056EB" w:rsidP="00C63C4D">
      <w:pPr>
        <w:jc w:val="both"/>
      </w:pPr>
    </w:p>
    <w:p w14:paraId="68352DCA" w14:textId="77777777" w:rsidR="000056EB" w:rsidRDefault="000056EB" w:rsidP="00C63C4D">
      <w:pPr>
        <w:jc w:val="both"/>
      </w:pPr>
    </w:p>
    <w:p w14:paraId="5B2A8050" w14:textId="77777777" w:rsidR="000056EB" w:rsidRDefault="000056EB" w:rsidP="00C63C4D">
      <w:pPr>
        <w:jc w:val="both"/>
      </w:pPr>
    </w:p>
    <w:p w14:paraId="0889666A" w14:textId="77777777" w:rsidR="000056EB" w:rsidRDefault="000056EB" w:rsidP="00C63C4D">
      <w:pPr>
        <w:jc w:val="both"/>
      </w:pPr>
    </w:p>
    <w:p w14:paraId="1A2AB2D2" w14:textId="77777777" w:rsidR="000056EB" w:rsidRDefault="000056EB" w:rsidP="00C63C4D">
      <w:pPr>
        <w:jc w:val="both"/>
      </w:pPr>
    </w:p>
    <w:p w14:paraId="731AF29C" w14:textId="77777777" w:rsidR="000056EB" w:rsidRDefault="000056EB" w:rsidP="00C63C4D">
      <w:pPr>
        <w:jc w:val="both"/>
      </w:pPr>
    </w:p>
    <w:p w14:paraId="6BDA4015" w14:textId="77777777" w:rsidR="000056EB" w:rsidRDefault="000056EB" w:rsidP="00C63C4D">
      <w:pPr>
        <w:jc w:val="both"/>
      </w:pPr>
    </w:p>
    <w:p w14:paraId="2ED957BF" w14:textId="77777777" w:rsidR="000056EB" w:rsidRPr="004108D5" w:rsidRDefault="000056EB" w:rsidP="00C63C4D">
      <w:pPr>
        <w:jc w:val="both"/>
      </w:pPr>
    </w:p>
    <w:p w14:paraId="3DA1D3A1" w14:textId="453BBC09" w:rsidR="00C63C4D" w:rsidRPr="004108D5" w:rsidRDefault="007D5C73" w:rsidP="00C63C4D">
      <w:pPr>
        <w:rPr>
          <w:sz w:val="18"/>
          <w:szCs w:val="18"/>
        </w:rPr>
      </w:pPr>
      <w:r>
        <w:rPr>
          <w:sz w:val="18"/>
          <w:szCs w:val="18"/>
        </w:rPr>
        <w:t>11</w:t>
      </w:r>
      <w:r w:rsidR="00C63C4D" w:rsidRPr="004108D5">
        <w:rPr>
          <w:sz w:val="18"/>
          <w:szCs w:val="18"/>
        </w:rPr>
        <w:t>.</w:t>
      </w:r>
      <w:r>
        <w:rPr>
          <w:sz w:val="18"/>
          <w:szCs w:val="18"/>
        </w:rPr>
        <w:t>07</w:t>
      </w:r>
      <w:r w:rsidR="00C63C4D" w:rsidRPr="004108D5">
        <w:rPr>
          <w:sz w:val="18"/>
          <w:szCs w:val="18"/>
        </w:rPr>
        <w:t>.2016. 1</w:t>
      </w:r>
      <w:r>
        <w:rPr>
          <w:sz w:val="18"/>
          <w:szCs w:val="18"/>
        </w:rPr>
        <w:t>4</w:t>
      </w:r>
      <w:r w:rsidR="00C63C4D" w:rsidRPr="004108D5">
        <w:rPr>
          <w:sz w:val="18"/>
          <w:szCs w:val="18"/>
        </w:rPr>
        <w:t>:</w:t>
      </w:r>
      <w:r>
        <w:rPr>
          <w:sz w:val="18"/>
          <w:szCs w:val="18"/>
        </w:rPr>
        <w:t>11</w:t>
      </w:r>
      <w:bookmarkStart w:id="1" w:name="_GoBack"/>
      <w:bookmarkEnd w:id="1"/>
    </w:p>
    <w:p w14:paraId="04409B1D" w14:textId="0AA5BFC9" w:rsidR="00C63C4D" w:rsidRPr="004108D5" w:rsidRDefault="00DA7C9B" w:rsidP="00C63C4D">
      <w:pPr>
        <w:rPr>
          <w:sz w:val="18"/>
          <w:szCs w:val="18"/>
        </w:rPr>
      </w:pPr>
      <w:r w:rsidRPr="004108D5">
        <w:rPr>
          <w:sz w:val="18"/>
          <w:szCs w:val="18"/>
        </w:rPr>
        <w:t>1</w:t>
      </w:r>
      <w:r w:rsidR="00181AD6">
        <w:rPr>
          <w:sz w:val="18"/>
          <w:szCs w:val="18"/>
        </w:rPr>
        <w:t>4</w:t>
      </w:r>
      <w:r w:rsidR="0011362A">
        <w:rPr>
          <w:sz w:val="18"/>
          <w:szCs w:val="18"/>
        </w:rPr>
        <w:t>1</w:t>
      </w:r>
      <w:r w:rsidR="00A273B5">
        <w:rPr>
          <w:sz w:val="18"/>
          <w:szCs w:val="18"/>
        </w:rPr>
        <w:t>4</w:t>
      </w:r>
    </w:p>
    <w:p w14:paraId="3D8B4FEC" w14:textId="77777777" w:rsidR="00C63C4D" w:rsidRPr="004108D5" w:rsidRDefault="00C63C4D" w:rsidP="00C63C4D">
      <w:pPr>
        <w:rPr>
          <w:sz w:val="18"/>
          <w:szCs w:val="18"/>
        </w:rPr>
      </w:pPr>
      <w:r w:rsidRPr="004108D5">
        <w:rPr>
          <w:sz w:val="18"/>
          <w:szCs w:val="18"/>
        </w:rPr>
        <w:t xml:space="preserve">Lauris Neikens, </w:t>
      </w:r>
    </w:p>
    <w:p w14:paraId="2485E6E7" w14:textId="77777777" w:rsidR="00C63C4D" w:rsidRPr="004108D5" w:rsidRDefault="00C63C4D" w:rsidP="00C63C4D">
      <w:pPr>
        <w:rPr>
          <w:sz w:val="18"/>
          <w:szCs w:val="18"/>
        </w:rPr>
      </w:pPr>
      <w:r w:rsidRPr="004108D5">
        <w:rPr>
          <w:sz w:val="18"/>
          <w:szCs w:val="18"/>
        </w:rPr>
        <w:t xml:space="preserve">Labklājības ministrijas </w:t>
      </w:r>
    </w:p>
    <w:p w14:paraId="3FF80169" w14:textId="77777777" w:rsidR="00C63C4D" w:rsidRPr="004108D5" w:rsidRDefault="00C63C4D" w:rsidP="00C63C4D">
      <w:pPr>
        <w:rPr>
          <w:sz w:val="18"/>
          <w:szCs w:val="18"/>
        </w:rPr>
      </w:pPr>
      <w:r w:rsidRPr="004108D5">
        <w:rPr>
          <w:sz w:val="18"/>
          <w:szCs w:val="18"/>
        </w:rPr>
        <w:t xml:space="preserve">Bērnu un ģimenes politikas departamenta vecākais eksperts, </w:t>
      </w:r>
    </w:p>
    <w:p w14:paraId="285AFCA7" w14:textId="77777777" w:rsidR="00C63C4D" w:rsidRPr="004108D5" w:rsidRDefault="00C63C4D" w:rsidP="00C63C4D">
      <w:pPr>
        <w:rPr>
          <w:sz w:val="18"/>
          <w:szCs w:val="18"/>
        </w:rPr>
      </w:pPr>
      <w:r w:rsidRPr="004108D5">
        <w:rPr>
          <w:sz w:val="18"/>
          <w:szCs w:val="18"/>
        </w:rPr>
        <w:t xml:space="preserve">tālr. 67021673; fakss: 67276445, </w:t>
      </w:r>
    </w:p>
    <w:p w14:paraId="459B4E89" w14:textId="77777777" w:rsidR="00C63C4D" w:rsidRPr="004108D5" w:rsidRDefault="007D5C73" w:rsidP="00C63C4D">
      <w:pPr>
        <w:rPr>
          <w:sz w:val="18"/>
          <w:szCs w:val="18"/>
        </w:rPr>
      </w:pPr>
      <w:hyperlink r:id="rId7" w:history="1">
        <w:r w:rsidR="00C63C4D" w:rsidRPr="004108D5">
          <w:rPr>
            <w:rStyle w:val="Hipersaite"/>
            <w:sz w:val="18"/>
            <w:szCs w:val="18"/>
          </w:rPr>
          <w:t>Lauris.Neikens@lm.gov.lv</w:t>
        </w:r>
      </w:hyperlink>
    </w:p>
    <w:p w14:paraId="6CF144AD" w14:textId="77777777" w:rsidR="00F361ED" w:rsidRPr="004108D5" w:rsidRDefault="00F361ED"/>
    <w:sectPr w:rsidR="00F361ED" w:rsidRPr="004108D5" w:rsidSect="0037799A">
      <w:headerReference w:type="even" r:id="rId8"/>
      <w:headerReference w:type="default" r:id="rId9"/>
      <w:footerReference w:type="default" r:id="rId10"/>
      <w:footerReference w:type="first" r:id="rId11"/>
      <w:pgSz w:w="11906" w:h="16838"/>
      <w:pgMar w:top="1440" w:right="1797" w:bottom="1440"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14190" w14:textId="77777777" w:rsidR="002104BF" w:rsidRDefault="002104BF" w:rsidP="00CB2D60">
      <w:r>
        <w:separator/>
      </w:r>
    </w:p>
  </w:endnote>
  <w:endnote w:type="continuationSeparator" w:id="0">
    <w:p w14:paraId="61FE31A2" w14:textId="77777777" w:rsidR="002104BF" w:rsidRDefault="002104BF" w:rsidP="00CB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AFC8" w14:textId="34093450" w:rsidR="00042FA7" w:rsidRPr="00877E06" w:rsidRDefault="00CB2D60" w:rsidP="00877E06">
    <w:pPr>
      <w:pStyle w:val="Kjene"/>
      <w:jc w:val="both"/>
      <w:rPr>
        <w:sz w:val="20"/>
        <w:szCs w:val="20"/>
      </w:rPr>
    </w:pPr>
    <w:r w:rsidRPr="00CB2D60">
      <w:rPr>
        <w:sz w:val="20"/>
        <w:szCs w:val="20"/>
      </w:rPr>
      <w:t>LMZino_p</w:t>
    </w:r>
    <w:r w:rsidR="001D347F">
      <w:rPr>
        <w:sz w:val="20"/>
        <w:szCs w:val="20"/>
      </w:rPr>
      <w:t>3</w:t>
    </w:r>
    <w:r w:rsidRPr="00CB2D60">
      <w:rPr>
        <w:sz w:val="20"/>
        <w:szCs w:val="20"/>
      </w:rPr>
      <w:t>_</w:t>
    </w:r>
    <w:r w:rsidR="007D5C73">
      <w:rPr>
        <w:sz w:val="20"/>
        <w:szCs w:val="20"/>
      </w:rPr>
      <w:t>11</w:t>
    </w:r>
    <w:r w:rsidRPr="00CB2D60">
      <w:rPr>
        <w:sz w:val="20"/>
        <w:szCs w:val="20"/>
      </w:rPr>
      <w:t>0</w:t>
    </w:r>
    <w:r w:rsidR="007D5C73">
      <w:rPr>
        <w:sz w:val="20"/>
        <w:szCs w:val="20"/>
      </w:rPr>
      <w:t>7</w:t>
    </w:r>
    <w:r w:rsidRPr="00CB2D60">
      <w:rPr>
        <w:sz w:val="20"/>
        <w:szCs w:val="20"/>
      </w:rPr>
      <w:t>16_rekomendacijas</w:t>
    </w:r>
    <w:r w:rsidR="001D347F" w:rsidRPr="00877E06">
      <w:rPr>
        <w:sz w:val="20"/>
        <w:szCs w:val="20"/>
      </w:rPr>
      <w:t>; Informatīvais ziņojums „Par Apvienoto Nāciju Organizācijas Bērnu tiesību komitejas noslēguma apsvērumos Latvijai izteikto rekomendāciju izpildes nodrošināšanu līdz 2021.gadam”</w:t>
    </w:r>
  </w:p>
  <w:p w14:paraId="0678723D" w14:textId="77777777" w:rsidR="00042FA7" w:rsidRPr="00D97523" w:rsidRDefault="007D5C73" w:rsidP="00D9752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5200" w14:textId="32BF001C" w:rsidR="00042FA7" w:rsidRPr="00877E06" w:rsidRDefault="00CB2D60" w:rsidP="00877E06">
    <w:pPr>
      <w:pStyle w:val="Kjene"/>
      <w:jc w:val="both"/>
      <w:rPr>
        <w:sz w:val="20"/>
        <w:szCs w:val="20"/>
      </w:rPr>
    </w:pPr>
    <w:r w:rsidRPr="00CB2D60">
      <w:rPr>
        <w:sz w:val="20"/>
        <w:szCs w:val="20"/>
      </w:rPr>
      <w:t>LMZino_p</w:t>
    </w:r>
    <w:r w:rsidR="001D347F">
      <w:rPr>
        <w:sz w:val="20"/>
        <w:szCs w:val="20"/>
      </w:rPr>
      <w:t>3</w:t>
    </w:r>
    <w:r w:rsidRPr="00CB2D60">
      <w:rPr>
        <w:sz w:val="20"/>
        <w:szCs w:val="20"/>
      </w:rPr>
      <w:t>_</w:t>
    </w:r>
    <w:r w:rsidR="007D5C73">
      <w:rPr>
        <w:sz w:val="20"/>
        <w:szCs w:val="20"/>
      </w:rPr>
      <w:t>11</w:t>
    </w:r>
    <w:r w:rsidRPr="00CB2D60">
      <w:rPr>
        <w:sz w:val="20"/>
        <w:szCs w:val="20"/>
      </w:rPr>
      <w:t>0</w:t>
    </w:r>
    <w:r w:rsidR="007D5C73">
      <w:rPr>
        <w:sz w:val="20"/>
        <w:szCs w:val="20"/>
      </w:rPr>
      <w:t>7</w:t>
    </w:r>
    <w:r w:rsidRPr="00CB2D60">
      <w:rPr>
        <w:sz w:val="20"/>
        <w:szCs w:val="20"/>
      </w:rPr>
      <w:t>16_rekomendacijas</w:t>
    </w:r>
    <w:r w:rsidR="001D347F" w:rsidRPr="00877E06">
      <w:rPr>
        <w:sz w:val="20"/>
        <w:szCs w:val="20"/>
      </w:rPr>
      <w:t>; Informatīvais ziņojums „Par Apvienoto Nāciju Organizācijas Bērnu tiesību komitejas noslēguma apsvērumos Latvijai izteikto rekomendāciju izpildes nodrošināšanu līdz 2021.gadam”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429B2" w14:textId="77777777" w:rsidR="002104BF" w:rsidRDefault="002104BF" w:rsidP="00CB2D60">
      <w:r>
        <w:separator/>
      </w:r>
    </w:p>
  </w:footnote>
  <w:footnote w:type="continuationSeparator" w:id="0">
    <w:p w14:paraId="4DE52CE8" w14:textId="77777777" w:rsidR="002104BF" w:rsidRDefault="002104BF" w:rsidP="00CB2D60">
      <w:r>
        <w:continuationSeparator/>
      </w:r>
    </w:p>
  </w:footnote>
  <w:footnote w:id="1">
    <w:p w14:paraId="1EBFC60B" w14:textId="7FED3330" w:rsidR="00414CAE" w:rsidRDefault="00414CAE">
      <w:pPr>
        <w:pStyle w:val="Vresteksts"/>
      </w:pPr>
      <w:r>
        <w:rPr>
          <w:rStyle w:val="Vresatsauce"/>
        </w:rPr>
        <w:footnoteRef/>
      </w:r>
      <w:r>
        <w:t xml:space="preserve"> </w:t>
      </w:r>
      <w:r w:rsidRPr="00414CAE">
        <w:t>Institū</w:t>
      </w:r>
      <w:r w:rsidR="00A273B5">
        <w:t>cijas sarindotas alfabēta</w:t>
      </w:r>
      <w:r w:rsidRPr="00414CAE">
        <w:t xml:space="preserve"> secībā.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D94EB" w14:textId="77777777" w:rsidR="00042FA7" w:rsidRDefault="001D347F"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2A6B225" w14:textId="77777777" w:rsidR="00042FA7" w:rsidRDefault="007D5C7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3D71" w14:textId="77777777" w:rsidR="00042FA7" w:rsidRDefault="001D347F"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5C73">
      <w:rPr>
        <w:rStyle w:val="Lappusesnumurs"/>
        <w:noProof/>
      </w:rPr>
      <w:t>5</w:t>
    </w:r>
    <w:r>
      <w:rPr>
        <w:rStyle w:val="Lappusesnumurs"/>
      </w:rPr>
      <w:fldChar w:fldCharType="end"/>
    </w:r>
  </w:p>
  <w:p w14:paraId="3600F6C3" w14:textId="77777777" w:rsidR="00042FA7" w:rsidRDefault="007D5C7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4D"/>
    <w:rsid w:val="000056EB"/>
    <w:rsid w:val="000F0B44"/>
    <w:rsid w:val="0011362A"/>
    <w:rsid w:val="0013093A"/>
    <w:rsid w:val="00181AD6"/>
    <w:rsid w:val="00182E21"/>
    <w:rsid w:val="001B796D"/>
    <w:rsid w:val="001D0EB2"/>
    <w:rsid w:val="001D347F"/>
    <w:rsid w:val="001F6AB1"/>
    <w:rsid w:val="002104BF"/>
    <w:rsid w:val="00227998"/>
    <w:rsid w:val="002516EF"/>
    <w:rsid w:val="0029132A"/>
    <w:rsid w:val="002C6354"/>
    <w:rsid w:val="002D31AD"/>
    <w:rsid w:val="00304B77"/>
    <w:rsid w:val="00310A49"/>
    <w:rsid w:val="00327324"/>
    <w:rsid w:val="00362B75"/>
    <w:rsid w:val="003806E5"/>
    <w:rsid w:val="004108D5"/>
    <w:rsid w:val="004108EB"/>
    <w:rsid w:val="00414CAE"/>
    <w:rsid w:val="004D3E14"/>
    <w:rsid w:val="004F1421"/>
    <w:rsid w:val="005274E9"/>
    <w:rsid w:val="005361D8"/>
    <w:rsid w:val="00567E93"/>
    <w:rsid w:val="005E515F"/>
    <w:rsid w:val="0061459A"/>
    <w:rsid w:val="00630611"/>
    <w:rsid w:val="00652DB7"/>
    <w:rsid w:val="00694A2C"/>
    <w:rsid w:val="006C6A63"/>
    <w:rsid w:val="006E36BC"/>
    <w:rsid w:val="006F344C"/>
    <w:rsid w:val="0071780D"/>
    <w:rsid w:val="007C542C"/>
    <w:rsid w:val="007D5C73"/>
    <w:rsid w:val="007E6428"/>
    <w:rsid w:val="007E64E3"/>
    <w:rsid w:val="008163A7"/>
    <w:rsid w:val="0082381E"/>
    <w:rsid w:val="00850240"/>
    <w:rsid w:val="008A1962"/>
    <w:rsid w:val="008D7E2D"/>
    <w:rsid w:val="008F7DD0"/>
    <w:rsid w:val="009332C7"/>
    <w:rsid w:val="009670AD"/>
    <w:rsid w:val="009C5FBA"/>
    <w:rsid w:val="009E7DA8"/>
    <w:rsid w:val="00A273B5"/>
    <w:rsid w:val="00B87DC1"/>
    <w:rsid w:val="00BE420B"/>
    <w:rsid w:val="00C07D55"/>
    <w:rsid w:val="00C20032"/>
    <w:rsid w:val="00C51A17"/>
    <w:rsid w:val="00C63C4D"/>
    <w:rsid w:val="00CB2D60"/>
    <w:rsid w:val="00CF5096"/>
    <w:rsid w:val="00D12364"/>
    <w:rsid w:val="00D7491E"/>
    <w:rsid w:val="00DA616A"/>
    <w:rsid w:val="00DA7C9B"/>
    <w:rsid w:val="00DC5D53"/>
    <w:rsid w:val="00E540B7"/>
    <w:rsid w:val="00EB2401"/>
    <w:rsid w:val="00EB425E"/>
    <w:rsid w:val="00EF25D1"/>
    <w:rsid w:val="00F17B15"/>
    <w:rsid w:val="00F361ED"/>
    <w:rsid w:val="00F84C8B"/>
    <w:rsid w:val="00F938DD"/>
    <w:rsid w:val="00FC2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5AED"/>
  <w15:docId w15:val="{1F3AAF81-9F9D-47CB-9113-D4C2C0C4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3C4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F6AB1"/>
    <w:pPr>
      <w:keepNext/>
      <w:spacing w:before="240" w:after="60" w:line="276" w:lineRule="auto"/>
      <w:outlineLvl w:val="0"/>
    </w:pPr>
    <w:rPr>
      <w:rFonts w:ascii="Cambria" w:hAnsi="Cambria"/>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C63C4D"/>
    <w:rPr>
      <w:color w:val="0000FF"/>
      <w:u w:val="single"/>
    </w:rPr>
  </w:style>
  <w:style w:type="paragraph" w:styleId="Galvene">
    <w:name w:val="header"/>
    <w:basedOn w:val="Parasts"/>
    <w:link w:val="GalveneRakstz"/>
    <w:rsid w:val="00C63C4D"/>
    <w:pPr>
      <w:tabs>
        <w:tab w:val="center" w:pos="4153"/>
        <w:tab w:val="right" w:pos="8306"/>
      </w:tabs>
    </w:pPr>
  </w:style>
  <w:style w:type="character" w:customStyle="1" w:styleId="GalveneRakstz">
    <w:name w:val="Galvene Rakstz."/>
    <w:basedOn w:val="Noklusjumarindkopasfonts"/>
    <w:link w:val="Galvene"/>
    <w:rsid w:val="00C63C4D"/>
    <w:rPr>
      <w:rFonts w:ascii="Times New Roman" w:eastAsia="Times New Roman" w:hAnsi="Times New Roman" w:cs="Times New Roman"/>
      <w:sz w:val="24"/>
      <w:szCs w:val="24"/>
      <w:lang w:eastAsia="lv-LV"/>
    </w:rPr>
  </w:style>
  <w:style w:type="character" w:styleId="Lappusesnumurs">
    <w:name w:val="page number"/>
    <w:basedOn w:val="Noklusjumarindkopasfonts"/>
    <w:rsid w:val="00C63C4D"/>
  </w:style>
  <w:style w:type="paragraph" w:styleId="Kjene">
    <w:name w:val="footer"/>
    <w:basedOn w:val="Parasts"/>
    <w:link w:val="KjeneRakstz"/>
    <w:uiPriority w:val="99"/>
    <w:rsid w:val="00C63C4D"/>
    <w:pPr>
      <w:tabs>
        <w:tab w:val="center" w:pos="4153"/>
        <w:tab w:val="right" w:pos="8306"/>
      </w:tabs>
    </w:pPr>
  </w:style>
  <w:style w:type="character" w:customStyle="1" w:styleId="KjeneRakstz">
    <w:name w:val="Kājene Rakstz."/>
    <w:basedOn w:val="Noklusjumarindkopasfonts"/>
    <w:link w:val="Kjene"/>
    <w:uiPriority w:val="99"/>
    <w:rsid w:val="00C63C4D"/>
    <w:rPr>
      <w:rFonts w:ascii="Times New Roman" w:eastAsia="Times New Roman" w:hAnsi="Times New Roman" w:cs="Times New Roman"/>
      <w:sz w:val="24"/>
      <w:szCs w:val="24"/>
      <w:lang w:eastAsia="lv-LV"/>
    </w:rPr>
  </w:style>
  <w:style w:type="character" w:styleId="Komentraatsauce">
    <w:name w:val="annotation reference"/>
    <w:uiPriority w:val="99"/>
    <w:semiHidden/>
    <w:rsid w:val="00C63C4D"/>
    <w:rPr>
      <w:sz w:val="16"/>
      <w:szCs w:val="16"/>
    </w:rPr>
  </w:style>
  <w:style w:type="paragraph" w:styleId="Komentrateksts">
    <w:name w:val="annotation text"/>
    <w:basedOn w:val="Parasts"/>
    <w:link w:val="KomentratekstsRakstz"/>
    <w:uiPriority w:val="99"/>
    <w:rsid w:val="00C63C4D"/>
    <w:rPr>
      <w:sz w:val="20"/>
      <w:szCs w:val="20"/>
    </w:rPr>
  </w:style>
  <w:style w:type="character" w:customStyle="1" w:styleId="KomentratekstsRakstz">
    <w:name w:val="Komentāra teksts Rakstz."/>
    <w:basedOn w:val="Noklusjumarindkopasfonts"/>
    <w:link w:val="Komentrateksts"/>
    <w:uiPriority w:val="99"/>
    <w:rsid w:val="00C63C4D"/>
    <w:rPr>
      <w:rFonts w:ascii="Times New Roman" w:eastAsia="Times New Roman" w:hAnsi="Times New Roman" w:cs="Times New Roman"/>
      <w:sz w:val="20"/>
      <w:szCs w:val="20"/>
      <w:lang w:eastAsia="lv-LV"/>
    </w:rPr>
  </w:style>
  <w:style w:type="paragraph" w:customStyle="1" w:styleId="Default">
    <w:name w:val="Default"/>
    <w:rsid w:val="00C63C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C63C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3C4D"/>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rsid w:val="001F6AB1"/>
    <w:rPr>
      <w:rFonts w:ascii="Cambria" w:eastAsia="Times New Roman" w:hAnsi="Cambria" w:cs="Times New Roman"/>
      <w:b/>
      <w:bCs/>
      <w:kern w:val="32"/>
      <w:sz w:val="32"/>
      <w:szCs w:val="32"/>
      <w:lang w:val="en-US"/>
    </w:rPr>
  </w:style>
  <w:style w:type="paragraph" w:styleId="Sarakstarindkopa">
    <w:name w:val="List Paragraph"/>
    <w:basedOn w:val="Parasts"/>
    <w:uiPriority w:val="34"/>
    <w:qFormat/>
    <w:rsid w:val="004F1421"/>
    <w:pPr>
      <w:ind w:left="720"/>
      <w:contextualSpacing/>
    </w:pPr>
  </w:style>
  <w:style w:type="paragraph" w:styleId="Vresteksts">
    <w:name w:val="footnote text"/>
    <w:basedOn w:val="Parasts"/>
    <w:link w:val="VrestekstsRakstz"/>
    <w:uiPriority w:val="99"/>
    <w:semiHidden/>
    <w:unhideWhenUsed/>
    <w:rsid w:val="00414CAE"/>
    <w:rPr>
      <w:sz w:val="20"/>
      <w:szCs w:val="20"/>
    </w:rPr>
  </w:style>
  <w:style w:type="character" w:customStyle="1" w:styleId="VrestekstsRakstz">
    <w:name w:val="Vēres teksts Rakstz."/>
    <w:basedOn w:val="Noklusjumarindkopasfonts"/>
    <w:link w:val="Vresteksts"/>
    <w:uiPriority w:val="99"/>
    <w:semiHidden/>
    <w:rsid w:val="00414CAE"/>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414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is.Neikens@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9E21B-CD7A-452F-AA1C-385CF9C3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7305</Words>
  <Characters>4165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Neikens</dc:creator>
  <cp:lastModifiedBy>Lauris Neikens</cp:lastModifiedBy>
  <cp:revision>6</cp:revision>
  <dcterms:created xsi:type="dcterms:W3CDTF">2016-06-01T14:25:00Z</dcterms:created>
  <dcterms:modified xsi:type="dcterms:W3CDTF">2016-07-11T11:11:00Z</dcterms:modified>
</cp:coreProperties>
</file>