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35301" w14:textId="77777777" w:rsidR="00C02CAA" w:rsidRPr="0022289F" w:rsidRDefault="00C02CAA" w:rsidP="0008506B">
      <w:pPr>
        <w:jc w:val="center"/>
        <w:rPr>
          <w:sz w:val="28"/>
          <w:szCs w:val="28"/>
        </w:rPr>
      </w:pPr>
      <w:bookmarkStart w:id="0" w:name="_Toc284933056"/>
      <w:bookmarkStart w:id="1" w:name="_Toc285004778"/>
      <w:bookmarkStart w:id="2" w:name="_Toc285027503"/>
      <w:bookmarkStart w:id="3" w:name="_Toc108423723"/>
      <w:r w:rsidRPr="0022289F">
        <w:rPr>
          <w:b/>
          <w:sz w:val="28"/>
          <w:szCs w:val="28"/>
        </w:rPr>
        <w:t>Informatīvais ziņojums</w:t>
      </w:r>
      <w:bookmarkEnd w:id="0"/>
      <w:bookmarkEnd w:id="1"/>
      <w:bookmarkEnd w:id="2"/>
      <w:r w:rsidR="002D7514" w:rsidRPr="0022289F">
        <w:rPr>
          <w:b/>
          <w:sz w:val="28"/>
          <w:szCs w:val="28"/>
        </w:rPr>
        <w:t xml:space="preserve"> </w:t>
      </w:r>
      <w:r w:rsidR="00E54506">
        <w:rPr>
          <w:b/>
          <w:sz w:val="28"/>
          <w:szCs w:val="28"/>
        </w:rPr>
        <w:t>“</w:t>
      </w:r>
      <w:r w:rsidRPr="0022289F">
        <w:rPr>
          <w:b/>
          <w:sz w:val="28"/>
          <w:szCs w:val="28"/>
        </w:rPr>
        <w:t>Par uzņēmējdarbības riska valsts nodevas sadalījumu</w:t>
      </w:r>
      <w:r w:rsidR="007E1DFE" w:rsidRPr="0022289F">
        <w:rPr>
          <w:b/>
          <w:sz w:val="28"/>
          <w:szCs w:val="28"/>
        </w:rPr>
        <w:t xml:space="preserve"> </w:t>
      </w:r>
      <w:r w:rsidRPr="0022289F">
        <w:rPr>
          <w:b/>
          <w:sz w:val="28"/>
          <w:szCs w:val="28"/>
        </w:rPr>
        <w:t>2017.–2019.gadam”</w:t>
      </w:r>
    </w:p>
    <w:p w14:paraId="1723F5D4" w14:textId="77777777" w:rsidR="005A6D3B" w:rsidRPr="0022289F" w:rsidRDefault="005A6D3B" w:rsidP="0008506B">
      <w:pPr>
        <w:jc w:val="center"/>
        <w:rPr>
          <w:sz w:val="28"/>
          <w:szCs w:val="28"/>
        </w:rPr>
      </w:pPr>
    </w:p>
    <w:p w14:paraId="599A7CC9" w14:textId="77777777" w:rsidR="00C02CAA" w:rsidRPr="0022289F" w:rsidRDefault="009D46B2" w:rsidP="006839A4">
      <w:pPr>
        <w:pStyle w:val="Heading1"/>
        <w:numPr>
          <w:ilvl w:val="0"/>
          <w:numId w:val="0"/>
        </w:numPr>
        <w:spacing w:before="0" w:after="0"/>
        <w:ind w:firstLine="709"/>
        <w:jc w:val="both"/>
        <w:rPr>
          <w:rFonts w:ascii="Times New Roman" w:hAnsi="Times New Roman" w:cs="Times New Roman"/>
          <w:sz w:val="24"/>
          <w:szCs w:val="24"/>
        </w:rPr>
      </w:pPr>
      <w:bookmarkStart w:id="4" w:name="_Toc410048269"/>
      <w:bookmarkStart w:id="5" w:name="_Toc414279014"/>
      <w:bookmarkStart w:id="6" w:name="_Toc453263304"/>
      <w:bookmarkStart w:id="7" w:name="_Toc284933057"/>
      <w:bookmarkStart w:id="8" w:name="_Toc285004779"/>
      <w:bookmarkStart w:id="9" w:name="_Toc285027504"/>
      <w:r w:rsidRPr="0022289F">
        <w:rPr>
          <w:rFonts w:ascii="Times New Roman" w:hAnsi="Times New Roman" w:cs="Times New Roman"/>
          <w:sz w:val="24"/>
          <w:szCs w:val="24"/>
        </w:rPr>
        <w:t xml:space="preserve">A. </w:t>
      </w:r>
      <w:r w:rsidR="00C02CAA" w:rsidRPr="0022289F">
        <w:rPr>
          <w:rFonts w:ascii="Times New Roman" w:hAnsi="Times New Roman" w:cs="Times New Roman"/>
          <w:sz w:val="24"/>
          <w:szCs w:val="24"/>
        </w:rPr>
        <w:t>Faktiskā situācija ar uzņēmējdarbības riska valsts nodevas līdzekļiem 201</w:t>
      </w:r>
      <w:r w:rsidR="008E1D5F" w:rsidRPr="0022289F">
        <w:rPr>
          <w:rFonts w:ascii="Times New Roman" w:hAnsi="Times New Roman" w:cs="Times New Roman"/>
          <w:sz w:val="24"/>
          <w:szCs w:val="24"/>
        </w:rPr>
        <w:t>1</w:t>
      </w:r>
      <w:r w:rsidR="00C02CAA" w:rsidRPr="0022289F">
        <w:rPr>
          <w:rFonts w:ascii="Times New Roman" w:hAnsi="Times New Roman" w:cs="Times New Roman"/>
          <w:sz w:val="24"/>
          <w:szCs w:val="24"/>
        </w:rPr>
        <w:t>.</w:t>
      </w:r>
      <w:r w:rsidR="00326C49">
        <w:rPr>
          <w:rFonts w:ascii="Times New Roman" w:hAnsi="Times New Roman" w:cs="Times New Roman"/>
          <w:sz w:val="24"/>
          <w:szCs w:val="24"/>
        </w:rPr>
        <w:t>–</w:t>
      </w:r>
      <w:r w:rsidR="00C02CAA" w:rsidRPr="0022289F">
        <w:rPr>
          <w:rFonts w:ascii="Times New Roman" w:hAnsi="Times New Roman" w:cs="Times New Roman"/>
          <w:sz w:val="24"/>
          <w:szCs w:val="24"/>
        </w:rPr>
        <w:t>2015.gadam</w:t>
      </w:r>
      <w:bookmarkEnd w:id="4"/>
      <w:bookmarkEnd w:id="5"/>
      <w:bookmarkEnd w:id="6"/>
    </w:p>
    <w:p w14:paraId="16B222C2" w14:textId="77777777" w:rsidR="00C02CAA" w:rsidRPr="0022289F" w:rsidRDefault="00C02CAA" w:rsidP="000B7E7A"/>
    <w:p w14:paraId="4AEC29FE" w14:textId="77777777" w:rsidR="00C02CAA" w:rsidRPr="0022289F" w:rsidRDefault="00C02CAA" w:rsidP="0022289F">
      <w:pPr>
        <w:pStyle w:val="Heading2"/>
        <w:numPr>
          <w:ilvl w:val="0"/>
          <w:numId w:val="0"/>
        </w:numPr>
        <w:spacing w:before="0" w:after="0"/>
        <w:ind w:firstLine="720"/>
        <w:jc w:val="both"/>
        <w:rPr>
          <w:rFonts w:ascii="Times New Roman" w:hAnsi="Times New Roman" w:cs="Times New Roman"/>
          <w:i w:val="0"/>
          <w:sz w:val="24"/>
          <w:szCs w:val="24"/>
        </w:rPr>
      </w:pPr>
      <w:bookmarkStart w:id="10" w:name="_Toc410048270"/>
      <w:bookmarkStart w:id="11" w:name="_Toc414279015"/>
      <w:bookmarkStart w:id="12" w:name="_Toc453263305"/>
      <w:r w:rsidRPr="0022289F">
        <w:rPr>
          <w:rFonts w:ascii="Times New Roman" w:hAnsi="Times New Roman" w:cs="Times New Roman"/>
          <w:i w:val="0"/>
          <w:sz w:val="24"/>
          <w:szCs w:val="24"/>
        </w:rPr>
        <w:t>I. Informatīvā ziņojuma izstrādes nepieciešamības pamatojums</w:t>
      </w:r>
      <w:bookmarkEnd w:id="10"/>
      <w:bookmarkEnd w:id="11"/>
      <w:bookmarkEnd w:id="12"/>
    </w:p>
    <w:p w14:paraId="6113D3FB" w14:textId="77777777" w:rsidR="00C02CAA" w:rsidRPr="00D27734" w:rsidRDefault="00C02CAA" w:rsidP="0022289F">
      <w:pPr>
        <w:ind w:firstLine="720"/>
        <w:jc w:val="both"/>
      </w:pPr>
      <w:r w:rsidRPr="00D27734">
        <w:t>Ministru kabineta 2015.gada</w:t>
      </w:r>
      <w:r w:rsidR="00DC0FD5">
        <w:t xml:space="preserve"> </w:t>
      </w:r>
      <w:r w:rsidRPr="00D27734">
        <w:t>16.jūnija</w:t>
      </w:r>
      <w:r w:rsidR="002C26D7" w:rsidRPr="00D27734">
        <w:t xml:space="preserve"> </w:t>
      </w:r>
      <w:r w:rsidRPr="00D27734">
        <w:t>sēdē tika izskatīts tieslietu ministra iesn</w:t>
      </w:r>
      <w:r w:rsidR="00E54506">
        <w:t>iegtais informatīvais ziņojums “</w:t>
      </w:r>
      <w:r w:rsidRPr="00D27734">
        <w:t xml:space="preserve">Par uzņēmējdarbības riska valsts nodevas apmēru 2016.–2018.gadam” (turpmāk </w:t>
      </w:r>
      <w:r w:rsidR="00D27734" w:rsidRPr="00D27734">
        <w:t>–</w:t>
      </w:r>
      <w:r w:rsidRPr="00D27734">
        <w:t xml:space="preserve"> </w:t>
      </w:r>
      <w:r w:rsidR="000315AD" w:rsidRPr="00D27734">
        <w:t>i</w:t>
      </w:r>
      <w:r w:rsidRPr="00D27734">
        <w:t xml:space="preserve">nformatīvais ziņojums par 2016.–2018.gadu). Saskaņā ar </w:t>
      </w:r>
      <w:r w:rsidR="000315AD" w:rsidRPr="00D27734">
        <w:t>i</w:t>
      </w:r>
      <w:r w:rsidRPr="00D27734">
        <w:t>nformatīvajā ziņojumā par 2016.–2018.gadu sniegto informāciju</w:t>
      </w:r>
      <w:r w:rsidR="0030497D">
        <w:t xml:space="preserve"> Ministru kabineta 2015.gada 16.jūnija sēdē (prot. Nr.29, 69.§) tika nolemts</w:t>
      </w:r>
      <w:r w:rsidRPr="00D27734">
        <w:t>, ka uzņēmējdarbības riska valsts nodeva (turpmāk – URVN), ko aprēķina par katru darbinieku, ar kuru nodibinātas darba tiesiskās attiecības, 2016., 2017. un 2018.gadā būs</w:t>
      </w:r>
      <w:r w:rsidR="00FB08B4" w:rsidRPr="00D27734">
        <w:t xml:space="preserve"> </w:t>
      </w:r>
      <w:r w:rsidRPr="00D27734">
        <w:t xml:space="preserve">0,36 </w:t>
      </w:r>
      <w:r w:rsidRPr="00D27734">
        <w:rPr>
          <w:i/>
        </w:rPr>
        <w:t>euro</w:t>
      </w:r>
      <w:r w:rsidRPr="00D27734">
        <w:t xml:space="preserve"> mēnesī</w:t>
      </w:r>
      <w:r w:rsidR="00E30246" w:rsidRPr="00D27734">
        <w:t>,</w:t>
      </w:r>
      <w:r w:rsidRPr="00D27734">
        <w:t xml:space="preserve"> un tās ieņēmumi tiks izmantoti divu budžeta apakšprogrammu izdevumu segšanai – 06.04.00 “Darbinieku prasījumu garantiju fonds” un 06.03.00 “Maksātnespējas procesu pārvaldība” (2016.gadā attiecīgi 96% no URVN ieņēmumiem tiek novirzīti </w:t>
      </w:r>
      <w:r w:rsidR="0030497D">
        <w:t xml:space="preserve">valsts </w:t>
      </w:r>
      <w:r w:rsidR="005C5BD4">
        <w:t xml:space="preserve">budžeta apakšprogrammai </w:t>
      </w:r>
      <w:r w:rsidRPr="00D27734">
        <w:t xml:space="preserve">06.04.00 “Darbinieku prasījumu garantiju fonds” un 4% </w:t>
      </w:r>
      <w:r w:rsidR="005C5BD4">
        <w:t xml:space="preserve">– </w:t>
      </w:r>
      <w:r w:rsidRPr="00D27734">
        <w:t>06.03.00 “Maksātnespējas procesu pārvaldība”).</w:t>
      </w:r>
    </w:p>
    <w:p w14:paraId="50B834CD" w14:textId="77777777" w:rsidR="00D27734" w:rsidRPr="00ED0FB0" w:rsidRDefault="00774176" w:rsidP="0022289F">
      <w:pPr>
        <w:ind w:firstLine="720"/>
        <w:jc w:val="both"/>
      </w:pPr>
      <w:r w:rsidRPr="00ED0FB0">
        <w:t>2016.gada 6.aprīlī Ārvalstu investoru padome Latvijā prezentēja sadarbībā ar auditorkompāniju Deloitte</w:t>
      </w:r>
      <w:r w:rsidR="0030497D">
        <w:t xml:space="preserve"> Latvia</w:t>
      </w:r>
      <w:r w:rsidRPr="00ED0FB0">
        <w:t xml:space="preserve"> veikto pētījumu “Ļaunprātīga maksātnespējas procesa riski Latvijā”, kurā </w:t>
      </w:r>
      <w:r w:rsidR="00952BCA" w:rsidRPr="00ED0FB0">
        <w:t>tika konstatēts, ka maksātnespējas process bieži vien tiek izmantots pretēji tā mērķim, tādējādi nodarot ievērojamu kaitējumu tautsaimniecībai</w:t>
      </w:r>
      <w:r w:rsidR="006168BC" w:rsidRPr="00ED0FB0">
        <w:t>.</w:t>
      </w:r>
      <w:r w:rsidR="00952BCA" w:rsidRPr="00ED0FB0">
        <w:t xml:space="preserve"> </w:t>
      </w:r>
      <w:r w:rsidR="00D27734" w:rsidRPr="00ED0FB0">
        <w:t>Vienlaikus attiecīgajā pētījumā, kā arī Saeimas Juridiskās komisijas Tiesu politikas apakškomisijas 2016.gada 3.jūnija sēdē un Maksātnespējas jautājumu konsulta</w:t>
      </w:r>
      <w:r w:rsidR="005C5BD4">
        <w:t>t</w:t>
      </w:r>
      <w:r w:rsidR="00D27734" w:rsidRPr="00ED0FB0">
        <w:t>īvās padomes 2016.gada 13.jūnija sēdē tika atzīts, ka šobrīd nozarē ir izveidojusies kritisk</w:t>
      </w:r>
      <w:r w:rsidR="003C62FF" w:rsidRPr="00ED0FB0">
        <w:t>a</w:t>
      </w:r>
      <w:r w:rsidR="00D27734" w:rsidRPr="00ED0FB0">
        <w:t xml:space="preserve"> situācija, kurai nepieiciešams rast gan īstermiņa, gan vidēja termi</w:t>
      </w:r>
      <w:r w:rsidR="003C62FF" w:rsidRPr="00ED0FB0">
        <w:t>ņa, gan ilgtermiņa risinājumu. Minētajā pētījumā ir norādīts,</w:t>
      </w:r>
      <w:r w:rsidR="000673C5" w:rsidRPr="00ED0FB0">
        <w:t xml:space="preserve"> ka</w:t>
      </w:r>
      <w:r w:rsidRPr="00ED0FB0">
        <w:t xml:space="preserve"> situācijas uzlabošanai</w:t>
      </w:r>
      <w:r w:rsidR="001C01A1" w:rsidRPr="00ED0FB0">
        <w:t xml:space="preserve"> </w:t>
      </w:r>
      <w:r w:rsidR="000673C5" w:rsidRPr="00ED0FB0">
        <w:t>nepieciešams</w:t>
      </w:r>
      <w:r w:rsidR="001C01A1" w:rsidRPr="00ED0FB0">
        <w:t xml:space="preserve"> </w:t>
      </w:r>
      <w:r w:rsidR="000673C5" w:rsidRPr="00ED0FB0">
        <w:t xml:space="preserve">paaugstināt </w:t>
      </w:r>
      <w:r w:rsidR="001C01A1" w:rsidRPr="00ED0FB0">
        <w:t>Maksātnespējas administrācijas darba efektivit</w:t>
      </w:r>
      <w:r w:rsidR="000673C5" w:rsidRPr="00ED0FB0">
        <w:t>āti</w:t>
      </w:r>
      <w:r w:rsidR="002E2AFA" w:rsidRPr="00ED0FB0">
        <w:t>, tostarp palielinot nodarbināto algu, jo darbinieku motivācija un kompetence ir būtiski</w:t>
      </w:r>
      <w:r w:rsidR="00FE6598" w:rsidRPr="00ED0FB0">
        <w:t xml:space="preserve"> cilvēkresursu kapacitātes spirināšanas </w:t>
      </w:r>
      <w:r w:rsidR="002E2AFA" w:rsidRPr="00ED0FB0">
        <w:t>elementi</w:t>
      </w:r>
      <w:r w:rsidR="00FE6598" w:rsidRPr="00ED0FB0">
        <w:t>.</w:t>
      </w:r>
      <w:r w:rsidR="000673C5" w:rsidRPr="00ED0FB0">
        <w:t xml:space="preserve"> Turpretī šobrīd ir izveidojusies situācija, ka zema atalgojuma dēļ Maksātnespējas administrācija nav spējīga nodrošināt</w:t>
      </w:r>
      <w:r w:rsidR="00463612" w:rsidRPr="00ED0FB0">
        <w:t xml:space="preserve"> kompetentu darbinieku piesaisti un noturēšanu</w:t>
      </w:r>
      <w:r w:rsidR="00B04B47" w:rsidRPr="00ED0FB0">
        <w:t>, kā rezultātā ir apdraudēta maksātnespējas procesa uzraudzības kvalitāte.</w:t>
      </w:r>
      <w:r w:rsidR="00463612" w:rsidRPr="00ED0FB0">
        <w:t xml:space="preserve"> </w:t>
      </w:r>
      <w:r w:rsidR="000673C5" w:rsidRPr="00ED0FB0">
        <w:t xml:space="preserve"> </w:t>
      </w:r>
    </w:p>
    <w:p w14:paraId="45CE7689" w14:textId="77777777" w:rsidR="002E2AFA" w:rsidRPr="00ED0FB0" w:rsidRDefault="00D27734" w:rsidP="0022289F">
      <w:pPr>
        <w:ind w:firstLine="720"/>
        <w:jc w:val="both"/>
      </w:pPr>
      <w:r w:rsidRPr="00ED0FB0">
        <w:t>Ievērojot minēto, šajā ziņojumā ir atspoguļoti īster</w:t>
      </w:r>
      <w:r w:rsidR="00113C0D" w:rsidRPr="00ED0FB0">
        <w:t>mi</w:t>
      </w:r>
      <w:r w:rsidRPr="00ED0FB0">
        <w:t xml:space="preserve">ņa un vidēja termiņa </w:t>
      </w:r>
      <w:r w:rsidR="002E2AFA" w:rsidRPr="00ED0FB0">
        <w:t xml:space="preserve">finanšu </w:t>
      </w:r>
      <w:r w:rsidRPr="00ED0FB0">
        <w:t>risinājumi Maksātnespējas administrācijas kapacit</w:t>
      </w:r>
      <w:r w:rsidR="002E2AFA" w:rsidRPr="00ED0FB0">
        <w:t xml:space="preserve">ātes stiprināšanai </w:t>
      </w:r>
      <w:r w:rsidR="003C62FF" w:rsidRPr="00ED0FB0">
        <w:t>(</w:t>
      </w:r>
      <w:r w:rsidR="002E2AFA" w:rsidRPr="00ED0FB0">
        <w:t>tostarp, nodarbināto algas pa</w:t>
      </w:r>
      <w:r w:rsidR="0074525B" w:rsidRPr="00ED0FB0">
        <w:t>l</w:t>
      </w:r>
      <w:r w:rsidR="002E2AFA" w:rsidRPr="00ED0FB0">
        <w:t>i</w:t>
      </w:r>
      <w:r w:rsidR="0074525B" w:rsidRPr="00ED0FB0">
        <w:t>e</w:t>
      </w:r>
      <w:r w:rsidR="00B04B47" w:rsidRPr="00ED0FB0">
        <w:t>lināšana</w:t>
      </w:r>
      <w:r w:rsidR="002E2AFA" w:rsidRPr="00ED0FB0">
        <w:t xml:space="preserve"> un informācijas sistēmu, kas samazinātu manuālā darba veikšanu un paātrinātu dokumentu apriti un izsekojamību, attīst</w:t>
      </w:r>
      <w:r w:rsidR="00B04B47" w:rsidRPr="00ED0FB0">
        <w:t>ība</w:t>
      </w:r>
      <w:r w:rsidR="003C62FF" w:rsidRPr="00ED0FB0">
        <w:t>)</w:t>
      </w:r>
      <w:r w:rsidR="0074525B" w:rsidRPr="00ED0FB0">
        <w:t xml:space="preserve">, palielinot </w:t>
      </w:r>
      <w:r w:rsidR="00FB0693">
        <w:t xml:space="preserve">valsts </w:t>
      </w:r>
      <w:r w:rsidR="0074525B" w:rsidRPr="00ED0FB0">
        <w:t>budžeta apakšprogrammai 06.03.00 “Maksātnespējas procesu pārvaldība” novirzāmo URVN daļu.</w:t>
      </w:r>
    </w:p>
    <w:p w14:paraId="1CA64C59" w14:textId="77777777" w:rsidR="003C62FF" w:rsidRPr="00ED0FB0" w:rsidRDefault="0074525B" w:rsidP="0074525B">
      <w:pPr>
        <w:tabs>
          <w:tab w:val="left" w:pos="993"/>
        </w:tabs>
        <w:ind w:firstLine="720"/>
        <w:jc w:val="both"/>
      </w:pPr>
      <w:r w:rsidRPr="00ED0FB0">
        <w:t>Lai nodrošinātu, ka jautājums par Maksātnespējas administrācijas kapacitātes stiprināšanu tiek risināts nekavējoties</w:t>
      </w:r>
      <w:r w:rsidR="00113C0D" w:rsidRPr="00ED0FB0">
        <w:t>,</w:t>
      </w:r>
      <w:r w:rsidRPr="00ED0FB0">
        <w:t xml:space="preserve"> nepieciešams pārskatīt informatīvajā ziņojumā par 2016.–2018.gadu </w:t>
      </w:r>
      <w:r w:rsidR="003C62FF" w:rsidRPr="00ED0FB0">
        <w:t xml:space="preserve">paredzēto </w:t>
      </w:r>
      <w:r w:rsidRPr="00ED0FB0">
        <w:t>URVN ieņēmumu procentuālo sadalījumu starp apakšprogrammām 2016.gadā</w:t>
      </w:r>
      <w:r w:rsidR="003C62FF" w:rsidRPr="00ED0FB0">
        <w:t xml:space="preserve">. </w:t>
      </w:r>
    </w:p>
    <w:p w14:paraId="32CBBF5C" w14:textId="77777777" w:rsidR="00C02CAA" w:rsidRPr="00ED0FB0" w:rsidRDefault="003C62FF" w:rsidP="0074525B">
      <w:pPr>
        <w:tabs>
          <w:tab w:val="left" w:pos="993"/>
        </w:tabs>
        <w:ind w:firstLine="720"/>
        <w:jc w:val="both"/>
      </w:pPr>
      <w:r w:rsidRPr="00ED0FB0">
        <w:t xml:space="preserve">Savukārt vidējā termiņā nepieciešams izvērtēt un ieplānot URVN ieņēmumus un izdevumus periodam no 2017. līdz 2019.gadam, </w:t>
      </w:r>
      <w:r w:rsidR="00774176" w:rsidRPr="00ED0FB0">
        <w:t>palielinot</w:t>
      </w:r>
      <w:r w:rsidR="00FB0693">
        <w:t xml:space="preserve"> valsts budžeta</w:t>
      </w:r>
      <w:r w:rsidR="00774176" w:rsidRPr="00ED0FB0">
        <w:t xml:space="preserve"> </w:t>
      </w:r>
      <w:r w:rsidRPr="00ED0FB0">
        <w:t xml:space="preserve">apakšprogrammai </w:t>
      </w:r>
      <w:r w:rsidR="00774176" w:rsidRPr="00ED0FB0">
        <w:t>06.03.00 “Maksātnespējas procesu pārvaldība” novirzāmo URVN daļu.</w:t>
      </w:r>
    </w:p>
    <w:p w14:paraId="4D78FBC5" w14:textId="77777777" w:rsidR="00C02CAA" w:rsidRPr="001E23E1" w:rsidRDefault="00C02CAA" w:rsidP="0022289F">
      <w:pPr>
        <w:ind w:firstLine="720"/>
        <w:jc w:val="center"/>
      </w:pPr>
    </w:p>
    <w:p w14:paraId="355F9C1E" w14:textId="77777777" w:rsidR="00C02CAA" w:rsidRPr="0022289F" w:rsidRDefault="00C02CAA" w:rsidP="0022289F">
      <w:pPr>
        <w:pStyle w:val="Heading1"/>
        <w:numPr>
          <w:ilvl w:val="0"/>
          <w:numId w:val="0"/>
        </w:numPr>
        <w:spacing w:before="0" w:after="0"/>
        <w:ind w:firstLine="720"/>
        <w:jc w:val="both"/>
        <w:rPr>
          <w:rFonts w:ascii="Times New Roman" w:hAnsi="Times New Roman"/>
          <w:sz w:val="24"/>
          <w:szCs w:val="24"/>
        </w:rPr>
      </w:pPr>
      <w:bookmarkStart w:id="13" w:name="_Toc410048271"/>
      <w:bookmarkStart w:id="14" w:name="_Toc414279016"/>
      <w:bookmarkStart w:id="15" w:name="_Toc453263306"/>
      <w:r w:rsidRPr="0022289F">
        <w:rPr>
          <w:rFonts w:ascii="Times New Roman" w:hAnsi="Times New Roman"/>
          <w:sz w:val="24"/>
          <w:szCs w:val="24"/>
        </w:rPr>
        <w:lastRenderedPageBreak/>
        <w:t>II.</w:t>
      </w:r>
      <w:r w:rsidR="00B4185C" w:rsidRPr="0022289F">
        <w:rPr>
          <w:rFonts w:ascii="Times New Roman" w:hAnsi="Times New Roman"/>
          <w:sz w:val="24"/>
          <w:szCs w:val="24"/>
        </w:rPr>
        <w:t xml:space="preserve"> </w:t>
      </w:r>
      <w:r w:rsidRPr="0022289F">
        <w:rPr>
          <w:rFonts w:ascii="Times New Roman" w:hAnsi="Times New Roman"/>
          <w:sz w:val="24"/>
          <w:szCs w:val="24"/>
        </w:rPr>
        <w:t>Pārskats par URVN līdzekļiem 201</w:t>
      </w:r>
      <w:r w:rsidR="008E1D5F" w:rsidRPr="0022289F">
        <w:rPr>
          <w:rFonts w:ascii="Times New Roman" w:hAnsi="Times New Roman"/>
          <w:sz w:val="24"/>
          <w:szCs w:val="24"/>
        </w:rPr>
        <w:t>1</w:t>
      </w:r>
      <w:r w:rsidRPr="0022289F">
        <w:rPr>
          <w:rFonts w:ascii="Times New Roman" w:hAnsi="Times New Roman"/>
          <w:sz w:val="24"/>
          <w:szCs w:val="24"/>
        </w:rPr>
        <w:t>.</w:t>
      </w:r>
      <w:r w:rsidR="009278C7">
        <w:rPr>
          <w:rFonts w:ascii="Times New Roman" w:hAnsi="Times New Roman"/>
          <w:sz w:val="24"/>
          <w:szCs w:val="24"/>
        </w:rPr>
        <w:t>–</w:t>
      </w:r>
      <w:r w:rsidRPr="0022289F">
        <w:rPr>
          <w:rFonts w:ascii="Times New Roman" w:hAnsi="Times New Roman"/>
          <w:sz w:val="24"/>
          <w:szCs w:val="24"/>
        </w:rPr>
        <w:t>201</w:t>
      </w:r>
      <w:r w:rsidR="00B4185C" w:rsidRPr="0022289F">
        <w:rPr>
          <w:rFonts w:ascii="Times New Roman" w:hAnsi="Times New Roman"/>
          <w:sz w:val="24"/>
          <w:szCs w:val="24"/>
        </w:rPr>
        <w:t>5</w:t>
      </w:r>
      <w:r w:rsidRPr="0022289F">
        <w:rPr>
          <w:rFonts w:ascii="Times New Roman" w:hAnsi="Times New Roman"/>
          <w:sz w:val="24"/>
          <w:szCs w:val="24"/>
        </w:rPr>
        <w:t>.gadā</w:t>
      </w:r>
      <w:bookmarkEnd w:id="13"/>
      <w:r w:rsidRPr="0022289F">
        <w:rPr>
          <w:rFonts w:ascii="Times New Roman" w:hAnsi="Times New Roman"/>
          <w:sz w:val="24"/>
          <w:szCs w:val="24"/>
        </w:rPr>
        <w:t xml:space="preserve"> un 201</w:t>
      </w:r>
      <w:r w:rsidR="00B4185C" w:rsidRPr="0022289F">
        <w:rPr>
          <w:rFonts w:ascii="Times New Roman" w:hAnsi="Times New Roman"/>
          <w:sz w:val="24"/>
          <w:szCs w:val="24"/>
        </w:rPr>
        <w:t>6</w:t>
      </w:r>
      <w:r w:rsidRPr="0022289F">
        <w:rPr>
          <w:rFonts w:ascii="Times New Roman" w:hAnsi="Times New Roman"/>
          <w:sz w:val="24"/>
          <w:szCs w:val="24"/>
        </w:rPr>
        <w:t>.gada plānotais budžets</w:t>
      </w:r>
      <w:bookmarkEnd w:id="14"/>
      <w:bookmarkEnd w:id="15"/>
    </w:p>
    <w:p w14:paraId="2FF505CA" w14:textId="77777777" w:rsidR="00C02CAA" w:rsidRPr="0022289F" w:rsidRDefault="00C02CAA" w:rsidP="0022289F">
      <w:pPr>
        <w:ind w:firstLine="720"/>
        <w:jc w:val="both"/>
      </w:pPr>
      <w:r w:rsidRPr="0022289F">
        <w:t xml:space="preserve">Lai </w:t>
      </w:r>
      <w:r w:rsidR="000315AD" w:rsidRPr="0022289F">
        <w:t>dati</w:t>
      </w:r>
      <w:r w:rsidRPr="0022289F">
        <w:t xml:space="preserve"> par </w:t>
      </w:r>
      <w:r w:rsidR="000315AD" w:rsidRPr="0022289F">
        <w:t>URVN līdzekļiem</w:t>
      </w:r>
      <w:r w:rsidRPr="0022289F">
        <w:t xml:space="preserve"> līdz 201</w:t>
      </w:r>
      <w:r w:rsidR="000B1F35" w:rsidRPr="0022289F">
        <w:t>4</w:t>
      </w:r>
      <w:r w:rsidRPr="0022289F">
        <w:t>.gadam būtu salīdzinām</w:t>
      </w:r>
      <w:r w:rsidR="000315AD" w:rsidRPr="0022289F">
        <w:t>i</w:t>
      </w:r>
      <w:r w:rsidRPr="0022289F">
        <w:t xml:space="preserve">, informatīvajā ziņojumā </w:t>
      </w:r>
      <w:r w:rsidR="000315AD" w:rsidRPr="0022289F">
        <w:t xml:space="preserve">dati </w:t>
      </w:r>
      <w:r w:rsidR="00AC1FF0" w:rsidRPr="0022289F">
        <w:t>par URVN līdzekļiem attiecīgajā laika periodā ir</w:t>
      </w:r>
      <w:r w:rsidRPr="0022289F">
        <w:t xml:space="preserve"> konvertēt</w:t>
      </w:r>
      <w:r w:rsidR="00AC1FF0" w:rsidRPr="0022289F">
        <w:t>i</w:t>
      </w:r>
      <w:r w:rsidRPr="0022289F">
        <w:t xml:space="preserve"> </w:t>
      </w:r>
      <w:r w:rsidR="000B1F35" w:rsidRPr="0022289F">
        <w:t xml:space="preserve">no latiem uz </w:t>
      </w:r>
      <w:r w:rsidR="000B1F35" w:rsidRPr="0022289F">
        <w:rPr>
          <w:i/>
        </w:rPr>
        <w:t>euro</w:t>
      </w:r>
      <w:r w:rsidR="000B1F35" w:rsidRPr="0022289F">
        <w:t xml:space="preserve"> </w:t>
      </w:r>
      <w:r w:rsidR="009278C7">
        <w:t>–</w:t>
      </w:r>
      <w:r w:rsidRPr="0022289F">
        <w:t xml:space="preserve"> </w:t>
      </w:r>
      <w:r w:rsidR="00AC1FF0" w:rsidRPr="0022289F">
        <w:t>atbilstoši</w:t>
      </w:r>
      <w:r w:rsidRPr="0022289F">
        <w:t xml:space="preserve"> Eiropas Savienības Padomes noteikt</w:t>
      </w:r>
      <w:r w:rsidR="00AC1FF0" w:rsidRPr="0022289F">
        <w:t>ajam kursam</w:t>
      </w:r>
      <w:r w:rsidRPr="0022289F">
        <w:t xml:space="preserve"> 1 </w:t>
      </w:r>
      <w:r w:rsidRPr="0022289F">
        <w:rPr>
          <w:i/>
        </w:rPr>
        <w:t>euro</w:t>
      </w:r>
      <w:r w:rsidRPr="0022289F">
        <w:t xml:space="preserve"> ir 0,702804 lati.</w:t>
      </w:r>
    </w:p>
    <w:p w14:paraId="65EBD685" w14:textId="77777777" w:rsidR="0022289F" w:rsidRDefault="00C02CAA" w:rsidP="00B04B47">
      <w:pPr>
        <w:ind w:firstLine="720"/>
        <w:jc w:val="both"/>
      </w:pPr>
      <w:r w:rsidRPr="0022289F">
        <w:t>URVN Latvijā tika ieviesta 2003.gad</w:t>
      </w:r>
      <w:r w:rsidR="00814F44" w:rsidRPr="0022289F">
        <w:t>ā</w:t>
      </w:r>
      <w:r w:rsidRPr="0022289F">
        <w:t xml:space="preserve">. Sākot </w:t>
      </w:r>
      <w:r w:rsidR="00814F44" w:rsidRPr="0022289F">
        <w:t xml:space="preserve">ar </w:t>
      </w:r>
      <w:r w:rsidRPr="0022289F">
        <w:t>2006.gad</w:t>
      </w:r>
      <w:r w:rsidR="00814F44" w:rsidRPr="0022289F">
        <w:t>u</w:t>
      </w:r>
      <w:r w:rsidR="003F6CA9" w:rsidRPr="0022289F">
        <w:t xml:space="preserve"> </w:t>
      </w:r>
      <w:r w:rsidRPr="0022289F">
        <w:t>URVN likme ir 0,36</w:t>
      </w:r>
      <w:r w:rsidR="00C52040" w:rsidRPr="0022289F">
        <w:t xml:space="preserve"> </w:t>
      </w:r>
      <w:r w:rsidRPr="0022289F">
        <w:rPr>
          <w:i/>
        </w:rPr>
        <w:t>euro</w:t>
      </w:r>
      <w:r w:rsidRPr="0022289F">
        <w:t xml:space="preserve"> mēnesī par vienu darbinieku. Laika periodā no 201</w:t>
      </w:r>
      <w:r w:rsidR="008E1D5F" w:rsidRPr="0022289F">
        <w:t>1</w:t>
      </w:r>
      <w:r w:rsidRPr="0022289F">
        <w:t>. līdz</w:t>
      </w:r>
      <w:r w:rsidR="00C52040" w:rsidRPr="0022289F">
        <w:t xml:space="preserve"> </w:t>
      </w:r>
      <w:r w:rsidRPr="0022289F">
        <w:t>201</w:t>
      </w:r>
      <w:r w:rsidR="008E1D5F" w:rsidRPr="0022289F">
        <w:t>5</w:t>
      </w:r>
      <w:r w:rsidRPr="0022289F">
        <w:t>.gadam</w:t>
      </w:r>
      <w:r w:rsidR="00C52040" w:rsidRPr="0022289F">
        <w:t xml:space="preserve"> </w:t>
      </w:r>
      <w:r w:rsidRPr="0022289F">
        <w:t>faktiskie URVN ienākumi ir bijuši 14 </w:t>
      </w:r>
      <w:r w:rsidR="008E1D5F" w:rsidRPr="0022289F">
        <w:t xml:space="preserve">793 195 </w:t>
      </w:r>
      <w:r w:rsidRPr="0022289F">
        <w:rPr>
          <w:i/>
        </w:rPr>
        <w:t>euro</w:t>
      </w:r>
      <w:r w:rsidRPr="0022289F">
        <w:t xml:space="preserve"> apmērā (skatīt 1.tabulu).</w:t>
      </w:r>
    </w:p>
    <w:p w14:paraId="239198BD" w14:textId="77777777" w:rsidR="00B04B47" w:rsidRDefault="00B04B47" w:rsidP="00B04B47">
      <w:pPr>
        <w:ind w:firstLine="720"/>
        <w:jc w:val="both"/>
      </w:pPr>
    </w:p>
    <w:p w14:paraId="239D5E22" w14:textId="77777777" w:rsidR="00C02CAA" w:rsidRPr="0022289F" w:rsidRDefault="00C02CAA" w:rsidP="000757B0">
      <w:pPr>
        <w:ind w:firstLine="720"/>
        <w:jc w:val="right"/>
      </w:pPr>
      <w:r w:rsidRPr="0022289F">
        <w:t>1.tabula</w:t>
      </w:r>
    </w:p>
    <w:p w14:paraId="6730FF2A" w14:textId="77777777" w:rsidR="00C02CAA" w:rsidRPr="0022289F" w:rsidRDefault="00C02CAA" w:rsidP="000757B0">
      <w:pPr>
        <w:ind w:firstLine="720"/>
        <w:jc w:val="right"/>
        <w:rPr>
          <w:b/>
        </w:rPr>
      </w:pPr>
    </w:p>
    <w:p w14:paraId="5DB9CCAA" w14:textId="77777777" w:rsidR="00C02CAA" w:rsidRDefault="00C02CAA" w:rsidP="00D454E9">
      <w:pPr>
        <w:spacing w:after="120"/>
        <w:jc w:val="center"/>
        <w:rPr>
          <w:b/>
          <w:sz w:val="28"/>
          <w:szCs w:val="28"/>
        </w:rPr>
      </w:pPr>
      <w:r w:rsidRPr="0022289F">
        <w:rPr>
          <w:b/>
        </w:rPr>
        <w:t>Faktiski iekasētā URVN par laika posmu no 201</w:t>
      </w:r>
      <w:r w:rsidR="008E1D5F" w:rsidRPr="0022289F">
        <w:rPr>
          <w:b/>
        </w:rPr>
        <w:t>1</w:t>
      </w:r>
      <w:r w:rsidRPr="0022289F">
        <w:rPr>
          <w:b/>
        </w:rPr>
        <w:t>.gada līdz 201</w:t>
      </w:r>
      <w:r w:rsidR="008E1D5F" w:rsidRPr="0022289F">
        <w:rPr>
          <w:b/>
        </w:rPr>
        <w:t>5</w:t>
      </w:r>
      <w:r w:rsidRPr="0022289F">
        <w:rPr>
          <w:b/>
        </w:rPr>
        <w:t xml:space="preserve">.gadam, </w:t>
      </w:r>
      <w:r w:rsidRPr="0022289F">
        <w:rPr>
          <w:b/>
          <w:i/>
        </w:rPr>
        <w:t>euro</w:t>
      </w:r>
    </w:p>
    <w:tbl>
      <w:tblPr>
        <w:tblW w:w="9010" w:type="dxa"/>
        <w:tblInd w:w="98" w:type="dxa"/>
        <w:tblLook w:val="0000" w:firstRow="0" w:lastRow="0" w:firstColumn="0" w:lastColumn="0" w:noHBand="0" w:noVBand="0"/>
      </w:tblPr>
      <w:tblGrid>
        <w:gridCol w:w="1360"/>
        <w:gridCol w:w="1710"/>
        <w:gridCol w:w="1800"/>
        <w:gridCol w:w="1800"/>
        <w:gridCol w:w="2340"/>
      </w:tblGrid>
      <w:tr w:rsidR="008E1D5F" w14:paraId="7A7AAC1B" w14:textId="77777777">
        <w:trPr>
          <w:trHeight w:val="1545"/>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ED90DE" w14:textId="77777777" w:rsidR="008E1D5F" w:rsidRDefault="008E1D5F">
            <w:pPr>
              <w:jc w:val="center"/>
              <w:rPr>
                <w:b/>
                <w:bCs/>
                <w:sz w:val="20"/>
                <w:szCs w:val="20"/>
              </w:rPr>
            </w:pPr>
            <w:r>
              <w:rPr>
                <w:b/>
                <w:bCs/>
                <w:sz w:val="20"/>
                <w:szCs w:val="20"/>
              </w:rPr>
              <w:t>Gads</w:t>
            </w:r>
          </w:p>
        </w:tc>
        <w:tc>
          <w:tcPr>
            <w:tcW w:w="1710" w:type="dxa"/>
            <w:tcBorders>
              <w:top w:val="single" w:sz="8" w:space="0" w:color="auto"/>
              <w:left w:val="nil"/>
              <w:bottom w:val="single" w:sz="8" w:space="0" w:color="auto"/>
              <w:right w:val="single" w:sz="8" w:space="0" w:color="auto"/>
            </w:tcBorders>
            <w:shd w:val="clear" w:color="auto" w:fill="auto"/>
            <w:vAlign w:val="bottom"/>
          </w:tcPr>
          <w:p w14:paraId="23DB58D6" w14:textId="77777777" w:rsidR="008E1D5F" w:rsidRDefault="008E1D5F">
            <w:pPr>
              <w:jc w:val="center"/>
              <w:rPr>
                <w:b/>
                <w:bCs/>
                <w:sz w:val="20"/>
                <w:szCs w:val="20"/>
              </w:rPr>
            </w:pPr>
            <w:r>
              <w:rPr>
                <w:b/>
                <w:bCs/>
                <w:sz w:val="20"/>
                <w:szCs w:val="20"/>
              </w:rPr>
              <w:t>URVN likme mēnesī par vienu strādājošo</w:t>
            </w:r>
          </w:p>
        </w:tc>
        <w:tc>
          <w:tcPr>
            <w:tcW w:w="1800" w:type="dxa"/>
            <w:tcBorders>
              <w:top w:val="single" w:sz="8" w:space="0" w:color="auto"/>
              <w:left w:val="nil"/>
              <w:bottom w:val="single" w:sz="8" w:space="0" w:color="auto"/>
              <w:right w:val="single" w:sz="8" w:space="0" w:color="auto"/>
            </w:tcBorders>
            <w:shd w:val="clear" w:color="auto" w:fill="auto"/>
            <w:vAlign w:val="bottom"/>
          </w:tcPr>
          <w:p w14:paraId="30EBC875" w14:textId="77777777" w:rsidR="008E1D5F" w:rsidRDefault="008E1D5F">
            <w:pPr>
              <w:jc w:val="center"/>
              <w:rPr>
                <w:b/>
                <w:bCs/>
                <w:sz w:val="20"/>
                <w:szCs w:val="20"/>
              </w:rPr>
            </w:pPr>
            <w:r>
              <w:rPr>
                <w:b/>
                <w:bCs/>
                <w:sz w:val="20"/>
                <w:szCs w:val="20"/>
              </w:rPr>
              <w:t>Visa faktiski iekasētā URVN attiecīgajā gadā</w:t>
            </w:r>
          </w:p>
        </w:tc>
        <w:tc>
          <w:tcPr>
            <w:tcW w:w="1800" w:type="dxa"/>
            <w:tcBorders>
              <w:top w:val="single" w:sz="8" w:space="0" w:color="auto"/>
              <w:left w:val="nil"/>
              <w:bottom w:val="single" w:sz="8" w:space="0" w:color="auto"/>
              <w:right w:val="single" w:sz="8" w:space="0" w:color="auto"/>
            </w:tcBorders>
            <w:shd w:val="clear" w:color="auto" w:fill="auto"/>
            <w:vAlign w:val="bottom"/>
          </w:tcPr>
          <w:p w14:paraId="60760B9D" w14:textId="77777777" w:rsidR="008E1D5F" w:rsidRDefault="008E1D5F">
            <w:pPr>
              <w:jc w:val="center"/>
              <w:rPr>
                <w:b/>
                <w:bCs/>
                <w:sz w:val="20"/>
                <w:szCs w:val="20"/>
              </w:rPr>
            </w:pPr>
            <w:r>
              <w:rPr>
                <w:b/>
                <w:bCs/>
                <w:sz w:val="20"/>
                <w:szCs w:val="20"/>
              </w:rPr>
              <w:t>DPGF</w:t>
            </w:r>
            <w:r>
              <w:rPr>
                <w:b/>
                <w:bCs/>
                <w:sz w:val="20"/>
                <w:szCs w:val="20"/>
                <w:vertAlign w:val="superscript"/>
              </w:rPr>
              <w:t>*</w:t>
            </w:r>
            <w:r>
              <w:rPr>
                <w:b/>
                <w:bCs/>
                <w:sz w:val="20"/>
                <w:szCs w:val="20"/>
              </w:rPr>
              <w:t xml:space="preserve"> novirzītā URVN daļa attiecīgajā gadā</w:t>
            </w:r>
          </w:p>
        </w:tc>
        <w:tc>
          <w:tcPr>
            <w:tcW w:w="2340" w:type="dxa"/>
            <w:tcBorders>
              <w:top w:val="single" w:sz="8" w:space="0" w:color="auto"/>
              <w:left w:val="nil"/>
              <w:bottom w:val="single" w:sz="8" w:space="0" w:color="auto"/>
              <w:right w:val="single" w:sz="8" w:space="0" w:color="auto"/>
            </w:tcBorders>
            <w:shd w:val="clear" w:color="auto" w:fill="auto"/>
            <w:vAlign w:val="bottom"/>
          </w:tcPr>
          <w:p w14:paraId="2BA88172" w14:textId="77777777" w:rsidR="008E1D5F" w:rsidRDefault="008E1D5F">
            <w:pPr>
              <w:jc w:val="center"/>
              <w:rPr>
                <w:b/>
                <w:bCs/>
                <w:sz w:val="20"/>
                <w:szCs w:val="20"/>
              </w:rPr>
            </w:pPr>
            <w:r>
              <w:rPr>
                <w:b/>
                <w:bCs/>
                <w:sz w:val="20"/>
                <w:szCs w:val="20"/>
              </w:rPr>
              <w:t>% no kopējās iekasētās URVN, kas novirzīts DPGF</w:t>
            </w:r>
          </w:p>
        </w:tc>
      </w:tr>
      <w:tr w:rsidR="008E1D5F" w14:paraId="16659FB4"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4F2982C4" w14:textId="77777777" w:rsidR="008E1D5F" w:rsidRDefault="008E1D5F">
            <w:pPr>
              <w:jc w:val="center"/>
              <w:rPr>
                <w:sz w:val="20"/>
                <w:szCs w:val="20"/>
              </w:rPr>
            </w:pPr>
            <w:r>
              <w:rPr>
                <w:sz w:val="20"/>
                <w:szCs w:val="20"/>
              </w:rPr>
              <w:t>2011.gads</w:t>
            </w:r>
          </w:p>
        </w:tc>
        <w:tc>
          <w:tcPr>
            <w:tcW w:w="1710" w:type="dxa"/>
            <w:tcBorders>
              <w:top w:val="nil"/>
              <w:left w:val="nil"/>
              <w:bottom w:val="single" w:sz="8" w:space="0" w:color="auto"/>
              <w:right w:val="single" w:sz="8" w:space="0" w:color="auto"/>
            </w:tcBorders>
            <w:shd w:val="clear" w:color="auto" w:fill="auto"/>
            <w:noWrap/>
            <w:vAlign w:val="bottom"/>
          </w:tcPr>
          <w:p w14:paraId="068A75E5" w14:textId="77777777" w:rsidR="008E1D5F" w:rsidRDefault="008E1D5F">
            <w:pPr>
              <w:jc w:val="right"/>
              <w:rPr>
                <w:sz w:val="20"/>
                <w:szCs w:val="20"/>
              </w:rPr>
            </w:pPr>
            <w:r>
              <w:rPr>
                <w:sz w:val="20"/>
                <w:szCs w:val="20"/>
              </w:rPr>
              <w:t>0</w:t>
            </w:r>
            <w:r w:rsidR="00037233">
              <w:rPr>
                <w:sz w:val="20"/>
                <w:szCs w:val="20"/>
              </w:rPr>
              <w:t>,</w:t>
            </w:r>
            <w:r>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08D979C2" w14:textId="77777777" w:rsidR="008E1D5F" w:rsidRDefault="008E1D5F">
            <w:pPr>
              <w:jc w:val="right"/>
              <w:rPr>
                <w:sz w:val="20"/>
                <w:szCs w:val="20"/>
              </w:rPr>
            </w:pPr>
            <w:r>
              <w:rPr>
                <w:sz w:val="20"/>
                <w:szCs w:val="20"/>
              </w:rPr>
              <w:t>2 814 467</w:t>
            </w:r>
          </w:p>
        </w:tc>
        <w:tc>
          <w:tcPr>
            <w:tcW w:w="1800" w:type="dxa"/>
            <w:tcBorders>
              <w:top w:val="nil"/>
              <w:left w:val="nil"/>
              <w:bottom w:val="single" w:sz="8" w:space="0" w:color="auto"/>
              <w:right w:val="single" w:sz="8" w:space="0" w:color="auto"/>
            </w:tcBorders>
            <w:shd w:val="clear" w:color="auto" w:fill="auto"/>
            <w:noWrap/>
            <w:vAlign w:val="bottom"/>
          </w:tcPr>
          <w:p w14:paraId="1A20B75C" w14:textId="77777777" w:rsidR="008E1D5F" w:rsidRDefault="008E1D5F">
            <w:pPr>
              <w:jc w:val="right"/>
              <w:rPr>
                <w:sz w:val="20"/>
                <w:szCs w:val="20"/>
              </w:rPr>
            </w:pPr>
            <w:r>
              <w:rPr>
                <w:sz w:val="20"/>
                <w:szCs w:val="20"/>
              </w:rPr>
              <w:t>2 195 285</w:t>
            </w:r>
          </w:p>
        </w:tc>
        <w:tc>
          <w:tcPr>
            <w:tcW w:w="2340" w:type="dxa"/>
            <w:tcBorders>
              <w:top w:val="nil"/>
              <w:left w:val="nil"/>
              <w:bottom w:val="single" w:sz="8" w:space="0" w:color="auto"/>
              <w:right w:val="single" w:sz="8" w:space="0" w:color="auto"/>
            </w:tcBorders>
            <w:shd w:val="clear" w:color="auto" w:fill="auto"/>
            <w:noWrap/>
            <w:vAlign w:val="bottom"/>
          </w:tcPr>
          <w:p w14:paraId="7426FA84" w14:textId="77777777" w:rsidR="008E1D5F" w:rsidRDefault="008E1D5F">
            <w:pPr>
              <w:jc w:val="right"/>
              <w:rPr>
                <w:sz w:val="20"/>
                <w:szCs w:val="20"/>
              </w:rPr>
            </w:pPr>
            <w:r>
              <w:rPr>
                <w:sz w:val="20"/>
                <w:szCs w:val="20"/>
              </w:rPr>
              <w:t>78</w:t>
            </w:r>
          </w:p>
        </w:tc>
      </w:tr>
      <w:tr w:rsidR="008E1D5F" w14:paraId="3C33243B"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53AC78B5" w14:textId="77777777" w:rsidR="008E1D5F" w:rsidRDefault="008E1D5F">
            <w:pPr>
              <w:jc w:val="center"/>
              <w:rPr>
                <w:sz w:val="20"/>
                <w:szCs w:val="20"/>
              </w:rPr>
            </w:pPr>
            <w:r>
              <w:rPr>
                <w:sz w:val="20"/>
                <w:szCs w:val="20"/>
              </w:rPr>
              <w:t>2012.gads</w:t>
            </w:r>
          </w:p>
        </w:tc>
        <w:tc>
          <w:tcPr>
            <w:tcW w:w="1710" w:type="dxa"/>
            <w:tcBorders>
              <w:top w:val="nil"/>
              <w:left w:val="nil"/>
              <w:bottom w:val="single" w:sz="8" w:space="0" w:color="auto"/>
              <w:right w:val="single" w:sz="8" w:space="0" w:color="auto"/>
            </w:tcBorders>
            <w:shd w:val="clear" w:color="auto" w:fill="auto"/>
            <w:noWrap/>
            <w:vAlign w:val="bottom"/>
          </w:tcPr>
          <w:p w14:paraId="1A9F9A10" w14:textId="77777777" w:rsidR="008E1D5F" w:rsidRDefault="008E1D5F">
            <w:pPr>
              <w:jc w:val="right"/>
              <w:rPr>
                <w:sz w:val="20"/>
                <w:szCs w:val="20"/>
              </w:rPr>
            </w:pPr>
            <w:r>
              <w:rPr>
                <w:sz w:val="20"/>
                <w:szCs w:val="20"/>
              </w:rPr>
              <w:t>0</w:t>
            </w:r>
            <w:r w:rsidR="00037233">
              <w:rPr>
                <w:sz w:val="20"/>
                <w:szCs w:val="20"/>
              </w:rPr>
              <w:t>,</w:t>
            </w:r>
            <w:r>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77E61746" w14:textId="77777777" w:rsidR="008E1D5F" w:rsidRDefault="008E1D5F">
            <w:pPr>
              <w:jc w:val="right"/>
              <w:rPr>
                <w:sz w:val="20"/>
                <w:szCs w:val="20"/>
              </w:rPr>
            </w:pPr>
            <w:r>
              <w:rPr>
                <w:sz w:val="20"/>
                <w:szCs w:val="20"/>
              </w:rPr>
              <w:t>2 881 222</w:t>
            </w:r>
          </w:p>
        </w:tc>
        <w:tc>
          <w:tcPr>
            <w:tcW w:w="1800" w:type="dxa"/>
            <w:tcBorders>
              <w:top w:val="nil"/>
              <w:left w:val="nil"/>
              <w:bottom w:val="single" w:sz="8" w:space="0" w:color="auto"/>
              <w:right w:val="single" w:sz="8" w:space="0" w:color="auto"/>
            </w:tcBorders>
            <w:shd w:val="clear" w:color="auto" w:fill="auto"/>
            <w:noWrap/>
            <w:vAlign w:val="bottom"/>
          </w:tcPr>
          <w:p w14:paraId="5117D2DD" w14:textId="77777777" w:rsidR="008E1D5F" w:rsidRDefault="008E1D5F">
            <w:pPr>
              <w:jc w:val="right"/>
              <w:rPr>
                <w:sz w:val="20"/>
                <w:szCs w:val="20"/>
              </w:rPr>
            </w:pPr>
            <w:r>
              <w:rPr>
                <w:sz w:val="20"/>
                <w:szCs w:val="20"/>
              </w:rPr>
              <w:t>2 368 407</w:t>
            </w:r>
          </w:p>
        </w:tc>
        <w:tc>
          <w:tcPr>
            <w:tcW w:w="2340" w:type="dxa"/>
            <w:tcBorders>
              <w:top w:val="nil"/>
              <w:left w:val="nil"/>
              <w:bottom w:val="single" w:sz="8" w:space="0" w:color="auto"/>
              <w:right w:val="single" w:sz="8" w:space="0" w:color="auto"/>
            </w:tcBorders>
            <w:shd w:val="clear" w:color="auto" w:fill="auto"/>
            <w:noWrap/>
            <w:vAlign w:val="bottom"/>
          </w:tcPr>
          <w:p w14:paraId="1A013AA2" w14:textId="77777777" w:rsidR="008E1D5F" w:rsidRDefault="008E1D5F">
            <w:pPr>
              <w:jc w:val="right"/>
              <w:rPr>
                <w:sz w:val="20"/>
                <w:szCs w:val="20"/>
              </w:rPr>
            </w:pPr>
            <w:r>
              <w:rPr>
                <w:sz w:val="20"/>
                <w:szCs w:val="20"/>
              </w:rPr>
              <w:t>82</w:t>
            </w:r>
          </w:p>
        </w:tc>
      </w:tr>
      <w:tr w:rsidR="008E1D5F" w14:paraId="3D52EDB9"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1101BAF0" w14:textId="77777777" w:rsidR="008E1D5F" w:rsidRDefault="008E1D5F">
            <w:pPr>
              <w:jc w:val="center"/>
              <w:rPr>
                <w:sz w:val="20"/>
                <w:szCs w:val="20"/>
              </w:rPr>
            </w:pPr>
            <w:r>
              <w:rPr>
                <w:sz w:val="20"/>
                <w:szCs w:val="20"/>
              </w:rPr>
              <w:t>2013.gads</w:t>
            </w:r>
          </w:p>
        </w:tc>
        <w:tc>
          <w:tcPr>
            <w:tcW w:w="1710" w:type="dxa"/>
            <w:tcBorders>
              <w:top w:val="nil"/>
              <w:left w:val="nil"/>
              <w:bottom w:val="single" w:sz="8" w:space="0" w:color="auto"/>
              <w:right w:val="single" w:sz="8" w:space="0" w:color="auto"/>
            </w:tcBorders>
            <w:shd w:val="clear" w:color="auto" w:fill="auto"/>
            <w:noWrap/>
            <w:vAlign w:val="bottom"/>
          </w:tcPr>
          <w:p w14:paraId="0A6D31F4" w14:textId="77777777" w:rsidR="008E1D5F" w:rsidRDefault="008E1D5F">
            <w:pPr>
              <w:jc w:val="right"/>
              <w:rPr>
                <w:sz w:val="20"/>
                <w:szCs w:val="20"/>
              </w:rPr>
            </w:pPr>
            <w:r>
              <w:rPr>
                <w:sz w:val="20"/>
                <w:szCs w:val="20"/>
              </w:rPr>
              <w:t>0</w:t>
            </w:r>
            <w:r w:rsidR="00037233">
              <w:rPr>
                <w:sz w:val="20"/>
                <w:szCs w:val="20"/>
              </w:rPr>
              <w:t>,</w:t>
            </w:r>
            <w:r>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1A2209ED" w14:textId="77777777" w:rsidR="008E1D5F" w:rsidRDefault="008E1D5F">
            <w:pPr>
              <w:jc w:val="right"/>
              <w:rPr>
                <w:sz w:val="20"/>
                <w:szCs w:val="20"/>
              </w:rPr>
            </w:pPr>
            <w:r>
              <w:rPr>
                <w:sz w:val="20"/>
                <w:szCs w:val="20"/>
              </w:rPr>
              <w:t>3 010 903</w:t>
            </w:r>
          </w:p>
        </w:tc>
        <w:tc>
          <w:tcPr>
            <w:tcW w:w="1800" w:type="dxa"/>
            <w:tcBorders>
              <w:top w:val="nil"/>
              <w:left w:val="nil"/>
              <w:bottom w:val="single" w:sz="8" w:space="0" w:color="auto"/>
              <w:right w:val="single" w:sz="8" w:space="0" w:color="auto"/>
            </w:tcBorders>
            <w:shd w:val="clear" w:color="auto" w:fill="auto"/>
            <w:noWrap/>
            <w:vAlign w:val="bottom"/>
          </w:tcPr>
          <w:p w14:paraId="26E389FD" w14:textId="77777777" w:rsidR="008E1D5F" w:rsidRDefault="008E1D5F">
            <w:pPr>
              <w:jc w:val="right"/>
              <w:rPr>
                <w:sz w:val="20"/>
                <w:szCs w:val="20"/>
              </w:rPr>
            </w:pPr>
            <w:r>
              <w:rPr>
                <w:sz w:val="20"/>
                <w:szCs w:val="20"/>
              </w:rPr>
              <w:t>2 579 773</w:t>
            </w:r>
          </w:p>
        </w:tc>
        <w:tc>
          <w:tcPr>
            <w:tcW w:w="2340" w:type="dxa"/>
            <w:tcBorders>
              <w:top w:val="nil"/>
              <w:left w:val="nil"/>
              <w:bottom w:val="single" w:sz="8" w:space="0" w:color="auto"/>
              <w:right w:val="single" w:sz="8" w:space="0" w:color="auto"/>
            </w:tcBorders>
            <w:shd w:val="clear" w:color="auto" w:fill="auto"/>
            <w:noWrap/>
            <w:vAlign w:val="bottom"/>
          </w:tcPr>
          <w:p w14:paraId="02316DEE" w14:textId="77777777" w:rsidR="008E1D5F" w:rsidRDefault="008E1D5F">
            <w:pPr>
              <w:jc w:val="right"/>
              <w:rPr>
                <w:sz w:val="20"/>
                <w:szCs w:val="20"/>
              </w:rPr>
            </w:pPr>
            <w:r>
              <w:rPr>
                <w:sz w:val="20"/>
                <w:szCs w:val="20"/>
              </w:rPr>
              <w:t>86</w:t>
            </w:r>
          </w:p>
        </w:tc>
      </w:tr>
      <w:tr w:rsidR="008E1D5F" w14:paraId="6C2A191D"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317696C5" w14:textId="77777777" w:rsidR="008E1D5F" w:rsidRDefault="008E1D5F">
            <w:pPr>
              <w:jc w:val="center"/>
              <w:rPr>
                <w:sz w:val="20"/>
                <w:szCs w:val="20"/>
              </w:rPr>
            </w:pPr>
            <w:r>
              <w:rPr>
                <w:sz w:val="20"/>
                <w:szCs w:val="20"/>
              </w:rPr>
              <w:t>2014.gads</w:t>
            </w:r>
          </w:p>
        </w:tc>
        <w:tc>
          <w:tcPr>
            <w:tcW w:w="1710" w:type="dxa"/>
            <w:tcBorders>
              <w:top w:val="nil"/>
              <w:left w:val="nil"/>
              <w:bottom w:val="single" w:sz="8" w:space="0" w:color="auto"/>
              <w:right w:val="single" w:sz="8" w:space="0" w:color="auto"/>
            </w:tcBorders>
            <w:shd w:val="clear" w:color="auto" w:fill="auto"/>
            <w:noWrap/>
            <w:vAlign w:val="bottom"/>
          </w:tcPr>
          <w:p w14:paraId="2D82D5C4" w14:textId="77777777" w:rsidR="008E1D5F" w:rsidRDefault="008E1D5F">
            <w:pPr>
              <w:jc w:val="right"/>
              <w:rPr>
                <w:sz w:val="20"/>
                <w:szCs w:val="20"/>
              </w:rPr>
            </w:pPr>
            <w:r>
              <w:rPr>
                <w:sz w:val="20"/>
                <w:szCs w:val="20"/>
              </w:rPr>
              <w:t>0</w:t>
            </w:r>
            <w:r w:rsidR="00037233">
              <w:rPr>
                <w:sz w:val="20"/>
                <w:szCs w:val="20"/>
              </w:rPr>
              <w:t>,</w:t>
            </w:r>
            <w:r>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0F4F7DA6" w14:textId="77777777" w:rsidR="008E1D5F" w:rsidRDefault="008E1D5F">
            <w:pPr>
              <w:jc w:val="right"/>
              <w:rPr>
                <w:sz w:val="20"/>
                <w:szCs w:val="20"/>
              </w:rPr>
            </w:pPr>
            <w:r>
              <w:rPr>
                <w:sz w:val="20"/>
                <w:szCs w:val="20"/>
              </w:rPr>
              <w:t>3 049 463</w:t>
            </w:r>
          </w:p>
        </w:tc>
        <w:tc>
          <w:tcPr>
            <w:tcW w:w="1800" w:type="dxa"/>
            <w:tcBorders>
              <w:top w:val="nil"/>
              <w:left w:val="nil"/>
              <w:bottom w:val="single" w:sz="8" w:space="0" w:color="auto"/>
              <w:right w:val="single" w:sz="8" w:space="0" w:color="auto"/>
            </w:tcBorders>
            <w:shd w:val="clear" w:color="auto" w:fill="auto"/>
            <w:noWrap/>
            <w:vAlign w:val="bottom"/>
          </w:tcPr>
          <w:p w14:paraId="7793FAAE" w14:textId="77777777" w:rsidR="008E1D5F" w:rsidRDefault="008E1D5F">
            <w:pPr>
              <w:jc w:val="right"/>
              <w:rPr>
                <w:sz w:val="20"/>
                <w:szCs w:val="20"/>
              </w:rPr>
            </w:pPr>
            <w:r>
              <w:rPr>
                <w:sz w:val="20"/>
                <w:szCs w:val="20"/>
              </w:rPr>
              <w:t>2 726 825</w:t>
            </w:r>
          </w:p>
        </w:tc>
        <w:tc>
          <w:tcPr>
            <w:tcW w:w="2340" w:type="dxa"/>
            <w:tcBorders>
              <w:top w:val="nil"/>
              <w:left w:val="nil"/>
              <w:bottom w:val="single" w:sz="8" w:space="0" w:color="auto"/>
              <w:right w:val="single" w:sz="8" w:space="0" w:color="auto"/>
            </w:tcBorders>
            <w:shd w:val="clear" w:color="auto" w:fill="auto"/>
            <w:noWrap/>
            <w:vAlign w:val="bottom"/>
          </w:tcPr>
          <w:p w14:paraId="0304D9F4" w14:textId="77777777" w:rsidR="008E1D5F" w:rsidRDefault="008E1D5F">
            <w:pPr>
              <w:jc w:val="right"/>
              <w:rPr>
                <w:sz w:val="20"/>
                <w:szCs w:val="20"/>
              </w:rPr>
            </w:pPr>
            <w:r>
              <w:rPr>
                <w:sz w:val="20"/>
                <w:szCs w:val="20"/>
              </w:rPr>
              <w:t>89</w:t>
            </w:r>
          </w:p>
        </w:tc>
      </w:tr>
      <w:tr w:rsidR="008E1D5F" w14:paraId="5E73D9B2"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26126593" w14:textId="77777777" w:rsidR="008E1D5F" w:rsidRDefault="008E1D5F">
            <w:pPr>
              <w:jc w:val="center"/>
              <w:rPr>
                <w:sz w:val="20"/>
                <w:szCs w:val="20"/>
              </w:rPr>
            </w:pPr>
            <w:r>
              <w:rPr>
                <w:sz w:val="20"/>
                <w:szCs w:val="20"/>
              </w:rPr>
              <w:t>2015.gads</w:t>
            </w:r>
          </w:p>
        </w:tc>
        <w:tc>
          <w:tcPr>
            <w:tcW w:w="1710" w:type="dxa"/>
            <w:tcBorders>
              <w:top w:val="nil"/>
              <w:left w:val="nil"/>
              <w:bottom w:val="single" w:sz="8" w:space="0" w:color="auto"/>
              <w:right w:val="single" w:sz="8" w:space="0" w:color="auto"/>
            </w:tcBorders>
            <w:shd w:val="clear" w:color="auto" w:fill="auto"/>
            <w:noWrap/>
            <w:vAlign w:val="bottom"/>
          </w:tcPr>
          <w:p w14:paraId="2ACF8282" w14:textId="77777777" w:rsidR="008E1D5F" w:rsidRDefault="008E1D5F">
            <w:pPr>
              <w:jc w:val="right"/>
              <w:rPr>
                <w:sz w:val="20"/>
                <w:szCs w:val="20"/>
              </w:rPr>
            </w:pPr>
            <w:r>
              <w:rPr>
                <w:sz w:val="20"/>
                <w:szCs w:val="20"/>
              </w:rPr>
              <w:t>0</w:t>
            </w:r>
            <w:r w:rsidR="00037233">
              <w:rPr>
                <w:sz w:val="20"/>
                <w:szCs w:val="20"/>
              </w:rPr>
              <w:t>,</w:t>
            </w:r>
            <w:r>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75CE815A" w14:textId="77777777" w:rsidR="008E1D5F" w:rsidRDefault="008E1D5F">
            <w:pPr>
              <w:jc w:val="right"/>
              <w:rPr>
                <w:sz w:val="20"/>
                <w:szCs w:val="20"/>
              </w:rPr>
            </w:pPr>
            <w:r>
              <w:rPr>
                <w:sz w:val="20"/>
                <w:szCs w:val="20"/>
              </w:rPr>
              <w:t>3 037 140</w:t>
            </w:r>
          </w:p>
        </w:tc>
        <w:tc>
          <w:tcPr>
            <w:tcW w:w="1800" w:type="dxa"/>
            <w:tcBorders>
              <w:top w:val="nil"/>
              <w:left w:val="nil"/>
              <w:bottom w:val="single" w:sz="8" w:space="0" w:color="auto"/>
              <w:right w:val="single" w:sz="8" w:space="0" w:color="auto"/>
            </w:tcBorders>
            <w:shd w:val="clear" w:color="auto" w:fill="auto"/>
            <w:noWrap/>
            <w:vAlign w:val="bottom"/>
          </w:tcPr>
          <w:p w14:paraId="0E454885" w14:textId="77777777" w:rsidR="008E1D5F" w:rsidRDefault="008E1D5F">
            <w:pPr>
              <w:jc w:val="right"/>
              <w:rPr>
                <w:sz w:val="20"/>
                <w:szCs w:val="20"/>
              </w:rPr>
            </w:pPr>
            <w:r>
              <w:rPr>
                <w:sz w:val="20"/>
                <w:szCs w:val="20"/>
              </w:rPr>
              <w:t>2 771 876</w:t>
            </w:r>
          </w:p>
        </w:tc>
        <w:tc>
          <w:tcPr>
            <w:tcW w:w="2340" w:type="dxa"/>
            <w:tcBorders>
              <w:top w:val="nil"/>
              <w:left w:val="nil"/>
              <w:bottom w:val="single" w:sz="8" w:space="0" w:color="auto"/>
              <w:right w:val="single" w:sz="8" w:space="0" w:color="auto"/>
            </w:tcBorders>
            <w:shd w:val="clear" w:color="auto" w:fill="auto"/>
            <w:noWrap/>
            <w:vAlign w:val="bottom"/>
          </w:tcPr>
          <w:p w14:paraId="12FBBC4F" w14:textId="77777777" w:rsidR="008E1D5F" w:rsidRDefault="008E1D5F">
            <w:pPr>
              <w:jc w:val="right"/>
              <w:rPr>
                <w:sz w:val="20"/>
                <w:szCs w:val="20"/>
              </w:rPr>
            </w:pPr>
            <w:r>
              <w:rPr>
                <w:sz w:val="20"/>
                <w:szCs w:val="20"/>
              </w:rPr>
              <w:t>91</w:t>
            </w:r>
          </w:p>
        </w:tc>
      </w:tr>
      <w:tr w:rsidR="008E1D5F" w14:paraId="2BA113AA"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1D7367F2" w14:textId="77777777" w:rsidR="008E1D5F" w:rsidRDefault="008E1D5F">
            <w:pPr>
              <w:jc w:val="right"/>
              <w:rPr>
                <w:b/>
                <w:bCs/>
                <w:sz w:val="20"/>
                <w:szCs w:val="20"/>
              </w:rPr>
            </w:pPr>
            <w:r>
              <w:rPr>
                <w:b/>
                <w:bCs/>
                <w:sz w:val="20"/>
                <w:szCs w:val="20"/>
              </w:rPr>
              <w:t>Kopā</w:t>
            </w:r>
          </w:p>
        </w:tc>
        <w:tc>
          <w:tcPr>
            <w:tcW w:w="1710" w:type="dxa"/>
            <w:tcBorders>
              <w:top w:val="nil"/>
              <w:left w:val="nil"/>
              <w:bottom w:val="single" w:sz="8" w:space="0" w:color="auto"/>
              <w:right w:val="single" w:sz="8" w:space="0" w:color="auto"/>
            </w:tcBorders>
            <w:shd w:val="clear" w:color="auto" w:fill="auto"/>
            <w:noWrap/>
            <w:vAlign w:val="bottom"/>
          </w:tcPr>
          <w:p w14:paraId="6F676011" w14:textId="77777777" w:rsidR="008E1D5F" w:rsidRDefault="008E1D5F">
            <w:pPr>
              <w:rPr>
                <w:b/>
                <w:bCs/>
                <w:sz w:val="20"/>
                <w:szCs w:val="20"/>
              </w:rPr>
            </w:pPr>
            <w:r>
              <w:rPr>
                <w:b/>
                <w:bCs/>
                <w:sz w:val="20"/>
                <w:szCs w:val="20"/>
              </w:rPr>
              <w:t> </w:t>
            </w:r>
          </w:p>
        </w:tc>
        <w:tc>
          <w:tcPr>
            <w:tcW w:w="1800" w:type="dxa"/>
            <w:tcBorders>
              <w:top w:val="nil"/>
              <w:left w:val="nil"/>
              <w:bottom w:val="single" w:sz="8" w:space="0" w:color="auto"/>
              <w:right w:val="single" w:sz="8" w:space="0" w:color="auto"/>
            </w:tcBorders>
            <w:shd w:val="clear" w:color="auto" w:fill="auto"/>
            <w:noWrap/>
            <w:vAlign w:val="bottom"/>
          </w:tcPr>
          <w:p w14:paraId="6BDD4C02" w14:textId="77777777" w:rsidR="008E1D5F" w:rsidRDefault="008E1D5F">
            <w:pPr>
              <w:jc w:val="right"/>
              <w:rPr>
                <w:b/>
                <w:bCs/>
                <w:sz w:val="20"/>
                <w:szCs w:val="20"/>
              </w:rPr>
            </w:pPr>
            <w:r>
              <w:rPr>
                <w:b/>
                <w:bCs/>
                <w:sz w:val="20"/>
                <w:szCs w:val="20"/>
              </w:rPr>
              <w:t>14 793 195</w:t>
            </w:r>
          </w:p>
        </w:tc>
        <w:tc>
          <w:tcPr>
            <w:tcW w:w="1800" w:type="dxa"/>
            <w:tcBorders>
              <w:top w:val="nil"/>
              <w:left w:val="nil"/>
              <w:bottom w:val="single" w:sz="8" w:space="0" w:color="auto"/>
              <w:right w:val="single" w:sz="8" w:space="0" w:color="auto"/>
            </w:tcBorders>
            <w:shd w:val="clear" w:color="auto" w:fill="auto"/>
            <w:noWrap/>
            <w:vAlign w:val="bottom"/>
          </w:tcPr>
          <w:p w14:paraId="23B9CEDB" w14:textId="77777777" w:rsidR="008E1D5F" w:rsidRDefault="008E1D5F">
            <w:pPr>
              <w:jc w:val="right"/>
              <w:rPr>
                <w:b/>
                <w:bCs/>
                <w:sz w:val="20"/>
                <w:szCs w:val="20"/>
              </w:rPr>
            </w:pPr>
            <w:r>
              <w:rPr>
                <w:b/>
                <w:bCs/>
                <w:sz w:val="20"/>
                <w:szCs w:val="20"/>
              </w:rPr>
              <w:t>12 642 166</w:t>
            </w:r>
          </w:p>
        </w:tc>
        <w:tc>
          <w:tcPr>
            <w:tcW w:w="2340" w:type="dxa"/>
            <w:tcBorders>
              <w:top w:val="nil"/>
              <w:left w:val="nil"/>
              <w:bottom w:val="single" w:sz="8" w:space="0" w:color="auto"/>
              <w:right w:val="single" w:sz="8" w:space="0" w:color="auto"/>
            </w:tcBorders>
            <w:shd w:val="clear" w:color="auto" w:fill="auto"/>
            <w:noWrap/>
            <w:vAlign w:val="bottom"/>
          </w:tcPr>
          <w:p w14:paraId="2A417137" w14:textId="77777777" w:rsidR="008E1D5F" w:rsidRDefault="008E1D5F">
            <w:pPr>
              <w:jc w:val="right"/>
              <w:rPr>
                <w:sz w:val="20"/>
                <w:szCs w:val="20"/>
              </w:rPr>
            </w:pPr>
            <w:r>
              <w:rPr>
                <w:sz w:val="20"/>
                <w:szCs w:val="20"/>
              </w:rPr>
              <w:t>85</w:t>
            </w:r>
          </w:p>
        </w:tc>
      </w:tr>
    </w:tbl>
    <w:p w14:paraId="5D7C1B93" w14:textId="77777777" w:rsidR="0022289F" w:rsidRDefault="0022289F" w:rsidP="00603C44">
      <w:pPr>
        <w:jc w:val="both"/>
        <w:rPr>
          <w:sz w:val="20"/>
          <w:szCs w:val="20"/>
        </w:rPr>
      </w:pPr>
    </w:p>
    <w:p w14:paraId="7D3AC6CB" w14:textId="77777777" w:rsidR="00C02CAA" w:rsidRPr="001E23E1" w:rsidRDefault="00C02CAA" w:rsidP="00603C44">
      <w:pPr>
        <w:jc w:val="both"/>
        <w:rPr>
          <w:sz w:val="20"/>
          <w:szCs w:val="20"/>
        </w:rPr>
      </w:pPr>
      <w:r w:rsidRPr="001E23E1">
        <w:rPr>
          <w:sz w:val="20"/>
          <w:szCs w:val="20"/>
        </w:rPr>
        <w:t>DPGF* – darbinieku prasījumu garantiju fonds</w:t>
      </w:r>
    </w:p>
    <w:p w14:paraId="52E94544" w14:textId="77777777" w:rsidR="00C02CAA" w:rsidRPr="001E23E1" w:rsidRDefault="00C02CAA" w:rsidP="00603C44">
      <w:pPr>
        <w:jc w:val="both"/>
        <w:rPr>
          <w:sz w:val="20"/>
          <w:szCs w:val="20"/>
        </w:rPr>
      </w:pPr>
    </w:p>
    <w:p w14:paraId="5A1334B7" w14:textId="77777777" w:rsidR="00C02CAA" w:rsidRPr="0022289F" w:rsidRDefault="00C02CAA" w:rsidP="00BA17D8">
      <w:pPr>
        <w:ind w:firstLine="720"/>
        <w:jc w:val="both"/>
      </w:pPr>
      <w:r w:rsidRPr="0022289F">
        <w:t>Norādītajā laika periodā no kopējās iekasētās URVN darbinieku prasījumu garantiju fondam tikuši novirzīti 12 </w:t>
      </w:r>
      <w:r w:rsidR="00BB2CDA" w:rsidRPr="0022289F">
        <w:t xml:space="preserve">642 166 </w:t>
      </w:r>
      <w:r w:rsidRPr="0022289F">
        <w:rPr>
          <w:i/>
        </w:rPr>
        <w:t>euro</w:t>
      </w:r>
      <w:r w:rsidRPr="0022289F">
        <w:t xml:space="preserve"> jeb</w:t>
      </w:r>
      <w:r w:rsidR="00BB2CDA" w:rsidRPr="0022289F">
        <w:t xml:space="preserve"> </w:t>
      </w:r>
      <w:r w:rsidRPr="0022289F">
        <w:t>8</w:t>
      </w:r>
      <w:r w:rsidR="00BB2CDA" w:rsidRPr="0022289F">
        <w:t>5</w:t>
      </w:r>
      <w:r w:rsidRPr="0022289F">
        <w:t>%.</w:t>
      </w:r>
    </w:p>
    <w:p w14:paraId="2DDA49B7" w14:textId="77777777" w:rsidR="00C02CAA" w:rsidRPr="0022289F" w:rsidRDefault="00C02CAA" w:rsidP="00BA17D8">
      <w:pPr>
        <w:ind w:firstLine="720"/>
        <w:jc w:val="both"/>
      </w:pPr>
      <w:r w:rsidRPr="0022289F">
        <w:t xml:space="preserve">2.tabulā atspoguļots, kā veidojušies </w:t>
      </w:r>
      <w:r w:rsidR="00814F44" w:rsidRPr="0022289F">
        <w:t xml:space="preserve">darbinieku prasījumu garantiju fonda </w:t>
      </w:r>
      <w:r w:rsidRPr="0022289F">
        <w:t>ieņēmumi (URVN</w:t>
      </w:r>
      <w:r w:rsidR="00FE28CA" w:rsidRPr="0022289F">
        <w:t xml:space="preserve"> </w:t>
      </w:r>
      <w:r w:rsidRPr="0022289F">
        <w:t>un atgūtie līdzekļi)</w:t>
      </w:r>
      <w:r w:rsidR="00814F44" w:rsidRPr="0022289F">
        <w:t xml:space="preserve"> un</w:t>
      </w:r>
      <w:r w:rsidRPr="0022289F">
        <w:t xml:space="preserve"> izdevumi</w:t>
      </w:r>
      <w:r w:rsidR="00814F44" w:rsidRPr="0022289F">
        <w:t>,</w:t>
      </w:r>
      <w:r w:rsidRPr="0022289F">
        <w:t xml:space="preserve"> </w:t>
      </w:r>
      <w:r w:rsidR="00814F44" w:rsidRPr="0022289F">
        <w:t xml:space="preserve">kā arī darbinieku prasījumu garantiju fonda </w:t>
      </w:r>
      <w:r w:rsidRPr="0022289F">
        <w:t>atlikum</w:t>
      </w:r>
      <w:r w:rsidR="00814F44" w:rsidRPr="0022289F">
        <w:t>s</w:t>
      </w:r>
      <w:r w:rsidRPr="0022289F">
        <w:t xml:space="preserve"> gadu griezumā.</w:t>
      </w:r>
    </w:p>
    <w:p w14:paraId="2A4AC746" w14:textId="77777777" w:rsidR="00C02CAA" w:rsidRPr="0022289F" w:rsidRDefault="00C02CAA" w:rsidP="001B7860">
      <w:pPr>
        <w:jc w:val="right"/>
        <w:rPr>
          <w:b/>
        </w:rPr>
      </w:pPr>
    </w:p>
    <w:p w14:paraId="11CBA173" w14:textId="77777777" w:rsidR="00C02CAA" w:rsidRPr="0022289F" w:rsidRDefault="00C02CAA" w:rsidP="001B7860">
      <w:pPr>
        <w:jc w:val="right"/>
      </w:pPr>
      <w:r w:rsidRPr="0022289F">
        <w:t>2.tabula</w:t>
      </w:r>
    </w:p>
    <w:p w14:paraId="4BFD6429" w14:textId="77777777" w:rsidR="00C02CAA" w:rsidRPr="0022289F" w:rsidRDefault="00C02CAA" w:rsidP="001B7860">
      <w:pPr>
        <w:jc w:val="right"/>
        <w:rPr>
          <w:b/>
        </w:rPr>
      </w:pPr>
    </w:p>
    <w:p w14:paraId="52F85940" w14:textId="77777777" w:rsidR="00C02CAA" w:rsidRPr="001E23E1" w:rsidRDefault="00C02CAA" w:rsidP="00D454E9">
      <w:pPr>
        <w:spacing w:after="120"/>
        <w:jc w:val="center"/>
        <w:rPr>
          <w:b/>
        </w:rPr>
      </w:pPr>
      <w:r w:rsidRPr="0022289F">
        <w:rPr>
          <w:b/>
        </w:rPr>
        <w:t>Darbinieku prasījumu garantiju fonda ieņēmumi, izdevumi, atlikums un URVN apmērs par laika posmu no 201</w:t>
      </w:r>
      <w:r w:rsidR="00FE28CA" w:rsidRPr="0022289F">
        <w:rPr>
          <w:b/>
        </w:rPr>
        <w:t>1</w:t>
      </w:r>
      <w:r w:rsidRPr="0022289F">
        <w:rPr>
          <w:b/>
        </w:rPr>
        <w:t>.gada līdz 201</w:t>
      </w:r>
      <w:r w:rsidR="00FE28CA" w:rsidRPr="0022289F">
        <w:rPr>
          <w:b/>
        </w:rPr>
        <w:t>5</w:t>
      </w:r>
      <w:r w:rsidRPr="0022289F">
        <w:rPr>
          <w:b/>
        </w:rPr>
        <w:t xml:space="preserve">.gadam, </w:t>
      </w:r>
      <w:r w:rsidRPr="0022289F">
        <w:rPr>
          <w:b/>
          <w:i/>
        </w:rPr>
        <w:t>euro</w:t>
      </w:r>
    </w:p>
    <w:tbl>
      <w:tblPr>
        <w:tblW w:w="9015" w:type="dxa"/>
        <w:tblLook w:val="0000" w:firstRow="0" w:lastRow="0" w:firstColumn="0" w:lastColumn="0" w:noHBand="0" w:noVBand="0"/>
      </w:tblPr>
      <w:tblGrid>
        <w:gridCol w:w="1033"/>
        <w:gridCol w:w="1502"/>
        <w:gridCol w:w="1260"/>
        <w:gridCol w:w="1080"/>
        <w:gridCol w:w="4140"/>
      </w:tblGrid>
      <w:tr w:rsidR="00C02CAA" w:rsidRPr="001E23E1" w14:paraId="29052A0B" w14:textId="77777777">
        <w:trPr>
          <w:trHeight w:val="668"/>
        </w:trPr>
        <w:tc>
          <w:tcPr>
            <w:tcW w:w="1033" w:type="dxa"/>
            <w:tcBorders>
              <w:top w:val="single" w:sz="8" w:space="0" w:color="auto"/>
              <w:left w:val="single" w:sz="8" w:space="0" w:color="auto"/>
              <w:bottom w:val="single" w:sz="8" w:space="0" w:color="auto"/>
              <w:right w:val="single" w:sz="8" w:space="0" w:color="auto"/>
            </w:tcBorders>
          </w:tcPr>
          <w:p w14:paraId="1C84DCB8" w14:textId="77777777" w:rsidR="00C02CAA" w:rsidRPr="001E23E1" w:rsidRDefault="00C02CAA">
            <w:pPr>
              <w:jc w:val="center"/>
              <w:rPr>
                <w:b/>
                <w:bCs/>
                <w:sz w:val="20"/>
                <w:szCs w:val="20"/>
              </w:rPr>
            </w:pPr>
            <w:r w:rsidRPr="001E23E1">
              <w:rPr>
                <w:b/>
                <w:bCs/>
                <w:sz w:val="20"/>
                <w:szCs w:val="20"/>
              </w:rPr>
              <w:t>Gads</w:t>
            </w:r>
          </w:p>
        </w:tc>
        <w:tc>
          <w:tcPr>
            <w:tcW w:w="1502" w:type="dxa"/>
            <w:tcBorders>
              <w:top w:val="single" w:sz="8" w:space="0" w:color="auto"/>
              <w:left w:val="nil"/>
              <w:bottom w:val="single" w:sz="8" w:space="0" w:color="auto"/>
              <w:right w:val="single" w:sz="8" w:space="0" w:color="auto"/>
            </w:tcBorders>
          </w:tcPr>
          <w:p w14:paraId="30144AF9" w14:textId="77777777" w:rsidR="00C02CAA" w:rsidRPr="001E23E1" w:rsidRDefault="00C02CAA">
            <w:pPr>
              <w:jc w:val="center"/>
              <w:rPr>
                <w:b/>
                <w:bCs/>
                <w:sz w:val="20"/>
                <w:szCs w:val="20"/>
              </w:rPr>
            </w:pPr>
            <w:r w:rsidRPr="001E23E1">
              <w:rPr>
                <w:b/>
                <w:bCs/>
                <w:sz w:val="20"/>
                <w:szCs w:val="20"/>
              </w:rPr>
              <w:t xml:space="preserve">Ieņēmumi </w:t>
            </w:r>
            <w:r w:rsidRPr="001E23E1">
              <w:rPr>
                <w:b/>
                <w:bCs/>
                <w:sz w:val="16"/>
                <w:szCs w:val="16"/>
              </w:rPr>
              <w:t>(URVN daļa un atgūtie līdz.)</w:t>
            </w:r>
          </w:p>
        </w:tc>
        <w:tc>
          <w:tcPr>
            <w:tcW w:w="1260" w:type="dxa"/>
            <w:tcBorders>
              <w:top w:val="single" w:sz="8" w:space="0" w:color="auto"/>
              <w:left w:val="nil"/>
              <w:bottom w:val="single" w:sz="8" w:space="0" w:color="auto"/>
              <w:right w:val="single" w:sz="8" w:space="0" w:color="auto"/>
            </w:tcBorders>
          </w:tcPr>
          <w:p w14:paraId="158CFAEA" w14:textId="77777777" w:rsidR="00C02CAA" w:rsidRPr="001E23E1" w:rsidRDefault="00C02CAA">
            <w:pPr>
              <w:jc w:val="center"/>
              <w:rPr>
                <w:b/>
                <w:bCs/>
                <w:sz w:val="20"/>
                <w:szCs w:val="20"/>
              </w:rPr>
            </w:pPr>
            <w:r w:rsidRPr="001E23E1">
              <w:rPr>
                <w:b/>
                <w:bCs/>
                <w:sz w:val="20"/>
                <w:szCs w:val="20"/>
              </w:rPr>
              <w:t>Izdevumi</w:t>
            </w:r>
          </w:p>
        </w:tc>
        <w:tc>
          <w:tcPr>
            <w:tcW w:w="1080" w:type="dxa"/>
            <w:tcBorders>
              <w:top w:val="single" w:sz="8" w:space="0" w:color="auto"/>
              <w:left w:val="nil"/>
              <w:bottom w:val="single" w:sz="8" w:space="0" w:color="auto"/>
              <w:right w:val="single" w:sz="8" w:space="0" w:color="auto"/>
            </w:tcBorders>
          </w:tcPr>
          <w:p w14:paraId="5C82AF49" w14:textId="77777777" w:rsidR="00C02CAA" w:rsidRPr="001E23E1" w:rsidRDefault="00C02CAA">
            <w:pPr>
              <w:jc w:val="center"/>
              <w:rPr>
                <w:b/>
                <w:bCs/>
                <w:sz w:val="20"/>
                <w:szCs w:val="20"/>
              </w:rPr>
            </w:pPr>
            <w:r w:rsidRPr="001E23E1">
              <w:rPr>
                <w:b/>
                <w:bCs/>
                <w:sz w:val="20"/>
                <w:szCs w:val="20"/>
              </w:rPr>
              <w:t>Atlikums</w:t>
            </w:r>
          </w:p>
        </w:tc>
        <w:tc>
          <w:tcPr>
            <w:tcW w:w="4140" w:type="dxa"/>
            <w:tcBorders>
              <w:top w:val="single" w:sz="8" w:space="0" w:color="auto"/>
              <w:left w:val="nil"/>
              <w:bottom w:val="single" w:sz="8" w:space="0" w:color="auto"/>
              <w:right w:val="single" w:sz="8" w:space="0" w:color="auto"/>
            </w:tcBorders>
          </w:tcPr>
          <w:p w14:paraId="1C8B59EA" w14:textId="77777777" w:rsidR="00C02CAA" w:rsidRPr="001E23E1" w:rsidRDefault="00C02CAA">
            <w:pPr>
              <w:jc w:val="center"/>
              <w:rPr>
                <w:b/>
                <w:bCs/>
                <w:sz w:val="20"/>
                <w:szCs w:val="20"/>
              </w:rPr>
            </w:pPr>
            <w:r>
              <w:rPr>
                <w:b/>
                <w:bCs/>
                <w:sz w:val="20"/>
                <w:szCs w:val="20"/>
              </w:rPr>
              <w:t>URVN</w:t>
            </w:r>
            <w:r w:rsidRPr="001E23E1">
              <w:rPr>
                <w:b/>
                <w:bCs/>
                <w:sz w:val="20"/>
                <w:szCs w:val="20"/>
              </w:rPr>
              <w:t>apmērs un tā normatīvais pamatojums</w:t>
            </w:r>
          </w:p>
        </w:tc>
      </w:tr>
      <w:tr w:rsidR="00C02CAA" w:rsidRPr="001E23E1" w14:paraId="0EA39162" w14:textId="77777777">
        <w:trPr>
          <w:trHeight w:val="270"/>
        </w:trPr>
        <w:tc>
          <w:tcPr>
            <w:tcW w:w="1033" w:type="dxa"/>
            <w:tcBorders>
              <w:top w:val="nil"/>
              <w:left w:val="single" w:sz="8" w:space="0" w:color="auto"/>
              <w:bottom w:val="single" w:sz="8" w:space="0" w:color="auto"/>
              <w:right w:val="single" w:sz="8" w:space="0" w:color="auto"/>
            </w:tcBorders>
          </w:tcPr>
          <w:p w14:paraId="462ABF23" w14:textId="77777777" w:rsidR="00C02CAA" w:rsidRPr="001E23E1" w:rsidRDefault="00C02CAA">
            <w:pPr>
              <w:rPr>
                <w:sz w:val="20"/>
                <w:szCs w:val="20"/>
              </w:rPr>
            </w:pPr>
            <w:r w:rsidRPr="001E23E1">
              <w:rPr>
                <w:sz w:val="20"/>
                <w:szCs w:val="20"/>
              </w:rPr>
              <w:t>2011.gads</w:t>
            </w:r>
          </w:p>
        </w:tc>
        <w:tc>
          <w:tcPr>
            <w:tcW w:w="1502" w:type="dxa"/>
            <w:tcBorders>
              <w:top w:val="nil"/>
              <w:left w:val="nil"/>
              <w:bottom w:val="single" w:sz="8" w:space="0" w:color="auto"/>
              <w:right w:val="single" w:sz="8" w:space="0" w:color="auto"/>
            </w:tcBorders>
          </w:tcPr>
          <w:p w14:paraId="70F38511" w14:textId="77777777" w:rsidR="00C02CAA" w:rsidRPr="001E23E1" w:rsidRDefault="00C02CAA">
            <w:pPr>
              <w:jc w:val="right"/>
              <w:rPr>
                <w:sz w:val="20"/>
                <w:szCs w:val="20"/>
              </w:rPr>
            </w:pPr>
            <w:r w:rsidRPr="001E23E1">
              <w:rPr>
                <w:sz w:val="20"/>
                <w:szCs w:val="20"/>
              </w:rPr>
              <w:t>2</w:t>
            </w:r>
            <w:r w:rsidR="00FE28CA">
              <w:rPr>
                <w:sz w:val="20"/>
                <w:szCs w:val="20"/>
              </w:rPr>
              <w:t> </w:t>
            </w:r>
            <w:r w:rsidRPr="001E23E1">
              <w:rPr>
                <w:sz w:val="20"/>
                <w:szCs w:val="20"/>
              </w:rPr>
              <w:t>345</w:t>
            </w:r>
            <w:r w:rsidR="00FE28CA">
              <w:rPr>
                <w:sz w:val="20"/>
                <w:szCs w:val="20"/>
              </w:rPr>
              <w:t xml:space="preserve"> </w:t>
            </w:r>
            <w:r w:rsidRPr="001E23E1">
              <w:rPr>
                <w:sz w:val="20"/>
                <w:szCs w:val="20"/>
              </w:rPr>
              <w:t>436</w:t>
            </w:r>
          </w:p>
        </w:tc>
        <w:tc>
          <w:tcPr>
            <w:tcW w:w="1260" w:type="dxa"/>
            <w:tcBorders>
              <w:top w:val="nil"/>
              <w:left w:val="nil"/>
              <w:bottom w:val="single" w:sz="8" w:space="0" w:color="auto"/>
              <w:right w:val="single" w:sz="8" w:space="0" w:color="auto"/>
            </w:tcBorders>
          </w:tcPr>
          <w:p w14:paraId="4944D7D5" w14:textId="77777777" w:rsidR="00C02CAA" w:rsidRPr="001E23E1" w:rsidRDefault="00C02CAA">
            <w:pPr>
              <w:jc w:val="right"/>
              <w:rPr>
                <w:sz w:val="20"/>
                <w:szCs w:val="20"/>
              </w:rPr>
            </w:pPr>
            <w:r w:rsidRPr="001E23E1">
              <w:rPr>
                <w:sz w:val="20"/>
                <w:szCs w:val="20"/>
              </w:rPr>
              <w:t>2</w:t>
            </w:r>
            <w:r w:rsidR="00203CB2">
              <w:rPr>
                <w:sz w:val="20"/>
                <w:szCs w:val="20"/>
              </w:rPr>
              <w:t> </w:t>
            </w:r>
            <w:r w:rsidRPr="001E23E1">
              <w:rPr>
                <w:sz w:val="20"/>
                <w:szCs w:val="20"/>
              </w:rPr>
              <w:t>360</w:t>
            </w:r>
            <w:r w:rsidR="00203CB2">
              <w:rPr>
                <w:sz w:val="20"/>
                <w:szCs w:val="20"/>
              </w:rPr>
              <w:t xml:space="preserve"> </w:t>
            </w:r>
            <w:r w:rsidRPr="001E23E1">
              <w:rPr>
                <w:sz w:val="20"/>
                <w:szCs w:val="20"/>
              </w:rPr>
              <w:t>680</w:t>
            </w:r>
          </w:p>
        </w:tc>
        <w:tc>
          <w:tcPr>
            <w:tcW w:w="1080" w:type="dxa"/>
            <w:tcBorders>
              <w:top w:val="nil"/>
              <w:left w:val="nil"/>
              <w:bottom w:val="single" w:sz="8" w:space="0" w:color="auto"/>
              <w:right w:val="single" w:sz="8" w:space="0" w:color="auto"/>
            </w:tcBorders>
          </w:tcPr>
          <w:p w14:paraId="7118ED8D" w14:textId="77777777" w:rsidR="00C02CAA" w:rsidRPr="001E23E1" w:rsidRDefault="00C02CAA">
            <w:pPr>
              <w:jc w:val="right"/>
              <w:rPr>
                <w:sz w:val="20"/>
                <w:szCs w:val="20"/>
              </w:rPr>
            </w:pPr>
            <w:r w:rsidRPr="001E23E1">
              <w:rPr>
                <w:sz w:val="20"/>
                <w:szCs w:val="20"/>
              </w:rPr>
              <w:t>624 601</w:t>
            </w:r>
          </w:p>
        </w:tc>
        <w:tc>
          <w:tcPr>
            <w:tcW w:w="4140" w:type="dxa"/>
            <w:tcBorders>
              <w:top w:val="nil"/>
              <w:left w:val="nil"/>
              <w:bottom w:val="single" w:sz="8" w:space="0" w:color="auto"/>
              <w:right w:val="single" w:sz="8" w:space="0" w:color="auto"/>
            </w:tcBorders>
          </w:tcPr>
          <w:p w14:paraId="645E3EFE" w14:textId="77777777" w:rsidR="00C02CAA" w:rsidRPr="001E23E1" w:rsidRDefault="00C02CAA" w:rsidP="0030497D">
            <w:pPr>
              <w:jc w:val="both"/>
              <w:rPr>
                <w:sz w:val="20"/>
                <w:szCs w:val="20"/>
              </w:rPr>
            </w:pPr>
            <w:r w:rsidRPr="001E23E1">
              <w:rPr>
                <w:sz w:val="20"/>
                <w:szCs w:val="20"/>
              </w:rPr>
              <w:t>0,36</w:t>
            </w:r>
            <w:r w:rsidR="009278C7">
              <w:rPr>
                <w:sz w:val="20"/>
                <w:szCs w:val="20"/>
              </w:rPr>
              <w:t> </w:t>
            </w:r>
            <w:r w:rsidR="009278C7">
              <w:rPr>
                <w:i/>
                <w:sz w:val="20"/>
                <w:szCs w:val="20"/>
              </w:rPr>
              <w:t>euro</w:t>
            </w:r>
            <w:r w:rsidRPr="001E23E1">
              <w:rPr>
                <w:sz w:val="20"/>
                <w:szCs w:val="20"/>
              </w:rPr>
              <w:t>; M</w:t>
            </w:r>
            <w:r w:rsidR="0030497D">
              <w:rPr>
                <w:sz w:val="20"/>
                <w:szCs w:val="20"/>
              </w:rPr>
              <w:t>inistru kabineta</w:t>
            </w:r>
            <w:r w:rsidR="00B97506">
              <w:rPr>
                <w:sz w:val="20"/>
                <w:szCs w:val="20"/>
              </w:rPr>
              <w:t xml:space="preserve"> </w:t>
            </w:r>
            <w:r w:rsidRPr="001E23E1">
              <w:rPr>
                <w:sz w:val="20"/>
                <w:szCs w:val="20"/>
              </w:rPr>
              <w:t>2010.</w:t>
            </w:r>
            <w:r w:rsidR="0030497D">
              <w:rPr>
                <w:sz w:val="20"/>
                <w:szCs w:val="20"/>
              </w:rPr>
              <w:t>gada 28.decembra</w:t>
            </w:r>
            <w:r w:rsidRPr="001E23E1">
              <w:rPr>
                <w:sz w:val="20"/>
                <w:szCs w:val="20"/>
              </w:rPr>
              <w:t xml:space="preserve"> not</w:t>
            </w:r>
            <w:r w:rsidR="009C5A1F">
              <w:rPr>
                <w:sz w:val="20"/>
                <w:szCs w:val="20"/>
              </w:rPr>
              <w:t>eikumi</w:t>
            </w:r>
            <w:r w:rsidRPr="001E23E1">
              <w:rPr>
                <w:sz w:val="20"/>
                <w:szCs w:val="20"/>
              </w:rPr>
              <w:t xml:space="preserve"> Nr.1212</w:t>
            </w:r>
          </w:p>
        </w:tc>
      </w:tr>
      <w:tr w:rsidR="00C02CAA" w:rsidRPr="001E23E1" w14:paraId="37EECFA8" w14:textId="77777777">
        <w:trPr>
          <w:trHeight w:val="270"/>
        </w:trPr>
        <w:tc>
          <w:tcPr>
            <w:tcW w:w="1033" w:type="dxa"/>
            <w:tcBorders>
              <w:top w:val="nil"/>
              <w:left w:val="single" w:sz="8" w:space="0" w:color="auto"/>
              <w:bottom w:val="single" w:sz="8" w:space="0" w:color="auto"/>
              <w:right w:val="single" w:sz="8" w:space="0" w:color="auto"/>
            </w:tcBorders>
          </w:tcPr>
          <w:p w14:paraId="340D20CA" w14:textId="77777777" w:rsidR="00C02CAA" w:rsidRPr="001E23E1" w:rsidRDefault="00C02CAA">
            <w:pPr>
              <w:rPr>
                <w:sz w:val="20"/>
                <w:szCs w:val="20"/>
              </w:rPr>
            </w:pPr>
            <w:r w:rsidRPr="001E23E1">
              <w:rPr>
                <w:sz w:val="20"/>
                <w:szCs w:val="20"/>
              </w:rPr>
              <w:t>2012.gads</w:t>
            </w:r>
          </w:p>
        </w:tc>
        <w:tc>
          <w:tcPr>
            <w:tcW w:w="1502" w:type="dxa"/>
            <w:tcBorders>
              <w:top w:val="nil"/>
              <w:left w:val="nil"/>
              <w:bottom w:val="single" w:sz="8" w:space="0" w:color="auto"/>
              <w:right w:val="single" w:sz="8" w:space="0" w:color="auto"/>
            </w:tcBorders>
          </w:tcPr>
          <w:p w14:paraId="76AFA418" w14:textId="77777777" w:rsidR="00C02CAA" w:rsidRPr="001E23E1" w:rsidRDefault="00C02CAA">
            <w:pPr>
              <w:jc w:val="right"/>
              <w:rPr>
                <w:sz w:val="20"/>
                <w:szCs w:val="20"/>
              </w:rPr>
            </w:pPr>
            <w:r w:rsidRPr="001E23E1">
              <w:rPr>
                <w:sz w:val="20"/>
                <w:szCs w:val="20"/>
              </w:rPr>
              <w:t>2</w:t>
            </w:r>
            <w:r w:rsidR="00FE28CA">
              <w:rPr>
                <w:sz w:val="20"/>
                <w:szCs w:val="20"/>
              </w:rPr>
              <w:t> </w:t>
            </w:r>
            <w:r w:rsidRPr="001E23E1">
              <w:rPr>
                <w:sz w:val="20"/>
                <w:szCs w:val="20"/>
              </w:rPr>
              <w:t>561</w:t>
            </w:r>
            <w:r w:rsidR="00FE28CA">
              <w:rPr>
                <w:sz w:val="20"/>
                <w:szCs w:val="20"/>
              </w:rPr>
              <w:t xml:space="preserve"> </w:t>
            </w:r>
            <w:r w:rsidRPr="001E23E1">
              <w:rPr>
                <w:sz w:val="20"/>
                <w:szCs w:val="20"/>
              </w:rPr>
              <w:t>074</w:t>
            </w:r>
          </w:p>
        </w:tc>
        <w:tc>
          <w:tcPr>
            <w:tcW w:w="1260" w:type="dxa"/>
            <w:tcBorders>
              <w:top w:val="nil"/>
              <w:left w:val="nil"/>
              <w:bottom w:val="single" w:sz="8" w:space="0" w:color="auto"/>
              <w:right w:val="single" w:sz="8" w:space="0" w:color="auto"/>
            </w:tcBorders>
          </w:tcPr>
          <w:p w14:paraId="4B372E32" w14:textId="77777777" w:rsidR="00C02CAA" w:rsidRPr="001E23E1" w:rsidRDefault="00C02CAA">
            <w:pPr>
              <w:jc w:val="right"/>
              <w:rPr>
                <w:sz w:val="20"/>
                <w:szCs w:val="20"/>
              </w:rPr>
            </w:pPr>
            <w:r w:rsidRPr="001E23E1">
              <w:rPr>
                <w:sz w:val="20"/>
                <w:szCs w:val="20"/>
              </w:rPr>
              <w:t>1</w:t>
            </w:r>
            <w:r w:rsidR="00203CB2">
              <w:rPr>
                <w:sz w:val="20"/>
                <w:szCs w:val="20"/>
              </w:rPr>
              <w:t> </w:t>
            </w:r>
            <w:r w:rsidRPr="001E23E1">
              <w:rPr>
                <w:sz w:val="20"/>
                <w:szCs w:val="20"/>
              </w:rPr>
              <w:t>454</w:t>
            </w:r>
            <w:r w:rsidR="00203CB2">
              <w:rPr>
                <w:sz w:val="20"/>
                <w:szCs w:val="20"/>
              </w:rPr>
              <w:t xml:space="preserve"> </w:t>
            </w:r>
            <w:r w:rsidRPr="001E23E1">
              <w:rPr>
                <w:sz w:val="20"/>
                <w:szCs w:val="20"/>
              </w:rPr>
              <w:t>248</w:t>
            </w:r>
          </w:p>
        </w:tc>
        <w:tc>
          <w:tcPr>
            <w:tcW w:w="1080" w:type="dxa"/>
            <w:tcBorders>
              <w:top w:val="nil"/>
              <w:left w:val="nil"/>
              <w:bottom w:val="single" w:sz="8" w:space="0" w:color="auto"/>
              <w:right w:val="single" w:sz="8" w:space="0" w:color="auto"/>
            </w:tcBorders>
          </w:tcPr>
          <w:p w14:paraId="1EF40936" w14:textId="77777777" w:rsidR="00C02CAA" w:rsidRPr="001E23E1" w:rsidRDefault="00C02CAA">
            <w:pPr>
              <w:jc w:val="right"/>
              <w:rPr>
                <w:sz w:val="20"/>
                <w:szCs w:val="20"/>
              </w:rPr>
            </w:pPr>
            <w:r w:rsidRPr="001E23E1">
              <w:rPr>
                <w:sz w:val="20"/>
                <w:szCs w:val="20"/>
              </w:rPr>
              <w:t>1 731 427</w:t>
            </w:r>
          </w:p>
        </w:tc>
        <w:tc>
          <w:tcPr>
            <w:tcW w:w="4140" w:type="dxa"/>
            <w:tcBorders>
              <w:top w:val="nil"/>
              <w:left w:val="nil"/>
              <w:bottom w:val="single" w:sz="8" w:space="0" w:color="auto"/>
              <w:right w:val="single" w:sz="8" w:space="0" w:color="auto"/>
            </w:tcBorders>
          </w:tcPr>
          <w:p w14:paraId="13121651" w14:textId="77777777" w:rsidR="00C02CAA" w:rsidRPr="001E23E1" w:rsidRDefault="00C02CAA" w:rsidP="0030497D">
            <w:pPr>
              <w:jc w:val="both"/>
              <w:rPr>
                <w:sz w:val="20"/>
                <w:szCs w:val="20"/>
              </w:rPr>
            </w:pPr>
            <w:r w:rsidRPr="001E23E1">
              <w:rPr>
                <w:sz w:val="20"/>
                <w:szCs w:val="20"/>
              </w:rPr>
              <w:t>0,36</w:t>
            </w:r>
            <w:r w:rsidR="009278C7">
              <w:rPr>
                <w:sz w:val="20"/>
                <w:szCs w:val="20"/>
              </w:rPr>
              <w:t> </w:t>
            </w:r>
            <w:r w:rsidR="009278C7">
              <w:rPr>
                <w:i/>
                <w:sz w:val="20"/>
                <w:szCs w:val="20"/>
              </w:rPr>
              <w:t>euro</w:t>
            </w:r>
            <w:r w:rsidRPr="001E23E1">
              <w:rPr>
                <w:sz w:val="20"/>
                <w:szCs w:val="20"/>
              </w:rPr>
              <w:t>; M</w:t>
            </w:r>
            <w:r w:rsidR="0030497D">
              <w:rPr>
                <w:sz w:val="20"/>
                <w:szCs w:val="20"/>
              </w:rPr>
              <w:t xml:space="preserve">inistru </w:t>
            </w:r>
            <w:r w:rsidR="00270CA6">
              <w:rPr>
                <w:sz w:val="20"/>
                <w:szCs w:val="20"/>
              </w:rPr>
              <w:t>k</w:t>
            </w:r>
            <w:r w:rsidR="0030497D">
              <w:rPr>
                <w:sz w:val="20"/>
                <w:szCs w:val="20"/>
              </w:rPr>
              <w:t>abineta</w:t>
            </w:r>
            <w:r w:rsidRPr="001E23E1">
              <w:rPr>
                <w:sz w:val="20"/>
                <w:szCs w:val="20"/>
              </w:rPr>
              <w:t xml:space="preserve"> 2011.</w:t>
            </w:r>
            <w:r w:rsidR="0030497D">
              <w:rPr>
                <w:sz w:val="20"/>
                <w:szCs w:val="20"/>
              </w:rPr>
              <w:t>gada 22.novembra</w:t>
            </w:r>
            <w:r w:rsidRPr="001E23E1">
              <w:rPr>
                <w:sz w:val="20"/>
                <w:szCs w:val="20"/>
              </w:rPr>
              <w:t xml:space="preserve"> not</w:t>
            </w:r>
            <w:r w:rsidR="009C5A1F">
              <w:rPr>
                <w:sz w:val="20"/>
                <w:szCs w:val="20"/>
              </w:rPr>
              <w:t>eikumi</w:t>
            </w:r>
            <w:r w:rsidRPr="001E23E1">
              <w:rPr>
                <w:sz w:val="20"/>
                <w:szCs w:val="20"/>
              </w:rPr>
              <w:t xml:space="preserve"> Nr.901</w:t>
            </w:r>
          </w:p>
        </w:tc>
      </w:tr>
      <w:tr w:rsidR="00C02CAA" w:rsidRPr="001E23E1" w14:paraId="377AD7DD" w14:textId="77777777">
        <w:trPr>
          <w:trHeight w:val="270"/>
        </w:trPr>
        <w:tc>
          <w:tcPr>
            <w:tcW w:w="1033" w:type="dxa"/>
            <w:tcBorders>
              <w:top w:val="nil"/>
              <w:left w:val="single" w:sz="8" w:space="0" w:color="auto"/>
              <w:bottom w:val="single" w:sz="8" w:space="0" w:color="auto"/>
              <w:right w:val="single" w:sz="8" w:space="0" w:color="auto"/>
            </w:tcBorders>
          </w:tcPr>
          <w:p w14:paraId="5FA13CA4" w14:textId="77777777" w:rsidR="00C02CAA" w:rsidRPr="001E23E1" w:rsidRDefault="00C02CAA" w:rsidP="00E01286">
            <w:pPr>
              <w:rPr>
                <w:sz w:val="20"/>
                <w:szCs w:val="20"/>
              </w:rPr>
            </w:pPr>
            <w:r w:rsidRPr="001E23E1">
              <w:rPr>
                <w:sz w:val="20"/>
                <w:szCs w:val="20"/>
              </w:rPr>
              <w:t>2013.gads</w:t>
            </w:r>
          </w:p>
        </w:tc>
        <w:tc>
          <w:tcPr>
            <w:tcW w:w="1502" w:type="dxa"/>
            <w:tcBorders>
              <w:top w:val="nil"/>
              <w:left w:val="nil"/>
              <w:bottom w:val="single" w:sz="8" w:space="0" w:color="auto"/>
              <w:right w:val="single" w:sz="8" w:space="0" w:color="auto"/>
            </w:tcBorders>
          </w:tcPr>
          <w:p w14:paraId="47A04CE6" w14:textId="77777777" w:rsidR="00C02CAA" w:rsidRPr="001E23E1" w:rsidRDefault="00C02CAA" w:rsidP="00E01286">
            <w:pPr>
              <w:jc w:val="right"/>
              <w:rPr>
                <w:sz w:val="20"/>
                <w:szCs w:val="20"/>
              </w:rPr>
            </w:pPr>
            <w:r w:rsidRPr="001E23E1">
              <w:rPr>
                <w:sz w:val="20"/>
                <w:szCs w:val="20"/>
              </w:rPr>
              <w:t>3 355 307</w:t>
            </w:r>
          </w:p>
        </w:tc>
        <w:tc>
          <w:tcPr>
            <w:tcW w:w="1260" w:type="dxa"/>
            <w:tcBorders>
              <w:top w:val="nil"/>
              <w:left w:val="nil"/>
              <w:bottom w:val="single" w:sz="8" w:space="0" w:color="auto"/>
              <w:right w:val="single" w:sz="8" w:space="0" w:color="auto"/>
            </w:tcBorders>
          </w:tcPr>
          <w:p w14:paraId="6BB2EDEA" w14:textId="77777777" w:rsidR="00C02CAA" w:rsidRPr="001E23E1" w:rsidRDefault="00C02CAA" w:rsidP="00E01286">
            <w:pPr>
              <w:jc w:val="right"/>
              <w:rPr>
                <w:sz w:val="20"/>
                <w:szCs w:val="20"/>
              </w:rPr>
            </w:pPr>
            <w:r w:rsidRPr="001E23E1">
              <w:rPr>
                <w:sz w:val="20"/>
                <w:szCs w:val="20"/>
              </w:rPr>
              <w:t>1 049 522</w:t>
            </w:r>
          </w:p>
        </w:tc>
        <w:tc>
          <w:tcPr>
            <w:tcW w:w="1080" w:type="dxa"/>
            <w:tcBorders>
              <w:top w:val="nil"/>
              <w:left w:val="nil"/>
              <w:bottom w:val="single" w:sz="8" w:space="0" w:color="auto"/>
              <w:right w:val="single" w:sz="8" w:space="0" w:color="auto"/>
            </w:tcBorders>
          </w:tcPr>
          <w:p w14:paraId="4A5E2C75" w14:textId="77777777" w:rsidR="00C02CAA" w:rsidRPr="001E23E1" w:rsidRDefault="00C02CAA" w:rsidP="00E01286">
            <w:pPr>
              <w:jc w:val="right"/>
              <w:rPr>
                <w:sz w:val="20"/>
                <w:szCs w:val="20"/>
              </w:rPr>
            </w:pPr>
            <w:r w:rsidRPr="001E23E1">
              <w:rPr>
                <w:sz w:val="20"/>
                <w:szCs w:val="20"/>
              </w:rPr>
              <w:t>4 037 212</w:t>
            </w:r>
          </w:p>
        </w:tc>
        <w:tc>
          <w:tcPr>
            <w:tcW w:w="4140" w:type="dxa"/>
            <w:tcBorders>
              <w:top w:val="nil"/>
              <w:left w:val="nil"/>
              <w:bottom w:val="single" w:sz="8" w:space="0" w:color="auto"/>
              <w:right w:val="single" w:sz="8" w:space="0" w:color="auto"/>
            </w:tcBorders>
          </w:tcPr>
          <w:p w14:paraId="19DC677D" w14:textId="77777777" w:rsidR="00C02CAA" w:rsidRPr="001E23E1" w:rsidRDefault="00C02CAA" w:rsidP="0030497D">
            <w:pPr>
              <w:jc w:val="both"/>
              <w:rPr>
                <w:sz w:val="20"/>
                <w:szCs w:val="20"/>
              </w:rPr>
            </w:pPr>
            <w:r w:rsidRPr="001E23E1">
              <w:rPr>
                <w:sz w:val="20"/>
                <w:szCs w:val="20"/>
              </w:rPr>
              <w:t>0,36</w:t>
            </w:r>
            <w:r w:rsidR="009278C7">
              <w:rPr>
                <w:sz w:val="20"/>
                <w:szCs w:val="20"/>
              </w:rPr>
              <w:t> </w:t>
            </w:r>
            <w:r w:rsidR="009278C7">
              <w:rPr>
                <w:i/>
                <w:sz w:val="20"/>
                <w:szCs w:val="20"/>
              </w:rPr>
              <w:t>euro</w:t>
            </w:r>
            <w:r w:rsidRPr="001E23E1">
              <w:rPr>
                <w:sz w:val="20"/>
                <w:szCs w:val="20"/>
              </w:rPr>
              <w:t>; M</w:t>
            </w:r>
            <w:r w:rsidR="0030497D">
              <w:rPr>
                <w:sz w:val="20"/>
                <w:szCs w:val="20"/>
              </w:rPr>
              <w:t xml:space="preserve">inistru </w:t>
            </w:r>
            <w:r w:rsidR="00270CA6">
              <w:rPr>
                <w:sz w:val="20"/>
                <w:szCs w:val="20"/>
              </w:rPr>
              <w:t>k</w:t>
            </w:r>
            <w:r w:rsidR="0030497D">
              <w:rPr>
                <w:sz w:val="20"/>
                <w:szCs w:val="20"/>
              </w:rPr>
              <w:t>abineta</w:t>
            </w:r>
            <w:r w:rsidRPr="001E23E1">
              <w:rPr>
                <w:sz w:val="20"/>
                <w:szCs w:val="20"/>
              </w:rPr>
              <w:t xml:space="preserve"> 2012.</w:t>
            </w:r>
            <w:r w:rsidR="0030497D">
              <w:rPr>
                <w:sz w:val="20"/>
                <w:szCs w:val="20"/>
              </w:rPr>
              <w:t>gada 9.oktobra</w:t>
            </w:r>
            <w:r w:rsidRPr="001E23E1">
              <w:rPr>
                <w:sz w:val="20"/>
                <w:szCs w:val="20"/>
              </w:rPr>
              <w:t xml:space="preserve"> not</w:t>
            </w:r>
            <w:r w:rsidR="009C5A1F">
              <w:rPr>
                <w:sz w:val="20"/>
                <w:szCs w:val="20"/>
              </w:rPr>
              <w:t>eikumi</w:t>
            </w:r>
            <w:r w:rsidRPr="001E23E1">
              <w:rPr>
                <w:sz w:val="20"/>
                <w:szCs w:val="20"/>
              </w:rPr>
              <w:t xml:space="preserve"> Nr.700</w:t>
            </w:r>
          </w:p>
        </w:tc>
      </w:tr>
      <w:tr w:rsidR="00C02CAA" w:rsidRPr="001E23E1" w14:paraId="78788589" w14:textId="77777777">
        <w:trPr>
          <w:trHeight w:val="270"/>
        </w:trPr>
        <w:tc>
          <w:tcPr>
            <w:tcW w:w="1033" w:type="dxa"/>
            <w:tcBorders>
              <w:top w:val="single" w:sz="8" w:space="0" w:color="auto"/>
              <w:left w:val="single" w:sz="8" w:space="0" w:color="auto"/>
              <w:bottom w:val="single" w:sz="8" w:space="0" w:color="auto"/>
              <w:right w:val="single" w:sz="8" w:space="0" w:color="auto"/>
            </w:tcBorders>
          </w:tcPr>
          <w:p w14:paraId="7EB80EA0" w14:textId="77777777" w:rsidR="00C02CAA" w:rsidRPr="001E23E1" w:rsidRDefault="00C02CAA">
            <w:pPr>
              <w:rPr>
                <w:sz w:val="20"/>
                <w:szCs w:val="20"/>
              </w:rPr>
            </w:pPr>
            <w:r w:rsidRPr="001E23E1">
              <w:rPr>
                <w:sz w:val="20"/>
                <w:szCs w:val="20"/>
              </w:rPr>
              <w:t>2014.gads</w:t>
            </w:r>
          </w:p>
        </w:tc>
        <w:tc>
          <w:tcPr>
            <w:tcW w:w="1502" w:type="dxa"/>
            <w:tcBorders>
              <w:top w:val="single" w:sz="8" w:space="0" w:color="auto"/>
              <w:left w:val="nil"/>
              <w:bottom w:val="single" w:sz="8" w:space="0" w:color="auto"/>
              <w:right w:val="single" w:sz="8" w:space="0" w:color="auto"/>
            </w:tcBorders>
          </w:tcPr>
          <w:p w14:paraId="76160C0E" w14:textId="77777777" w:rsidR="00C02CAA" w:rsidRPr="001E23E1" w:rsidRDefault="00C02CAA">
            <w:pPr>
              <w:jc w:val="right"/>
              <w:rPr>
                <w:sz w:val="20"/>
                <w:szCs w:val="20"/>
                <w:highlight w:val="green"/>
              </w:rPr>
            </w:pPr>
            <w:r w:rsidRPr="001E23E1">
              <w:rPr>
                <w:sz w:val="20"/>
                <w:szCs w:val="20"/>
              </w:rPr>
              <w:t>2 887 597</w:t>
            </w:r>
          </w:p>
        </w:tc>
        <w:tc>
          <w:tcPr>
            <w:tcW w:w="1260" w:type="dxa"/>
            <w:tcBorders>
              <w:top w:val="single" w:sz="8" w:space="0" w:color="auto"/>
              <w:left w:val="nil"/>
              <w:bottom w:val="single" w:sz="8" w:space="0" w:color="auto"/>
              <w:right w:val="single" w:sz="8" w:space="0" w:color="auto"/>
            </w:tcBorders>
          </w:tcPr>
          <w:p w14:paraId="46D95FB5" w14:textId="77777777" w:rsidR="00C02CAA" w:rsidRPr="001E23E1" w:rsidRDefault="00C02CAA" w:rsidP="00F16336">
            <w:pPr>
              <w:jc w:val="right"/>
              <w:rPr>
                <w:sz w:val="20"/>
                <w:szCs w:val="20"/>
                <w:highlight w:val="green"/>
              </w:rPr>
            </w:pPr>
            <w:r w:rsidRPr="001E23E1">
              <w:rPr>
                <w:sz w:val="20"/>
                <w:szCs w:val="20"/>
              </w:rPr>
              <w:t>2 663 441</w:t>
            </w:r>
          </w:p>
        </w:tc>
        <w:tc>
          <w:tcPr>
            <w:tcW w:w="1080" w:type="dxa"/>
            <w:tcBorders>
              <w:top w:val="single" w:sz="8" w:space="0" w:color="auto"/>
              <w:left w:val="nil"/>
              <w:bottom w:val="single" w:sz="8" w:space="0" w:color="auto"/>
              <w:right w:val="single" w:sz="8" w:space="0" w:color="auto"/>
            </w:tcBorders>
          </w:tcPr>
          <w:p w14:paraId="1C398EE1" w14:textId="77777777" w:rsidR="00C02CAA" w:rsidRPr="001E23E1" w:rsidRDefault="00C02CAA">
            <w:pPr>
              <w:jc w:val="right"/>
              <w:rPr>
                <w:sz w:val="20"/>
                <w:szCs w:val="20"/>
                <w:highlight w:val="green"/>
              </w:rPr>
            </w:pPr>
            <w:r w:rsidRPr="001E23E1">
              <w:rPr>
                <w:sz w:val="20"/>
                <w:szCs w:val="20"/>
              </w:rPr>
              <w:t>4 261 36</w:t>
            </w:r>
            <w:r w:rsidR="008830BB">
              <w:rPr>
                <w:sz w:val="20"/>
                <w:szCs w:val="20"/>
              </w:rPr>
              <w:t>9</w:t>
            </w:r>
          </w:p>
        </w:tc>
        <w:tc>
          <w:tcPr>
            <w:tcW w:w="4140" w:type="dxa"/>
            <w:tcBorders>
              <w:top w:val="single" w:sz="8" w:space="0" w:color="auto"/>
              <w:left w:val="nil"/>
              <w:bottom w:val="single" w:sz="8" w:space="0" w:color="auto"/>
              <w:right w:val="single" w:sz="8" w:space="0" w:color="auto"/>
            </w:tcBorders>
          </w:tcPr>
          <w:p w14:paraId="672B0555" w14:textId="77777777" w:rsidR="00C02CAA" w:rsidRPr="001E23E1" w:rsidRDefault="00C02CAA" w:rsidP="0030497D">
            <w:pPr>
              <w:jc w:val="both"/>
              <w:rPr>
                <w:sz w:val="20"/>
                <w:szCs w:val="20"/>
              </w:rPr>
            </w:pPr>
            <w:r w:rsidRPr="001E23E1">
              <w:rPr>
                <w:sz w:val="20"/>
                <w:szCs w:val="20"/>
              </w:rPr>
              <w:t>0,36</w:t>
            </w:r>
            <w:r w:rsidR="009278C7">
              <w:rPr>
                <w:sz w:val="20"/>
                <w:szCs w:val="20"/>
              </w:rPr>
              <w:t> </w:t>
            </w:r>
            <w:r w:rsidR="009278C7">
              <w:rPr>
                <w:i/>
                <w:sz w:val="20"/>
                <w:szCs w:val="20"/>
              </w:rPr>
              <w:t>euro</w:t>
            </w:r>
            <w:r w:rsidRPr="001E23E1">
              <w:rPr>
                <w:sz w:val="20"/>
                <w:szCs w:val="20"/>
              </w:rPr>
              <w:t>; M</w:t>
            </w:r>
            <w:r w:rsidR="0030497D">
              <w:rPr>
                <w:sz w:val="20"/>
                <w:szCs w:val="20"/>
              </w:rPr>
              <w:t xml:space="preserve">inistru </w:t>
            </w:r>
            <w:r w:rsidR="00270CA6">
              <w:rPr>
                <w:sz w:val="20"/>
                <w:szCs w:val="20"/>
              </w:rPr>
              <w:t>k</w:t>
            </w:r>
            <w:r w:rsidR="0030497D">
              <w:rPr>
                <w:sz w:val="20"/>
                <w:szCs w:val="20"/>
              </w:rPr>
              <w:t>abineta</w:t>
            </w:r>
            <w:r w:rsidRPr="001E23E1">
              <w:rPr>
                <w:sz w:val="20"/>
                <w:szCs w:val="20"/>
              </w:rPr>
              <w:t xml:space="preserve"> 2013.</w:t>
            </w:r>
            <w:r w:rsidR="0030497D">
              <w:rPr>
                <w:sz w:val="20"/>
                <w:szCs w:val="20"/>
              </w:rPr>
              <w:t>gada 5.novembra</w:t>
            </w:r>
            <w:r w:rsidRPr="001E23E1">
              <w:rPr>
                <w:sz w:val="20"/>
                <w:szCs w:val="20"/>
              </w:rPr>
              <w:t xml:space="preserve"> not</w:t>
            </w:r>
            <w:r w:rsidR="009C5A1F">
              <w:rPr>
                <w:sz w:val="20"/>
                <w:szCs w:val="20"/>
              </w:rPr>
              <w:t>eikumi</w:t>
            </w:r>
            <w:r w:rsidRPr="001E23E1">
              <w:rPr>
                <w:sz w:val="20"/>
                <w:szCs w:val="20"/>
              </w:rPr>
              <w:t xml:space="preserve"> Nr.1249</w:t>
            </w:r>
          </w:p>
        </w:tc>
      </w:tr>
      <w:tr w:rsidR="00FE28CA" w:rsidRPr="008830BB" w14:paraId="20B84690" w14:textId="77777777">
        <w:trPr>
          <w:trHeight w:val="270"/>
        </w:trPr>
        <w:tc>
          <w:tcPr>
            <w:tcW w:w="1033" w:type="dxa"/>
            <w:tcBorders>
              <w:top w:val="single" w:sz="8" w:space="0" w:color="auto"/>
              <w:left w:val="single" w:sz="8" w:space="0" w:color="auto"/>
              <w:bottom w:val="single" w:sz="8" w:space="0" w:color="auto"/>
              <w:right w:val="single" w:sz="8" w:space="0" w:color="auto"/>
            </w:tcBorders>
          </w:tcPr>
          <w:p w14:paraId="42A7DC0B" w14:textId="77777777" w:rsidR="00FE28CA" w:rsidRPr="001E23E1" w:rsidRDefault="008830BB">
            <w:pPr>
              <w:rPr>
                <w:sz w:val="20"/>
                <w:szCs w:val="20"/>
              </w:rPr>
            </w:pPr>
            <w:r>
              <w:rPr>
                <w:sz w:val="20"/>
                <w:szCs w:val="20"/>
              </w:rPr>
              <w:t>2015.gads</w:t>
            </w:r>
          </w:p>
        </w:tc>
        <w:tc>
          <w:tcPr>
            <w:tcW w:w="1502" w:type="dxa"/>
            <w:tcBorders>
              <w:top w:val="single" w:sz="8" w:space="0" w:color="auto"/>
              <w:left w:val="nil"/>
              <w:bottom w:val="single" w:sz="8" w:space="0" w:color="auto"/>
              <w:right w:val="single" w:sz="8" w:space="0" w:color="auto"/>
            </w:tcBorders>
          </w:tcPr>
          <w:p w14:paraId="3CB174D4" w14:textId="77777777" w:rsidR="00FE28CA" w:rsidRPr="001E23E1" w:rsidRDefault="008830BB" w:rsidP="008830BB">
            <w:pPr>
              <w:jc w:val="right"/>
              <w:rPr>
                <w:sz w:val="20"/>
                <w:szCs w:val="20"/>
              </w:rPr>
            </w:pPr>
            <w:r>
              <w:rPr>
                <w:sz w:val="20"/>
                <w:szCs w:val="20"/>
              </w:rPr>
              <w:t>4 212 428</w:t>
            </w:r>
          </w:p>
        </w:tc>
        <w:tc>
          <w:tcPr>
            <w:tcW w:w="1260" w:type="dxa"/>
            <w:tcBorders>
              <w:top w:val="single" w:sz="8" w:space="0" w:color="auto"/>
              <w:left w:val="nil"/>
              <w:bottom w:val="single" w:sz="8" w:space="0" w:color="auto"/>
              <w:right w:val="single" w:sz="8" w:space="0" w:color="auto"/>
            </w:tcBorders>
          </w:tcPr>
          <w:p w14:paraId="7EDBB2E4" w14:textId="77777777" w:rsidR="00FE28CA" w:rsidRPr="001E23E1" w:rsidRDefault="008830BB" w:rsidP="008830BB">
            <w:pPr>
              <w:jc w:val="right"/>
              <w:rPr>
                <w:sz w:val="20"/>
                <w:szCs w:val="20"/>
              </w:rPr>
            </w:pPr>
            <w:r>
              <w:rPr>
                <w:sz w:val="20"/>
                <w:szCs w:val="20"/>
              </w:rPr>
              <w:t>1 159 057</w:t>
            </w:r>
          </w:p>
        </w:tc>
        <w:tc>
          <w:tcPr>
            <w:tcW w:w="1080" w:type="dxa"/>
            <w:tcBorders>
              <w:top w:val="single" w:sz="8" w:space="0" w:color="auto"/>
              <w:left w:val="nil"/>
              <w:bottom w:val="single" w:sz="8" w:space="0" w:color="auto"/>
              <w:right w:val="single" w:sz="8" w:space="0" w:color="auto"/>
            </w:tcBorders>
          </w:tcPr>
          <w:p w14:paraId="4D6AD8C7" w14:textId="77777777" w:rsidR="00FE28CA" w:rsidRPr="001E23E1" w:rsidRDefault="00A01CDD" w:rsidP="008830BB">
            <w:pPr>
              <w:rPr>
                <w:sz w:val="20"/>
                <w:szCs w:val="20"/>
              </w:rPr>
            </w:pPr>
            <w:r>
              <w:rPr>
                <w:sz w:val="20"/>
                <w:szCs w:val="20"/>
              </w:rPr>
              <w:t xml:space="preserve"> </w:t>
            </w:r>
            <w:r w:rsidR="008830BB">
              <w:rPr>
                <w:sz w:val="20"/>
                <w:szCs w:val="20"/>
              </w:rPr>
              <w:t>7 314 740</w:t>
            </w:r>
          </w:p>
        </w:tc>
        <w:tc>
          <w:tcPr>
            <w:tcW w:w="4140" w:type="dxa"/>
            <w:tcBorders>
              <w:top w:val="single" w:sz="8" w:space="0" w:color="auto"/>
              <w:left w:val="nil"/>
              <w:bottom w:val="single" w:sz="8" w:space="0" w:color="auto"/>
              <w:right w:val="single" w:sz="8" w:space="0" w:color="auto"/>
            </w:tcBorders>
          </w:tcPr>
          <w:p w14:paraId="170B1F31" w14:textId="77777777" w:rsidR="00FE28CA" w:rsidRPr="001E23E1" w:rsidRDefault="008830BB" w:rsidP="00A70068">
            <w:pPr>
              <w:jc w:val="both"/>
              <w:rPr>
                <w:sz w:val="20"/>
                <w:szCs w:val="20"/>
              </w:rPr>
            </w:pPr>
            <w:r w:rsidRPr="001E23E1">
              <w:rPr>
                <w:sz w:val="20"/>
                <w:szCs w:val="20"/>
              </w:rPr>
              <w:t>0,36</w:t>
            </w:r>
            <w:r w:rsidR="009278C7">
              <w:rPr>
                <w:sz w:val="20"/>
                <w:szCs w:val="20"/>
              </w:rPr>
              <w:t> </w:t>
            </w:r>
            <w:r w:rsidR="009278C7">
              <w:rPr>
                <w:i/>
                <w:sz w:val="20"/>
                <w:szCs w:val="20"/>
              </w:rPr>
              <w:t>euro</w:t>
            </w:r>
            <w:r w:rsidRPr="001E23E1">
              <w:rPr>
                <w:sz w:val="20"/>
                <w:szCs w:val="20"/>
              </w:rPr>
              <w:t>; M</w:t>
            </w:r>
            <w:r w:rsidR="0030497D">
              <w:rPr>
                <w:sz w:val="20"/>
                <w:szCs w:val="20"/>
              </w:rPr>
              <w:t xml:space="preserve">inistru </w:t>
            </w:r>
            <w:r w:rsidR="00270CA6">
              <w:rPr>
                <w:sz w:val="20"/>
                <w:szCs w:val="20"/>
              </w:rPr>
              <w:t>k</w:t>
            </w:r>
            <w:r w:rsidR="0030497D">
              <w:rPr>
                <w:sz w:val="20"/>
                <w:szCs w:val="20"/>
              </w:rPr>
              <w:t>abineta</w:t>
            </w:r>
            <w:r w:rsidRPr="001E23E1">
              <w:rPr>
                <w:sz w:val="20"/>
                <w:szCs w:val="20"/>
              </w:rPr>
              <w:t xml:space="preserve"> 201</w:t>
            </w:r>
            <w:r w:rsidR="009B53E1">
              <w:rPr>
                <w:sz w:val="20"/>
                <w:szCs w:val="20"/>
              </w:rPr>
              <w:t>4</w:t>
            </w:r>
            <w:r w:rsidRPr="001E23E1">
              <w:rPr>
                <w:sz w:val="20"/>
                <w:szCs w:val="20"/>
              </w:rPr>
              <w:t>.</w:t>
            </w:r>
            <w:r w:rsidR="0030497D">
              <w:rPr>
                <w:sz w:val="20"/>
                <w:szCs w:val="20"/>
              </w:rPr>
              <w:t>gada 9.decembra</w:t>
            </w:r>
            <w:r w:rsidR="00270CA6">
              <w:rPr>
                <w:sz w:val="20"/>
                <w:szCs w:val="20"/>
              </w:rPr>
              <w:t xml:space="preserve"> </w:t>
            </w:r>
            <w:r w:rsidRPr="001E23E1">
              <w:rPr>
                <w:sz w:val="20"/>
                <w:szCs w:val="20"/>
              </w:rPr>
              <w:t>not</w:t>
            </w:r>
            <w:r w:rsidR="009C5A1F">
              <w:rPr>
                <w:sz w:val="20"/>
                <w:szCs w:val="20"/>
              </w:rPr>
              <w:t>eikumi</w:t>
            </w:r>
            <w:r w:rsidRPr="001E23E1">
              <w:rPr>
                <w:sz w:val="20"/>
                <w:szCs w:val="20"/>
              </w:rPr>
              <w:t xml:space="preserve"> Nr.</w:t>
            </w:r>
            <w:r w:rsidR="009B53E1">
              <w:rPr>
                <w:sz w:val="20"/>
                <w:szCs w:val="20"/>
              </w:rPr>
              <w:t>751</w:t>
            </w:r>
          </w:p>
        </w:tc>
      </w:tr>
    </w:tbl>
    <w:p w14:paraId="5877B8C9" w14:textId="77777777" w:rsidR="00B43526" w:rsidRPr="0022289F" w:rsidRDefault="00C02CAA" w:rsidP="00BA17D8">
      <w:pPr>
        <w:ind w:firstLine="720"/>
        <w:jc w:val="both"/>
      </w:pPr>
      <w:r w:rsidRPr="0022289F">
        <w:t>Saskaņā ar 3.tabulā atspoguļoto informāciju 2011.</w:t>
      </w:r>
      <w:r w:rsidR="00D6615E" w:rsidRPr="0022289F">
        <w:t xml:space="preserve"> un 2015.</w:t>
      </w:r>
      <w:r w:rsidRPr="0022289F">
        <w:t>gadā</w:t>
      </w:r>
      <w:r w:rsidR="005E23AE" w:rsidRPr="0022289F">
        <w:t xml:space="preserve"> </w:t>
      </w:r>
      <w:r w:rsidRPr="0022289F">
        <w:t>URVN ieņēmumu</w:t>
      </w:r>
      <w:r w:rsidR="005E23AE" w:rsidRPr="0022289F">
        <w:t xml:space="preserve"> </w:t>
      </w:r>
      <w:r w:rsidRPr="0022289F">
        <w:t>sadalījums plānots trīs</w:t>
      </w:r>
      <w:r w:rsidR="00FB0693">
        <w:t xml:space="preserve"> valsts budžeta</w:t>
      </w:r>
      <w:r w:rsidRPr="0022289F">
        <w:t xml:space="preserve"> apakšprogrammām</w:t>
      </w:r>
      <w:r w:rsidR="00B43526" w:rsidRPr="0022289F">
        <w:t>:</w:t>
      </w:r>
    </w:p>
    <w:p w14:paraId="03F8D2E3" w14:textId="77777777" w:rsidR="00B43526" w:rsidRPr="0022289F" w:rsidRDefault="00B43526" w:rsidP="00B43526">
      <w:pPr>
        <w:numPr>
          <w:ilvl w:val="0"/>
          <w:numId w:val="40"/>
        </w:numPr>
        <w:jc w:val="both"/>
      </w:pPr>
      <w:r w:rsidRPr="0022289F">
        <w:t>06.04.00 “</w:t>
      </w:r>
      <w:r w:rsidR="00C02CAA" w:rsidRPr="0022289F">
        <w:t>Darbinieku prasījumu garantiju fonds</w:t>
      </w:r>
      <w:r w:rsidRPr="0022289F">
        <w:t xml:space="preserve">” (līdz 2014.gadam </w:t>
      </w:r>
      <w:r w:rsidR="009278C7">
        <w:t>–</w:t>
      </w:r>
      <w:r w:rsidRPr="0022289F">
        <w:t xml:space="preserve"> 35.02.00 “Darbinieku prasījumu garantiju fonds”);</w:t>
      </w:r>
    </w:p>
    <w:p w14:paraId="7BBEF619" w14:textId="77777777" w:rsidR="00B43526" w:rsidRPr="0022289F" w:rsidRDefault="00B43526" w:rsidP="00B43526">
      <w:pPr>
        <w:numPr>
          <w:ilvl w:val="0"/>
          <w:numId w:val="40"/>
        </w:numPr>
        <w:jc w:val="both"/>
      </w:pPr>
      <w:r w:rsidRPr="0022289F">
        <w:t>06.03.00 “</w:t>
      </w:r>
      <w:r w:rsidR="00C02CAA" w:rsidRPr="0022289F">
        <w:t>Maksātnespējas procesa izmaksas</w:t>
      </w:r>
      <w:r w:rsidRPr="0022289F">
        <w:t>” (līdz 2014.gadam – 35.03.00 “Maksātnespējas procesa izmaksas”);</w:t>
      </w:r>
    </w:p>
    <w:p w14:paraId="67F420A7" w14:textId="77777777" w:rsidR="004E3B91" w:rsidRPr="0022289F" w:rsidRDefault="00B43526" w:rsidP="00B43526">
      <w:pPr>
        <w:numPr>
          <w:ilvl w:val="0"/>
          <w:numId w:val="40"/>
        </w:numPr>
        <w:jc w:val="both"/>
      </w:pPr>
      <w:r w:rsidRPr="0022289F">
        <w:t>06.03.00 “M</w:t>
      </w:r>
      <w:r w:rsidR="00C02CAA" w:rsidRPr="0022289F">
        <w:t>aksātnespējas procesu pārvaldība</w:t>
      </w:r>
      <w:r w:rsidRPr="0022289F">
        <w:t>”</w:t>
      </w:r>
      <w:r w:rsidR="00C02CAA" w:rsidRPr="0022289F">
        <w:t xml:space="preserve"> (līdz 2014.gadam </w:t>
      </w:r>
      <w:r w:rsidR="004E3B91" w:rsidRPr="0022289F">
        <w:t>–</w:t>
      </w:r>
      <w:r w:rsidR="00D6615E" w:rsidRPr="0022289F">
        <w:t xml:space="preserve"> </w:t>
      </w:r>
      <w:r w:rsidR="004E3B91" w:rsidRPr="0022289F">
        <w:t>35.01.00 “</w:t>
      </w:r>
      <w:r w:rsidR="00C02CAA" w:rsidRPr="0022289F">
        <w:t>Maksātnespējas administrācija</w:t>
      </w:r>
      <w:r w:rsidR="004E3B91" w:rsidRPr="0022289F">
        <w:t>”</w:t>
      </w:r>
      <w:r w:rsidR="00C02CAA" w:rsidRPr="0022289F">
        <w:t>)</w:t>
      </w:r>
      <w:r w:rsidR="00D6615E" w:rsidRPr="0022289F">
        <w:t>.</w:t>
      </w:r>
    </w:p>
    <w:p w14:paraId="1B95A560" w14:textId="77777777" w:rsidR="00C02CAA" w:rsidRPr="0022289F" w:rsidRDefault="004E3B91" w:rsidP="004E3B91">
      <w:pPr>
        <w:ind w:firstLine="720"/>
        <w:jc w:val="both"/>
      </w:pPr>
      <w:r w:rsidRPr="0022289F">
        <w:t xml:space="preserve">Tomēr faktiski </w:t>
      </w:r>
      <w:r w:rsidR="00D6615E" w:rsidRPr="0022289F">
        <w:t>2011.gadā</w:t>
      </w:r>
      <w:r w:rsidRPr="0022289F">
        <w:t xml:space="preserve"> visi URVN ieņēmumi</w:t>
      </w:r>
      <w:r w:rsidR="00C02CAA" w:rsidRPr="0022289F">
        <w:t xml:space="preserve"> tikuši novirzīti tikai divu </w:t>
      </w:r>
      <w:r w:rsidR="009278C7">
        <w:t xml:space="preserve"> </w:t>
      </w:r>
      <w:r w:rsidR="00FB0693">
        <w:t xml:space="preserve">valsts budžeta </w:t>
      </w:r>
      <w:r w:rsidR="00C02CAA" w:rsidRPr="0022289F">
        <w:t xml:space="preserve">apakšprogrammu, proti, </w:t>
      </w:r>
      <w:r w:rsidRPr="0022289F">
        <w:t>35.02.00 “Darbinieku prasījumu garantiju fonds”</w:t>
      </w:r>
      <w:r w:rsidR="00C02CAA" w:rsidRPr="0022289F">
        <w:t xml:space="preserve"> un </w:t>
      </w:r>
      <w:r w:rsidRPr="0022289F">
        <w:t>35.03.00 “Maksātnespējas procesa izmaksas”</w:t>
      </w:r>
      <w:r w:rsidR="00C02CAA" w:rsidRPr="0022289F">
        <w:t xml:space="preserve"> segšanai. </w:t>
      </w:r>
      <w:r w:rsidR="00FB0693">
        <w:t>Val</w:t>
      </w:r>
      <w:r w:rsidR="00B97506">
        <w:t>s</w:t>
      </w:r>
      <w:r w:rsidR="00FB0693">
        <w:t>ts b</w:t>
      </w:r>
      <w:r w:rsidRPr="0022289F">
        <w:t>udžeta apakšprogrammai 35.01.00 “Maksātnespējas administrācija”</w:t>
      </w:r>
      <w:r w:rsidR="00C02CAA" w:rsidRPr="0022289F">
        <w:t xml:space="preserve"> 2011.gadā līdzekļi no URVN ieņēmumiem </w:t>
      </w:r>
      <w:r w:rsidRPr="0022289F">
        <w:t xml:space="preserve">netika novirzīti </w:t>
      </w:r>
      <w:r w:rsidR="00C02CAA" w:rsidRPr="0022289F">
        <w:t xml:space="preserve">(plānots 176 621 </w:t>
      </w:r>
      <w:r w:rsidR="00C02CAA" w:rsidRPr="000121BB">
        <w:rPr>
          <w:i/>
        </w:rPr>
        <w:t>euro</w:t>
      </w:r>
      <w:r w:rsidR="00C02CAA" w:rsidRPr="0022289F">
        <w:t>, faktiski nav novirzīti).</w:t>
      </w:r>
    </w:p>
    <w:p w14:paraId="56F60D45" w14:textId="77777777" w:rsidR="00F30D6F" w:rsidRPr="0022289F" w:rsidRDefault="00F30D6F" w:rsidP="004E3B91">
      <w:pPr>
        <w:ind w:firstLine="720"/>
        <w:jc w:val="both"/>
      </w:pPr>
      <w:r w:rsidRPr="0022289F">
        <w:t xml:space="preserve">No 2012. līdz 2014.gadam URVN līdzekļu novirzīšana </w:t>
      </w:r>
      <w:r w:rsidR="00FB0693">
        <w:t xml:space="preserve">valsts </w:t>
      </w:r>
      <w:r w:rsidRPr="0022289F">
        <w:t>budžeta apakšprogrammai 35.01.00 „Maksātnespējas administrācija” netika paredzēta.</w:t>
      </w:r>
    </w:p>
    <w:p w14:paraId="3867EF27" w14:textId="77777777" w:rsidR="0022289F" w:rsidRDefault="00F30D6F" w:rsidP="0022289F">
      <w:pPr>
        <w:ind w:firstLine="720"/>
        <w:jc w:val="both"/>
      </w:pPr>
      <w:r w:rsidRPr="0022289F">
        <w:t>Līdz ar to laika periodā no 2011. līdz 2014.gadam valsts budžeta apakšprogramma “35.01.00 Maksātnespējas administrācija” pilnībā tika finansēta no valsts budžeta, minētajai apakšprogrammai piešķirot dotāciju. Sākot ar 2015.gadu, valsts budžeta apakšprogrammas “06.03.00 Maksātnespējas procesa pārvaldība” (līdz 2014.gadam – “35.01.00 Maksātnespējas administrācija”) daļējai finansēšanai atkal tiek novirzīta daļa no URVN ieņēmumiem.</w:t>
      </w:r>
    </w:p>
    <w:p w14:paraId="064E71E7" w14:textId="77777777" w:rsidR="0022289F" w:rsidRDefault="0022289F" w:rsidP="0022289F">
      <w:pPr>
        <w:ind w:firstLine="720"/>
        <w:jc w:val="both"/>
      </w:pPr>
    </w:p>
    <w:p w14:paraId="0A747061" w14:textId="77777777" w:rsidR="00C02CAA" w:rsidRPr="0022289F" w:rsidRDefault="00C02CAA" w:rsidP="0022289F">
      <w:pPr>
        <w:ind w:firstLine="720"/>
        <w:jc w:val="right"/>
      </w:pPr>
      <w:r w:rsidRPr="0022289F">
        <w:t>3.tabula</w:t>
      </w:r>
    </w:p>
    <w:p w14:paraId="3007FB54" w14:textId="77777777" w:rsidR="00C02CAA" w:rsidRPr="001E23E1" w:rsidRDefault="00C02CAA" w:rsidP="00F629DD">
      <w:pPr>
        <w:tabs>
          <w:tab w:val="left" w:pos="7689"/>
          <w:tab w:val="right" w:pos="8975"/>
        </w:tabs>
        <w:ind w:firstLine="720"/>
        <w:jc w:val="right"/>
        <w:rPr>
          <w:b/>
          <w:sz w:val="28"/>
          <w:szCs w:val="28"/>
        </w:rPr>
      </w:pPr>
    </w:p>
    <w:p w14:paraId="3D4180EF" w14:textId="77777777" w:rsidR="00C02CAA" w:rsidRPr="0022289F" w:rsidRDefault="00C02CAA" w:rsidP="00D454E9">
      <w:pPr>
        <w:spacing w:after="120"/>
        <w:jc w:val="center"/>
        <w:rPr>
          <w:b/>
        </w:rPr>
      </w:pPr>
      <w:r w:rsidRPr="0022289F">
        <w:rPr>
          <w:b/>
        </w:rPr>
        <w:t>URVN plānoto un faktisko ieņēmumu sadalījums pa apakšprogrammām 201</w:t>
      </w:r>
      <w:r w:rsidR="00393ADE" w:rsidRPr="0022289F">
        <w:rPr>
          <w:b/>
        </w:rPr>
        <w:t>1</w:t>
      </w:r>
      <w:r w:rsidRPr="0022289F">
        <w:rPr>
          <w:b/>
        </w:rPr>
        <w:t>. – 201</w:t>
      </w:r>
      <w:r w:rsidR="00393ADE" w:rsidRPr="0022289F">
        <w:rPr>
          <w:b/>
        </w:rPr>
        <w:t>5</w:t>
      </w:r>
      <w:r w:rsidRPr="0022289F">
        <w:rPr>
          <w:b/>
        </w:rPr>
        <w:t xml:space="preserve">.gadā, </w:t>
      </w:r>
      <w:r w:rsidRPr="0022289F">
        <w:rPr>
          <w:b/>
          <w:i/>
        </w:rPr>
        <w:t>euro</w:t>
      </w:r>
    </w:p>
    <w:tbl>
      <w:tblPr>
        <w:tblW w:w="9145" w:type="dxa"/>
        <w:tblLook w:val="04A0" w:firstRow="1" w:lastRow="0" w:firstColumn="1" w:lastColumn="0" w:noHBand="0" w:noVBand="1"/>
      </w:tblPr>
      <w:tblGrid>
        <w:gridCol w:w="3333"/>
        <w:gridCol w:w="1134"/>
        <w:gridCol w:w="1134"/>
        <w:gridCol w:w="1134"/>
        <w:gridCol w:w="1276"/>
        <w:gridCol w:w="1134"/>
      </w:tblGrid>
      <w:tr w:rsidR="00393ADE" w14:paraId="56231617" w14:textId="77777777" w:rsidTr="00611DC6">
        <w:trPr>
          <w:trHeight w:val="255"/>
        </w:trPr>
        <w:tc>
          <w:tcPr>
            <w:tcW w:w="3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C2C3D" w14:textId="77777777" w:rsidR="00393ADE" w:rsidRDefault="00393ADE" w:rsidP="0074126A">
            <w:pPr>
              <w:rPr>
                <w:sz w:val="20"/>
                <w:szCs w:val="20"/>
              </w:rPr>
            </w:pPr>
            <w:r>
              <w:rPr>
                <w:sz w:val="20"/>
                <w:szCs w:val="20"/>
              </w:rPr>
              <w:t xml:space="preserve">URVN ieņēmumu sadalījums </w:t>
            </w:r>
            <w:r w:rsidRPr="00393ADE">
              <w:rPr>
                <w:b/>
                <w:sz w:val="20"/>
                <w:szCs w:val="20"/>
              </w:rPr>
              <w:t>(plāns)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39EAB7" w14:textId="77777777" w:rsidR="00393ADE" w:rsidRDefault="00393ADE">
            <w:pPr>
              <w:jc w:val="center"/>
              <w:rPr>
                <w:b/>
                <w:bCs/>
                <w:sz w:val="20"/>
                <w:szCs w:val="20"/>
              </w:rPr>
            </w:pPr>
            <w:r>
              <w:rPr>
                <w:b/>
                <w:bCs/>
                <w:sz w:val="20"/>
                <w:szCs w:val="20"/>
              </w:rPr>
              <w:t>2011.gads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EE3E0E" w14:textId="77777777" w:rsidR="00393ADE" w:rsidRDefault="00393ADE">
            <w:pPr>
              <w:jc w:val="center"/>
              <w:rPr>
                <w:b/>
                <w:bCs/>
                <w:sz w:val="20"/>
                <w:szCs w:val="20"/>
              </w:rPr>
            </w:pPr>
            <w:r>
              <w:rPr>
                <w:b/>
                <w:bCs/>
                <w:sz w:val="20"/>
                <w:szCs w:val="20"/>
              </w:rPr>
              <w:t>2012.gads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CF752E" w14:textId="77777777" w:rsidR="00393ADE" w:rsidRDefault="00393ADE">
            <w:pPr>
              <w:jc w:val="center"/>
              <w:rPr>
                <w:b/>
                <w:bCs/>
                <w:sz w:val="20"/>
                <w:szCs w:val="20"/>
              </w:rPr>
            </w:pPr>
            <w:r>
              <w:rPr>
                <w:b/>
                <w:bCs/>
                <w:sz w:val="20"/>
                <w:szCs w:val="20"/>
              </w:rPr>
              <w:t>2013.gads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CF343C" w14:textId="77777777" w:rsidR="00393ADE" w:rsidRDefault="00393ADE">
            <w:pPr>
              <w:jc w:val="center"/>
              <w:rPr>
                <w:b/>
                <w:bCs/>
                <w:sz w:val="20"/>
                <w:szCs w:val="20"/>
              </w:rPr>
            </w:pPr>
            <w:r>
              <w:rPr>
                <w:b/>
                <w:bCs/>
                <w:sz w:val="20"/>
                <w:szCs w:val="20"/>
              </w:rPr>
              <w:t>2014.gads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13C96D" w14:textId="77777777" w:rsidR="00393ADE" w:rsidRDefault="00393ADE">
            <w:pPr>
              <w:jc w:val="center"/>
              <w:rPr>
                <w:b/>
                <w:bCs/>
                <w:sz w:val="20"/>
                <w:szCs w:val="20"/>
              </w:rPr>
            </w:pPr>
            <w:r>
              <w:rPr>
                <w:b/>
                <w:bCs/>
                <w:sz w:val="20"/>
                <w:szCs w:val="20"/>
              </w:rPr>
              <w:t>2015.gads</w:t>
            </w:r>
          </w:p>
        </w:tc>
      </w:tr>
      <w:tr w:rsidR="00393ADE" w14:paraId="303578BD"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1B1352BD" w14:textId="77777777" w:rsidR="00393ADE" w:rsidRDefault="00393ADE" w:rsidP="0074126A">
            <w:pPr>
              <w:rPr>
                <w:sz w:val="20"/>
                <w:szCs w:val="20"/>
              </w:rPr>
            </w:pPr>
            <w:r>
              <w:rPr>
                <w:sz w:val="20"/>
                <w:szCs w:val="20"/>
              </w:rPr>
              <w:t>DPGF*</w:t>
            </w:r>
          </w:p>
        </w:tc>
        <w:tc>
          <w:tcPr>
            <w:tcW w:w="1134" w:type="dxa"/>
            <w:tcBorders>
              <w:top w:val="nil"/>
              <w:left w:val="nil"/>
              <w:bottom w:val="single" w:sz="4" w:space="0" w:color="auto"/>
              <w:right w:val="single" w:sz="4" w:space="0" w:color="auto"/>
            </w:tcBorders>
            <w:shd w:val="clear" w:color="auto" w:fill="auto"/>
            <w:noWrap/>
            <w:vAlign w:val="bottom"/>
            <w:hideMark/>
          </w:tcPr>
          <w:p w14:paraId="4F59E318" w14:textId="77777777" w:rsidR="00393ADE" w:rsidRDefault="00393ADE">
            <w:pPr>
              <w:jc w:val="right"/>
              <w:rPr>
                <w:sz w:val="20"/>
                <w:szCs w:val="20"/>
              </w:rPr>
            </w:pPr>
            <w:r>
              <w:rPr>
                <w:sz w:val="20"/>
                <w:szCs w:val="20"/>
              </w:rPr>
              <w:t>2 799 423</w:t>
            </w:r>
          </w:p>
        </w:tc>
        <w:tc>
          <w:tcPr>
            <w:tcW w:w="1134" w:type="dxa"/>
            <w:tcBorders>
              <w:top w:val="nil"/>
              <w:left w:val="nil"/>
              <w:bottom w:val="single" w:sz="4" w:space="0" w:color="auto"/>
              <w:right w:val="single" w:sz="4" w:space="0" w:color="auto"/>
            </w:tcBorders>
            <w:shd w:val="clear" w:color="auto" w:fill="auto"/>
            <w:noWrap/>
            <w:vAlign w:val="bottom"/>
            <w:hideMark/>
          </w:tcPr>
          <w:p w14:paraId="4669DFAB" w14:textId="77777777" w:rsidR="00393ADE" w:rsidRDefault="00393ADE">
            <w:pPr>
              <w:jc w:val="right"/>
              <w:rPr>
                <w:sz w:val="20"/>
                <w:szCs w:val="20"/>
              </w:rPr>
            </w:pPr>
            <w:r>
              <w:rPr>
                <w:sz w:val="20"/>
                <w:szCs w:val="20"/>
              </w:rPr>
              <w:t>3 238 991</w:t>
            </w:r>
          </w:p>
        </w:tc>
        <w:tc>
          <w:tcPr>
            <w:tcW w:w="1134" w:type="dxa"/>
            <w:tcBorders>
              <w:top w:val="nil"/>
              <w:left w:val="nil"/>
              <w:bottom w:val="single" w:sz="4" w:space="0" w:color="auto"/>
              <w:right w:val="single" w:sz="4" w:space="0" w:color="auto"/>
            </w:tcBorders>
            <w:shd w:val="clear" w:color="auto" w:fill="auto"/>
            <w:noWrap/>
            <w:vAlign w:val="bottom"/>
            <w:hideMark/>
          </w:tcPr>
          <w:p w14:paraId="66B675B1" w14:textId="77777777" w:rsidR="00393ADE" w:rsidRDefault="00393ADE">
            <w:pPr>
              <w:jc w:val="right"/>
              <w:rPr>
                <w:sz w:val="20"/>
                <w:szCs w:val="20"/>
              </w:rPr>
            </w:pPr>
            <w:r>
              <w:rPr>
                <w:sz w:val="20"/>
                <w:szCs w:val="20"/>
              </w:rPr>
              <w:t>2 458 096</w:t>
            </w:r>
          </w:p>
        </w:tc>
        <w:tc>
          <w:tcPr>
            <w:tcW w:w="1276" w:type="dxa"/>
            <w:tcBorders>
              <w:top w:val="nil"/>
              <w:left w:val="nil"/>
              <w:bottom w:val="single" w:sz="4" w:space="0" w:color="auto"/>
              <w:right w:val="single" w:sz="4" w:space="0" w:color="auto"/>
            </w:tcBorders>
            <w:shd w:val="clear" w:color="auto" w:fill="auto"/>
            <w:noWrap/>
            <w:vAlign w:val="bottom"/>
            <w:hideMark/>
          </w:tcPr>
          <w:p w14:paraId="00CDE796" w14:textId="77777777" w:rsidR="00393ADE" w:rsidRDefault="00393ADE">
            <w:pPr>
              <w:jc w:val="right"/>
              <w:rPr>
                <w:sz w:val="20"/>
                <w:szCs w:val="20"/>
              </w:rPr>
            </w:pPr>
            <w:r>
              <w:rPr>
                <w:sz w:val="20"/>
                <w:szCs w:val="20"/>
              </w:rPr>
              <w:t>2 612 815</w:t>
            </w:r>
          </w:p>
        </w:tc>
        <w:tc>
          <w:tcPr>
            <w:tcW w:w="1134" w:type="dxa"/>
            <w:tcBorders>
              <w:top w:val="nil"/>
              <w:left w:val="nil"/>
              <w:bottom w:val="single" w:sz="4" w:space="0" w:color="auto"/>
              <w:right w:val="single" w:sz="4" w:space="0" w:color="auto"/>
            </w:tcBorders>
            <w:shd w:val="clear" w:color="auto" w:fill="auto"/>
            <w:noWrap/>
            <w:vAlign w:val="bottom"/>
            <w:hideMark/>
          </w:tcPr>
          <w:p w14:paraId="763A28A0" w14:textId="77777777" w:rsidR="00393ADE" w:rsidRDefault="00393ADE">
            <w:pPr>
              <w:jc w:val="right"/>
              <w:rPr>
                <w:sz w:val="20"/>
                <w:szCs w:val="20"/>
              </w:rPr>
            </w:pPr>
            <w:r>
              <w:rPr>
                <w:sz w:val="20"/>
                <w:szCs w:val="20"/>
              </w:rPr>
              <w:t>2 717 158</w:t>
            </w:r>
          </w:p>
        </w:tc>
      </w:tr>
      <w:tr w:rsidR="00393ADE" w14:paraId="7091FC48"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0E65BE5C" w14:textId="77777777" w:rsidR="00393ADE" w:rsidRDefault="00393ADE" w:rsidP="0074126A">
            <w:pPr>
              <w:rPr>
                <w:sz w:val="20"/>
                <w:szCs w:val="20"/>
              </w:rPr>
            </w:pPr>
            <w:r>
              <w:rPr>
                <w:sz w:val="20"/>
                <w:szCs w:val="20"/>
              </w:rPr>
              <w:t>MPI**</w:t>
            </w:r>
          </w:p>
        </w:tc>
        <w:tc>
          <w:tcPr>
            <w:tcW w:w="1134" w:type="dxa"/>
            <w:tcBorders>
              <w:top w:val="nil"/>
              <w:left w:val="nil"/>
              <w:bottom w:val="single" w:sz="4" w:space="0" w:color="auto"/>
              <w:right w:val="single" w:sz="4" w:space="0" w:color="auto"/>
            </w:tcBorders>
            <w:shd w:val="clear" w:color="auto" w:fill="auto"/>
            <w:noWrap/>
            <w:vAlign w:val="bottom"/>
            <w:hideMark/>
          </w:tcPr>
          <w:p w14:paraId="70447EC6" w14:textId="77777777" w:rsidR="00393ADE" w:rsidRDefault="00393ADE">
            <w:pPr>
              <w:jc w:val="right"/>
              <w:rPr>
                <w:sz w:val="20"/>
                <w:szCs w:val="20"/>
              </w:rPr>
            </w:pPr>
            <w:r>
              <w:rPr>
                <w:sz w:val="20"/>
                <w:szCs w:val="20"/>
              </w:rPr>
              <w:t>800 792</w:t>
            </w:r>
          </w:p>
        </w:tc>
        <w:tc>
          <w:tcPr>
            <w:tcW w:w="1134" w:type="dxa"/>
            <w:tcBorders>
              <w:top w:val="nil"/>
              <w:left w:val="nil"/>
              <w:bottom w:val="single" w:sz="4" w:space="0" w:color="auto"/>
              <w:right w:val="single" w:sz="4" w:space="0" w:color="auto"/>
            </w:tcBorders>
            <w:shd w:val="clear" w:color="auto" w:fill="auto"/>
            <w:noWrap/>
            <w:vAlign w:val="bottom"/>
            <w:hideMark/>
          </w:tcPr>
          <w:p w14:paraId="0EC06A58" w14:textId="77777777" w:rsidR="00393ADE" w:rsidRDefault="00393ADE">
            <w:pPr>
              <w:jc w:val="right"/>
              <w:rPr>
                <w:sz w:val="20"/>
                <w:szCs w:val="20"/>
              </w:rPr>
            </w:pPr>
            <w:r>
              <w:rPr>
                <w:sz w:val="20"/>
                <w:szCs w:val="20"/>
              </w:rPr>
              <w:t>537 846</w:t>
            </w:r>
          </w:p>
        </w:tc>
        <w:tc>
          <w:tcPr>
            <w:tcW w:w="1134" w:type="dxa"/>
            <w:tcBorders>
              <w:top w:val="nil"/>
              <w:left w:val="nil"/>
              <w:bottom w:val="single" w:sz="4" w:space="0" w:color="auto"/>
              <w:right w:val="single" w:sz="4" w:space="0" w:color="auto"/>
            </w:tcBorders>
            <w:shd w:val="clear" w:color="auto" w:fill="auto"/>
            <w:noWrap/>
            <w:vAlign w:val="bottom"/>
            <w:hideMark/>
          </w:tcPr>
          <w:p w14:paraId="06BC618D" w14:textId="77777777" w:rsidR="00393ADE" w:rsidRDefault="00393ADE">
            <w:pPr>
              <w:jc w:val="right"/>
              <w:rPr>
                <w:sz w:val="20"/>
                <w:szCs w:val="20"/>
              </w:rPr>
            </w:pPr>
            <w:r>
              <w:rPr>
                <w:sz w:val="20"/>
                <w:szCs w:val="20"/>
              </w:rPr>
              <w:t>431 130</w:t>
            </w:r>
          </w:p>
        </w:tc>
        <w:tc>
          <w:tcPr>
            <w:tcW w:w="1276" w:type="dxa"/>
            <w:tcBorders>
              <w:top w:val="nil"/>
              <w:left w:val="nil"/>
              <w:bottom w:val="single" w:sz="4" w:space="0" w:color="auto"/>
              <w:right w:val="single" w:sz="4" w:space="0" w:color="auto"/>
            </w:tcBorders>
            <w:shd w:val="clear" w:color="auto" w:fill="auto"/>
            <w:noWrap/>
            <w:vAlign w:val="bottom"/>
            <w:hideMark/>
          </w:tcPr>
          <w:p w14:paraId="03F71ED1" w14:textId="77777777" w:rsidR="00393ADE" w:rsidRDefault="00393ADE">
            <w:pPr>
              <w:jc w:val="right"/>
              <w:rPr>
                <w:sz w:val="20"/>
                <w:szCs w:val="20"/>
              </w:rPr>
            </w:pPr>
            <w:r>
              <w:rPr>
                <w:sz w:val="20"/>
                <w:szCs w:val="20"/>
              </w:rPr>
              <w:t>322 638</w:t>
            </w:r>
          </w:p>
        </w:tc>
        <w:tc>
          <w:tcPr>
            <w:tcW w:w="1134" w:type="dxa"/>
            <w:tcBorders>
              <w:top w:val="nil"/>
              <w:left w:val="nil"/>
              <w:bottom w:val="single" w:sz="4" w:space="0" w:color="auto"/>
              <w:right w:val="single" w:sz="4" w:space="0" w:color="auto"/>
            </w:tcBorders>
            <w:shd w:val="clear" w:color="auto" w:fill="auto"/>
            <w:noWrap/>
            <w:vAlign w:val="bottom"/>
            <w:hideMark/>
          </w:tcPr>
          <w:p w14:paraId="3A65DB11" w14:textId="77777777" w:rsidR="00393ADE" w:rsidRDefault="00393ADE">
            <w:pPr>
              <w:jc w:val="right"/>
              <w:rPr>
                <w:sz w:val="20"/>
                <w:szCs w:val="20"/>
              </w:rPr>
            </w:pPr>
            <w:r>
              <w:rPr>
                <w:sz w:val="20"/>
                <w:szCs w:val="20"/>
              </w:rPr>
              <w:t>134 789</w:t>
            </w:r>
          </w:p>
        </w:tc>
      </w:tr>
      <w:tr w:rsidR="00393ADE" w14:paraId="6E22B512"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2B883F95" w14:textId="77777777" w:rsidR="00393ADE" w:rsidRDefault="00393ADE" w:rsidP="0074126A">
            <w:pPr>
              <w:rPr>
                <w:sz w:val="20"/>
                <w:szCs w:val="20"/>
              </w:rPr>
            </w:pPr>
            <w:r>
              <w:rPr>
                <w:sz w:val="20"/>
                <w:szCs w:val="20"/>
              </w:rPr>
              <w:t>MNA***</w:t>
            </w:r>
          </w:p>
        </w:tc>
        <w:tc>
          <w:tcPr>
            <w:tcW w:w="1134" w:type="dxa"/>
            <w:tcBorders>
              <w:top w:val="nil"/>
              <w:left w:val="nil"/>
              <w:bottom w:val="single" w:sz="4" w:space="0" w:color="auto"/>
              <w:right w:val="single" w:sz="4" w:space="0" w:color="auto"/>
            </w:tcBorders>
            <w:shd w:val="clear" w:color="auto" w:fill="auto"/>
            <w:noWrap/>
            <w:vAlign w:val="bottom"/>
            <w:hideMark/>
          </w:tcPr>
          <w:p w14:paraId="24FC007C" w14:textId="77777777" w:rsidR="00393ADE" w:rsidRDefault="00393ADE">
            <w:pPr>
              <w:jc w:val="right"/>
              <w:rPr>
                <w:sz w:val="20"/>
                <w:szCs w:val="20"/>
              </w:rPr>
            </w:pPr>
            <w:r>
              <w:rPr>
                <w:sz w:val="20"/>
                <w:szCs w:val="20"/>
              </w:rPr>
              <w:t>176 621</w:t>
            </w:r>
          </w:p>
        </w:tc>
        <w:tc>
          <w:tcPr>
            <w:tcW w:w="1134" w:type="dxa"/>
            <w:tcBorders>
              <w:top w:val="nil"/>
              <w:left w:val="nil"/>
              <w:bottom w:val="single" w:sz="4" w:space="0" w:color="auto"/>
              <w:right w:val="single" w:sz="4" w:space="0" w:color="auto"/>
            </w:tcBorders>
            <w:shd w:val="clear" w:color="auto" w:fill="auto"/>
            <w:noWrap/>
            <w:vAlign w:val="bottom"/>
            <w:hideMark/>
          </w:tcPr>
          <w:p w14:paraId="72AB6837" w14:textId="77777777" w:rsidR="00393ADE" w:rsidRDefault="00393ADE">
            <w:pPr>
              <w:jc w:val="right"/>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C9F7A6" w14:textId="77777777" w:rsidR="00393ADE" w:rsidRDefault="00393ADE">
            <w:pPr>
              <w:jc w:val="right"/>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2E63E9" w14:textId="77777777" w:rsidR="00393ADE" w:rsidRDefault="00393ADE">
            <w:pPr>
              <w:jc w:val="right"/>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BBBBDB" w14:textId="77777777" w:rsidR="00393ADE" w:rsidRDefault="00393ADE">
            <w:pPr>
              <w:jc w:val="right"/>
              <w:rPr>
                <w:sz w:val="20"/>
                <w:szCs w:val="20"/>
              </w:rPr>
            </w:pPr>
            <w:r>
              <w:rPr>
                <w:sz w:val="20"/>
                <w:szCs w:val="20"/>
              </w:rPr>
              <w:t>130 475</w:t>
            </w:r>
          </w:p>
        </w:tc>
      </w:tr>
      <w:tr w:rsidR="00393ADE" w14:paraId="0C055037"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44895EB0" w14:textId="77777777" w:rsidR="00393ADE" w:rsidRDefault="00393ADE">
            <w:pPr>
              <w:rPr>
                <w:sz w:val="20"/>
                <w:szCs w:val="20"/>
              </w:rPr>
            </w:pPr>
            <w:r>
              <w:rPr>
                <w:sz w:val="20"/>
                <w:szCs w:val="20"/>
              </w:rPr>
              <w:t>URVN kopā</w:t>
            </w:r>
          </w:p>
        </w:tc>
        <w:tc>
          <w:tcPr>
            <w:tcW w:w="1134" w:type="dxa"/>
            <w:tcBorders>
              <w:top w:val="nil"/>
              <w:left w:val="nil"/>
              <w:bottom w:val="single" w:sz="4" w:space="0" w:color="auto"/>
              <w:right w:val="single" w:sz="4" w:space="0" w:color="auto"/>
            </w:tcBorders>
            <w:shd w:val="clear" w:color="auto" w:fill="auto"/>
            <w:noWrap/>
            <w:vAlign w:val="bottom"/>
            <w:hideMark/>
          </w:tcPr>
          <w:p w14:paraId="6502562F" w14:textId="77777777" w:rsidR="00393ADE" w:rsidRDefault="00393ADE">
            <w:pPr>
              <w:jc w:val="right"/>
              <w:rPr>
                <w:sz w:val="20"/>
                <w:szCs w:val="20"/>
              </w:rPr>
            </w:pPr>
            <w:r>
              <w:rPr>
                <w:sz w:val="20"/>
                <w:szCs w:val="20"/>
              </w:rPr>
              <w:t>3 776 837</w:t>
            </w:r>
          </w:p>
        </w:tc>
        <w:tc>
          <w:tcPr>
            <w:tcW w:w="1134" w:type="dxa"/>
            <w:tcBorders>
              <w:top w:val="nil"/>
              <w:left w:val="nil"/>
              <w:bottom w:val="single" w:sz="4" w:space="0" w:color="auto"/>
              <w:right w:val="single" w:sz="4" w:space="0" w:color="auto"/>
            </w:tcBorders>
            <w:shd w:val="clear" w:color="auto" w:fill="auto"/>
            <w:noWrap/>
            <w:vAlign w:val="bottom"/>
            <w:hideMark/>
          </w:tcPr>
          <w:p w14:paraId="25B13785" w14:textId="77777777" w:rsidR="00393ADE" w:rsidRDefault="00393ADE">
            <w:pPr>
              <w:jc w:val="right"/>
              <w:rPr>
                <w:sz w:val="20"/>
                <w:szCs w:val="20"/>
              </w:rPr>
            </w:pPr>
            <w:r>
              <w:rPr>
                <w:sz w:val="20"/>
                <w:szCs w:val="20"/>
              </w:rPr>
              <w:t>3 776 837</w:t>
            </w:r>
          </w:p>
        </w:tc>
        <w:tc>
          <w:tcPr>
            <w:tcW w:w="1134" w:type="dxa"/>
            <w:tcBorders>
              <w:top w:val="nil"/>
              <w:left w:val="nil"/>
              <w:bottom w:val="single" w:sz="4" w:space="0" w:color="auto"/>
              <w:right w:val="single" w:sz="4" w:space="0" w:color="auto"/>
            </w:tcBorders>
            <w:shd w:val="clear" w:color="auto" w:fill="auto"/>
            <w:noWrap/>
            <w:vAlign w:val="bottom"/>
            <w:hideMark/>
          </w:tcPr>
          <w:p w14:paraId="1AABB91E" w14:textId="77777777" w:rsidR="00393ADE" w:rsidRDefault="00393ADE">
            <w:pPr>
              <w:jc w:val="right"/>
              <w:rPr>
                <w:sz w:val="20"/>
                <w:szCs w:val="20"/>
              </w:rPr>
            </w:pPr>
            <w:r>
              <w:rPr>
                <w:sz w:val="20"/>
                <w:szCs w:val="20"/>
              </w:rPr>
              <w:t>2 889 227</w:t>
            </w:r>
          </w:p>
        </w:tc>
        <w:tc>
          <w:tcPr>
            <w:tcW w:w="1276" w:type="dxa"/>
            <w:tcBorders>
              <w:top w:val="nil"/>
              <w:left w:val="nil"/>
              <w:bottom w:val="single" w:sz="4" w:space="0" w:color="auto"/>
              <w:right w:val="single" w:sz="4" w:space="0" w:color="auto"/>
            </w:tcBorders>
            <w:shd w:val="clear" w:color="auto" w:fill="auto"/>
            <w:noWrap/>
            <w:vAlign w:val="bottom"/>
            <w:hideMark/>
          </w:tcPr>
          <w:p w14:paraId="48E97888" w14:textId="77777777" w:rsidR="00393ADE" w:rsidRDefault="00393ADE">
            <w:pPr>
              <w:jc w:val="right"/>
              <w:rPr>
                <w:sz w:val="20"/>
                <w:szCs w:val="20"/>
              </w:rPr>
            </w:pPr>
            <w:r>
              <w:rPr>
                <w:sz w:val="20"/>
                <w:szCs w:val="20"/>
              </w:rPr>
              <w:t>2 935 453</w:t>
            </w:r>
          </w:p>
        </w:tc>
        <w:tc>
          <w:tcPr>
            <w:tcW w:w="1134" w:type="dxa"/>
            <w:tcBorders>
              <w:top w:val="nil"/>
              <w:left w:val="nil"/>
              <w:bottom w:val="single" w:sz="4" w:space="0" w:color="auto"/>
              <w:right w:val="single" w:sz="4" w:space="0" w:color="auto"/>
            </w:tcBorders>
            <w:shd w:val="clear" w:color="auto" w:fill="auto"/>
            <w:noWrap/>
            <w:vAlign w:val="bottom"/>
            <w:hideMark/>
          </w:tcPr>
          <w:p w14:paraId="3FC1E1EE" w14:textId="77777777" w:rsidR="00393ADE" w:rsidRDefault="00393ADE">
            <w:pPr>
              <w:jc w:val="right"/>
              <w:rPr>
                <w:sz w:val="20"/>
                <w:szCs w:val="20"/>
              </w:rPr>
            </w:pPr>
            <w:r>
              <w:rPr>
                <w:sz w:val="20"/>
                <w:szCs w:val="20"/>
              </w:rPr>
              <w:t>2 982 422</w:t>
            </w:r>
          </w:p>
        </w:tc>
      </w:tr>
      <w:tr w:rsidR="00393ADE" w14:paraId="4A34B76B"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42E2FEE9" w14:textId="77777777" w:rsidR="00393ADE" w:rsidRDefault="00393ADE">
            <w:pPr>
              <w:rPr>
                <w:sz w:val="20"/>
                <w:szCs w:val="20"/>
              </w:rPr>
            </w:pPr>
            <w:r>
              <w:rPr>
                <w:sz w:val="20"/>
                <w:szCs w:val="20"/>
              </w:rPr>
              <w:t>Darbinieku skaits, par kuriem maksāta URVN (vidēji mēnesī)</w:t>
            </w:r>
          </w:p>
        </w:tc>
        <w:tc>
          <w:tcPr>
            <w:tcW w:w="1134" w:type="dxa"/>
            <w:tcBorders>
              <w:top w:val="nil"/>
              <w:left w:val="nil"/>
              <w:bottom w:val="single" w:sz="4" w:space="0" w:color="auto"/>
              <w:right w:val="single" w:sz="4" w:space="0" w:color="auto"/>
            </w:tcBorders>
            <w:shd w:val="clear" w:color="auto" w:fill="auto"/>
            <w:noWrap/>
            <w:vAlign w:val="bottom"/>
            <w:hideMark/>
          </w:tcPr>
          <w:p w14:paraId="1959FB93" w14:textId="77777777" w:rsidR="00393ADE" w:rsidRDefault="00393ADE">
            <w:pPr>
              <w:jc w:val="right"/>
              <w:rPr>
                <w:sz w:val="20"/>
                <w:szCs w:val="20"/>
              </w:rPr>
            </w:pPr>
            <w:r>
              <w:rPr>
                <w:sz w:val="20"/>
                <w:szCs w:val="20"/>
              </w:rPr>
              <w:t>884 792</w:t>
            </w:r>
          </w:p>
        </w:tc>
        <w:tc>
          <w:tcPr>
            <w:tcW w:w="1134" w:type="dxa"/>
            <w:tcBorders>
              <w:top w:val="nil"/>
              <w:left w:val="nil"/>
              <w:bottom w:val="single" w:sz="4" w:space="0" w:color="auto"/>
              <w:right w:val="single" w:sz="4" w:space="0" w:color="auto"/>
            </w:tcBorders>
            <w:shd w:val="clear" w:color="auto" w:fill="auto"/>
            <w:noWrap/>
            <w:vAlign w:val="bottom"/>
            <w:hideMark/>
          </w:tcPr>
          <w:p w14:paraId="2C150275" w14:textId="77777777" w:rsidR="00393ADE" w:rsidRDefault="00393ADE">
            <w:pPr>
              <w:jc w:val="right"/>
              <w:rPr>
                <w:sz w:val="20"/>
                <w:szCs w:val="20"/>
              </w:rPr>
            </w:pPr>
            <w:r>
              <w:rPr>
                <w:sz w:val="20"/>
                <w:szCs w:val="20"/>
              </w:rPr>
              <w:t>758 792</w:t>
            </w:r>
          </w:p>
        </w:tc>
        <w:tc>
          <w:tcPr>
            <w:tcW w:w="1134" w:type="dxa"/>
            <w:tcBorders>
              <w:top w:val="nil"/>
              <w:left w:val="nil"/>
              <w:bottom w:val="single" w:sz="4" w:space="0" w:color="auto"/>
              <w:right w:val="single" w:sz="4" w:space="0" w:color="auto"/>
            </w:tcBorders>
            <w:shd w:val="clear" w:color="auto" w:fill="auto"/>
            <w:noWrap/>
            <w:vAlign w:val="bottom"/>
            <w:hideMark/>
          </w:tcPr>
          <w:p w14:paraId="3D0C03FE" w14:textId="77777777" w:rsidR="00393ADE" w:rsidRDefault="00393ADE">
            <w:pPr>
              <w:jc w:val="right"/>
              <w:rPr>
                <w:sz w:val="20"/>
                <w:szCs w:val="20"/>
              </w:rPr>
            </w:pPr>
            <w:r>
              <w:rPr>
                <w:sz w:val="20"/>
                <w:szCs w:val="20"/>
              </w:rPr>
              <w:t>676 853</w:t>
            </w:r>
          </w:p>
        </w:tc>
        <w:tc>
          <w:tcPr>
            <w:tcW w:w="1276" w:type="dxa"/>
            <w:tcBorders>
              <w:top w:val="nil"/>
              <w:left w:val="nil"/>
              <w:bottom w:val="single" w:sz="4" w:space="0" w:color="auto"/>
              <w:right w:val="single" w:sz="4" w:space="0" w:color="auto"/>
            </w:tcBorders>
            <w:shd w:val="clear" w:color="auto" w:fill="auto"/>
            <w:noWrap/>
            <w:vAlign w:val="bottom"/>
            <w:hideMark/>
          </w:tcPr>
          <w:p w14:paraId="1101F7AD" w14:textId="77777777" w:rsidR="00393ADE" w:rsidRDefault="00393ADE">
            <w:pPr>
              <w:jc w:val="right"/>
              <w:rPr>
                <w:sz w:val="20"/>
                <w:szCs w:val="20"/>
              </w:rPr>
            </w:pPr>
            <w:r>
              <w:rPr>
                <w:sz w:val="20"/>
                <w:szCs w:val="20"/>
              </w:rPr>
              <w:t>687 683</w:t>
            </w:r>
          </w:p>
        </w:tc>
        <w:tc>
          <w:tcPr>
            <w:tcW w:w="1134" w:type="dxa"/>
            <w:tcBorders>
              <w:top w:val="nil"/>
              <w:left w:val="nil"/>
              <w:bottom w:val="single" w:sz="4" w:space="0" w:color="auto"/>
              <w:right w:val="single" w:sz="4" w:space="0" w:color="auto"/>
            </w:tcBorders>
            <w:shd w:val="clear" w:color="auto" w:fill="auto"/>
            <w:noWrap/>
            <w:vAlign w:val="bottom"/>
            <w:hideMark/>
          </w:tcPr>
          <w:p w14:paraId="13875781" w14:textId="77777777" w:rsidR="00393ADE" w:rsidRDefault="00393ADE">
            <w:pPr>
              <w:jc w:val="right"/>
              <w:rPr>
                <w:sz w:val="20"/>
                <w:szCs w:val="20"/>
              </w:rPr>
            </w:pPr>
            <w:r>
              <w:rPr>
                <w:sz w:val="20"/>
                <w:szCs w:val="20"/>
              </w:rPr>
              <w:t>698 686</w:t>
            </w:r>
          </w:p>
        </w:tc>
      </w:tr>
      <w:tr w:rsidR="00393ADE" w14:paraId="5D9273EF"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vAlign w:val="bottom"/>
            <w:hideMark/>
          </w:tcPr>
          <w:p w14:paraId="636D6F9E" w14:textId="77777777" w:rsidR="00393ADE" w:rsidRPr="00393ADE" w:rsidRDefault="00393ADE" w:rsidP="0074126A">
            <w:pPr>
              <w:rPr>
                <w:sz w:val="20"/>
                <w:szCs w:val="20"/>
              </w:rPr>
            </w:pPr>
            <w:r w:rsidRPr="00393ADE">
              <w:rPr>
                <w:sz w:val="20"/>
                <w:szCs w:val="20"/>
              </w:rPr>
              <w:t xml:space="preserve">URVN ieņēmumu sadalījums </w:t>
            </w:r>
            <w:r w:rsidRPr="00393ADE">
              <w:rPr>
                <w:b/>
                <w:sz w:val="20"/>
                <w:szCs w:val="20"/>
              </w:rPr>
              <w:t>(fakts)</w:t>
            </w:r>
          </w:p>
        </w:tc>
        <w:tc>
          <w:tcPr>
            <w:tcW w:w="1134" w:type="dxa"/>
            <w:tcBorders>
              <w:top w:val="nil"/>
              <w:left w:val="nil"/>
              <w:bottom w:val="single" w:sz="4" w:space="0" w:color="auto"/>
              <w:right w:val="single" w:sz="4" w:space="0" w:color="auto"/>
            </w:tcBorders>
            <w:shd w:val="clear" w:color="auto" w:fill="auto"/>
            <w:noWrap/>
            <w:vAlign w:val="bottom"/>
            <w:hideMark/>
          </w:tcPr>
          <w:p w14:paraId="785FE1E1" w14:textId="77777777" w:rsidR="00393ADE" w:rsidRDefault="00393ADE">
            <w:pPr>
              <w:jc w:val="center"/>
              <w:rPr>
                <w:b/>
                <w:bCs/>
                <w:sz w:val="20"/>
                <w:szCs w:val="20"/>
              </w:rPr>
            </w:pPr>
            <w:r>
              <w:rPr>
                <w:b/>
                <w:bCs/>
                <w:sz w:val="20"/>
                <w:szCs w:val="20"/>
              </w:rPr>
              <w:t>2011.gads</w:t>
            </w:r>
          </w:p>
        </w:tc>
        <w:tc>
          <w:tcPr>
            <w:tcW w:w="1134" w:type="dxa"/>
            <w:tcBorders>
              <w:top w:val="nil"/>
              <w:left w:val="nil"/>
              <w:bottom w:val="single" w:sz="4" w:space="0" w:color="auto"/>
              <w:right w:val="single" w:sz="4" w:space="0" w:color="auto"/>
            </w:tcBorders>
            <w:shd w:val="clear" w:color="auto" w:fill="auto"/>
            <w:noWrap/>
            <w:vAlign w:val="bottom"/>
            <w:hideMark/>
          </w:tcPr>
          <w:p w14:paraId="11695AA5" w14:textId="77777777" w:rsidR="00393ADE" w:rsidRDefault="00393ADE">
            <w:pPr>
              <w:jc w:val="center"/>
              <w:rPr>
                <w:b/>
                <w:bCs/>
                <w:sz w:val="20"/>
                <w:szCs w:val="20"/>
              </w:rPr>
            </w:pPr>
            <w:r>
              <w:rPr>
                <w:b/>
                <w:bCs/>
                <w:sz w:val="20"/>
                <w:szCs w:val="20"/>
              </w:rPr>
              <w:t>2012.gads</w:t>
            </w:r>
          </w:p>
        </w:tc>
        <w:tc>
          <w:tcPr>
            <w:tcW w:w="1134" w:type="dxa"/>
            <w:tcBorders>
              <w:top w:val="nil"/>
              <w:left w:val="nil"/>
              <w:bottom w:val="single" w:sz="4" w:space="0" w:color="auto"/>
              <w:right w:val="single" w:sz="4" w:space="0" w:color="auto"/>
            </w:tcBorders>
            <w:shd w:val="clear" w:color="auto" w:fill="auto"/>
            <w:noWrap/>
            <w:vAlign w:val="bottom"/>
            <w:hideMark/>
          </w:tcPr>
          <w:p w14:paraId="11C7209F" w14:textId="77777777" w:rsidR="00393ADE" w:rsidRDefault="00393ADE">
            <w:pPr>
              <w:jc w:val="center"/>
              <w:rPr>
                <w:b/>
                <w:bCs/>
                <w:sz w:val="20"/>
                <w:szCs w:val="20"/>
              </w:rPr>
            </w:pPr>
            <w:r>
              <w:rPr>
                <w:b/>
                <w:bCs/>
                <w:sz w:val="20"/>
                <w:szCs w:val="20"/>
              </w:rPr>
              <w:t>2013.gads</w:t>
            </w:r>
          </w:p>
        </w:tc>
        <w:tc>
          <w:tcPr>
            <w:tcW w:w="1276" w:type="dxa"/>
            <w:tcBorders>
              <w:top w:val="nil"/>
              <w:left w:val="nil"/>
              <w:bottom w:val="single" w:sz="4" w:space="0" w:color="auto"/>
              <w:right w:val="single" w:sz="4" w:space="0" w:color="auto"/>
            </w:tcBorders>
            <w:shd w:val="clear" w:color="auto" w:fill="auto"/>
            <w:noWrap/>
            <w:vAlign w:val="bottom"/>
            <w:hideMark/>
          </w:tcPr>
          <w:p w14:paraId="1F3B1B7A" w14:textId="77777777" w:rsidR="00393ADE" w:rsidRDefault="00393ADE">
            <w:pPr>
              <w:jc w:val="center"/>
              <w:rPr>
                <w:b/>
                <w:bCs/>
                <w:sz w:val="20"/>
                <w:szCs w:val="20"/>
              </w:rPr>
            </w:pPr>
            <w:r>
              <w:rPr>
                <w:b/>
                <w:bCs/>
                <w:sz w:val="20"/>
                <w:szCs w:val="20"/>
              </w:rPr>
              <w:t>2014.gads</w:t>
            </w:r>
          </w:p>
        </w:tc>
        <w:tc>
          <w:tcPr>
            <w:tcW w:w="1134" w:type="dxa"/>
            <w:tcBorders>
              <w:top w:val="nil"/>
              <w:left w:val="nil"/>
              <w:bottom w:val="single" w:sz="4" w:space="0" w:color="auto"/>
              <w:right w:val="single" w:sz="4" w:space="0" w:color="auto"/>
            </w:tcBorders>
            <w:shd w:val="clear" w:color="auto" w:fill="auto"/>
            <w:noWrap/>
            <w:vAlign w:val="bottom"/>
            <w:hideMark/>
          </w:tcPr>
          <w:p w14:paraId="3999D523" w14:textId="77777777" w:rsidR="00393ADE" w:rsidRDefault="00393ADE" w:rsidP="00611DC6">
            <w:pPr>
              <w:jc w:val="center"/>
              <w:rPr>
                <w:b/>
                <w:bCs/>
                <w:sz w:val="20"/>
                <w:szCs w:val="20"/>
              </w:rPr>
            </w:pPr>
            <w:r>
              <w:rPr>
                <w:b/>
                <w:bCs/>
                <w:sz w:val="20"/>
                <w:szCs w:val="20"/>
              </w:rPr>
              <w:t>201</w:t>
            </w:r>
            <w:r w:rsidR="00611DC6">
              <w:rPr>
                <w:b/>
                <w:bCs/>
                <w:sz w:val="20"/>
                <w:szCs w:val="20"/>
              </w:rPr>
              <w:t>5</w:t>
            </w:r>
            <w:r>
              <w:rPr>
                <w:b/>
                <w:bCs/>
                <w:sz w:val="20"/>
                <w:szCs w:val="20"/>
              </w:rPr>
              <w:t>.gads</w:t>
            </w:r>
          </w:p>
        </w:tc>
      </w:tr>
      <w:tr w:rsidR="00393ADE" w14:paraId="41DF4ED2"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567677F5" w14:textId="77777777" w:rsidR="00393ADE" w:rsidRDefault="00393ADE" w:rsidP="0074126A">
            <w:pPr>
              <w:rPr>
                <w:sz w:val="20"/>
                <w:szCs w:val="20"/>
              </w:rPr>
            </w:pPr>
            <w:r>
              <w:rPr>
                <w:sz w:val="20"/>
                <w:szCs w:val="20"/>
              </w:rPr>
              <w:t>DPGF*</w:t>
            </w:r>
          </w:p>
        </w:tc>
        <w:tc>
          <w:tcPr>
            <w:tcW w:w="1134" w:type="dxa"/>
            <w:tcBorders>
              <w:top w:val="nil"/>
              <w:left w:val="nil"/>
              <w:bottom w:val="single" w:sz="4" w:space="0" w:color="auto"/>
              <w:right w:val="single" w:sz="4" w:space="0" w:color="auto"/>
            </w:tcBorders>
            <w:shd w:val="clear" w:color="auto" w:fill="auto"/>
            <w:noWrap/>
            <w:vAlign w:val="bottom"/>
            <w:hideMark/>
          </w:tcPr>
          <w:p w14:paraId="19E4CD92" w14:textId="77777777" w:rsidR="00393ADE" w:rsidRDefault="00393ADE">
            <w:pPr>
              <w:jc w:val="right"/>
              <w:rPr>
                <w:sz w:val="20"/>
                <w:szCs w:val="20"/>
              </w:rPr>
            </w:pPr>
            <w:r>
              <w:rPr>
                <w:sz w:val="20"/>
                <w:szCs w:val="20"/>
              </w:rPr>
              <w:t>2 195 285</w:t>
            </w:r>
          </w:p>
        </w:tc>
        <w:tc>
          <w:tcPr>
            <w:tcW w:w="1134" w:type="dxa"/>
            <w:tcBorders>
              <w:top w:val="nil"/>
              <w:left w:val="nil"/>
              <w:bottom w:val="single" w:sz="4" w:space="0" w:color="auto"/>
              <w:right w:val="single" w:sz="4" w:space="0" w:color="auto"/>
            </w:tcBorders>
            <w:shd w:val="clear" w:color="auto" w:fill="auto"/>
            <w:noWrap/>
            <w:vAlign w:val="bottom"/>
            <w:hideMark/>
          </w:tcPr>
          <w:p w14:paraId="79AF0C2A" w14:textId="77777777" w:rsidR="00393ADE" w:rsidRDefault="00393ADE">
            <w:pPr>
              <w:jc w:val="right"/>
              <w:rPr>
                <w:sz w:val="20"/>
                <w:szCs w:val="20"/>
              </w:rPr>
            </w:pPr>
            <w:r>
              <w:rPr>
                <w:sz w:val="20"/>
                <w:szCs w:val="20"/>
              </w:rPr>
              <w:t>2 368 407</w:t>
            </w:r>
          </w:p>
        </w:tc>
        <w:tc>
          <w:tcPr>
            <w:tcW w:w="1134" w:type="dxa"/>
            <w:tcBorders>
              <w:top w:val="nil"/>
              <w:left w:val="nil"/>
              <w:bottom w:val="single" w:sz="4" w:space="0" w:color="auto"/>
              <w:right w:val="single" w:sz="4" w:space="0" w:color="auto"/>
            </w:tcBorders>
            <w:shd w:val="clear" w:color="auto" w:fill="auto"/>
            <w:noWrap/>
            <w:vAlign w:val="bottom"/>
            <w:hideMark/>
          </w:tcPr>
          <w:p w14:paraId="4B7294F4" w14:textId="77777777" w:rsidR="00393ADE" w:rsidRDefault="00393ADE">
            <w:pPr>
              <w:jc w:val="right"/>
              <w:rPr>
                <w:sz w:val="20"/>
                <w:szCs w:val="20"/>
              </w:rPr>
            </w:pPr>
            <w:r>
              <w:rPr>
                <w:sz w:val="20"/>
                <w:szCs w:val="20"/>
              </w:rPr>
              <w:t>2 579 773</w:t>
            </w:r>
          </w:p>
        </w:tc>
        <w:tc>
          <w:tcPr>
            <w:tcW w:w="1276" w:type="dxa"/>
            <w:tcBorders>
              <w:top w:val="nil"/>
              <w:left w:val="nil"/>
              <w:bottom w:val="single" w:sz="4" w:space="0" w:color="auto"/>
              <w:right w:val="single" w:sz="4" w:space="0" w:color="auto"/>
            </w:tcBorders>
            <w:shd w:val="clear" w:color="auto" w:fill="auto"/>
            <w:noWrap/>
            <w:vAlign w:val="bottom"/>
            <w:hideMark/>
          </w:tcPr>
          <w:p w14:paraId="05C92B7D" w14:textId="77777777" w:rsidR="00393ADE" w:rsidRDefault="00393ADE">
            <w:pPr>
              <w:jc w:val="right"/>
              <w:rPr>
                <w:sz w:val="20"/>
                <w:szCs w:val="20"/>
              </w:rPr>
            </w:pPr>
            <w:r>
              <w:rPr>
                <w:sz w:val="20"/>
                <w:szCs w:val="20"/>
              </w:rPr>
              <w:t>2 726 825</w:t>
            </w:r>
          </w:p>
        </w:tc>
        <w:tc>
          <w:tcPr>
            <w:tcW w:w="1134" w:type="dxa"/>
            <w:tcBorders>
              <w:top w:val="nil"/>
              <w:left w:val="nil"/>
              <w:bottom w:val="single" w:sz="4" w:space="0" w:color="auto"/>
              <w:right w:val="single" w:sz="4" w:space="0" w:color="auto"/>
            </w:tcBorders>
            <w:shd w:val="clear" w:color="auto" w:fill="auto"/>
            <w:noWrap/>
            <w:vAlign w:val="bottom"/>
            <w:hideMark/>
          </w:tcPr>
          <w:p w14:paraId="1195FB88" w14:textId="77777777" w:rsidR="00393ADE" w:rsidRDefault="00393ADE">
            <w:pPr>
              <w:jc w:val="right"/>
              <w:rPr>
                <w:sz w:val="20"/>
                <w:szCs w:val="20"/>
              </w:rPr>
            </w:pPr>
            <w:r>
              <w:rPr>
                <w:sz w:val="20"/>
                <w:szCs w:val="20"/>
              </w:rPr>
              <w:t>2 771 876</w:t>
            </w:r>
          </w:p>
        </w:tc>
      </w:tr>
      <w:tr w:rsidR="00393ADE" w14:paraId="076A859D"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2EDFB3E5" w14:textId="77777777" w:rsidR="00393ADE" w:rsidRDefault="00393ADE" w:rsidP="0074126A">
            <w:pPr>
              <w:rPr>
                <w:sz w:val="20"/>
                <w:szCs w:val="20"/>
              </w:rPr>
            </w:pPr>
            <w:r>
              <w:rPr>
                <w:sz w:val="20"/>
                <w:szCs w:val="20"/>
              </w:rPr>
              <w:t>MPI**</w:t>
            </w:r>
          </w:p>
        </w:tc>
        <w:tc>
          <w:tcPr>
            <w:tcW w:w="1134" w:type="dxa"/>
            <w:tcBorders>
              <w:top w:val="nil"/>
              <w:left w:val="nil"/>
              <w:bottom w:val="single" w:sz="4" w:space="0" w:color="auto"/>
              <w:right w:val="single" w:sz="4" w:space="0" w:color="auto"/>
            </w:tcBorders>
            <w:shd w:val="clear" w:color="auto" w:fill="auto"/>
            <w:noWrap/>
            <w:vAlign w:val="bottom"/>
            <w:hideMark/>
          </w:tcPr>
          <w:p w14:paraId="5705175B" w14:textId="77777777" w:rsidR="00393ADE" w:rsidRDefault="00393ADE">
            <w:pPr>
              <w:jc w:val="right"/>
              <w:rPr>
                <w:sz w:val="20"/>
                <w:szCs w:val="20"/>
              </w:rPr>
            </w:pPr>
            <w:r>
              <w:rPr>
                <w:sz w:val="20"/>
                <w:szCs w:val="20"/>
              </w:rPr>
              <w:t>619 183</w:t>
            </w:r>
          </w:p>
        </w:tc>
        <w:tc>
          <w:tcPr>
            <w:tcW w:w="1134" w:type="dxa"/>
            <w:tcBorders>
              <w:top w:val="nil"/>
              <w:left w:val="nil"/>
              <w:bottom w:val="single" w:sz="4" w:space="0" w:color="auto"/>
              <w:right w:val="single" w:sz="4" w:space="0" w:color="auto"/>
            </w:tcBorders>
            <w:shd w:val="clear" w:color="auto" w:fill="auto"/>
            <w:noWrap/>
            <w:vAlign w:val="bottom"/>
            <w:hideMark/>
          </w:tcPr>
          <w:p w14:paraId="795DDC9D" w14:textId="77777777" w:rsidR="00393ADE" w:rsidRDefault="00393ADE">
            <w:pPr>
              <w:jc w:val="right"/>
              <w:rPr>
                <w:sz w:val="20"/>
                <w:szCs w:val="20"/>
              </w:rPr>
            </w:pPr>
            <w:r>
              <w:rPr>
                <w:sz w:val="20"/>
                <w:szCs w:val="20"/>
              </w:rPr>
              <w:t>512 814</w:t>
            </w:r>
          </w:p>
        </w:tc>
        <w:tc>
          <w:tcPr>
            <w:tcW w:w="1134" w:type="dxa"/>
            <w:tcBorders>
              <w:top w:val="nil"/>
              <w:left w:val="nil"/>
              <w:bottom w:val="single" w:sz="4" w:space="0" w:color="auto"/>
              <w:right w:val="single" w:sz="4" w:space="0" w:color="auto"/>
            </w:tcBorders>
            <w:shd w:val="clear" w:color="auto" w:fill="auto"/>
            <w:noWrap/>
            <w:vAlign w:val="bottom"/>
            <w:hideMark/>
          </w:tcPr>
          <w:p w14:paraId="20E57C15" w14:textId="77777777" w:rsidR="00393ADE" w:rsidRDefault="00393ADE">
            <w:pPr>
              <w:jc w:val="right"/>
              <w:rPr>
                <w:sz w:val="20"/>
                <w:szCs w:val="20"/>
              </w:rPr>
            </w:pPr>
            <w:r>
              <w:rPr>
                <w:sz w:val="20"/>
                <w:szCs w:val="20"/>
              </w:rPr>
              <w:t>431 130</w:t>
            </w:r>
          </w:p>
        </w:tc>
        <w:tc>
          <w:tcPr>
            <w:tcW w:w="1276" w:type="dxa"/>
            <w:tcBorders>
              <w:top w:val="nil"/>
              <w:left w:val="nil"/>
              <w:bottom w:val="single" w:sz="4" w:space="0" w:color="auto"/>
              <w:right w:val="single" w:sz="4" w:space="0" w:color="auto"/>
            </w:tcBorders>
            <w:shd w:val="clear" w:color="auto" w:fill="auto"/>
            <w:noWrap/>
            <w:vAlign w:val="bottom"/>
            <w:hideMark/>
          </w:tcPr>
          <w:p w14:paraId="1ED5EDA6" w14:textId="77777777" w:rsidR="00393ADE" w:rsidRDefault="00393ADE">
            <w:pPr>
              <w:jc w:val="right"/>
              <w:rPr>
                <w:sz w:val="20"/>
                <w:szCs w:val="20"/>
              </w:rPr>
            </w:pPr>
            <w:r>
              <w:rPr>
                <w:sz w:val="20"/>
                <w:szCs w:val="20"/>
              </w:rPr>
              <w:t>322 638</w:t>
            </w:r>
          </w:p>
        </w:tc>
        <w:tc>
          <w:tcPr>
            <w:tcW w:w="1134" w:type="dxa"/>
            <w:tcBorders>
              <w:top w:val="nil"/>
              <w:left w:val="nil"/>
              <w:bottom w:val="single" w:sz="4" w:space="0" w:color="auto"/>
              <w:right w:val="single" w:sz="4" w:space="0" w:color="auto"/>
            </w:tcBorders>
            <w:shd w:val="clear" w:color="auto" w:fill="auto"/>
            <w:noWrap/>
            <w:vAlign w:val="bottom"/>
            <w:hideMark/>
          </w:tcPr>
          <w:p w14:paraId="100ABFBE" w14:textId="77777777" w:rsidR="00393ADE" w:rsidRDefault="00393ADE">
            <w:pPr>
              <w:jc w:val="right"/>
              <w:rPr>
                <w:sz w:val="20"/>
                <w:szCs w:val="20"/>
              </w:rPr>
            </w:pPr>
            <w:r>
              <w:rPr>
                <w:sz w:val="20"/>
                <w:szCs w:val="20"/>
              </w:rPr>
              <w:t>134 789</w:t>
            </w:r>
          </w:p>
        </w:tc>
      </w:tr>
      <w:tr w:rsidR="00393ADE" w14:paraId="63E1490E"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1C94843F" w14:textId="77777777" w:rsidR="00393ADE" w:rsidRDefault="00393ADE" w:rsidP="0074126A">
            <w:pPr>
              <w:rPr>
                <w:sz w:val="20"/>
                <w:szCs w:val="20"/>
              </w:rPr>
            </w:pPr>
            <w:r>
              <w:rPr>
                <w:sz w:val="20"/>
                <w:szCs w:val="20"/>
              </w:rPr>
              <w:t>MNA***</w:t>
            </w:r>
          </w:p>
        </w:tc>
        <w:tc>
          <w:tcPr>
            <w:tcW w:w="1134" w:type="dxa"/>
            <w:tcBorders>
              <w:top w:val="nil"/>
              <w:left w:val="nil"/>
              <w:bottom w:val="single" w:sz="4" w:space="0" w:color="auto"/>
              <w:right w:val="single" w:sz="4" w:space="0" w:color="auto"/>
            </w:tcBorders>
            <w:shd w:val="clear" w:color="auto" w:fill="auto"/>
            <w:noWrap/>
            <w:vAlign w:val="bottom"/>
            <w:hideMark/>
          </w:tcPr>
          <w:p w14:paraId="08A21ECF" w14:textId="77777777" w:rsidR="00393ADE" w:rsidRDefault="00393ADE">
            <w:pPr>
              <w:jc w:val="center"/>
              <w:rPr>
                <w:sz w:val="20"/>
                <w:szCs w:val="20"/>
              </w:rPr>
            </w:pPr>
            <w:r>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4E84AE56" w14:textId="77777777" w:rsidR="00393ADE" w:rsidRDefault="00393ADE">
            <w:pPr>
              <w:jc w:val="center"/>
              <w:rPr>
                <w:sz w:val="20"/>
                <w:szCs w:val="20"/>
              </w:rPr>
            </w:pPr>
            <w:r>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5320E97D" w14:textId="77777777" w:rsidR="00393ADE" w:rsidRDefault="00393ADE">
            <w:pPr>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30AA4EDB" w14:textId="77777777" w:rsidR="00393ADE" w:rsidRDefault="00393ADE">
            <w:pPr>
              <w:jc w:val="center"/>
              <w:rPr>
                <w:sz w:val="20"/>
                <w:szCs w:val="20"/>
              </w:rPr>
            </w:pPr>
            <w:r>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109FF75C" w14:textId="77777777" w:rsidR="00393ADE" w:rsidRDefault="00393ADE">
            <w:pPr>
              <w:jc w:val="right"/>
              <w:rPr>
                <w:sz w:val="20"/>
                <w:szCs w:val="20"/>
              </w:rPr>
            </w:pPr>
            <w:r>
              <w:rPr>
                <w:sz w:val="20"/>
                <w:szCs w:val="20"/>
              </w:rPr>
              <w:t>130 475</w:t>
            </w:r>
          </w:p>
        </w:tc>
      </w:tr>
      <w:tr w:rsidR="00393ADE" w14:paraId="79AF6CA9"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54BC869C" w14:textId="77777777" w:rsidR="00393ADE" w:rsidRDefault="00393ADE">
            <w:pPr>
              <w:rPr>
                <w:sz w:val="20"/>
                <w:szCs w:val="20"/>
              </w:rPr>
            </w:pPr>
            <w:r>
              <w:rPr>
                <w:sz w:val="20"/>
                <w:szCs w:val="20"/>
              </w:rPr>
              <w:t>URVN kopā</w:t>
            </w:r>
          </w:p>
        </w:tc>
        <w:tc>
          <w:tcPr>
            <w:tcW w:w="1134" w:type="dxa"/>
            <w:tcBorders>
              <w:top w:val="nil"/>
              <w:left w:val="nil"/>
              <w:bottom w:val="single" w:sz="4" w:space="0" w:color="auto"/>
              <w:right w:val="single" w:sz="4" w:space="0" w:color="auto"/>
            </w:tcBorders>
            <w:shd w:val="clear" w:color="auto" w:fill="auto"/>
            <w:noWrap/>
            <w:vAlign w:val="bottom"/>
            <w:hideMark/>
          </w:tcPr>
          <w:p w14:paraId="5F84F76C" w14:textId="77777777" w:rsidR="00393ADE" w:rsidRDefault="00393ADE">
            <w:pPr>
              <w:jc w:val="right"/>
              <w:rPr>
                <w:sz w:val="20"/>
                <w:szCs w:val="20"/>
              </w:rPr>
            </w:pPr>
            <w:r>
              <w:rPr>
                <w:sz w:val="20"/>
                <w:szCs w:val="20"/>
              </w:rPr>
              <w:t>2 814 467</w:t>
            </w:r>
          </w:p>
        </w:tc>
        <w:tc>
          <w:tcPr>
            <w:tcW w:w="1134" w:type="dxa"/>
            <w:tcBorders>
              <w:top w:val="nil"/>
              <w:left w:val="nil"/>
              <w:bottom w:val="single" w:sz="4" w:space="0" w:color="auto"/>
              <w:right w:val="single" w:sz="4" w:space="0" w:color="auto"/>
            </w:tcBorders>
            <w:shd w:val="clear" w:color="auto" w:fill="auto"/>
            <w:noWrap/>
            <w:vAlign w:val="bottom"/>
            <w:hideMark/>
          </w:tcPr>
          <w:p w14:paraId="0B14C188" w14:textId="77777777" w:rsidR="00393ADE" w:rsidRDefault="00393ADE">
            <w:pPr>
              <w:jc w:val="right"/>
              <w:rPr>
                <w:sz w:val="20"/>
                <w:szCs w:val="20"/>
              </w:rPr>
            </w:pPr>
            <w:r>
              <w:rPr>
                <w:sz w:val="20"/>
                <w:szCs w:val="20"/>
              </w:rPr>
              <w:t>2 881 222</w:t>
            </w:r>
          </w:p>
        </w:tc>
        <w:tc>
          <w:tcPr>
            <w:tcW w:w="1134" w:type="dxa"/>
            <w:tcBorders>
              <w:top w:val="nil"/>
              <w:left w:val="nil"/>
              <w:bottom w:val="single" w:sz="4" w:space="0" w:color="auto"/>
              <w:right w:val="single" w:sz="4" w:space="0" w:color="auto"/>
            </w:tcBorders>
            <w:shd w:val="clear" w:color="auto" w:fill="auto"/>
            <w:noWrap/>
            <w:vAlign w:val="bottom"/>
            <w:hideMark/>
          </w:tcPr>
          <w:p w14:paraId="365122F9" w14:textId="77777777" w:rsidR="00393ADE" w:rsidRDefault="00393ADE">
            <w:pPr>
              <w:jc w:val="right"/>
              <w:rPr>
                <w:sz w:val="20"/>
                <w:szCs w:val="20"/>
              </w:rPr>
            </w:pPr>
            <w:r>
              <w:rPr>
                <w:sz w:val="20"/>
                <w:szCs w:val="20"/>
              </w:rPr>
              <w:t>3 010 903</w:t>
            </w:r>
          </w:p>
        </w:tc>
        <w:tc>
          <w:tcPr>
            <w:tcW w:w="1276" w:type="dxa"/>
            <w:tcBorders>
              <w:top w:val="nil"/>
              <w:left w:val="nil"/>
              <w:bottom w:val="single" w:sz="4" w:space="0" w:color="auto"/>
              <w:right w:val="single" w:sz="4" w:space="0" w:color="auto"/>
            </w:tcBorders>
            <w:shd w:val="clear" w:color="auto" w:fill="auto"/>
            <w:noWrap/>
            <w:vAlign w:val="bottom"/>
            <w:hideMark/>
          </w:tcPr>
          <w:p w14:paraId="61B77682" w14:textId="77777777" w:rsidR="00393ADE" w:rsidRDefault="00393ADE">
            <w:pPr>
              <w:jc w:val="right"/>
              <w:rPr>
                <w:sz w:val="20"/>
                <w:szCs w:val="20"/>
              </w:rPr>
            </w:pPr>
            <w:r>
              <w:rPr>
                <w:sz w:val="20"/>
                <w:szCs w:val="20"/>
              </w:rPr>
              <w:t>3 049 463</w:t>
            </w:r>
          </w:p>
        </w:tc>
        <w:tc>
          <w:tcPr>
            <w:tcW w:w="1134" w:type="dxa"/>
            <w:tcBorders>
              <w:top w:val="nil"/>
              <w:left w:val="nil"/>
              <w:bottom w:val="single" w:sz="4" w:space="0" w:color="auto"/>
              <w:right w:val="single" w:sz="4" w:space="0" w:color="auto"/>
            </w:tcBorders>
            <w:shd w:val="clear" w:color="auto" w:fill="auto"/>
            <w:noWrap/>
            <w:vAlign w:val="bottom"/>
            <w:hideMark/>
          </w:tcPr>
          <w:p w14:paraId="564A4113" w14:textId="77777777" w:rsidR="00393ADE" w:rsidRDefault="00393ADE">
            <w:pPr>
              <w:jc w:val="right"/>
              <w:rPr>
                <w:sz w:val="20"/>
                <w:szCs w:val="20"/>
              </w:rPr>
            </w:pPr>
            <w:r>
              <w:rPr>
                <w:sz w:val="20"/>
                <w:szCs w:val="20"/>
              </w:rPr>
              <w:t>3 037 140</w:t>
            </w:r>
          </w:p>
        </w:tc>
      </w:tr>
      <w:tr w:rsidR="00393ADE" w14:paraId="6990164F" w14:textId="77777777" w:rsidTr="00611DC6">
        <w:trPr>
          <w:trHeight w:val="255"/>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14:paraId="59E88BC6" w14:textId="77777777" w:rsidR="00393ADE" w:rsidRDefault="00393ADE">
            <w:pPr>
              <w:rPr>
                <w:sz w:val="20"/>
                <w:szCs w:val="20"/>
              </w:rPr>
            </w:pPr>
            <w:r>
              <w:rPr>
                <w:sz w:val="20"/>
                <w:szCs w:val="20"/>
              </w:rPr>
              <w:t>Darbinieku skaits, par kuriem maksāta URVN (vidēji mēnesī)</w:t>
            </w:r>
          </w:p>
        </w:tc>
        <w:tc>
          <w:tcPr>
            <w:tcW w:w="1134" w:type="dxa"/>
            <w:tcBorders>
              <w:top w:val="nil"/>
              <w:left w:val="nil"/>
              <w:bottom w:val="single" w:sz="4" w:space="0" w:color="auto"/>
              <w:right w:val="single" w:sz="4" w:space="0" w:color="auto"/>
            </w:tcBorders>
            <w:shd w:val="clear" w:color="auto" w:fill="auto"/>
            <w:noWrap/>
            <w:vAlign w:val="bottom"/>
            <w:hideMark/>
          </w:tcPr>
          <w:p w14:paraId="494718D9" w14:textId="77777777" w:rsidR="00393ADE" w:rsidRDefault="00393ADE">
            <w:pPr>
              <w:jc w:val="right"/>
              <w:rPr>
                <w:sz w:val="20"/>
                <w:szCs w:val="20"/>
              </w:rPr>
            </w:pPr>
            <w:r>
              <w:rPr>
                <w:sz w:val="20"/>
                <w:szCs w:val="20"/>
              </w:rPr>
              <w:t>656 349</w:t>
            </w:r>
          </w:p>
        </w:tc>
        <w:tc>
          <w:tcPr>
            <w:tcW w:w="1134" w:type="dxa"/>
            <w:tcBorders>
              <w:top w:val="nil"/>
              <w:left w:val="nil"/>
              <w:bottom w:val="single" w:sz="4" w:space="0" w:color="auto"/>
              <w:right w:val="single" w:sz="4" w:space="0" w:color="auto"/>
            </w:tcBorders>
            <w:shd w:val="clear" w:color="auto" w:fill="auto"/>
            <w:noWrap/>
            <w:vAlign w:val="bottom"/>
            <w:hideMark/>
          </w:tcPr>
          <w:p w14:paraId="47912894" w14:textId="77777777" w:rsidR="00393ADE" w:rsidRDefault="00393ADE">
            <w:pPr>
              <w:jc w:val="right"/>
              <w:rPr>
                <w:sz w:val="20"/>
                <w:szCs w:val="20"/>
              </w:rPr>
            </w:pPr>
            <w:r>
              <w:rPr>
                <w:sz w:val="20"/>
                <w:szCs w:val="20"/>
              </w:rPr>
              <w:t>674 978</w:t>
            </w:r>
          </w:p>
        </w:tc>
        <w:tc>
          <w:tcPr>
            <w:tcW w:w="1134" w:type="dxa"/>
            <w:tcBorders>
              <w:top w:val="nil"/>
              <w:left w:val="nil"/>
              <w:bottom w:val="single" w:sz="4" w:space="0" w:color="auto"/>
              <w:right w:val="single" w:sz="4" w:space="0" w:color="auto"/>
            </w:tcBorders>
            <w:shd w:val="clear" w:color="auto" w:fill="auto"/>
            <w:noWrap/>
            <w:vAlign w:val="bottom"/>
            <w:hideMark/>
          </w:tcPr>
          <w:p w14:paraId="26CE9740" w14:textId="77777777" w:rsidR="00393ADE" w:rsidRDefault="00393ADE">
            <w:pPr>
              <w:jc w:val="right"/>
              <w:rPr>
                <w:sz w:val="20"/>
                <w:szCs w:val="20"/>
              </w:rPr>
            </w:pPr>
            <w:r>
              <w:rPr>
                <w:sz w:val="20"/>
                <w:szCs w:val="20"/>
              </w:rPr>
              <w:t>705 358</w:t>
            </w:r>
          </w:p>
        </w:tc>
        <w:tc>
          <w:tcPr>
            <w:tcW w:w="1276" w:type="dxa"/>
            <w:tcBorders>
              <w:top w:val="nil"/>
              <w:left w:val="nil"/>
              <w:bottom w:val="single" w:sz="4" w:space="0" w:color="auto"/>
              <w:right w:val="single" w:sz="4" w:space="0" w:color="auto"/>
            </w:tcBorders>
            <w:shd w:val="clear" w:color="auto" w:fill="auto"/>
            <w:noWrap/>
            <w:vAlign w:val="bottom"/>
            <w:hideMark/>
          </w:tcPr>
          <w:p w14:paraId="5E8D31CA" w14:textId="77777777" w:rsidR="00393ADE" w:rsidRDefault="00393ADE">
            <w:pPr>
              <w:jc w:val="right"/>
              <w:rPr>
                <w:sz w:val="20"/>
                <w:szCs w:val="20"/>
              </w:rPr>
            </w:pPr>
            <w:r>
              <w:rPr>
                <w:sz w:val="20"/>
                <w:szCs w:val="20"/>
              </w:rPr>
              <w:t>698 489</w:t>
            </w:r>
          </w:p>
        </w:tc>
        <w:tc>
          <w:tcPr>
            <w:tcW w:w="1134" w:type="dxa"/>
            <w:tcBorders>
              <w:top w:val="nil"/>
              <w:left w:val="nil"/>
              <w:bottom w:val="single" w:sz="4" w:space="0" w:color="auto"/>
              <w:right w:val="single" w:sz="4" w:space="0" w:color="auto"/>
            </w:tcBorders>
            <w:shd w:val="clear" w:color="auto" w:fill="auto"/>
            <w:noWrap/>
            <w:vAlign w:val="bottom"/>
            <w:hideMark/>
          </w:tcPr>
          <w:p w14:paraId="69BBED6B" w14:textId="77777777" w:rsidR="00393ADE" w:rsidRDefault="00393ADE">
            <w:pPr>
              <w:jc w:val="right"/>
              <w:rPr>
                <w:sz w:val="20"/>
                <w:szCs w:val="20"/>
              </w:rPr>
            </w:pPr>
            <w:r>
              <w:rPr>
                <w:sz w:val="20"/>
                <w:szCs w:val="20"/>
              </w:rPr>
              <w:t>696 295</w:t>
            </w:r>
          </w:p>
        </w:tc>
      </w:tr>
    </w:tbl>
    <w:p w14:paraId="57B4B8E1" w14:textId="77777777" w:rsidR="00D454E9" w:rsidRDefault="00D454E9" w:rsidP="00F629DD">
      <w:pPr>
        <w:rPr>
          <w:sz w:val="20"/>
          <w:szCs w:val="20"/>
        </w:rPr>
      </w:pPr>
    </w:p>
    <w:p w14:paraId="4B2563F5" w14:textId="77777777" w:rsidR="00C02CAA" w:rsidRPr="001E23E1" w:rsidRDefault="00C02CAA" w:rsidP="00F629DD">
      <w:pPr>
        <w:rPr>
          <w:sz w:val="20"/>
          <w:szCs w:val="20"/>
        </w:rPr>
      </w:pPr>
      <w:r w:rsidRPr="001E23E1">
        <w:rPr>
          <w:sz w:val="20"/>
          <w:szCs w:val="20"/>
        </w:rPr>
        <w:t>DPGF*– darbinieku prasījumu garantiju fonds</w:t>
      </w:r>
    </w:p>
    <w:p w14:paraId="74788E22" w14:textId="77777777" w:rsidR="00C02CAA" w:rsidRPr="001E23E1" w:rsidRDefault="00C02CAA" w:rsidP="00F629DD">
      <w:pPr>
        <w:rPr>
          <w:sz w:val="20"/>
          <w:szCs w:val="20"/>
        </w:rPr>
      </w:pPr>
      <w:r w:rsidRPr="001E23E1">
        <w:rPr>
          <w:sz w:val="20"/>
          <w:szCs w:val="20"/>
        </w:rPr>
        <w:t>MPI**– maksātnespējas procesa izmaksas (izdevum</w:t>
      </w:r>
      <w:r w:rsidR="00765599">
        <w:rPr>
          <w:sz w:val="20"/>
          <w:szCs w:val="20"/>
        </w:rPr>
        <w:t>i</w:t>
      </w:r>
      <w:r w:rsidRPr="001E23E1">
        <w:rPr>
          <w:sz w:val="20"/>
          <w:szCs w:val="20"/>
        </w:rPr>
        <w:t xml:space="preserve"> un administratora atlīdzība)</w:t>
      </w:r>
    </w:p>
    <w:p w14:paraId="4FF1B047" w14:textId="77777777" w:rsidR="00C02CAA" w:rsidRPr="001E23E1" w:rsidRDefault="00C02CAA" w:rsidP="00F629DD">
      <w:pPr>
        <w:rPr>
          <w:b/>
          <w:sz w:val="28"/>
          <w:szCs w:val="28"/>
        </w:rPr>
      </w:pPr>
      <w:r w:rsidRPr="001E23E1">
        <w:rPr>
          <w:sz w:val="20"/>
          <w:szCs w:val="20"/>
        </w:rPr>
        <w:t>MNA*** – Maksātnespējas administrācija</w:t>
      </w:r>
    </w:p>
    <w:p w14:paraId="06046C70" w14:textId="77777777" w:rsidR="00C02CAA" w:rsidRPr="001E23E1" w:rsidRDefault="00C02CAA" w:rsidP="00F629DD">
      <w:pPr>
        <w:jc w:val="both"/>
        <w:rPr>
          <w:sz w:val="28"/>
          <w:szCs w:val="28"/>
        </w:rPr>
      </w:pPr>
    </w:p>
    <w:p w14:paraId="72C0B397" w14:textId="77777777" w:rsidR="00C02CAA" w:rsidRPr="00D454E9" w:rsidRDefault="00C02CAA" w:rsidP="00D454E9">
      <w:pPr>
        <w:ind w:firstLine="720"/>
        <w:jc w:val="both"/>
      </w:pPr>
      <w:r w:rsidRPr="00D454E9">
        <w:t>Līdz 201</w:t>
      </w:r>
      <w:r w:rsidR="000B05B3" w:rsidRPr="00D454E9">
        <w:t>5</w:t>
      </w:r>
      <w:r w:rsidRPr="00D454E9">
        <w:t>.gada 31.decembrim no URVN</w:t>
      </w:r>
      <w:r w:rsidR="001D518A" w:rsidRPr="00D454E9">
        <w:t xml:space="preserve"> </w:t>
      </w:r>
      <w:r w:rsidRPr="00D454E9">
        <w:t>ienākumiem saskaņā ar normatīvo regulējumu sedza:</w:t>
      </w:r>
    </w:p>
    <w:p w14:paraId="65B69CD1" w14:textId="77777777" w:rsidR="00C02CAA" w:rsidRPr="00D454E9" w:rsidRDefault="00C02CAA" w:rsidP="00D454E9">
      <w:pPr>
        <w:numPr>
          <w:ilvl w:val="0"/>
          <w:numId w:val="32"/>
        </w:numPr>
        <w:ind w:left="0" w:firstLine="720"/>
        <w:jc w:val="both"/>
      </w:pPr>
      <w:r w:rsidRPr="00D454E9">
        <w:t>darbinieku prasījumus;</w:t>
      </w:r>
    </w:p>
    <w:p w14:paraId="29AAEC99" w14:textId="77777777" w:rsidR="00C02CAA" w:rsidRPr="00D454E9" w:rsidRDefault="00316110" w:rsidP="00D454E9">
      <w:pPr>
        <w:numPr>
          <w:ilvl w:val="0"/>
          <w:numId w:val="32"/>
        </w:numPr>
        <w:ind w:left="0" w:firstLine="720"/>
        <w:jc w:val="both"/>
      </w:pPr>
      <w:r w:rsidRPr="00D454E9">
        <w:t xml:space="preserve">juridiskās personas maksātnespējas procesa </w:t>
      </w:r>
      <w:r w:rsidR="00C02CAA" w:rsidRPr="00D454E9">
        <w:t>izmaksas tajos maksātnespējas procesos, kas uzsākti līdz 2010.gada 3</w:t>
      </w:r>
      <w:r w:rsidR="001F7509" w:rsidRPr="00D454E9">
        <w:t>1</w:t>
      </w:r>
      <w:r w:rsidR="00C02CAA" w:rsidRPr="00D454E9">
        <w:t>.oktobrim;</w:t>
      </w:r>
    </w:p>
    <w:p w14:paraId="1D4367ED" w14:textId="77777777" w:rsidR="00C02CAA" w:rsidRPr="00D454E9" w:rsidRDefault="00FB0693" w:rsidP="00D454E9">
      <w:pPr>
        <w:numPr>
          <w:ilvl w:val="0"/>
          <w:numId w:val="32"/>
        </w:numPr>
        <w:ind w:left="0" w:firstLine="720"/>
        <w:jc w:val="both"/>
      </w:pPr>
      <w:r>
        <w:t xml:space="preserve">maksātnespējas procesa </w:t>
      </w:r>
      <w:r w:rsidR="00C02CAA" w:rsidRPr="00D454E9">
        <w:t>administratora atlīdzību 6,40</w:t>
      </w:r>
      <w:r w:rsidR="001F7509" w:rsidRPr="00D454E9">
        <w:t xml:space="preserve"> </w:t>
      </w:r>
      <w:r w:rsidR="00C02CAA" w:rsidRPr="00D454E9">
        <w:rPr>
          <w:i/>
        </w:rPr>
        <w:t>euro</w:t>
      </w:r>
      <w:r w:rsidR="00C02CAA" w:rsidRPr="00D454E9">
        <w:t xml:space="preserve"> par katra darbinieka prasījumu </w:t>
      </w:r>
      <w:r w:rsidR="00E30246" w:rsidRPr="00D454E9">
        <w:t>apmierināšanu</w:t>
      </w:r>
      <w:r w:rsidR="00C02CAA" w:rsidRPr="00D454E9">
        <w:t xml:space="preserve">; </w:t>
      </w:r>
    </w:p>
    <w:p w14:paraId="3DF6A75F" w14:textId="77777777" w:rsidR="00C02CAA" w:rsidRPr="00D454E9" w:rsidRDefault="00C02CAA" w:rsidP="00D454E9">
      <w:pPr>
        <w:numPr>
          <w:ilvl w:val="0"/>
          <w:numId w:val="32"/>
        </w:numPr>
        <w:ind w:left="0" w:firstLine="720"/>
        <w:jc w:val="both"/>
      </w:pPr>
      <w:r w:rsidRPr="00D454E9">
        <w:t>juridiskās personas maksātnespējas procesa depozītu, ja darbinieks atbrīvots no depozīta iemaksas (Satversmes tiesas 2012.gada 20.aprīļa spriedum</w:t>
      </w:r>
      <w:r w:rsidR="000B05B3" w:rsidRPr="00D454E9">
        <w:t>s</w:t>
      </w:r>
      <w:r w:rsidRPr="00D454E9">
        <w:t xml:space="preserve"> lietā Nr.</w:t>
      </w:r>
      <w:r w:rsidRPr="00D454E9">
        <w:rPr>
          <w:shd w:val="clear" w:color="auto" w:fill="FFFFFF"/>
        </w:rPr>
        <w:t>2011-16-01</w:t>
      </w:r>
      <w:r w:rsidRPr="00D454E9">
        <w:t xml:space="preserve">, </w:t>
      </w:r>
      <w:r w:rsidR="000B05B3" w:rsidRPr="00D454E9">
        <w:t>saskaņā</w:t>
      </w:r>
      <w:r w:rsidR="001D518A" w:rsidRPr="00D454E9">
        <w:t xml:space="preserve"> </w:t>
      </w:r>
      <w:r w:rsidRPr="00D454E9">
        <w:t xml:space="preserve">ar Maksātnespējas likuma grozījumiem, kas stājās spēkā </w:t>
      </w:r>
      <w:hyperlink r:id="rId8" w:tgtFrame="_blank" w:history="1">
        <w:r w:rsidRPr="00D454E9">
          <w:t>2015.</w:t>
        </w:r>
      </w:hyperlink>
      <w:r w:rsidRPr="00D454E9">
        <w:t>gada 1.martā).</w:t>
      </w:r>
    </w:p>
    <w:p w14:paraId="3A7FAACC" w14:textId="77777777" w:rsidR="00C02CAA" w:rsidRPr="00D454E9" w:rsidRDefault="00C02CAA" w:rsidP="00D454E9">
      <w:pPr>
        <w:ind w:firstLine="720"/>
        <w:jc w:val="both"/>
      </w:pPr>
      <w:r w:rsidRPr="00D454E9">
        <w:t>Šajā nodaļā apkopotie dati un izdarītie secinājumi ir ņemti par pamatu, plānojot URVN ieņēmumus un izdevumus</w:t>
      </w:r>
      <w:r w:rsidR="00316110" w:rsidRPr="00D454E9">
        <w:t xml:space="preserve"> laika </w:t>
      </w:r>
      <w:r w:rsidRPr="00D454E9">
        <w:t>periodam no 201</w:t>
      </w:r>
      <w:r w:rsidR="00132C9E" w:rsidRPr="00D454E9">
        <w:t>7</w:t>
      </w:r>
      <w:r w:rsidRPr="00D454E9">
        <w:t>. līdz 201</w:t>
      </w:r>
      <w:r w:rsidR="00132C9E" w:rsidRPr="00D454E9">
        <w:t>9</w:t>
      </w:r>
      <w:r w:rsidRPr="00D454E9">
        <w:t>.gadam.</w:t>
      </w:r>
    </w:p>
    <w:p w14:paraId="4EC8324B" w14:textId="77777777" w:rsidR="00316110" w:rsidRPr="00D454E9" w:rsidRDefault="00316110" w:rsidP="00D454E9">
      <w:pPr>
        <w:ind w:firstLine="720"/>
        <w:jc w:val="both"/>
      </w:pPr>
      <w:r w:rsidRPr="00D454E9">
        <w:t>Vienlaikus, plānojot URVN izdevumus laika periodam no 2017. līdz 2019.gadam, tiek ņemts vērā, ka likumprojektā “Likvidācijas kā piespiedu ietekmēšanas līdzekļa izpildes likums” (</w:t>
      </w:r>
      <w:r w:rsidRPr="00D454E9">
        <w:rPr>
          <w:i/>
        </w:rPr>
        <w:t>Nr.323/Lp12</w:t>
      </w:r>
      <w:r w:rsidRPr="00D454E9">
        <w:t xml:space="preserve">) ir paredzēts, ka tad, ja likvidējamās juridiskās personas līdzekļi nav pietiekami, lai segtu maksātnespējas procesa izmaksas, tās sedz </w:t>
      </w:r>
      <w:r w:rsidR="001120E3">
        <w:t xml:space="preserve">no </w:t>
      </w:r>
      <w:r w:rsidRPr="00D454E9">
        <w:t>URVN līdzekļiem, kuri piešķirti juridiskās personas maksātnespējas procesa izmaksu segšanai.</w:t>
      </w:r>
    </w:p>
    <w:p w14:paraId="713E4D72" w14:textId="77777777" w:rsidR="00C02CAA" w:rsidRPr="00D454E9" w:rsidRDefault="00C02CAA" w:rsidP="00990100">
      <w:pPr>
        <w:ind w:firstLine="720"/>
        <w:jc w:val="both"/>
      </w:pPr>
    </w:p>
    <w:p w14:paraId="7E2E0552" w14:textId="77777777" w:rsidR="00C02CAA" w:rsidRDefault="005749B8" w:rsidP="00D454E9">
      <w:pPr>
        <w:pStyle w:val="Heading2"/>
        <w:numPr>
          <w:ilvl w:val="0"/>
          <w:numId w:val="0"/>
        </w:numPr>
        <w:tabs>
          <w:tab w:val="left" w:pos="567"/>
        </w:tabs>
        <w:spacing w:before="0" w:after="0"/>
        <w:ind w:firstLine="720"/>
        <w:jc w:val="both"/>
        <w:rPr>
          <w:rFonts w:ascii="Times New Roman" w:hAnsi="Times New Roman" w:cs="Times New Roman"/>
          <w:i w:val="0"/>
          <w:iCs w:val="0"/>
          <w:sz w:val="24"/>
          <w:szCs w:val="24"/>
        </w:rPr>
      </w:pPr>
      <w:bookmarkStart w:id="16" w:name="_Toc320629761"/>
      <w:bookmarkStart w:id="17" w:name="_Toc410048276"/>
      <w:bookmarkStart w:id="18" w:name="_Toc414279021"/>
      <w:bookmarkStart w:id="19" w:name="_Toc453263307"/>
      <w:r w:rsidRPr="00D454E9">
        <w:rPr>
          <w:rFonts w:ascii="Times New Roman" w:hAnsi="Times New Roman" w:cs="Times New Roman"/>
          <w:i w:val="0"/>
          <w:iCs w:val="0"/>
          <w:sz w:val="24"/>
          <w:szCs w:val="24"/>
        </w:rPr>
        <w:t>1</w:t>
      </w:r>
      <w:r w:rsidR="00C02CAA" w:rsidRPr="00D454E9">
        <w:rPr>
          <w:rFonts w:ascii="Times New Roman" w:hAnsi="Times New Roman" w:cs="Times New Roman"/>
          <w:i w:val="0"/>
          <w:iCs w:val="0"/>
          <w:sz w:val="24"/>
          <w:szCs w:val="24"/>
        </w:rPr>
        <w:t>. Budžeta apakšprogramma 06.05.00 „Maksātnespējas procesa izmaksas”</w:t>
      </w:r>
      <w:bookmarkEnd w:id="16"/>
      <w:r w:rsidR="00C02CAA" w:rsidRPr="00D454E9">
        <w:rPr>
          <w:rFonts w:ascii="Times New Roman" w:hAnsi="Times New Roman" w:cs="Times New Roman"/>
          <w:i w:val="0"/>
          <w:iCs w:val="0"/>
          <w:sz w:val="24"/>
          <w:szCs w:val="24"/>
        </w:rPr>
        <w:t xml:space="preserve"> (līdz</w:t>
      </w:r>
      <w:r w:rsidR="00F76E88" w:rsidRPr="00D454E9">
        <w:rPr>
          <w:rFonts w:ascii="Times New Roman" w:hAnsi="Times New Roman" w:cs="Times New Roman"/>
          <w:i w:val="0"/>
          <w:iCs w:val="0"/>
          <w:sz w:val="24"/>
          <w:szCs w:val="24"/>
        </w:rPr>
        <w:t xml:space="preserve"> </w:t>
      </w:r>
      <w:r w:rsidR="00C02CAA" w:rsidRPr="00D454E9">
        <w:rPr>
          <w:rFonts w:ascii="Times New Roman" w:hAnsi="Times New Roman" w:cs="Times New Roman"/>
          <w:i w:val="0"/>
          <w:iCs w:val="0"/>
          <w:sz w:val="24"/>
          <w:szCs w:val="24"/>
        </w:rPr>
        <w:t xml:space="preserve">2014.gadam – 35.03.00 </w:t>
      </w:r>
      <w:r w:rsidR="001120E3">
        <w:rPr>
          <w:rFonts w:ascii="Times New Roman" w:hAnsi="Times New Roman" w:cs="Times New Roman"/>
          <w:i w:val="0"/>
          <w:iCs w:val="0"/>
          <w:sz w:val="24"/>
          <w:szCs w:val="24"/>
        </w:rPr>
        <w:t>„</w:t>
      </w:r>
      <w:r w:rsidR="00C02CAA" w:rsidRPr="00D454E9">
        <w:rPr>
          <w:rFonts w:ascii="Times New Roman" w:hAnsi="Times New Roman" w:cs="Times New Roman"/>
          <w:i w:val="0"/>
          <w:iCs w:val="0"/>
          <w:sz w:val="24"/>
          <w:szCs w:val="24"/>
        </w:rPr>
        <w:t>Maksātnespējas procesa izmaksas</w:t>
      </w:r>
      <w:r w:rsidR="001120E3">
        <w:rPr>
          <w:rFonts w:ascii="Times New Roman" w:hAnsi="Times New Roman" w:cs="Times New Roman"/>
          <w:i w:val="0"/>
          <w:iCs w:val="0"/>
          <w:sz w:val="24"/>
          <w:szCs w:val="24"/>
        </w:rPr>
        <w:t>”</w:t>
      </w:r>
      <w:r w:rsidR="00C02CAA" w:rsidRPr="00D454E9">
        <w:rPr>
          <w:rFonts w:ascii="Times New Roman" w:hAnsi="Times New Roman" w:cs="Times New Roman"/>
          <w:i w:val="0"/>
          <w:iCs w:val="0"/>
          <w:sz w:val="24"/>
          <w:szCs w:val="24"/>
        </w:rPr>
        <w:t>)</w:t>
      </w:r>
      <w:bookmarkEnd w:id="17"/>
      <w:bookmarkEnd w:id="18"/>
      <w:bookmarkEnd w:id="19"/>
    </w:p>
    <w:p w14:paraId="468F252E" w14:textId="77777777" w:rsidR="00D454E9" w:rsidRPr="00D454E9" w:rsidRDefault="00D454E9" w:rsidP="00D454E9">
      <w:pPr>
        <w:ind w:firstLine="720"/>
      </w:pPr>
    </w:p>
    <w:p w14:paraId="7C92426E" w14:textId="77777777" w:rsidR="00C02CAA" w:rsidRPr="00D454E9" w:rsidRDefault="005749B8" w:rsidP="00D454E9">
      <w:pPr>
        <w:pStyle w:val="Heading3"/>
        <w:numPr>
          <w:ilvl w:val="0"/>
          <w:numId w:val="0"/>
        </w:numPr>
        <w:spacing w:before="0" w:after="0"/>
        <w:ind w:firstLine="720"/>
        <w:jc w:val="both"/>
        <w:rPr>
          <w:rFonts w:ascii="Times New Roman" w:hAnsi="Times New Roman" w:cs="Times New Roman"/>
          <w:sz w:val="24"/>
          <w:szCs w:val="24"/>
        </w:rPr>
      </w:pPr>
      <w:bookmarkStart w:id="20" w:name="_Toc410048277"/>
      <w:bookmarkStart w:id="21" w:name="_Toc414279022"/>
      <w:bookmarkStart w:id="22" w:name="_Toc453263308"/>
      <w:r w:rsidRPr="00D454E9">
        <w:rPr>
          <w:rFonts w:ascii="Times New Roman" w:hAnsi="Times New Roman" w:cs="Times New Roman"/>
          <w:sz w:val="24"/>
          <w:szCs w:val="24"/>
        </w:rPr>
        <w:t>1</w:t>
      </w:r>
      <w:r w:rsidR="00C02CAA" w:rsidRPr="00D454E9">
        <w:rPr>
          <w:rFonts w:ascii="Times New Roman" w:hAnsi="Times New Roman" w:cs="Times New Roman"/>
          <w:sz w:val="24"/>
          <w:szCs w:val="24"/>
        </w:rPr>
        <w:t>.1. Budžeta apakšprogrammas „Maksātnespējas procesa izmaksas” mērķis</w:t>
      </w:r>
      <w:bookmarkEnd w:id="20"/>
      <w:bookmarkEnd w:id="21"/>
      <w:bookmarkEnd w:id="22"/>
    </w:p>
    <w:p w14:paraId="120B654F" w14:textId="77777777" w:rsidR="00C02CAA" w:rsidRPr="00D454E9" w:rsidRDefault="00C352D1" w:rsidP="00D454E9">
      <w:pPr>
        <w:tabs>
          <w:tab w:val="left" w:pos="720"/>
        </w:tabs>
        <w:ind w:firstLine="720"/>
        <w:jc w:val="both"/>
      </w:pPr>
      <w:r w:rsidRPr="00D454E9">
        <w:t xml:space="preserve">Budžeta apakšprogrammas 06.05.00 „Maksātnespējas procesa izmaksas” (līdz 2014.gadam – 35.03.00 </w:t>
      </w:r>
      <w:r w:rsidR="001120E3">
        <w:t>„</w:t>
      </w:r>
      <w:r w:rsidRPr="00D454E9">
        <w:t>Maksātnespējas procesa izmaksas</w:t>
      </w:r>
      <w:r w:rsidR="001120E3">
        <w:t>”</w:t>
      </w:r>
      <w:r w:rsidRPr="00D454E9">
        <w:t>) (turpmāk</w:t>
      </w:r>
      <w:r w:rsidR="003D2303">
        <w:t xml:space="preserve"> </w:t>
      </w:r>
      <w:r w:rsidRPr="00D454E9">
        <w:t xml:space="preserve">– </w:t>
      </w:r>
      <w:r w:rsidR="00CA1A48">
        <w:t xml:space="preserve">budžeta </w:t>
      </w:r>
      <w:r w:rsidR="00FB0693">
        <w:t xml:space="preserve">apakšprogramma </w:t>
      </w:r>
      <w:r w:rsidR="00FB0693" w:rsidRPr="00FB0693">
        <w:t>„</w:t>
      </w:r>
      <w:r w:rsidR="00FB0693">
        <w:rPr>
          <w:iCs/>
        </w:rPr>
        <w:t>M</w:t>
      </w:r>
      <w:r w:rsidR="00FB0693" w:rsidRPr="00FB0693">
        <w:rPr>
          <w:iCs/>
        </w:rPr>
        <w:t>aksātnespējas procesa izmaksas</w:t>
      </w:r>
      <w:r w:rsidR="00FB0693">
        <w:t>”</w:t>
      </w:r>
      <w:r w:rsidRPr="00D454E9">
        <w:rPr>
          <w:iCs/>
        </w:rPr>
        <w:t xml:space="preserve">) ietvaros Maksātnespējas administrācijas </w:t>
      </w:r>
      <w:r w:rsidRPr="00D454E9">
        <w:t>galvenais darbības mērķis ir nodrošināt finansējumu maksātnespējas procesa izmaksu segšanai maksātnespējīgajiem parādniekiem, kuriem nav aktīvu un kuru maksātnespēja ir pasludināta līdz 2010.gada 31.oktobrim.</w:t>
      </w:r>
    </w:p>
    <w:p w14:paraId="5A3A382D" w14:textId="77777777" w:rsidR="00C02CAA" w:rsidRDefault="00C02CAA" w:rsidP="00D454E9">
      <w:pPr>
        <w:tabs>
          <w:tab w:val="left" w:pos="720"/>
        </w:tabs>
        <w:ind w:firstLine="720"/>
        <w:jc w:val="both"/>
      </w:pPr>
      <w:r w:rsidRPr="00D454E9">
        <w:t>Maksātnespējas procesa izmaksu segšanu nodrošina Maksātnespējas administrācija, mērķa grupa ir maksātnespējas procesa administratori</w:t>
      </w:r>
      <w:r w:rsidR="00FB0693">
        <w:t xml:space="preserve"> (turpmāk – administrators)</w:t>
      </w:r>
      <w:r w:rsidRPr="00D454E9">
        <w:t xml:space="preserve">. </w:t>
      </w:r>
    </w:p>
    <w:p w14:paraId="068A0432" w14:textId="77777777" w:rsidR="00D454E9" w:rsidRDefault="00D454E9" w:rsidP="00D454E9">
      <w:pPr>
        <w:tabs>
          <w:tab w:val="left" w:pos="720"/>
        </w:tabs>
        <w:ind w:firstLine="720"/>
        <w:jc w:val="both"/>
      </w:pPr>
    </w:p>
    <w:p w14:paraId="77CFB094" w14:textId="77777777" w:rsidR="00C02CAA" w:rsidRPr="00D454E9" w:rsidRDefault="005749B8" w:rsidP="00D454E9">
      <w:pPr>
        <w:pStyle w:val="Heading3"/>
        <w:numPr>
          <w:ilvl w:val="0"/>
          <w:numId w:val="0"/>
        </w:numPr>
        <w:spacing w:before="0" w:after="0"/>
        <w:ind w:firstLine="720"/>
        <w:jc w:val="both"/>
        <w:rPr>
          <w:rFonts w:ascii="Times New Roman" w:hAnsi="Times New Roman" w:cs="Times New Roman"/>
          <w:sz w:val="24"/>
          <w:szCs w:val="24"/>
        </w:rPr>
      </w:pPr>
      <w:bookmarkStart w:id="23" w:name="_Toc410048278"/>
      <w:bookmarkStart w:id="24" w:name="_Toc414279023"/>
      <w:bookmarkStart w:id="25" w:name="_Toc453263309"/>
      <w:r w:rsidRPr="00D454E9">
        <w:rPr>
          <w:rFonts w:ascii="Times New Roman" w:hAnsi="Times New Roman" w:cs="Times New Roman"/>
          <w:sz w:val="24"/>
          <w:szCs w:val="24"/>
        </w:rPr>
        <w:t>1</w:t>
      </w:r>
      <w:r w:rsidR="00C02CAA" w:rsidRPr="00D454E9">
        <w:rPr>
          <w:rFonts w:ascii="Times New Roman" w:hAnsi="Times New Roman" w:cs="Times New Roman"/>
          <w:sz w:val="24"/>
          <w:szCs w:val="24"/>
        </w:rPr>
        <w:t>.2. Maksātnespējas procesa izmaksu segšana 201</w:t>
      </w:r>
      <w:r w:rsidR="00031CDB" w:rsidRPr="00D454E9">
        <w:rPr>
          <w:rFonts w:ascii="Times New Roman" w:hAnsi="Times New Roman" w:cs="Times New Roman"/>
          <w:sz w:val="24"/>
          <w:szCs w:val="24"/>
        </w:rPr>
        <w:t>1</w:t>
      </w:r>
      <w:r w:rsidR="00C02CAA" w:rsidRPr="00D454E9">
        <w:rPr>
          <w:rFonts w:ascii="Times New Roman" w:hAnsi="Times New Roman" w:cs="Times New Roman"/>
          <w:sz w:val="24"/>
          <w:szCs w:val="24"/>
        </w:rPr>
        <w:t>.–201</w:t>
      </w:r>
      <w:r w:rsidR="00031CDB" w:rsidRPr="00D454E9">
        <w:rPr>
          <w:rFonts w:ascii="Times New Roman" w:hAnsi="Times New Roman" w:cs="Times New Roman"/>
          <w:sz w:val="24"/>
          <w:szCs w:val="24"/>
        </w:rPr>
        <w:t>5</w:t>
      </w:r>
      <w:r w:rsidR="00C02CAA" w:rsidRPr="00D454E9">
        <w:rPr>
          <w:rFonts w:ascii="Times New Roman" w:hAnsi="Times New Roman" w:cs="Times New Roman"/>
          <w:sz w:val="24"/>
          <w:szCs w:val="24"/>
        </w:rPr>
        <w:t>.gadā</w:t>
      </w:r>
      <w:bookmarkEnd w:id="23"/>
      <w:bookmarkEnd w:id="24"/>
      <w:bookmarkEnd w:id="25"/>
    </w:p>
    <w:p w14:paraId="75B6035E" w14:textId="77777777" w:rsidR="00D454E9" w:rsidRDefault="00CA1A48" w:rsidP="00D454E9">
      <w:pPr>
        <w:tabs>
          <w:tab w:val="left" w:pos="720"/>
        </w:tabs>
        <w:ind w:firstLine="720"/>
        <w:jc w:val="both"/>
      </w:pPr>
      <w:r>
        <w:t>Budžeta a</w:t>
      </w:r>
      <w:r w:rsidR="00FB0693">
        <w:t xml:space="preserve">pakšprogrammas </w:t>
      </w:r>
      <w:r w:rsidR="00FB0693" w:rsidRPr="00FB0693">
        <w:t>„</w:t>
      </w:r>
      <w:r w:rsidR="00FB0693" w:rsidRPr="00FB0693">
        <w:rPr>
          <w:iCs/>
        </w:rPr>
        <w:t>Maksātnespējas procesa izmaksas</w:t>
      </w:r>
      <w:r w:rsidR="00FB0693" w:rsidRPr="00FB0693">
        <w:t>”</w:t>
      </w:r>
      <w:r w:rsidR="00C02CAA" w:rsidRPr="00D454E9">
        <w:t xml:space="preserve"> (maksātnespējas procesa administratoru atlīdzība</w:t>
      </w:r>
      <w:r w:rsidR="00FB0693">
        <w:t xml:space="preserve"> un</w:t>
      </w:r>
      <w:r w:rsidR="00C02CAA" w:rsidRPr="00D454E9">
        <w:t xml:space="preserve"> maksātnespējas procesa izdevumi) faktiskie ieņēmumi, izdevumi un atlikums par laika posmu no 201</w:t>
      </w:r>
      <w:r w:rsidR="00031CDB" w:rsidRPr="00D454E9">
        <w:t>1</w:t>
      </w:r>
      <w:r w:rsidR="00C02CAA" w:rsidRPr="00D454E9">
        <w:t>.gada līdz 201</w:t>
      </w:r>
      <w:r w:rsidR="00031CDB" w:rsidRPr="00D454E9">
        <w:t>5</w:t>
      </w:r>
      <w:r w:rsidR="00C02CAA" w:rsidRPr="00D454E9">
        <w:t xml:space="preserve">.gadam ir atspoguļoti </w:t>
      </w:r>
      <w:r w:rsidR="005749B8" w:rsidRPr="00D454E9">
        <w:t>4</w:t>
      </w:r>
      <w:r w:rsidR="00C02CAA" w:rsidRPr="00D454E9">
        <w:t>.tabulā.</w:t>
      </w:r>
    </w:p>
    <w:p w14:paraId="62AC12AD" w14:textId="77777777" w:rsidR="00D454E9" w:rsidRDefault="00D454E9" w:rsidP="00D454E9">
      <w:pPr>
        <w:tabs>
          <w:tab w:val="left" w:pos="720"/>
        </w:tabs>
        <w:ind w:firstLine="720"/>
        <w:jc w:val="both"/>
      </w:pPr>
    </w:p>
    <w:p w14:paraId="7E55557B" w14:textId="77777777" w:rsidR="00C02CAA" w:rsidRPr="00D454E9" w:rsidRDefault="005749B8" w:rsidP="00D454E9">
      <w:pPr>
        <w:tabs>
          <w:tab w:val="left" w:pos="720"/>
        </w:tabs>
        <w:ind w:firstLine="720"/>
        <w:jc w:val="right"/>
      </w:pPr>
      <w:r w:rsidRPr="00D454E9">
        <w:t>4</w:t>
      </w:r>
      <w:r w:rsidR="00C02CAA" w:rsidRPr="00D454E9">
        <w:t>.tabula</w:t>
      </w:r>
    </w:p>
    <w:p w14:paraId="2ABD3956" w14:textId="77777777" w:rsidR="00C02CAA" w:rsidRPr="00D454E9" w:rsidRDefault="00C02CAA" w:rsidP="00990100">
      <w:pPr>
        <w:tabs>
          <w:tab w:val="left" w:pos="720"/>
        </w:tabs>
        <w:jc w:val="right"/>
      </w:pPr>
    </w:p>
    <w:p w14:paraId="384D5037" w14:textId="77777777" w:rsidR="00D454E9" w:rsidRPr="00D454E9" w:rsidRDefault="00CA1A48" w:rsidP="00D454E9">
      <w:pPr>
        <w:tabs>
          <w:tab w:val="left" w:pos="720"/>
        </w:tabs>
        <w:spacing w:after="120"/>
        <w:jc w:val="center"/>
        <w:rPr>
          <w:b/>
          <w:i/>
        </w:rPr>
      </w:pPr>
      <w:r>
        <w:rPr>
          <w:b/>
        </w:rPr>
        <w:t>Budžeta a</w:t>
      </w:r>
      <w:r w:rsidR="00FB0693" w:rsidRPr="00FB0693">
        <w:rPr>
          <w:b/>
        </w:rPr>
        <w:t>pakšprogrammas „</w:t>
      </w:r>
      <w:r w:rsidR="00FB0693" w:rsidRPr="00FB0693">
        <w:rPr>
          <w:b/>
          <w:iCs/>
        </w:rPr>
        <w:t>Maksātnespējas procesa izmaksas</w:t>
      </w:r>
      <w:r w:rsidR="00FB0693" w:rsidRPr="00FB0693">
        <w:rPr>
          <w:b/>
        </w:rPr>
        <w:t>”</w:t>
      </w:r>
      <w:r w:rsidR="00FB0693">
        <w:rPr>
          <w:b/>
        </w:rPr>
        <w:t xml:space="preserve"> </w:t>
      </w:r>
      <w:r w:rsidR="00C02CAA" w:rsidRPr="00D454E9">
        <w:rPr>
          <w:b/>
        </w:rPr>
        <w:t xml:space="preserve"> (maksātnespējas procesa administratoru atlīdzība</w:t>
      </w:r>
      <w:r w:rsidR="00FB0693">
        <w:rPr>
          <w:b/>
        </w:rPr>
        <w:t xml:space="preserve"> un</w:t>
      </w:r>
      <w:r w:rsidR="00C02CAA" w:rsidRPr="00D454E9">
        <w:rPr>
          <w:b/>
        </w:rPr>
        <w:t>maksātnespējas procesa izdevumi) faktiskie ieņēmumi, izdevumi un atlikums par laika posmu no 201</w:t>
      </w:r>
      <w:r w:rsidR="006F1695" w:rsidRPr="00D454E9">
        <w:rPr>
          <w:b/>
        </w:rPr>
        <w:t>1</w:t>
      </w:r>
      <w:r w:rsidR="00C02CAA" w:rsidRPr="00D454E9">
        <w:rPr>
          <w:b/>
        </w:rPr>
        <w:t>.gada līdz 201</w:t>
      </w:r>
      <w:r w:rsidR="006F1695" w:rsidRPr="00D454E9">
        <w:rPr>
          <w:b/>
        </w:rPr>
        <w:t>5</w:t>
      </w:r>
      <w:r w:rsidR="00C02CAA" w:rsidRPr="00D454E9">
        <w:rPr>
          <w:b/>
        </w:rPr>
        <w:t xml:space="preserve">.gadam, </w:t>
      </w:r>
      <w:r w:rsidR="00C02CAA" w:rsidRPr="00D454E9">
        <w:rPr>
          <w:b/>
          <w:i/>
        </w:rPr>
        <w:t>euro</w:t>
      </w:r>
    </w:p>
    <w:tbl>
      <w:tblPr>
        <w:tblW w:w="8787" w:type="dxa"/>
        <w:jc w:val="center"/>
        <w:tblLook w:val="0000" w:firstRow="0" w:lastRow="0" w:firstColumn="0" w:lastColumn="0" w:noHBand="0" w:noVBand="0"/>
      </w:tblPr>
      <w:tblGrid>
        <w:gridCol w:w="2629"/>
        <w:gridCol w:w="1223"/>
        <w:gridCol w:w="1223"/>
        <w:gridCol w:w="1223"/>
        <w:gridCol w:w="1266"/>
        <w:gridCol w:w="1223"/>
      </w:tblGrid>
      <w:tr w:rsidR="000121BB" w:rsidRPr="001E23E1" w14:paraId="3E51B2E3" w14:textId="77777777" w:rsidTr="000121BB">
        <w:trPr>
          <w:trHeight w:val="960"/>
          <w:jc w:val="center"/>
        </w:trPr>
        <w:tc>
          <w:tcPr>
            <w:tcW w:w="2835" w:type="dxa"/>
            <w:tcBorders>
              <w:top w:val="single" w:sz="8" w:space="0" w:color="auto"/>
              <w:left w:val="single" w:sz="8" w:space="0" w:color="auto"/>
              <w:bottom w:val="single" w:sz="8" w:space="0" w:color="auto"/>
              <w:right w:val="single" w:sz="8" w:space="0" w:color="auto"/>
            </w:tcBorders>
            <w:shd w:val="clear" w:color="auto" w:fill="auto"/>
            <w:vAlign w:val="bottom"/>
          </w:tcPr>
          <w:p w14:paraId="090B1BC2" w14:textId="77777777" w:rsidR="00C02CAA" w:rsidRPr="001E23E1" w:rsidRDefault="00CA1A48" w:rsidP="00CA1A48">
            <w:pPr>
              <w:jc w:val="center"/>
              <w:rPr>
                <w:b/>
                <w:bCs/>
              </w:rPr>
            </w:pPr>
            <w:r>
              <w:rPr>
                <w:b/>
                <w:bCs/>
              </w:rPr>
              <w:t>Budžeta a</w:t>
            </w:r>
            <w:r w:rsidR="00FB0693" w:rsidRPr="00FB0693">
              <w:rPr>
                <w:b/>
                <w:bCs/>
              </w:rPr>
              <w:t>pakšprogrammas „</w:t>
            </w:r>
            <w:r w:rsidR="00FB0693" w:rsidRPr="00FB0693">
              <w:rPr>
                <w:b/>
                <w:bCs/>
                <w:iCs/>
              </w:rPr>
              <w:t>Maksātnespējas procesa izmaksas</w:t>
            </w:r>
            <w:r w:rsidR="00FB0693" w:rsidRPr="00FB0693">
              <w:rPr>
                <w:b/>
                <w:bCs/>
              </w:rPr>
              <w:t>”</w:t>
            </w:r>
            <w:r w:rsidR="00C02CAA" w:rsidRPr="001E23E1">
              <w:rPr>
                <w:b/>
                <w:bCs/>
              </w:rPr>
              <w:t xml:space="preserve"> ieņēmumu un izdevumu veids</w:t>
            </w:r>
          </w:p>
        </w:tc>
        <w:tc>
          <w:tcPr>
            <w:tcW w:w="999" w:type="dxa"/>
            <w:tcBorders>
              <w:top w:val="single" w:sz="8" w:space="0" w:color="auto"/>
              <w:left w:val="nil"/>
              <w:bottom w:val="single" w:sz="8" w:space="0" w:color="auto"/>
              <w:right w:val="single" w:sz="8" w:space="0" w:color="auto"/>
            </w:tcBorders>
            <w:shd w:val="clear" w:color="auto" w:fill="auto"/>
            <w:vAlign w:val="center"/>
          </w:tcPr>
          <w:p w14:paraId="0A34A9C9" w14:textId="77777777" w:rsidR="00C02CAA" w:rsidRPr="001E23E1" w:rsidRDefault="00C02CAA" w:rsidP="00F97419">
            <w:pPr>
              <w:jc w:val="center"/>
              <w:rPr>
                <w:b/>
                <w:bCs/>
              </w:rPr>
            </w:pPr>
            <w:r w:rsidRPr="001E23E1">
              <w:rPr>
                <w:b/>
                <w:bCs/>
              </w:rPr>
              <w:t>201</w:t>
            </w:r>
            <w:r w:rsidR="00F97419">
              <w:rPr>
                <w:b/>
                <w:bCs/>
              </w:rPr>
              <w:t>1</w:t>
            </w:r>
            <w:r w:rsidRPr="001E23E1">
              <w:rPr>
                <w:b/>
                <w:bCs/>
              </w:rPr>
              <w:t>.gads</w:t>
            </w:r>
          </w:p>
        </w:tc>
        <w:tc>
          <w:tcPr>
            <w:tcW w:w="1223" w:type="dxa"/>
            <w:tcBorders>
              <w:top w:val="single" w:sz="8" w:space="0" w:color="auto"/>
              <w:left w:val="nil"/>
              <w:bottom w:val="single" w:sz="8" w:space="0" w:color="auto"/>
              <w:right w:val="single" w:sz="8" w:space="0" w:color="auto"/>
            </w:tcBorders>
            <w:shd w:val="clear" w:color="auto" w:fill="auto"/>
            <w:vAlign w:val="center"/>
          </w:tcPr>
          <w:p w14:paraId="2162425D" w14:textId="77777777" w:rsidR="00C02CAA" w:rsidRPr="001E23E1" w:rsidRDefault="00C02CAA" w:rsidP="003772EC">
            <w:pPr>
              <w:jc w:val="center"/>
              <w:rPr>
                <w:b/>
                <w:bCs/>
              </w:rPr>
            </w:pPr>
            <w:r w:rsidRPr="001E23E1">
              <w:rPr>
                <w:b/>
                <w:bCs/>
              </w:rPr>
              <w:t>201</w:t>
            </w:r>
            <w:r w:rsidR="003772EC">
              <w:rPr>
                <w:b/>
                <w:bCs/>
              </w:rPr>
              <w:t>2</w:t>
            </w:r>
            <w:r w:rsidRPr="001E23E1">
              <w:rPr>
                <w:b/>
                <w:bCs/>
              </w:rPr>
              <w:t>.gads</w:t>
            </w:r>
          </w:p>
        </w:tc>
        <w:tc>
          <w:tcPr>
            <w:tcW w:w="1223" w:type="dxa"/>
            <w:tcBorders>
              <w:top w:val="single" w:sz="8" w:space="0" w:color="auto"/>
              <w:left w:val="nil"/>
              <w:bottom w:val="single" w:sz="8" w:space="0" w:color="auto"/>
              <w:right w:val="single" w:sz="8" w:space="0" w:color="auto"/>
            </w:tcBorders>
            <w:shd w:val="clear" w:color="auto" w:fill="auto"/>
            <w:vAlign w:val="center"/>
          </w:tcPr>
          <w:p w14:paraId="5198A20E" w14:textId="77777777" w:rsidR="00C02CAA" w:rsidRPr="001E23E1" w:rsidRDefault="00C02CAA" w:rsidP="003772EC">
            <w:pPr>
              <w:jc w:val="center"/>
              <w:rPr>
                <w:b/>
                <w:bCs/>
              </w:rPr>
            </w:pPr>
            <w:r w:rsidRPr="001E23E1">
              <w:rPr>
                <w:b/>
                <w:bCs/>
              </w:rPr>
              <w:t>201</w:t>
            </w:r>
            <w:r w:rsidR="003772EC">
              <w:rPr>
                <w:b/>
                <w:bCs/>
              </w:rPr>
              <w:t>3</w:t>
            </w:r>
            <w:r w:rsidRPr="001E23E1">
              <w:rPr>
                <w:b/>
                <w:bCs/>
              </w:rPr>
              <w:t>.gads</w:t>
            </w:r>
          </w:p>
        </w:tc>
        <w:tc>
          <w:tcPr>
            <w:tcW w:w="1284" w:type="dxa"/>
            <w:tcBorders>
              <w:top w:val="single" w:sz="8" w:space="0" w:color="auto"/>
              <w:left w:val="nil"/>
              <w:bottom w:val="single" w:sz="8" w:space="0" w:color="auto"/>
              <w:right w:val="single" w:sz="8" w:space="0" w:color="auto"/>
            </w:tcBorders>
            <w:shd w:val="clear" w:color="auto" w:fill="auto"/>
            <w:vAlign w:val="center"/>
          </w:tcPr>
          <w:p w14:paraId="678DDCBC" w14:textId="77777777" w:rsidR="00C02CAA" w:rsidRPr="001E23E1" w:rsidRDefault="00C02CAA" w:rsidP="00DE736B">
            <w:pPr>
              <w:jc w:val="center"/>
              <w:rPr>
                <w:b/>
                <w:bCs/>
              </w:rPr>
            </w:pPr>
            <w:r w:rsidRPr="001E23E1">
              <w:rPr>
                <w:b/>
                <w:bCs/>
              </w:rPr>
              <w:t>201</w:t>
            </w:r>
            <w:r w:rsidR="00DE736B">
              <w:rPr>
                <w:b/>
                <w:bCs/>
              </w:rPr>
              <w:t>4</w:t>
            </w:r>
            <w:r w:rsidRPr="001E23E1">
              <w:rPr>
                <w:b/>
                <w:bCs/>
              </w:rPr>
              <w:t>.gads</w:t>
            </w:r>
          </w:p>
        </w:tc>
        <w:tc>
          <w:tcPr>
            <w:tcW w:w="1223" w:type="dxa"/>
            <w:tcBorders>
              <w:top w:val="single" w:sz="8" w:space="0" w:color="auto"/>
              <w:left w:val="nil"/>
              <w:bottom w:val="single" w:sz="8" w:space="0" w:color="auto"/>
              <w:right w:val="single" w:sz="8" w:space="0" w:color="auto"/>
            </w:tcBorders>
            <w:shd w:val="clear" w:color="auto" w:fill="auto"/>
            <w:vAlign w:val="center"/>
          </w:tcPr>
          <w:p w14:paraId="4859F67B" w14:textId="77777777" w:rsidR="00C02CAA" w:rsidRPr="001E23E1" w:rsidRDefault="00C02CAA" w:rsidP="006B4915">
            <w:pPr>
              <w:jc w:val="center"/>
              <w:rPr>
                <w:b/>
                <w:bCs/>
              </w:rPr>
            </w:pPr>
            <w:r w:rsidRPr="001E23E1">
              <w:rPr>
                <w:b/>
                <w:bCs/>
              </w:rPr>
              <w:t>201</w:t>
            </w:r>
            <w:r w:rsidR="006B4915">
              <w:rPr>
                <w:b/>
                <w:bCs/>
              </w:rPr>
              <w:t>5</w:t>
            </w:r>
            <w:r w:rsidRPr="001E23E1">
              <w:rPr>
                <w:b/>
                <w:bCs/>
              </w:rPr>
              <w:t>.gads</w:t>
            </w:r>
          </w:p>
        </w:tc>
      </w:tr>
      <w:tr w:rsidR="000121BB" w:rsidRPr="001E23E1" w14:paraId="4824C120" w14:textId="77777777" w:rsidTr="000121BB">
        <w:trPr>
          <w:trHeight w:val="330"/>
          <w:jc w:val="center"/>
        </w:trPr>
        <w:tc>
          <w:tcPr>
            <w:tcW w:w="2835" w:type="dxa"/>
            <w:tcBorders>
              <w:top w:val="nil"/>
              <w:left w:val="single" w:sz="8" w:space="0" w:color="auto"/>
              <w:bottom w:val="single" w:sz="8" w:space="0" w:color="auto"/>
              <w:right w:val="single" w:sz="8" w:space="0" w:color="auto"/>
            </w:tcBorders>
          </w:tcPr>
          <w:p w14:paraId="5F487F03" w14:textId="77777777" w:rsidR="00C02CAA" w:rsidRPr="001E23E1" w:rsidRDefault="00C02CAA">
            <w:pPr>
              <w:jc w:val="both"/>
              <w:rPr>
                <w:b/>
                <w:bCs/>
              </w:rPr>
            </w:pPr>
            <w:r w:rsidRPr="001E23E1">
              <w:rPr>
                <w:b/>
                <w:bCs/>
              </w:rPr>
              <w:t>Ieņēmumi – kopā:</w:t>
            </w:r>
          </w:p>
        </w:tc>
        <w:tc>
          <w:tcPr>
            <w:tcW w:w="999" w:type="dxa"/>
            <w:tcBorders>
              <w:top w:val="nil"/>
              <w:left w:val="nil"/>
              <w:bottom w:val="single" w:sz="8" w:space="0" w:color="auto"/>
              <w:right w:val="single" w:sz="8" w:space="0" w:color="auto"/>
            </w:tcBorders>
            <w:vAlign w:val="center"/>
          </w:tcPr>
          <w:p w14:paraId="7B3D7A0A" w14:textId="77777777" w:rsidR="00C02CAA" w:rsidRPr="001E23E1" w:rsidRDefault="00F97419" w:rsidP="000121BB">
            <w:pPr>
              <w:jc w:val="center"/>
              <w:rPr>
                <w:b/>
                <w:bCs/>
              </w:rPr>
            </w:pPr>
            <w:r>
              <w:rPr>
                <w:b/>
                <w:bCs/>
              </w:rPr>
              <w:t>644 130</w:t>
            </w:r>
          </w:p>
        </w:tc>
        <w:tc>
          <w:tcPr>
            <w:tcW w:w="1223" w:type="dxa"/>
            <w:tcBorders>
              <w:top w:val="nil"/>
              <w:left w:val="nil"/>
              <w:bottom w:val="single" w:sz="8" w:space="0" w:color="auto"/>
              <w:right w:val="single" w:sz="8" w:space="0" w:color="auto"/>
            </w:tcBorders>
            <w:vAlign w:val="center"/>
          </w:tcPr>
          <w:p w14:paraId="007FDDAE" w14:textId="77777777" w:rsidR="00C02CAA" w:rsidRPr="001E23E1" w:rsidRDefault="0020484D" w:rsidP="000121BB">
            <w:pPr>
              <w:jc w:val="center"/>
              <w:rPr>
                <w:b/>
                <w:bCs/>
              </w:rPr>
            </w:pPr>
            <w:r>
              <w:rPr>
                <w:b/>
                <w:bCs/>
              </w:rPr>
              <w:t>523 844</w:t>
            </w:r>
          </w:p>
        </w:tc>
        <w:tc>
          <w:tcPr>
            <w:tcW w:w="1223" w:type="dxa"/>
            <w:tcBorders>
              <w:top w:val="nil"/>
              <w:left w:val="nil"/>
              <w:bottom w:val="single" w:sz="8" w:space="0" w:color="auto"/>
              <w:right w:val="single" w:sz="8" w:space="0" w:color="auto"/>
            </w:tcBorders>
            <w:vAlign w:val="center"/>
          </w:tcPr>
          <w:p w14:paraId="4467FC0E" w14:textId="77777777" w:rsidR="00C02CAA" w:rsidRPr="001E23E1" w:rsidRDefault="003772EC" w:rsidP="000121BB">
            <w:pPr>
              <w:jc w:val="center"/>
              <w:rPr>
                <w:b/>
                <w:bCs/>
              </w:rPr>
            </w:pPr>
            <w:r>
              <w:rPr>
                <w:b/>
                <w:bCs/>
              </w:rPr>
              <w:t>454 753</w:t>
            </w:r>
          </w:p>
        </w:tc>
        <w:tc>
          <w:tcPr>
            <w:tcW w:w="1284" w:type="dxa"/>
            <w:tcBorders>
              <w:top w:val="nil"/>
              <w:left w:val="nil"/>
              <w:bottom w:val="single" w:sz="8" w:space="0" w:color="auto"/>
              <w:right w:val="single" w:sz="8" w:space="0" w:color="auto"/>
            </w:tcBorders>
            <w:vAlign w:val="center"/>
          </w:tcPr>
          <w:p w14:paraId="643D867E" w14:textId="77777777" w:rsidR="00C02CAA" w:rsidRPr="001E23E1" w:rsidRDefault="006B4915" w:rsidP="000121BB">
            <w:pPr>
              <w:jc w:val="center"/>
              <w:rPr>
                <w:b/>
                <w:bCs/>
              </w:rPr>
            </w:pPr>
            <w:r>
              <w:rPr>
                <w:b/>
                <w:bCs/>
              </w:rPr>
              <w:t>331 827</w:t>
            </w:r>
          </w:p>
        </w:tc>
        <w:tc>
          <w:tcPr>
            <w:tcW w:w="1223" w:type="dxa"/>
            <w:tcBorders>
              <w:top w:val="nil"/>
              <w:left w:val="nil"/>
              <w:bottom w:val="single" w:sz="8" w:space="0" w:color="auto"/>
              <w:right w:val="single" w:sz="8" w:space="0" w:color="auto"/>
            </w:tcBorders>
            <w:vAlign w:val="center"/>
          </w:tcPr>
          <w:p w14:paraId="275D7A2C" w14:textId="77777777" w:rsidR="00C02CAA" w:rsidRPr="001E23E1" w:rsidRDefault="006B4915" w:rsidP="000121BB">
            <w:pPr>
              <w:jc w:val="center"/>
              <w:rPr>
                <w:b/>
                <w:bCs/>
              </w:rPr>
            </w:pPr>
            <w:r>
              <w:rPr>
                <w:b/>
                <w:bCs/>
              </w:rPr>
              <w:t>146 606</w:t>
            </w:r>
          </w:p>
        </w:tc>
      </w:tr>
      <w:tr w:rsidR="000121BB" w:rsidRPr="001E23E1" w14:paraId="43AE097C" w14:textId="77777777" w:rsidTr="000121BB">
        <w:trPr>
          <w:trHeight w:val="369"/>
          <w:jc w:val="center"/>
        </w:trPr>
        <w:tc>
          <w:tcPr>
            <w:tcW w:w="2835" w:type="dxa"/>
            <w:tcBorders>
              <w:top w:val="nil"/>
              <w:left w:val="single" w:sz="8" w:space="0" w:color="auto"/>
              <w:bottom w:val="single" w:sz="8" w:space="0" w:color="auto"/>
              <w:right w:val="single" w:sz="8" w:space="0" w:color="auto"/>
            </w:tcBorders>
          </w:tcPr>
          <w:p w14:paraId="4511CBFB" w14:textId="77777777" w:rsidR="00C02CAA" w:rsidRPr="001E23E1" w:rsidRDefault="00C02CAA">
            <w:pPr>
              <w:jc w:val="both"/>
            </w:pPr>
            <w:r w:rsidRPr="001E23E1">
              <w:t>URVN daļa</w:t>
            </w:r>
          </w:p>
        </w:tc>
        <w:tc>
          <w:tcPr>
            <w:tcW w:w="999" w:type="dxa"/>
            <w:tcBorders>
              <w:top w:val="nil"/>
              <w:left w:val="nil"/>
              <w:bottom w:val="single" w:sz="8" w:space="0" w:color="auto"/>
              <w:right w:val="single" w:sz="8" w:space="0" w:color="auto"/>
            </w:tcBorders>
            <w:vAlign w:val="center"/>
          </w:tcPr>
          <w:p w14:paraId="56CB307A" w14:textId="77777777" w:rsidR="00C02CAA" w:rsidRPr="001E23E1" w:rsidRDefault="00F97419" w:rsidP="000121BB">
            <w:pPr>
              <w:jc w:val="center"/>
            </w:pPr>
            <w:r>
              <w:t>619 183</w:t>
            </w:r>
          </w:p>
        </w:tc>
        <w:tc>
          <w:tcPr>
            <w:tcW w:w="1223" w:type="dxa"/>
            <w:tcBorders>
              <w:top w:val="nil"/>
              <w:left w:val="nil"/>
              <w:bottom w:val="single" w:sz="8" w:space="0" w:color="auto"/>
              <w:right w:val="single" w:sz="8" w:space="0" w:color="auto"/>
            </w:tcBorders>
            <w:vAlign w:val="center"/>
          </w:tcPr>
          <w:p w14:paraId="4C0F9F6C" w14:textId="77777777" w:rsidR="00C02CAA" w:rsidRPr="001E23E1" w:rsidRDefault="0020484D" w:rsidP="000121BB">
            <w:pPr>
              <w:jc w:val="center"/>
            </w:pPr>
            <w:r>
              <w:t>512 814</w:t>
            </w:r>
          </w:p>
        </w:tc>
        <w:tc>
          <w:tcPr>
            <w:tcW w:w="1223" w:type="dxa"/>
            <w:tcBorders>
              <w:top w:val="nil"/>
              <w:left w:val="nil"/>
              <w:bottom w:val="single" w:sz="8" w:space="0" w:color="auto"/>
              <w:right w:val="single" w:sz="8" w:space="0" w:color="auto"/>
            </w:tcBorders>
            <w:vAlign w:val="center"/>
          </w:tcPr>
          <w:p w14:paraId="0E63C9AE" w14:textId="77777777" w:rsidR="00C02CAA" w:rsidRPr="001E23E1" w:rsidRDefault="00DE736B" w:rsidP="000121BB">
            <w:pPr>
              <w:jc w:val="center"/>
            </w:pPr>
            <w:r>
              <w:t>431 130</w:t>
            </w:r>
          </w:p>
        </w:tc>
        <w:tc>
          <w:tcPr>
            <w:tcW w:w="1284" w:type="dxa"/>
            <w:tcBorders>
              <w:top w:val="nil"/>
              <w:left w:val="nil"/>
              <w:bottom w:val="single" w:sz="8" w:space="0" w:color="auto"/>
              <w:right w:val="single" w:sz="8" w:space="0" w:color="auto"/>
            </w:tcBorders>
            <w:vAlign w:val="center"/>
          </w:tcPr>
          <w:p w14:paraId="253CCAB7" w14:textId="77777777" w:rsidR="00C02CAA" w:rsidRPr="001E23E1" w:rsidRDefault="006B4915" w:rsidP="000121BB">
            <w:pPr>
              <w:jc w:val="center"/>
            </w:pPr>
            <w:r>
              <w:t>322 638</w:t>
            </w:r>
          </w:p>
        </w:tc>
        <w:tc>
          <w:tcPr>
            <w:tcW w:w="1223" w:type="dxa"/>
            <w:tcBorders>
              <w:top w:val="nil"/>
              <w:left w:val="nil"/>
              <w:bottom w:val="single" w:sz="8" w:space="0" w:color="auto"/>
              <w:right w:val="single" w:sz="8" w:space="0" w:color="auto"/>
            </w:tcBorders>
            <w:vAlign w:val="center"/>
          </w:tcPr>
          <w:p w14:paraId="2839924B" w14:textId="77777777" w:rsidR="00C02CAA" w:rsidRPr="001E23E1" w:rsidRDefault="006B4915" w:rsidP="000121BB">
            <w:pPr>
              <w:jc w:val="center"/>
            </w:pPr>
            <w:r>
              <w:t>134 789</w:t>
            </w:r>
          </w:p>
        </w:tc>
      </w:tr>
      <w:tr w:rsidR="000121BB" w:rsidRPr="001E23E1" w14:paraId="49B7A187" w14:textId="77777777" w:rsidTr="000121BB">
        <w:trPr>
          <w:trHeight w:val="645"/>
          <w:jc w:val="center"/>
        </w:trPr>
        <w:tc>
          <w:tcPr>
            <w:tcW w:w="2835" w:type="dxa"/>
            <w:tcBorders>
              <w:top w:val="nil"/>
              <w:left w:val="single" w:sz="8" w:space="0" w:color="auto"/>
              <w:bottom w:val="single" w:sz="8" w:space="0" w:color="auto"/>
              <w:right w:val="single" w:sz="8" w:space="0" w:color="auto"/>
            </w:tcBorders>
          </w:tcPr>
          <w:p w14:paraId="06AEA368" w14:textId="77777777" w:rsidR="00C02CAA" w:rsidRPr="001E23E1" w:rsidRDefault="00C02CAA">
            <w:pPr>
              <w:jc w:val="both"/>
            </w:pPr>
            <w:r w:rsidRPr="001E23E1">
              <w:t>Atgūtie līdzekļi maksātnespējas procesā</w:t>
            </w:r>
          </w:p>
        </w:tc>
        <w:tc>
          <w:tcPr>
            <w:tcW w:w="999" w:type="dxa"/>
            <w:tcBorders>
              <w:top w:val="nil"/>
              <w:left w:val="nil"/>
              <w:bottom w:val="single" w:sz="8" w:space="0" w:color="auto"/>
              <w:right w:val="single" w:sz="8" w:space="0" w:color="auto"/>
            </w:tcBorders>
            <w:vAlign w:val="center"/>
          </w:tcPr>
          <w:p w14:paraId="74BF7996" w14:textId="77777777" w:rsidR="00C02CAA" w:rsidRPr="001E23E1" w:rsidRDefault="00F97419" w:rsidP="000121BB">
            <w:pPr>
              <w:jc w:val="center"/>
            </w:pPr>
            <w:r>
              <w:t>24 947</w:t>
            </w:r>
          </w:p>
        </w:tc>
        <w:tc>
          <w:tcPr>
            <w:tcW w:w="1223" w:type="dxa"/>
            <w:tcBorders>
              <w:top w:val="nil"/>
              <w:left w:val="nil"/>
              <w:bottom w:val="single" w:sz="8" w:space="0" w:color="auto"/>
              <w:right w:val="single" w:sz="8" w:space="0" w:color="auto"/>
            </w:tcBorders>
            <w:vAlign w:val="center"/>
          </w:tcPr>
          <w:p w14:paraId="70A86128" w14:textId="77777777" w:rsidR="00C02CAA" w:rsidRPr="001E23E1" w:rsidRDefault="0020484D" w:rsidP="000121BB">
            <w:pPr>
              <w:jc w:val="center"/>
            </w:pPr>
            <w:r>
              <w:t>20 030</w:t>
            </w:r>
          </w:p>
        </w:tc>
        <w:tc>
          <w:tcPr>
            <w:tcW w:w="1223" w:type="dxa"/>
            <w:tcBorders>
              <w:top w:val="nil"/>
              <w:left w:val="nil"/>
              <w:bottom w:val="single" w:sz="8" w:space="0" w:color="auto"/>
              <w:right w:val="single" w:sz="8" w:space="0" w:color="auto"/>
            </w:tcBorders>
            <w:vAlign w:val="center"/>
          </w:tcPr>
          <w:p w14:paraId="06A42A81" w14:textId="77777777" w:rsidR="00C02CAA" w:rsidRPr="001E23E1" w:rsidRDefault="00DE736B" w:rsidP="000121BB">
            <w:pPr>
              <w:jc w:val="center"/>
            </w:pPr>
            <w:r>
              <w:t>23 623</w:t>
            </w:r>
          </w:p>
        </w:tc>
        <w:tc>
          <w:tcPr>
            <w:tcW w:w="1284" w:type="dxa"/>
            <w:tcBorders>
              <w:top w:val="nil"/>
              <w:left w:val="nil"/>
              <w:bottom w:val="single" w:sz="8" w:space="0" w:color="auto"/>
              <w:right w:val="single" w:sz="8" w:space="0" w:color="auto"/>
            </w:tcBorders>
            <w:vAlign w:val="center"/>
          </w:tcPr>
          <w:p w14:paraId="62FF4AC9" w14:textId="77777777" w:rsidR="00C02CAA" w:rsidRPr="001E23E1" w:rsidRDefault="006B4915" w:rsidP="000121BB">
            <w:pPr>
              <w:jc w:val="center"/>
            </w:pPr>
            <w:r>
              <w:t>9 189</w:t>
            </w:r>
          </w:p>
        </w:tc>
        <w:tc>
          <w:tcPr>
            <w:tcW w:w="1223" w:type="dxa"/>
            <w:tcBorders>
              <w:top w:val="nil"/>
              <w:left w:val="nil"/>
              <w:bottom w:val="single" w:sz="8" w:space="0" w:color="auto"/>
              <w:right w:val="single" w:sz="8" w:space="0" w:color="auto"/>
            </w:tcBorders>
            <w:vAlign w:val="center"/>
          </w:tcPr>
          <w:p w14:paraId="76E4FC80" w14:textId="77777777" w:rsidR="00C02CAA" w:rsidRPr="001E23E1" w:rsidRDefault="006B4915" w:rsidP="000121BB">
            <w:pPr>
              <w:jc w:val="center"/>
            </w:pPr>
            <w:r>
              <w:t>11 817</w:t>
            </w:r>
          </w:p>
        </w:tc>
      </w:tr>
      <w:tr w:rsidR="000121BB" w:rsidRPr="001E23E1" w14:paraId="406E245E" w14:textId="77777777" w:rsidTr="000121BB">
        <w:trPr>
          <w:trHeight w:val="330"/>
          <w:jc w:val="center"/>
        </w:trPr>
        <w:tc>
          <w:tcPr>
            <w:tcW w:w="2835" w:type="dxa"/>
            <w:tcBorders>
              <w:top w:val="nil"/>
              <w:left w:val="single" w:sz="8" w:space="0" w:color="auto"/>
              <w:bottom w:val="single" w:sz="8" w:space="0" w:color="auto"/>
              <w:right w:val="single" w:sz="8" w:space="0" w:color="auto"/>
            </w:tcBorders>
          </w:tcPr>
          <w:p w14:paraId="24BC8898" w14:textId="77777777" w:rsidR="00C02CAA" w:rsidRPr="001E23E1" w:rsidRDefault="00C02CAA">
            <w:pPr>
              <w:jc w:val="both"/>
              <w:rPr>
                <w:b/>
                <w:bCs/>
              </w:rPr>
            </w:pPr>
            <w:r w:rsidRPr="001E23E1">
              <w:rPr>
                <w:b/>
                <w:bCs/>
              </w:rPr>
              <w:t>Izdevumi kopā:</w:t>
            </w:r>
          </w:p>
        </w:tc>
        <w:tc>
          <w:tcPr>
            <w:tcW w:w="999" w:type="dxa"/>
            <w:tcBorders>
              <w:top w:val="nil"/>
              <w:left w:val="nil"/>
              <w:bottom w:val="single" w:sz="8" w:space="0" w:color="auto"/>
              <w:right w:val="single" w:sz="8" w:space="0" w:color="auto"/>
            </w:tcBorders>
            <w:vAlign w:val="center"/>
          </w:tcPr>
          <w:p w14:paraId="6FD0ECCF" w14:textId="77777777" w:rsidR="00C02CAA" w:rsidRPr="001E23E1" w:rsidRDefault="00F97419" w:rsidP="000121BB">
            <w:pPr>
              <w:jc w:val="center"/>
              <w:rPr>
                <w:b/>
                <w:bCs/>
              </w:rPr>
            </w:pPr>
            <w:r>
              <w:rPr>
                <w:b/>
                <w:bCs/>
              </w:rPr>
              <w:t>592 52</w:t>
            </w:r>
            <w:r w:rsidR="005907A0">
              <w:rPr>
                <w:b/>
                <w:bCs/>
              </w:rPr>
              <w:t>0</w:t>
            </w:r>
          </w:p>
        </w:tc>
        <w:tc>
          <w:tcPr>
            <w:tcW w:w="1223" w:type="dxa"/>
            <w:tcBorders>
              <w:top w:val="nil"/>
              <w:left w:val="nil"/>
              <w:bottom w:val="single" w:sz="8" w:space="0" w:color="auto"/>
              <w:right w:val="single" w:sz="8" w:space="0" w:color="auto"/>
            </w:tcBorders>
            <w:vAlign w:val="center"/>
          </w:tcPr>
          <w:p w14:paraId="3D19A6E1" w14:textId="77777777" w:rsidR="00C02CAA" w:rsidRPr="001E23E1" w:rsidRDefault="0020484D" w:rsidP="000121BB">
            <w:pPr>
              <w:jc w:val="center"/>
              <w:rPr>
                <w:b/>
                <w:bCs/>
              </w:rPr>
            </w:pPr>
            <w:r>
              <w:rPr>
                <w:b/>
                <w:bCs/>
              </w:rPr>
              <w:t>336 859</w:t>
            </w:r>
          </w:p>
        </w:tc>
        <w:tc>
          <w:tcPr>
            <w:tcW w:w="1223" w:type="dxa"/>
            <w:tcBorders>
              <w:top w:val="nil"/>
              <w:left w:val="nil"/>
              <w:bottom w:val="single" w:sz="8" w:space="0" w:color="auto"/>
              <w:right w:val="single" w:sz="8" w:space="0" w:color="auto"/>
            </w:tcBorders>
            <w:vAlign w:val="center"/>
          </w:tcPr>
          <w:p w14:paraId="1C23CBF3" w14:textId="77777777" w:rsidR="00C02CAA" w:rsidRPr="001E23E1" w:rsidRDefault="00DE736B" w:rsidP="000121BB">
            <w:pPr>
              <w:jc w:val="center"/>
              <w:rPr>
                <w:b/>
                <w:bCs/>
              </w:rPr>
            </w:pPr>
            <w:r>
              <w:rPr>
                <w:b/>
                <w:bCs/>
              </w:rPr>
              <w:t>192 375</w:t>
            </w:r>
          </w:p>
        </w:tc>
        <w:tc>
          <w:tcPr>
            <w:tcW w:w="1284" w:type="dxa"/>
            <w:tcBorders>
              <w:top w:val="nil"/>
              <w:left w:val="nil"/>
              <w:bottom w:val="single" w:sz="8" w:space="0" w:color="auto"/>
              <w:right w:val="single" w:sz="8" w:space="0" w:color="auto"/>
            </w:tcBorders>
            <w:vAlign w:val="center"/>
          </w:tcPr>
          <w:p w14:paraId="2453E453" w14:textId="77777777" w:rsidR="00C02CAA" w:rsidRPr="001E23E1" w:rsidRDefault="006B4915" w:rsidP="000121BB">
            <w:pPr>
              <w:jc w:val="center"/>
              <w:rPr>
                <w:b/>
                <w:bCs/>
              </w:rPr>
            </w:pPr>
            <w:r>
              <w:rPr>
                <w:b/>
                <w:bCs/>
              </w:rPr>
              <w:t>114 181</w:t>
            </w:r>
          </w:p>
        </w:tc>
        <w:tc>
          <w:tcPr>
            <w:tcW w:w="1223" w:type="dxa"/>
            <w:tcBorders>
              <w:top w:val="nil"/>
              <w:left w:val="nil"/>
              <w:bottom w:val="single" w:sz="8" w:space="0" w:color="auto"/>
              <w:right w:val="single" w:sz="8" w:space="0" w:color="auto"/>
            </w:tcBorders>
            <w:vAlign w:val="center"/>
          </w:tcPr>
          <w:p w14:paraId="416AFCB9" w14:textId="77777777" w:rsidR="00C02CAA" w:rsidRPr="001E23E1" w:rsidRDefault="00E27E13" w:rsidP="000121BB">
            <w:pPr>
              <w:jc w:val="center"/>
              <w:rPr>
                <w:b/>
                <w:bCs/>
              </w:rPr>
            </w:pPr>
            <w:r>
              <w:rPr>
                <w:b/>
                <w:bCs/>
              </w:rPr>
              <w:t>77 860</w:t>
            </w:r>
          </w:p>
        </w:tc>
      </w:tr>
      <w:tr w:rsidR="000121BB" w:rsidRPr="001E23E1" w14:paraId="61E662EE" w14:textId="77777777" w:rsidTr="000121BB">
        <w:trPr>
          <w:trHeight w:val="645"/>
          <w:jc w:val="center"/>
        </w:trPr>
        <w:tc>
          <w:tcPr>
            <w:tcW w:w="2835" w:type="dxa"/>
            <w:tcBorders>
              <w:top w:val="nil"/>
              <w:left w:val="single" w:sz="8" w:space="0" w:color="auto"/>
              <w:bottom w:val="single" w:sz="8" w:space="0" w:color="auto"/>
              <w:right w:val="single" w:sz="8" w:space="0" w:color="auto"/>
            </w:tcBorders>
          </w:tcPr>
          <w:p w14:paraId="5C75F7D9" w14:textId="77777777" w:rsidR="00C02CAA" w:rsidRPr="001E23E1" w:rsidRDefault="00CA1A48" w:rsidP="00CA1A48">
            <w:pPr>
              <w:jc w:val="both"/>
            </w:pPr>
            <w:r>
              <w:t>Budžeta a</w:t>
            </w:r>
            <w:r w:rsidR="00FB0693" w:rsidRPr="00FB0693">
              <w:t>pakšprogrammas „</w:t>
            </w:r>
            <w:r w:rsidR="00FB0693" w:rsidRPr="00FB0693">
              <w:rPr>
                <w:iCs/>
              </w:rPr>
              <w:t>Maksātnespējas procesa izmaksas</w:t>
            </w:r>
            <w:r w:rsidR="00FB0693" w:rsidRPr="00FB0693">
              <w:t>”</w:t>
            </w:r>
            <w:r w:rsidR="00C02CAA" w:rsidRPr="001E23E1">
              <w:t>izdevumi</w:t>
            </w:r>
          </w:p>
        </w:tc>
        <w:tc>
          <w:tcPr>
            <w:tcW w:w="999" w:type="dxa"/>
            <w:tcBorders>
              <w:top w:val="nil"/>
              <w:left w:val="nil"/>
              <w:bottom w:val="single" w:sz="8" w:space="0" w:color="auto"/>
              <w:right w:val="single" w:sz="8" w:space="0" w:color="auto"/>
            </w:tcBorders>
            <w:vAlign w:val="center"/>
          </w:tcPr>
          <w:p w14:paraId="34B22789" w14:textId="77777777" w:rsidR="00C02CAA" w:rsidRPr="001E23E1" w:rsidRDefault="00F97419" w:rsidP="000121BB">
            <w:pPr>
              <w:jc w:val="center"/>
            </w:pPr>
            <w:r>
              <w:t>592 52</w:t>
            </w:r>
            <w:r w:rsidR="005907A0">
              <w:t>0</w:t>
            </w:r>
          </w:p>
        </w:tc>
        <w:tc>
          <w:tcPr>
            <w:tcW w:w="1223" w:type="dxa"/>
            <w:tcBorders>
              <w:top w:val="nil"/>
              <w:left w:val="nil"/>
              <w:bottom w:val="single" w:sz="8" w:space="0" w:color="auto"/>
              <w:right w:val="single" w:sz="8" w:space="0" w:color="auto"/>
            </w:tcBorders>
            <w:vAlign w:val="center"/>
          </w:tcPr>
          <w:p w14:paraId="31A3753B" w14:textId="77777777" w:rsidR="00C02CAA" w:rsidRPr="001E23E1" w:rsidRDefault="0020484D" w:rsidP="000121BB">
            <w:pPr>
              <w:jc w:val="center"/>
            </w:pPr>
            <w:r>
              <w:t>336 859</w:t>
            </w:r>
          </w:p>
        </w:tc>
        <w:tc>
          <w:tcPr>
            <w:tcW w:w="1223" w:type="dxa"/>
            <w:tcBorders>
              <w:top w:val="nil"/>
              <w:left w:val="nil"/>
              <w:bottom w:val="single" w:sz="8" w:space="0" w:color="auto"/>
              <w:right w:val="single" w:sz="8" w:space="0" w:color="auto"/>
            </w:tcBorders>
            <w:vAlign w:val="center"/>
          </w:tcPr>
          <w:p w14:paraId="66D536B1" w14:textId="77777777" w:rsidR="00C02CAA" w:rsidRPr="001E23E1" w:rsidRDefault="00DE736B" w:rsidP="000121BB">
            <w:pPr>
              <w:jc w:val="center"/>
            </w:pPr>
            <w:r>
              <w:t>192 375</w:t>
            </w:r>
          </w:p>
        </w:tc>
        <w:tc>
          <w:tcPr>
            <w:tcW w:w="1284" w:type="dxa"/>
            <w:tcBorders>
              <w:top w:val="nil"/>
              <w:left w:val="nil"/>
              <w:bottom w:val="single" w:sz="8" w:space="0" w:color="auto"/>
              <w:right w:val="single" w:sz="8" w:space="0" w:color="auto"/>
            </w:tcBorders>
            <w:vAlign w:val="center"/>
          </w:tcPr>
          <w:p w14:paraId="1CA01179" w14:textId="77777777" w:rsidR="00C02CAA" w:rsidRPr="001E23E1" w:rsidRDefault="006B4915" w:rsidP="000121BB">
            <w:pPr>
              <w:jc w:val="center"/>
            </w:pPr>
            <w:r>
              <w:t>114 181</w:t>
            </w:r>
          </w:p>
        </w:tc>
        <w:tc>
          <w:tcPr>
            <w:tcW w:w="1223" w:type="dxa"/>
            <w:tcBorders>
              <w:top w:val="nil"/>
              <w:left w:val="nil"/>
              <w:bottom w:val="single" w:sz="8" w:space="0" w:color="auto"/>
              <w:right w:val="single" w:sz="8" w:space="0" w:color="auto"/>
            </w:tcBorders>
            <w:vAlign w:val="center"/>
          </w:tcPr>
          <w:p w14:paraId="43CB1B62" w14:textId="77777777" w:rsidR="00C02CAA" w:rsidRPr="001E23E1" w:rsidRDefault="00E27E13" w:rsidP="000121BB">
            <w:pPr>
              <w:jc w:val="center"/>
            </w:pPr>
            <w:r>
              <w:t>77 860</w:t>
            </w:r>
          </w:p>
        </w:tc>
      </w:tr>
      <w:tr w:rsidR="000121BB" w:rsidRPr="001E23E1" w14:paraId="5532DEE9" w14:textId="77777777" w:rsidTr="000121BB">
        <w:trPr>
          <w:trHeight w:val="645"/>
          <w:jc w:val="center"/>
        </w:trPr>
        <w:tc>
          <w:tcPr>
            <w:tcW w:w="2835" w:type="dxa"/>
            <w:tcBorders>
              <w:top w:val="nil"/>
              <w:left w:val="single" w:sz="8" w:space="0" w:color="auto"/>
              <w:bottom w:val="single" w:sz="8" w:space="0" w:color="auto"/>
              <w:right w:val="single" w:sz="8" w:space="0" w:color="auto"/>
            </w:tcBorders>
          </w:tcPr>
          <w:p w14:paraId="5E6E269E" w14:textId="77777777" w:rsidR="00C02CAA" w:rsidRPr="001E23E1" w:rsidRDefault="00C02CAA">
            <w:pPr>
              <w:jc w:val="both"/>
            </w:pPr>
            <w:r w:rsidRPr="001E23E1">
              <w:t>Atlikums uz attiecīgā gada 31.decembri</w:t>
            </w:r>
          </w:p>
        </w:tc>
        <w:tc>
          <w:tcPr>
            <w:tcW w:w="999" w:type="dxa"/>
            <w:tcBorders>
              <w:top w:val="nil"/>
              <w:left w:val="nil"/>
              <w:bottom w:val="single" w:sz="8" w:space="0" w:color="auto"/>
              <w:right w:val="single" w:sz="8" w:space="0" w:color="auto"/>
            </w:tcBorders>
            <w:vAlign w:val="center"/>
          </w:tcPr>
          <w:p w14:paraId="42CC534A" w14:textId="77777777" w:rsidR="00C02CAA" w:rsidRPr="001E23E1" w:rsidRDefault="00F97419" w:rsidP="000121BB">
            <w:pPr>
              <w:jc w:val="center"/>
            </w:pPr>
            <w:r>
              <w:t>153 235</w:t>
            </w:r>
          </w:p>
        </w:tc>
        <w:tc>
          <w:tcPr>
            <w:tcW w:w="1223" w:type="dxa"/>
            <w:tcBorders>
              <w:top w:val="nil"/>
              <w:left w:val="nil"/>
              <w:bottom w:val="single" w:sz="8" w:space="0" w:color="auto"/>
              <w:right w:val="single" w:sz="8" w:space="0" w:color="auto"/>
            </w:tcBorders>
            <w:vAlign w:val="center"/>
          </w:tcPr>
          <w:p w14:paraId="33A41A32" w14:textId="77777777" w:rsidR="00C02CAA" w:rsidRPr="001E23E1" w:rsidRDefault="0020484D" w:rsidP="000121BB">
            <w:pPr>
              <w:jc w:val="center"/>
            </w:pPr>
            <w:r>
              <w:t>349 220</w:t>
            </w:r>
          </w:p>
        </w:tc>
        <w:tc>
          <w:tcPr>
            <w:tcW w:w="1223" w:type="dxa"/>
            <w:tcBorders>
              <w:top w:val="nil"/>
              <w:left w:val="nil"/>
              <w:bottom w:val="single" w:sz="8" w:space="0" w:color="auto"/>
              <w:right w:val="single" w:sz="8" w:space="0" w:color="auto"/>
            </w:tcBorders>
            <w:vAlign w:val="center"/>
          </w:tcPr>
          <w:p w14:paraId="398DC19D" w14:textId="77777777" w:rsidR="00C02CAA" w:rsidRPr="001E23E1" w:rsidRDefault="00DE736B" w:rsidP="000121BB">
            <w:pPr>
              <w:jc w:val="center"/>
            </w:pPr>
            <w:r>
              <w:t>611 597</w:t>
            </w:r>
          </w:p>
        </w:tc>
        <w:tc>
          <w:tcPr>
            <w:tcW w:w="1284" w:type="dxa"/>
            <w:tcBorders>
              <w:top w:val="nil"/>
              <w:left w:val="nil"/>
              <w:bottom w:val="single" w:sz="8" w:space="0" w:color="auto"/>
              <w:right w:val="single" w:sz="8" w:space="0" w:color="auto"/>
            </w:tcBorders>
            <w:vAlign w:val="center"/>
          </w:tcPr>
          <w:p w14:paraId="0E496886" w14:textId="77777777" w:rsidR="00C02CAA" w:rsidRPr="001E23E1" w:rsidRDefault="006B4915" w:rsidP="000121BB">
            <w:pPr>
              <w:jc w:val="center"/>
            </w:pPr>
            <w:r>
              <w:t>829 243</w:t>
            </w:r>
          </w:p>
        </w:tc>
        <w:tc>
          <w:tcPr>
            <w:tcW w:w="1223" w:type="dxa"/>
            <w:tcBorders>
              <w:top w:val="nil"/>
              <w:left w:val="nil"/>
              <w:bottom w:val="single" w:sz="8" w:space="0" w:color="auto"/>
              <w:right w:val="single" w:sz="8" w:space="0" w:color="auto"/>
            </w:tcBorders>
            <w:vAlign w:val="center"/>
          </w:tcPr>
          <w:p w14:paraId="313B90E8" w14:textId="77777777" w:rsidR="00C02CAA" w:rsidRPr="001E23E1" w:rsidRDefault="00E27E13" w:rsidP="000121BB">
            <w:pPr>
              <w:jc w:val="center"/>
            </w:pPr>
            <w:r>
              <w:t>897 989</w:t>
            </w:r>
          </w:p>
        </w:tc>
      </w:tr>
    </w:tbl>
    <w:p w14:paraId="1B9E6730" w14:textId="77777777" w:rsidR="00C02CAA" w:rsidRPr="001E23E1" w:rsidRDefault="00C02CAA" w:rsidP="00990100">
      <w:pPr>
        <w:tabs>
          <w:tab w:val="left" w:pos="720"/>
        </w:tabs>
        <w:jc w:val="right"/>
        <w:rPr>
          <w:sz w:val="20"/>
          <w:szCs w:val="20"/>
        </w:rPr>
      </w:pPr>
    </w:p>
    <w:p w14:paraId="26E96E69" w14:textId="77777777" w:rsidR="00C02CAA" w:rsidRPr="00D454E9" w:rsidRDefault="00C02CAA" w:rsidP="00D454E9">
      <w:pPr>
        <w:tabs>
          <w:tab w:val="left" w:pos="720"/>
        </w:tabs>
        <w:ind w:firstLine="720"/>
        <w:jc w:val="both"/>
        <w:rPr>
          <w:szCs w:val="28"/>
        </w:rPr>
      </w:pPr>
      <w:r w:rsidRPr="00D454E9">
        <w:rPr>
          <w:szCs w:val="28"/>
        </w:rPr>
        <w:t>Salīdzinot faktiskos izdevumus maksātnespējas procesu izmaksu segšanai, ir vērojams būtisks samazinājums. Samazinājums ir saistīts ar to, ka 2010.gada 1.novembrī stājās spēkā jaunais Maksātnespējas likums, kurš paredzēja jaunu maksātnespējas procesa finansēšanas modeli – depozītu divu maksātnespējas procesa pieteikuma iesniegšanas brīdī valstī noteikto minimālo mēnešalgu apmērā, kuru pieteikuma iesniedzējs iemaksā speciālā Maksātnespējas administrācijas deponēto līdzekļu kontā Valsts kasē. Līdz ar to Maksātnespējas administrācija sedz maksātnespējas procesa izmaksas (maksātnespējas procesa izdevumus un maksātnespējas procesa administratora atlīdzību) no Maksātnespējas administrācijai šiem mērķiem piešķirtajiem līdzekļiem tikai tajos maksātnespējas procesos, kas uzsākti līdz 2010.gada 31.oktobrim.</w:t>
      </w:r>
    </w:p>
    <w:p w14:paraId="643D810B" w14:textId="77777777" w:rsidR="00C02CAA" w:rsidRPr="00D454E9" w:rsidRDefault="00C352D1" w:rsidP="00D454E9">
      <w:pPr>
        <w:tabs>
          <w:tab w:val="left" w:pos="720"/>
        </w:tabs>
        <w:ind w:firstLine="720"/>
        <w:jc w:val="both"/>
        <w:rPr>
          <w:szCs w:val="28"/>
        </w:rPr>
      </w:pPr>
      <w:r w:rsidRPr="00D454E9">
        <w:rPr>
          <w:szCs w:val="28"/>
        </w:rPr>
        <w:t xml:space="preserve">Lai gan, sākot no 2008.gada līdz 2012.gadam, administratora atlīdzības par darbinieku prasījumu apmierināšanu kopējā summa strauji auga (2008.gadā – 13 </w:t>
      </w:r>
      <w:r w:rsidRPr="00D454E9">
        <w:rPr>
          <w:i/>
          <w:szCs w:val="28"/>
        </w:rPr>
        <w:t>euro</w:t>
      </w:r>
      <w:r w:rsidRPr="00D454E9">
        <w:rPr>
          <w:szCs w:val="28"/>
        </w:rPr>
        <w:t xml:space="preserve"> gadā, 2012.gadā – 5 788 </w:t>
      </w:r>
      <w:r w:rsidRPr="00D454E9">
        <w:rPr>
          <w:i/>
          <w:szCs w:val="28"/>
        </w:rPr>
        <w:t>euro</w:t>
      </w:r>
      <w:r w:rsidRPr="00D454E9">
        <w:rPr>
          <w:szCs w:val="28"/>
        </w:rPr>
        <w:t xml:space="preserve"> gadā), ar 2013.gadu tā ir samazinājusies (skatīt </w:t>
      </w:r>
      <w:r w:rsidR="000C26CD" w:rsidRPr="00D454E9">
        <w:rPr>
          <w:szCs w:val="28"/>
        </w:rPr>
        <w:t>5</w:t>
      </w:r>
      <w:r w:rsidRPr="00D454E9">
        <w:rPr>
          <w:szCs w:val="28"/>
        </w:rPr>
        <w:t xml:space="preserve">.tabulu), jo no </w:t>
      </w:r>
      <w:r w:rsidR="00CA1A48">
        <w:rPr>
          <w:szCs w:val="28"/>
        </w:rPr>
        <w:t>budžeta</w:t>
      </w:r>
      <w:r w:rsidR="00CA1A48" w:rsidRPr="00D454E9">
        <w:rPr>
          <w:szCs w:val="28"/>
        </w:rPr>
        <w:t xml:space="preserve"> </w:t>
      </w:r>
      <w:r w:rsidRPr="00D454E9">
        <w:rPr>
          <w:szCs w:val="28"/>
        </w:rPr>
        <w:t xml:space="preserve">apakšprogrammas </w:t>
      </w:r>
      <w:r w:rsidR="00CA1A48" w:rsidRPr="00CA1A48">
        <w:rPr>
          <w:szCs w:val="28"/>
        </w:rPr>
        <w:t>„</w:t>
      </w:r>
      <w:r w:rsidR="00CA1A48" w:rsidRPr="00CA1A48">
        <w:rPr>
          <w:iCs/>
          <w:szCs w:val="28"/>
        </w:rPr>
        <w:t>Maksātnespējas procesa izmaksas</w:t>
      </w:r>
      <w:r w:rsidR="00CA1A48" w:rsidRPr="00CA1A48">
        <w:rPr>
          <w:szCs w:val="28"/>
        </w:rPr>
        <w:t>”</w:t>
      </w:r>
      <w:r w:rsidR="00CA1A48">
        <w:rPr>
          <w:szCs w:val="28"/>
        </w:rPr>
        <w:t xml:space="preserve"> </w:t>
      </w:r>
      <w:r w:rsidRPr="00D454E9">
        <w:rPr>
          <w:szCs w:val="28"/>
        </w:rPr>
        <w:t xml:space="preserve">atlīdzību par darbinieku prasījumu iesniegšanu administratoram maksā tikai tajos maksātnespējas procesos, kas pasludināti līdz 2011.gada 31.decembrim. Savukārt saskaņā ar 2011.gada 15.decembra grozījumiem </w:t>
      </w:r>
      <w:r w:rsidR="00FB0693">
        <w:rPr>
          <w:szCs w:val="28"/>
        </w:rPr>
        <w:t>l</w:t>
      </w:r>
      <w:r w:rsidR="00FB0693" w:rsidRPr="00FB0693">
        <w:rPr>
          <w:szCs w:val="28"/>
        </w:rPr>
        <w:t>ikum</w:t>
      </w:r>
      <w:r w:rsidR="00FB0693">
        <w:rPr>
          <w:szCs w:val="28"/>
        </w:rPr>
        <w:t>ā</w:t>
      </w:r>
      <w:r w:rsidR="00FB0693" w:rsidRPr="00FB0693">
        <w:rPr>
          <w:szCs w:val="28"/>
        </w:rPr>
        <w:t xml:space="preserve"> „Par darbinieku aizsardzību darba devēja maksātnespējas gadījumā”</w:t>
      </w:r>
      <w:r w:rsidRPr="00D454E9">
        <w:rPr>
          <w:szCs w:val="28"/>
        </w:rPr>
        <w:t xml:space="preserve">, kas stājās spēkā 2012.gada 1.janvārī, administratora atlīdzība par darbinieku prasījumu iesniegšanu tiek maksāta no darbinieku prasījumu garantiju fonda apakšprogrammas. Administratora atlīdzība par darbinieku prasījumu iesniegšanu 2013.gadā sastādīja 1 306 </w:t>
      </w:r>
      <w:r w:rsidRPr="00D454E9">
        <w:rPr>
          <w:i/>
          <w:szCs w:val="28"/>
        </w:rPr>
        <w:t>euro,</w:t>
      </w:r>
      <w:r w:rsidRPr="00D454E9">
        <w:rPr>
          <w:szCs w:val="28"/>
        </w:rPr>
        <w:t xml:space="preserve"> 2014.gadā 1 312 </w:t>
      </w:r>
      <w:r w:rsidRPr="00D454E9">
        <w:rPr>
          <w:i/>
          <w:szCs w:val="28"/>
        </w:rPr>
        <w:t>euro</w:t>
      </w:r>
      <w:r w:rsidRPr="00D454E9">
        <w:rPr>
          <w:szCs w:val="28"/>
        </w:rPr>
        <w:t xml:space="preserve"> un 2015.gadā 2 010 </w:t>
      </w:r>
      <w:r w:rsidRPr="00D454E9">
        <w:rPr>
          <w:i/>
          <w:szCs w:val="28"/>
        </w:rPr>
        <w:t>euro</w:t>
      </w:r>
      <w:r w:rsidRPr="00D454E9">
        <w:rPr>
          <w:szCs w:val="28"/>
        </w:rPr>
        <w:t xml:space="preserve"> (skatīt </w:t>
      </w:r>
      <w:r w:rsidR="001D3594" w:rsidRPr="00D454E9">
        <w:rPr>
          <w:szCs w:val="28"/>
        </w:rPr>
        <w:t>8</w:t>
      </w:r>
      <w:r w:rsidRPr="00D454E9">
        <w:rPr>
          <w:szCs w:val="28"/>
        </w:rPr>
        <w:t>.tabulu).</w:t>
      </w:r>
    </w:p>
    <w:p w14:paraId="268C671A" w14:textId="77777777" w:rsidR="00C02CAA" w:rsidRPr="001E23E1" w:rsidRDefault="00C02CAA" w:rsidP="00A41719">
      <w:pPr>
        <w:tabs>
          <w:tab w:val="left" w:pos="720"/>
        </w:tabs>
        <w:ind w:firstLine="720"/>
        <w:jc w:val="both"/>
        <w:rPr>
          <w:sz w:val="28"/>
          <w:szCs w:val="28"/>
        </w:rPr>
      </w:pPr>
    </w:p>
    <w:p w14:paraId="735C1DB2" w14:textId="77777777" w:rsidR="00C02CAA" w:rsidRPr="00D454E9" w:rsidRDefault="000C26CD" w:rsidP="00416B65">
      <w:pPr>
        <w:tabs>
          <w:tab w:val="left" w:pos="720"/>
        </w:tabs>
        <w:jc w:val="right"/>
      </w:pPr>
      <w:r w:rsidRPr="00D454E9">
        <w:t>5</w:t>
      </w:r>
      <w:r w:rsidR="00C02CAA" w:rsidRPr="00D454E9">
        <w:t>.tabula</w:t>
      </w:r>
    </w:p>
    <w:p w14:paraId="2FEC19EB" w14:textId="77777777" w:rsidR="00C02CAA" w:rsidRPr="00D454E9" w:rsidRDefault="00C02CAA" w:rsidP="00416B65">
      <w:pPr>
        <w:tabs>
          <w:tab w:val="left" w:pos="720"/>
        </w:tabs>
        <w:jc w:val="right"/>
        <w:rPr>
          <w:b/>
        </w:rPr>
      </w:pPr>
    </w:p>
    <w:p w14:paraId="0FAB27B6" w14:textId="77777777" w:rsidR="00C02CAA" w:rsidRPr="001E23E1" w:rsidRDefault="00C02CAA" w:rsidP="00416B65">
      <w:pPr>
        <w:tabs>
          <w:tab w:val="left" w:pos="720"/>
        </w:tabs>
        <w:jc w:val="center"/>
        <w:rPr>
          <w:b/>
          <w:sz w:val="28"/>
          <w:szCs w:val="28"/>
        </w:rPr>
      </w:pPr>
      <w:r w:rsidRPr="00D454E9">
        <w:rPr>
          <w:b/>
        </w:rPr>
        <w:t>Maksātnespējas procesa izmaksu faktiskā izpilde par laika posmu no 201</w:t>
      </w:r>
      <w:r w:rsidR="00E75A69" w:rsidRPr="00D454E9">
        <w:rPr>
          <w:b/>
        </w:rPr>
        <w:t>1</w:t>
      </w:r>
      <w:r w:rsidRPr="00D454E9">
        <w:rPr>
          <w:b/>
        </w:rPr>
        <w:t>.gada līdz 201</w:t>
      </w:r>
      <w:r w:rsidR="00E75A69" w:rsidRPr="00D454E9">
        <w:rPr>
          <w:b/>
        </w:rPr>
        <w:t>5</w:t>
      </w:r>
      <w:r w:rsidRPr="00D454E9">
        <w:rPr>
          <w:b/>
        </w:rPr>
        <w:t>.gadam</w:t>
      </w:r>
    </w:p>
    <w:tbl>
      <w:tblPr>
        <w:tblpPr w:leftFromText="180" w:rightFromText="180" w:vertAnchor="text" w:horzAnchor="margin" w:tblpXSpec="center" w:tblpY="268"/>
        <w:tblW w:w="0" w:type="auto"/>
        <w:tblLook w:val="0000" w:firstRow="0" w:lastRow="0" w:firstColumn="0" w:lastColumn="0" w:noHBand="0" w:noVBand="0"/>
      </w:tblPr>
      <w:tblGrid>
        <w:gridCol w:w="4077"/>
        <w:gridCol w:w="851"/>
        <w:gridCol w:w="850"/>
        <w:gridCol w:w="851"/>
        <w:gridCol w:w="850"/>
        <w:gridCol w:w="851"/>
      </w:tblGrid>
      <w:tr w:rsidR="00B074E1" w:rsidRPr="001E23E1" w14:paraId="11FE7C4D" w14:textId="77777777" w:rsidTr="000121BB">
        <w:trPr>
          <w:trHeight w:val="330"/>
        </w:trPr>
        <w:tc>
          <w:tcPr>
            <w:tcW w:w="4077" w:type="dxa"/>
            <w:tcBorders>
              <w:top w:val="single" w:sz="8" w:space="0" w:color="auto"/>
              <w:left w:val="single" w:sz="8" w:space="0" w:color="auto"/>
              <w:bottom w:val="single" w:sz="8" w:space="0" w:color="auto"/>
              <w:right w:val="single" w:sz="8" w:space="0" w:color="auto"/>
            </w:tcBorders>
            <w:shd w:val="clear" w:color="auto" w:fill="auto"/>
            <w:vAlign w:val="bottom"/>
          </w:tcPr>
          <w:p w14:paraId="341F34B4" w14:textId="77777777" w:rsidR="00C02CAA" w:rsidRPr="001E23E1" w:rsidRDefault="00C02CAA" w:rsidP="0015047D">
            <w:pPr>
              <w:jc w:val="center"/>
              <w:rPr>
                <w:b/>
                <w:bCs/>
              </w:rPr>
            </w:pPr>
            <w:r w:rsidRPr="001E23E1">
              <w:rPr>
                <w:b/>
                <w:bCs/>
              </w:rPr>
              <w:t> </w:t>
            </w:r>
          </w:p>
        </w:tc>
        <w:tc>
          <w:tcPr>
            <w:tcW w:w="851" w:type="dxa"/>
            <w:tcBorders>
              <w:top w:val="single" w:sz="8" w:space="0" w:color="auto"/>
              <w:left w:val="nil"/>
              <w:bottom w:val="single" w:sz="8" w:space="0" w:color="auto"/>
              <w:right w:val="single" w:sz="8" w:space="0" w:color="auto"/>
            </w:tcBorders>
            <w:shd w:val="clear" w:color="auto" w:fill="auto"/>
            <w:vAlign w:val="center"/>
          </w:tcPr>
          <w:p w14:paraId="2C35B116" w14:textId="77777777" w:rsidR="00C02CAA" w:rsidRPr="00B074E1" w:rsidRDefault="00C02CAA" w:rsidP="000121BB">
            <w:pPr>
              <w:jc w:val="center"/>
              <w:rPr>
                <w:b/>
                <w:bCs/>
                <w:sz w:val="20"/>
                <w:szCs w:val="20"/>
              </w:rPr>
            </w:pPr>
            <w:r w:rsidRPr="00B074E1">
              <w:rPr>
                <w:b/>
                <w:bCs/>
                <w:sz w:val="20"/>
                <w:szCs w:val="20"/>
              </w:rPr>
              <w:t>201</w:t>
            </w:r>
            <w:r w:rsidR="00E75A69" w:rsidRPr="00B074E1">
              <w:rPr>
                <w:b/>
                <w:bCs/>
                <w:sz w:val="20"/>
                <w:szCs w:val="20"/>
              </w:rPr>
              <w:t>1</w:t>
            </w:r>
          </w:p>
        </w:tc>
        <w:tc>
          <w:tcPr>
            <w:tcW w:w="850" w:type="dxa"/>
            <w:tcBorders>
              <w:top w:val="single" w:sz="8" w:space="0" w:color="auto"/>
              <w:left w:val="nil"/>
              <w:bottom w:val="single" w:sz="8" w:space="0" w:color="auto"/>
              <w:right w:val="single" w:sz="8" w:space="0" w:color="auto"/>
            </w:tcBorders>
            <w:shd w:val="clear" w:color="auto" w:fill="auto"/>
            <w:vAlign w:val="center"/>
          </w:tcPr>
          <w:p w14:paraId="22D76EB6" w14:textId="77777777" w:rsidR="00C02CAA" w:rsidRPr="00B074E1" w:rsidRDefault="00C02CAA" w:rsidP="000121BB">
            <w:pPr>
              <w:jc w:val="center"/>
              <w:rPr>
                <w:b/>
                <w:bCs/>
                <w:sz w:val="20"/>
                <w:szCs w:val="20"/>
              </w:rPr>
            </w:pPr>
            <w:r w:rsidRPr="00B074E1">
              <w:rPr>
                <w:b/>
                <w:bCs/>
                <w:sz w:val="20"/>
                <w:szCs w:val="20"/>
              </w:rPr>
              <w:t>201</w:t>
            </w:r>
            <w:r w:rsidR="00E75A69" w:rsidRPr="00B074E1">
              <w:rPr>
                <w:b/>
                <w:bCs/>
                <w:sz w:val="20"/>
                <w:szCs w:val="20"/>
              </w:rPr>
              <w:t>2</w:t>
            </w:r>
          </w:p>
        </w:tc>
        <w:tc>
          <w:tcPr>
            <w:tcW w:w="851" w:type="dxa"/>
            <w:tcBorders>
              <w:top w:val="single" w:sz="8" w:space="0" w:color="auto"/>
              <w:left w:val="nil"/>
              <w:bottom w:val="single" w:sz="8" w:space="0" w:color="auto"/>
              <w:right w:val="single" w:sz="8" w:space="0" w:color="auto"/>
            </w:tcBorders>
            <w:shd w:val="clear" w:color="auto" w:fill="auto"/>
            <w:vAlign w:val="center"/>
          </w:tcPr>
          <w:p w14:paraId="3DBF0E2A" w14:textId="77777777" w:rsidR="00C02CAA" w:rsidRPr="00B074E1" w:rsidRDefault="00C02CAA" w:rsidP="000121BB">
            <w:pPr>
              <w:jc w:val="center"/>
              <w:rPr>
                <w:b/>
                <w:bCs/>
                <w:sz w:val="20"/>
                <w:szCs w:val="20"/>
              </w:rPr>
            </w:pPr>
            <w:r w:rsidRPr="00B074E1">
              <w:rPr>
                <w:b/>
                <w:bCs/>
                <w:sz w:val="20"/>
                <w:szCs w:val="20"/>
              </w:rPr>
              <w:t>201</w:t>
            </w:r>
            <w:r w:rsidR="00E75A69" w:rsidRPr="00B074E1">
              <w:rPr>
                <w:b/>
                <w:bCs/>
                <w:sz w:val="20"/>
                <w:szCs w:val="20"/>
              </w:rPr>
              <w:t>3</w:t>
            </w:r>
          </w:p>
        </w:tc>
        <w:tc>
          <w:tcPr>
            <w:tcW w:w="850" w:type="dxa"/>
            <w:tcBorders>
              <w:top w:val="single" w:sz="8" w:space="0" w:color="auto"/>
              <w:left w:val="nil"/>
              <w:bottom w:val="single" w:sz="8" w:space="0" w:color="auto"/>
              <w:right w:val="single" w:sz="8" w:space="0" w:color="auto"/>
            </w:tcBorders>
            <w:shd w:val="clear" w:color="auto" w:fill="auto"/>
            <w:vAlign w:val="center"/>
          </w:tcPr>
          <w:p w14:paraId="658F3720" w14:textId="77777777" w:rsidR="00C02CAA" w:rsidRPr="00B074E1" w:rsidRDefault="00C02CAA" w:rsidP="000121BB">
            <w:pPr>
              <w:jc w:val="center"/>
              <w:rPr>
                <w:b/>
                <w:bCs/>
                <w:sz w:val="20"/>
                <w:szCs w:val="20"/>
              </w:rPr>
            </w:pPr>
            <w:r w:rsidRPr="00B074E1">
              <w:rPr>
                <w:b/>
                <w:bCs/>
                <w:sz w:val="20"/>
                <w:szCs w:val="20"/>
              </w:rPr>
              <w:t>201</w:t>
            </w:r>
            <w:r w:rsidR="00E75A69" w:rsidRPr="00B074E1">
              <w:rPr>
                <w:b/>
                <w:bCs/>
                <w:sz w:val="20"/>
                <w:szCs w:val="20"/>
              </w:rPr>
              <w:t>4</w:t>
            </w:r>
          </w:p>
        </w:tc>
        <w:tc>
          <w:tcPr>
            <w:tcW w:w="851" w:type="dxa"/>
            <w:tcBorders>
              <w:top w:val="single" w:sz="8" w:space="0" w:color="auto"/>
              <w:left w:val="nil"/>
              <w:bottom w:val="single" w:sz="8" w:space="0" w:color="auto"/>
              <w:right w:val="single" w:sz="8" w:space="0" w:color="auto"/>
            </w:tcBorders>
            <w:shd w:val="clear" w:color="auto" w:fill="auto"/>
            <w:vAlign w:val="center"/>
          </w:tcPr>
          <w:p w14:paraId="4242A69C" w14:textId="77777777" w:rsidR="00C02CAA" w:rsidRPr="00B074E1" w:rsidRDefault="00C02CAA" w:rsidP="000121BB">
            <w:pPr>
              <w:jc w:val="center"/>
              <w:rPr>
                <w:b/>
                <w:bCs/>
                <w:sz w:val="20"/>
                <w:szCs w:val="20"/>
              </w:rPr>
            </w:pPr>
            <w:r w:rsidRPr="00B074E1">
              <w:rPr>
                <w:b/>
                <w:bCs/>
                <w:sz w:val="20"/>
                <w:szCs w:val="20"/>
              </w:rPr>
              <w:t>201</w:t>
            </w:r>
            <w:r w:rsidR="00E75A69" w:rsidRPr="00B074E1">
              <w:rPr>
                <w:b/>
                <w:bCs/>
                <w:sz w:val="20"/>
                <w:szCs w:val="20"/>
              </w:rPr>
              <w:t>5</w:t>
            </w:r>
          </w:p>
        </w:tc>
      </w:tr>
      <w:tr w:rsidR="00C02CAA" w:rsidRPr="001E23E1" w14:paraId="5EB8616C" w14:textId="77777777" w:rsidTr="000121BB">
        <w:trPr>
          <w:trHeight w:val="486"/>
        </w:trPr>
        <w:tc>
          <w:tcPr>
            <w:tcW w:w="4077" w:type="dxa"/>
            <w:tcBorders>
              <w:top w:val="single" w:sz="4" w:space="0" w:color="auto"/>
              <w:left w:val="single" w:sz="4" w:space="0" w:color="auto"/>
              <w:bottom w:val="single" w:sz="4" w:space="0" w:color="auto"/>
              <w:right w:val="single" w:sz="4" w:space="0" w:color="auto"/>
            </w:tcBorders>
          </w:tcPr>
          <w:p w14:paraId="6AF35057" w14:textId="77777777" w:rsidR="00C02CAA" w:rsidRPr="00B074E1" w:rsidRDefault="00C02CAA" w:rsidP="0015047D">
            <w:pPr>
              <w:jc w:val="both"/>
              <w:rPr>
                <w:sz w:val="18"/>
                <w:szCs w:val="18"/>
              </w:rPr>
            </w:pPr>
            <w:r w:rsidRPr="00B074E1">
              <w:rPr>
                <w:sz w:val="18"/>
                <w:szCs w:val="18"/>
              </w:rPr>
              <w:t>1.</w:t>
            </w:r>
            <w:r w:rsidR="00E61BB2">
              <w:rPr>
                <w:sz w:val="18"/>
                <w:szCs w:val="18"/>
              </w:rPr>
              <w:t> </w:t>
            </w:r>
            <w:r w:rsidRPr="00B074E1">
              <w:rPr>
                <w:sz w:val="18"/>
                <w:szCs w:val="18"/>
              </w:rPr>
              <w:t>Uzņēmumu skaits, kuros segti maksātnespējas procesa izdevumi</w:t>
            </w:r>
          </w:p>
        </w:tc>
        <w:tc>
          <w:tcPr>
            <w:tcW w:w="851" w:type="dxa"/>
            <w:tcBorders>
              <w:top w:val="single" w:sz="4" w:space="0" w:color="auto"/>
              <w:left w:val="nil"/>
              <w:bottom w:val="single" w:sz="4" w:space="0" w:color="auto"/>
              <w:right w:val="single" w:sz="4" w:space="0" w:color="auto"/>
            </w:tcBorders>
            <w:vAlign w:val="center"/>
          </w:tcPr>
          <w:p w14:paraId="135E068E" w14:textId="77777777" w:rsidR="00C02CAA" w:rsidRPr="00B074E1" w:rsidRDefault="00CC47DF" w:rsidP="000121BB">
            <w:pPr>
              <w:jc w:val="center"/>
              <w:rPr>
                <w:sz w:val="18"/>
                <w:szCs w:val="18"/>
              </w:rPr>
            </w:pPr>
            <w:r w:rsidRPr="00B074E1">
              <w:rPr>
                <w:sz w:val="18"/>
                <w:szCs w:val="18"/>
              </w:rPr>
              <w:t>409</w:t>
            </w:r>
          </w:p>
        </w:tc>
        <w:tc>
          <w:tcPr>
            <w:tcW w:w="850" w:type="dxa"/>
            <w:tcBorders>
              <w:top w:val="single" w:sz="4" w:space="0" w:color="auto"/>
              <w:left w:val="nil"/>
              <w:bottom w:val="single" w:sz="4" w:space="0" w:color="auto"/>
              <w:right w:val="single" w:sz="4" w:space="0" w:color="auto"/>
            </w:tcBorders>
            <w:vAlign w:val="center"/>
          </w:tcPr>
          <w:p w14:paraId="192E2D43" w14:textId="77777777" w:rsidR="00C02CAA" w:rsidRPr="00B074E1" w:rsidRDefault="00CC47DF" w:rsidP="000121BB">
            <w:pPr>
              <w:jc w:val="center"/>
              <w:rPr>
                <w:sz w:val="18"/>
                <w:szCs w:val="18"/>
              </w:rPr>
            </w:pPr>
            <w:r w:rsidRPr="00B074E1">
              <w:rPr>
                <w:sz w:val="18"/>
                <w:szCs w:val="18"/>
              </w:rPr>
              <w:t>84</w:t>
            </w:r>
          </w:p>
        </w:tc>
        <w:tc>
          <w:tcPr>
            <w:tcW w:w="851" w:type="dxa"/>
            <w:tcBorders>
              <w:top w:val="single" w:sz="4" w:space="0" w:color="auto"/>
              <w:left w:val="nil"/>
              <w:bottom w:val="single" w:sz="4" w:space="0" w:color="auto"/>
              <w:right w:val="single" w:sz="4" w:space="0" w:color="auto"/>
            </w:tcBorders>
            <w:vAlign w:val="center"/>
          </w:tcPr>
          <w:p w14:paraId="1B8B153F" w14:textId="77777777" w:rsidR="00C02CAA" w:rsidRPr="00B074E1" w:rsidRDefault="00CC47DF" w:rsidP="000121BB">
            <w:pPr>
              <w:jc w:val="center"/>
              <w:rPr>
                <w:sz w:val="18"/>
                <w:szCs w:val="18"/>
              </w:rPr>
            </w:pPr>
            <w:r w:rsidRPr="00B074E1">
              <w:rPr>
                <w:sz w:val="18"/>
                <w:szCs w:val="18"/>
              </w:rPr>
              <w:t>44</w:t>
            </w:r>
          </w:p>
        </w:tc>
        <w:tc>
          <w:tcPr>
            <w:tcW w:w="850" w:type="dxa"/>
            <w:tcBorders>
              <w:top w:val="single" w:sz="4" w:space="0" w:color="auto"/>
              <w:left w:val="nil"/>
              <w:bottom w:val="single" w:sz="4" w:space="0" w:color="auto"/>
              <w:right w:val="single" w:sz="4" w:space="0" w:color="auto"/>
            </w:tcBorders>
            <w:vAlign w:val="center"/>
          </w:tcPr>
          <w:p w14:paraId="41BAC450" w14:textId="77777777" w:rsidR="00C02CAA" w:rsidRPr="00B074E1" w:rsidRDefault="00CC47DF" w:rsidP="000121BB">
            <w:pPr>
              <w:jc w:val="center"/>
              <w:rPr>
                <w:sz w:val="18"/>
                <w:szCs w:val="18"/>
              </w:rPr>
            </w:pPr>
            <w:r w:rsidRPr="00B074E1">
              <w:rPr>
                <w:sz w:val="18"/>
                <w:szCs w:val="18"/>
              </w:rPr>
              <w:t>19</w:t>
            </w:r>
          </w:p>
        </w:tc>
        <w:tc>
          <w:tcPr>
            <w:tcW w:w="851" w:type="dxa"/>
            <w:tcBorders>
              <w:top w:val="single" w:sz="4" w:space="0" w:color="auto"/>
              <w:left w:val="nil"/>
              <w:bottom w:val="single" w:sz="4" w:space="0" w:color="auto"/>
              <w:right w:val="single" w:sz="4" w:space="0" w:color="auto"/>
            </w:tcBorders>
            <w:vAlign w:val="center"/>
          </w:tcPr>
          <w:p w14:paraId="350A1445" w14:textId="77777777" w:rsidR="00C02CAA" w:rsidRPr="00B074E1" w:rsidRDefault="00CC47DF" w:rsidP="000121BB">
            <w:pPr>
              <w:jc w:val="center"/>
              <w:rPr>
                <w:sz w:val="18"/>
                <w:szCs w:val="18"/>
              </w:rPr>
            </w:pPr>
            <w:r w:rsidRPr="00B074E1">
              <w:rPr>
                <w:sz w:val="18"/>
                <w:szCs w:val="18"/>
              </w:rPr>
              <w:t>10</w:t>
            </w:r>
          </w:p>
        </w:tc>
      </w:tr>
      <w:tr w:rsidR="00C02CAA" w:rsidRPr="001E23E1" w14:paraId="6B39BC6E" w14:textId="77777777" w:rsidTr="000121BB">
        <w:trPr>
          <w:trHeight w:val="315"/>
        </w:trPr>
        <w:tc>
          <w:tcPr>
            <w:tcW w:w="4077" w:type="dxa"/>
            <w:tcBorders>
              <w:top w:val="nil"/>
              <w:left w:val="single" w:sz="4" w:space="0" w:color="auto"/>
              <w:bottom w:val="single" w:sz="4" w:space="0" w:color="auto"/>
              <w:right w:val="single" w:sz="4" w:space="0" w:color="auto"/>
            </w:tcBorders>
          </w:tcPr>
          <w:p w14:paraId="627E5B93" w14:textId="77777777" w:rsidR="00C02CAA" w:rsidRPr="00B074E1" w:rsidRDefault="00C02CAA" w:rsidP="0015047D">
            <w:pPr>
              <w:jc w:val="both"/>
              <w:rPr>
                <w:sz w:val="18"/>
                <w:szCs w:val="18"/>
              </w:rPr>
            </w:pPr>
            <w:r w:rsidRPr="00B074E1">
              <w:rPr>
                <w:sz w:val="18"/>
                <w:szCs w:val="18"/>
              </w:rPr>
              <w:t>2.</w:t>
            </w:r>
            <w:r w:rsidR="00E61BB2">
              <w:rPr>
                <w:sz w:val="18"/>
                <w:szCs w:val="18"/>
              </w:rPr>
              <w:t> </w:t>
            </w:r>
            <w:r w:rsidRPr="00B074E1">
              <w:rPr>
                <w:sz w:val="18"/>
                <w:szCs w:val="18"/>
              </w:rPr>
              <w:t xml:space="preserve">Veiktās izmaksas (izdevumiem), </w:t>
            </w:r>
            <w:r w:rsidRPr="00B074E1">
              <w:rPr>
                <w:i/>
                <w:sz w:val="18"/>
                <w:szCs w:val="18"/>
              </w:rPr>
              <w:t>euro</w:t>
            </w:r>
          </w:p>
        </w:tc>
        <w:tc>
          <w:tcPr>
            <w:tcW w:w="851" w:type="dxa"/>
            <w:tcBorders>
              <w:top w:val="nil"/>
              <w:left w:val="nil"/>
              <w:bottom w:val="single" w:sz="4" w:space="0" w:color="auto"/>
              <w:right w:val="single" w:sz="4" w:space="0" w:color="auto"/>
            </w:tcBorders>
            <w:vAlign w:val="center"/>
          </w:tcPr>
          <w:p w14:paraId="248C1376" w14:textId="77777777" w:rsidR="00C02CAA" w:rsidRPr="00B074E1" w:rsidRDefault="00CC47DF" w:rsidP="000121BB">
            <w:pPr>
              <w:jc w:val="center"/>
              <w:rPr>
                <w:sz w:val="18"/>
                <w:szCs w:val="18"/>
              </w:rPr>
            </w:pPr>
            <w:r w:rsidRPr="00B074E1">
              <w:rPr>
                <w:sz w:val="18"/>
                <w:szCs w:val="18"/>
              </w:rPr>
              <w:t>59 937</w:t>
            </w:r>
          </w:p>
        </w:tc>
        <w:tc>
          <w:tcPr>
            <w:tcW w:w="850" w:type="dxa"/>
            <w:tcBorders>
              <w:top w:val="nil"/>
              <w:left w:val="nil"/>
              <w:bottom w:val="single" w:sz="4" w:space="0" w:color="auto"/>
              <w:right w:val="single" w:sz="4" w:space="0" w:color="auto"/>
            </w:tcBorders>
            <w:vAlign w:val="center"/>
          </w:tcPr>
          <w:p w14:paraId="2CD34F6A" w14:textId="77777777" w:rsidR="00C02CAA" w:rsidRPr="00B074E1" w:rsidRDefault="00CC47DF" w:rsidP="000121BB">
            <w:pPr>
              <w:jc w:val="center"/>
              <w:rPr>
                <w:sz w:val="18"/>
                <w:szCs w:val="18"/>
              </w:rPr>
            </w:pPr>
            <w:r w:rsidRPr="00B074E1">
              <w:rPr>
                <w:sz w:val="18"/>
                <w:szCs w:val="18"/>
              </w:rPr>
              <w:t>12 719</w:t>
            </w:r>
          </w:p>
        </w:tc>
        <w:tc>
          <w:tcPr>
            <w:tcW w:w="851" w:type="dxa"/>
            <w:tcBorders>
              <w:top w:val="nil"/>
              <w:left w:val="nil"/>
              <w:bottom w:val="single" w:sz="4" w:space="0" w:color="auto"/>
              <w:right w:val="single" w:sz="4" w:space="0" w:color="auto"/>
            </w:tcBorders>
            <w:vAlign w:val="center"/>
          </w:tcPr>
          <w:p w14:paraId="419A5C2A" w14:textId="77777777" w:rsidR="00C02CAA" w:rsidRPr="00B074E1" w:rsidRDefault="00CC47DF" w:rsidP="000121BB">
            <w:pPr>
              <w:jc w:val="center"/>
              <w:rPr>
                <w:sz w:val="18"/>
                <w:szCs w:val="18"/>
              </w:rPr>
            </w:pPr>
            <w:r w:rsidRPr="00B074E1">
              <w:rPr>
                <w:sz w:val="18"/>
                <w:szCs w:val="18"/>
              </w:rPr>
              <w:t>6 340</w:t>
            </w:r>
          </w:p>
        </w:tc>
        <w:tc>
          <w:tcPr>
            <w:tcW w:w="850" w:type="dxa"/>
            <w:tcBorders>
              <w:top w:val="nil"/>
              <w:left w:val="nil"/>
              <w:bottom w:val="single" w:sz="4" w:space="0" w:color="auto"/>
              <w:right w:val="single" w:sz="4" w:space="0" w:color="auto"/>
            </w:tcBorders>
            <w:vAlign w:val="center"/>
          </w:tcPr>
          <w:p w14:paraId="59CE9C1C" w14:textId="77777777" w:rsidR="00C02CAA" w:rsidRPr="00B074E1" w:rsidRDefault="00CC47DF" w:rsidP="000121BB">
            <w:pPr>
              <w:jc w:val="center"/>
              <w:rPr>
                <w:sz w:val="18"/>
                <w:szCs w:val="18"/>
              </w:rPr>
            </w:pPr>
            <w:r w:rsidRPr="00B074E1">
              <w:rPr>
                <w:sz w:val="18"/>
                <w:szCs w:val="18"/>
              </w:rPr>
              <w:t>2 804</w:t>
            </w:r>
          </w:p>
        </w:tc>
        <w:tc>
          <w:tcPr>
            <w:tcW w:w="851" w:type="dxa"/>
            <w:tcBorders>
              <w:top w:val="nil"/>
              <w:left w:val="nil"/>
              <w:bottom w:val="single" w:sz="4" w:space="0" w:color="auto"/>
              <w:right w:val="single" w:sz="4" w:space="0" w:color="auto"/>
            </w:tcBorders>
            <w:vAlign w:val="center"/>
          </w:tcPr>
          <w:p w14:paraId="6647CABE" w14:textId="77777777" w:rsidR="00C02CAA" w:rsidRPr="00B074E1" w:rsidRDefault="00CC47DF" w:rsidP="000121BB">
            <w:pPr>
              <w:jc w:val="center"/>
              <w:rPr>
                <w:sz w:val="18"/>
                <w:szCs w:val="18"/>
              </w:rPr>
            </w:pPr>
            <w:r w:rsidRPr="00B074E1">
              <w:rPr>
                <w:sz w:val="18"/>
                <w:szCs w:val="18"/>
              </w:rPr>
              <w:t>1 636</w:t>
            </w:r>
          </w:p>
        </w:tc>
      </w:tr>
      <w:tr w:rsidR="00C02CAA" w:rsidRPr="001E23E1" w14:paraId="2D91B2AD" w14:textId="77777777" w:rsidTr="000121BB">
        <w:trPr>
          <w:trHeight w:val="369"/>
        </w:trPr>
        <w:tc>
          <w:tcPr>
            <w:tcW w:w="4077" w:type="dxa"/>
            <w:tcBorders>
              <w:top w:val="nil"/>
              <w:left w:val="single" w:sz="4" w:space="0" w:color="auto"/>
              <w:bottom w:val="single" w:sz="4" w:space="0" w:color="auto"/>
              <w:right w:val="single" w:sz="4" w:space="0" w:color="auto"/>
            </w:tcBorders>
          </w:tcPr>
          <w:p w14:paraId="20FEA6E6" w14:textId="77777777" w:rsidR="00C02CAA" w:rsidRPr="00B074E1" w:rsidRDefault="00C02CAA" w:rsidP="0015047D">
            <w:pPr>
              <w:jc w:val="both"/>
              <w:rPr>
                <w:sz w:val="18"/>
                <w:szCs w:val="18"/>
              </w:rPr>
            </w:pPr>
            <w:r w:rsidRPr="00B074E1">
              <w:rPr>
                <w:sz w:val="18"/>
                <w:szCs w:val="18"/>
              </w:rPr>
              <w:t>3.</w:t>
            </w:r>
            <w:r w:rsidR="00E61BB2">
              <w:rPr>
                <w:sz w:val="18"/>
                <w:szCs w:val="18"/>
              </w:rPr>
              <w:t> </w:t>
            </w:r>
            <w:r w:rsidRPr="00B074E1">
              <w:rPr>
                <w:sz w:val="18"/>
                <w:szCs w:val="18"/>
              </w:rPr>
              <w:t xml:space="preserve">Vidējā izmaksātā summa vienam uzņēmumam, </w:t>
            </w:r>
            <w:r w:rsidRPr="00B074E1">
              <w:rPr>
                <w:i/>
                <w:sz w:val="18"/>
                <w:szCs w:val="18"/>
              </w:rPr>
              <w:t>euro</w:t>
            </w:r>
          </w:p>
        </w:tc>
        <w:tc>
          <w:tcPr>
            <w:tcW w:w="851" w:type="dxa"/>
            <w:tcBorders>
              <w:top w:val="nil"/>
              <w:left w:val="nil"/>
              <w:bottom w:val="single" w:sz="4" w:space="0" w:color="auto"/>
              <w:right w:val="single" w:sz="4" w:space="0" w:color="auto"/>
            </w:tcBorders>
            <w:vAlign w:val="center"/>
          </w:tcPr>
          <w:p w14:paraId="64557E6C" w14:textId="77777777" w:rsidR="00C02CAA" w:rsidRPr="00B074E1" w:rsidRDefault="00D73515" w:rsidP="000121BB">
            <w:pPr>
              <w:jc w:val="center"/>
              <w:rPr>
                <w:sz w:val="18"/>
                <w:szCs w:val="18"/>
              </w:rPr>
            </w:pPr>
            <w:r w:rsidRPr="00B074E1">
              <w:rPr>
                <w:sz w:val="18"/>
                <w:szCs w:val="18"/>
              </w:rPr>
              <w:t>147</w:t>
            </w:r>
          </w:p>
        </w:tc>
        <w:tc>
          <w:tcPr>
            <w:tcW w:w="850" w:type="dxa"/>
            <w:tcBorders>
              <w:top w:val="nil"/>
              <w:left w:val="nil"/>
              <w:bottom w:val="single" w:sz="4" w:space="0" w:color="auto"/>
              <w:right w:val="single" w:sz="4" w:space="0" w:color="auto"/>
            </w:tcBorders>
            <w:vAlign w:val="center"/>
          </w:tcPr>
          <w:p w14:paraId="3EDFF044" w14:textId="77777777" w:rsidR="00C02CAA" w:rsidRPr="00B074E1" w:rsidRDefault="00D73515" w:rsidP="000121BB">
            <w:pPr>
              <w:jc w:val="center"/>
              <w:rPr>
                <w:sz w:val="18"/>
                <w:szCs w:val="18"/>
              </w:rPr>
            </w:pPr>
            <w:r w:rsidRPr="00B074E1">
              <w:rPr>
                <w:sz w:val="18"/>
                <w:szCs w:val="18"/>
              </w:rPr>
              <w:t>151</w:t>
            </w:r>
          </w:p>
        </w:tc>
        <w:tc>
          <w:tcPr>
            <w:tcW w:w="851" w:type="dxa"/>
            <w:tcBorders>
              <w:top w:val="nil"/>
              <w:left w:val="nil"/>
              <w:bottom w:val="single" w:sz="4" w:space="0" w:color="auto"/>
              <w:right w:val="single" w:sz="4" w:space="0" w:color="auto"/>
            </w:tcBorders>
            <w:vAlign w:val="center"/>
          </w:tcPr>
          <w:p w14:paraId="30114449" w14:textId="77777777" w:rsidR="00C02CAA" w:rsidRPr="00B074E1" w:rsidRDefault="00D73515" w:rsidP="000121BB">
            <w:pPr>
              <w:jc w:val="center"/>
              <w:rPr>
                <w:sz w:val="18"/>
                <w:szCs w:val="18"/>
              </w:rPr>
            </w:pPr>
            <w:r w:rsidRPr="00B074E1">
              <w:rPr>
                <w:sz w:val="18"/>
                <w:szCs w:val="18"/>
              </w:rPr>
              <w:t>144</w:t>
            </w:r>
          </w:p>
        </w:tc>
        <w:tc>
          <w:tcPr>
            <w:tcW w:w="850" w:type="dxa"/>
            <w:tcBorders>
              <w:top w:val="nil"/>
              <w:left w:val="nil"/>
              <w:bottom w:val="single" w:sz="4" w:space="0" w:color="auto"/>
              <w:right w:val="single" w:sz="4" w:space="0" w:color="auto"/>
            </w:tcBorders>
            <w:vAlign w:val="center"/>
          </w:tcPr>
          <w:p w14:paraId="2175675C" w14:textId="77777777" w:rsidR="00C02CAA" w:rsidRPr="00B074E1" w:rsidRDefault="00D73515" w:rsidP="000121BB">
            <w:pPr>
              <w:jc w:val="center"/>
              <w:rPr>
                <w:sz w:val="18"/>
                <w:szCs w:val="18"/>
              </w:rPr>
            </w:pPr>
            <w:r w:rsidRPr="00B074E1">
              <w:rPr>
                <w:sz w:val="18"/>
                <w:szCs w:val="18"/>
              </w:rPr>
              <w:t>148</w:t>
            </w:r>
          </w:p>
        </w:tc>
        <w:tc>
          <w:tcPr>
            <w:tcW w:w="851" w:type="dxa"/>
            <w:tcBorders>
              <w:top w:val="nil"/>
              <w:left w:val="nil"/>
              <w:bottom w:val="single" w:sz="4" w:space="0" w:color="auto"/>
              <w:right w:val="single" w:sz="4" w:space="0" w:color="auto"/>
            </w:tcBorders>
            <w:vAlign w:val="center"/>
          </w:tcPr>
          <w:p w14:paraId="300AE8CC" w14:textId="77777777" w:rsidR="00C02CAA" w:rsidRPr="00B074E1" w:rsidRDefault="00D73515" w:rsidP="000121BB">
            <w:pPr>
              <w:jc w:val="center"/>
              <w:rPr>
                <w:sz w:val="18"/>
                <w:szCs w:val="18"/>
              </w:rPr>
            </w:pPr>
            <w:r w:rsidRPr="00B074E1">
              <w:rPr>
                <w:sz w:val="18"/>
                <w:szCs w:val="18"/>
              </w:rPr>
              <w:t>164</w:t>
            </w:r>
          </w:p>
        </w:tc>
      </w:tr>
      <w:tr w:rsidR="00C02CAA" w:rsidRPr="001E23E1" w14:paraId="75E171A5" w14:textId="77777777" w:rsidTr="000121BB">
        <w:trPr>
          <w:trHeight w:val="372"/>
        </w:trPr>
        <w:tc>
          <w:tcPr>
            <w:tcW w:w="4077" w:type="dxa"/>
            <w:tcBorders>
              <w:top w:val="nil"/>
              <w:left w:val="single" w:sz="4" w:space="0" w:color="auto"/>
              <w:bottom w:val="single" w:sz="4" w:space="0" w:color="auto"/>
              <w:right w:val="single" w:sz="4" w:space="0" w:color="auto"/>
            </w:tcBorders>
          </w:tcPr>
          <w:p w14:paraId="49806526" w14:textId="77777777" w:rsidR="00C02CAA" w:rsidRPr="00B074E1" w:rsidRDefault="00C02CAA" w:rsidP="0015047D">
            <w:pPr>
              <w:jc w:val="both"/>
              <w:rPr>
                <w:sz w:val="18"/>
                <w:szCs w:val="18"/>
              </w:rPr>
            </w:pPr>
            <w:r w:rsidRPr="00B074E1">
              <w:rPr>
                <w:sz w:val="18"/>
                <w:szCs w:val="18"/>
              </w:rPr>
              <w:t>4.</w:t>
            </w:r>
            <w:r w:rsidR="00E61BB2">
              <w:rPr>
                <w:sz w:val="18"/>
                <w:szCs w:val="18"/>
              </w:rPr>
              <w:t> </w:t>
            </w:r>
            <w:r w:rsidRPr="00B074E1">
              <w:rPr>
                <w:sz w:val="18"/>
                <w:szCs w:val="18"/>
              </w:rPr>
              <w:t>Maksātnespējas procesa administratoru atlīdzību skaits</w:t>
            </w:r>
          </w:p>
        </w:tc>
        <w:tc>
          <w:tcPr>
            <w:tcW w:w="851" w:type="dxa"/>
            <w:tcBorders>
              <w:top w:val="nil"/>
              <w:left w:val="nil"/>
              <w:bottom w:val="single" w:sz="4" w:space="0" w:color="auto"/>
              <w:right w:val="single" w:sz="4" w:space="0" w:color="auto"/>
            </w:tcBorders>
            <w:vAlign w:val="center"/>
          </w:tcPr>
          <w:p w14:paraId="5DB53586" w14:textId="77777777" w:rsidR="00C02CAA" w:rsidRPr="00B074E1" w:rsidRDefault="00C64395" w:rsidP="000121BB">
            <w:pPr>
              <w:jc w:val="center"/>
              <w:rPr>
                <w:sz w:val="18"/>
                <w:szCs w:val="18"/>
              </w:rPr>
            </w:pPr>
            <w:r w:rsidRPr="00B074E1">
              <w:rPr>
                <w:sz w:val="18"/>
                <w:szCs w:val="18"/>
              </w:rPr>
              <w:t>978</w:t>
            </w:r>
          </w:p>
        </w:tc>
        <w:tc>
          <w:tcPr>
            <w:tcW w:w="850" w:type="dxa"/>
            <w:tcBorders>
              <w:top w:val="nil"/>
              <w:left w:val="nil"/>
              <w:bottom w:val="single" w:sz="4" w:space="0" w:color="auto"/>
              <w:right w:val="single" w:sz="4" w:space="0" w:color="auto"/>
            </w:tcBorders>
            <w:vAlign w:val="center"/>
          </w:tcPr>
          <w:p w14:paraId="0BD343E7" w14:textId="77777777" w:rsidR="00C02CAA" w:rsidRPr="00B074E1" w:rsidRDefault="00C64395" w:rsidP="000121BB">
            <w:pPr>
              <w:jc w:val="center"/>
              <w:rPr>
                <w:sz w:val="18"/>
                <w:szCs w:val="18"/>
              </w:rPr>
            </w:pPr>
            <w:r w:rsidRPr="00B074E1">
              <w:rPr>
                <w:sz w:val="18"/>
                <w:szCs w:val="18"/>
              </w:rPr>
              <w:t>609</w:t>
            </w:r>
          </w:p>
        </w:tc>
        <w:tc>
          <w:tcPr>
            <w:tcW w:w="851" w:type="dxa"/>
            <w:tcBorders>
              <w:top w:val="nil"/>
              <w:left w:val="nil"/>
              <w:bottom w:val="single" w:sz="4" w:space="0" w:color="auto"/>
              <w:right w:val="single" w:sz="4" w:space="0" w:color="auto"/>
            </w:tcBorders>
            <w:vAlign w:val="center"/>
          </w:tcPr>
          <w:p w14:paraId="42E0AFD0" w14:textId="77777777" w:rsidR="00C02CAA" w:rsidRPr="00B074E1" w:rsidRDefault="00C64395" w:rsidP="000121BB">
            <w:pPr>
              <w:jc w:val="center"/>
              <w:rPr>
                <w:sz w:val="18"/>
                <w:szCs w:val="18"/>
              </w:rPr>
            </w:pPr>
            <w:r w:rsidRPr="00B074E1">
              <w:rPr>
                <w:sz w:val="18"/>
                <w:szCs w:val="18"/>
              </w:rPr>
              <w:t>379</w:t>
            </w:r>
          </w:p>
        </w:tc>
        <w:tc>
          <w:tcPr>
            <w:tcW w:w="850" w:type="dxa"/>
            <w:tcBorders>
              <w:top w:val="nil"/>
              <w:left w:val="nil"/>
              <w:bottom w:val="single" w:sz="4" w:space="0" w:color="auto"/>
              <w:right w:val="single" w:sz="4" w:space="0" w:color="auto"/>
            </w:tcBorders>
            <w:vAlign w:val="center"/>
          </w:tcPr>
          <w:p w14:paraId="40C58F8F" w14:textId="77777777" w:rsidR="00C02CAA" w:rsidRPr="00B074E1" w:rsidRDefault="00C64395" w:rsidP="000121BB">
            <w:pPr>
              <w:jc w:val="center"/>
              <w:rPr>
                <w:sz w:val="18"/>
                <w:szCs w:val="18"/>
              </w:rPr>
            </w:pPr>
            <w:r w:rsidRPr="00B074E1">
              <w:rPr>
                <w:sz w:val="18"/>
                <w:szCs w:val="18"/>
              </w:rPr>
              <w:t>213</w:t>
            </w:r>
          </w:p>
        </w:tc>
        <w:tc>
          <w:tcPr>
            <w:tcW w:w="851" w:type="dxa"/>
            <w:tcBorders>
              <w:top w:val="nil"/>
              <w:left w:val="nil"/>
              <w:bottom w:val="single" w:sz="4" w:space="0" w:color="auto"/>
              <w:right w:val="single" w:sz="4" w:space="0" w:color="auto"/>
            </w:tcBorders>
            <w:vAlign w:val="center"/>
          </w:tcPr>
          <w:p w14:paraId="76214859" w14:textId="77777777" w:rsidR="00C02CAA" w:rsidRPr="00B074E1" w:rsidRDefault="00C64395" w:rsidP="000121BB">
            <w:pPr>
              <w:jc w:val="center"/>
              <w:rPr>
                <w:sz w:val="18"/>
                <w:szCs w:val="18"/>
              </w:rPr>
            </w:pPr>
            <w:r w:rsidRPr="00B074E1">
              <w:rPr>
                <w:sz w:val="18"/>
                <w:szCs w:val="18"/>
              </w:rPr>
              <w:t>146</w:t>
            </w:r>
          </w:p>
        </w:tc>
      </w:tr>
      <w:tr w:rsidR="00C02CAA" w:rsidRPr="001E23E1" w14:paraId="25EEC0F0" w14:textId="77777777" w:rsidTr="000121BB">
        <w:trPr>
          <w:trHeight w:val="315"/>
        </w:trPr>
        <w:tc>
          <w:tcPr>
            <w:tcW w:w="4077" w:type="dxa"/>
            <w:tcBorders>
              <w:top w:val="nil"/>
              <w:left w:val="single" w:sz="4" w:space="0" w:color="auto"/>
              <w:bottom w:val="single" w:sz="4" w:space="0" w:color="auto"/>
              <w:right w:val="single" w:sz="4" w:space="0" w:color="auto"/>
            </w:tcBorders>
          </w:tcPr>
          <w:p w14:paraId="64D1B5C2" w14:textId="77777777" w:rsidR="00C02CAA" w:rsidRPr="00B074E1" w:rsidRDefault="00C02CAA" w:rsidP="0015047D">
            <w:pPr>
              <w:jc w:val="both"/>
              <w:rPr>
                <w:sz w:val="18"/>
                <w:szCs w:val="18"/>
              </w:rPr>
            </w:pPr>
            <w:r w:rsidRPr="00B074E1">
              <w:rPr>
                <w:sz w:val="18"/>
                <w:szCs w:val="18"/>
              </w:rPr>
              <w:t>5.</w:t>
            </w:r>
            <w:r w:rsidR="00E61BB2">
              <w:rPr>
                <w:sz w:val="18"/>
                <w:szCs w:val="18"/>
              </w:rPr>
              <w:t> </w:t>
            </w:r>
            <w:r w:rsidRPr="00B074E1">
              <w:rPr>
                <w:sz w:val="18"/>
                <w:szCs w:val="18"/>
              </w:rPr>
              <w:t xml:space="preserve">Veiktās izmaksas (atlīdzībām), </w:t>
            </w:r>
            <w:r w:rsidRPr="00B074E1">
              <w:rPr>
                <w:i/>
                <w:sz w:val="18"/>
                <w:szCs w:val="18"/>
              </w:rPr>
              <w:t>euro</w:t>
            </w:r>
          </w:p>
        </w:tc>
        <w:tc>
          <w:tcPr>
            <w:tcW w:w="851" w:type="dxa"/>
            <w:tcBorders>
              <w:top w:val="nil"/>
              <w:left w:val="nil"/>
              <w:bottom w:val="single" w:sz="4" w:space="0" w:color="auto"/>
              <w:right w:val="single" w:sz="4" w:space="0" w:color="auto"/>
            </w:tcBorders>
            <w:vAlign w:val="center"/>
          </w:tcPr>
          <w:p w14:paraId="5C36C631" w14:textId="77777777" w:rsidR="00C02CAA" w:rsidRPr="00B074E1" w:rsidRDefault="00323922" w:rsidP="000121BB">
            <w:pPr>
              <w:jc w:val="center"/>
              <w:rPr>
                <w:sz w:val="18"/>
                <w:szCs w:val="18"/>
              </w:rPr>
            </w:pPr>
            <w:r w:rsidRPr="00B074E1">
              <w:rPr>
                <w:sz w:val="18"/>
                <w:szCs w:val="18"/>
              </w:rPr>
              <w:t>528 588</w:t>
            </w:r>
          </w:p>
        </w:tc>
        <w:tc>
          <w:tcPr>
            <w:tcW w:w="850" w:type="dxa"/>
            <w:tcBorders>
              <w:top w:val="nil"/>
              <w:left w:val="nil"/>
              <w:bottom w:val="single" w:sz="4" w:space="0" w:color="auto"/>
              <w:right w:val="single" w:sz="4" w:space="0" w:color="auto"/>
            </w:tcBorders>
            <w:vAlign w:val="center"/>
          </w:tcPr>
          <w:p w14:paraId="3C5E2329" w14:textId="77777777" w:rsidR="00C02CAA" w:rsidRPr="00B074E1" w:rsidRDefault="00323922" w:rsidP="000121BB">
            <w:pPr>
              <w:jc w:val="center"/>
              <w:rPr>
                <w:sz w:val="18"/>
                <w:szCs w:val="18"/>
              </w:rPr>
            </w:pPr>
            <w:r w:rsidRPr="00B074E1">
              <w:rPr>
                <w:sz w:val="18"/>
                <w:szCs w:val="18"/>
              </w:rPr>
              <w:t>318 352</w:t>
            </w:r>
          </w:p>
        </w:tc>
        <w:tc>
          <w:tcPr>
            <w:tcW w:w="851" w:type="dxa"/>
            <w:tcBorders>
              <w:top w:val="nil"/>
              <w:left w:val="nil"/>
              <w:bottom w:val="single" w:sz="4" w:space="0" w:color="auto"/>
              <w:right w:val="single" w:sz="4" w:space="0" w:color="auto"/>
            </w:tcBorders>
            <w:vAlign w:val="center"/>
          </w:tcPr>
          <w:p w14:paraId="0277C22D" w14:textId="77777777" w:rsidR="00C02CAA" w:rsidRPr="00B074E1" w:rsidRDefault="00323922" w:rsidP="000121BB">
            <w:pPr>
              <w:jc w:val="center"/>
              <w:rPr>
                <w:sz w:val="18"/>
                <w:szCs w:val="18"/>
              </w:rPr>
            </w:pPr>
            <w:r w:rsidRPr="00B074E1">
              <w:rPr>
                <w:sz w:val="18"/>
                <w:szCs w:val="18"/>
              </w:rPr>
              <w:t>183 701</w:t>
            </w:r>
          </w:p>
        </w:tc>
        <w:tc>
          <w:tcPr>
            <w:tcW w:w="850" w:type="dxa"/>
            <w:tcBorders>
              <w:top w:val="nil"/>
              <w:left w:val="nil"/>
              <w:bottom w:val="single" w:sz="4" w:space="0" w:color="auto"/>
              <w:right w:val="single" w:sz="4" w:space="0" w:color="auto"/>
            </w:tcBorders>
            <w:vAlign w:val="center"/>
          </w:tcPr>
          <w:p w14:paraId="4760E980" w14:textId="77777777" w:rsidR="00C02CAA" w:rsidRPr="00B074E1" w:rsidRDefault="00323922" w:rsidP="000121BB">
            <w:pPr>
              <w:jc w:val="center"/>
              <w:rPr>
                <w:sz w:val="18"/>
                <w:szCs w:val="18"/>
              </w:rPr>
            </w:pPr>
            <w:r w:rsidRPr="00B074E1">
              <w:rPr>
                <w:sz w:val="18"/>
                <w:szCs w:val="18"/>
              </w:rPr>
              <w:t>104 874</w:t>
            </w:r>
          </w:p>
        </w:tc>
        <w:tc>
          <w:tcPr>
            <w:tcW w:w="851" w:type="dxa"/>
            <w:tcBorders>
              <w:top w:val="nil"/>
              <w:left w:val="nil"/>
              <w:bottom w:val="single" w:sz="4" w:space="0" w:color="auto"/>
              <w:right w:val="single" w:sz="4" w:space="0" w:color="auto"/>
            </w:tcBorders>
            <w:vAlign w:val="center"/>
          </w:tcPr>
          <w:p w14:paraId="6BEAB355" w14:textId="77777777" w:rsidR="00C02CAA" w:rsidRPr="00B074E1" w:rsidRDefault="00323922" w:rsidP="000121BB">
            <w:pPr>
              <w:jc w:val="center"/>
              <w:rPr>
                <w:sz w:val="18"/>
                <w:szCs w:val="18"/>
              </w:rPr>
            </w:pPr>
            <w:r w:rsidRPr="00B074E1">
              <w:rPr>
                <w:sz w:val="18"/>
                <w:szCs w:val="18"/>
              </w:rPr>
              <w:t>71 476</w:t>
            </w:r>
          </w:p>
        </w:tc>
      </w:tr>
      <w:tr w:rsidR="00C02CAA" w:rsidRPr="001E23E1" w14:paraId="757C1BF1" w14:textId="77777777" w:rsidTr="000121BB">
        <w:trPr>
          <w:trHeight w:val="482"/>
        </w:trPr>
        <w:tc>
          <w:tcPr>
            <w:tcW w:w="4077" w:type="dxa"/>
            <w:tcBorders>
              <w:top w:val="nil"/>
              <w:left w:val="single" w:sz="4" w:space="0" w:color="auto"/>
              <w:bottom w:val="single" w:sz="4" w:space="0" w:color="auto"/>
              <w:right w:val="single" w:sz="4" w:space="0" w:color="auto"/>
            </w:tcBorders>
          </w:tcPr>
          <w:p w14:paraId="536C70CE" w14:textId="77777777" w:rsidR="00C02CAA" w:rsidRPr="00B074E1" w:rsidRDefault="00C02CAA" w:rsidP="0015047D">
            <w:pPr>
              <w:jc w:val="both"/>
              <w:rPr>
                <w:sz w:val="18"/>
                <w:szCs w:val="18"/>
              </w:rPr>
            </w:pPr>
            <w:r w:rsidRPr="00B074E1">
              <w:rPr>
                <w:sz w:val="18"/>
                <w:szCs w:val="18"/>
              </w:rPr>
              <w:t>6.</w:t>
            </w:r>
            <w:r w:rsidR="00E61BB2">
              <w:rPr>
                <w:sz w:val="18"/>
                <w:szCs w:val="18"/>
              </w:rPr>
              <w:t> </w:t>
            </w:r>
            <w:r w:rsidRPr="00B074E1">
              <w:rPr>
                <w:sz w:val="18"/>
                <w:szCs w:val="18"/>
              </w:rPr>
              <w:t>Vidējā izmaksātā summa vienam administratoram,</w:t>
            </w:r>
            <w:r w:rsidRPr="00B074E1">
              <w:rPr>
                <w:i/>
                <w:sz w:val="18"/>
                <w:szCs w:val="18"/>
              </w:rPr>
              <w:t>euro</w:t>
            </w:r>
          </w:p>
        </w:tc>
        <w:tc>
          <w:tcPr>
            <w:tcW w:w="851" w:type="dxa"/>
            <w:tcBorders>
              <w:top w:val="nil"/>
              <w:left w:val="nil"/>
              <w:bottom w:val="single" w:sz="4" w:space="0" w:color="auto"/>
              <w:right w:val="single" w:sz="4" w:space="0" w:color="auto"/>
            </w:tcBorders>
            <w:vAlign w:val="center"/>
          </w:tcPr>
          <w:p w14:paraId="023082D4" w14:textId="77777777" w:rsidR="00C02CAA" w:rsidRPr="00B074E1" w:rsidRDefault="00D64483" w:rsidP="000121BB">
            <w:pPr>
              <w:jc w:val="center"/>
              <w:rPr>
                <w:sz w:val="18"/>
                <w:szCs w:val="18"/>
              </w:rPr>
            </w:pPr>
            <w:r w:rsidRPr="00B074E1">
              <w:rPr>
                <w:sz w:val="18"/>
                <w:szCs w:val="18"/>
              </w:rPr>
              <w:t>540</w:t>
            </w:r>
          </w:p>
        </w:tc>
        <w:tc>
          <w:tcPr>
            <w:tcW w:w="850" w:type="dxa"/>
            <w:tcBorders>
              <w:top w:val="nil"/>
              <w:left w:val="nil"/>
              <w:bottom w:val="single" w:sz="4" w:space="0" w:color="auto"/>
              <w:right w:val="single" w:sz="4" w:space="0" w:color="auto"/>
            </w:tcBorders>
            <w:vAlign w:val="center"/>
          </w:tcPr>
          <w:p w14:paraId="1A17B963" w14:textId="77777777" w:rsidR="00C02CAA" w:rsidRPr="00B074E1" w:rsidRDefault="00D64483" w:rsidP="000121BB">
            <w:pPr>
              <w:jc w:val="center"/>
              <w:rPr>
                <w:sz w:val="18"/>
                <w:szCs w:val="18"/>
              </w:rPr>
            </w:pPr>
            <w:r w:rsidRPr="00B074E1">
              <w:rPr>
                <w:sz w:val="18"/>
                <w:szCs w:val="18"/>
              </w:rPr>
              <w:t>523</w:t>
            </w:r>
          </w:p>
        </w:tc>
        <w:tc>
          <w:tcPr>
            <w:tcW w:w="851" w:type="dxa"/>
            <w:tcBorders>
              <w:top w:val="nil"/>
              <w:left w:val="nil"/>
              <w:bottom w:val="single" w:sz="4" w:space="0" w:color="auto"/>
              <w:right w:val="single" w:sz="4" w:space="0" w:color="auto"/>
            </w:tcBorders>
            <w:vAlign w:val="center"/>
          </w:tcPr>
          <w:p w14:paraId="1B2FD18D" w14:textId="77777777" w:rsidR="00C02CAA" w:rsidRPr="00B074E1" w:rsidRDefault="00D64483" w:rsidP="000121BB">
            <w:pPr>
              <w:jc w:val="center"/>
              <w:rPr>
                <w:sz w:val="18"/>
                <w:szCs w:val="18"/>
              </w:rPr>
            </w:pPr>
            <w:r w:rsidRPr="00B074E1">
              <w:rPr>
                <w:sz w:val="18"/>
                <w:szCs w:val="18"/>
              </w:rPr>
              <w:t>485</w:t>
            </w:r>
          </w:p>
        </w:tc>
        <w:tc>
          <w:tcPr>
            <w:tcW w:w="850" w:type="dxa"/>
            <w:tcBorders>
              <w:top w:val="nil"/>
              <w:left w:val="nil"/>
              <w:bottom w:val="single" w:sz="4" w:space="0" w:color="auto"/>
              <w:right w:val="single" w:sz="4" w:space="0" w:color="auto"/>
            </w:tcBorders>
            <w:vAlign w:val="center"/>
          </w:tcPr>
          <w:p w14:paraId="1486DCC0" w14:textId="77777777" w:rsidR="00C02CAA" w:rsidRPr="00B074E1" w:rsidRDefault="00D64483" w:rsidP="000121BB">
            <w:pPr>
              <w:jc w:val="center"/>
              <w:rPr>
                <w:sz w:val="18"/>
                <w:szCs w:val="18"/>
              </w:rPr>
            </w:pPr>
            <w:r w:rsidRPr="00B074E1">
              <w:rPr>
                <w:sz w:val="18"/>
                <w:szCs w:val="18"/>
              </w:rPr>
              <w:t>492</w:t>
            </w:r>
          </w:p>
        </w:tc>
        <w:tc>
          <w:tcPr>
            <w:tcW w:w="851" w:type="dxa"/>
            <w:tcBorders>
              <w:top w:val="nil"/>
              <w:left w:val="nil"/>
              <w:bottom w:val="single" w:sz="4" w:space="0" w:color="auto"/>
              <w:right w:val="single" w:sz="4" w:space="0" w:color="auto"/>
            </w:tcBorders>
            <w:vAlign w:val="center"/>
          </w:tcPr>
          <w:p w14:paraId="14CF7304" w14:textId="77777777" w:rsidR="00C02CAA" w:rsidRPr="00B074E1" w:rsidRDefault="00D64483" w:rsidP="000121BB">
            <w:pPr>
              <w:jc w:val="center"/>
              <w:rPr>
                <w:sz w:val="18"/>
                <w:szCs w:val="18"/>
              </w:rPr>
            </w:pPr>
            <w:r w:rsidRPr="00B074E1">
              <w:rPr>
                <w:sz w:val="18"/>
                <w:szCs w:val="18"/>
              </w:rPr>
              <w:t>490</w:t>
            </w:r>
          </w:p>
        </w:tc>
      </w:tr>
      <w:tr w:rsidR="00C02CAA" w:rsidRPr="001E23E1" w14:paraId="043D8B6E" w14:textId="77777777" w:rsidTr="000121BB">
        <w:trPr>
          <w:trHeight w:val="829"/>
        </w:trPr>
        <w:tc>
          <w:tcPr>
            <w:tcW w:w="4077" w:type="dxa"/>
            <w:tcBorders>
              <w:top w:val="nil"/>
              <w:left w:val="single" w:sz="4" w:space="0" w:color="auto"/>
              <w:bottom w:val="single" w:sz="4" w:space="0" w:color="auto"/>
              <w:right w:val="single" w:sz="4" w:space="0" w:color="auto"/>
            </w:tcBorders>
          </w:tcPr>
          <w:p w14:paraId="3548F54C" w14:textId="77777777" w:rsidR="00C02CAA" w:rsidRPr="00B074E1" w:rsidRDefault="00C02CAA" w:rsidP="0015047D">
            <w:pPr>
              <w:jc w:val="both"/>
              <w:rPr>
                <w:sz w:val="18"/>
                <w:szCs w:val="18"/>
              </w:rPr>
            </w:pPr>
            <w:r w:rsidRPr="00B074E1">
              <w:rPr>
                <w:sz w:val="18"/>
                <w:szCs w:val="18"/>
              </w:rPr>
              <w:t>7.</w:t>
            </w:r>
            <w:r w:rsidR="00E61BB2">
              <w:rPr>
                <w:sz w:val="18"/>
                <w:szCs w:val="18"/>
              </w:rPr>
              <w:t> </w:t>
            </w:r>
            <w:r w:rsidRPr="00B074E1">
              <w:rPr>
                <w:sz w:val="18"/>
                <w:szCs w:val="18"/>
              </w:rPr>
              <w:t xml:space="preserve">Administratora atlīdzība par kopējo darbinieku skaitu (par vienu nodarbināto – 6,40 </w:t>
            </w:r>
            <w:r w:rsidR="00E61BB2">
              <w:rPr>
                <w:i/>
                <w:sz w:val="18"/>
                <w:szCs w:val="18"/>
              </w:rPr>
              <w:t>euro</w:t>
            </w:r>
            <w:r w:rsidRPr="00B074E1">
              <w:rPr>
                <w:sz w:val="18"/>
                <w:szCs w:val="18"/>
              </w:rPr>
              <w:t xml:space="preserve">), kuriem segti darbinieku prasījumi no darbinieku prasījumu garantiju fonda, </w:t>
            </w:r>
            <w:r w:rsidRPr="00B074E1">
              <w:rPr>
                <w:i/>
                <w:sz w:val="18"/>
                <w:szCs w:val="18"/>
              </w:rPr>
              <w:t>euro</w:t>
            </w:r>
          </w:p>
        </w:tc>
        <w:tc>
          <w:tcPr>
            <w:tcW w:w="851" w:type="dxa"/>
            <w:tcBorders>
              <w:top w:val="nil"/>
              <w:left w:val="nil"/>
              <w:bottom w:val="single" w:sz="4" w:space="0" w:color="auto"/>
              <w:right w:val="single" w:sz="4" w:space="0" w:color="auto"/>
            </w:tcBorders>
            <w:vAlign w:val="center"/>
          </w:tcPr>
          <w:p w14:paraId="4AF72B1E" w14:textId="77777777" w:rsidR="00C02CAA" w:rsidRPr="00B074E1" w:rsidRDefault="00003A35" w:rsidP="000121BB">
            <w:pPr>
              <w:jc w:val="center"/>
              <w:rPr>
                <w:sz w:val="18"/>
                <w:szCs w:val="18"/>
              </w:rPr>
            </w:pPr>
            <w:r w:rsidRPr="00B074E1">
              <w:rPr>
                <w:sz w:val="18"/>
                <w:szCs w:val="18"/>
              </w:rPr>
              <w:t>3 995</w:t>
            </w:r>
          </w:p>
        </w:tc>
        <w:tc>
          <w:tcPr>
            <w:tcW w:w="850" w:type="dxa"/>
            <w:tcBorders>
              <w:top w:val="nil"/>
              <w:left w:val="nil"/>
              <w:bottom w:val="single" w:sz="4" w:space="0" w:color="auto"/>
              <w:right w:val="single" w:sz="4" w:space="0" w:color="auto"/>
            </w:tcBorders>
            <w:vAlign w:val="center"/>
          </w:tcPr>
          <w:p w14:paraId="073DF4D2" w14:textId="77777777" w:rsidR="00C02CAA" w:rsidRPr="00B074E1" w:rsidRDefault="00003A35" w:rsidP="000121BB">
            <w:pPr>
              <w:jc w:val="center"/>
              <w:rPr>
                <w:sz w:val="18"/>
                <w:szCs w:val="18"/>
              </w:rPr>
            </w:pPr>
            <w:r w:rsidRPr="00B074E1">
              <w:rPr>
                <w:sz w:val="18"/>
                <w:szCs w:val="18"/>
              </w:rPr>
              <w:t>5 788</w:t>
            </w:r>
          </w:p>
        </w:tc>
        <w:tc>
          <w:tcPr>
            <w:tcW w:w="851" w:type="dxa"/>
            <w:tcBorders>
              <w:top w:val="nil"/>
              <w:left w:val="nil"/>
              <w:bottom w:val="single" w:sz="4" w:space="0" w:color="auto"/>
              <w:right w:val="single" w:sz="4" w:space="0" w:color="auto"/>
            </w:tcBorders>
            <w:vAlign w:val="center"/>
          </w:tcPr>
          <w:p w14:paraId="6EE5C460" w14:textId="77777777" w:rsidR="00C02CAA" w:rsidRPr="00B074E1" w:rsidRDefault="00003A35" w:rsidP="000121BB">
            <w:pPr>
              <w:jc w:val="center"/>
              <w:rPr>
                <w:sz w:val="18"/>
                <w:szCs w:val="18"/>
              </w:rPr>
            </w:pPr>
            <w:r w:rsidRPr="00B074E1">
              <w:rPr>
                <w:sz w:val="18"/>
                <w:szCs w:val="18"/>
              </w:rPr>
              <w:t>2 334</w:t>
            </w:r>
          </w:p>
        </w:tc>
        <w:tc>
          <w:tcPr>
            <w:tcW w:w="850" w:type="dxa"/>
            <w:tcBorders>
              <w:top w:val="nil"/>
              <w:left w:val="nil"/>
              <w:bottom w:val="single" w:sz="4" w:space="0" w:color="auto"/>
              <w:right w:val="single" w:sz="4" w:space="0" w:color="auto"/>
            </w:tcBorders>
            <w:vAlign w:val="center"/>
          </w:tcPr>
          <w:p w14:paraId="7FAB7787" w14:textId="77777777" w:rsidR="00C02CAA" w:rsidRPr="00B074E1" w:rsidRDefault="00003A35" w:rsidP="000121BB">
            <w:pPr>
              <w:jc w:val="center"/>
              <w:rPr>
                <w:sz w:val="18"/>
                <w:szCs w:val="18"/>
              </w:rPr>
            </w:pPr>
            <w:r w:rsidRPr="00B074E1">
              <w:rPr>
                <w:sz w:val="18"/>
                <w:szCs w:val="18"/>
              </w:rPr>
              <w:t>3 088</w:t>
            </w:r>
          </w:p>
        </w:tc>
        <w:tc>
          <w:tcPr>
            <w:tcW w:w="851" w:type="dxa"/>
            <w:tcBorders>
              <w:top w:val="nil"/>
              <w:left w:val="nil"/>
              <w:bottom w:val="single" w:sz="4" w:space="0" w:color="auto"/>
              <w:right w:val="single" w:sz="4" w:space="0" w:color="auto"/>
            </w:tcBorders>
            <w:vAlign w:val="center"/>
          </w:tcPr>
          <w:p w14:paraId="70158288" w14:textId="77777777" w:rsidR="00C02CAA" w:rsidRPr="00B074E1" w:rsidRDefault="00003A35" w:rsidP="000121BB">
            <w:pPr>
              <w:jc w:val="center"/>
              <w:rPr>
                <w:sz w:val="18"/>
                <w:szCs w:val="18"/>
              </w:rPr>
            </w:pPr>
            <w:r w:rsidRPr="00B074E1">
              <w:rPr>
                <w:sz w:val="18"/>
                <w:szCs w:val="18"/>
              </w:rPr>
              <w:t>1 690</w:t>
            </w:r>
          </w:p>
        </w:tc>
      </w:tr>
      <w:tr w:rsidR="00C02CAA" w:rsidRPr="001E23E1" w14:paraId="25DDEDF8" w14:textId="77777777" w:rsidTr="000121BB">
        <w:trPr>
          <w:trHeight w:val="557"/>
        </w:trPr>
        <w:tc>
          <w:tcPr>
            <w:tcW w:w="4077" w:type="dxa"/>
            <w:tcBorders>
              <w:top w:val="nil"/>
              <w:left w:val="single" w:sz="4" w:space="0" w:color="auto"/>
              <w:bottom w:val="single" w:sz="4" w:space="0" w:color="auto"/>
              <w:right w:val="single" w:sz="4" w:space="0" w:color="auto"/>
            </w:tcBorders>
          </w:tcPr>
          <w:p w14:paraId="481A9D5A" w14:textId="77777777" w:rsidR="00C02CAA" w:rsidRPr="00B074E1" w:rsidRDefault="00C02CAA" w:rsidP="0015047D">
            <w:pPr>
              <w:jc w:val="both"/>
              <w:rPr>
                <w:sz w:val="18"/>
                <w:szCs w:val="18"/>
              </w:rPr>
            </w:pPr>
            <w:r w:rsidRPr="00B074E1">
              <w:rPr>
                <w:sz w:val="18"/>
                <w:szCs w:val="18"/>
              </w:rPr>
              <w:t>8.</w:t>
            </w:r>
            <w:r w:rsidR="00E61BB2">
              <w:rPr>
                <w:sz w:val="18"/>
                <w:szCs w:val="18"/>
              </w:rPr>
              <w:t> </w:t>
            </w:r>
            <w:r w:rsidRPr="00B074E1">
              <w:rPr>
                <w:sz w:val="18"/>
                <w:szCs w:val="18"/>
              </w:rPr>
              <w:t>Juridiskās personas maksātnespējas procesa depozīts, ja darbinieks atbrīvots no depozīta iemaksas (Satversmes tiesas spriedums), skaits gadā</w:t>
            </w:r>
          </w:p>
        </w:tc>
        <w:tc>
          <w:tcPr>
            <w:tcW w:w="851" w:type="dxa"/>
            <w:tcBorders>
              <w:top w:val="nil"/>
              <w:left w:val="nil"/>
              <w:bottom w:val="single" w:sz="4" w:space="0" w:color="auto"/>
              <w:right w:val="single" w:sz="4" w:space="0" w:color="auto"/>
            </w:tcBorders>
            <w:vAlign w:val="center"/>
          </w:tcPr>
          <w:p w14:paraId="40136DD9" w14:textId="77777777" w:rsidR="00C02CAA" w:rsidRPr="00B074E1" w:rsidRDefault="00C02CAA" w:rsidP="000121BB">
            <w:pPr>
              <w:jc w:val="center"/>
              <w:rPr>
                <w:sz w:val="18"/>
                <w:szCs w:val="18"/>
              </w:rPr>
            </w:pPr>
            <w:r w:rsidRPr="00B074E1">
              <w:rPr>
                <w:sz w:val="18"/>
                <w:szCs w:val="18"/>
              </w:rPr>
              <w:t>-</w:t>
            </w:r>
          </w:p>
        </w:tc>
        <w:tc>
          <w:tcPr>
            <w:tcW w:w="850" w:type="dxa"/>
            <w:tcBorders>
              <w:top w:val="nil"/>
              <w:left w:val="nil"/>
              <w:bottom w:val="single" w:sz="4" w:space="0" w:color="auto"/>
              <w:right w:val="single" w:sz="4" w:space="0" w:color="auto"/>
            </w:tcBorders>
            <w:vAlign w:val="center"/>
          </w:tcPr>
          <w:p w14:paraId="4469E3BD" w14:textId="77777777" w:rsidR="00C02CAA" w:rsidRPr="00B074E1" w:rsidRDefault="00C02CAA" w:rsidP="000121BB">
            <w:pPr>
              <w:jc w:val="center"/>
              <w:rPr>
                <w:sz w:val="18"/>
                <w:szCs w:val="18"/>
              </w:rPr>
            </w:pPr>
            <w:r w:rsidRPr="00B074E1">
              <w:rPr>
                <w:sz w:val="18"/>
                <w:szCs w:val="18"/>
              </w:rPr>
              <w:t>-</w:t>
            </w:r>
          </w:p>
        </w:tc>
        <w:tc>
          <w:tcPr>
            <w:tcW w:w="851" w:type="dxa"/>
            <w:tcBorders>
              <w:top w:val="nil"/>
              <w:left w:val="nil"/>
              <w:bottom w:val="single" w:sz="4" w:space="0" w:color="auto"/>
              <w:right w:val="single" w:sz="4" w:space="0" w:color="auto"/>
            </w:tcBorders>
            <w:vAlign w:val="center"/>
          </w:tcPr>
          <w:p w14:paraId="2D52B58F" w14:textId="77777777" w:rsidR="00C02CAA" w:rsidRPr="00B074E1" w:rsidRDefault="00C02CAA" w:rsidP="000121BB">
            <w:pPr>
              <w:jc w:val="center"/>
              <w:rPr>
                <w:sz w:val="18"/>
                <w:szCs w:val="18"/>
              </w:rPr>
            </w:pPr>
            <w:r w:rsidRPr="00B074E1">
              <w:rPr>
                <w:sz w:val="18"/>
                <w:szCs w:val="18"/>
              </w:rPr>
              <w:t>-</w:t>
            </w:r>
          </w:p>
        </w:tc>
        <w:tc>
          <w:tcPr>
            <w:tcW w:w="850" w:type="dxa"/>
            <w:tcBorders>
              <w:top w:val="nil"/>
              <w:left w:val="nil"/>
              <w:bottom w:val="single" w:sz="4" w:space="0" w:color="auto"/>
              <w:right w:val="single" w:sz="4" w:space="0" w:color="auto"/>
            </w:tcBorders>
            <w:vAlign w:val="center"/>
          </w:tcPr>
          <w:p w14:paraId="590BF801" w14:textId="77777777" w:rsidR="00C02CAA" w:rsidRPr="00B074E1" w:rsidRDefault="00003A35" w:rsidP="000121BB">
            <w:pPr>
              <w:jc w:val="center"/>
              <w:rPr>
                <w:sz w:val="18"/>
                <w:szCs w:val="18"/>
              </w:rPr>
            </w:pPr>
            <w:r w:rsidRPr="00B074E1">
              <w:rPr>
                <w:sz w:val="18"/>
                <w:szCs w:val="18"/>
              </w:rPr>
              <w:t>6</w:t>
            </w:r>
          </w:p>
        </w:tc>
        <w:tc>
          <w:tcPr>
            <w:tcW w:w="851" w:type="dxa"/>
            <w:tcBorders>
              <w:top w:val="nil"/>
              <w:left w:val="nil"/>
              <w:bottom w:val="single" w:sz="4" w:space="0" w:color="auto"/>
              <w:right w:val="single" w:sz="4" w:space="0" w:color="auto"/>
            </w:tcBorders>
            <w:vAlign w:val="center"/>
          </w:tcPr>
          <w:p w14:paraId="3B361C06" w14:textId="77777777" w:rsidR="00C02CAA" w:rsidRPr="00B074E1" w:rsidRDefault="00003A35" w:rsidP="000121BB">
            <w:pPr>
              <w:jc w:val="center"/>
              <w:rPr>
                <w:sz w:val="18"/>
                <w:szCs w:val="18"/>
              </w:rPr>
            </w:pPr>
            <w:r w:rsidRPr="00B074E1">
              <w:rPr>
                <w:sz w:val="18"/>
                <w:szCs w:val="18"/>
              </w:rPr>
              <w:t>5</w:t>
            </w:r>
          </w:p>
        </w:tc>
      </w:tr>
      <w:tr w:rsidR="00C02CAA" w:rsidRPr="001E23E1" w14:paraId="6011A4E4" w14:textId="77777777" w:rsidTr="000121BB">
        <w:trPr>
          <w:trHeight w:val="779"/>
        </w:trPr>
        <w:tc>
          <w:tcPr>
            <w:tcW w:w="4077" w:type="dxa"/>
            <w:tcBorders>
              <w:top w:val="nil"/>
              <w:left w:val="single" w:sz="4" w:space="0" w:color="auto"/>
              <w:bottom w:val="single" w:sz="4" w:space="0" w:color="auto"/>
              <w:right w:val="single" w:sz="4" w:space="0" w:color="auto"/>
            </w:tcBorders>
          </w:tcPr>
          <w:p w14:paraId="4DFF0A20" w14:textId="77777777" w:rsidR="00C02CAA" w:rsidRPr="00B074E1" w:rsidRDefault="00C02CAA" w:rsidP="0015047D">
            <w:pPr>
              <w:jc w:val="both"/>
              <w:rPr>
                <w:i/>
                <w:sz w:val="18"/>
                <w:szCs w:val="18"/>
              </w:rPr>
            </w:pPr>
            <w:r w:rsidRPr="00B074E1">
              <w:rPr>
                <w:sz w:val="18"/>
                <w:szCs w:val="18"/>
              </w:rPr>
              <w:t>9.</w:t>
            </w:r>
            <w:r w:rsidR="00E61BB2">
              <w:rPr>
                <w:sz w:val="18"/>
                <w:szCs w:val="18"/>
              </w:rPr>
              <w:t> </w:t>
            </w:r>
            <w:r w:rsidRPr="00B074E1">
              <w:rPr>
                <w:sz w:val="18"/>
                <w:szCs w:val="18"/>
              </w:rPr>
              <w:t xml:space="preserve">Juridiskās personas maksātnespējas procesa depozīts, ja darbinieks atbrīvots no depozīta iemaksas (Satversmes tiesas spriedums), summa gadā, </w:t>
            </w:r>
            <w:r w:rsidRPr="00B074E1">
              <w:rPr>
                <w:i/>
                <w:sz w:val="18"/>
                <w:szCs w:val="18"/>
              </w:rPr>
              <w:t>euro</w:t>
            </w:r>
          </w:p>
        </w:tc>
        <w:tc>
          <w:tcPr>
            <w:tcW w:w="851" w:type="dxa"/>
            <w:tcBorders>
              <w:top w:val="nil"/>
              <w:left w:val="nil"/>
              <w:bottom w:val="single" w:sz="4" w:space="0" w:color="auto"/>
              <w:right w:val="single" w:sz="4" w:space="0" w:color="auto"/>
            </w:tcBorders>
            <w:vAlign w:val="center"/>
          </w:tcPr>
          <w:p w14:paraId="4C344EF5" w14:textId="77777777" w:rsidR="00C02CAA" w:rsidRPr="00B074E1" w:rsidRDefault="00C02CAA" w:rsidP="0015047D">
            <w:pPr>
              <w:jc w:val="center"/>
              <w:rPr>
                <w:sz w:val="18"/>
                <w:szCs w:val="18"/>
              </w:rPr>
            </w:pPr>
            <w:r w:rsidRPr="00B074E1">
              <w:rPr>
                <w:sz w:val="18"/>
                <w:szCs w:val="18"/>
              </w:rPr>
              <w:t>-</w:t>
            </w:r>
          </w:p>
        </w:tc>
        <w:tc>
          <w:tcPr>
            <w:tcW w:w="850" w:type="dxa"/>
            <w:tcBorders>
              <w:top w:val="nil"/>
              <w:left w:val="nil"/>
              <w:bottom w:val="single" w:sz="4" w:space="0" w:color="auto"/>
              <w:right w:val="single" w:sz="4" w:space="0" w:color="auto"/>
            </w:tcBorders>
            <w:vAlign w:val="center"/>
          </w:tcPr>
          <w:p w14:paraId="0DC5E4F9" w14:textId="77777777" w:rsidR="00C02CAA" w:rsidRPr="00B074E1" w:rsidRDefault="00C02CAA" w:rsidP="0015047D">
            <w:pPr>
              <w:jc w:val="center"/>
              <w:rPr>
                <w:sz w:val="18"/>
                <w:szCs w:val="18"/>
              </w:rPr>
            </w:pPr>
            <w:r w:rsidRPr="00B074E1">
              <w:rPr>
                <w:sz w:val="18"/>
                <w:szCs w:val="18"/>
              </w:rPr>
              <w:t>-</w:t>
            </w:r>
          </w:p>
        </w:tc>
        <w:tc>
          <w:tcPr>
            <w:tcW w:w="851" w:type="dxa"/>
            <w:tcBorders>
              <w:top w:val="nil"/>
              <w:left w:val="nil"/>
              <w:bottom w:val="single" w:sz="4" w:space="0" w:color="auto"/>
              <w:right w:val="single" w:sz="4" w:space="0" w:color="auto"/>
            </w:tcBorders>
            <w:vAlign w:val="center"/>
          </w:tcPr>
          <w:p w14:paraId="7BEDE15F" w14:textId="77777777" w:rsidR="00C02CAA" w:rsidRPr="00B074E1" w:rsidRDefault="00C02CAA" w:rsidP="0015047D">
            <w:pPr>
              <w:jc w:val="center"/>
              <w:rPr>
                <w:sz w:val="18"/>
                <w:szCs w:val="18"/>
              </w:rPr>
            </w:pPr>
            <w:r w:rsidRPr="00B074E1">
              <w:rPr>
                <w:sz w:val="18"/>
                <w:szCs w:val="18"/>
              </w:rPr>
              <w:t>-</w:t>
            </w:r>
          </w:p>
        </w:tc>
        <w:tc>
          <w:tcPr>
            <w:tcW w:w="850" w:type="dxa"/>
            <w:tcBorders>
              <w:top w:val="nil"/>
              <w:left w:val="nil"/>
              <w:bottom w:val="single" w:sz="4" w:space="0" w:color="auto"/>
              <w:right w:val="single" w:sz="4" w:space="0" w:color="auto"/>
            </w:tcBorders>
            <w:vAlign w:val="center"/>
          </w:tcPr>
          <w:p w14:paraId="6FEBED33" w14:textId="77777777" w:rsidR="00C02CAA" w:rsidRPr="00B074E1" w:rsidRDefault="00003A35" w:rsidP="00003A35">
            <w:pPr>
              <w:jc w:val="right"/>
              <w:rPr>
                <w:sz w:val="18"/>
                <w:szCs w:val="18"/>
              </w:rPr>
            </w:pPr>
            <w:r w:rsidRPr="00B074E1">
              <w:rPr>
                <w:sz w:val="18"/>
                <w:szCs w:val="18"/>
              </w:rPr>
              <w:t>3 415</w:t>
            </w:r>
          </w:p>
        </w:tc>
        <w:tc>
          <w:tcPr>
            <w:tcW w:w="851" w:type="dxa"/>
            <w:tcBorders>
              <w:top w:val="nil"/>
              <w:left w:val="nil"/>
              <w:bottom w:val="single" w:sz="4" w:space="0" w:color="auto"/>
              <w:right w:val="single" w:sz="4" w:space="0" w:color="auto"/>
            </w:tcBorders>
            <w:vAlign w:val="center"/>
          </w:tcPr>
          <w:p w14:paraId="48F7A8C0" w14:textId="77777777" w:rsidR="00C02CAA" w:rsidRPr="00B074E1" w:rsidRDefault="00C02CAA" w:rsidP="00003A35">
            <w:pPr>
              <w:jc w:val="right"/>
              <w:rPr>
                <w:sz w:val="18"/>
                <w:szCs w:val="18"/>
              </w:rPr>
            </w:pPr>
            <w:r w:rsidRPr="00B074E1">
              <w:rPr>
                <w:sz w:val="18"/>
                <w:szCs w:val="18"/>
              </w:rPr>
              <w:t xml:space="preserve">3 </w:t>
            </w:r>
            <w:r w:rsidR="00003A35" w:rsidRPr="00B074E1">
              <w:rPr>
                <w:sz w:val="18"/>
                <w:szCs w:val="18"/>
              </w:rPr>
              <w:t>058</w:t>
            </w:r>
          </w:p>
        </w:tc>
      </w:tr>
      <w:tr w:rsidR="00C02CAA" w:rsidRPr="001E23E1" w14:paraId="1A663490" w14:textId="77777777" w:rsidTr="00C352D1">
        <w:trPr>
          <w:trHeight w:val="315"/>
        </w:trPr>
        <w:tc>
          <w:tcPr>
            <w:tcW w:w="4077" w:type="dxa"/>
            <w:tcBorders>
              <w:top w:val="single" w:sz="4" w:space="0" w:color="auto"/>
              <w:left w:val="single" w:sz="4" w:space="0" w:color="auto"/>
              <w:bottom w:val="single" w:sz="4" w:space="0" w:color="auto"/>
              <w:right w:val="single" w:sz="4" w:space="0" w:color="auto"/>
            </w:tcBorders>
          </w:tcPr>
          <w:p w14:paraId="1FEFA22F" w14:textId="77777777" w:rsidR="00C02CAA" w:rsidRPr="00B074E1" w:rsidRDefault="00C02CAA" w:rsidP="0015047D">
            <w:pPr>
              <w:jc w:val="both"/>
              <w:rPr>
                <w:b/>
                <w:bCs/>
                <w:sz w:val="18"/>
                <w:szCs w:val="18"/>
              </w:rPr>
            </w:pPr>
            <w:r w:rsidRPr="00B074E1">
              <w:rPr>
                <w:b/>
                <w:bCs/>
                <w:sz w:val="18"/>
                <w:szCs w:val="18"/>
              </w:rPr>
              <w:t xml:space="preserve">Izmaksātā summa, </w:t>
            </w:r>
            <w:r w:rsidRPr="00B074E1">
              <w:rPr>
                <w:b/>
                <w:bCs/>
                <w:i/>
                <w:sz w:val="18"/>
                <w:szCs w:val="18"/>
              </w:rPr>
              <w:t>euro</w:t>
            </w:r>
            <w:r w:rsidRPr="00B074E1">
              <w:rPr>
                <w:b/>
                <w:bCs/>
                <w:sz w:val="18"/>
                <w:szCs w:val="18"/>
              </w:rPr>
              <w:t xml:space="preserve"> (2+5+7+9)</w:t>
            </w:r>
          </w:p>
        </w:tc>
        <w:tc>
          <w:tcPr>
            <w:tcW w:w="851" w:type="dxa"/>
            <w:tcBorders>
              <w:top w:val="single" w:sz="4" w:space="0" w:color="auto"/>
              <w:left w:val="nil"/>
              <w:bottom w:val="single" w:sz="4" w:space="0" w:color="auto"/>
              <w:right w:val="single" w:sz="4" w:space="0" w:color="auto"/>
            </w:tcBorders>
          </w:tcPr>
          <w:p w14:paraId="472DB95E" w14:textId="77777777" w:rsidR="00C02CAA" w:rsidRPr="00B074E1" w:rsidRDefault="000C39F7" w:rsidP="0015047D">
            <w:pPr>
              <w:jc w:val="both"/>
              <w:rPr>
                <w:b/>
                <w:bCs/>
                <w:sz w:val="18"/>
                <w:szCs w:val="18"/>
              </w:rPr>
            </w:pPr>
            <w:r w:rsidRPr="00B074E1">
              <w:rPr>
                <w:b/>
                <w:bCs/>
                <w:sz w:val="18"/>
                <w:szCs w:val="18"/>
              </w:rPr>
              <w:t>592 520</w:t>
            </w:r>
          </w:p>
        </w:tc>
        <w:tc>
          <w:tcPr>
            <w:tcW w:w="850" w:type="dxa"/>
            <w:tcBorders>
              <w:top w:val="single" w:sz="4" w:space="0" w:color="auto"/>
              <w:left w:val="nil"/>
              <w:bottom w:val="single" w:sz="4" w:space="0" w:color="auto"/>
              <w:right w:val="single" w:sz="4" w:space="0" w:color="auto"/>
            </w:tcBorders>
          </w:tcPr>
          <w:p w14:paraId="402D3240" w14:textId="77777777" w:rsidR="00C02CAA" w:rsidRPr="00B074E1" w:rsidRDefault="000C39F7" w:rsidP="0015047D">
            <w:pPr>
              <w:jc w:val="both"/>
              <w:rPr>
                <w:b/>
                <w:bCs/>
                <w:sz w:val="18"/>
                <w:szCs w:val="18"/>
              </w:rPr>
            </w:pPr>
            <w:r w:rsidRPr="00B074E1">
              <w:rPr>
                <w:b/>
                <w:bCs/>
                <w:sz w:val="18"/>
                <w:szCs w:val="18"/>
              </w:rPr>
              <w:t>336 859</w:t>
            </w:r>
          </w:p>
        </w:tc>
        <w:tc>
          <w:tcPr>
            <w:tcW w:w="851" w:type="dxa"/>
            <w:tcBorders>
              <w:top w:val="single" w:sz="4" w:space="0" w:color="auto"/>
              <w:left w:val="nil"/>
              <w:bottom w:val="single" w:sz="4" w:space="0" w:color="auto"/>
              <w:right w:val="single" w:sz="4" w:space="0" w:color="auto"/>
            </w:tcBorders>
          </w:tcPr>
          <w:p w14:paraId="20ED98B2" w14:textId="77777777" w:rsidR="00C02CAA" w:rsidRPr="00B074E1" w:rsidRDefault="000C39F7" w:rsidP="0015047D">
            <w:pPr>
              <w:jc w:val="both"/>
              <w:rPr>
                <w:b/>
                <w:bCs/>
                <w:sz w:val="18"/>
                <w:szCs w:val="18"/>
              </w:rPr>
            </w:pPr>
            <w:r w:rsidRPr="00B074E1">
              <w:rPr>
                <w:b/>
                <w:bCs/>
                <w:sz w:val="18"/>
                <w:szCs w:val="18"/>
              </w:rPr>
              <w:t>192 375</w:t>
            </w:r>
          </w:p>
        </w:tc>
        <w:tc>
          <w:tcPr>
            <w:tcW w:w="850" w:type="dxa"/>
            <w:tcBorders>
              <w:top w:val="single" w:sz="4" w:space="0" w:color="auto"/>
              <w:left w:val="nil"/>
              <w:bottom w:val="single" w:sz="4" w:space="0" w:color="auto"/>
              <w:right w:val="single" w:sz="4" w:space="0" w:color="auto"/>
            </w:tcBorders>
          </w:tcPr>
          <w:p w14:paraId="5607972A" w14:textId="77777777" w:rsidR="00C02CAA" w:rsidRPr="00B074E1" w:rsidRDefault="000C39F7" w:rsidP="0015047D">
            <w:pPr>
              <w:jc w:val="both"/>
              <w:rPr>
                <w:b/>
                <w:bCs/>
                <w:sz w:val="18"/>
                <w:szCs w:val="18"/>
              </w:rPr>
            </w:pPr>
            <w:r w:rsidRPr="00B074E1">
              <w:rPr>
                <w:b/>
                <w:bCs/>
                <w:sz w:val="18"/>
                <w:szCs w:val="18"/>
              </w:rPr>
              <w:t>114 181</w:t>
            </w:r>
          </w:p>
        </w:tc>
        <w:tc>
          <w:tcPr>
            <w:tcW w:w="851" w:type="dxa"/>
            <w:tcBorders>
              <w:top w:val="single" w:sz="4" w:space="0" w:color="auto"/>
              <w:left w:val="nil"/>
              <w:bottom w:val="single" w:sz="4" w:space="0" w:color="auto"/>
              <w:right w:val="single" w:sz="4" w:space="0" w:color="auto"/>
            </w:tcBorders>
          </w:tcPr>
          <w:p w14:paraId="7C3F106E" w14:textId="77777777" w:rsidR="00C02CAA" w:rsidRPr="00B074E1" w:rsidRDefault="000C39F7" w:rsidP="0015047D">
            <w:pPr>
              <w:jc w:val="both"/>
              <w:rPr>
                <w:b/>
                <w:bCs/>
                <w:sz w:val="18"/>
                <w:szCs w:val="18"/>
              </w:rPr>
            </w:pPr>
            <w:r w:rsidRPr="00B074E1">
              <w:rPr>
                <w:b/>
                <w:bCs/>
                <w:sz w:val="18"/>
                <w:szCs w:val="18"/>
              </w:rPr>
              <w:t>77 860</w:t>
            </w:r>
          </w:p>
        </w:tc>
      </w:tr>
    </w:tbl>
    <w:p w14:paraId="5DFB41AA" w14:textId="77777777" w:rsidR="005A6D3B" w:rsidRDefault="005A6D3B" w:rsidP="0087067B">
      <w:pPr>
        <w:tabs>
          <w:tab w:val="left" w:pos="720"/>
        </w:tabs>
        <w:ind w:firstLine="720"/>
        <w:jc w:val="both"/>
        <w:rPr>
          <w:sz w:val="28"/>
          <w:szCs w:val="28"/>
        </w:rPr>
      </w:pPr>
    </w:p>
    <w:p w14:paraId="0B13104C" w14:textId="77777777" w:rsidR="00C02CAA" w:rsidRPr="00D454E9" w:rsidRDefault="00BA280A" w:rsidP="00D454E9">
      <w:pPr>
        <w:tabs>
          <w:tab w:val="left" w:pos="993"/>
        </w:tabs>
        <w:ind w:firstLine="720"/>
        <w:jc w:val="both"/>
      </w:pPr>
      <w:r w:rsidRPr="00D454E9">
        <w:t xml:space="preserve">Tāpat no </w:t>
      </w:r>
      <w:r w:rsidR="00CA1A48">
        <w:t>a</w:t>
      </w:r>
      <w:r w:rsidR="00CA1A48" w:rsidRPr="00CA1A48">
        <w:t>pakšprogrammas „</w:t>
      </w:r>
      <w:r w:rsidR="00CA1A48" w:rsidRPr="00CA1A48">
        <w:rPr>
          <w:iCs/>
        </w:rPr>
        <w:t>Maksātnespējas procesa izmaksas</w:t>
      </w:r>
      <w:r w:rsidR="00CA1A48" w:rsidRPr="00CA1A48">
        <w:t>”</w:t>
      </w:r>
      <w:r w:rsidR="00B97506">
        <w:t xml:space="preserve"> </w:t>
      </w:r>
      <w:r w:rsidRPr="00D454E9">
        <w:t xml:space="preserve">tiek segts juridiskās personas maksātnespējas procesa depozīts, ja darbinieks atbrīvots no depozīta iemaksas (Satversmes tiesas </w:t>
      </w:r>
      <w:hyperlink r:id="rId9" w:tgtFrame="_blank" w:history="1">
        <w:r w:rsidRPr="00D454E9">
          <w:t>2012.</w:t>
        </w:r>
      </w:hyperlink>
      <w:r w:rsidRPr="00D454E9">
        <w:t>gada 20.aprīļa sprieduma lietā Nr.</w:t>
      </w:r>
      <w:r w:rsidRPr="00D454E9">
        <w:rPr>
          <w:shd w:val="clear" w:color="auto" w:fill="FFFFFF"/>
        </w:rPr>
        <w:t xml:space="preserve">2011-16-01 </w:t>
      </w:r>
      <w:r w:rsidRPr="00D454E9">
        <w:t xml:space="preserve">izpilde, tiek nodrošināta ar Maksātnespējas likuma grozījumiem, kas stājās spēkā </w:t>
      </w:r>
      <w:hyperlink r:id="rId10" w:tgtFrame="_blank" w:history="1">
        <w:r w:rsidRPr="00D454E9">
          <w:t>2015.</w:t>
        </w:r>
      </w:hyperlink>
      <w:r w:rsidRPr="00D454E9">
        <w:t>gada 1.martā) – pirmo reizi šādi maksājumi tika veikti 2014.gadā sešos maksātnespējas procesos. Savukārt 2015.gadā bija pieci šādi gadījumi.</w:t>
      </w:r>
    </w:p>
    <w:p w14:paraId="7564D88C" w14:textId="77777777" w:rsidR="00C02CAA" w:rsidRPr="00D454E9" w:rsidRDefault="00C02CAA" w:rsidP="00D454E9">
      <w:pPr>
        <w:tabs>
          <w:tab w:val="left" w:pos="993"/>
        </w:tabs>
        <w:ind w:firstLine="720"/>
        <w:jc w:val="both"/>
      </w:pPr>
      <w:r w:rsidRPr="00D454E9">
        <w:t>Uz 201</w:t>
      </w:r>
      <w:r w:rsidR="0019224F" w:rsidRPr="00D454E9">
        <w:t>6</w:t>
      </w:r>
      <w:r w:rsidRPr="00D454E9">
        <w:t>.gada</w:t>
      </w:r>
      <w:r w:rsidR="00216A3C" w:rsidRPr="00D454E9">
        <w:t xml:space="preserve"> </w:t>
      </w:r>
      <w:r w:rsidRPr="00D454E9">
        <w:t xml:space="preserve">1.janvāri ir </w:t>
      </w:r>
      <w:r w:rsidR="0019224F" w:rsidRPr="00D454E9">
        <w:t>271</w:t>
      </w:r>
      <w:r w:rsidR="00A734C8" w:rsidRPr="00D454E9">
        <w:t xml:space="preserve"> </w:t>
      </w:r>
      <w:r w:rsidRPr="00D454E9">
        <w:t>maksātnespējas proces</w:t>
      </w:r>
      <w:r w:rsidR="0019224F" w:rsidRPr="00D454E9">
        <w:t>s</w:t>
      </w:r>
      <w:r w:rsidRPr="00D454E9">
        <w:t>, kuros, iespējams, Maksātnespējas administrācijai būs jāsedz maksātnespējas procesa izmaksas, tai skaitā:</w:t>
      </w:r>
    </w:p>
    <w:p w14:paraId="38D461C1" w14:textId="77777777" w:rsidR="00C02CAA" w:rsidRPr="00D454E9" w:rsidRDefault="0019224F" w:rsidP="00D454E9">
      <w:pPr>
        <w:numPr>
          <w:ilvl w:val="0"/>
          <w:numId w:val="27"/>
        </w:numPr>
        <w:tabs>
          <w:tab w:val="left" w:pos="993"/>
        </w:tabs>
        <w:ind w:left="0" w:firstLine="720"/>
        <w:jc w:val="both"/>
      </w:pPr>
      <w:r w:rsidRPr="00D454E9">
        <w:t>2</w:t>
      </w:r>
      <w:r w:rsidR="00C02CAA" w:rsidRPr="00D454E9">
        <w:t>8</w:t>
      </w:r>
      <w:r w:rsidRPr="00D454E9">
        <w:t xml:space="preserve"> </w:t>
      </w:r>
      <w:r w:rsidR="00C02CAA" w:rsidRPr="00D454E9">
        <w:t>maksātnespējas procesi, k</w:t>
      </w:r>
      <w:r w:rsidR="00BA280A" w:rsidRPr="00D454E9">
        <w:t>as</w:t>
      </w:r>
      <w:r w:rsidR="00C02CAA" w:rsidRPr="00D454E9">
        <w:t xml:space="preserve"> pasludināti saskaņā ar 1996.gada </w:t>
      </w:r>
      <w:r w:rsidR="00D22BEB">
        <w:t>1</w:t>
      </w:r>
      <w:r w:rsidR="00C02CAA" w:rsidRPr="00D454E9">
        <w:t>2.</w:t>
      </w:r>
      <w:r w:rsidR="00D22BEB">
        <w:t>septembra</w:t>
      </w:r>
      <w:r w:rsidR="00D22BEB" w:rsidRPr="00D454E9">
        <w:t xml:space="preserve"> </w:t>
      </w:r>
      <w:r w:rsidR="00C02CAA" w:rsidRPr="00D454E9">
        <w:t>likumu „Par uzņēmumu un uzņēmējsabiedrību maksātnespēju” (turpmāk – vecie procesi);</w:t>
      </w:r>
    </w:p>
    <w:p w14:paraId="46B6FC5C" w14:textId="77777777" w:rsidR="00C02CAA" w:rsidRPr="00D454E9" w:rsidRDefault="0019224F" w:rsidP="00D454E9">
      <w:pPr>
        <w:numPr>
          <w:ilvl w:val="0"/>
          <w:numId w:val="27"/>
        </w:numPr>
        <w:tabs>
          <w:tab w:val="left" w:pos="993"/>
        </w:tabs>
        <w:ind w:left="0" w:firstLine="720"/>
        <w:jc w:val="both"/>
      </w:pPr>
      <w:r w:rsidRPr="00D454E9">
        <w:t xml:space="preserve">243 </w:t>
      </w:r>
      <w:r w:rsidR="00C02CAA" w:rsidRPr="00D454E9">
        <w:t>maksātnespējas procesi, k</w:t>
      </w:r>
      <w:r w:rsidR="00BA280A" w:rsidRPr="00D454E9">
        <w:t>as</w:t>
      </w:r>
      <w:r w:rsidR="00C02CAA" w:rsidRPr="00D454E9">
        <w:t xml:space="preserve"> pasludināti saskaņā ar Maksātnespējas likumu, kas bija spēkā līdz 2010.gada 31.oktobrim (turpmāk – vidējie procesi).</w:t>
      </w:r>
    </w:p>
    <w:p w14:paraId="74FC27B1" w14:textId="77777777" w:rsidR="00C02CAA" w:rsidRPr="00D454E9" w:rsidRDefault="00C02CAA" w:rsidP="00D454E9">
      <w:pPr>
        <w:tabs>
          <w:tab w:val="left" w:pos="993"/>
        </w:tabs>
        <w:ind w:firstLine="720"/>
        <w:jc w:val="both"/>
      </w:pPr>
      <w:r w:rsidRPr="00D454E9">
        <w:t>Maksātnespējas procesu skaits, kuri Maksātnespējas administrācijai būs jāfinansē no valsts līdzekļiem, nepalielināsies, bet attiecībā uz š</w:t>
      </w:r>
      <w:r w:rsidR="00D479A5" w:rsidRPr="00D454E9">
        <w:t>o</w:t>
      </w:r>
      <w:r w:rsidRPr="00D454E9">
        <w:t xml:space="preserve"> </w:t>
      </w:r>
      <w:r w:rsidR="0019224F" w:rsidRPr="00D454E9">
        <w:t xml:space="preserve">271 </w:t>
      </w:r>
      <w:r w:rsidRPr="00D454E9">
        <w:t>proces</w:t>
      </w:r>
      <w:r w:rsidR="00D479A5" w:rsidRPr="00D454E9">
        <w:t xml:space="preserve">u </w:t>
      </w:r>
      <w:r w:rsidRPr="00D454E9">
        <w:t>ir jāņem vērā varbūtība, ka tajos tiks lūgta izmaksu segšana.</w:t>
      </w:r>
    </w:p>
    <w:p w14:paraId="088B9C14" w14:textId="77777777" w:rsidR="00C02CAA" w:rsidRPr="00D454E9" w:rsidRDefault="00C02CAA" w:rsidP="00D454E9">
      <w:pPr>
        <w:tabs>
          <w:tab w:val="left" w:pos="993"/>
        </w:tabs>
        <w:ind w:firstLine="720"/>
        <w:jc w:val="both"/>
      </w:pPr>
      <w:r w:rsidRPr="00D454E9">
        <w:t>Laika periodā no 2012.gada</w:t>
      </w:r>
      <w:r w:rsidR="00C874C4" w:rsidRPr="00D454E9">
        <w:t xml:space="preserve"> </w:t>
      </w:r>
      <w:r w:rsidRPr="00D454E9">
        <w:t>15.maija, kad šo procesu skaits bija 2 731, līdz 201</w:t>
      </w:r>
      <w:r w:rsidR="00C874C4" w:rsidRPr="00D454E9">
        <w:t>6</w:t>
      </w:r>
      <w:r w:rsidRPr="00D454E9">
        <w:t>.gada 1.janvārim,</w:t>
      </w:r>
      <w:r w:rsidR="00C874C4" w:rsidRPr="00D454E9">
        <w:t xml:space="preserve"> </w:t>
      </w:r>
      <w:r w:rsidRPr="00D454E9">
        <w:t xml:space="preserve">kad šo procesu skaits bija </w:t>
      </w:r>
      <w:r w:rsidR="00C874C4" w:rsidRPr="00D454E9">
        <w:t>271</w:t>
      </w:r>
      <w:r w:rsidRPr="00D454E9">
        <w:t xml:space="preserve">, maksātnespējas procesu skaits ir </w:t>
      </w:r>
      <w:r w:rsidR="00C874C4" w:rsidRPr="00D454E9">
        <w:t xml:space="preserve">būtiski </w:t>
      </w:r>
      <w:r w:rsidRPr="00D454E9">
        <w:t xml:space="preserve">samazinājies (skatīt </w:t>
      </w:r>
      <w:r w:rsidR="000C26CD" w:rsidRPr="00D454E9">
        <w:t>6</w:t>
      </w:r>
      <w:r w:rsidRPr="00D454E9">
        <w:t xml:space="preserve">.tabulu) – apmēram par </w:t>
      </w:r>
      <w:r w:rsidR="00F00031" w:rsidRPr="00D454E9">
        <w:t>90</w:t>
      </w:r>
      <w:r w:rsidR="00BA280A" w:rsidRPr="00D454E9">
        <w:t xml:space="preserve"> procentiem</w:t>
      </w:r>
      <w:r w:rsidRPr="00D454E9">
        <w:t>, taču jāņem vērā, ka lielākā daļa procesu, kas palikuši, ir vidējie procesi, kas pasludināti saskaņā ar Maksātnespējas likumu, kas bija spēkā līdz 2010.gada 31.oktobrim, taču šis likums precīzi nenoteica ātra un efektīva maksātnespējas procesa kritērijus, kā arī daudzos šajos procesos norisinās ilgstošas tiesvedības.</w:t>
      </w:r>
    </w:p>
    <w:p w14:paraId="6EEF5898" w14:textId="77777777" w:rsidR="00C02CAA" w:rsidRPr="00D454E9" w:rsidRDefault="00C02CAA" w:rsidP="00D454E9">
      <w:pPr>
        <w:tabs>
          <w:tab w:val="left" w:pos="993"/>
        </w:tabs>
        <w:ind w:firstLine="720"/>
        <w:jc w:val="both"/>
      </w:pPr>
    </w:p>
    <w:p w14:paraId="6F26BB4C" w14:textId="77777777" w:rsidR="00C02CAA" w:rsidRPr="00D454E9" w:rsidRDefault="000C26CD" w:rsidP="0043327E">
      <w:pPr>
        <w:tabs>
          <w:tab w:val="left" w:pos="720"/>
        </w:tabs>
        <w:jc w:val="right"/>
      </w:pPr>
      <w:r w:rsidRPr="00D454E9">
        <w:t>6</w:t>
      </w:r>
      <w:r w:rsidR="00C02CAA" w:rsidRPr="00D454E9">
        <w:t>.tabula</w:t>
      </w:r>
    </w:p>
    <w:p w14:paraId="3BEC4B05" w14:textId="77777777" w:rsidR="00C02CAA" w:rsidRPr="00D454E9" w:rsidRDefault="00C02CAA" w:rsidP="0043327E">
      <w:pPr>
        <w:tabs>
          <w:tab w:val="left" w:pos="720"/>
        </w:tabs>
        <w:jc w:val="right"/>
        <w:rPr>
          <w:b/>
        </w:rPr>
      </w:pPr>
    </w:p>
    <w:p w14:paraId="7306D4C2" w14:textId="77777777" w:rsidR="00C02CAA" w:rsidRPr="00D454E9" w:rsidRDefault="00C02CAA" w:rsidP="00D454E9">
      <w:pPr>
        <w:tabs>
          <w:tab w:val="left" w:pos="720"/>
        </w:tabs>
        <w:spacing w:after="120"/>
        <w:jc w:val="center"/>
      </w:pPr>
      <w:r w:rsidRPr="00D454E9">
        <w:rPr>
          <w:b/>
        </w:rPr>
        <w:t>Maksātnespējas procesu, kuros Maksātnespējas administrācijai ir jāsedz izmaksas, skaits noteiktos datumos*</w:t>
      </w:r>
    </w:p>
    <w:tbl>
      <w:tblPr>
        <w:tblW w:w="8645" w:type="dxa"/>
        <w:jc w:val="center"/>
        <w:tblLook w:val="0000" w:firstRow="0" w:lastRow="0" w:firstColumn="0" w:lastColumn="0" w:noHBand="0" w:noVBand="0"/>
      </w:tblPr>
      <w:tblGrid>
        <w:gridCol w:w="1356"/>
        <w:gridCol w:w="2512"/>
        <w:gridCol w:w="2160"/>
        <w:gridCol w:w="2700"/>
      </w:tblGrid>
      <w:tr w:rsidR="00C02CAA" w:rsidRPr="00F07CAD" w14:paraId="1DD0F1CF" w14:textId="77777777" w:rsidTr="009D46B2">
        <w:trPr>
          <w:trHeight w:val="255"/>
          <w:jc w:val="center"/>
        </w:trPr>
        <w:tc>
          <w:tcPr>
            <w:tcW w:w="1273" w:type="dxa"/>
            <w:tcBorders>
              <w:top w:val="single" w:sz="4" w:space="0" w:color="auto"/>
              <w:left w:val="single" w:sz="4" w:space="0" w:color="auto"/>
              <w:bottom w:val="single" w:sz="4" w:space="0" w:color="auto"/>
              <w:right w:val="single" w:sz="4" w:space="0" w:color="auto"/>
            </w:tcBorders>
            <w:noWrap/>
            <w:vAlign w:val="bottom"/>
          </w:tcPr>
          <w:p w14:paraId="681CFD6D" w14:textId="77777777" w:rsidR="00C02CAA" w:rsidRPr="00F07CAD" w:rsidRDefault="00C02CAA" w:rsidP="006A2ECE">
            <w:pPr>
              <w:jc w:val="both"/>
              <w:rPr>
                <w:b/>
              </w:rPr>
            </w:pPr>
            <w:r w:rsidRPr="00F07CAD">
              <w:rPr>
                <w:b/>
              </w:rPr>
              <w:t>Datums</w:t>
            </w:r>
            <w:r w:rsidR="00F85AF5">
              <w:rPr>
                <w:b/>
              </w:rPr>
              <w:t>*</w:t>
            </w:r>
          </w:p>
        </w:tc>
        <w:tc>
          <w:tcPr>
            <w:tcW w:w="2512" w:type="dxa"/>
            <w:tcBorders>
              <w:top w:val="single" w:sz="4" w:space="0" w:color="auto"/>
              <w:left w:val="nil"/>
              <w:bottom w:val="single" w:sz="4" w:space="0" w:color="auto"/>
              <w:right w:val="single" w:sz="4" w:space="0" w:color="auto"/>
            </w:tcBorders>
            <w:noWrap/>
            <w:vAlign w:val="center"/>
          </w:tcPr>
          <w:p w14:paraId="3B332E9E" w14:textId="77777777" w:rsidR="00C02CAA" w:rsidRPr="00F07CAD" w:rsidRDefault="00C02CAA" w:rsidP="006A2ECE">
            <w:pPr>
              <w:jc w:val="center"/>
              <w:rPr>
                <w:b/>
              </w:rPr>
            </w:pPr>
            <w:r w:rsidRPr="00F07CAD">
              <w:rPr>
                <w:b/>
              </w:rPr>
              <w:t>Vecie procesi</w:t>
            </w:r>
          </w:p>
        </w:tc>
        <w:tc>
          <w:tcPr>
            <w:tcW w:w="2160" w:type="dxa"/>
            <w:tcBorders>
              <w:top w:val="single" w:sz="4" w:space="0" w:color="auto"/>
              <w:left w:val="nil"/>
              <w:bottom w:val="single" w:sz="4" w:space="0" w:color="auto"/>
              <w:right w:val="single" w:sz="4" w:space="0" w:color="auto"/>
            </w:tcBorders>
            <w:noWrap/>
            <w:vAlign w:val="center"/>
          </w:tcPr>
          <w:p w14:paraId="35902C14" w14:textId="77777777" w:rsidR="00C02CAA" w:rsidRPr="00F07CAD" w:rsidRDefault="00C02CAA" w:rsidP="006A2ECE">
            <w:pPr>
              <w:jc w:val="center"/>
              <w:rPr>
                <w:b/>
              </w:rPr>
            </w:pPr>
            <w:r w:rsidRPr="00F07CAD">
              <w:rPr>
                <w:b/>
              </w:rPr>
              <w:t>Vidējie procesi</w:t>
            </w:r>
          </w:p>
        </w:tc>
        <w:tc>
          <w:tcPr>
            <w:tcW w:w="2700" w:type="dxa"/>
            <w:tcBorders>
              <w:top w:val="single" w:sz="4" w:space="0" w:color="auto"/>
              <w:left w:val="nil"/>
              <w:bottom w:val="single" w:sz="4" w:space="0" w:color="auto"/>
              <w:right w:val="single" w:sz="4" w:space="0" w:color="auto"/>
            </w:tcBorders>
            <w:noWrap/>
            <w:vAlign w:val="center"/>
          </w:tcPr>
          <w:p w14:paraId="76F7DC72" w14:textId="77777777" w:rsidR="00C02CAA" w:rsidRPr="00F07CAD" w:rsidRDefault="00C02CAA" w:rsidP="006A2ECE">
            <w:pPr>
              <w:jc w:val="center"/>
              <w:rPr>
                <w:b/>
              </w:rPr>
            </w:pPr>
            <w:r w:rsidRPr="00F07CAD">
              <w:rPr>
                <w:b/>
              </w:rPr>
              <w:t>Kopā</w:t>
            </w:r>
          </w:p>
        </w:tc>
      </w:tr>
      <w:tr w:rsidR="00C02CAA" w:rsidRPr="001E23E1" w14:paraId="5CB50AAB" w14:textId="77777777" w:rsidTr="009D46B2">
        <w:trPr>
          <w:trHeight w:val="255"/>
          <w:jc w:val="center"/>
        </w:trPr>
        <w:tc>
          <w:tcPr>
            <w:tcW w:w="1273" w:type="dxa"/>
            <w:tcBorders>
              <w:top w:val="nil"/>
              <w:left w:val="single" w:sz="4" w:space="0" w:color="auto"/>
              <w:bottom w:val="single" w:sz="4" w:space="0" w:color="auto"/>
              <w:right w:val="single" w:sz="4" w:space="0" w:color="auto"/>
            </w:tcBorders>
            <w:noWrap/>
            <w:vAlign w:val="bottom"/>
          </w:tcPr>
          <w:p w14:paraId="73D9575B" w14:textId="77777777" w:rsidR="00C02CAA" w:rsidRPr="001E23E1" w:rsidRDefault="00C02CAA" w:rsidP="006A2ECE">
            <w:pPr>
              <w:jc w:val="both"/>
            </w:pPr>
            <w:r w:rsidRPr="001E23E1">
              <w:t>15.05.2012.</w:t>
            </w:r>
          </w:p>
        </w:tc>
        <w:tc>
          <w:tcPr>
            <w:tcW w:w="2512" w:type="dxa"/>
            <w:tcBorders>
              <w:top w:val="nil"/>
              <w:left w:val="nil"/>
              <w:bottom w:val="single" w:sz="4" w:space="0" w:color="auto"/>
              <w:right w:val="single" w:sz="4" w:space="0" w:color="auto"/>
            </w:tcBorders>
            <w:noWrap/>
            <w:vAlign w:val="center"/>
          </w:tcPr>
          <w:p w14:paraId="73F930FF" w14:textId="77777777" w:rsidR="00C02CAA" w:rsidRPr="001E23E1" w:rsidRDefault="00C02CAA" w:rsidP="006A2ECE">
            <w:pPr>
              <w:jc w:val="center"/>
            </w:pPr>
            <w:r w:rsidRPr="001E23E1">
              <w:t>372</w:t>
            </w:r>
          </w:p>
        </w:tc>
        <w:tc>
          <w:tcPr>
            <w:tcW w:w="2160" w:type="dxa"/>
            <w:tcBorders>
              <w:top w:val="nil"/>
              <w:left w:val="nil"/>
              <w:bottom w:val="single" w:sz="4" w:space="0" w:color="auto"/>
              <w:right w:val="single" w:sz="4" w:space="0" w:color="auto"/>
            </w:tcBorders>
            <w:noWrap/>
            <w:vAlign w:val="center"/>
          </w:tcPr>
          <w:p w14:paraId="39D9990E" w14:textId="77777777" w:rsidR="00C02CAA" w:rsidRPr="001E23E1" w:rsidRDefault="00C02CAA" w:rsidP="006A2ECE">
            <w:pPr>
              <w:jc w:val="center"/>
            </w:pPr>
            <w:r w:rsidRPr="001E23E1">
              <w:t>2 359</w:t>
            </w:r>
          </w:p>
        </w:tc>
        <w:tc>
          <w:tcPr>
            <w:tcW w:w="2700" w:type="dxa"/>
            <w:tcBorders>
              <w:top w:val="nil"/>
              <w:left w:val="nil"/>
              <w:bottom w:val="single" w:sz="4" w:space="0" w:color="auto"/>
              <w:right w:val="single" w:sz="4" w:space="0" w:color="auto"/>
            </w:tcBorders>
            <w:noWrap/>
            <w:vAlign w:val="center"/>
          </w:tcPr>
          <w:p w14:paraId="6BD16FA5" w14:textId="77777777" w:rsidR="00C02CAA" w:rsidRPr="001E23E1" w:rsidRDefault="00C02CAA" w:rsidP="006A2ECE">
            <w:pPr>
              <w:jc w:val="center"/>
            </w:pPr>
            <w:r w:rsidRPr="001E23E1">
              <w:t>2 731</w:t>
            </w:r>
          </w:p>
        </w:tc>
      </w:tr>
      <w:tr w:rsidR="00C02CAA" w:rsidRPr="001E23E1" w14:paraId="32D95B16" w14:textId="77777777" w:rsidTr="009D46B2">
        <w:trPr>
          <w:trHeight w:val="255"/>
          <w:jc w:val="center"/>
        </w:trPr>
        <w:tc>
          <w:tcPr>
            <w:tcW w:w="1273" w:type="dxa"/>
            <w:tcBorders>
              <w:top w:val="nil"/>
              <w:left w:val="single" w:sz="4" w:space="0" w:color="auto"/>
              <w:bottom w:val="single" w:sz="4" w:space="0" w:color="auto"/>
              <w:right w:val="single" w:sz="4" w:space="0" w:color="auto"/>
            </w:tcBorders>
            <w:noWrap/>
            <w:vAlign w:val="bottom"/>
          </w:tcPr>
          <w:p w14:paraId="28673A88" w14:textId="77777777" w:rsidR="00C02CAA" w:rsidRPr="001E23E1" w:rsidRDefault="00C02CAA" w:rsidP="006A2ECE">
            <w:pPr>
              <w:jc w:val="both"/>
            </w:pPr>
            <w:r w:rsidRPr="001E23E1">
              <w:t>25.04.2013.</w:t>
            </w:r>
          </w:p>
        </w:tc>
        <w:tc>
          <w:tcPr>
            <w:tcW w:w="2512" w:type="dxa"/>
            <w:tcBorders>
              <w:top w:val="nil"/>
              <w:left w:val="nil"/>
              <w:bottom w:val="single" w:sz="4" w:space="0" w:color="auto"/>
              <w:right w:val="single" w:sz="4" w:space="0" w:color="auto"/>
            </w:tcBorders>
            <w:noWrap/>
            <w:vAlign w:val="center"/>
          </w:tcPr>
          <w:p w14:paraId="1B3D4947" w14:textId="77777777" w:rsidR="00C02CAA" w:rsidRPr="001E23E1" w:rsidRDefault="00C02CAA" w:rsidP="006A2ECE">
            <w:pPr>
              <w:jc w:val="center"/>
            </w:pPr>
            <w:r w:rsidRPr="001E23E1">
              <w:t>206</w:t>
            </w:r>
          </w:p>
        </w:tc>
        <w:tc>
          <w:tcPr>
            <w:tcW w:w="2160" w:type="dxa"/>
            <w:tcBorders>
              <w:top w:val="nil"/>
              <w:left w:val="nil"/>
              <w:bottom w:val="single" w:sz="4" w:space="0" w:color="auto"/>
              <w:right w:val="single" w:sz="4" w:space="0" w:color="auto"/>
            </w:tcBorders>
            <w:noWrap/>
            <w:vAlign w:val="center"/>
          </w:tcPr>
          <w:p w14:paraId="1930E26A" w14:textId="77777777" w:rsidR="00C02CAA" w:rsidRPr="001E23E1" w:rsidRDefault="00C02CAA" w:rsidP="006A2ECE">
            <w:pPr>
              <w:jc w:val="center"/>
            </w:pPr>
            <w:r w:rsidRPr="001E23E1">
              <w:t>1 706</w:t>
            </w:r>
          </w:p>
        </w:tc>
        <w:tc>
          <w:tcPr>
            <w:tcW w:w="2700" w:type="dxa"/>
            <w:tcBorders>
              <w:top w:val="nil"/>
              <w:left w:val="nil"/>
              <w:bottom w:val="single" w:sz="4" w:space="0" w:color="auto"/>
              <w:right w:val="single" w:sz="4" w:space="0" w:color="auto"/>
            </w:tcBorders>
            <w:noWrap/>
            <w:vAlign w:val="center"/>
          </w:tcPr>
          <w:p w14:paraId="036ACA23" w14:textId="77777777" w:rsidR="00C02CAA" w:rsidRPr="001E23E1" w:rsidRDefault="00C02CAA" w:rsidP="006A2ECE">
            <w:pPr>
              <w:jc w:val="center"/>
            </w:pPr>
            <w:r w:rsidRPr="001E23E1">
              <w:t>1 912</w:t>
            </w:r>
          </w:p>
        </w:tc>
      </w:tr>
      <w:tr w:rsidR="00C02CAA" w:rsidRPr="001E23E1" w14:paraId="3970EDD6" w14:textId="77777777" w:rsidTr="009D46B2">
        <w:trPr>
          <w:trHeight w:val="255"/>
          <w:jc w:val="center"/>
        </w:trPr>
        <w:tc>
          <w:tcPr>
            <w:tcW w:w="1273" w:type="dxa"/>
            <w:tcBorders>
              <w:top w:val="nil"/>
              <w:left w:val="single" w:sz="4" w:space="0" w:color="auto"/>
              <w:bottom w:val="single" w:sz="4" w:space="0" w:color="auto"/>
              <w:right w:val="single" w:sz="4" w:space="0" w:color="auto"/>
            </w:tcBorders>
            <w:noWrap/>
            <w:vAlign w:val="bottom"/>
          </w:tcPr>
          <w:p w14:paraId="57882193" w14:textId="77777777" w:rsidR="00C02CAA" w:rsidRPr="001E23E1" w:rsidRDefault="00C02CAA" w:rsidP="006A2ECE">
            <w:pPr>
              <w:jc w:val="both"/>
            </w:pPr>
            <w:r w:rsidRPr="001E23E1">
              <w:t>10.02.2014.</w:t>
            </w:r>
          </w:p>
        </w:tc>
        <w:tc>
          <w:tcPr>
            <w:tcW w:w="2512" w:type="dxa"/>
            <w:tcBorders>
              <w:top w:val="nil"/>
              <w:left w:val="nil"/>
              <w:bottom w:val="single" w:sz="4" w:space="0" w:color="auto"/>
              <w:right w:val="single" w:sz="4" w:space="0" w:color="auto"/>
            </w:tcBorders>
            <w:noWrap/>
            <w:vAlign w:val="center"/>
          </w:tcPr>
          <w:p w14:paraId="1C7CE24A" w14:textId="77777777" w:rsidR="00C02CAA" w:rsidRPr="001E23E1" w:rsidRDefault="00C02CAA" w:rsidP="006A2ECE">
            <w:pPr>
              <w:jc w:val="center"/>
            </w:pPr>
            <w:r w:rsidRPr="001E23E1">
              <w:t>130</w:t>
            </w:r>
          </w:p>
        </w:tc>
        <w:tc>
          <w:tcPr>
            <w:tcW w:w="2160" w:type="dxa"/>
            <w:tcBorders>
              <w:top w:val="nil"/>
              <w:left w:val="nil"/>
              <w:bottom w:val="single" w:sz="4" w:space="0" w:color="auto"/>
              <w:right w:val="single" w:sz="4" w:space="0" w:color="auto"/>
            </w:tcBorders>
            <w:noWrap/>
            <w:vAlign w:val="center"/>
          </w:tcPr>
          <w:p w14:paraId="7E01FB35" w14:textId="77777777" w:rsidR="00C02CAA" w:rsidRPr="001E23E1" w:rsidRDefault="00C02CAA" w:rsidP="006A2ECE">
            <w:pPr>
              <w:jc w:val="center"/>
            </w:pPr>
            <w:r w:rsidRPr="001E23E1">
              <w:t>1 292</w:t>
            </w:r>
          </w:p>
        </w:tc>
        <w:tc>
          <w:tcPr>
            <w:tcW w:w="2700" w:type="dxa"/>
            <w:tcBorders>
              <w:top w:val="nil"/>
              <w:left w:val="nil"/>
              <w:bottom w:val="single" w:sz="4" w:space="0" w:color="auto"/>
              <w:right w:val="single" w:sz="4" w:space="0" w:color="auto"/>
            </w:tcBorders>
            <w:noWrap/>
            <w:vAlign w:val="center"/>
          </w:tcPr>
          <w:p w14:paraId="2D0F27A7" w14:textId="77777777" w:rsidR="00C02CAA" w:rsidRPr="001E23E1" w:rsidRDefault="00C02CAA" w:rsidP="006A2ECE">
            <w:pPr>
              <w:jc w:val="center"/>
            </w:pPr>
            <w:r w:rsidRPr="001E23E1">
              <w:t>1 422</w:t>
            </w:r>
          </w:p>
        </w:tc>
      </w:tr>
      <w:tr w:rsidR="00C02CAA" w:rsidRPr="001E23E1" w14:paraId="65A39567" w14:textId="77777777" w:rsidTr="009D46B2">
        <w:trPr>
          <w:trHeight w:val="276"/>
          <w:jc w:val="center"/>
        </w:trPr>
        <w:tc>
          <w:tcPr>
            <w:tcW w:w="1273" w:type="dxa"/>
            <w:tcBorders>
              <w:top w:val="single" w:sz="4" w:space="0" w:color="auto"/>
              <w:left w:val="single" w:sz="4" w:space="0" w:color="auto"/>
              <w:bottom w:val="single" w:sz="4" w:space="0" w:color="auto"/>
              <w:right w:val="single" w:sz="4" w:space="0" w:color="auto"/>
            </w:tcBorders>
            <w:noWrap/>
            <w:vAlign w:val="bottom"/>
          </w:tcPr>
          <w:p w14:paraId="3C60FF1D" w14:textId="77777777" w:rsidR="00C02CAA" w:rsidRPr="001E23E1" w:rsidRDefault="00C02CAA" w:rsidP="006A2ECE">
            <w:pPr>
              <w:jc w:val="both"/>
            </w:pPr>
            <w:r w:rsidRPr="001E23E1">
              <w:t>01.01.2015.</w:t>
            </w:r>
          </w:p>
        </w:tc>
        <w:tc>
          <w:tcPr>
            <w:tcW w:w="2512" w:type="dxa"/>
            <w:tcBorders>
              <w:top w:val="single" w:sz="4" w:space="0" w:color="auto"/>
              <w:left w:val="nil"/>
              <w:bottom w:val="single" w:sz="4" w:space="0" w:color="auto"/>
              <w:right w:val="single" w:sz="4" w:space="0" w:color="auto"/>
            </w:tcBorders>
            <w:noWrap/>
            <w:vAlign w:val="center"/>
          </w:tcPr>
          <w:p w14:paraId="7027C33D" w14:textId="77777777" w:rsidR="00C02CAA" w:rsidRPr="001E23E1" w:rsidRDefault="00C02CAA" w:rsidP="006A2ECE">
            <w:pPr>
              <w:jc w:val="center"/>
            </w:pPr>
            <w:r w:rsidRPr="001E23E1">
              <w:t>78</w:t>
            </w:r>
          </w:p>
        </w:tc>
        <w:tc>
          <w:tcPr>
            <w:tcW w:w="2160" w:type="dxa"/>
            <w:tcBorders>
              <w:top w:val="single" w:sz="4" w:space="0" w:color="auto"/>
              <w:left w:val="nil"/>
              <w:bottom w:val="single" w:sz="4" w:space="0" w:color="auto"/>
              <w:right w:val="single" w:sz="4" w:space="0" w:color="auto"/>
            </w:tcBorders>
            <w:noWrap/>
            <w:vAlign w:val="center"/>
          </w:tcPr>
          <w:p w14:paraId="4079F4D8" w14:textId="77777777" w:rsidR="00C02CAA" w:rsidRPr="001E23E1" w:rsidRDefault="00C02CAA" w:rsidP="006A2ECE">
            <w:pPr>
              <w:jc w:val="center"/>
            </w:pPr>
            <w:r w:rsidRPr="001E23E1">
              <w:t>1 016</w:t>
            </w:r>
          </w:p>
        </w:tc>
        <w:tc>
          <w:tcPr>
            <w:tcW w:w="2700" w:type="dxa"/>
            <w:tcBorders>
              <w:top w:val="single" w:sz="4" w:space="0" w:color="auto"/>
              <w:left w:val="nil"/>
              <w:bottom w:val="single" w:sz="4" w:space="0" w:color="auto"/>
              <w:right w:val="single" w:sz="4" w:space="0" w:color="auto"/>
            </w:tcBorders>
            <w:noWrap/>
            <w:vAlign w:val="center"/>
          </w:tcPr>
          <w:p w14:paraId="21B2DBB6" w14:textId="77777777" w:rsidR="00C02CAA" w:rsidRPr="001E23E1" w:rsidRDefault="00C02CAA" w:rsidP="006A2ECE">
            <w:pPr>
              <w:jc w:val="center"/>
            </w:pPr>
            <w:r w:rsidRPr="001E23E1">
              <w:t>1 094</w:t>
            </w:r>
          </w:p>
        </w:tc>
      </w:tr>
      <w:tr w:rsidR="003561E1" w:rsidRPr="001E23E1" w14:paraId="59AFBAE0" w14:textId="77777777" w:rsidTr="009D46B2">
        <w:trPr>
          <w:trHeight w:val="276"/>
          <w:jc w:val="center"/>
        </w:trPr>
        <w:tc>
          <w:tcPr>
            <w:tcW w:w="1273" w:type="dxa"/>
            <w:tcBorders>
              <w:top w:val="single" w:sz="4" w:space="0" w:color="auto"/>
              <w:left w:val="single" w:sz="4" w:space="0" w:color="auto"/>
              <w:bottom w:val="single" w:sz="4" w:space="0" w:color="auto"/>
              <w:right w:val="single" w:sz="4" w:space="0" w:color="auto"/>
            </w:tcBorders>
            <w:noWrap/>
            <w:vAlign w:val="bottom"/>
          </w:tcPr>
          <w:p w14:paraId="4FA78AC6" w14:textId="77777777" w:rsidR="003561E1" w:rsidRPr="001E23E1" w:rsidRDefault="003561E1" w:rsidP="006A2ECE">
            <w:pPr>
              <w:jc w:val="both"/>
            </w:pPr>
            <w:r>
              <w:t>01.01.2016.</w:t>
            </w:r>
          </w:p>
        </w:tc>
        <w:tc>
          <w:tcPr>
            <w:tcW w:w="2512" w:type="dxa"/>
            <w:tcBorders>
              <w:top w:val="single" w:sz="4" w:space="0" w:color="auto"/>
              <w:left w:val="nil"/>
              <w:bottom w:val="single" w:sz="4" w:space="0" w:color="auto"/>
              <w:right w:val="single" w:sz="4" w:space="0" w:color="auto"/>
            </w:tcBorders>
            <w:noWrap/>
            <w:vAlign w:val="center"/>
          </w:tcPr>
          <w:p w14:paraId="6983BF85" w14:textId="77777777" w:rsidR="003561E1" w:rsidRPr="001E23E1" w:rsidRDefault="003561E1" w:rsidP="006A2ECE">
            <w:pPr>
              <w:jc w:val="center"/>
            </w:pPr>
            <w:r>
              <w:t>28</w:t>
            </w:r>
          </w:p>
        </w:tc>
        <w:tc>
          <w:tcPr>
            <w:tcW w:w="2160" w:type="dxa"/>
            <w:tcBorders>
              <w:top w:val="single" w:sz="4" w:space="0" w:color="auto"/>
              <w:left w:val="nil"/>
              <w:bottom w:val="single" w:sz="4" w:space="0" w:color="auto"/>
              <w:right w:val="single" w:sz="4" w:space="0" w:color="auto"/>
            </w:tcBorders>
            <w:noWrap/>
            <w:vAlign w:val="center"/>
          </w:tcPr>
          <w:p w14:paraId="7E57393D" w14:textId="77777777" w:rsidR="003561E1" w:rsidRPr="001E23E1" w:rsidRDefault="003561E1" w:rsidP="003561E1">
            <w:pPr>
              <w:jc w:val="center"/>
            </w:pPr>
            <w:r>
              <w:t>243</w:t>
            </w:r>
          </w:p>
        </w:tc>
        <w:tc>
          <w:tcPr>
            <w:tcW w:w="2700" w:type="dxa"/>
            <w:tcBorders>
              <w:top w:val="single" w:sz="4" w:space="0" w:color="auto"/>
              <w:left w:val="nil"/>
              <w:bottom w:val="single" w:sz="4" w:space="0" w:color="auto"/>
              <w:right w:val="single" w:sz="4" w:space="0" w:color="auto"/>
            </w:tcBorders>
            <w:noWrap/>
            <w:vAlign w:val="center"/>
          </w:tcPr>
          <w:p w14:paraId="733BD6E3" w14:textId="77777777" w:rsidR="003561E1" w:rsidRPr="001E23E1" w:rsidRDefault="003561E1" w:rsidP="006A2ECE">
            <w:pPr>
              <w:jc w:val="center"/>
            </w:pPr>
            <w:r>
              <w:t>271</w:t>
            </w:r>
          </w:p>
        </w:tc>
      </w:tr>
    </w:tbl>
    <w:p w14:paraId="45A0F951" w14:textId="77777777" w:rsidR="00D454E9" w:rsidRDefault="00D454E9" w:rsidP="00663DD2">
      <w:pPr>
        <w:tabs>
          <w:tab w:val="left" w:pos="720"/>
        </w:tabs>
        <w:ind w:firstLine="720"/>
        <w:jc w:val="both"/>
        <w:rPr>
          <w:sz w:val="16"/>
          <w:szCs w:val="16"/>
        </w:rPr>
      </w:pPr>
    </w:p>
    <w:p w14:paraId="4B897F60" w14:textId="77777777" w:rsidR="00C02CAA" w:rsidRPr="00D454E9" w:rsidRDefault="00C02CAA" w:rsidP="00663DD2">
      <w:pPr>
        <w:tabs>
          <w:tab w:val="left" w:pos="720"/>
        </w:tabs>
        <w:ind w:firstLine="720"/>
        <w:jc w:val="both"/>
        <w:rPr>
          <w:sz w:val="20"/>
          <w:szCs w:val="20"/>
        </w:rPr>
      </w:pPr>
      <w:r w:rsidRPr="00D454E9">
        <w:rPr>
          <w:sz w:val="20"/>
          <w:szCs w:val="20"/>
        </w:rPr>
        <w:t>* informācija pieejama par norādītajiem datumiem. Sākot no 2015.gada 1.janvāra, dati uz pirmo gada dienu tiks fiksēti, jo Maksātnespējas administrācijai ir jānorāda šo procesu samazinājuma progress kā viens no iestādes darbības rezultatīvajiem rādītājiem.</w:t>
      </w:r>
    </w:p>
    <w:p w14:paraId="74E875BD" w14:textId="77777777" w:rsidR="00C02CAA" w:rsidRPr="001E23E1" w:rsidRDefault="00C02CAA" w:rsidP="001852BD">
      <w:pPr>
        <w:pStyle w:val="Heading3"/>
        <w:numPr>
          <w:ilvl w:val="0"/>
          <w:numId w:val="0"/>
        </w:numPr>
        <w:spacing w:before="0" w:after="0"/>
        <w:jc w:val="center"/>
        <w:rPr>
          <w:rFonts w:ascii="Times New Roman" w:hAnsi="Times New Roman" w:cs="Times New Roman"/>
          <w:sz w:val="28"/>
          <w:szCs w:val="28"/>
        </w:rPr>
      </w:pPr>
      <w:bookmarkStart w:id="26" w:name="_Toc410048279"/>
      <w:bookmarkStart w:id="27" w:name="_Toc414279024"/>
    </w:p>
    <w:p w14:paraId="14F9DB22" w14:textId="77777777" w:rsidR="00C02CAA" w:rsidRPr="00D454E9" w:rsidRDefault="00684B18" w:rsidP="00D454E9">
      <w:pPr>
        <w:pStyle w:val="Heading3"/>
        <w:numPr>
          <w:ilvl w:val="0"/>
          <w:numId w:val="0"/>
        </w:numPr>
        <w:spacing w:before="0" w:after="0"/>
        <w:ind w:firstLine="720"/>
        <w:jc w:val="both"/>
        <w:rPr>
          <w:rFonts w:ascii="Times New Roman" w:hAnsi="Times New Roman" w:cs="Times New Roman"/>
          <w:sz w:val="24"/>
          <w:szCs w:val="24"/>
        </w:rPr>
      </w:pPr>
      <w:bookmarkStart w:id="28" w:name="_Toc453263310"/>
      <w:r w:rsidRPr="00D454E9">
        <w:rPr>
          <w:rFonts w:ascii="Times New Roman" w:hAnsi="Times New Roman" w:cs="Times New Roman"/>
          <w:sz w:val="24"/>
          <w:szCs w:val="24"/>
        </w:rPr>
        <w:t>1</w:t>
      </w:r>
      <w:r w:rsidR="00C02CAA" w:rsidRPr="00D454E9">
        <w:rPr>
          <w:rFonts w:ascii="Times New Roman" w:hAnsi="Times New Roman" w:cs="Times New Roman"/>
          <w:sz w:val="24"/>
          <w:szCs w:val="24"/>
        </w:rPr>
        <w:t>.3. Maksātnespējas procesa izmaksu 201</w:t>
      </w:r>
      <w:r w:rsidR="00CE48E3" w:rsidRPr="00D454E9">
        <w:rPr>
          <w:rFonts w:ascii="Times New Roman" w:hAnsi="Times New Roman" w:cs="Times New Roman"/>
          <w:sz w:val="24"/>
          <w:szCs w:val="24"/>
        </w:rPr>
        <w:t>6</w:t>
      </w:r>
      <w:r w:rsidR="00C02CAA" w:rsidRPr="00D454E9">
        <w:rPr>
          <w:rFonts w:ascii="Times New Roman" w:hAnsi="Times New Roman" w:cs="Times New Roman"/>
          <w:sz w:val="24"/>
          <w:szCs w:val="24"/>
        </w:rPr>
        <w:t>.gada plānotais budžets</w:t>
      </w:r>
      <w:bookmarkEnd w:id="26"/>
      <w:bookmarkEnd w:id="27"/>
      <w:bookmarkEnd w:id="28"/>
    </w:p>
    <w:p w14:paraId="50586A69" w14:textId="77777777" w:rsidR="00CF0F35" w:rsidRPr="00D454E9" w:rsidRDefault="00C02CAA" w:rsidP="00D454E9">
      <w:pPr>
        <w:ind w:firstLine="720"/>
        <w:jc w:val="both"/>
      </w:pPr>
      <w:r w:rsidRPr="00D454E9">
        <w:t>Likumā „Par valsts budžetu 201</w:t>
      </w:r>
      <w:r w:rsidR="00CE48E3" w:rsidRPr="00D454E9">
        <w:t>6</w:t>
      </w:r>
      <w:r w:rsidRPr="00D454E9">
        <w:t>.gadam” apakšprogrammu „Maksātnespējas procesa izmaksas” veido</w:t>
      </w:r>
      <w:r w:rsidR="00A471D0" w:rsidRPr="00D454E9">
        <w:t xml:space="preserve"> </w:t>
      </w:r>
      <w:r w:rsidRPr="00D454E9">
        <w:t xml:space="preserve">plānotie ieņēmumi no </w:t>
      </w:r>
      <w:r w:rsidR="00345975" w:rsidRPr="00D454E9">
        <w:t xml:space="preserve">atgūtajiem līdzekļiem </w:t>
      </w:r>
      <w:r w:rsidR="00164015" w:rsidRPr="00D454E9">
        <w:t xml:space="preserve">4 000 </w:t>
      </w:r>
      <w:r w:rsidR="00164015" w:rsidRPr="00D454E9">
        <w:rPr>
          <w:i/>
        </w:rPr>
        <w:t>euro</w:t>
      </w:r>
      <w:r w:rsidR="00164015" w:rsidRPr="00D454E9">
        <w:t xml:space="preserve"> </w:t>
      </w:r>
      <w:r w:rsidRPr="00D454E9">
        <w:t xml:space="preserve">un izdevumi </w:t>
      </w:r>
      <w:r w:rsidR="00345975" w:rsidRPr="00D454E9">
        <w:t xml:space="preserve"> 97 720</w:t>
      </w:r>
      <w:r w:rsidR="00A223ED">
        <w:t> </w:t>
      </w:r>
      <w:r w:rsidRPr="00D454E9">
        <w:rPr>
          <w:i/>
        </w:rPr>
        <w:t>euro</w:t>
      </w:r>
      <w:r w:rsidRPr="00D454E9">
        <w:t xml:space="preserve"> apmērā</w:t>
      </w:r>
      <w:r w:rsidR="00961404" w:rsidRPr="00D454E9">
        <w:t xml:space="preserve"> </w:t>
      </w:r>
      <w:r w:rsidRPr="00D454E9">
        <w:t xml:space="preserve">(skatīt </w:t>
      </w:r>
      <w:r w:rsidR="00684B18" w:rsidRPr="00D454E9">
        <w:t>7</w:t>
      </w:r>
      <w:r w:rsidRPr="00D454E9">
        <w:t>.tabulu)</w:t>
      </w:r>
      <w:r w:rsidR="00F00433" w:rsidRPr="00D454E9">
        <w:t xml:space="preserve">, starpība 93 720 </w:t>
      </w:r>
      <w:r w:rsidR="00F00433" w:rsidRPr="00D454E9">
        <w:rPr>
          <w:i/>
        </w:rPr>
        <w:t>euro</w:t>
      </w:r>
      <w:r w:rsidR="00F00433" w:rsidRPr="00D454E9">
        <w:t xml:space="preserve"> apmērā tiek segta no iepriekšējo gadu atlikuma</w:t>
      </w:r>
      <w:r w:rsidRPr="00D454E9">
        <w:t>. 201</w:t>
      </w:r>
      <w:r w:rsidR="0039420A" w:rsidRPr="00D454E9">
        <w:t>6</w:t>
      </w:r>
      <w:r w:rsidRPr="00D454E9">
        <w:t xml:space="preserve">.gada plānotie ieņēmumi un izdevumi </w:t>
      </w:r>
      <w:r w:rsidR="0039420A" w:rsidRPr="00D454E9">
        <w:t>97</w:t>
      </w:r>
      <w:r w:rsidR="00A223ED">
        <w:t> </w:t>
      </w:r>
      <w:r w:rsidR="0039420A" w:rsidRPr="00D454E9">
        <w:t>720</w:t>
      </w:r>
      <w:r w:rsidRPr="00D454E9">
        <w:t xml:space="preserve"> </w:t>
      </w:r>
      <w:r w:rsidRPr="00D454E9">
        <w:rPr>
          <w:i/>
        </w:rPr>
        <w:t>euro</w:t>
      </w:r>
      <w:r w:rsidRPr="00D454E9">
        <w:t xml:space="preserve"> apmērā atbilst </w:t>
      </w:r>
      <w:r w:rsidR="00F85AF5" w:rsidRPr="00D454E9">
        <w:t>i</w:t>
      </w:r>
      <w:r w:rsidR="005516D0" w:rsidRPr="00D454E9">
        <w:t>nformatīvajam ziņojumam par 2016.–2018.gadu</w:t>
      </w:r>
      <w:r w:rsidR="00CF7CEE" w:rsidRPr="00D454E9">
        <w:t xml:space="preserve"> un</w:t>
      </w:r>
      <w:r w:rsidR="005516D0" w:rsidRPr="00D454E9">
        <w:t xml:space="preserve"> bāzes izdevumiem</w:t>
      </w:r>
      <w:r w:rsidRPr="00D454E9">
        <w:t>.</w:t>
      </w:r>
    </w:p>
    <w:p w14:paraId="6AF72DC9" w14:textId="77777777" w:rsidR="00CF0F35" w:rsidRPr="00D454E9" w:rsidRDefault="00CF0F35" w:rsidP="00D454E9">
      <w:pPr>
        <w:ind w:firstLine="720"/>
        <w:jc w:val="both"/>
      </w:pPr>
    </w:p>
    <w:p w14:paraId="27A46A96" w14:textId="77777777" w:rsidR="00C02CAA" w:rsidRPr="003B2D11" w:rsidRDefault="00684B18" w:rsidP="00D454E9">
      <w:pPr>
        <w:ind w:firstLine="720"/>
        <w:jc w:val="right"/>
        <w:rPr>
          <w:sz w:val="28"/>
          <w:szCs w:val="28"/>
        </w:rPr>
      </w:pPr>
      <w:r w:rsidRPr="00D454E9">
        <w:t>7</w:t>
      </w:r>
      <w:r w:rsidR="00C02CAA" w:rsidRPr="00D454E9">
        <w:t>.tabula</w:t>
      </w:r>
    </w:p>
    <w:p w14:paraId="6999CBFD" w14:textId="77777777" w:rsidR="00C02CAA" w:rsidRPr="001E23E1" w:rsidRDefault="00C02CAA" w:rsidP="00864C00">
      <w:pPr>
        <w:ind w:firstLine="720"/>
        <w:jc w:val="right"/>
        <w:rPr>
          <w:b/>
          <w:sz w:val="28"/>
          <w:szCs w:val="28"/>
        </w:rPr>
      </w:pPr>
    </w:p>
    <w:p w14:paraId="4C339E66" w14:textId="77777777" w:rsidR="00C02CAA" w:rsidRPr="00D454E9" w:rsidRDefault="00C02CAA" w:rsidP="00D454E9">
      <w:pPr>
        <w:tabs>
          <w:tab w:val="left" w:pos="540"/>
        </w:tabs>
        <w:spacing w:after="120"/>
        <w:jc w:val="center"/>
        <w:rPr>
          <w:b/>
        </w:rPr>
      </w:pPr>
      <w:r w:rsidRPr="00D454E9">
        <w:rPr>
          <w:b/>
        </w:rPr>
        <w:t>Plānotie ieņēmumi un izdevumi maksātnespējas procesa izmaksām 201</w:t>
      </w:r>
      <w:r w:rsidR="00837708" w:rsidRPr="00D454E9">
        <w:rPr>
          <w:b/>
        </w:rPr>
        <w:t>6</w:t>
      </w:r>
      <w:r w:rsidRPr="00D454E9">
        <w:rPr>
          <w:b/>
        </w:rPr>
        <w:t>.gadā</w:t>
      </w:r>
    </w:p>
    <w:tbl>
      <w:tblPr>
        <w:tblW w:w="7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3"/>
        <w:gridCol w:w="1391"/>
      </w:tblGrid>
      <w:tr w:rsidR="00C02CAA" w:rsidRPr="00D454E9" w14:paraId="16946453"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735081B3" w14:textId="77777777" w:rsidR="00C02CAA" w:rsidRPr="00D454E9" w:rsidRDefault="00C02CAA" w:rsidP="006C61DC">
            <w:pPr>
              <w:tabs>
                <w:tab w:val="left" w:pos="540"/>
              </w:tabs>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28C9747" w14:textId="77777777" w:rsidR="00C02CAA" w:rsidRPr="00D454E9" w:rsidRDefault="00C02CAA" w:rsidP="00D454E9">
            <w:pPr>
              <w:tabs>
                <w:tab w:val="left" w:pos="540"/>
              </w:tabs>
              <w:jc w:val="center"/>
              <w:rPr>
                <w:b/>
              </w:rPr>
            </w:pPr>
            <w:r w:rsidRPr="00D454E9">
              <w:rPr>
                <w:b/>
              </w:rPr>
              <w:t>201</w:t>
            </w:r>
            <w:r w:rsidR="00B704D0" w:rsidRPr="00D454E9">
              <w:rPr>
                <w:b/>
              </w:rPr>
              <w:t>6</w:t>
            </w:r>
            <w:r w:rsidRPr="00D454E9">
              <w:rPr>
                <w:b/>
              </w:rPr>
              <w:t>.gads</w:t>
            </w:r>
          </w:p>
        </w:tc>
      </w:tr>
      <w:tr w:rsidR="00C02CAA" w:rsidRPr="00D454E9" w14:paraId="429ED049"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55D97C6C" w14:textId="77777777" w:rsidR="00C02CAA" w:rsidRPr="00D454E9" w:rsidRDefault="00C02CAA" w:rsidP="006C61DC">
            <w:pPr>
              <w:numPr>
                <w:ilvl w:val="0"/>
                <w:numId w:val="36"/>
              </w:numPr>
              <w:tabs>
                <w:tab w:val="left" w:pos="142"/>
              </w:tabs>
              <w:ind w:left="284" w:hanging="284"/>
              <w:rPr>
                <w:b/>
              </w:rPr>
            </w:pPr>
            <w:r w:rsidRPr="00D454E9">
              <w:rPr>
                <w:b/>
              </w:rPr>
              <w:t xml:space="preserve">Ieņēmumi </w:t>
            </w:r>
          </w:p>
        </w:tc>
        <w:tc>
          <w:tcPr>
            <w:tcW w:w="1391" w:type="dxa"/>
            <w:tcBorders>
              <w:top w:val="single" w:sz="4" w:space="0" w:color="auto"/>
              <w:left w:val="single" w:sz="4" w:space="0" w:color="auto"/>
              <w:bottom w:val="single" w:sz="4" w:space="0" w:color="auto"/>
              <w:right w:val="single" w:sz="4" w:space="0" w:color="auto"/>
            </w:tcBorders>
          </w:tcPr>
          <w:p w14:paraId="138724E3" w14:textId="77777777" w:rsidR="00C02CAA" w:rsidRPr="00D454E9" w:rsidRDefault="008C6758" w:rsidP="00D454E9">
            <w:pPr>
              <w:tabs>
                <w:tab w:val="left" w:pos="540"/>
              </w:tabs>
              <w:jc w:val="center"/>
              <w:rPr>
                <w:b/>
              </w:rPr>
            </w:pPr>
            <w:r w:rsidRPr="00D454E9">
              <w:rPr>
                <w:b/>
              </w:rPr>
              <w:t>4 000</w:t>
            </w:r>
          </w:p>
        </w:tc>
      </w:tr>
      <w:tr w:rsidR="00C02CAA" w:rsidRPr="00D454E9" w14:paraId="5588AB11"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61A966B8" w14:textId="77777777" w:rsidR="00C02CAA" w:rsidRPr="00D454E9" w:rsidRDefault="00C02CAA" w:rsidP="00CE3806">
            <w:pPr>
              <w:numPr>
                <w:ilvl w:val="0"/>
                <w:numId w:val="36"/>
              </w:numPr>
              <w:tabs>
                <w:tab w:val="left" w:pos="284"/>
              </w:tabs>
              <w:ind w:left="284" w:hanging="284"/>
              <w:rPr>
                <w:b/>
              </w:rPr>
            </w:pPr>
            <w:r w:rsidRPr="00D454E9">
              <w:rPr>
                <w:b/>
              </w:rPr>
              <w:t>Izdevumi – kopā (</w:t>
            </w:r>
            <w:r w:rsidR="00CE3806" w:rsidRPr="00D454E9">
              <w:rPr>
                <w:b/>
              </w:rPr>
              <w:t>4</w:t>
            </w:r>
            <w:r w:rsidRPr="00D454E9">
              <w:rPr>
                <w:b/>
              </w:rPr>
              <w:t>+</w:t>
            </w:r>
            <w:r w:rsidR="00CE3806" w:rsidRPr="00D454E9">
              <w:rPr>
                <w:b/>
              </w:rPr>
              <w:t>6</w:t>
            </w:r>
            <w:r w:rsidRPr="00D454E9">
              <w:rPr>
                <w:b/>
              </w:rPr>
              <w:t>+</w:t>
            </w:r>
            <w:r w:rsidR="00CE3806" w:rsidRPr="00D454E9">
              <w:rPr>
                <w:b/>
              </w:rPr>
              <w:t>7+8</w:t>
            </w:r>
            <w:r w:rsidRPr="00D454E9">
              <w:rPr>
                <w:b/>
              </w:rPr>
              <w:t>)</w:t>
            </w:r>
          </w:p>
        </w:tc>
        <w:tc>
          <w:tcPr>
            <w:tcW w:w="1391" w:type="dxa"/>
            <w:tcBorders>
              <w:top w:val="single" w:sz="4" w:space="0" w:color="auto"/>
              <w:left w:val="single" w:sz="4" w:space="0" w:color="auto"/>
              <w:bottom w:val="single" w:sz="4" w:space="0" w:color="auto"/>
              <w:right w:val="single" w:sz="4" w:space="0" w:color="auto"/>
            </w:tcBorders>
          </w:tcPr>
          <w:p w14:paraId="3AD697C1" w14:textId="77777777" w:rsidR="00C02CAA" w:rsidRPr="00D454E9" w:rsidRDefault="00CE3806" w:rsidP="00D454E9">
            <w:pPr>
              <w:tabs>
                <w:tab w:val="left" w:pos="540"/>
              </w:tabs>
              <w:jc w:val="center"/>
              <w:rPr>
                <w:b/>
              </w:rPr>
            </w:pPr>
            <w:r w:rsidRPr="00D454E9">
              <w:rPr>
                <w:b/>
              </w:rPr>
              <w:t>97 720</w:t>
            </w:r>
          </w:p>
        </w:tc>
      </w:tr>
      <w:tr w:rsidR="00C02CAA" w:rsidRPr="00D454E9" w14:paraId="15F14BBE"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771790DA" w14:textId="77777777" w:rsidR="00C02CAA" w:rsidRPr="00D454E9" w:rsidRDefault="00C02CAA" w:rsidP="006F33CB">
            <w:pPr>
              <w:numPr>
                <w:ilvl w:val="0"/>
                <w:numId w:val="36"/>
              </w:numPr>
              <w:tabs>
                <w:tab w:val="left" w:pos="284"/>
              </w:tabs>
              <w:ind w:left="284" w:hanging="284"/>
            </w:pPr>
            <w:r w:rsidRPr="00D454E9">
              <w:t>Maksātnespējas procesa izdevumu segšana, komersantu skaits</w:t>
            </w:r>
          </w:p>
        </w:tc>
        <w:tc>
          <w:tcPr>
            <w:tcW w:w="1391" w:type="dxa"/>
            <w:tcBorders>
              <w:top w:val="single" w:sz="4" w:space="0" w:color="auto"/>
              <w:left w:val="single" w:sz="4" w:space="0" w:color="auto"/>
              <w:bottom w:val="single" w:sz="4" w:space="0" w:color="auto"/>
              <w:right w:val="single" w:sz="4" w:space="0" w:color="auto"/>
            </w:tcBorders>
          </w:tcPr>
          <w:p w14:paraId="5E1CE7B1" w14:textId="77777777" w:rsidR="00C02CAA" w:rsidRPr="00D454E9" w:rsidRDefault="00CE3806" w:rsidP="00D454E9">
            <w:pPr>
              <w:tabs>
                <w:tab w:val="left" w:pos="540"/>
              </w:tabs>
              <w:jc w:val="center"/>
            </w:pPr>
            <w:r w:rsidRPr="00D454E9">
              <w:t>17</w:t>
            </w:r>
          </w:p>
        </w:tc>
      </w:tr>
      <w:tr w:rsidR="00C02CAA" w:rsidRPr="00D454E9" w14:paraId="7FA654EC"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64F374B7" w14:textId="77777777" w:rsidR="00C02CAA" w:rsidRPr="00D454E9" w:rsidRDefault="00C02CAA" w:rsidP="006C61DC">
            <w:pPr>
              <w:numPr>
                <w:ilvl w:val="0"/>
                <w:numId w:val="36"/>
              </w:numPr>
              <w:tabs>
                <w:tab w:val="left" w:pos="284"/>
              </w:tabs>
              <w:ind w:left="284" w:hanging="284"/>
            </w:pPr>
            <w:r w:rsidRPr="00D454E9">
              <w:t xml:space="preserve">Summa maksātnespējas procesa izdevumiem gadā, </w:t>
            </w:r>
            <w:r w:rsidRPr="00D454E9">
              <w:rPr>
                <w:i/>
              </w:rPr>
              <w:t>euro</w:t>
            </w:r>
          </w:p>
        </w:tc>
        <w:tc>
          <w:tcPr>
            <w:tcW w:w="1391" w:type="dxa"/>
            <w:tcBorders>
              <w:top w:val="single" w:sz="4" w:space="0" w:color="auto"/>
              <w:left w:val="single" w:sz="4" w:space="0" w:color="auto"/>
              <w:bottom w:val="single" w:sz="4" w:space="0" w:color="auto"/>
              <w:right w:val="single" w:sz="4" w:space="0" w:color="auto"/>
            </w:tcBorders>
          </w:tcPr>
          <w:p w14:paraId="6AD16F43" w14:textId="77777777" w:rsidR="00C02CAA" w:rsidRPr="00D454E9" w:rsidRDefault="00CE3806" w:rsidP="00D454E9">
            <w:pPr>
              <w:tabs>
                <w:tab w:val="left" w:pos="540"/>
              </w:tabs>
              <w:jc w:val="center"/>
            </w:pPr>
            <w:r w:rsidRPr="00D454E9">
              <w:t>2 414</w:t>
            </w:r>
          </w:p>
        </w:tc>
      </w:tr>
      <w:tr w:rsidR="00C02CAA" w:rsidRPr="00D454E9" w14:paraId="6FCD7FDD"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2B14DE0B" w14:textId="77777777" w:rsidR="00C02CAA" w:rsidRPr="00D454E9" w:rsidRDefault="00C02CAA" w:rsidP="006F33CB">
            <w:pPr>
              <w:numPr>
                <w:ilvl w:val="0"/>
                <w:numId w:val="36"/>
              </w:numPr>
              <w:tabs>
                <w:tab w:val="left" w:pos="284"/>
              </w:tabs>
              <w:ind w:left="284" w:hanging="284"/>
            </w:pPr>
            <w:r w:rsidRPr="00D454E9">
              <w:t>Maksātnespējas procesa administratoru atlīdzība segšana, komersantu skaits</w:t>
            </w:r>
          </w:p>
        </w:tc>
        <w:tc>
          <w:tcPr>
            <w:tcW w:w="1391" w:type="dxa"/>
            <w:tcBorders>
              <w:top w:val="single" w:sz="4" w:space="0" w:color="auto"/>
              <w:left w:val="single" w:sz="4" w:space="0" w:color="auto"/>
              <w:bottom w:val="single" w:sz="4" w:space="0" w:color="auto"/>
              <w:right w:val="single" w:sz="4" w:space="0" w:color="auto"/>
            </w:tcBorders>
          </w:tcPr>
          <w:p w14:paraId="5A970CA8" w14:textId="77777777" w:rsidR="00C02CAA" w:rsidRPr="00D454E9" w:rsidRDefault="00CE3806" w:rsidP="00D454E9">
            <w:pPr>
              <w:tabs>
                <w:tab w:val="left" w:pos="540"/>
              </w:tabs>
              <w:jc w:val="center"/>
            </w:pPr>
            <w:r w:rsidRPr="00D454E9">
              <w:t>154</w:t>
            </w:r>
          </w:p>
        </w:tc>
      </w:tr>
      <w:tr w:rsidR="00C02CAA" w:rsidRPr="00D454E9" w14:paraId="689B804B"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39AF44A3" w14:textId="77777777" w:rsidR="00C02CAA" w:rsidRPr="00D454E9" w:rsidRDefault="00C02CAA" w:rsidP="006C61DC">
            <w:pPr>
              <w:numPr>
                <w:ilvl w:val="0"/>
                <w:numId w:val="36"/>
              </w:numPr>
              <w:tabs>
                <w:tab w:val="left" w:pos="284"/>
              </w:tabs>
              <w:ind w:left="284" w:hanging="284"/>
            </w:pPr>
            <w:r w:rsidRPr="00D454E9">
              <w:t xml:space="preserve">Summa administratoru atlīdzībai gadā, </w:t>
            </w:r>
            <w:r w:rsidRPr="00D454E9">
              <w:rPr>
                <w:i/>
              </w:rPr>
              <w:t>euro</w:t>
            </w:r>
          </w:p>
        </w:tc>
        <w:tc>
          <w:tcPr>
            <w:tcW w:w="1391" w:type="dxa"/>
            <w:tcBorders>
              <w:top w:val="single" w:sz="4" w:space="0" w:color="auto"/>
              <w:left w:val="single" w:sz="4" w:space="0" w:color="auto"/>
              <w:bottom w:val="single" w:sz="4" w:space="0" w:color="auto"/>
              <w:right w:val="single" w:sz="4" w:space="0" w:color="auto"/>
            </w:tcBorders>
          </w:tcPr>
          <w:p w14:paraId="13E8E4BA" w14:textId="77777777" w:rsidR="00C02CAA" w:rsidRPr="00D454E9" w:rsidRDefault="00CE3806" w:rsidP="00D454E9">
            <w:pPr>
              <w:tabs>
                <w:tab w:val="left" w:pos="540"/>
              </w:tabs>
              <w:jc w:val="center"/>
            </w:pPr>
            <w:r w:rsidRPr="00D454E9">
              <w:t>87 626</w:t>
            </w:r>
          </w:p>
        </w:tc>
      </w:tr>
      <w:tr w:rsidR="00C02CAA" w:rsidRPr="00D454E9" w14:paraId="2011332B"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3095BD73" w14:textId="77777777" w:rsidR="00C02CAA" w:rsidRPr="00D454E9" w:rsidRDefault="00C02CAA" w:rsidP="006C61DC">
            <w:pPr>
              <w:numPr>
                <w:ilvl w:val="0"/>
                <w:numId w:val="36"/>
              </w:numPr>
              <w:tabs>
                <w:tab w:val="left" w:pos="284"/>
              </w:tabs>
              <w:ind w:left="284" w:hanging="284"/>
            </w:pPr>
            <w:r w:rsidRPr="00D454E9">
              <w:t>Administratora atlīdzība par darbinieku prasījumu iesniegšanu</w:t>
            </w:r>
          </w:p>
        </w:tc>
        <w:tc>
          <w:tcPr>
            <w:tcW w:w="1391" w:type="dxa"/>
            <w:tcBorders>
              <w:top w:val="single" w:sz="4" w:space="0" w:color="auto"/>
              <w:left w:val="single" w:sz="4" w:space="0" w:color="auto"/>
              <w:bottom w:val="single" w:sz="4" w:space="0" w:color="auto"/>
              <w:right w:val="single" w:sz="4" w:space="0" w:color="auto"/>
            </w:tcBorders>
          </w:tcPr>
          <w:p w14:paraId="7B91B672" w14:textId="77777777" w:rsidR="00C02CAA" w:rsidRPr="00D454E9" w:rsidRDefault="00CE3806" w:rsidP="00D454E9">
            <w:pPr>
              <w:tabs>
                <w:tab w:val="left" w:pos="540"/>
              </w:tabs>
              <w:jc w:val="center"/>
            </w:pPr>
            <w:r w:rsidRPr="00D454E9">
              <w:t>3 360</w:t>
            </w:r>
          </w:p>
        </w:tc>
      </w:tr>
      <w:tr w:rsidR="00CE3806" w:rsidRPr="00D454E9" w14:paraId="348D365C"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4EE4C6EC" w14:textId="77777777" w:rsidR="00CE3806" w:rsidRPr="00D454E9" w:rsidRDefault="00CE3806" w:rsidP="006C61DC">
            <w:pPr>
              <w:numPr>
                <w:ilvl w:val="0"/>
                <w:numId w:val="36"/>
              </w:numPr>
              <w:tabs>
                <w:tab w:val="left" w:pos="284"/>
              </w:tabs>
              <w:ind w:left="284" w:hanging="284"/>
            </w:pPr>
            <w:r w:rsidRPr="00D454E9">
              <w:t>Depozīts</w:t>
            </w:r>
          </w:p>
        </w:tc>
        <w:tc>
          <w:tcPr>
            <w:tcW w:w="1391" w:type="dxa"/>
            <w:tcBorders>
              <w:top w:val="single" w:sz="4" w:space="0" w:color="auto"/>
              <w:left w:val="single" w:sz="4" w:space="0" w:color="auto"/>
              <w:bottom w:val="single" w:sz="4" w:space="0" w:color="auto"/>
              <w:right w:val="single" w:sz="4" w:space="0" w:color="auto"/>
            </w:tcBorders>
          </w:tcPr>
          <w:p w14:paraId="39B01E75" w14:textId="77777777" w:rsidR="00CE3806" w:rsidRPr="00D454E9" w:rsidRDefault="00CE3806" w:rsidP="00D454E9">
            <w:pPr>
              <w:tabs>
                <w:tab w:val="left" w:pos="540"/>
              </w:tabs>
              <w:jc w:val="center"/>
            </w:pPr>
            <w:r w:rsidRPr="00D454E9">
              <w:t>4 320</w:t>
            </w:r>
          </w:p>
        </w:tc>
      </w:tr>
      <w:tr w:rsidR="00EB6CA6" w:rsidRPr="00D454E9" w14:paraId="667134A7" w14:textId="77777777" w:rsidTr="00D454E9">
        <w:trPr>
          <w:jc w:val="center"/>
        </w:trPr>
        <w:tc>
          <w:tcPr>
            <w:tcW w:w="5973" w:type="dxa"/>
            <w:tcBorders>
              <w:top w:val="single" w:sz="4" w:space="0" w:color="auto"/>
              <w:left w:val="single" w:sz="4" w:space="0" w:color="auto"/>
              <w:bottom w:val="single" w:sz="4" w:space="0" w:color="auto"/>
              <w:right w:val="single" w:sz="4" w:space="0" w:color="auto"/>
            </w:tcBorders>
          </w:tcPr>
          <w:p w14:paraId="286B48AE" w14:textId="77777777" w:rsidR="00EB6CA6" w:rsidRPr="00D454E9" w:rsidRDefault="00EB6CA6" w:rsidP="00EB6CA6">
            <w:pPr>
              <w:numPr>
                <w:ilvl w:val="0"/>
                <w:numId w:val="36"/>
              </w:numPr>
              <w:tabs>
                <w:tab w:val="left" w:pos="284"/>
              </w:tabs>
              <w:ind w:left="284" w:hanging="284"/>
              <w:rPr>
                <w:b/>
              </w:rPr>
            </w:pPr>
            <w:r w:rsidRPr="00D454E9">
              <w:rPr>
                <w:b/>
              </w:rPr>
              <w:t>Finansēšana no uzkrātā iepriekšējo gadu atlikuma</w:t>
            </w:r>
          </w:p>
        </w:tc>
        <w:tc>
          <w:tcPr>
            <w:tcW w:w="1391" w:type="dxa"/>
            <w:tcBorders>
              <w:top w:val="single" w:sz="4" w:space="0" w:color="auto"/>
              <w:left w:val="single" w:sz="4" w:space="0" w:color="auto"/>
              <w:bottom w:val="single" w:sz="4" w:space="0" w:color="auto"/>
              <w:right w:val="single" w:sz="4" w:space="0" w:color="auto"/>
            </w:tcBorders>
          </w:tcPr>
          <w:p w14:paraId="36D00C36" w14:textId="77777777" w:rsidR="00EB6CA6" w:rsidRPr="00D454E9" w:rsidRDefault="00EB6CA6" w:rsidP="00D454E9">
            <w:pPr>
              <w:tabs>
                <w:tab w:val="left" w:pos="540"/>
              </w:tabs>
              <w:jc w:val="center"/>
              <w:rPr>
                <w:b/>
              </w:rPr>
            </w:pPr>
            <w:r w:rsidRPr="00D454E9">
              <w:rPr>
                <w:b/>
              </w:rPr>
              <w:t>93 720</w:t>
            </w:r>
          </w:p>
        </w:tc>
      </w:tr>
    </w:tbl>
    <w:p w14:paraId="1FFDDDFC" w14:textId="77777777" w:rsidR="00B04B47" w:rsidRDefault="00B04B47" w:rsidP="00D454E9">
      <w:pPr>
        <w:pStyle w:val="Heading2"/>
        <w:numPr>
          <w:ilvl w:val="0"/>
          <w:numId w:val="0"/>
        </w:numPr>
        <w:tabs>
          <w:tab w:val="left" w:pos="567"/>
        </w:tabs>
        <w:spacing w:before="0" w:after="0"/>
        <w:ind w:firstLine="720"/>
        <w:jc w:val="both"/>
        <w:rPr>
          <w:rFonts w:ascii="Times New Roman" w:hAnsi="Times New Roman" w:cs="Times New Roman"/>
          <w:i w:val="0"/>
          <w:iCs w:val="0"/>
          <w:sz w:val="24"/>
          <w:szCs w:val="24"/>
        </w:rPr>
      </w:pPr>
      <w:bookmarkStart w:id="29" w:name="_Toc410048280"/>
      <w:bookmarkStart w:id="30" w:name="_Toc414279025"/>
      <w:bookmarkStart w:id="31" w:name="_Toc453263311"/>
    </w:p>
    <w:p w14:paraId="6939D4ED" w14:textId="77777777" w:rsidR="00C02CAA" w:rsidRPr="00D454E9" w:rsidRDefault="00BD033F" w:rsidP="00D454E9">
      <w:pPr>
        <w:pStyle w:val="Heading2"/>
        <w:numPr>
          <w:ilvl w:val="0"/>
          <w:numId w:val="0"/>
        </w:numPr>
        <w:tabs>
          <w:tab w:val="left" w:pos="567"/>
        </w:tabs>
        <w:spacing w:before="0" w:after="0"/>
        <w:ind w:firstLine="720"/>
        <w:jc w:val="both"/>
        <w:rPr>
          <w:rFonts w:ascii="Times New Roman" w:hAnsi="Times New Roman" w:cs="Times New Roman"/>
          <w:i w:val="0"/>
          <w:iCs w:val="0"/>
          <w:sz w:val="24"/>
          <w:szCs w:val="24"/>
        </w:rPr>
      </w:pPr>
      <w:r w:rsidRPr="00D454E9">
        <w:rPr>
          <w:rFonts w:ascii="Times New Roman" w:hAnsi="Times New Roman" w:cs="Times New Roman"/>
          <w:i w:val="0"/>
          <w:iCs w:val="0"/>
          <w:sz w:val="24"/>
          <w:szCs w:val="24"/>
        </w:rPr>
        <w:t>2</w:t>
      </w:r>
      <w:r w:rsidR="00C02CAA" w:rsidRPr="00D454E9">
        <w:rPr>
          <w:rFonts w:ascii="Times New Roman" w:hAnsi="Times New Roman" w:cs="Times New Roman"/>
          <w:i w:val="0"/>
          <w:iCs w:val="0"/>
          <w:sz w:val="24"/>
          <w:szCs w:val="24"/>
        </w:rPr>
        <w:t>. Budžeta apakšprogramma 06.03.00 „Maksātnespējas procesu</w:t>
      </w:r>
      <w:r w:rsidR="00652A22" w:rsidRPr="00D454E9">
        <w:rPr>
          <w:rFonts w:ascii="Times New Roman" w:hAnsi="Times New Roman" w:cs="Times New Roman"/>
          <w:i w:val="0"/>
          <w:iCs w:val="0"/>
          <w:sz w:val="24"/>
          <w:szCs w:val="24"/>
        </w:rPr>
        <w:t xml:space="preserve"> </w:t>
      </w:r>
      <w:r w:rsidR="00C02CAA" w:rsidRPr="00D454E9">
        <w:rPr>
          <w:rFonts w:ascii="Times New Roman" w:hAnsi="Times New Roman" w:cs="Times New Roman"/>
          <w:i w:val="0"/>
          <w:iCs w:val="0"/>
          <w:sz w:val="24"/>
          <w:szCs w:val="24"/>
        </w:rPr>
        <w:t xml:space="preserve">pārvaldība” (līdz 2014.gadam – 35.01.00 </w:t>
      </w:r>
      <w:r w:rsidR="00A223ED">
        <w:rPr>
          <w:rFonts w:ascii="Times New Roman" w:hAnsi="Times New Roman" w:cs="Times New Roman"/>
          <w:i w:val="0"/>
          <w:iCs w:val="0"/>
          <w:sz w:val="24"/>
          <w:szCs w:val="24"/>
        </w:rPr>
        <w:t>„</w:t>
      </w:r>
      <w:r w:rsidR="00C02CAA" w:rsidRPr="00D454E9">
        <w:rPr>
          <w:rFonts w:ascii="Times New Roman" w:hAnsi="Times New Roman" w:cs="Times New Roman"/>
          <w:i w:val="0"/>
          <w:iCs w:val="0"/>
          <w:sz w:val="24"/>
          <w:szCs w:val="24"/>
        </w:rPr>
        <w:t>Maksātnespējas administrācija</w:t>
      </w:r>
      <w:r w:rsidR="00A223ED">
        <w:rPr>
          <w:rFonts w:ascii="Times New Roman" w:hAnsi="Times New Roman" w:cs="Times New Roman"/>
          <w:i w:val="0"/>
          <w:iCs w:val="0"/>
          <w:sz w:val="24"/>
          <w:szCs w:val="24"/>
        </w:rPr>
        <w:t>”</w:t>
      </w:r>
      <w:r w:rsidR="00C02CAA" w:rsidRPr="00D454E9">
        <w:rPr>
          <w:rFonts w:ascii="Times New Roman" w:hAnsi="Times New Roman" w:cs="Times New Roman"/>
          <w:i w:val="0"/>
          <w:iCs w:val="0"/>
          <w:sz w:val="24"/>
          <w:szCs w:val="24"/>
        </w:rPr>
        <w:t>)</w:t>
      </w:r>
      <w:bookmarkEnd w:id="29"/>
      <w:bookmarkEnd w:id="30"/>
      <w:bookmarkEnd w:id="31"/>
    </w:p>
    <w:p w14:paraId="6AAA73C4" w14:textId="77777777" w:rsidR="00B04B47" w:rsidRDefault="00B04B47" w:rsidP="00D454E9">
      <w:pPr>
        <w:pStyle w:val="Heading3"/>
        <w:numPr>
          <w:ilvl w:val="0"/>
          <w:numId w:val="0"/>
        </w:numPr>
        <w:spacing w:before="0" w:after="0"/>
        <w:ind w:firstLine="720"/>
        <w:jc w:val="both"/>
        <w:rPr>
          <w:rFonts w:ascii="Times New Roman" w:hAnsi="Times New Roman" w:cs="Times New Roman"/>
          <w:sz w:val="24"/>
          <w:szCs w:val="24"/>
        </w:rPr>
      </w:pPr>
      <w:bookmarkStart w:id="32" w:name="_Toc410048281"/>
      <w:bookmarkStart w:id="33" w:name="_Toc414279026"/>
      <w:bookmarkStart w:id="34" w:name="_Toc453263312"/>
    </w:p>
    <w:p w14:paraId="28282715" w14:textId="77777777" w:rsidR="00C02CAA" w:rsidRPr="00D454E9" w:rsidRDefault="00BD033F" w:rsidP="00D454E9">
      <w:pPr>
        <w:pStyle w:val="Heading3"/>
        <w:numPr>
          <w:ilvl w:val="0"/>
          <w:numId w:val="0"/>
        </w:numPr>
        <w:spacing w:before="0" w:after="0"/>
        <w:ind w:firstLine="720"/>
        <w:jc w:val="both"/>
        <w:rPr>
          <w:rFonts w:ascii="Times New Roman" w:hAnsi="Times New Roman" w:cs="Times New Roman"/>
          <w:sz w:val="24"/>
          <w:szCs w:val="24"/>
        </w:rPr>
      </w:pPr>
      <w:r w:rsidRPr="00D454E9">
        <w:rPr>
          <w:rFonts w:ascii="Times New Roman" w:hAnsi="Times New Roman" w:cs="Times New Roman"/>
          <w:sz w:val="24"/>
          <w:szCs w:val="24"/>
        </w:rPr>
        <w:t>2</w:t>
      </w:r>
      <w:r w:rsidR="00C02CAA" w:rsidRPr="00D454E9">
        <w:rPr>
          <w:rFonts w:ascii="Times New Roman" w:hAnsi="Times New Roman" w:cs="Times New Roman"/>
          <w:sz w:val="24"/>
          <w:szCs w:val="24"/>
        </w:rPr>
        <w:t>.1. Budžeta apakšprogrammas „Maksātnespējas procesu</w:t>
      </w:r>
      <w:r w:rsidR="00652A22" w:rsidRPr="00D454E9">
        <w:rPr>
          <w:rFonts w:ascii="Times New Roman" w:hAnsi="Times New Roman" w:cs="Times New Roman"/>
          <w:sz w:val="24"/>
          <w:szCs w:val="24"/>
        </w:rPr>
        <w:t xml:space="preserve"> </w:t>
      </w:r>
      <w:r w:rsidR="00C02CAA" w:rsidRPr="00D454E9">
        <w:rPr>
          <w:rFonts w:ascii="Times New Roman" w:hAnsi="Times New Roman" w:cs="Times New Roman"/>
          <w:sz w:val="24"/>
          <w:szCs w:val="24"/>
        </w:rPr>
        <w:t>pārvaldība” mērķis</w:t>
      </w:r>
      <w:bookmarkEnd w:id="32"/>
      <w:bookmarkEnd w:id="33"/>
      <w:bookmarkEnd w:id="34"/>
    </w:p>
    <w:p w14:paraId="2770144A" w14:textId="77777777" w:rsidR="00C02CAA" w:rsidRPr="00D454E9" w:rsidRDefault="00206BA2" w:rsidP="00D454E9">
      <w:pPr>
        <w:tabs>
          <w:tab w:val="left" w:pos="720"/>
        </w:tabs>
        <w:ind w:firstLine="720"/>
        <w:jc w:val="both"/>
      </w:pPr>
      <w:r w:rsidRPr="00D454E9">
        <w:t xml:space="preserve">Budžeta apakšprogrammas 06.03.00 „Maksātnespējas procesu pārvaldība” (līdz 2014.gadam – 35.01.00 „Maksātnespējas administrācija”) (turpmāk– budžeta  apakšprogramma </w:t>
      </w:r>
      <w:r w:rsidRPr="00D454E9">
        <w:rPr>
          <w:iCs/>
        </w:rPr>
        <w:t xml:space="preserve">„Maksātnespējas procesa pārvaldība”) ietvaros Maksātnespējas administrācijas </w:t>
      </w:r>
      <w:r w:rsidRPr="00D454E9">
        <w:t>galvenais darbības mērķis ir nodrošināt likumīgu, efektīvu un pārskatāmu maksātnespējas un tiesiskās aizsardzības procesa norises gaitu un aizsargāt kreditoru kopuma intereses parādnieka ierobežotas maksātspējas vai maksātnespējas gadījumā.</w:t>
      </w:r>
    </w:p>
    <w:p w14:paraId="11C7358D" w14:textId="77777777" w:rsidR="00C02CAA" w:rsidRPr="00D454E9" w:rsidRDefault="00C02CAA" w:rsidP="00D454E9">
      <w:pPr>
        <w:pStyle w:val="Heading3"/>
        <w:numPr>
          <w:ilvl w:val="0"/>
          <w:numId w:val="0"/>
        </w:numPr>
        <w:spacing w:before="0" w:after="0"/>
        <w:ind w:firstLine="720"/>
        <w:jc w:val="both"/>
        <w:rPr>
          <w:rFonts w:ascii="Times New Roman" w:hAnsi="Times New Roman" w:cs="Times New Roman"/>
          <w:sz w:val="24"/>
          <w:szCs w:val="24"/>
        </w:rPr>
      </w:pPr>
      <w:bookmarkStart w:id="35" w:name="_Toc410048282"/>
      <w:bookmarkStart w:id="36" w:name="_Toc414279027"/>
    </w:p>
    <w:p w14:paraId="225E0D75" w14:textId="77777777" w:rsidR="00C02CAA" w:rsidRPr="00D454E9" w:rsidRDefault="00BD033F" w:rsidP="00D454E9">
      <w:pPr>
        <w:pStyle w:val="Heading3"/>
        <w:numPr>
          <w:ilvl w:val="0"/>
          <w:numId w:val="0"/>
        </w:numPr>
        <w:spacing w:before="0" w:after="0"/>
        <w:ind w:firstLine="720"/>
        <w:jc w:val="both"/>
        <w:rPr>
          <w:rFonts w:ascii="Times New Roman" w:hAnsi="Times New Roman" w:cs="Times New Roman"/>
          <w:sz w:val="24"/>
          <w:szCs w:val="24"/>
        </w:rPr>
      </w:pPr>
      <w:bookmarkStart w:id="37" w:name="_Toc453263313"/>
      <w:r w:rsidRPr="00D454E9">
        <w:rPr>
          <w:rFonts w:ascii="Times New Roman" w:hAnsi="Times New Roman" w:cs="Times New Roman"/>
          <w:sz w:val="24"/>
          <w:szCs w:val="24"/>
        </w:rPr>
        <w:t>2</w:t>
      </w:r>
      <w:r w:rsidR="00C02CAA" w:rsidRPr="00D454E9">
        <w:rPr>
          <w:rFonts w:ascii="Times New Roman" w:hAnsi="Times New Roman" w:cs="Times New Roman"/>
          <w:sz w:val="24"/>
          <w:szCs w:val="24"/>
        </w:rPr>
        <w:t>.2. Budžeta apakšprogrammas „Maksātnespējas procesu pārvaldība” finansēšana no URVN</w:t>
      </w:r>
      <w:r w:rsidR="00CD306D" w:rsidRPr="00D454E9">
        <w:rPr>
          <w:rFonts w:ascii="Times New Roman" w:hAnsi="Times New Roman" w:cs="Times New Roman"/>
          <w:sz w:val="24"/>
          <w:szCs w:val="24"/>
        </w:rPr>
        <w:t xml:space="preserve"> </w:t>
      </w:r>
      <w:r w:rsidR="00C02CAA" w:rsidRPr="00D454E9">
        <w:rPr>
          <w:rFonts w:ascii="Times New Roman" w:hAnsi="Times New Roman" w:cs="Times New Roman"/>
          <w:sz w:val="24"/>
          <w:szCs w:val="24"/>
        </w:rPr>
        <w:t>iepriekšējos gados</w:t>
      </w:r>
      <w:bookmarkEnd w:id="35"/>
      <w:bookmarkEnd w:id="36"/>
      <w:bookmarkEnd w:id="37"/>
    </w:p>
    <w:p w14:paraId="0D3713EE" w14:textId="77777777" w:rsidR="00C02CAA" w:rsidRPr="00D454E9" w:rsidRDefault="00C02CAA" w:rsidP="00D454E9">
      <w:pPr>
        <w:tabs>
          <w:tab w:val="left" w:pos="720"/>
        </w:tabs>
        <w:ind w:firstLine="720"/>
        <w:jc w:val="both"/>
      </w:pPr>
      <w:r w:rsidRPr="00D454E9">
        <w:t>Ieviešot URVN Latvijā no 2003.gada, jau sākotnēji tās ieņēmumi tika paredzēti ne tikai darbinieku prasījumu garantiju fonda finansēšanai, bet arī citiem ar maksātnespējas procesu</w:t>
      </w:r>
      <w:r w:rsidR="00CD306D" w:rsidRPr="00D454E9">
        <w:t xml:space="preserve"> </w:t>
      </w:r>
      <w:r w:rsidRPr="00D454E9">
        <w:t>saistītiem mērķiem. Darbinieku prasījumu garantiju fonds un maksātnespējas procesa izmaksas ir tikušas finansētas no URVN ieņēmumiem no 2003.</w:t>
      </w:r>
      <w:r w:rsidR="00575B76" w:rsidRPr="00D454E9">
        <w:t>gada</w:t>
      </w:r>
      <w:r w:rsidRPr="00D454E9">
        <w:t xml:space="preserve"> līdz pat 201</w:t>
      </w:r>
      <w:r w:rsidR="00CD306D" w:rsidRPr="00D454E9">
        <w:t>5</w:t>
      </w:r>
      <w:r w:rsidRPr="00D454E9">
        <w:t xml:space="preserve">.gadam, un </w:t>
      </w:r>
      <w:r w:rsidR="00712E13" w:rsidRPr="00D454E9">
        <w:t>d</w:t>
      </w:r>
      <w:r w:rsidR="00CD306D" w:rsidRPr="00D454E9">
        <w:t xml:space="preserve">arbinieku prasījumu garantiju fondu </w:t>
      </w:r>
      <w:r w:rsidRPr="00D454E9">
        <w:t xml:space="preserve">ir plānots </w:t>
      </w:r>
      <w:r w:rsidR="00CD306D" w:rsidRPr="00D454E9">
        <w:t xml:space="preserve">finansēt </w:t>
      </w:r>
      <w:r w:rsidRPr="00D454E9">
        <w:t>arī 201</w:t>
      </w:r>
      <w:r w:rsidR="00CD306D" w:rsidRPr="00D454E9">
        <w:t>6</w:t>
      </w:r>
      <w:r w:rsidRPr="00D454E9">
        <w:t>.gadā</w:t>
      </w:r>
      <w:r w:rsidR="00420457" w:rsidRPr="00D454E9">
        <w:t xml:space="preserve"> un turpmākajos gados</w:t>
      </w:r>
      <w:r w:rsidRPr="00D454E9">
        <w:t>.</w:t>
      </w:r>
      <w:r w:rsidR="00CD306D" w:rsidRPr="00D454E9">
        <w:t xml:space="preserve"> </w:t>
      </w:r>
      <w:r w:rsidRPr="00D454E9">
        <w:t>Darbinieku prasījumu garantiju fondam URVN ieņēmumi visus gadus attiecīgajā gadā plānotajā apmērā tik</w:t>
      </w:r>
      <w:r w:rsidR="008E32D9" w:rsidRPr="00D454E9">
        <w:t>a</w:t>
      </w:r>
      <w:r w:rsidRPr="00D454E9">
        <w:t xml:space="preserve"> piešķirti tiešā veidā, savukārt maksātnespējas procesa izmaksās no 2003. līdz 2007.gadam URVN ieņēmumi tik</w:t>
      </w:r>
      <w:r w:rsidR="008E32D9" w:rsidRPr="00D454E9">
        <w:t>a</w:t>
      </w:r>
      <w:r w:rsidRPr="00D454E9">
        <w:t xml:space="preserve"> novirzīti kā dotācija no vispārējiem ieņēmumiem attiecīgajā budžeta apakšprogrammā, bet sākot no 2008.gada tieši no URVN ieņēmumiem.</w:t>
      </w:r>
      <w:r w:rsidR="00712E13" w:rsidRPr="00D454E9">
        <w:t xml:space="preserve"> Sākot no 2016.gada saskaņā ar </w:t>
      </w:r>
      <w:r w:rsidR="00575B76" w:rsidRPr="00D454E9">
        <w:t>i</w:t>
      </w:r>
      <w:r w:rsidR="00712E13" w:rsidRPr="00D454E9">
        <w:t>nformatīvo ziņojumu par 2016.–2018.gadu, maksātnespējas procesa izmaksas no URVN vairs netiek finansētas.</w:t>
      </w:r>
    </w:p>
    <w:p w14:paraId="15043D72" w14:textId="77777777" w:rsidR="00C02CAA" w:rsidRPr="00D454E9" w:rsidRDefault="00C02CAA" w:rsidP="00D454E9">
      <w:pPr>
        <w:tabs>
          <w:tab w:val="left" w:pos="1134"/>
        </w:tabs>
        <w:ind w:firstLine="720"/>
        <w:jc w:val="both"/>
      </w:pPr>
      <w:r w:rsidRPr="00D454E9">
        <w:t>No URVN ieņēmumiem kā dotācija no vispārējiem ieņēmumiem attiecīgajā budžeta apakšprogrammā iepriekšējos gados tik</w:t>
      </w:r>
      <w:r w:rsidR="008E32D9" w:rsidRPr="00D454E9">
        <w:t>a</w:t>
      </w:r>
      <w:r w:rsidRPr="00D454E9">
        <w:t xml:space="preserve"> finansēti:</w:t>
      </w:r>
    </w:p>
    <w:p w14:paraId="5EB609CA" w14:textId="77777777" w:rsidR="00575B76" w:rsidRPr="00D454E9" w:rsidRDefault="00C02CAA" w:rsidP="00D454E9">
      <w:pPr>
        <w:numPr>
          <w:ilvl w:val="0"/>
          <w:numId w:val="27"/>
        </w:numPr>
        <w:tabs>
          <w:tab w:val="left" w:pos="1134"/>
        </w:tabs>
        <w:ind w:left="0" w:firstLine="720"/>
        <w:jc w:val="both"/>
      </w:pPr>
      <w:r w:rsidRPr="00D454E9">
        <w:t>Valsts ieņēmumu dienests 2003.</w:t>
      </w:r>
      <w:r w:rsidR="00A223ED">
        <w:t>–</w:t>
      </w:r>
      <w:r w:rsidRPr="00D454E9">
        <w:t>2007.gads;</w:t>
      </w:r>
    </w:p>
    <w:p w14:paraId="08A28040" w14:textId="77777777" w:rsidR="00575B76" w:rsidRPr="00D454E9" w:rsidRDefault="00C02CAA" w:rsidP="00D454E9">
      <w:pPr>
        <w:numPr>
          <w:ilvl w:val="0"/>
          <w:numId w:val="27"/>
        </w:numPr>
        <w:tabs>
          <w:tab w:val="left" w:pos="1134"/>
        </w:tabs>
        <w:ind w:left="0" w:firstLine="720"/>
        <w:jc w:val="both"/>
      </w:pPr>
      <w:r w:rsidRPr="00D454E9">
        <w:t>Tieslietu ministrija 2004.</w:t>
      </w:r>
      <w:r w:rsidR="00A223ED">
        <w:t>–</w:t>
      </w:r>
      <w:r w:rsidRPr="00D454E9">
        <w:t>2008.gads;</w:t>
      </w:r>
    </w:p>
    <w:p w14:paraId="5D1EC002" w14:textId="77777777" w:rsidR="00C02CAA" w:rsidRPr="00D454E9" w:rsidRDefault="00C02CAA" w:rsidP="00D454E9">
      <w:pPr>
        <w:numPr>
          <w:ilvl w:val="0"/>
          <w:numId w:val="27"/>
        </w:numPr>
        <w:tabs>
          <w:tab w:val="left" w:pos="1134"/>
        </w:tabs>
        <w:ind w:left="0" w:firstLine="720"/>
        <w:jc w:val="both"/>
      </w:pPr>
      <w:r w:rsidRPr="00D454E9">
        <w:t>Maksātnespējas administrācija 2003.</w:t>
      </w:r>
      <w:r w:rsidR="00A223ED">
        <w:t>–</w:t>
      </w:r>
      <w:r w:rsidRPr="00D454E9">
        <w:t>2011.gads.</w:t>
      </w:r>
    </w:p>
    <w:p w14:paraId="7FB905BB" w14:textId="77777777" w:rsidR="002F29E3" w:rsidRPr="00D454E9" w:rsidRDefault="00C02CAA" w:rsidP="00D454E9">
      <w:pPr>
        <w:tabs>
          <w:tab w:val="left" w:pos="1134"/>
        </w:tabs>
        <w:ind w:firstLine="720"/>
        <w:jc w:val="both"/>
      </w:pPr>
      <w:r w:rsidRPr="00D454E9">
        <w:t>Attiecībā uz</w:t>
      </w:r>
      <w:r w:rsidR="0043648F" w:rsidRPr="00D454E9">
        <w:t xml:space="preserve"> </w:t>
      </w:r>
      <w:r w:rsidRPr="00D454E9">
        <w:t>Maksātnespējas administrācijas daļējo finansēšanu no URVN ieņēmumiem no 2003. līdz 2011.gadam</w:t>
      </w:r>
      <w:r w:rsidR="0043648F" w:rsidRPr="00D454E9">
        <w:t xml:space="preserve"> </w:t>
      </w:r>
      <w:r w:rsidRPr="00D454E9">
        <w:t>jānorāda turpmākais</w:t>
      </w:r>
      <w:r w:rsidR="002F29E3" w:rsidRPr="00D454E9">
        <w:t>.</w:t>
      </w:r>
    </w:p>
    <w:p w14:paraId="781DE48C" w14:textId="77777777" w:rsidR="00C02CAA" w:rsidRPr="00D454E9" w:rsidRDefault="00C02CAA" w:rsidP="00D454E9">
      <w:pPr>
        <w:tabs>
          <w:tab w:val="left" w:pos="720"/>
        </w:tabs>
        <w:ind w:firstLine="720"/>
        <w:jc w:val="both"/>
      </w:pPr>
      <w:r w:rsidRPr="00D454E9">
        <w:t>No 2003. līdz 2008.gadam attiecīgajā budžeta apakšprogrammā URVN ieņēmumi tika iekasēti plānotajā apmērā, bet,</w:t>
      </w:r>
      <w:r w:rsidR="0043648F" w:rsidRPr="00D454E9">
        <w:t xml:space="preserve"> </w:t>
      </w:r>
      <w:r w:rsidRPr="00D454E9">
        <w:t xml:space="preserve">sākot no 2009.gada, situācija pasliktinājās. Proti, 2009.gadā no plānotajiem 668 603 </w:t>
      </w:r>
      <w:r w:rsidRPr="00D454E9">
        <w:rPr>
          <w:i/>
        </w:rPr>
        <w:t>euro</w:t>
      </w:r>
      <w:r w:rsidRPr="00D454E9">
        <w:t xml:space="preserve"> no URVN </w:t>
      </w:r>
      <w:r w:rsidR="00A223ED">
        <w:t xml:space="preserve">ieņēmumiem </w:t>
      </w:r>
      <w:r w:rsidRPr="00D454E9">
        <w:t xml:space="preserve">Maksātnespējas administrācijai tika novirzīti 1,5% no plānotās summas, jeb 9 954 </w:t>
      </w:r>
      <w:r w:rsidRPr="00D454E9">
        <w:rPr>
          <w:i/>
        </w:rPr>
        <w:t>euro</w:t>
      </w:r>
      <w:r w:rsidRPr="00D454E9">
        <w:t xml:space="preserve">. 2010.gadā no plānotajiem 341 604 </w:t>
      </w:r>
      <w:r w:rsidRPr="00D454E9">
        <w:rPr>
          <w:i/>
        </w:rPr>
        <w:t>euro</w:t>
      </w:r>
      <w:r w:rsidRPr="00D454E9">
        <w:t xml:space="preserve"> no URVN ieņēmumiem Maksātnespējas administrācijai novirzīti 7% no plānotās summas</w:t>
      </w:r>
      <w:r w:rsidR="00C46CD9" w:rsidRPr="00D454E9">
        <w:t xml:space="preserve"> </w:t>
      </w:r>
      <w:r w:rsidRPr="00D454E9">
        <w:t xml:space="preserve"> jeb 24 250 </w:t>
      </w:r>
      <w:r w:rsidRPr="00D454E9">
        <w:rPr>
          <w:i/>
        </w:rPr>
        <w:t>euro</w:t>
      </w:r>
      <w:r w:rsidRPr="00D454E9">
        <w:t>, savukārt 2011.gadā plānotie līdzekļi</w:t>
      </w:r>
      <w:r w:rsidR="008E32D9" w:rsidRPr="00D454E9">
        <w:t xml:space="preserve"> </w:t>
      </w:r>
      <w:r w:rsidRPr="00D454E9">
        <w:t xml:space="preserve">no URVN ieņēmumiem 176 621 </w:t>
      </w:r>
      <w:r w:rsidRPr="00D454E9">
        <w:rPr>
          <w:i/>
        </w:rPr>
        <w:t>euro</w:t>
      </w:r>
      <w:r w:rsidR="0043648F" w:rsidRPr="00D454E9">
        <w:rPr>
          <w:i/>
        </w:rPr>
        <w:t xml:space="preserve"> </w:t>
      </w:r>
      <w:r w:rsidRPr="00D454E9">
        <w:t>apmērā</w:t>
      </w:r>
      <w:r w:rsidR="0043648F" w:rsidRPr="00D454E9">
        <w:t xml:space="preserve"> </w:t>
      </w:r>
      <w:r w:rsidRPr="00D454E9">
        <w:t>novirzīti netika.</w:t>
      </w:r>
    </w:p>
    <w:p w14:paraId="2DD5B463" w14:textId="77777777" w:rsidR="00C02CAA" w:rsidRPr="00D454E9" w:rsidRDefault="008B09AA" w:rsidP="00D454E9">
      <w:pPr>
        <w:tabs>
          <w:tab w:val="left" w:pos="720"/>
        </w:tabs>
        <w:ind w:firstLine="720"/>
        <w:jc w:val="both"/>
      </w:pPr>
      <w:r w:rsidRPr="00D454E9">
        <w:t>No 2012. līdz 2014.gadam budžeta apakšprogramma “Maksātnespējas procesa pārvaldība” pilnībā tika finansēta no valsts budžeta, minētajai apakšprogrammai piešķirot dotāciju no vispārējiem ieņēmumiem. Sākot no 2015.gada daļa no URVN ieņēmumiem (4</w:t>
      </w:r>
      <w:r w:rsidR="003D2303">
        <w:t> </w:t>
      </w:r>
      <w:r w:rsidRPr="00D454E9">
        <w:t xml:space="preserve">procenti) tieši tiek novirzīti budžeta apakšprogrammas </w:t>
      </w:r>
      <w:r w:rsidR="00A223ED">
        <w:t>„</w:t>
      </w:r>
      <w:r w:rsidRPr="00D454E9">
        <w:t>Maksātnespējas procesa pārvaldība</w:t>
      </w:r>
      <w:r w:rsidR="00A223ED">
        <w:t>”</w:t>
      </w:r>
      <w:r w:rsidRPr="00D454E9">
        <w:t xml:space="preserve"> daļējai finansēšanai.</w:t>
      </w:r>
    </w:p>
    <w:p w14:paraId="7A761899" w14:textId="77777777" w:rsidR="00C02CAA" w:rsidRPr="00D454E9" w:rsidRDefault="00C02CAA" w:rsidP="00D454E9">
      <w:pPr>
        <w:tabs>
          <w:tab w:val="left" w:pos="720"/>
        </w:tabs>
        <w:ind w:firstLine="720"/>
        <w:jc w:val="both"/>
      </w:pPr>
    </w:p>
    <w:p w14:paraId="1F9A8F3C" w14:textId="77777777" w:rsidR="00C02CAA" w:rsidRPr="00D454E9" w:rsidRDefault="00BD033F" w:rsidP="00D454E9">
      <w:pPr>
        <w:pStyle w:val="Heading3"/>
        <w:numPr>
          <w:ilvl w:val="0"/>
          <w:numId w:val="0"/>
        </w:numPr>
        <w:spacing w:before="0" w:after="0"/>
        <w:ind w:firstLine="720"/>
        <w:jc w:val="both"/>
        <w:rPr>
          <w:rFonts w:ascii="Times New Roman" w:hAnsi="Times New Roman" w:cs="Times New Roman"/>
          <w:sz w:val="24"/>
          <w:szCs w:val="24"/>
        </w:rPr>
      </w:pPr>
      <w:bookmarkStart w:id="38" w:name="_Toc410048283"/>
      <w:bookmarkStart w:id="39" w:name="_Toc414279028"/>
      <w:bookmarkStart w:id="40" w:name="_Toc453263314"/>
      <w:r w:rsidRPr="00D454E9">
        <w:rPr>
          <w:rFonts w:ascii="Times New Roman" w:hAnsi="Times New Roman" w:cs="Times New Roman"/>
          <w:sz w:val="24"/>
          <w:szCs w:val="24"/>
        </w:rPr>
        <w:t>2</w:t>
      </w:r>
      <w:r w:rsidR="00C02CAA" w:rsidRPr="00D454E9">
        <w:rPr>
          <w:rFonts w:ascii="Times New Roman" w:hAnsi="Times New Roman" w:cs="Times New Roman"/>
          <w:sz w:val="24"/>
          <w:szCs w:val="24"/>
        </w:rPr>
        <w:t>.3. Budžeta apakšprogrammas „Maksātnespējas procesu pārvaldība” daļēja finansēšana no URVN</w:t>
      </w:r>
      <w:r w:rsidR="003875D7" w:rsidRPr="00D454E9">
        <w:rPr>
          <w:rFonts w:ascii="Times New Roman" w:hAnsi="Times New Roman" w:cs="Times New Roman"/>
          <w:sz w:val="24"/>
          <w:szCs w:val="24"/>
        </w:rPr>
        <w:t xml:space="preserve"> </w:t>
      </w:r>
      <w:r w:rsidR="00C02CAA" w:rsidRPr="00D454E9">
        <w:rPr>
          <w:rFonts w:ascii="Times New Roman" w:hAnsi="Times New Roman" w:cs="Times New Roman"/>
          <w:sz w:val="24"/>
          <w:szCs w:val="24"/>
        </w:rPr>
        <w:t>201</w:t>
      </w:r>
      <w:r w:rsidR="003875D7" w:rsidRPr="00D454E9">
        <w:rPr>
          <w:rFonts w:ascii="Times New Roman" w:hAnsi="Times New Roman" w:cs="Times New Roman"/>
          <w:sz w:val="24"/>
          <w:szCs w:val="24"/>
        </w:rPr>
        <w:t>6</w:t>
      </w:r>
      <w:r w:rsidR="00C02CAA" w:rsidRPr="00D454E9">
        <w:rPr>
          <w:rFonts w:ascii="Times New Roman" w:hAnsi="Times New Roman" w:cs="Times New Roman"/>
          <w:sz w:val="24"/>
          <w:szCs w:val="24"/>
        </w:rPr>
        <w:t>.gadā</w:t>
      </w:r>
      <w:bookmarkEnd w:id="38"/>
      <w:bookmarkEnd w:id="39"/>
      <w:bookmarkEnd w:id="40"/>
    </w:p>
    <w:p w14:paraId="0775A8C6" w14:textId="77777777" w:rsidR="00C02CAA" w:rsidRPr="00D454E9" w:rsidRDefault="00C02CAA" w:rsidP="00D454E9">
      <w:pPr>
        <w:tabs>
          <w:tab w:val="left" w:pos="720"/>
        </w:tabs>
        <w:ind w:firstLine="720"/>
        <w:jc w:val="both"/>
      </w:pPr>
      <w:r w:rsidRPr="00D454E9">
        <w:t xml:space="preserve">Pamatojoties uz grozījumiem Maksātnespējas likumā, Maksātnespējas administrācijai no 2015.gada </w:t>
      </w:r>
      <w:r w:rsidR="00E01C56" w:rsidRPr="00D454E9">
        <w:t>tika</w:t>
      </w:r>
      <w:r w:rsidRPr="00D454E9">
        <w:t xml:space="preserve"> noteiktas papildu funkcijas, kuru </w:t>
      </w:r>
      <w:r w:rsidR="00856FF3" w:rsidRPr="00D454E9">
        <w:t>nodrošināšanai</w:t>
      </w:r>
      <w:r w:rsidRPr="00D454E9">
        <w:t xml:space="preserve"> </w:t>
      </w:r>
      <w:r w:rsidR="00E01C56" w:rsidRPr="00D454E9">
        <w:t>bija</w:t>
      </w:r>
      <w:r w:rsidRPr="00D454E9">
        <w:t xml:space="preserve"> nepieciešams </w:t>
      </w:r>
      <w:r w:rsidR="00530EE5" w:rsidRPr="00D454E9">
        <w:t xml:space="preserve">papildus </w:t>
      </w:r>
      <w:r w:rsidRPr="00D454E9">
        <w:t xml:space="preserve">piesaistīt sešus nodarbinātos. Ņemot vērā valsts budžeta </w:t>
      </w:r>
      <w:r w:rsidR="006D0426" w:rsidRPr="00D454E9">
        <w:t xml:space="preserve">finansiālās iespējas papildu valsts budžeta </w:t>
      </w:r>
      <w:r w:rsidRPr="00D454E9">
        <w:t xml:space="preserve">līdzekļus nebija </w:t>
      </w:r>
      <w:r w:rsidR="006D0426" w:rsidRPr="00D454E9">
        <w:t xml:space="preserve">iespējams </w:t>
      </w:r>
      <w:r w:rsidRPr="00D454E9">
        <w:t>piešķirt</w:t>
      </w:r>
      <w:r w:rsidR="006D0426" w:rsidRPr="00D454E9">
        <w:t xml:space="preserve"> un</w:t>
      </w:r>
      <w:r w:rsidRPr="00D454E9">
        <w:t xml:space="preserve"> bija nepieciešams meklēt citu finansēšanas avotu. Izsverot iespējamos </w:t>
      </w:r>
      <w:r w:rsidR="00BC1E02" w:rsidRPr="00D454E9">
        <w:t>risinājumus</w:t>
      </w:r>
      <w:r w:rsidRPr="00D454E9">
        <w:t>, tika nolemts atgriezties pie URVN ieņēmumu sākotnējā sadalījuma (2003.</w:t>
      </w:r>
      <w:r w:rsidR="00A223ED">
        <w:t>–</w:t>
      </w:r>
      <w:r w:rsidRPr="00D454E9">
        <w:t>2011.gads), kad daļa no URVN ieņēmumiem tika novirzīti Maksātnespējas administrācijas finansēšanai tai noteikto funkciju veikšanai</w:t>
      </w:r>
      <w:r w:rsidR="00FB4492" w:rsidRPr="00D454E9">
        <w:t>,</w:t>
      </w:r>
      <w:r w:rsidRPr="00D454E9">
        <w:t xml:space="preserve"> un</w:t>
      </w:r>
      <w:r w:rsidR="00E01C56" w:rsidRPr="00D454E9">
        <w:t xml:space="preserve"> no</w:t>
      </w:r>
      <w:r w:rsidRPr="00D454E9">
        <w:t xml:space="preserve"> 2015.gad</w:t>
      </w:r>
      <w:r w:rsidR="00E01C56" w:rsidRPr="00D454E9">
        <w:t>a</w:t>
      </w:r>
      <w:r w:rsidRPr="00D454E9">
        <w:t xml:space="preserve"> daļa URVN ieņēmumu tiek novirzīti Maksātnespējas administrācijai (</w:t>
      </w:r>
      <w:r w:rsidR="00A223ED">
        <w:t xml:space="preserve">budžeta </w:t>
      </w:r>
      <w:r w:rsidRPr="00D454E9">
        <w:t>apakšprogramma „Maksātnespējas procesu pārvaldība”).</w:t>
      </w:r>
    </w:p>
    <w:p w14:paraId="47D85B58" w14:textId="77777777" w:rsidR="00C02CAA" w:rsidRPr="00D454E9" w:rsidRDefault="00F0480B" w:rsidP="00D454E9">
      <w:pPr>
        <w:tabs>
          <w:tab w:val="left" w:pos="720"/>
        </w:tabs>
        <w:ind w:firstLine="720"/>
        <w:jc w:val="both"/>
      </w:pPr>
      <w:r w:rsidRPr="00D454E9">
        <w:t xml:space="preserve">Saskaņā ar </w:t>
      </w:r>
      <w:r w:rsidR="00D33D9D" w:rsidRPr="00D454E9">
        <w:t>i</w:t>
      </w:r>
      <w:r w:rsidR="00856FF3" w:rsidRPr="00D454E9">
        <w:t>nformatīv</w:t>
      </w:r>
      <w:r w:rsidRPr="00D454E9">
        <w:t>o</w:t>
      </w:r>
      <w:r w:rsidR="00856FF3" w:rsidRPr="00D454E9">
        <w:t xml:space="preserve"> ziņojum</w:t>
      </w:r>
      <w:r w:rsidRPr="00D454E9">
        <w:t>u</w:t>
      </w:r>
      <w:r w:rsidR="00856FF3" w:rsidRPr="00D454E9">
        <w:t xml:space="preserve"> par 2016.–2018.gadu</w:t>
      </w:r>
      <w:r w:rsidRPr="00D454E9">
        <w:t>,</w:t>
      </w:r>
      <w:r w:rsidR="00856FF3" w:rsidRPr="00D454E9">
        <w:t xml:space="preserve"> </w:t>
      </w:r>
      <w:r w:rsidR="00C02CAA" w:rsidRPr="00D454E9">
        <w:t>201</w:t>
      </w:r>
      <w:r w:rsidRPr="00D454E9">
        <w:t>6</w:t>
      </w:r>
      <w:r w:rsidR="00C02CAA" w:rsidRPr="00D454E9">
        <w:t xml:space="preserve">.gadā plānoti kopējie URVN ieņēmumi </w:t>
      </w:r>
      <w:r w:rsidRPr="00D454E9">
        <w:t>3 174 259</w:t>
      </w:r>
      <w:r w:rsidR="00C02CAA" w:rsidRPr="00D454E9">
        <w:t xml:space="preserve"> </w:t>
      </w:r>
      <w:r w:rsidR="00C02CAA" w:rsidRPr="00D454E9">
        <w:rPr>
          <w:i/>
        </w:rPr>
        <w:t>euro</w:t>
      </w:r>
      <w:r w:rsidR="00C02CAA" w:rsidRPr="00D454E9">
        <w:t xml:space="preserve">: </w:t>
      </w:r>
      <w:r w:rsidRPr="00D454E9">
        <w:t>3 047 734</w:t>
      </w:r>
      <w:r w:rsidR="00C02CAA" w:rsidRPr="00D454E9">
        <w:t xml:space="preserve"> </w:t>
      </w:r>
      <w:r w:rsidR="00C02CAA" w:rsidRPr="00D454E9">
        <w:rPr>
          <w:i/>
        </w:rPr>
        <w:t>euro</w:t>
      </w:r>
      <w:r w:rsidR="00C02CAA" w:rsidRPr="00D454E9">
        <w:t xml:space="preserve"> apmērā (9</w:t>
      </w:r>
      <w:r w:rsidRPr="00D454E9">
        <w:t>6</w:t>
      </w:r>
      <w:r w:rsidR="00D33D9D" w:rsidRPr="00D454E9">
        <w:t xml:space="preserve"> procenti</w:t>
      </w:r>
      <w:r w:rsidR="00C02CAA" w:rsidRPr="00D454E9">
        <w:t xml:space="preserve">) </w:t>
      </w:r>
      <w:r w:rsidR="00A223ED">
        <w:t>–</w:t>
      </w:r>
      <w:r w:rsidR="00C02CAA" w:rsidRPr="00D454E9">
        <w:t xml:space="preserve"> </w:t>
      </w:r>
      <w:r w:rsidR="00A223ED">
        <w:t xml:space="preserve">budžeta </w:t>
      </w:r>
      <w:r w:rsidR="00C02CAA" w:rsidRPr="00D454E9">
        <w:t>apakšprogrammā 06.04.00 „Darbinieku prasījumu garantiju fonds”</w:t>
      </w:r>
      <w:r w:rsidRPr="00D454E9">
        <w:t xml:space="preserve"> un</w:t>
      </w:r>
      <w:r w:rsidR="00C02CAA" w:rsidRPr="00D454E9">
        <w:t xml:space="preserve"> </w:t>
      </w:r>
      <w:r w:rsidRPr="00D454E9">
        <w:t xml:space="preserve">126 525 </w:t>
      </w:r>
      <w:r w:rsidR="00C02CAA" w:rsidRPr="00D454E9">
        <w:rPr>
          <w:i/>
        </w:rPr>
        <w:t>euro</w:t>
      </w:r>
      <w:r w:rsidR="00C02CAA" w:rsidRPr="00D454E9">
        <w:t xml:space="preserve"> apmērā (4</w:t>
      </w:r>
      <w:r w:rsidR="00D33D9D" w:rsidRPr="00D454E9">
        <w:t xml:space="preserve"> procenti</w:t>
      </w:r>
      <w:r w:rsidR="00C02CAA" w:rsidRPr="00D454E9">
        <w:t xml:space="preserve">) </w:t>
      </w:r>
      <w:r w:rsidR="00A223ED">
        <w:t>–</w:t>
      </w:r>
      <w:r w:rsidR="00C02CAA" w:rsidRPr="00D454E9">
        <w:t xml:space="preserve"> </w:t>
      </w:r>
      <w:r w:rsidR="00A223ED">
        <w:t xml:space="preserve">budžeta </w:t>
      </w:r>
      <w:r w:rsidR="00C02CAA" w:rsidRPr="00D454E9">
        <w:t>apakšprogrammā „Maksātnespējas procesu pārvaldība” (Ministru kabineta 201</w:t>
      </w:r>
      <w:r w:rsidRPr="00D454E9">
        <w:t>5</w:t>
      </w:r>
      <w:r w:rsidR="00C02CAA" w:rsidRPr="00D454E9">
        <w:t xml:space="preserve">.gada </w:t>
      </w:r>
      <w:r w:rsidRPr="00D454E9">
        <w:t>8</w:t>
      </w:r>
      <w:r w:rsidR="00C02CAA" w:rsidRPr="00D454E9">
        <w:t>.decembra</w:t>
      </w:r>
      <w:r w:rsidRPr="00D454E9">
        <w:t xml:space="preserve"> </w:t>
      </w:r>
      <w:r w:rsidR="00C02CAA" w:rsidRPr="00D454E9">
        <w:t>noteikumi Nr.</w:t>
      </w:r>
      <w:r w:rsidRPr="00D454E9">
        <w:t>692</w:t>
      </w:r>
      <w:r w:rsidR="00C02CAA" w:rsidRPr="00D454E9">
        <w:t xml:space="preserve"> „Noteikumi par uzņēmējdarbības riska valsts nodevas apmēru un darbinieku prasījumu garantiju fondā ieskaitāmās nodevas daļu 201</w:t>
      </w:r>
      <w:r w:rsidRPr="00D454E9">
        <w:t>6</w:t>
      </w:r>
      <w:r w:rsidR="00C02CAA" w:rsidRPr="00D454E9">
        <w:t>.gadā”).</w:t>
      </w:r>
    </w:p>
    <w:p w14:paraId="52350746" w14:textId="77777777" w:rsidR="0011422A" w:rsidRPr="00D454E9" w:rsidRDefault="0011422A" w:rsidP="00D454E9">
      <w:pPr>
        <w:tabs>
          <w:tab w:val="left" w:pos="720"/>
        </w:tabs>
        <w:ind w:firstLine="720"/>
        <w:jc w:val="both"/>
      </w:pPr>
    </w:p>
    <w:p w14:paraId="5764ED22" w14:textId="77777777" w:rsidR="005749B8" w:rsidRDefault="00BD033F" w:rsidP="00D454E9">
      <w:pPr>
        <w:pStyle w:val="Heading2"/>
        <w:numPr>
          <w:ilvl w:val="0"/>
          <w:numId w:val="0"/>
        </w:numPr>
        <w:spacing w:before="0" w:after="0"/>
        <w:ind w:firstLine="720"/>
        <w:jc w:val="both"/>
        <w:rPr>
          <w:rFonts w:ascii="Times New Roman" w:hAnsi="Times New Roman" w:cs="Times New Roman"/>
          <w:i w:val="0"/>
          <w:sz w:val="24"/>
          <w:szCs w:val="24"/>
        </w:rPr>
      </w:pPr>
      <w:bookmarkStart w:id="41" w:name="_Toc108423726"/>
      <w:bookmarkStart w:id="42" w:name="_Toc410048272"/>
      <w:bookmarkStart w:id="43" w:name="_Toc414279017"/>
      <w:bookmarkStart w:id="44" w:name="_Toc453263315"/>
      <w:r w:rsidRPr="00D454E9">
        <w:rPr>
          <w:rFonts w:ascii="Times New Roman" w:hAnsi="Times New Roman" w:cs="Times New Roman"/>
          <w:i w:val="0"/>
          <w:iCs w:val="0"/>
          <w:sz w:val="24"/>
          <w:szCs w:val="24"/>
        </w:rPr>
        <w:t>3</w:t>
      </w:r>
      <w:r w:rsidR="005749B8" w:rsidRPr="00D454E9">
        <w:rPr>
          <w:rFonts w:ascii="Times New Roman" w:hAnsi="Times New Roman" w:cs="Times New Roman"/>
          <w:i w:val="0"/>
          <w:iCs w:val="0"/>
          <w:sz w:val="24"/>
          <w:szCs w:val="24"/>
        </w:rPr>
        <w:t xml:space="preserve">. </w:t>
      </w:r>
      <w:r w:rsidR="005749B8" w:rsidRPr="00D454E9">
        <w:rPr>
          <w:rFonts w:ascii="Times New Roman" w:hAnsi="Times New Roman" w:cs="Times New Roman"/>
          <w:i w:val="0"/>
          <w:sz w:val="24"/>
          <w:szCs w:val="24"/>
        </w:rPr>
        <w:t>Budžeta</w:t>
      </w:r>
      <w:r w:rsidR="005749B8" w:rsidRPr="00D454E9">
        <w:rPr>
          <w:rFonts w:ascii="Times New Roman" w:hAnsi="Times New Roman" w:cs="Times New Roman"/>
          <w:i w:val="0"/>
          <w:iCs w:val="0"/>
          <w:sz w:val="24"/>
          <w:szCs w:val="24"/>
        </w:rPr>
        <w:t xml:space="preserve"> apakšprogramma </w:t>
      </w:r>
      <w:r w:rsidR="005749B8" w:rsidRPr="00D454E9">
        <w:rPr>
          <w:rFonts w:ascii="Times New Roman" w:hAnsi="Times New Roman" w:cs="Times New Roman"/>
          <w:i w:val="0"/>
          <w:sz w:val="24"/>
          <w:szCs w:val="24"/>
        </w:rPr>
        <w:t xml:space="preserve">06.04.00 </w:t>
      </w:r>
      <w:r w:rsidR="005749B8" w:rsidRPr="00D454E9">
        <w:rPr>
          <w:rFonts w:ascii="Times New Roman" w:hAnsi="Times New Roman" w:cs="Times New Roman"/>
          <w:i w:val="0"/>
          <w:iCs w:val="0"/>
          <w:sz w:val="24"/>
          <w:szCs w:val="24"/>
        </w:rPr>
        <w:t>„Darbinieku prasījumu garantiju fond</w:t>
      </w:r>
      <w:bookmarkEnd w:id="41"/>
      <w:r w:rsidR="005749B8" w:rsidRPr="00D454E9">
        <w:rPr>
          <w:rFonts w:ascii="Times New Roman" w:hAnsi="Times New Roman" w:cs="Times New Roman"/>
          <w:i w:val="0"/>
          <w:iCs w:val="0"/>
          <w:sz w:val="24"/>
          <w:szCs w:val="24"/>
        </w:rPr>
        <w:t>s</w:t>
      </w:r>
      <w:bookmarkStart w:id="45" w:name="_Toc108423727"/>
      <w:r w:rsidR="005749B8" w:rsidRPr="00D454E9">
        <w:rPr>
          <w:rFonts w:ascii="Times New Roman" w:hAnsi="Times New Roman" w:cs="Times New Roman"/>
          <w:i w:val="0"/>
          <w:iCs w:val="0"/>
          <w:sz w:val="24"/>
          <w:szCs w:val="24"/>
        </w:rPr>
        <w:t xml:space="preserve">” (līdz 2014.gadam - 35.02.00 </w:t>
      </w:r>
      <w:r w:rsidR="005749B8" w:rsidRPr="00D454E9">
        <w:rPr>
          <w:rFonts w:ascii="Times New Roman" w:hAnsi="Times New Roman" w:cs="Times New Roman"/>
          <w:i w:val="0"/>
          <w:sz w:val="24"/>
          <w:szCs w:val="24"/>
        </w:rPr>
        <w:t>„Darbinieku prasījumu garantiju fonds”)</w:t>
      </w:r>
      <w:bookmarkEnd w:id="42"/>
      <w:bookmarkEnd w:id="43"/>
      <w:bookmarkEnd w:id="44"/>
    </w:p>
    <w:p w14:paraId="55EA0FFC" w14:textId="77777777" w:rsidR="00D454E9" w:rsidRPr="00D454E9" w:rsidRDefault="00D454E9" w:rsidP="00D454E9"/>
    <w:p w14:paraId="0F742033" w14:textId="77777777" w:rsidR="005749B8" w:rsidRPr="00D454E9" w:rsidRDefault="00BD033F" w:rsidP="00D454E9">
      <w:pPr>
        <w:pStyle w:val="Heading3"/>
        <w:numPr>
          <w:ilvl w:val="0"/>
          <w:numId w:val="0"/>
        </w:numPr>
        <w:spacing w:before="0" w:after="0"/>
        <w:ind w:firstLine="720"/>
        <w:jc w:val="both"/>
        <w:rPr>
          <w:rFonts w:ascii="Times New Roman" w:hAnsi="Times New Roman" w:cs="Times New Roman"/>
          <w:sz w:val="24"/>
          <w:szCs w:val="24"/>
        </w:rPr>
      </w:pPr>
      <w:bookmarkStart w:id="46" w:name="_Toc410048273"/>
      <w:bookmarkStart w:id="47" w:name="_Toc414279018"/>
      <w:bookmarkStart w:id="48" w:name="_Toc453263316"/>
      <w:bookmarkStart w:id="49" w:name="_Toc284933061"/>
      <w:bookmarkStart w:id="50" w:name="_Toc285004783"/>
      <w:r w:rsidRPr="00D454E9">
        <w:rPr>
          <w:rFonts w:ascii="Times New Roman" w:hAnsi="Times New Roman" w:cs="Times New Roman"/>
          <w:sz w:val="24"/>
          <w:szCs w:val="24"/>
        </w:rPr>
        <w:t>3</w:t>
      </w:r>
      <w:r w:rsidR="005749B8" w:rsidRPr="00D454E9">
        <w:rPr>
          <w:rFonts w:ascii="Times New Roman" w:hAnsi="Times New Roman" w:cs="Times New Roman"/>
          <w:sz w:val="24"/>
          <w:szCs w:val="24"/>
        </w:rPr>
        <w:t>.1. Budžeta apakšprogrammas „Darbinieku prasījumu garantiju fonds” mērķis</w:t>
      </w:r>
      <w:bookmarkEnd w:id="46"/>
      <w:bookmarkEnd w:id="47"/>
      <w:bookmarkEnd w:id="48"/>
    </w:p>
    <w:bookmarkEnd w:id="49"/>
    <w:bookmarkEnd w:id="50"/>
    <w:p w14:paraId="7503FC59" w14:textId="77777777" w:rsidR="005749B8" w:rsidRPr="00D454E9" w:rsidRDefault="005749B8" w:rsidP="00D454E9">
      <w:pPr>
        <w:pStyle w:val="1RakstzRakstzRakstzCharCharRakstzCharChar"/>
        <w:spacing w:before="0"/>
        <w:ind w:firstLine="720"/>
        <w:jc w:val="both"/>
      </w:pPr>
      <w:r w:rsidRPr="00D454E9">
        <w:t xml:space="preserve">Budžeta apakšprogrammas 06.04.00 „Darbinieku prasījumu garantiju fonds” (līdz 2014.gadam </w:t>
      </w:r>
      <w:r w:rsidR="001835FF">
        <w:t>–</w:t>
      </w:r>
      <w:r w:rsidRPr="00D454E9">
        <w:t xml:space="preserve"> 35.02.00 „Darbinieku prasījumu garantiju fonds”) (turpmāk– </w:t>
      </w:r>
      <w:r w:rsidR="00CA1A48">
        <w:t xml:space="preserve">budžeta apakšprogramma </w:t>
      </w:r>
      <w:r w:rsidR="00CA1A48" w:rsidRPr="00CA1A48">
        <w:rPr>
          <w:lang w:val="lv-LV"/>
        </w:rPr>
        <w:t>„Darbinieku prasījumu garantiju fonds”</w:t>
      </w:r>
      <w:r w:rsidRPr="00D454E9">
        <w:t>) ietvaros Maksātnespējas administrācijas galvenais darbības mērķis ir aizsargāt maksātnespējīgo darba devēju darbinieku intereses, tādējādi mazinot maksātnespējas radītās sociālās sekas.</w:t>
      </w:r>
    </w:p>
    <w:p w14:paraId="34F4C889" w14:textId="77777777" w:rsidR="005749B8" w:rsidRPr="00D454E9" w:rsidRDefault="005749B8" w:rsidP="00D454E9">
      <w:pPr>
        <w:ind w:firstLine="720"/>
        <w:jc w:val="both"/>
      </w:pPr>
      <w:r w:rsidRPr="00D454E9">
        <w:t xml:space="preserve">Darbinieku prasījumu garantiju fonda administrēšanu nodrošina Maksātnespējas administrācija. Mērķa grupa ir ikviens darbinieks, kura darba devējam var pasludināt maksātnespējas procesu. Galvenās plānotās aktivitātes – apmierināt maksātnespējīgo darba devēju darbinieku prasījumus no darbinieku prasījumu garantiju fonda. </w:t>
      </w:r>
    </w:p>
    <w:p w14:paraId="2DBE0052" w14:textId="77777777" w:rsidR="005749B8" w:rsidRPr="00D454E9" w:rsidRDefault="005749B8" w:rsidP="00D454E9">
      <w:pPr>
        <w:autoSpaceDE w:val="0"/>
        <w:autoSpaceDN w:val="0"/>
        <w:adjustRightInd w:val="0"/>
        <w:ind w:firstLine="720"/>
        <w:jc w:val="both"/>
        <w:rPr>
          <w:lang w:eastAsia="ru-RU"/>
        </w:rPr>
      </w:pPr>
      <w:r w:rsidRPr="00D454E9">
        <w:t>Likuma „</w:t>
      </w:r>
      <w:r w:rsidRPr="00D454E9">
        <w:rPr>
          <w:lang w:eastAsia="ru-RU"/>
        </w:rPr>
        <w:t>Par darbinieku aizsardzību darba devēja maksātnespējas gadījumā” (turpmāk – Darbinieku aizsardzības likums) 4.pantā noteikti no darbinieku prasījumu garantiju fonda sedzamo izmaksu veidi:</w:t>
      </w:r>
    </w:p>
    <w:p w14:paraId="6D1F0761" w14:textId="77777777" w:rsidR="005749B8" w:rsidRPr="00D454E9" w:rsidRDefault="005749B8" w:rsidP="00D454E9">
      <w:pPr>
        <w:autoSpaceDE w:val="0"/>
        <w:autoSpaceDN w:val="0"/>
        <w:adjustRightInd w:val="0"/>
        <w:ind w:firstLine="720"/>
        <w:jc w:val="both"/>
        <w:rPr>
          <w:lang w:eastAsia="ru-RU"/>
        </w:rPr>
      </w:pPr>
      <w:r w:rsidRPr="00D454E9">
        <w:rPr>
          <w:lang w:eastAsia="ru-RU"/>
        </w:rPr>
        <w:t>1) darba samaksa;</w:t>
      </w:r>
    </w:p>
    <w:p w14:paraId="5A6AF9EA" w14:textId="77777777" w:rsidR="005749B8" w:rsidRPr="00D454E9" w:rsidRDefault="005749B8" w:rsidP="00D454E9">
      <w:pPr>
        <w:autoSpaceDE w:val="0"/>
        <w:autoSpaceDN w:val="0"/>
        <w:adjustRightInd w:val="0"/>
        <w:ind w:firstLine="720"/>
        <w:jc w:val="both"/>
        <w:rPr>
          <w:lang w:eastAsia="ru-RU"/>
        </w:rPr>
      </w:pPr>
      <w:r w:rsidRPr="00D454E9">
        <w:rPr>
          <w:lang w:eastAsia="ru-RU"/>
        </w:rPr>
        <w:t>2) atlīdzība par ikgadējo apmaksāto atvaļinājumu;</w:t>
      </w:r>
    </w:p>
    <w:p w14:paraId="55027294" w14:textId="77777777" w:rsidR="005749B8" w:rsidRPr="00D454E9" w:rsidRDefault="005749B8" w:rsidP="00D454E9">
      <w:pPr>
        <w:autoSpaceDE w:val="0"/>
        <w:autoSpaceDN w:val="0"/>
        <w:adjustRightInd w:val="0"/>
        <w:ind w:firstLine="720"/>
        <w:jc w:val="both"/>
        <w:rPr>
          <w:lang w:eastAsia="ru-RU"/>
        </w:rPr>
      </w:pPr>
      <w:r w:rsidRPr="00D454E9">
        <w:rPr>
          <w:lang w:eastAsia="ru-RU"/>
        </w:rPr>
        <w:t>3) atlīdzība par cita veida apmaksātu prombūtni;</w:t>
      </w:r>
    </w:p>
    <w:p w14:paraId="59F2792C" w14:textId="77777777" w:rsidR="005749B8" w:rsidRPr="00D454E9" w:rsidRDefault="005749B8" w:rsidP="00D454E9">
      <w:pPr>
        <w:autoSpaceDE w:val="0"/>
        <w:autoSpaceDN w:val="0"/>
        <w:adjustRightInd w:val="0"/>
        <w:ind w:firstLine="720"/>
        <w:jc w:val="both"/>
        <w:rPr>
          <w:lang w:eastAsia="ru-RU"/>
        </w:rPr>
      </w:pPr>
      <w:r w:rsidRPr="00D454E9">
        <w:rPr>
          <w:lang w:eastAsia="ru-RU"/>
        </w:rPr>
        <w:t>4) atlaišanas pabalsts sakarā ar darba tiesisko attiecību izbeigšanos;</w:t>
      </w:r>
    </w:p>
    <w:p w14:paraId="461F6BEB" w14:textId="77777777" w:rsidR="005749B8" w:rsidRPr="00D454E9" w:rsidRDefault="005749B8" w:rsidP="00D454E9">
      <w:pPr>
        <w:autoSpaceDE w:val="0"/>
        <w:autoSpaceDN w:val="0"/>
        <w:adjustRightInd w:val="0"/>
        <w:ind w:firstLine="720"/>
        <w:jc w:val="both"/>
        <w:rPr>
          <w:lang w:eastAsia="ru-RU"/>
        </w:rPr>
      </w:pPr>
      <w:r w:rsidRPr="00D454E9">
        <w:rPr>
          <w:lang w:eastAsia="ru-RU"/>
        </w:rPr>
        <w:t>5) kaitējuma atlīdzība sakarā ar nelaimes gadījumu darbā vai arodslimību;</w:t>
      </w:r>
    </w:p>
    <w:p w14:paraId="3E7BF588" w14:textId="77777777" w:rsidR="005749B8" w:rsidRPr="00D454E9" w:rsidRDefault="005749B8" w:rsidP="00D454E9">
      <w:pPr>
        <w:autoSpaceDE w:val="0"/>
        <w:autoSpaceDN w:val="0"/>
        <w:adjustRightInd w:val="0"/>
        <w:ind w:firstLine="720"/>
        <w:jc w:val="both"/>
        <w:rPr>
          <w:lang w:eastAsia="ru-RU"/>
        </w:rPr>
      </w:pPr>
      <w:r w:rsidRPr="00D454E9">
        <w:rPr>
          <w:lang w:eastAsia="ru-RU"/>
        </w:rPr>
        <w:t>6) valsts sociālās apdrošināšanas obligāto iemaksu un iedzīvotāju ienākuma nodokļa maksājumi, kuri saistīti ar iepriekš minētajām izmaksām.</w:t>
      </w:r>
    </w:p>
    <w:p w14:paraId="3487301C" w14:textId="77777777" w:rsidR="005749B8" w:rsidRPr="00D454E9" w:rsidRDefault="005749B8" w:rsidP="00D454E9">
      <w:pPr>
        <w:autoSpaceDE w:val="0"/>
        <w:autoSpaceDN w:val="0"/>
        <w:adjustRightInd w:val="0"/>
        <w:ind w:firstLine="720"/>
        <w:jc w:val="both"/>
      </w:pPr>
      <w:r w:rsidRPr="00D454E9">
        <w:t xml:space="preserve">Darbinieku aizsardzības likuma </w:t>
      </w:r>
      <w:r w:rsidRPr="00D454E9">
        <w:rPr>
          <w:lang w:eastAsia="ru-RU"/>
        </w:rPr>
        <w:t>5. un 5.</w:t>
      </w:r>
      <w:r w:rsidRPr="00D454E9">
        <w:rPr>
          <w:vertAlign w:val="superscript"/>
          <w:lang w:eastAsia="ru-RU"/>
        </w:rPr>
        <w:t xml:space="preserve">1 </w:t>
      </w:r>
      <w:r w:rsidRPr="00D454E9">
        <w:rPr>
          <w:lang w:eastAsia="ru-RU"/>
        </w:rPr>
        <w:t xml:space="preserve">pantā ir noteikti laika periodi, par kādiem tiek apmierināti darbinieku prasījumi. </w:t>
      </w:r>
      <w:r w:rsidRPr="00D454E9">
        <w:t>Atbilstoši Darbinieku aizsardzības likuma</w:t>
      </w:r>
      <w:r w:rsidRPr="00D454E9">
        <w:rPr>
          <w:lang w:eastAsia="ru-RU"/>
        </w:rPr>
        <w:t xml:space="preserve"> </w:t>
      </w:r>
      <w:r w:rsidRPr="00D454E9">
        <w:t>5.panta pirmajai daļai no darbinieku prasījumu garantiju fonda līdzekļiem darbinieku prasījumus apmierina šādā apmērā:</w:t>
      </w:r>
    </w:p>
    <w:p w14:paraId="414D6382" w14:textId="77777777" w:rsidR="005749B8" w:rsidRPr="00D454E9" w:rsidRDefault="005749B8" w:rsidP="00D454E9">
      <w:pPr>
        <w:autoSpaceDE w:val="0"/>
        <w:autoSpaceDN w:val="0"/>
        <w:adjustRightInd w:val="0"/>
        <w:ind w:firstLine="720"/>
        <w:jc w:val="both"/>
      </w:pPr>
      <w:r w:rsidRPr="00D454E9">
        <w:t>1) darba samaksu par pēdējiem trim darba tiesisko attiecību mēnešiem 12 mēnešu periodā pirms darba devēja maksātnespējas gadījuma iestāšanās;</w:t>
      </w:r>
    </w:p>
    <w:p w14:paraId="50EF5B0D" w14:textId="77777777" w:rsidR="005749B8" w:rsidRPr="00D454E9" w:rsidRDefault="005749B8" w:rsidP="00D454E9">
      <w:pPr>
        <w:autoSpaceDE w:val="0"/>
        <w:autoSpaceDN w:val="0"/>
        <w:adjustRightInd w:val="0"/>
        <w:ind w:firstLine="720"/>
        <w:jc w:val="both"/>
      </w:pPr>
      <w:r w:rsidRPr="00D454E9">
        <w:t>2) atlīdzību par ikgadējo apmaksāto atvaļinājumu, uz kuru tiesības iegūtas 12 mēnešu periodā pirms darba devēja maksātnespējas gadījuma iestāšanās;</w:t>
      </w:r>
    </w:p>
    <w:p w14:paraId="0984DFFC" w14:textId="77777777" w:rsidR="005749B8" w:rsidRPr="00D454E9" w:rsidRDefault="005749B8" w:rsidP="00D454E9">
      <w:pPr>
        <w:autoSpaceDE w:val="0"/>
        <w:autoSpaceDN w:val="0"/>
        <w:adjustRightInd w:val="0"/>
        <w:ind w:firstLine="720"/>
        <w:jc w:val="both"/>
      </w:pPr>
      <w:r w:rsidRPr="00D454E9">
        <w:t>3) atlīdzību par cita veida apmaksātu prombūtni pēdējo triju darba tiesisko attiecību mēnešos 12 mēnešu periodā pirms darba devēja maksātnespējas gadījuma iestāšanās;</w:t>
      </w:r>
    </w:p>
    <w:p w14:paraId="49918D5B" w14:textId="77777777" w:rsidR="005749B8" w:rsidRPr="00D454E9" w:rsidRDefault="005749B8" w:rsidP="00D454E9">
      <w:pPr>
        <w:autoSpaceDE w:val="0"/>
        <w:autoSpaceDN w:val="0"/>
        <w:adjustRightInd w:val="0"/>
        <w:ind w:firstLine="720"/>
        <w:jc w:val="both"/>
      </w:pPr>
      <w:r w:rsidRPr="00D454E9">
        <w:t>4) atlaišanas pabalstu Darba likumā noteiktajos gadījumos, uz kuru tiesības iegūtas ne agrāk kā 12 mēnešu periodā pirms darba devēja maksātnespējas gadījuma iestāšanās;</w:t>
      </w:r>
    </w:p>
    <w:p w14:paraId="6FE8A87C" w14:textId="77777777" w:rsidR="005749B8" w:rsidRPr="00D454E9" w:rsidRDefault="005749B8" w:rsidP="00D454E9">
      <w:pPr>
        <w:autoSpaceDE w:val="0"/>
        <w:autoSpaceDN w:val="0"/>
        <w:adjustRightInd w:val="0"/>
        <w:ind w:firstLine="720"/>
        <w:jc w:val="both"/>
      </w:pPr>
      <w:r w:rsidRPr="00D454E9">
        <w:t>5) kaitējuma atlīdzību par visu nesamaksāto laikposmu;</w:t>
      </w:r>
    </w:p>
    <w:p w14:paraId="4B948160" w14:textId="77777777" w:rsidR="005749B8" w:rsidRPr="00D454E9" w:rsidRDefault="005749B8" w:rsidP="00D454E9">
      <w:pPr>
        <w:autoSpaceDE w:val="0"/>
        <w:autoSpaceDN w:val="0"/>
        <w:adjustRightInd w:val="0"/>
        <w:ind w:firstLine="720"/>
        <w:jc w:val="both"/>
      </w:pPr>
      <w:r w:rsidRPr="00D454E9">
        <w:t>6) kaitējuma atlīdzības summu par četriem gadiem uz priekšu.</w:t>
      </w:r>
    </w:p>
    <w:p w14:paraId="1B34221C" w14:textId="77777777" w:rsidR="005749B8" w:rsidRPr="00D454E9" w:rsidRDefault="005749B8" w:rsidP="00D454E9">
      <w:pPr>
        <w:autoSpaceDE w:val="0"/>
        <w:autoSpaceDN w:val="0"/>
        <w:adjustRightInd w:val="0"/>
        <w:ind w:firstLine="720"/>
        <w:jc w:val="both"/>
      </w:pPr>
      <w:r w:rsidRPr="00D454E9">
        <w:t>Atbilstoši Darbinieku aizsardzības likuma 5.panta ceturtajai daļai vienam darbiniekam izmaksājamā maksimālā summa no darbinieku prasījumu garantiju fonda līdzekļiem ir piesaistīta valstī noteiktajai minimālajai algai, proti, šā panta pirmās daļas 1., 2., 3. un 4.punktā noteiktos prasījumus un ar tiem saistītos valsts sociālās apdrošināšanas obligāto iemaksu un iedzīvotāju ienākuma nodokļa maksājumus aprēķina, ņemot vērā darba devēja maksātnespējas gadījuma iestāšanās dienā valstī noteikto minimālo mēneša darba algu. Prasījumu aprēķināšanas kārtību nosaka Ministru kabinets.</w:t>
      </w:r>
    </w:p>
    <w:p w14:paraId="3A0D44AB" w14:textId="77777777" w:rsidR="005749B8" w:rsidRPr="00D454E9" w:rsidRDefault="005749B8" w:rsidP="00D454E9">
      <w:pPr>
        <w:autoSpaceDE w:val="0"/>
        <w:autoSpaceDN w:val="0"/>
        <w:adjustRightInd w:val="0"/>
        <w:ind w:firstLine="720"/>
        <w:jc w:val="both"/>
      </w:pPr>
      <w:r w:rsidRPr="00D454E9">
        <w:t xml:space="preserve">Darbinieku aizsardzības likuma </w:t>
      </w:r>
      <w:r w:rsidRPr="00D454E9">
        <w:rPr>
          <w:lang w:eastAsia="ru-RU"/>
        </w:rPr>
        <w:t>5.</w:t>
      </w:r>
      <w:r w:rsidRPr="00D454E9">
        <w:rPr>
          <w:vertAlign w:val="superscript"/>
          <w:lang w:eastAsia="ru-RU"/>
        </w:rPr>
        <w:t xml:space="preserve">1 </w:t>
      </w:r>
      <w:r w:rsidRPr="00D454E9">
        <w:rPr>
          <w:lang w:eastAsia="ru-RU"/>
        </w:rPr>
        <w:t xml:space="preserve">pantā īpaši noteikts </w:t>
      </w:r>
      <w:r w:rsidRPr="00D454E9">
        <w:t>no darbinieku prasījumu garantiju fonda līdzekļiem izmaksājamais a</w:t>
      </w:r>
      <w:r w:rsidRPr="00D454E9">
        <w:rPr>
          <w:lang w:eastAsia="ru-RU"/>
        </w:rPr>
        <w:t xml:space="preserve">pmērs personām, </w:t>
      </w:r>
      <w:r w:rsidRPr="00D454E9">
        <w:t>kuras ir vai divu gadu periodā pirms darba devēja maksātnespējas gadījuma iestāšanās ir bijušas maksātnespējīgā darba devēja komercsabiedrības, uzņēmuma vai uzņēmējsabiedrības dibinātāji, dalībnieki – kapitāla daļu īpašnieki vai akcionāri, ieguldītāji, biedri, pārvaldes institūciju (izpildinstitūciju) locekļi, kā arī prokūristi ar lēmumu pieņemšanas pilnvarām. Īpašais Darbinieku aizsardzības likuma</w:t>
      </w:r>
      <w:r w:rsidRPr="00D454E9">
        <w:rPr>
          <w:lang w:eastAsia="ru-RU"/>
        </w:rPr>
        <w:t xml:space="preserve"> 5.</w:t>
      </w:r>
      <w:r w:rsidRPr="00D454E9">
        <w:rPr>
          <w:vertAlign w:val="superscript"/>
          <w:lang w:eastAsia="ru-RU"/>
        </w:rPr>
        <w:t xml:space="preserve">1 </w:t>
      </w:r>
      <w:r w:rsidRPr="00D454E9">
        <w:rPr>
          <w:lang w:eastAsia="ru-RU"/>
        </w:rPr>
        <w:t xml:space="preserve">pantā noteiktais </w:t>
      </w:r>
      <w:r w:rsidRPr="00D454E9">
        <w:t>regulējums saskaņā ar 2011.gada 15.decembrī veiktajiem grozījumiem pārejas noteikumu 8.punktā attiecas tikai uz maksātnespējas procesiem, kuri pasludināti laika periodā no 2008.gada 1.janvāra līdz 2009.gada 9.jūlijam.</w:t>
      </w:r>
    </w:p>
    <w:p w14:paraId="2A102C50" w14:textId="77777777" w:rsidR="005749B8" w:rsidRPr="00D454E9" w:rsidRDefault="005749B8" w:rsidP="00D454E9">
      <w:pPr>
        <w:autoSpaceDE w:val="0"/>
        <w:autoSpaceDN w:val="0"/>
        <w:adjustRightInd w:val="0"/>
        <w:ind w:firstLine="720"/>
        <w:jc w:val="both"/>
        <w:rPr>
          <w:lang w:eastAsia="ru-RU"/>
        </w:rPr>
      </w:pPr>
      <w:r w:rsidRPr="00D454E9">
        <w:t>2009.gada 10.jūlijā stājās spēkā Darbinieku aizsardzības likuma grozījumi, nosakot ierobežojumu attiecībā uz garantiju fonda izmaksām vienam darbiniekam. Minētajos grozījumos ietvert</w:t>
      </w:r>
      <w:r w:rsidR="00C73844">
        <w:t>ais</w:t>
      </w:r>
      <w:r w:rsidRPr="00D454E9">
        <w:t xml:space="preserve"> pārejas noteikumu 6. un 7.punkts ar Latvijas Republikas Satversmes tiesas 2011.gada 10.jūnija spriedumu lietā Nr.2010-69-01 (turpmāk – Satversmes tiesas spriedums Nr.2010-69-01), kas stājās spēkā 2011.gada 14.jūnijā, tika atzīti par spēkā neesošiem no pieņemšanas brīža, ciktāl tas attiecas uz personām, kuru darba devējs atzīts par maksātnespējīgu līdz 2009.gada 9.jūlijam. Ņemot vērā minēto spriedumu, 2011.gada 15.decembrī Darbinieku aizsardzības likumā</w:t>
      </w:r>
      <w:r w:rsidRPr="00D454E9">
        <w:rPr>
          <w:lang w:eastAsia="ru-RU"/>
        </w:rPr>
        <w:t xml:space="preserve"> </w:t>
      </w:r>
      <w:r w:rsidRPr="00D454E9">
        <w:t>tika veikti grozījumi, kas stājās spēkā 2012.gada 1.janvārī. Saskaņā ar Darbinieku aizsardzības likuma</w:t>
      </w:r>
      <w:r w:rsidRPr="00D454E9">
        <w:rPr>
          <w:lang w:eastAsia="ru-RU"/>
        </w:rPr>
        <w:t xml:space="preserve"> </w:t>
      </w:r>
      <w:r w:rsidRPr="00D454E9">
        <w:t xml:space="preserve">pārejas noteikumu 6.punktu to darbinieku prasījumu apmierināšanai, kuru darba devēja maksātnespējas gadījums iestājies laika periodā no 2009.gada 10.jūlija līdz 2011.gada 31.decembrim, šā likuma </w:t>
      </w:r>
      <w:r w:rsidRPr="00D454E9">
        <w:rPr>
          <w:lang w:eastAsia="ru-RU"/>
        </w:rPr>
        <w:t xml:space="preserve">5.panta </w:t>
      </w:r>
      <w:r w:rsidR="00533AA0">
        <w:rPr>
          <w:lang w:eastAsia="ru-RU"/>
        </w:rPr>
        <w:t xml:space="preserve">pirmās daļas </w:t>
      </w:r>
      <w:r w:rsidRPr="00D454E9">
        <w:rPr>
          <w:lang w:eastAsia="ru-RU"/>
        </w:rPr>
        <w:t>1., 2., 3. un 4.punktā un 5.</w:t>
      </w:r>
      <w:r w:rsidRPr="00D454E9">
        <w:rPr>
          <w:vertAlign w:val="superscript"/>
          <w:lang w:eastAsia="ru-RU"/>
        </w:rPr>
        <w:t>1 </w:t>
      </w:r>
      <w:r w:rsidRPr="00D454E9">
        <w:rPr>
          <w:lang w:eastAsia="ru-RU"/>
        </w:rPr>
        <w:t>panta otrajā daļā paredzētajiem noteikumiem piemēro šādu regulējumu – no darbinieku prasījumu garantiju fonda līdzekļiem darbinieku prasījumus apmierina šādā apmērā:</w:t>
      </w:r>
    </w:p>
    <w:p w14:paraId="4980CAE2" w14:textId="77777777" w:rsidR="005749B8" w:rsidRPr="00D454E9" w:rsidRDefault="005749B8" w:rsidP="00D454E9">
      <w:pPr>
        <w:autoSpaceDE w:val="0"/>
        <w:autoSpaceDN w:val="0"/>
        <w:adjustRightInd w:val="0"/>
        <w:ind w:firstLine="720"/>
        <w:jc w:val="both"/>
      </w:pPr>
      <w:r w:rsidRPr="00D454E9">
        <w:rPr>
          <w:lang w:eastAsia="ru-RU"/>
        </w:rPr>
        <w:t xml:space="preserve">1) </w:t>
      </w:r>
      <w:r w:rsidRPr="00D454E9">
        <w:t>darba samaksu par pēdējiem trim darba tiesisko attiecību mēnešiem 12 mēnešu periodā pirms darba devēja maksātnespējas gadījuma iestāšanās, ja tā aprēķināta atbilstoši normatīvo aktu prasībām un mēnesī nepārsniedz maksātnespējas gadījuma iestāšanās dienā valstī noteikto minimālo mēneša darba algu;</w:t>
      </w:r>
    </w:p>
    <w:p w14:paraId="6CF4276D" w14:textId="77777777" w:rsidR="005749B8" w:rsidRPr="00D454E9" w:rsidRDefault="005749B8" w:rsidP="00D454E9">
      <w:pPr>
        <w:autoSpaceDE w:val="0"/>
        <w:autoSpaceDN w:val="0"/>
        <w:adjustRightInd w:val="0"/>
        <w:ind w:firstLine="720"/>
        <w:jc w:val="both"/>
      </w:pPr>
      <w:r w:rsidRPr="00D454E9">
        <w:t>2) atlīdzību par ikgadējo apmaksāto atvaļinājumu, uz kuru tiesības iegūtas 12 mēnešu periodā pirms darba devēja maksātnespējas gadījuma iestāšanās, ja tā aprēķināta atbilstoši normatīvo aktu prasībām, ņemot vērā, ka darba samaksa mēnesī nepārsniedz maksātnespējas gadījuma iestāšanās dienā valstī noteikto minimālo mēneša darba algu;</w:t>
      </w:r>
    </w:p>
    <w:p w14:paraId="6D996CF1" w14:textId="77777777" w:rsidR="005749B8" w:rsidRPr="00D454E9" w:rsidRDefault="005749B8" w:rsidP="00D454E9">
      <w:pPr>
        <w:autoSpaceDE w:val="0"/>
        <w:autoSpaceDN w:val="0"/>
        <w:adjustRightInd w:val="0"/>
        <w:ind w:firstLine="720"/>
        <w:jc w:val="both"/>
      </w:pPr>
      <w:r w:rsidRPr="00D454E9">
        <w:t>3) atlīdzību par cita veida apmaksātu prombūtni pēdējo triju darba tiesisko attiecību mēnešos 12 mēnešu periodā pirms darba devēja maksātnespējas gadījuma iestāšanās, ja tā aprēķināta atbilstoši normatīvo aktu prasībām, ņemot vērā, ka darba samaksa mēnesī nepārsniedz maksātnespējas gadījuma iestāšanās dienā valstī noteikto minimālo mēneša darba algu;</w:t>
      </w:r>
    </w:p>
    <w:p w14:paraId="31F54C91" w14:textId="77777777" w:rsidR="005749B8" w:rsidRPr="00D454E9" w:rsidRDefault="005749B8" w:rsidP="00D454E9">
      <w:pPr>
        <w:autoSpaceDE w:val="0"/>
        <w:autoSpaceDN w:val="0"/>
        <w:adjustRightInd w:val="0"/>
        <w:ind w:firstLine="720"/>
        <w:jc w:val="both"/>
      </w:pPr>
      <w:r w:rsidRPr="00D454E9">
        <w:t>4) atlaišanas pabalstu likumā noteiktajā minimālajā apmērā, uz kuru tiesības iegūtas ne agrāk kā 12 mēnešu periodā pirms darba devēja maksātnespējas gadījuma iestāšanās, ja tas aprēķināts atbilstoši normatīvo aktu prasībām, ņemot vērā, ka mēneša vidējā izpeļņa nepārsniedz maksātnespējas gadījuma iestāšanās dienā valstī noteikto minimālo mēneša darba algu.</w:t>
      </w:r>
    </w:p>
    <w:p w14:paraId="2A87299F" w14:textId="77777777" w:rsidR="005749B8" w:rsidRPr="00D454E9" w:rsidRDefault="005749B8" w:rsidP="00D454E9">
      <w:pPr>
        <w:autoSpaceDE w:val="0"/>
        <w:autoSpaceDN w:val="0"/>
        <w:adjustRightInd w:val="0"/>
        <w:ind w:firstLine="720"/>
        <w:jc w:val="both"/>
      </w:pPr>
      <w:bookmarkStart w:id="51" w:name="_Toc284933062"/>
      <w:bookmarkStart w:id="52" w:name="_Toc285004784"/>
      <w:r w:rsidRPr="00D454E9">
        <w:t>Savukārt saskaņā ar Darbinieku aizsardzības likuma</w:t>
      </w:r>
      <w:r w:rsidRPr="00D454E9">
        <w:rPr>
          <w:lang w:eastAsia="ru-RU"/>
        </w:rPr>
        <w:t xml:space="preserve"> </w:t>
      </w:r>
      <w:r w:rsidRPr="00D454E9">
        <w:t xml:space="preserve">pārejas noteikumu 7.punktu šā likuma </w:t>
      </w:r>
      <w:r w:rsidRPr="00D454E9">
        <w:rPr>
          <w:lang w:eastAsia="ru-RU"/>
        </w:rPr>
        <w:t xml:space="preserve">5.panta </w:t>
      </w:r>
      <w:r w:rsidR="00533AA0">
        <w:rPr>
          <w:lang w:eastAsia="ru-RU"/>
        </w:rPr>
        <w:t xml:space="preserve">pirmās daļas </w:t>
      </w:r>
      <w:r w:rsidRPr="00D454E9">
        <w:rPr>
          <w:lang w:eastAsia="ru-RU"/>
        </w:rPr>
        <w:t>1., 2., 3. un 4.punktā un 5.</w:t>
      </w:r>
      <w:r w:rsidRPr="00D454E9">
        <w:rPr>
          <w:vertAlign w:val="superscript"/>
          <w:lang w:eastAsia="ru-RU"/>
        </w:rPr>
        <w:t xml:space="preserve">1 </w:t>
      </w:r>
      <w:r w:rsidRPr="00D454E9">
        <w:rPr>
          <w:lang w:eastAsia="ru-RU"/>
        </w:rPr>
        <w:t>panta otrajā daļā</w:t>
      </w:r>
      <w:r w:rsidRPr="00D454E9">
        <w:t xml:space="preserve"> minēto apmierināmo darbinieku prasījumu, ar tiem saistīto valsts sociālās apdrošināšanas obligāto iemaksu darbinieku daļas un iedzīvotāju ienākuma nodokļa maksājumu kopsumma nepārsniedz četras maksātnespējas gadījuma iestāšanās dienā valstī noteiktās minimālās mēneša darba algas uz vienu darbinieku, ja darba devēja maksātnespējas gadījums iestājies laika periodā no 2009.gada 10.jūlija līdz 2011.gada 31.decembrim.</w:t>
      </w:r>
    </w:p>
    <w:p w14:paraId="1E549586" w14:textId="77777777" w:rsidR="005749B8" w:rsidRDefault="005749B8" w:rsidP="00D454E9">
      <w:pPr>
        <w:autoSpaceDE w:val="0"/>
        <w:autoSpaceDN w:val="0"/>
        <w:adjustRightInd w:val="0"/>
        <w:ind w:firstLine="720"/>
        <w:jc w:val="both"/>
      </w:pPr>
      <w:r w:rsidRPr="00D454E9">
        <w:t>Saskaņā ar Darbinieku aizsardzības likuma</w:t>
      </w:r>
      <w:r w:rsidRPr="00D454E9">
        <w:rPr>
          <w:lang w:eastAsia="ru-RU"/>
        </w:rPr>
        <w:t xml:space="preserve"> </w:t>
      </w:r>
      <w:r w:rsidRPr="00D454E9">
        <w:t>7.pantu no darbinieku prasījumu garantiju fonda līdzekļiem sedz arī administratora atlīdzību par darbinieku prasījumu iesniegšanu.</w:t>
      </w:r>
    </w:p>
    <w:p w14:paraId="2DF90A93" w14:textId="77777777" w:rsidR="00D454E9" w:rsidRPr="00D454E9" w:rsidRDefault="00D454E9" w:rsidP="00D454E9">
      <w:pPr>
        <w:autoSpaceDE w:val="0"/>
        <w:autoSpaceDN w:val="0"/>
        <w:adjustRightInd w:val="0"/>
        <w:ind w:firstLine="720"/>
        <w:jc w:val="both"/>
      </w:pPr>
    </w:p>
    <w:p w14:paraId="46177B86" w14:textId="77777777" w:rsidR="005749B8" w:rsidRPr="00D454E9" w:rsidRDefault="00BD033F" w:rsidP="00D454E9">
      <w:pPr>
        <w:pStyle w:val="Heading3"/>
        <w:numPr>
          <w:ilvl w:val="0"/>
          <w:numId w:val="0"/>
        </w:numPr>
        <w:spacing w:before="0" w:after="0"/>
        <w:ind w:firstLine="720"/>
        <w:jc w:val="both"/>
        <w:rPr>
          <w:rFonts w:ascii="Times New Roman" w:hAnsi="Times New Roman" w:cs="Times New Roman"/>
          <w:sz w:val="24"/>
          <w:szCs w:val="24"/>
        </w:rPr>
      </w:pPr>
      <w:bookmarkStart w:id="53" w:name="_Toc410048274"/>
      <w:bookmarkStart w:id="54" w:name="_Toc414279019"/>
      <w:bookmarkStart w:id="55" w:name="_Toc453263317"/>
      <w:r w:rsidRPr="00D454E9">
        <w:rPr>
          <w:rFonts w:ascii="Times New Roman" w:hAnsi="Times New Roman" w:cs="Times New Roman"/>
          <w:sz w:val="24"/>
          <w:szCs w:val="24"/>
        </w:rPr>
        <w:t>3</w:t>
      </w:r>
      <w:r w:rsidR="005749B8" w:rsidRPr="00D454E9">
        <w:rPr>
          <w:rFonts w:ascii="Times New Roman" w:hAnsi="Times New Roman" w:cs="Times New Roman"/>
          <w:sz w:val="24"/>
          <w:szCs w:val="24"/>
        </w:rPr>
        <w:t>.2. Darbinieku prasījumu garantiju fonda izlietojums un tā analīze 2011. – 2015.gadā</w:t>
      </w:r>
      <w:bookmarkEnd w:id="45"/>
      <w:bookmarkEnd w:id="51"/>
      <w:bookmarkEnd w:id="52"/>
      <w:bookmarkEnd w:id="53"/>
      <w:bookmarkEnd w:id="54"/>
      <w:bookmarkEnd w:id="55"/>
    </w:p>
    <w:p w14:paraId="0DEAA085" w14:textId="77777777" w:rsidR="005749B8" w:rsidRPr="00D454E9" w:rsidRDefault="005749B8" w:rsidP="00D454E9">
      <w:pPr>
        <w:ind w:firstLine="720"/>
        <w:jc w:val="both"/>
      </w:pPr>
      <w:r w:rsidRPr="00D454E9">
        <w:t xml:space="preserve">2011.gada 1.janvārī darbinieku prasījumu garantiju fonda iepriekšējo gadu atlikums bija 639 845 </w:t>
      </w:r>
      <w:r w:rsidRPr="00D454E9">
        <w:rPr>
          <w:i/>
        </w:rPr>
        <w:t>euro</w:t>
      </w:r>
      <w:r w:rsidRPr="00D454E9">
        <w:t xml:space="preserve">. 2011.gadā plānotie ieņēmumi bija 2 799 423 </w:t>
      </w:r>
      <w:r w:rsidRPr="00D454E9">
        <w:rPr>
          <w:i/>
        </w:rPr>
        <w:t>euro</w:t>
      </w:r>
      <w:r w:rsidRPr="00D454E9">
        <w:t xml:space="preserve">, bet plānotie izdevumi bija 3 439 266 </w:t>
      </w:r>
      <w:r w:rsidRPr="00D454E9">
        <w:rPr>
          <w:i/>
        </w:rPr>
        <w:t>euro</w:t>
      </w:r>
      <w:r w:rsidRPr="00D454E9">
        <w:t xml:space="preserve"> (t.sk. 2011.gadā, lai nodrošinātu darbinieku prasījumu apmierināšanu, no iepriekšējo gadu atlikuma papildu plānotajiem tika piešķirti 582 929 </w:t>
      </w:r>
      <w:r w:rsidRPr="00D454E9">
        <w:rPr>
          <w:i/>
        </w:rPr>
        <w:t>euro</w:t>
      </w:r>
      <w:r w:rsidRPr="00D454E9">
        <w:t>). Starpība starp plānotajiem ieņēmumiem un izdevumiem tika segta no iepriekšējo gadu atlikuma.</w:t>
      </w:r>
    </w:p>
    <w:p w14:paraId="7D1CC3D0" w14:textId="77777777" w:rsidR="005749B8" w:rsidRPr="00D454E9" w:rsidRDefault="005749B8" w:rsidP="00D454E9">
      <w:pPr>
        <w:ind w:firstLine="720"/>
        <w:jc w:val="both"/>
      </w:pPr>
      <w:r w:rsidRPr="00D454E9">
        <w:t>Faktiskie 2011.gada ieņēmumi bija 2 345 436 e</w:t>
      </w:r>
      <w:r w:rsidRPr="00D454E9">
        <w:rPr>
          <w:i/>
        </w:rPr>
        <w:t>uro</w:t>
      </w:r>
      <w:r w:rsidRPr="00D454E9">
        <w:t xml:space="preserve"> (t.sk. URVN 2 195 285 </w:t>
      </w:r>
      <w:r w:rsidRPr="00D454E9">
        <w:rPr>
          <w:i/>
        </w:rPr>
        <w:t>euro</w:t>
      </w:r>
      <w:r w:rsidRPr="00D454E9">
        <w:t xml:space="preserve">; atgūtie līdzekļi 150 151 </w:t>
      </w:r>
      <w:r w:rsidRPr="00D454E9">
        <w:rPr>
          <w:i/>
        </w:rPr>
        <w:t>euro</w:t>
      </w:r>
      <w:r w:rsidRPr="00D454E9">
        <w:t xml:space="preserve">). Faktiskie 2011.gada izdevumi bija 2 360 680 </w:t>
      </w:r>
      <w:r w:rsidRPr="00D454E9">
        <w:rPr>
          <w:i/>
        </w:rPr>
        <w:t>euro</w:t>
      </w:r>
      <w:r w:rsidRPr="00D454E9">
        <w:t xml:space="preserve">. Atlikums darbinieku prasījumu garantiju fondā uz 2012.gada 1.janvāri – 624 601 </w:t>
      </w:r>
      <w:r w:rsidRPr="00D454E9">
        <w:rPr>
          <w:i/>
        </w:rPr>
        <w:t>euro</w:t>
      </w:r>
      <w:r w:rsidRPr="00D454E9">
        <w:t xml:space="preserve">. 2011.gada darbinieku prasījumu garantiju fonda izpildes rādītāji ir norādīti par 2011.gadā Maksātnespējas administrācijā iesniegtajiem darbinieku prasījumiem, kuri nav saistīti ar </w:t>
      </w:r>
      <w:r w:rsidR="00F10015" w:rsidRPr="00F10015">
        <w:t>Satversmes tiesas spriedum</w:t>
      </w:r>
      <w:r w:rsidR="00F10015">
        <w:t>a</w:t>
      </w:r>
      <w:r w:rsidR="00F10015" w:rsidRPr="00F10015">
        <w:t xml:space="preserve"> Nr.2010-69-01</w:t>
      </w:r>
      <w:r w:rsidR="00B97506">
        <w:t xml:space="preserve"> </w:t>
      </w:r>
      <w:r w:rsidRPr="00D454E9">
        <w:t xml:space="preserve">izpildi. </w:t>
      </w:r>
    </w:p>
    <w:p w14:paraId="5390F6ED" w14:textId="77777777" w:rsidR="005749B8" w:rsidRPr="00D454E9" w:rsidRDefault="005749B8" w:rsidP="00D454E9">
      <w:pPr>
        <w:ind w:firstLine="720"/>
        <w:jc w:val="both"/>
      </w:pPr>
      <w:r w:rsidRPr="00D454E9">
        <w:t xml:space="preserve">2012.gadā plānotie ieņēmumi un izdevumi bija vienādi – 3 238 991 </w:t>
      </w:r>
      <w:r w:rsidRPr="00D454E9">
        <w:rPr>
          <w:i/>
        </w:rPr>
        <w:t>euro</w:t>
      </w:r>
      <w:r w:rsidRPr="00D454E9">
        <w:t xml:space="preserve">. Faktiskie 2012.gada ieņēmumi bija 2 561 074 </w:t>
      </w:r>
      <w:r w:rsidRPr="00D454E9">
        <w:rPr>
          <w:i/>
        </w:rPr>
        <w:t>euro</w:t>
      </w:r>
      <w:r w:rsidRPr="00D454E9">
        <w:t xml:space="preserve"> (t.sk. URVN 2 368 407 </w:t>
      </w:r>
      <w:r w:rsidRPr="00D454E9">
        <w:rPr>
          <w:i/>
        </w:rPr>
        <w:t>euro</w:t>
      </w:r>
      <w:r w:rsidRPr="00D454E9">
        <w:t xml:space="preserve">; atgūtie līdzekļi 192 667 </w:t>
      </w:r>
      <w:r w:rsidRPr="00D454E9">
        <w:rPr>
          <w:i/>
        </w:rPr>
        <w:t>euro</w:t>
      </w:r>
      <w:r w:rsidRPr="00D454E9">
        <w:t xml:space="preserve">). Faktiskie 2012.gada izdevumi bija 1 454 248 </w:t>
      </w:r>
      <w:r w:rsidRPr="00D454E9">
        <w:rPr>
          <w:i/>
        </w:rPr>
        <w:t>euro</w:t>
      </w:r>
      <w:r w:rsidRPr="00D454E9">
        <w:t xml:space="preserve">. Atlikums darbinieku prasījumu garantiju fondā uz 2013.gada 1.janvāri –1 731 427 </w:t>
      </w:r>
      <w:r w:rsidRPr="00D454E9">
        <w:rPr>
          <w:i/>
        </w:rPr>
        <w:t>euro</w:t>
      </w:r>
      <w:r w:rsidRPr="00D454E9">
        <w:t>.</w:t>
      </w:r>
    </w:p>
    <w:p w14:paraId="7B5DBF61" w14:textId="77777777" w:rsidR="005749B8" w:rsidRPr="00D454E9" w:rsidRDefault="005749B8" w:rsidP="00D454E9">
      <w:pPr>
        <w:ind w:firstLine="720"/>
        <w:jc w:val="both"/>
        <w:rPr>
          <w:i/>
        </w:rPr>
      </w:pPr>
      <w:r w:rsidRPr="00D454E9">
        <w:t xml:space="preserve">2013.gadā plānotie ieņēmumi bija 2 458 096 </w:t>
      </w:r>
      <w:r w:rsidRPr="00D454E9">
        <w:rPr>
          <w:i/>
        </w:rPr>
        <w:t>euro</w:t>
      </w:r>
      <w:r w:rsidRPr="00D454E9">
        <w:t xml:space="preserve">, bet plānotie izdevumi bija 1 585 641 </w:t>
      </w:r>
      <w:r w:rsidRPr="00D454E9">
        <w:rPr>
          <w:i/>
        </w:rPr>
        <w:t>euro</w:t>
      </w:r>
      <w:r w:rsidRPr="00D454E9">
        <w:t xml:space="preserve">. 2013.gadā tika plānots atlikums – darbinieku prasījumu garantiju fonda uzkrājuma veidošanai – 872 455 </w:t>
      </w:r>
      <w:r w:rsidRPr="00D454E9">
        <w:rPr>
          <w:i/>
        </w:rPr>
        <w:t>euro</w:t>
      </w:r>
      <w:r w:rsidRPr="00D454E9">
        <w:t xml:space="preserve">. Faktiskie 2013.gada ieņēmumi bija 3 355 307 </w:t>
      </w:r>
      <w:r w:rsidRPr="00D454E9">
        <w:rPr>
          <w:i/>
        </w:rPr>
        <w:t>euro</w:t>
      </w:r>
      <w:r w:rsidRPr="00D454E9">
        <w:t xml:space="preserve"> (t.sk. URVN 2 579 773 </w:t>
      </w:r>
      <w:r w:rsidRPr="00D454E9">
        <w:rPr>
          <w:i/>
        </w:rPr>
        <w:t>euro</w:t>
      </w:r>
      <w:r w:rsidRPr="00D454E9">
        <w:t xml:space="preserve">; atgūtie līdzekļi 775 534 </w:t>
      </w:r>
      <w:r w:rsidRPr="00D454E9">
        <w:rPr>
          <w:i/>
        </w:rPr>
        <w:t>euro</w:t>
      </w:r>
      <w:r w:rsidRPr="00D454E9">
        <w:t xml:space="preserve">). Faktiskie 2013.gada izdevumi bija 1 049 522 </w:t>
      </w:r>
      <w:r w:rsidRPr="00D454E9">
        <w:rPr>
          <w:i/>
        </w:rPr>
        <w:t>euro</w:t>
      </w:r>
      <w:r w:rsidRPr="00D454E9">
        <w:t xml:space="preserve">. Atlikums darbinieku prasījumu garantiju fondā uz 2014.gada 1.janvāri – 4 037 212 </w:t>
      </w:r>
      <w:r w:rsidRPr="00D454E9">
        <w:rPr>
          <w:i/>
        </w:rPr>
        <w:t>euro.</w:t>
      </w:r>
    </w:p>
    <w:p w14:paraId="5683F1E9" w14:textId="77777777" w:rsidR="005749B8" w:rsidRPr="00D454E9" w:rsidRDefault="005749B8" w:rsidP="00D454E9">
      <w:pPr>
        <w:ind w:firstLine="720"/>
        <w:jc w:val="both"/>
      </w:pPr>
      <w:r w:rsidRPr="00D454E9">
        <w:t>2014.gadā plānotie ieņēmumi bija 2 612</w:t>
      </w:r>
      <w:r w:rsidR="00533AA0">
        <w:t> </w:t>
      </w:r>
      <w:r w:rsidRPr="00D454E9">
        <w:t>815</w:t>
      </w:r>
      <w:r w:rsidR="00533AA0">
        <w:t> </w:t>
      </w:r>
      <w:r w:rsidRPr="00D454E9">
        <w:rPr>
          <w:i/>
        </w:rPr>
        <w:t>euro</w:t>
      </w:r>
      <w:r w:rsidRPr="00D454E9">
        <w:t>, bet plānotie izdevumi bija 1 747</w:t>
      </w:r>
      <w:r w:rsidR="00533AA0">
        <w:t> </w:t>
      </w:r>
      <w:r w:rsidRPr="00D454E9">
        <w:t>739</w:t>
      </w:r>
      <w:r w:rsidR="00533AA0">
        <w:t> </w:t>
      </w:r>
      <w:r w:rsidRPr="00D454E9">
        <w:rPr>
          <w:i/>
        </w:rPr>
        <w:t>euro</w:t>
      </w:r>
      <w:r w:rsidRPr="00D454E9">
        <w:t>. 2014.gadā tika plānots atlikums – darbinieku prasījumu garantiju fonda uzkrājuma veidošanai – 865</w:t>
      </w:r>
      <w:r w:rsidR="00533AA0">
        <w:t> </w:t>
      </w:r>
      <w:r w:rsidRPr="00D454E9">
        <w:t>076</w:t>
      </w:r>
      <w:r w:rsidR="00533AA0">
        <w:t> </w:t>
      </w:r>
      <w:r w:rsidRPr="00D454E9">
        <w:rPr>
          <w:i/>
        </w:rPr>
        <w:t>euro</w:t>
      </w:r>
      <w:r w:rsidRPr="00D454E9">
        <w:t xml:space="preserve">. </w:t>
      </w:r>
    </w:p>
    <w:p w14:paraId="1EE45349" w14:textId="77777777" w:rsidR="005749B8" w:rsidRPr="00D454E9" w:rsidRDefault="005749B8" w:rsidP="00D454E9">
      <w:pPr>
        <w:ind w:firstLine="720"/>
        <w:jc w:val="both"/>
        <w:rPr>
          <w:iCs/>
        </w:rPr>
      </w:pPr>
      <w:r w:rsidRPr="00D454E9">
        <w:t xml:space="preserve">Sakarā ar </w:t>
      </w:r>
      <w:r w:rsidRPr="00D454E9">
        <w:rPr>
          <w:iCs/>
        </w:rPr>
        <w:t>AS „Liepājas metalurgs</w:t>
      </w:r>
      <w:r w:rsidR="00533AA0">
        <w:rPr>
          <w:iCs/>
        </w:rPr>
        <w:t>”</w:t>
      </w:r>
      <w:r w:rsidR="00533AA0" w:rsidRPr="00D454E9">
        <w:rPr>
          <w:iCs/>
        </w:rPr>
        <w:t xml:space="preserve"> </w:t>
      </w:r>
      <w:r w:rsidRPr="00D454E9">
        <w:rPr>
          <w:iCs/>
        </w:rPr>
        <w:t xml:space="preserve">maksātnespēju un lielo darbinieku skaitu, kuriem bija jāsedz darbinieku prasījumi no darbinieku prasījumu garantiju fonda, papildu plānotajiem izdevumiem no iepriekšējo gadu atlikuma tika piešķirti papildu līdzekļi un palielināti izdevumi par 1 728 550 </w:t>
      </w:r>
      <w:r w:rsidRPr="00D454E9">
        <w:rPr>
          <w:i/>
          <w:iCs/>
        </w:rPr>
        <w:t>euro</w:t>
      </w:r>
      <w:r w:rsidRPr="00D454E9">
        <w:rPr>
          <w:iCs/>
        </w:rPr>
        <w:t xml:space="preserve">, tādējādi izdevumu kopsumma tika plānota 3 476 289 </w:t>
      </w:r>
      <w:r w:rsidRPr="00D454E9">
        <w:rPr>
          <w:i/>
          <w:iCs/>
        </w:rPr>
        <w:t>euro</w:t>
      </w:r>
      <w:r w:rsidRPr="00D454E9">
        <w:rPr>
          <w:iCs/>
        </w:rPr>
        <w:t xml:space="preserve"> apmērā. </w:t>
      </w:r>
    </w:p>
    <w:p w14:paraId="385BD09E" w14:textId="77777777" w:rsidR="005749B8" w:rsidRPr="00D454E9" w:rsidRDefault="005749B8" w:rsidP="00D454E9">
      <w:pPr>
        <w:ind w:firstLine="720"/>
        <w:jc w:val="both"/>
      </w:pPr>
      <w:r w:rsidRPr="00D454E9">
        <w:t xml:space="preserve">Faktiskie 2014.gada ieņēmumi bija 2 887 597 </w:t>
      </w:r>
      <w:r w:rsidRPr="00D454E9">
        <w:rPr>
          <w:i/>
        </w:rPr>
        <w:t>euro</w:t>
      </w:r>
      <w:r w:rsidRPr="00D454E9">
        <w:t xml:space="preserve"> (t.sk. URVN 2 726 825 </w:t>
      </w:r>
      <w:r w:rsidRPr="00D454E9">
        <w:rPr>
          <w:i/>
        </w:rPr>
        <w:t>euro</w:t>
      </w:r>
      <w:r w:rsidRPr="00D454E9">
        <w:t xml:space="preserve">; atgūtie līdzekļi 160 772 </w:t>
      </w:r>
      <w:r w:rsidRPr="00D454E9">
        <w:rPr>
          <w:i/>
        </w:rPr>
        <w:t>euro</w:t>
      </w:r>
      <w:r w:rsidRPr="00D454E9">
        <w:t xml:space="preserve">). Faktiskie 2014.gada izdevumi bija 2 663 441 </w:t>
      </w:r>
      <w:r w:rsidRPr="00D454E9">
        <w:rPr>
          <w:i/>
        </w:rPr>
        <w:t>euro</w:t>
      </w:r>
      <w:r w:rsidRPr="00D454E9">
        <w:t xml:space="preserve">. Atlikums darbinieku prasījumu garantiju fondā uz 2015.gada 1.janvāri – 4 261 369 </w:t>
      </w:r>
      <w:r w:rsidRPr="00D454E9">
        <w:rPr>
          <w:i/>
        </w:rPr>
        <w:t>euro</w:t>
      </w:r>
      <w:r w:rsidRPr="00D454E9">
        <w:t>.</w:t>
      </w:r>
    </w:p>
    <w:p w14:paraId="355F009C" w14:textId="77777777" w:rsidR="005749B8" w:rsidRPr="00D454E9" w:rsidRDefault="005749B8" w:rsidP="00D454E9">
      <w:pPr>
        <w:ind w:firstLine="720"/>
        <w:jc w:val="both"/>
        <w:rPr>
          <w:b/>
        </w:rPr>
      </w:pPr>
      <w:r w:rsidRPr="00D454E9">
        <w:t xml:space="preserve">2015.gadā plānotie ieņēmumi bija 2 717 158 </w:t>
      </w:r>
      <w:r w:rsidRPr="00D454E9">
        <w:rPr>
          <w:i/>
        </w:rPr>
        <w:t>euro</w:t>
      </w:r>
      <w:r w:rsidRPr="00D454E9">
        <w:t>, bet plānotie izdevumi bija 1 792</w:t>
      </w:r>
      <w:r w:rsidR="00A55017">
        <w:t> </w:t>
      </w:r>
      <w:r w:rsidRPr="00D454E9">
        <w:t>977</w:t>
      </w:r>
      <w:r w:rsidR="00A55017">
        <w:t> </w:t>
      </w:r>
      <w:r w:rsidRPr="00D454E9">
        <w:rPr>
          <w:i/>
        </w:rPr>
        <w:t>euro</w:t>
      </w:r>
      <w:r w:rsidRPr="00D454E9">
        <w:t xml:space="preserve">. 2015.gadā tika plānots atlikums – darbinieku prasījumu garantiju fonda uzkrājuma veidošanai – 924 181 </w:t>
      </w:r>
      <w:r w:rsidRPr="00D454E9">
        <w:rPr>
          <w:i/>
        </w:rPr>
        <w:t>euro</w:t>
      </w:r>
      <w:r w:rsidRPr="00D454E9">
        <w:t xml:space="preserve">. Faktiskie 2015.gada ieņēmumi bija 4 212 428 </w:t>
      </w:r>
      <w:r w:rsidRPr="00D454E9">
        <w:rPr>
          <w:i/>
        </w:rPr>
        <w:t>euro</w:t>
      </w:r>
      <w:r w:rsidRPr="00D454E9">
        <w:t xml:space="preserve"> (t.sk. URVN 2 771 876 </w:t>
      </w:r>
      <w:r w:rsidRPr="00D454E9">
        <w:rPr>
          <w:i/>
        </w:rPr>
        <w:t>euro</w:t>
      </w:r>
      <w:r w:rsidRPr="00D454E9">
        <w:t xml:space="preserve">; atgūtie līdzekļi 1 440 552 </w:t>
      </w:r>
      <w:r w:rsidRPr="00D454E9">
        <w:rPr>
          <w:i/>
        </w:rPr>
        <w:t>euro</w:t>
      </w:r>
      <w:r w:rsidRPr="00D454E9">
        <w:t xml:space="preserve">, t.sk. no MAS </w:t>
      </w:r>
      <w:r w:rsidRPr="00D454E9">
        <w:rPr>
          <w:iCs/>
        </w:rPr>
        <w:t>„Liepājas metalurgs</w:t>
      </w:r>
      <w:r w:rsidR="00A55017">
        <w:rPr>
          <w:iCs/>
        </w:rPr>
        <w:t>”</w:t>
      </w:r>
      <w:r w:rsidRPr="00D454E9">
        <w:rPr>
          <w:iCs/>
        </w:rPr>
        <w:t xml:space="preserve"> 2014.gadā izmaksātajiem atgūti 1 248 614 </w:t>
      </w:r>
      <w:r w:rsidRPr="00D454E9">
        <w:rPr>
          <w:i/>
          <w:iCs/>
        </w:rPr>
        <w:t xml:space="preserve">euro </w:t>
      </w:r>
      <w:r w:rsidRPr="00D454E9">
        <w:rPr>
          <w:iCs/>
        </w:rPr>
        <w:t>(100% apmērā)</w:t>
      </w:r>
      <w:r w:rsidRPr="00D454E9">
        <w:t xml:space="preserve">). Faktiskie 2015.gada izdevumi bija 1 159 057 </w:t>
      </w:r>
      <w:r w:rsidRPr="00D454E9">
        <w:rPr>
          <w:i/>
        </w:rPr>
        <w:t>euro</w:t>
      </w:r>
      <w:r w:rsidRPr="00D454E9">
        <w:t xml:space="preserve">. Atlikums darbinieku prasījumu garantiju fondā uz 2016.gada 1.janvāri – 7 314 740 </w:t>
      </w:r>
      <w:r w:rsidRPr="00D454E9">
        <w:rPr>
          <w:i/>
        </w:rPr>
        <w:t xml:space="preserve">euro </w:t>
      </w:r>
      <w:r w:rsidRPr="00D454E9">
        <w:t xml:space="preserve">(skatīt </w:t>
      </w:r>
      <w:r w:rsidR="00BD033F" w:rsidRPr="00D454E9">
        <w:t>8</w:t>
      </w:r>
      <w:r w:rsidRPr="00D454E9">
        <w:t>.tabulu)</w:t>
      </w:r>
      <w:r w:rsidRPr="00D454E9">
        <w:rPr>
          <w:i/>
        </w:rPr>
        <w:t>.</w:t>
      </w:r>
    </w:p>
    <w:p w14:paraId="18A737E4" w14:textId="77777777" w:rsidR="00466A8E" w:rsidRDefault="00466A8E" w:rsidP="005749B8">
      <w:pPr>
        <w:tabs>
          <w:tab w:val="left" w:pos="720"/>
        </w:tabs>
        <w:jc w:val="right"/>
        <w:rPr>
          <w:sz w:val="28"/>
          <w:szCs w:val="28"/>
        </w:rPr>
      </w:pPr>
    </w:p>
    <w:p w14:paraId="6217E9C9" w14:textId="77777777" w:rsidR="005749B8" w:rsidRPr="00F15A7C" w:rsidRDefault="00BD033F" w:rsidP="005749B8">
      <w:pPr>
        <w:tabs>
          <w:tab w:val="left" w:pos="720"/>
        </w:tabs>
        <w:jc w:val="right"/>
      </w:pPr>
      <w:r w:rsidRPr="00F15A7C">
        <w:t>8</w:t>
      </w:r>
      <w:r w:rsidR="005749B8" w:rsidRPr="00F15A7C">
        <w:t>.tabula</w:t>
      </w:r>
    </w:p>
    <w:p w14:paraId="4A70BA8E" w14:textId="77777777" w:rsidR="005749B8" w:rsidRPr="00F15A7C" w:rsidRDefault="005749B8" w:rsidP="005749B8">
      <w:pPr>
        <w:tabs>
          <w:tab w:val="left" w:pos="720"/>
        </w:tabs>
        <w:jc w:val="right"/>
        <w:rPr>
          <w:b/>
        </w:rPr>
      </w:pPr>
    </w:p>
    <w:p w14:paraId="61B1C10F" w14:textId="77777777" w:rsidR="005749B8" w:rsidRPr="00F15A7C" w:rsidRDefault="005749B8" w:rsidP="00F15A7C">
      <w:pPr>
        <w:tabs>
          <w:tab w:val="left" w:pos="720"/>
        </w:tabs>
        <w:spacing w:after="120"/>
        <w:jc w:val="center"/>
        <w:rPr>
          <w:b/>
        </w:rPr>
      </w:pPr>
      <w:r w:rsidRPr="00F15A7C">
        <w:rPr>
          <w:b/>
        </w:rPr>
        <w:t xml:space="preserve">Darbinieku prasījumu garantiju fonda faktisko ieņēmumu, izdevumu un atlikuma sadalījums pa to veidiem no 2011.gada līdz 2015.gadam, </w:t>
      </w:r>
      <w:r w:rsidRPr="00F15A7C">
        <w:rPr>
          <w:b/>
          <w:i/>
        </w:rPr>
        <w:t>euro</w:t>
      </w:r>
    </w:p>
    <w:tbl>
      <w:tblPr>
        <w:tblpPr w:leftFromText="180" w:rightFromText="180" w:vertAnchor="text" w:horzAnchor="margin" w:tblpXSpec="center" w:tblpY="94"/>
        <w:tblW w:w="9720" w:type="dxa"/>
        <w:tblLook w:val="04A0" w:firstRow="1" w:lastRow="0" w:firstColumn="1" w:lastColumn="0" w:noHBand="0" w:noVBand="1"/>
      </w:tblPr>
      <w:tblGrid>
        <w:gridCol w:w="3537"/>
        <w:gridCol w:w="1223"/>
        <w:gridCol w:w="1257"/>
        <w:gridCol w:w="1223"/>
        <w:gridCol w:w="1223"/>
        <w:gridCol w:w="1257"/>
      </w:tblGrid>
      <w:tr w:rsidR="005749B8" w14:paraId="432B2F98" w14:textId="77777777" w:rsidTr="00E30B90">
        <w:trPr>
          <w:trHeight w:val="330"/>
        </w:trPr>
        <w:tc>
          <w:tcPr>
            <w:tcW w:w="3537" w:type="dxa"/>
            <w:tcBorders>
              <w:top w:val="single" w:sz="8" w:space="0" w:color="auto"/>
              <w:left w:val="single" w:sz="8" w:space="0" w:color="auto"/>
              <w:bottom w:val="single" w:sz="8" w:space="0" w:color="auto"/>
              <w:right w:val="single" w:sz="8" w:space="0" w:color="auto"/>
            </w:tcBorders>
            <w:shd w:val="clear" w:color="000000" w:fill="C0C0C0"/>
            <w:vAlign w:val="bottom"/>
            <w:hideMark/>
          </w:tcPr>
          <w:p w14:paraId="7B4856BB" w14:textId="77777777" w:rsidR="005749B8" w:rsidRDefault="005749B8" w:rsidP="00E30B90">
            <w:pPr>
              <w:jc w:val="center"/>
              <w:rPr>
                <w:b/>
                <w:bCs/>
              </w:rPr>
            </w:pPr>
            <w:r>
              <w:rPr>
                <w:b/>
                <w:bCs/>
              </w:rPr>
              <w:t>Ieņēmumu un izdevumu veids</w:t>
            </w:r>
          </w:p>
        </w:tc>
        <w:tc>
          <w:tcPr>
            <w:tcW w:w="1223" w:type="dxa"/>
            <w:tcBorders>
              <w:top w:val="single" w:sz="8" w:space="0" w:color="auto"/>
              <w:left w:val="nil"/>
              <w:bottom w:val="single" w:sz="8" w:space="0" w:color="auto"/>
              <w:right w:val="single" w:sz="8" w:space="0" w:color="auto"/>
            </w:tcBorders>
            <w:shd w:val="clear" w:color="000000" w:fill="C0C0C0"/>
            <w:vAlign w:val="bottom"/>
            <w:hideMark/>
          </w:tcPr>
          <w:p w14:paraId="21342E8F" w14:textId="77777777" w:rsidR="005749B8" w:rsidRDefault="005749B8" w:rsidP="00E30B90">
            <w:pPr>
              <w:jc w:val="center"/>
              <w:rPr>
                <w:b/>
                <w:bCs/>
              </w:rPr>
            </w:pPr>
            <w:r>
              <w:rPr>
                <w:b/>
                <w:bCs/>
              </w:rPr>
              <w:t>2011.gads</w:t>
            </w:r>
          </w:p>
        </w:tc>
        <w:tc>
          <w:tcPr>
            <w:tcW w:w="1257" w:type="dxa"/>
            <w:tcBorders>
              <w:top w:val="single" w:sz="8" w:space="0" w:color="auto"/>
              <w:left w:val="nil"/>
              <w:bottom w:val="single" w:sz="8" w:space="0" w:color="auto"/>
              <w:right w:val="single" w:sz="8" w:space="0" w:color="auto"/>
            </w:tcBorders>
            <w:shd w:val="clear" w:color="000000" w:fill="C0C0C0"/>
            <w:vAlign w:val="bottom"/>
            <w:hideMark/>
          </w:tcPr>
          <w:p w14:paraId="69EAE9B5" w14:textId="77777777" w:rsidR="005749B8" w:rsidRDefault="005749B8" w:rsidP="00E30B90">
            <w:pPr>
              <w:jc w:val="center"/>
              <w:rPr>
                <w:b/>
                <w:bCs/>
              </w:rPr>
            </w:pPr>
            <w:r>
              <w:rPr>
                <w:b/>
                <w:bCs/>
              </w:rPr>
              <w:t>2012.gads</w:t>
            </w:r>
          </w:p>
        </w:tc>
        <w:tc>
          <w:tcPr>
            <w:tcW w:w="1223" w:type="dxa"/>
            <w:tcBorders>
              <w:top w:val="single" w:sz="8" w:space="0" w:color="auto"/>
              <w:left w:val="nil"/>
              <w:bottom w:val="single" w:sz="8" w:space="0" w:color="auto"/>
              <w:right w:val="single" w:sz="8" w:space="0" w:color="auto"/>
            </w:tcBorders>
            <w:shd w:val="clear" w:color="000000" w:fill="C0C0C0"/>
            <w:vAlign w:val="bottom"/>
            <w:hideMark/>
          </w:tcPr>
          <w:p w14:paraId="7414A2B6" w14:textId="77777777" w:rsidR="005749B8" w:rsidRDefault="005749B8" w:rsidP="00E30B90">
            <w:pPr>
              <w:jc w:val="center"/>
              <w:rPr>
                <w:b/>
                <w:bCs/>
              </w:rPr>
            </w:pPr>
            <w:r>
              <w:rPr>
                <w:b/>
                <w:bCs/>
              </w:rPr>
              <w:t>2013.gads</w:t>
            </w:r>
          </w:p>
        </w:tc>
        <w:tc>
          <w:tcPr>
            <w:tcW w:w="1223" w:type="dxa"/>
            <w:tcBorders>
              <w:top w:val="single" w:sz="8" w:space="0" w:color="auto"/>
              <w:left w:val="nil"/>
              <w:bottom w:val="single" w:sz="8" w:space="0" w:color="auto"/>
              <w:right w:val="single" w:sz="8" w:space="0" w:color="auto"/>
            </w:tcBorders>
            <w:shd w:val="clear" w:color="000000" w:fill="C0C0C0"/>
            <w:vAlign w:val="bottom"/>
            <w:hideMark/>
          </w:tcPr>
          <w:p w14:paraId="56B317C7" w14:textId="77777777" w:rsidR="005749B8" w:rsidRDefault="005749B8" w:rsidP="00E30B90">
            <w:pPr>
              <w:jc w:val="center"/>
              <w:rPr>
                <w:b/>
                <w:bCs/>
              </w:rPr>
            </w:pPr>
            <w:r>
              <w:rPr>
                <w:b/>
                <w:bCs/>
              </w:rPr>
              <w:t>2014.gads</w:t>
            </w:r>
          </w:p>
        </w:tc>
        <w:tc>
          <w:tcPr>
            <w:tcW w:w="1257" w:type="dxa"/>
            <w:tcBorders>
              <w:top w:val="single" w:sz="8" w:space="0" w:color="auto"/>
              <w:left w:val="nil"/>
              <w:bottom w:val="single" w:sz="8" w:space="0" w:color="auto"/>
              <w:right w:val="single" w:sz="8" w:space="0" w:color="auto"/>
            </w:tcBorders>
            <w:shd w:val="clear" w:color="000000" w:fill="C0C0C0"/>
            <w:vAlign w:val="bottom"/>
            <w:hideMark/>
          </w:tcPr>
          <w:p w14:paraId="2FA40A48" w14:textId="77777777" w:rsidR="005749B8" w:rsidRDefault="005749B8" w:rsidP="00E30B90">
            <w:pPr>
              <w:jc w:val="center"/>
              <w:rPr>
                <w:b/>
                <w:bCs/>
              </w:rPr>
            </w:pPr>
            <w:r>
              <w:rPr>
                <w:b/>
                <w:bCs/>
              </w:rPr>
              <w:t>2015.gads</w:t>
            </w:r>
          </w:p>
        </w:tc>
      </w:tr>
      <w:tr w:rsidR="005749B8" w14:paraId="72D5A354" w14:textId="77777777" w:rsidTr="006D355E">
        <w:trPr>
          <w:trHeight w:val="645"/>
        </w:trPr>
        <w:tc>
          <w:tcPr>
            <w:tcW w:w="3537" w:type="dxa"/>
            <w:tcBorders>
              <w:top w:val="nil"/>
              <w:left w:val="single" w:sz="8" w:space="0" w:color="auto"/>
              <w:bottom w:val="single" w:sz="8" w:space="0" w:color="auto"/>
              <w:right w:val="single" w:sz="8" w:space="0" w:color="auto"/>
            </w:tcBorders>
            <w:shd w:val="clear" w:color="auto" w:fill="auto"/>
            <w:hideMark/>
          </w:tcPr>
          <w:p w14:paraId="6ACD9FFA" w14:textId="77777777" w:rsidR="005749B8" w:rsidRDefault="005749B8" w:rsidP="00E30B90">
            <w:pPr>
              <w:jc w:val="both"/>
            </w:pPr>
            <w:r>
              <w:t>1. Darbinieku prasījumu garantiju fonda atlikums uz 1.janvāri</w:t>
            </w:r>
          </w:p>
        </w:tc>
        <w:tc>
          <w:tcPr>
            <w:tcW w:w="1223" w:type="dxa"/>
            <w:tcBorders>
              <w:top w:val="nil"/>
              <w:left w:val="nil"/>
              <w:bottom w:val="single" w:sz="8" w:space="0" w:color="auto"/>
              <w:right w:val="single" w:sz="8" w:space="0" w:color="auto"/>
            </w:tcBorders>
            <w:shd w:val="clear" w:color="auto" w:fill="auto"/>
            <w:vAlign w:val="center"/>
            <w:hideMark/>
          </w:tcPr>
          <w:p w14:paraId="6D7F17C7" w14:textId="77777777" w:rsidR="005749B8" w:rsidRDefault="005749B8" w:rsidP="00E30B90">
            <w:pPr>
              <w:jc w:val="right"/>
            </w:pPr>
            <w:r>
              <w:t>639 845</w:t>
            </w:r>
          </w:p>
        </w:tc>
        <w:tc>
          <w:tcPr>
            <w:tcW w:w="1257" w:type="dxa"/>
            <w:tcBorders>
              <w:top w:val="nil"/>
              <w:left w:val="nil"/>
              <w:bottom w:val="single" w:sz="8" w:space="0" w:color="auto"/>
              <w:right w:val="single" w:sz="8" w:space="0" w:color="auto"/>
            </w:tcBorders>
            <w:shd w:val="clear" w:color="auto" w:fill="auto"/>
            <w:vAlign w:val="center"/>
            <w:hideMark/>
          </w:tcPr>
          <w:p w14:paraId="3FC0251B" w14:textId="77777777" w:rsidR="005749B8" w:rsidRDefault="005749B8" w:rsidP="00E30B90">
            <w:pPr>
              <w:jc w:val="right"/>
            </w:pPr>
            <w:r>
              <w:t>624 601</w:t>
            </w:r>
          </w:p>
        </w:tc>
        <w:tc>
          <w:tcPr>
            <w:tcW w:w="1223" w:type="dxa"/>
            <w:tcBorders>
              <w:top w:val="nil"/>
              <w:left w:val="nil"/>
              <w:bottom w:val="single" w:sz="8" w:space="0" w:color="auto"/>
              <w:right w:val="single" w:sz="8" w:space="0" w:color="auto"/>
            </w:tcBorders>
            <w:shd w:val="clear" w:color="auto" w:fill="auto"/>
            <w:vAlign w:val="center"/>
            <w:hideMark/>
          </w:tcPr>
          <w:p w14:paraId="495C415E" w14:textId="77777777" w:rsidR="005749B8" w:rsidRDefault="005749B8" w:rsidP="00E30B90">
            <w:pPr>
              <w:jc w:val="right"/>
            </w:pPr>
            <w:r>
              <w:t>1 731 427</w:t>
            </w:r>
          </w:p>
        </w:tc>
        <w:tc>
          <w:tcPr>
            <w:tcW w:w="1223" w:type="dxa"/>
            <w:tcBorders>
              <w:top w:val="nil"/>
              <w:left w:val="nil"/>
              <w:bottom w:val="single" w:sz="8" w:space="0" w:color="auto"/>
              <w:right w:val="single" w:sz="8" w:space="0" w:color="auto"/>
            </w:tcBorders>
            <w:shd w:val="clear" w:color="auto" w:fill="auto"/>
            <w:vAlign w:val="center"/>
            <w:hideMark/>
          </w:tcPr>
          <w:p w14:paraId="734494B4" w14:textId="77777777" w:rsidR="005749B8" w:rsidRDefault="005749B8" w:rsidP="00E30B90">
            <w:pPr>
              <w:jc w:val="right"/>
            </w:pPr>
            <w:r>
              <w:t>4 037 212</w:t>
            </w:r>
          </w:p>
        </w:tc>
        <w:tc>
          <w:tcPr>
            <w:tcW w:w="1257" w:type="dxa"/>
            <w:tcBorders>
              <w:top w:val="nil"/>
              <w:left w:val="nil"/>
              <w:bottom w:val="single" w:sz="8" w:space="0" w:color="auto"/>
              <w:right w:val="single" w:sz="8" w:space="0" w:color="auto"/>
            </w:tcBorders>
            <w:shd w:val="clear" w:color="auto" w:fill="auto"/>
            <w:vAlign w:val="center"/>
            <w:hideMark/>
          </w:tcPr>
          <w:p w14:paraId="2909AA43" w14:textId="77777777" w:rsidR="005749B8" w:rsidRDefault="005749B8" w:rsidP="00E30B90">
            <w:pPr>
              <w:jc w:val="right"/>
            </w:pPr>
            <w:r>
              <w:t>4 261 369</w:t>
            </w:r>
          </w:p>
        </w:tc>
      </w:tr>
      <w:tr w:rsidR="005749B8" w14:paraId="046B562E" w14:textId="77777777" w:rsidTr="006D355E">
        <w:trPr>
          <w:trHeight w:val="330"/>
        </w:trPr>
        <w:tc>
          <w:tcPr>
            <w:tcW w:w="3537" w:type="dxa"/>
            <w:tcBorders>
              <w:top w:val="nil"/>
              <w:left w:val="single" w:sz="8" w:space="0" w:color="auto"/>
              <w:bottom w:val="single" w:sz="8" w:space="0" w:color="auto"/>
              <w:right w:val="single" w:sz="8" w:space="0" w:color="auto"/>
            </w:tcBorders>
            <w:shd w:val="clear" w:color="auto" w:fill="auto"/>
            <w:hideMark/>
          </w:tcPr>
          <w:p w14:paraId="08E7C94D" w14:textId="77777777" w:rsidR="005749B8" w:rsidRDefault="005749B8" w:rsidP="00E30B90">
            <w:pPr>
              <w:jc w:val="both"/>
              <w:rPr>
                <w:b/>
                <w:bCs/>
              </w:rPr>
            </w:pPr>
            <w:r>
              <w:rPr>
                <w:b/>
                <w:bCs/>
              </w:rPr>
              <w:t>2. Ieņēmumi – kopā (3+4):</w:t>
            </w:r>
          </w:p>
        </w:tc>
        <w:tc>
          <w:tcPr>
            <w:tcW w:w="1223" w:type="dxa"/>
            <w:tcBorders>
              <w:top w:val="nil"/>
              <w:left w:val="nil"/>
              <w:bottom w:val="single" w:sz="8" w:space="0" w:color="auto"/>
              <w:right w:val="single" w:sz="8" w:space="0" w:color="auto"/>
            </w:tcBorders>
            <w:shd w:val="clear" w:color="auto" w:fill="auto"/>
            <w:vAlign w:val="center"/>
            <w:hideMark/>
          </w:tcPr>
          <w:p w14:paraId="3F224525" w14:textId="77777777" w:rsidR="005749B8" w:rsidRDefault="005749B8" w:rsidP="00E30B90">
            <w:pPr>
              <w:jc w:val="right"/>
              <w:rPr>
                <w:b/>
                <w:bCs/>
              </w:rPr>
            </w:pPr>
            <w:r>
              <w:rPr>
                <w:b/>
                <w:bCs/>
              </w:rPr>
              <w:t>2 345 436</w:t>
            </w:r>
          </w:p>
        </w:tc>
        <w:tc>
          <w:tcPr>
            <w:tcW w:w="1257" w:type="dxa"/>
            <w:tcBorders>
              <w:top w:val="nil"/>
              <w:left w:val="nil"/>
              <w:bottom w:val="single" w:sz="8" w:space="0" w:color="auto"/>
              <w:right w:val="single" w:sz="8" w:space="0" w:color="auto"/>
            </w:tcBorders>
            <w:shd w:val="clear" w:color="auto" w:fill="auto"/>
            <w:vAlign w:val="center"/>
            <w:hideMark/>
          </w:tcPr>
          <w:p w14:paraId="20C382CC" w14:textId="77777777" w:rsidR="005749B8" w:rsidRDefault="005749B8" w:rsidP="00E30B90">
            <w:pPr>
              <w:jc w:val="right"/>
              <w:rPr>
                <w:b/>
                <w:bCs/>
              </w:rPr>
            </w:pPr>
            <w:r>
              <w:rPr>
                <w:b/>
                <w:bCs/>
              </w:rPr>
              <w:t>2 561 074</w:t>
            </w:r>
          </w:p>
        </w:tc>
        <w:tc>
          <w:tcPr>
            <w:tcW w:w="1223" w:type="dxa"/>
            <w:tcBorders>
              <w:top w:val="nil"/>
              <w:left w:val="nil"/>
              <w:bottom w:val="single" w:sz="8" w:space="0" w:color="auto"/>
              <w:right w:val="single" w:sz="8" w:space="0" w:color="auto"/>
            </w:tcBorders>
            <w:shd w:val="clear" w:color="auto" w:fill="auto"/>
            <w:vAlign w:val="center"/>
            <w:hideMark/>
          </w:tcPr>
          <w:p w14:paraId="077D843C" w14:textId="77777777" w:rsidR="005749B8" w:rsidRDefault="005749B8" w:rsidP="00E30B90">
            <w:pPr>
              <w:jc w:val="right"/>
              <w:rPr>
                <w:b/>
                <w:bCs/>
              </w:rPr>
            </w:pPr>
            <w:r>
              <w:rPr>
                <w:b/>
                <w:bCs/>
              </w:rPr>
              <w:t>3 355 307</w:t>
            </w:r>
          </w:p>
        </w:tc>
        <w:tc>
          <w:tcPr>
            <w:tcW w:w="1223" w:type="dxa"/>
            <w:tcBorders>
              <w:top w:val="nil"/>
              <w:left w:val="nil"/>
              <w:bottom w:val="single" w:sz="8" w:space="0" w:color="auto"/>
              <w:right w:val="single" w:sz="8" w:space="0" w:color="auto"/>
            </w:tcBorders>
            <w:shd w:val="clear" w:color="auto" w:fill="auto"/>
            <w:vAlign w:val="center"/>
            <w:hideMark/>
          </w:tcPr>
          <w:p w14:paraId="7546A725" w14:textId="77777777" w:rsidR="005749B8" w:rsidRDefault="005749B8" w:rsidP="00E30B90">
            <w:pPr>
              <w:jc w:val="right"/>
              <w:rPr>
                <w:b/>
                <w:bCs/>
              </w:rPr>
            </w:pPr>
            <w:r>
              <w:rPr>
                <w:b/>
                <w:bCs/>
              </w:rPr>
              <w:t>2 887 597</w:t>
            </w:r>
          </w:p>
        </w:tc>
        <w:tc>
          <w:tcPr>
            <w:tcW w:w="1257" w:type="dxa"/>
            <w:tcBorders>
              <w:top w:val="nil"/>
              <w:left w:val="nil"/>
              <w:bottom w:val="single" w:sz="8" w:space="0" w:color="auto"/>
              <w:right w:val="single" w:sz="8" w:space="0" w:color="auto"/>
            </w:tcBorders>
            <w:shd w:val="clear" w:color="auto" w:fill="auto"/>
            <w:vAlign w:val="center"/>
            <w:hideMark/>
          </w:tcPr>
          <w:p w14:paraId="32871CDF" w14:textId="77777777" w:rsidR="005749B8" w:rsidRDefault="005749B8" w:rsidP="00E30B90">
            <w:pPr>
              <w:jc w:val="right"/>
              <w:rPr>
                <w:b/>
                <w:bCs/>
              </w:rPr>
            </w:pPr>
            <w:r>
              <w:rPr>
                <w:b/>
                <w:bCs/>
              </w:rPr>
              <w:t>4 212 428</w:t>
            </w:r>
          </w:p>
        </w:tc>
      </w:tr>
      <w:tr w:rsidR="005749B8" w14:paraId="5739B4F6" w14:textId="77777777" w:rsidTr="006D355E">
        <w:trPr>
          <w:trHeight w:val="645"/>
        </w:trPr>
        <w:tc>
          <w:tcPr>
            <w:tcW w:w="3537" w:type="dxa"/>
            <w:tcBorders>
              <w:top w:val="nil"/>
              <w:left w:val="single" w:sz="8" w:space="0" w:color="auto"/>
              <w:bottom w:val="single" w:sz="8" w:space="0" w:color="auto"/>
              <w:right w:val="single" w:sz="8" w:space="0" w:color="auto"/>
            </w:tcBorders>
            <w:shd w:val="clear" w:color="auto" w:fill="auto"/>
            <w:hideMark/>
          </w:tcPr>
          <w:p w14:paraId="24D5DAE9" w14:textId="77777777" w:rsidR="005749B8" w:rsidRDefault="005749B8" w:rsidP="00E30B90">
            <w:pPr>
              <w:jc w:val="both"/>
            </w:pPr>
            <w:r>
              <w:t>3. Uzņēmējdarbības riska valsts nodevas daļa</w:t>
            </w:r>
          </w:p>
        </w:tc>
        <w:tc>
          <w:tcPr>
            <w:tcW w:w="1223" w:type="dxa"/>
            <w:tcBorders>
              <w:top w:val="nil"/>
              <w:left w:val="nil"/>
              <w:bottom w:val="single" w:sz="8" w:space="0" w:color="auto"/>
              <w:right w:val="single" w:sz="8" w:space="0" w:color="auto"/>
            </w:tcBorders>
            <w:shd w:val="clear" w:color="auto" w:fill="auto"/>
            <w:vAlign w:val="center"/>
            <w:hideMark/>
          </w:tcPr>
          <w:p w14:paraId="3B3BD8F6" w14:textId="77777777" w:rsidR="005749B8" w:rsidRDefault="005749B8" w:rsidP="00E30B90">
            <w:pPr>
              <w:jc w:val="right"/>
            </w:pPr>
            <w:r>
              <w:t>2 195 285</w:t>
            </w:r>
          </w:p>
        </w:tc>
        <w:tc>
          <w:tcPr>
            <w:tcW w:w="1257" w:type="dxa"/>
            <w:tcBorders>
              <w:top w:val="nil"/>
              <w:left w:val="nil"/>
              <w:bottom w:val="single" w:sz="8" w:space="0" w:color="auto"/>
              <w:right w:val="single" w:sz="8" w:space="0" w:color="auto"/>
            </w:tcBorders>
            <w:shd w:val="clear" w:color="auto" w:fill="auto"/>
            <w:vAlign w:val="center"/>
            <w:hideMark/>
          </w:tcPr>
          <w:p w14:paraId="01FF37AD" w14:textId="77777777" w:rsidR="005749B8" w:rsidRDefault="005749B8" w:rsidP="00E30B90">
            <w:pPr>
              <w:jc w:val="right"/>
            </w:pPr>
            <w:r>
              <w:t>2 368 407</w:t>
            </w:r>
          </w:p>
        </w:tc>
        <w:tc>
          <w:tcPr>
            <w:tcW w:w="1223" w:type="dxa"/>
            <w:tcBorders>
              <w:top w:val="nil"/>
              <w:left w:val="nil"/>
              <w:bottom w:val="single" w:sz="8" w:space="0" w:color="auto"/>
              <w:right w:val="single" w:sz="8" w:space="0" w:color="auto"/>
            </w:tcBorders>
            <w:shd w:val="clear" w:color="auto" w:fill="auto"/>
            <w:vAlign w:val="center"/>
            <w:hideMark/>
          </w:tcPr>
          <w:p w14:paraId="3707A750" w14:textId="77777777" w:rsidR="005749B8" w:rsidRDefault="005749B8" w:rsidP="00E30B90">
            <w:pPr>
              <w:jc w:val="right"/>
            </w:pPr>
            <w:r>
              <w:t>2 579 773</w:t>
            </w:r>
          </w:p>
        </w:tc>
        <w:tc>
          <w:tcPr>
            <w:tcW w:w="1223" w:type="dxa"/>
            <w:tcBorders>
              <w:top w:val="nil"/>
              <w:left w:val="nil"/>
              <w:bottom w:val="single" w:sz="8" w:space="0" w:color="auto"/>
              <w:right w:val="single" w:sz="8" w:space="0" w:color="auto"/>
            </w:tcBorders>
            <w:shd w:val="clear" w:color="auto" w:fill="auto"/>
            <w:vAlign w:val="center"/>
            <w:hideMark/>
          </w:tcPr>
          <w:p w14:paraId="3BAA7C23" w14:textId="77777777" w:rsidR="005749B8" w:rsidRDefault="005749B8" w:rsidP="00E30B90">
            <w:pPr>
              <w:jc w:val="right"/>
            </w:pPr>
            <w:r>
              <w:t>2 726 825</w:t>
            </w:r>
          </w:p>
        </w:tc>
        <w:tc>
          <w:tcPr>
            <w:tcW w:w="1257" w:type="dxa"/>
            <w:tcBorders>
              <w:top w:val="nil"/>
              <w:left w:val="nil"/>
              <w:bottom w:val="single" w:sz="8" w:space="0" w:color="auto"/>
              <w:right w:val="single" w:sz="8" w:space="0" w:color="auto"/>
            </w:tcBorders>
            <w:shd w:val="clear" w:color="auto" w:fill="auto"/>
            <w:vAlign w:val="center"/>
            <w:hideMark/>
          </w:tcPr>
          <w:p w14:paraId="16690D8E" w14:textId="77777777" w:rsidR="005749B8" w:rsidRDefault="005749B8" w:rsidP="00E30B90">
            <w:pPr>
              <w:jc w:val="right"/>
            </w:pPr>
            <w:r>
              <w:t>2 771 876</w:t>
            </w:r>
          </w:p>
        </w:tc>
      </w:tr>
      <w:tr w:rsidR="005749B8" w14:paraId="5B3F67AF" w14:textId="77777777" w:rsidTr="006D355E">
        <w:trPr>
          <w:trHeight w:val="645"/>
        </w:trPr>
        <w:tc>
          <w:tcPr>
            <w:tcW w:w="3537" w:type="dxa"/>
            <w:tcBorders>
              <w:top w:val="nil"/>
              <w:left w:val="single" w:sz="8" w:space="0" w:color="auto"/>
              <w:bottom w:val="single" w:sz="8" w:space="0" w:color="auto"/>
              <w:right w:val="single" w:sz="8" w:space="0" w:color="auto"/>
            </w:tcBorders>
            <w:shd w:val="clear" w:color="auto" w:fill="auto"/>
            <w:hideMark/>
          </w:tcPr>
          <w:p w14:paraId="5BE019EE" w14:textId="77777777" w:rsidR="005749B8" w:rsidRDefault="005749B8" w:rsidP="00E30B90">
            <w:pPr>
              <w:jc w:val="both"/>
            </w:pPr>
            <w:r>
              <w:t>4. Atgūtie līdzekļi maksātnespējas procesā</w:t>
            </w:r>
          </w:p>
        </w:tc>
        <w:tc>
          <w:tcPr>
            <w:tcW w:w="1223" w:type="dxa"/>
            <w:tcBorders>
              <w:top w:val="nil"/>
              <w:left w:val="nil"/>
              <w:bottom w:val="single" w:sz="8" w:space="0" w:color="auto"/>
              <w:right w:val="single" w:sz="8" w:space="0" w:color="auto"/>
            </w:tcBorders>
            <w:shd w:val="clear" w:color="auto" w:fill="auto"/>
            <w:vAlign w:val="center"/>
            <w:hideMark/>
          </w:tcPr>
          <w:p w14:paraId="3F4FB420" w14:textId="77777777" w:rsidR="005749B8" w:rsidRDefault="005749B8" w:rsidP="00E30B90">
            <w:pPr>
              <w:jc w:val="right"/>
            </w:pPr>
            <w:r>
              <w:t>150 151</w:t>
            </w:r>
          </w:p>
        </w:tc>
        <w:tc>
          <w:tcPr>
            <w:tcW w:w="1257" w:type="dxa"/>
            <w:tcBorders>
              <w:top w:val="nil"/>
              <w:left w:val="nil"/>
              <w:bottom w:val="single" w:sz="8" w:space="0" w:color="auto"/>
              <w:right w:val="single" w:sz="8" w:space="0" w:color="auto"/>
            </w:tcBorders>
            <w:shd w:val="clear" w:color="auto" w:fill="auto"/>
            <w:vAlign w:val="center"/>
            <w:hideMark/>
          </w:tcPr>
          <w:p w14:paraId="6FBE0258" w14:textId="77777777" w:rsidR="005749B8" w:rsidRDefault="005749B8" w:rsidP="00E30B90">
            <w:pPr>
              <w:jc w:val="right"/>
            </w:pPr>
            <w:r>
              <w:t>192 667</w:t>
            </w:r>
          </w:p>
        </w:tc>
        <w:tc>
          <w:tcPr>
            <w:tcW w:w="1223" w:type="dxa"/>
            <w:tcBorders>
              <w:top w:val="nil"/>
              <w:left w:val="nil"/>
              <w:bottom w:val="single" w:sz="8" w:space="0" w:color="auto"/>
              <w:right w:val="single" w:sz="8" w:space="0" w:color="auto"/>
            </w:tcBorders>
            <w:shd w:val="clear" w:color="auto" w:fill="auto"/>
            <w:vAlign w:val="center"/>
            <w:hideMark/>
          </w:tcPr>
          <w:p w14:paraId="676CD830" w14:textId="77777777" w:rsidR="005749B8" w:rsidRDefault="005749B8" w:rsidP="00E30B90">
            <w:pPr>
              <w:jc w:val="right"/>
            </w:pPr>
            <w:r>
              <w:t>775 534</w:t>
            </w:r>
          </w:p>
        </w:tc>
        <w:tc>
          <w:tcPr>
            <w:tcW w:w="1223" w:type="dxa"/>
            <w:tcBorders>
              <w:top w:val="nil"/>
              <w:left w:val="nil"/>
              <w:bottom w:val="single" w:sz="8" w:space="0" w:color="auto"/>
              <w:right w:val="single" w:sz="8" w:space="0" w:color="auto"/>
            </w:tcBorders>
            <w:shd w:val="clear" w:color="auto" w:fill="auto"/>
            <w:vAlign w:val="center"/>
            <w:hideMark/>
          </w:tcPr>
          <w:p w14:paraId="55AE8AC5" w14:textId="77777777" w:rsidR="005749B8" w:rsidRDefault="005749B8" w:rsidP="00E30B90">
            <w:pPr>
              <w:jc w:val="right"/>
            </w:pPr>
            <w:r>
              <w:t>160 772</w:t>
            </w:r>
          </w:p>
        </w:tc>
        <w:tc>
          <w:tcPr>
            <w:tcW w:w="1257" w:type="dxa"/>
            <w:tcBorders>
              <w:top w:val="nil"/>
              <w:left w:val="nil"/>
              <w:bottom w:val="single" w:sz="8" w:space="0" w:color="auto"/>
              <w:right w:val="single" w:sz="8" w:space="0" w:color="auto"/>
            </w:tcBorders>
            <w:shd w:val="clear" w:color="auto" w:fill="auto"/>
            <w:vAlign w:val="center"/>
            <w:hideMark/>
          </w:tcPr>
          <w:p w14:paraId="240E7F89" w14:textId="77777777" w:rsidR="005749B8" w:rsidRDefault="005749B8" w:rsidP="00E30B90">
            <w:pPr>
              <w:jc w:val="right"/>
            </w:pPr>
            <w:r>
              <w:t>1 440 552</w:t>
            </w:r>
          </w:p>
        </w:tc>
      </w:tr>
      <w:tr w:rsidR="005749B8" w14:paraId="0C6F75E3" w14:textId="77777777" w:rsidTr="006D355E">
        <w:trPr>
          <w:trHeight w:val="330"/>
        </w:trPr>
        <w:tc>
          <w:tcPr>
            <w:tcW w:w="3537" w:type="dxa"/>
            <w:tcBorders>
              <w:top w:val="nil"/>
              <w:left w:val="single" w:sz="8" w:space="0" w:color="auto"/>
              <w:bottom w:val="single" w:sz="8" w:space="0" w:color="auto"/>
              <w:right w:val="single" w:sz="8" w:space="0" w:color="auto"/>
            </w:tcBorders>
            <w:shd w:val="clear" w:color="auto" w:fill="auto"/>
            <w:hideMark/>
          </w:tcPr>
          <w:p w14:paraId="2A799844" w14:textId="77777777" w:rsidR="005749B8" w:rsidRDefault="005749B8" w:rsidP="00E30B90">
            <w:pPr>
              <w:jc w:val="both"/>
              <w:rPr>
                <w:b/>
                <w:bCs/>
              </w:rPr>
            </w:pPr>
            <w:r>
              <w:rPr>
                <w:b/>
                <w:bCs/>
              </w:rPr>
              <w:t>5. Izdevumi kopā (6+7+8+9):</w:t>
            </w:r>
          </w:p>
        </w:tc>
        <w:tc>
          <w:tcPr>
            <w:tcW w:w="1223" w:type="dxa"/>
            <w:tcBorders>
              <w:top w:val="nil"/>
              <w:left w:val="nil"/>
              <w:bottom w:val="single" w:sz="8" w:space="0" w:color="auto"/>
              <w:right w:val="single" w:sz="8" w:space="0" w:color="auto"/>
            </w:tcBorders>
            <w:shd w:val="clear" w:color="auto" w:fill="auto"/>
            <w:vAlign w:val="center"/>
            <w:hideMark/>
          </w:tcPr>
          <w:p w14:paraId="15D32D91" w14:textId="77777777" w:rsidR="005749B8" w:rsidRDefault="005749B8" w:rsidP="00E30B90">
            <w:pPr>
              <w:jc w:val="right"/>
              <w:rPr>
                <w:b/>
                <w:bCs/>
              </w:rPr>
            </w:pPr>
            <w:r>
              <w:rPr>
                <w:b/>
                <w:bCs/>
              </w:rPr>
              <w:t>2 360 680</w:t>
            </w:r>
          </w:p>
        </w:tc>
        <w:tc>
          <w:tcPr>
            <w:tcW w:w="1257" w:type="dxa"/>
            <w:tcBorders>
              <w:top w:val="nil"/>
              <w:left w:val="nil"/>
              <w:bottom w:val="single" w:sz="8" w:space="0" w:color="auto"/>
              <w:right w:val="single" w:sz="8" w:space="0" w:color="auto"/>
            </w:tcBorders>
            <w:shd w:val="clear" w:color="auto" w:fill="auto"/>
            <w:vAlign w:val="center"/>
            <w:hideMark/>
          </w:tcPr>
          <w:p w14:paraId="6187C461" w14:textId="77777777" w:rsidR="005749B8" w:rsidRDefault="005749B8" w:rsidP="00E30B90">
            <w:pPr>
              <w:jc w:val="right"/>
              <w:rPr>
                <w:b/>
                <w:bCs/>
              </w:rPr>
            </w:pPr>
            <w:r>
              <w:rPr>
                <w:b/>
                <w:bCs/>
              </w:rPr>
              <w:t>1 454 248</w:t>
            </w:r>
          </w:p>
        </w:tc>
        <w:tc>
          <w:tcPr>
            <w:tcW w:w="1223" w:type="dxa"/>
            <w:tcBorders>
              <w:top w:val="nil"/>
              <w:left w:val="nil"/>
              <w:bottom w:val="single" w:sz="8" w:space="0" w:color="auto"/>
              <w:right w:val="single" w:sz="8" w:space="0" w:color="auto"/>
            </w:tcBorders>
            <w:shd w:val="clear" w:color="auto" w:fill="auto"/>
            <w:vAlign w:val="center"/>
            <w:hideMark/>
          </w:tcPr>
          <w:p w14:paraId="308599A0" w14:textId="77777777" w:rsidR="005749B8" w:rsidRDefault="005749B8" w:rsidP="00E30B90">
            <w:pPr>
              <w:jc w:val="right"/>
              <w:rPr>
                <w:b/>
                <w:bCs/>
              </w:rPr>
            </w:pPr>
            <w:r>
              <w:rPr>
                <w:b/>
                <w:bCs/>
              </w:rPr>
              <w:t>1 049 522</w:t>
            </w:r>
          </w:p>
        </w:tc>
        <w:tc>
          <w:tcPr>
            <w:tcW w:w="1223" w:type="dxa"/>
            <w:tcBorders>
              <w:top w:val="nil"/>
              <w:left w:val="nil"/>
              <w:bottom w:val="single" w:sz="8" w:space="0" w:color="auto"/>
              <w:right w:val="single" w:sz="8" w:space="0" w:color="auto"/>
            </w:tcBorders>
            <w:shd w:val="clear" w:color="auto" w:fill="auto"/>
            <w:vAlign w:val="center"/>
            <w:hideMark/>
          </w:tcPr>
          <w:p w14:paraId="1063678B" w14:textId="77777777" w:rsidR="005749B8" w:rsidRDefault="005749B8" w:rsidP="00E30B90">
            <w:pPr>
              <w:jc w:val="right"/>
              <w:rPr>
                <w:b/>
                <w:bCs/>
              </w:rPr>
            </w:pPr>
            <w:r>
              <w:rPr>
                <w:b/>
                <w:bCs/>
              </w:rPr>
              <w:t>2 663 441</w:t>
            </w:r>
          </w:p>
        </w:tc>
        <w:tc>
          <w:tcPr>
            <w:tcW w:w="1257" w:type="dxa"/>
            <w:tcBorders>
              <w:top w:val="nil"/>
              <w:left w:val="nil"/>
              <w:bottom w:val="single" w:sz="8" w:space="0" w:color="auto"/>
              <w:right w:val="single" w:sz="8" w:space="0" w:color="auto"/>
            </w:tcBorders>
            <w:shd w:val="clear" w:color="auto" w:fill="auto"/>
            <w:vAlign w:val="center"/>
            <w:hideMark/>
          </w:tcPr>
          <w:p w14:paraId="5087FFDC" w14:textId="77777777" w:rsidR="005749B8" w:rsidRDefault="005749B8" w:rsidP="00E30B90">
            <w:pPr>
              <w:jc w:val="right"/>
              <w:rPr>
                <w:b/>
                <w:bCs/>
              </w:rPr>
            </w:pPr>
            <w:r>
              <w:rPr>
                <w:b/>
                <w:bCs/>
              </w:rPr>
              <w:t>1 159 057</w:t>
            </w:r>
          </w:p>
        </w:tc>
      </w:tr>
      <w:tr w:rsidR="005749B8" w14:paraId="46881040" w14:textId="77777777" w:rsidTr="006D355E">
        <w:trPr>
          <w:trHeight w:val="645"/>
        </w:trPr>
        <w:tc>
          <w:tcPr>
            <w:tcW w:w="3537" w:type="dxa"/>
            <w:tcBorders>
              <w:top w:val="nil"/>
              <w:left w:val="single" w:sz="8" w:space="0" w:color="auto"/>
              <w:bottom w:val="single" w:sz="8" w:space="0" w:color="auto"/>
              <w:right w:val="single" w:sz="8" w:space="0" w:color="auto"/>
            </w:tcBorders>
            <w:shd w:val="clear" w:color="auto" w:fill="auto"/>
            <w:hideMark/>
          </w:tcPr>
          <w:p w14:paraId="2B0A4C93" w14:textId="77777777" w:rsidR="005749B8" w:rsidRDefault="005749B8" w:rsidP="00E30B90">
            <w:pPr>
              <w:jc w:val="both"/>
            </w:pPr>
            <w:r>
              <w:t>6. Valsts sociālās apdrošināšanas obligātās iemaksas</w:t>
            </w:r>
          </w:p>
        </w:tc>
        <w:tc>
          <w:tcPr>
            <w:tcW w:w="1223" w:type="dxa"/>
            <w:tcBorders>
              <w:top w:val="nil"/>
              <w:left w:val="nil"/>
              <w:bottom w:val="single" w:sz="8" w:space="0" w:color="auto"/>
              <w:right w:val="single" w:sz="8" w:space="0" w:color="auto"/>
            </w:tcBorders>
            <w:shd w:val="clear" w:color="auto" w:fill="auto"/>
            <w:vAlign w:val="center"/>
            <w:hideMark/>
          </w:tcPr>
          <w:p w14:paraId="45286557" w14:textId="77777777" w:rsidR="005749B8" w:rsidRDefault="005749B8" w:rsidP="00E30B90">
            <w:pPr>
              <w:jc w:val="right"/>
            </w:pPr>
            <w:r>
              <w:t>602 285</w:t>
            </w:r>
          </w:p>
        </w:tc>
        <w:tc>
          <w:tcPr>
            <w:tcW w:w="1257" w:type="dxa"/>
            <w:tcBorders>
              <w:top w:val="nil"/>
              <w:left w:val="nil"/>
              <w:bottom w:val="single" w:sz="8" w:space="0" w:color="auto"/>
              <w:right w:val="single" w:sz="8" w:space="0" w:color="auto"/>
            </w:tcBorders>
            <w:shd w:val="clear" w:color="auto" w:fill="auto"/>
            <w:vAlign w:val="center"/>
            <w:hideMark/>
          </w:tcPr>
          <w:p w14:paraId="39C48E73" w14:textId="77777777" w:rsidR="005749B8" w:rsidRDefault="005749B8" w:rsidP="00E30B90">
            <w:pPr>
              <w:jc w:val="right"/>
            </w:pPr>
            <w:r>
              <w:t>353 776</w:t>
            </w:r>
          </w:p>
        </w:tc>
        <w:tc>
          <w:tcPr>
            <w:tcW w:w="1223" w:type="dxa"/>
            <w:tcBorders>
              <w:top w:val="nil"/>
              <w:left w:val="nil"/>
              <w:bottom w:val="single" w:sz="8" w:space="0" w:color="auto"/>
              <w:right w:val="single" w:sz="8" w:space="0" w:color="auto"/>
            </w:tcBorders>
            <w:shd w:val="clear" w:color="auto" w:fill="auto"/>
            <w:vAlign w:val="center"/>
            <w:hideMark/>
          </w:tcPr>
          <w:p w14:paraId="4499B56F" w14:textId="77777777" w:rsidR="005749B8" w:rsidRDefault="005749B8" w:rsidP="00E30B90">
            <w:pPr>
              <w:jc w:val="right"/>
            </w:pPr>
            <w:r>
              <w:t>259 429</w:t>
            </w:r>
          </w:p>
        </w:tc>
        <w:tc>
          <w:tcPr>
            <w:tcW w:w="1223" w:type="dxa"/>
            <w:tcBorders>
              <w:top w:val="nil"/>
              <w:left w:val="nil"/>
              <w:bottom w:val="single" w:sz="8" w:space="0" w:color="auto"/>
              <w:right w:val="single" w:sz="8" w:space="0" w:color="auto"/>
            </w:tcBorders>
            <w:shd w:val="clear" w:color="auto" w:fill="auto"/>
            <w:vAlign w:val="center"/>
            <w:hideMark/>
          </w:tcPr>
          <w:p w14:paraId="57D22D21" w14:textId="77777777" w:rsidR="005749B8" w:rsidRDefault="005749B8" w:rsidP="00E30B90">
            <w:pPr>
              <w:jc w:val="right"/>
            </w:pPr>
            <w:r>
              <w:t>680 214</w:t>
            </w:r>
          </w:p>
        </w:tc>
        <w:tc>
          <w:tcPr>
            <w:tcW w:w="1257" w:type="dxa"/>
            <w:tcBorders>
              <w:top w:val="nil"/>
              <w:left w:val="nil"/>
              <w:bottom w:val="single" w:sz="8" w:space="0" w:color="auto"/>
              <w:right w:val="single" w:sz="8" w:space="0" w:color="auto"/>
            </w:tcBorders>
            <w:shd w:val="clear" w:color="auto" w:fill="auto"/>
            <w:vAlign w:val="center"/>
            <w:hideMark/>
          </w:tcPr>
          <w:p w14:paraId="351A219B" w14:textId="77777777" w:rsidR="005749B8" w:rsidRDefault="005749B8" w:rsidP="00E30B90">
            <w:pPr>
              <w:jc w:val="right"/>
            </w:pPr>
            <w:r>
              <w:t>192 160</w:t>
            </w:r>
          </w:p>
        </w:tc>
      </w:tr>
      <w:tr w:rsidR="005749B8" w14:paraId="4B4BEBC3" w14:textId="77777777" w:rsidTr="006D355E">
        <w:trPr>
          <w:trHeight w:val="330"/>
        </w:trPr>
        <w:tc>
          <w:tcPr>
            <w:tcW w:w="3537" w:type="dxa"/>
            <w:tcBorders>
              <w:top w:val="nil"/>
              <w:left w:val="single" w:sz="8" w:space="0" w:color="auto"/>
              <w:bottom w:val="single" w:sz="8" w:space="0" w:color="auto"/>
              <w:right w:val="single" w:sz="8" w:space="0" w:color="auto"/>
            </w:tcBorders>
            <w:shd w:val="clear" w:color="auto" w:fill="auto"/>
            <w:hideMark/>
          </w:tcPr>
          <w:p w14:paraId="6CE43207" w14:textId="77777777" w:rsidR="005749B8" w:rsidRDefault="005749B8" w:rsidP="00E30B90">
            <w:pPr>
              <w:jc w:val="both"/>
            </w:pPr>
            <w:r>
              <w:t>7. Iedzīvotāju ienākuma nodoklis</w:t>
            </w:r>
          </w:p>
        </w:tc>
        <w:tc>
          <w:tcPr>
            <w:tcW w:w="1223" w:type="dxa"/>
            <w:tcBorders>
              <w:top w:val="nil"/>
              <w:left w:val="nil"/>
              <w:bottom w:val="single" w:sz="8" w:space="0" w:color="auto"/>
              <w:right w:val="single" w:sz="8" w:space="0" w:color="auto"/>
            </w:tcBorders>
            <w:shd w:val="clear" w:color="auto" w:fill="auto"/>
            <w:vAlign w:val="center"/>
            <w:hideMark/>
          </w:tcPr>
          <w:p w14:paraId="09601B07" w14:textId="77777777" w:rsidR="005749B8" w:rsidRDefault="005749B8" w:rsidP="00E30B90">
            <w:pPr>
              <w:jc w:val="right"/>
            </w:pPr>
            <w:r>
              <w:t>394 624</w:t>
            </w:r>
          </w:p>
        </w:tc>
        <w:tc>
          <w:tcPr>
            <w:tcW w:w="1257" w:type="dxa"/>
            <w:tcBorders>
              <w:top w:val="nil"/>
              <w:left w:val="nil"/>
              <w:bottom w:val="single" w:sz="8" w:space="0" w:color="auto"/>
              <w:right w:val="single" w:sz="8" w:space="0" w:color="auto"/>
            </w:tcBorders>
            <w:shd w:val="clear" w:color="auto" w:fill="auto"/>
            <w:vAlign w:val="center"/>
            <w:hideMark/>
          </w:tcPr>
          <w:p w14:paraId="46F97EFC" w14:textId="77777777" w:rsidR="005749B8" w:rsidRDefault="005749B8" w:rsidP="00E30B90">
            <w:pPr>
              <w:jc w:val="right"/>
            </w:pPr>
            <w:r>
              <w:t>247 800</w:t>
            </w:r>
          </w:p>
        </w:tc>
        <w:tc>
          <w:tcPr>
            <w:tcW w:w="1223" w:type="dxa"/>
            <w:tcBorders>
              <w:top w:val="nil"/>
              <w:left w:val="nil"/>
              <w:bottom w:val="single" w:sz="8" w:space="0" w:color="auto"/>
              <w:right w:val="single" w:sz="8" w:space="0" w:color="auto"/>
            </w:tcBorders>
            <w:shd w:val="clear" w:color="auto" w:fill="auto"/>
            <w:vAlign w:val="center"/>
            <w:hideMark/>
          </w:tcPr>
          <w:p w14:paraId="6C896029" w14:textId="77777777" w:rsidR="005749B8" w:rsidRDefault="005749B8" w:rsidP="00E30B90">
            <w:pPr>
              <w:jc w:val="right"/>
            </w:pPr>
            <w:r>
              <w:t>168 627</w:t>
            </w:r>
          </w:p>
        </w:tc>
        <w:tc>
          <w:tcPr>
            <w:tcW w:w="1223" w:type="dxa"/>
            <w:tcBorders>
              <w:top w:val="nil"/>
              <w:left w:val="nil"/>
              <w:bottom w:val="single" w:sz="8" w:space="0" w:color="auto"/>
              <w:right w:val="single" w:sz="8" w:space="0" w:color="auto"/>
            </w:tcBorders>
            <w:shd w:val="clear" w:color="auto" w:fill="auto"/>
            <w:vAlign w:val="center"/>
            <w:hideMark/>
          </w:tcPr>
          <w:p w14:paraId="6D3B0432" w14:textId="77777777" w:rsidR="005749B8" w:rsidRDefault="005749B8" w:rsidP="00E30B90">
            <w:pPr>
              <w:jc w:val="right"/>
            </w:pPr>
            <w:r>
              <w:t>442 592</w:t>
            </w:r>
          </w:p>
        </w:tc>
        <w:tc>
          <w:tcPr>
            <w:tcW w:w="1257" w:type="dxa"/>
            <w:tcBorders>
              <w:top w:val="nil"/>
              <w:left w:val="nil"/>
              <w:bottom w:val="single" w:sz="8" w:space="0" w:color="auto"/>
              <w:right w:val="single" w:sz="8" w:space="0" w:color="auto"/>
            </w:tcBorders>
            <w:shd w:val="clear" w:color="auto" w:fill="auto"/>
            <w:vAlign w:val="center"/>
            <w:hideMark/>
          </w:tcPr>
          <w:p w14:paraId="0C1CE362" w14:textId="77777777" w:rsidR="005749B8" w:rsidRDefault="005749B8" w:rsidP="00E30B90">
            <w:pPr>
              <w:jc w:val="right"/>
            </w:pPr>
            <w:r>
              <w:t>308 072</w:t>
            </w:r>
          </w:p>
        </w:tc>
      </w:tr>
      <w:tr w:rsidR="005749B8" w14:paraId="5FE8A6E6" w14:textId="77777777" w:rsidTr="006D355E">
        <w:trPr>
          <w:trHeight w:val="645"/>
        </w:trPr>
        <w:tc>
          <w:tcPr>
            <w:tcW w:w="3537" w:type="dxa"/>
            <w:tcBorders>
              <w:top w:val="nil"/>
              <w:left w:val="single" w:sz="8" w:space="0" w:color="auto"/>
              <w:bottom w:val="single" w:sz="8" w:space="0" w:color="auto"/>
              <w:right w:val="single" w:sz="8" w:space="0" w:color="auto"/>
            </w:tcBorders>
            <w:shd w:val="clear" w:color="auto" w:fill="auto"/>
            <w:hideMark/>
          </w:tcPr>
          <w:p w14:paraId="3AA0646B" w14:textId="77777777" w:rsidR="005749B8" w:rsidRDefault="005749B8" w:rsidP="00E30B90">
            <w:pPr>
              <w:jc w:val="both"/>
            </w:pPr>
            <w:r>
              <w:t>8. Maksātnespējīgo darba devēju darbinieku prasījumi (neto)</w:t>
            </w:r>
          </w:p>
        </w:tc>
        <w:tc>
          <w:tcPr>
            <w:tcW w:w="1223" w:type="dxa"/>
            <w:tcBorders>
              <w:top w:val="nil"/>
              <w:left w:val="nil"/>
              <w:bottom w:val="single" w:sz="8" w:space="0" w:color="auto"/>
              <w:right w:val="single" w:sz="8" w:space="0" w:color="auto"/>
            </w:tcBorders>
            <w:shd w:val="clear" w:color="auto" w:fill="auto"/>
            <w:vAlign w:val="center"/>
            <w:hideMark/>
          </w:tcPr>
          <w:p w14:paraId="363928C6" w14:textId="77777777" w:rsidR="005749B8" w:rsidRDefault="005749B8" w:rsidP="00E30B90">
            <w:pPr>
              <w:jc w:val="right"/>
            </w:pPr>
            <w:r>
              <w:t>1 363 771</w:t>
            </w:r>
          </w:p>
        </w:tc>
        <w:tc>
          <w:tcPr>
            <w:tcW w:w="1257" w:type="dxa"/>
            <w:tcBorders>
              <w:top w:val="nil"/>
              <w:left w:val="nil"/>
              <w:bottom w:val="single" w:sz="8" w:space="0" w:color="auto"/>
              <w:right w:val="single" w:sz="8" w:space="0" w:color="auto"/>
            </w:tcBorders>
            <w:shd w:val="clear" w:color="auto" w:fill="auto"/>
            <w:vAlign w:val="center"/>
            <w:hideMark/>
          </w:tcPr>
          <w:p w14:paraId="49DE0DD8" w14:textId="77777777" w:rsidR="005749B8" w:rsidRDefault="005749B8" w:rsidP="00E30B90">
            <w:pPr>
              <w:jc w:val="right"/>
            </w:pPr>
            <w:r>
              <w:t>852 672</w:t>
            </w:r>
          </w:p>
        </w:tc>
        <w:tc>
          <w:tcPr>
            <w:tcW w:w="1223" w:type="dxa"/>
            <w:tcBorders>
              <w:top w:val="nil"/>
              <w:left w:val="nil"/>
              <w:bottom w:val="single" w:sz="8" w:space="0" w:color="auto"/>
              <w:right w:val="single" w:sz="8" w:space="0" w:color="auto"/>
            </w:tcBorders>
            <w:shd w:val="clear" w:color="auto" w:fill="auto"/>
            <w:vAlign w:val="center"/>
            <w:hideMark/>
          </w:tcPr>
          <w:p w14:paraId="66C5F01B" w14:textId="77777777" w:rsidR="005749B8" w:rsidRDefault="005749B8" w:rsidP="00E30B90">
            <w:pPr>
              <w:jc w:val="right"/>
            </w:pPr>
            <w:r>
              <w:t>620 160</w:t>
            </w:r>
          </w:p>
        </w:tc>
        <w:tc>
          <w:tcPr>
            <w:tcW w:w="1223" w:type="dxa"/>
            <w:tcBorders>
              <w:top w:val="nil"/>
              <w:left w:val="nil"/>
              <w:bottom w:val="single" w:sz="8" w:space="0" w:color="auto"/>
              <w:right w:val="single" w:sz="8" w:space="0" w:color="auto"/>
            </w:tcBorders>
            <w:shd w:val="clear" w:color="auto" w:fill="auto"/>
            <w:vAlign w:val="center"/>
            <w:hideMark/>
          </w:tcPr>
          <w:p w14:paraId="52993771" w14:textId="77777777" w:rsidR="005749B8" w:rsidRDefault="005749B8" w:rsidP="00E30B90">
            <w:pPr>
              <w:jc w:val="right"/>
            </w:pPr>
            <w:r>
              <w:t>1 539 323</w:t>
            </w:r>
          </w:p>
        </w:tc>
        <w:tc>
          <w:tcPr>
            <w:tcW w:w="1257" w:type="dxa"/>
            <w:tcBorders>
              <w:top w:val="nil"/>
              <w:left w:val="nil"/>
              <w:bottom w:val="single" w:sz="8" w:space="0" w:color="auto"/>
              <w:right w:val="single" w:sz="8" w:space="0" w:color="auto"/>
            </w:tcBorders>
            <w:shd w:val="clear" w:color="auto" w:fill="auto"/>
            <w:vAlign w:val="center"/>
            <w:hideMark/>
          </w:tcPr>
          <w:p w14:paraId="5AF0B8A6" w14:textId="77777777" w:rsidR="005749B8" w:rsidRDefault="005749B8" w:rsidP="00E30B90">
            <w:pPr>
              <w:jc w:val="right"/>
            </w:pPr>
            <w:r>
              <w:t>656 815</w:t>
            </w:r>
          </w:p>
        </w:tc>
      </w:tr>
      <w:tr w:rsidR="005749B8" w14:paraId="45276FD3" w14:textId="77777777" w:rsidTr="006D355E">
        <w:trPr>
          <w:trHeight w:val="645"/>
        </w:trPr>
        <w:tc>
          <w:tcPr>
            <w:tcW w:w="3537" w:type="dxa"/>
            <w:tcBorders>
              <w:top w:val="nil"/>
              <w:left w:val="single" w:sz="8" w:space="0" w:color="auto"/>
              <w:bottom w:val="single" w:sz="8" w:space="0" w:color="auto"/>
              <w:right w:val="single" w:sz="8" w:space="0" w:color="auto"/>
            </w:tcBorders>
            <w:shd w:val="clear" w:color="auto" w:fill="auto"/>
            <w:hideMark/>
          </w:tcPr>
          <w:p w14:paraId="7B57A349" w14:textId="77777777" w:rsidR="005749B8" w:rsidRDefault="005749B8" w:rsidP="00E30B90">
            <w:pPr>
              <w:jc w:val="both"/>
            </w:pPr>
            <w:r>
              <w:t>9. Administratora atlīdzība par darbinieku prasījumu iesniegšanu</w:t>
            </w:r>
          </w:p>
        </w:tc>
        <w:tc>
          <w:tcPr>
            <w:tcW w:w="1223" w:type="dxa"/>
            <w:tcBorders>
              <w:top w:val="nil"/>
              <w:left w:val="nil"/>
              <w:bottom w:val="single" w:sz="8" w:space="0" w:color="auto"/>
              <w:right w:val="single" w:sz="8" w:space="0" w:color="auto"/>
            </w:tcBorders>
            <w:shd w:val="clear" w:color="auto" w:fill="auto"/>
            <w:vAlign w:val="center"/>
            <w:hideMark/>
          </w:tcPr>
          <w:p w14:paraId="6C2030A3" w14:textId="77777777" w:rsidR="005749B8" w:rsidRDefault="005749B8" w:rsidP="00E30B90">
            <w:pPr>
              <w:jc w:val="right"/>
            </w:pPr>
            <w:r>
              <w:t> </w:t>
            </w:r>
          </w:p>
        </w:tc>
        <w:tc>
          <w:tcPr>
            <w:tcW w:w="1257" w:type="dxa"/>
            <w:tcBorders>
              <w:top w:val="nil"/>
              <w:left w:val="nil"/>
              <w:bottom w:val="single" w:sz="8" w:space="0" w:color="auto"/>
              <w:right w:val="single" w:sz="8" w:space="0" w:color="auto"/>
            </w:tcBorders>
            <w:shd w:val="clear" w:color="auto" w:fill="auto"/>
            <w:vAlign w:val="center"/>
            <w:hideMark/>
          </w:tcPr>
          <w:p w14:paraId="29F6C6A4" w14:textId="77777777" w:rsidR="005749B8" w:rsidRDefault="005749B8" w:rsidP="00E30B90">
            <w:pPr>
              <w:jc w:val="right"/>
            </w:pPr>
            <w:r>
              <w:t> </w:t>
            </w:r>
          </w:p>
        </w:tc>
        <w:tc>
          <w:tcPr>
            <w:tcW w:w="1223" w:type="dxa"/>
            <w:tcBorders>
              <w:top w:val="nil"/>
              <w:left w:val="nil"/>
              <w:bottom w:val="single" w:sz="8" w:space="0" w:color="auto"/>
              <w:right w:val="single" w:sz="8" w:space="0" w:color="auto"/>
            </w:tcBorders>
            <w:shd w:val="clear" w:color="auto" w:fill="auto"/>
            <w:vAlign w:val="center"/>
            <w:hideMark/>
          </w:tcPr>
          <w:p w14:paraId="7B2F4AEE" w14:textId="77777777" w:rsidR="005749B8" w:rsidRDefault="005749B8" w:rsidP="00E30B90">
            <w:pPr>
              <w:jc w:val="right"/>
            </w:pPr>
            <w:r>
              <w:t>1306</w:t>
            </w:r>
          </w:p>
        </w:tc>
        <w:tc>
          <w:tcPr>
            <w:tcW w:w="1223" w:type="dxa"/>
            <w:tcBorders>
              <w:top w:val="nil"/>
              <w:left w:val="nil"/>
              <w:bottom w:val="single" w:sz="8" w:space="0" w:color="auto"/>
              <w:right w:val="single" w:sz="8" w:space="0" w:color="auto"/>
            </w:tcBorders>
            <w:shd w:val="clear" w:color="auto" w:fill="auto"/>
            <w:vAlign w:val="center"/>
            <w:hideMark/>
          </w:tcPr>
          <w:p w14:paraId="605A85FE" w14:textId="77777777" w:rsidR="005749B8" w:rsidRDefault="005749B8" w:rsidP="00E30B90">
            <w:pPr>
              <w:jc w:val="right"/>
            </w:pPr>
            <w:r>
              <w:t>1312</w:t>
            </w:r>
          </w:p>
        </w:tc>
        <w:tc>
          <w:tcPr>
            <w:tcW w:w="1257" w:type="dxa"/>
            <w:tcBorders>
              <w:top w:val="nil"/>
              <w:left w:val="nil"/>
              <w:bottom w:val="single" w:sz="8" w:space="0" w:color="auto"/>
              <w:right w:val="single" w:sz="8" w:space="0" w:color="auto"/>
            </w:tcBorders>
            <w:shd w:val="clear" w:color="auto" w:fill="auto"/>
            <w:vAlign w:val="center"/>
            <w:hideMark/>
          </w:tcPr>
          <w:p w14:paraId="0BD35318" w14:textId="77777777" w:rsidR="005749B8" w:rsidRDefault="005749B8" w:rsidP="00E30B90">
            <w:pPr>
              <w:jc w:val="right"/>
            </w:pPr>
            <w:r>
              <w:t>2010</w:t>
            </w:r>
          </w:p>
        </w:tc>
      </w:tr>
      <w:tr w:rsidR="005749B8" w14:paraId="1BFA88D7" w14:textId="77777777" w:rsidTr="006D355E">
        <w:trPr>
          <w:trHeight w:val="330"/>
        </w:trPr>
        <w:tc>
          <w:tcPr>
            <w:tcW w:w="3537" w:type="dxa"/>
            <w:tcBorders>
              <w:top w:val="nil"/>
              <w:left w:val="single" w:sz="8" w:space="0" w:color="auto"/>
              <w:bottom w:val="single" w:sz="8" w:space="0" w:color="auto"/>
              <w:right w:val="single" w:sz="8" w:space="0" w:color="auto"/>
            </w:tcBorders>
            <w:shd w:val="clear" w:color="auto" w:fill="auto"/>
            <w:hideMark/>
          </w:tcPr>
          <w:p w14:paraId="14F9BCA9" w14:textId="77777777" w:rsidR="005749B8" w:rsidRDefault="005749B8" w:rsidP="00E30B90">
            <w:pPr>
              <w:jc w:val="both"/>
              <w:rPr>
                <w:b/>
                <w:bCs/>
              </w:rPr>
            </w:pPr>
            <w:r>
              <w:rPr>
                <w:b/>
                <w:bCs/>
              </w:rPr>
              <w:t>Atlikums (1+2-5)</w:t>
            </w:r>
          </w:p>
        </w:tc>
        <w:tc>
          <w:tcPr>
            <w:tcW w:w="1223" w:type="dxa"/>
            <w:tcBorders>
              <w:top w:val="nil"/>
              <w:left w:val="nil"/>
              <w:bottom w:val="single" w:sz="8" w:space="0" w:color="auto"/>
              <w:right w:val="single" w:sz="8" w:space="0" w:color="auto"/>
            </w:tcBorders>
            <w:shd w:val="clear" w:color="auto" w:fill="auto"/>
            <w:vAlign w:val="center"/>
            <w:hideMark/>
          </w:tcPr>
          <w:p w14:paraId="4BC74C0D" w14:textId="77777777" w:rsidR="005749B8" w:rsidRDefault="005749B8" w:rsidP="00E30B90">
            <w:pPr>
              <w:jc w:val="right"/>
              <w:rPr>
                <w:b/>
                <w:bCs/>
              </w:rPr>
            </w:pPr>
            <w:r>
              <w:rPr>
                <w:b/>
                <w:bCs/>
              </w:rPr>
              <w:t>624 601</w:t>
            </w:r>
          </w:p>
        </w:tc>
        <w:tc>
          <w:tcPr>
            <w:tcW w:w="1257" w:type="dxa"/>
            <w:tcBorders>
              <w:top w:val="nil"/>
              <w:left w:val="nil"/>
              <w:bottom w:val="single" w:sz="8" w:space="0" w:color="auto"/>
              <w:right w:val="single" w:sz="8" w:space="0" w:color="auto"/>
            </w:tcBorders>
            <w:shd w:val="clear" w:color="auto" w:fill="auto"/>
            <w:vAlign w:val="center"/>
            <w:hideMark/>
          </w:tcPr>
          <w:p w14:paraId="37BD7274" w14:textId="77777777" w:rsidR="005749B8" w:rsidRDefault="005749B8" w:rsidP="00E30B90">
            <w:pPr>
              <w:jc w:val="right"/>
              <w:rPr>
                <w:b/>
                <w:bCs/>
              </w:rPr>
            </w:pPr>
            <w:r>
              <w:rPr>
                <w:b/>
                <w:bCs/>
              </w:rPr>
              <w:t>1 731 427</w:t>
            </w:r>
          </w:p>
        </w:tc>
        <w:tc>
          <w:tcPr>
            <w:tcW w:w="1223" w:type="dxa"/>
            <w:tcBorders>
              <w:top w:val="nil"/>
              <w:left w:val="nil"/>
              <w:bottom w:val="single" w:sz="8" w:space="0" w:color="auto"/>
              <w:right w:val="single" w:sz="8" w:space="0" w:color="auto"/>
            </w:tcBorders>
            <w:shd w:val="clear" w:color="auto" w:fill="auto"/>
            <w:vAlign w:val="center"/>
            <w:hideMark/>
          </w:tcPr>
          <w:p w14:paraId="79DC9CE9" w14:textId="77777777" w:rsidR="005749B8" w:rsidRDefault="005749B8" w:rsidP="00E30B90">
            <w:pPr>
              <w:jc w:val="right"/>
              <w:rPr>
                <w:b/>
                <w:bCs/>
              </w:rPr>
            </w:pPr>
            <w:r>
              <w:rPr>
                <w:b/>
                <w:bCs/>
              </w:rPr>
              <w:t>4 037 212</w:t>
            </w:r>
          </w:p>
        </w:tc>
        <w:tc>
          <w:tcPr>
            <w:tcW w:w="1223" w:type="dxa"/>
            <w:tcBorders>
              <w:top w:val="nil"/>
              <w:left w:val="nil"/>
              <w:bottom w:val="single" w:sz="8" w:space="0" w:color="auto"/>
              <w:right w:val="single" w:sz="8" w:space="0" w:color="auto"/>
            </w:tcBorders>
            <w:shd w:val="clear" w:color="auto" w:fill="auto"/>
            <w:vAlign w:val="center"/>
            <w:hideMark/>
          </w:tcPr>
          <w:p w14:paraId="1F7C8F82" w14:textId="77777777" w:rsidR="005749B8" w:rsidRDefault="005749B8" w:rsidP="00E30B90">
            <w:pPr>
              <w:jc w:val="right"/>
              <w:rPr>
                <w:b/>
                <w:bCs/>
              </w:rPr>
            </w:pPr>
            <w:r>
              <w:rPr>
                <w:b/>
                <w:bCs/>
              </w:rPr>
              <w:t>4 261 369</w:t>
            </w:r>
          </w:p>
        </w:tc>
        <w:tc>
          <w:tcPr>
            <w:tcW w:w="1257" w:type="dxa"/>
            <w:tcBorders>
              <w:top w:val="nil"/>
              <w:left w:val="nil"/>
              <w:bottom w:val="single" w:sz="8" w:space="0" w:color="auto"/>
              <w:right w:val="single" w:sz="8" w:space="0" w:color="auto"/>
            </w:tcBorders>
            <w:shd w:val="clear" w:color="auto" w:fill="auto"/>
            <w:vAlign w:val="center"/>
            <w:hideMark/>
          </w:tcPr>
          <w:p w14:paraId="089A2142" w14:textId="77777777" w:rsidR="005749B8" w:rsidRDefault="005749B8" w:rsidP="00E30B90">
            <w:pPr>
              <w:jc w:val="right"/>
              <w:rPr>
                <w:b/>
                <w:bCs/>
              </w:rPr>
            </w:pPr>
            <w:r>
              <w:rPr>
                <w:b/>
                <w:bCs/>
              </w:rPr>
              <w:t>7 314 740</w:t>
            </w:r>
          </w:p>
        </w:tc>
      </w:tr>
    </w:tbl>
    <w:p w14:paraId="75606BDB" w14:textId="77777777" w:rsidR="005749B8" w:rsidRPr="001E23E1" w:rsidRDefault="005749B8" w:rsidP="005749B8">
      <w:pPr>
        <w:tabs>
          <w:tab w:val="left" w:pos="720"/>
        </w:tabs>
        <w:jc w:val="right"/>
        <w:rPr>
          <w:sz w:val="20"/>
          <w:szCs w:val="20"/>
        </w:rPr>
      </w:pPr>
    </w:p>
    <w:p w14:paraId="0F16A2E7" w14:textId="77777777" w:rsidR="005749B8" w:rsidRPr="00F15A7C" w:rsidRDefault="005749B8" w:rsidP="005749B8">
      <w:pPr>
        <w:ind w:firstLine="720"/>
        <w:jc w:val="both"/>
      </w:pPr>
      <w:r w:rsidRPr="00F15A7C">
        <w:t xml:space="preserve">Sākot ar 2012.gadu, stājās spēkā norma, kas paredzēja no darbinieku prasījumu garantiju fonda izmaksāt administratora atlīdzību par darbinieku prasījumu iesniegšanu, taču praktiski administratora atlīdzība par darbinieku prasījumu iesniegšanu segšana no darbinieku prasījumu garantiju fonda uzsākta 2013.gadā, kad šim mērķim tika izmaksāti 1306 </w:t>
      </w:r>
      <w:r w:rsidRPr="00F15A7C">
        <w:rPr>
          <w:i/>
        </w:rPr>
        <w:t>euro</w:t>
      </w:r>
      <w:r w:rsidRPr="00F15A7C">
        <w:t xml:space="preserve">, 2014.gadā tika izmaksāti 1312 </w:t>
      </w:r>
      <w:r w:rsidRPr="00F15A7C">
        <w:rPr>
          <w:i/>
        </w:rPr>
        <w:t>euro</w:t>
      </w:r>
      <w:r w:rsidRPr="00F15A7C">
        <w:t xml:space="preserve">, 2015.gadā tika izmaksāti 2010 </w:t>
      </w:r>
      <w:r w:rsidRPr="00F15A7C">
        <w:rPr>
          <w:i/>
        </w:rPr>
        <w:t>euro</w:t>
      </w:r>
      <w:r w:rsidRPr="00F15A7C">
        <w:t>.</w:t>
      </w:r>
    </w:p>
    <w:p w14:paraId="72743296" w14:textId="77777777" w:rsidR="005749B8" w:rsidRPr="00F15A7C" w:rsidRDefault="005749B8" w:rsidP="005749B8">
      <w:pPr>
        <w:ind w:firstLine="720"/>
        <w:jc w:val="both"/>
      </w:pPr>
      <w:r w:rsidRPr="00F15A7C">
        <w:t xml:space="preserve">Kā tika norādīts informatīvajā ziņojumā par 2016.–2018.gadu, drošības garantam darbinieku prasījumu garantiju fondā vajadzētu būt vismaz 4 500 000 </w:t>
      </w:r>
      <w:r w:rsidRPr="00F15A7C">
        <w:rPr>
          <w:i/>
        </w:rPr>
        <w:t>euro</w:t>
      </w:r>
      <w:r w:rsidRPr="00F15A7C">
        <w:t xml:space="preserve">. Drošības garanta nepieciešamību apstiprināja arī viena no Latvijas lielākā uzņēmuma AS „Liepājas metalurgs” maksātnespējas procesa pasludināšana 2013.gada 12.novembrī, jo šī uzņēmuma maksātnespējas procesā 2014.gadā tika segti 1833 darbinieku prasījumi par kopējo summu 1 248 614 </w:t>
      </w:r>
      <w:r w:rsidRPr="00F15A7C">
        <w:rPr>
          <w:i/>
        </w:rPr>
        <w:t>euro</w:t>
      </w:r>
      <w:r w:rsidRPr="00F15A7C">
        <w:t xml:space="preserve">, jeb vidēji 681 </w:t>
      </w:r>
      <w:r w:rsidRPr="00F15A7C">
        <w:rPr>
          <w:i/>
        </w:rPr>
        <w:t>euro</w:t>
      </w:r>
      <w:r w:rsidRPr="00F15A7C">
        <w:t xml:space="preserve"> viena darbinieka prasījuma segšanai</w:t>
      </w:r>
      <w:r w:rsidRPr="00F15A7C">
        <w:rPr>
          <w:i/>
        </w:rPr>
        <w:t xml:space="preserve">. </w:t>
      </w:r>
      <w:r w:rsidRPr="00F15A7C">
        <w:t xml:space="preserve">Situācijā, ja visiem AS „Liepājas metalurgs” darbiniekiem būtu bijis jāsedz maksimālā summa, ko saskaņā ar normatīvo regulējumu un noteikto minimālo mēneša darba algu 2013.gadā varēja piešķirt no darbinieku prasījumu garantiju fonda viena darbinieka prasījumu segšanai, t.i., 1741,37 </w:t>
      </w:r>
      <w:r w:rsidRPr="00F15A7C">
        <w:rPr>
          <w:i/>
        </w:rPr>
        <w:t>euro</w:t>
      </w:r>
      <w:r w:rsidRPr="00F15A7C">
        <w:t xml:space="preserve">, būtu nepieciešami aptuveni 3 203 662 </w:t>
      </w:r>
      <w:r w:rsidRPr="00F15A7C">
        <w:rPr>
          <w:i/>
        </w:rPr>
        <w:t>euro</w:t>
      </w:r>
      <w:r w:rsidRPr="00F15A7C">
        <w:t xml:space="preserve"> (3 191 931 </w:t>
      </w:r>
      <w:r w:rsidRPr="00F15A7C">
        <w:rPr>
          <w:i/>
        </w:rPr>
        <w:t>euro</w:t>
      </w:r>
      <w:r w:rsidRPr="00F15A7C">
        <w:t xml:space="preserve"> – darbinieku prasījumu segšanai, 11 731 </w:t>
      </w:r>
      <w:r w:rsidRPr="00F15A7C">
        <w:rPr>
          <w:i/>
        </w:rPr>
        <w:t>euro</w:t>
      </w:r>
      <w:r w:rsidRPr="00F15A7C">
        <w:t xml:space="preserve"> – administratora atlīdzībai par darbinieku prasījumu iesniegšanu). AS „Liepājas metalurgs” maksātnespējas procesā faktiski piešķirtā vidējā summa viena darbinieka prasījuma segšanai sastādīja 681 </w:t>
      </w:r>
      <w:r w:rsidRPr="00F15A7C">
        <w:rPr>
          <w:i/>
        </w:rPr>
        <w:t>euro</w:t>
      </w:r>
      <w:r w:rsidRPr="00F15A7C">
        <w:t xml:space="preserve"> tikai tāpēc, ka uzņēmums līdz pat 2013.gada oktobrim bija godprātīgi pildījis savas saistības pret darbiniekiem un nebija veidojis darba samaksas parādus mēnešiem ilgi, kā tas notiek daudzos maksātnespējas procesos, kuros administratori vēršas Maksātnespējas administrācijā ar iesniegumiem par darbinieku prasījumu segšanu.</w:t>
      </w:r>
    </w:p>
    <w:p w14:paraId="6EC586F2" w14:textId="77777777" w:rsidR="005749B8" w:rsidRPr="00F15A7C" w:rsidRDefault="005749B8" w:rsidP="005749B8">
      <w:pPr>
        <w:ind w:firstLine="720"/>
        <w:jc w:val="both"/>
      </w:pPr>
      <w:r w:rsidRPr="00F15A7C">
        <w:t xml:space="preserve">Turklāt jāņem vērā, ka maksimālā izmaksājamā summa no darbinieku prasījumu garantiju fonda viena darbinieka prasījumu segšanai katru gadu palielinās, jo tās aprēķins ir piesaistīts minimālajai algai un tā katru gadu palielinās. Tā 2013.gadā maksimālā sedzamā summa bija 1741,37 </w:t>
      </w:r>
      <w:r w:rsidRPr="00F15A7C">
        <w:rPr>
          <w:i/>
        </w:rPr>
        <w:t>euro</w:t>
      </w:r>
      <w:r w:rsidRPr="00F15A7C">
        <w:t xml:space="preserve">, 2014.gadā 1950,44 </w:t>
      </w:r>
      <w:r w:rsidRPr="00F15A7C">
        <w:rPr>
          <w:i/>
        </w:rPr>
        <w:t>euro,</w:t>
      </w:r>
      <w:r w:rsidRPr="00F15A7C">
        <w:t xml:space="preserve"> 2015.gadā 2194,22 </w:t>
      </w:r>
      <w:r w:rsidRPr="00F15A7C">
        <w:rPr>
          <w:i/>
        </w:rPr>
        <w:t>euro</w:t>
      </w:r>
      <w:r w:rsidRPr="00F15A7C">
        <w:t xml:space="preserve"> un 2016.gadā 2255,02 </w:t>
      </w:r>
      <w:r w:rsidRPr="00F15A7C">
        <w:rPr>
          <w:i/>
        </w:rPr>
        <w:t>euro</w:t>
      </w:r>
      <w:r w:rsidRPr="00F15A7C">
        <w:t xml:space="preserve"> viena darbinieka prasījumu segšanai, kura darba devēja maksātnespējas process ir pasludināts attiecīgajā gadā. Drošības garanta summa, kas šobrīd (uz 2016.gada 1.janvāri) ir uzkrāta 7 314 740 </w:t>
      </w:r>
      <w:r w:rsidRPr="00F15A7C">
        <w:rPr>
          <w:i/>
        </w:rPr>
        <w:t>euro</w:t>
      </w:r>
      <w:r w:rsidRPr="00F15A7C">
        <w:t xml:space="preserve"> apmērā</w:t>
      </w:r>
      <w:r w:rsidRPr="00F15A7C">
        <w:rPr>
          <w:i/>
        </w:rPr>
        <w:t>,</w:t>
      </w:r>
      <w:r w:rsidRPr="00F15A7C">
        <w:t xml:space="preserve"> nākamajiem gadiem ir optimāla, un ir pieļaujams lēnāks uzkrājuma apmēra pieaugums.</w:t>
      </w:r>
    </w:p>
    <w:p w14:paraId="2AD6E5D4" w14:textId="77777777" w:rsidR="005749B8" w:rsidRDefault="005749B8" w:rsidP="005749B8">
      <w:pPr>
        <w:ind w:firstLine="720"/>
        <w:jc w:val="both"/>
        <w:rPr>
          <w:rStyle w:val="Strong"/>
          <w:b w:val="0"/>
          <w:bCs/>
        </w:rPr>
      </w:pPr>
      <w:r w:rsidRPr="00F15A7C">
        <w:rPr>
          <w:rStyle w:val="Strong"/>
          <w:b w:val="0"/>
          <w:bCs/>
        </w:rPr>
        <w:t xml:space="preserve">No 2011. līdz 2015.gadam no darbinieku prasījumu garantiju fonda ir veiktas izmaksas 8 686 948 </w:t>
      </w:r>
      <w:r w:rsidRPr="00F15A7C">
        <w:rPr>
          <w:rStyle w:val="Strong"/>
          <w:b w:val="0"/>
          <w:bCs/>
          <w:i/>
        </w:rPr>
        <w:t xml:space="preserve">euro </w:t>
      </w:r>
      <w:r w:rsidRPr="00F15A7C">
        <w:rPr>
          <w:rStyle w:val="Strong"/>
          <w:b w:val="0"/>
          <w:bCs/>
        </w:rPr>
        <w:t xml:space="preserve">apmērā, sedzot 822 maksātnespējīgo uzņēmumu 12 468 darbinieku prasījumus (skatīt </w:t>
      </w:r>
      <w:r w:rsidR="00BD033F" w:rsidRPr="00F15A7C">
        <w:rPr>
          <w:rStyle w:val="Strong"/>
          <w:b w:val="0"/>
          <w:bCs/>
        </w:rPr>
        <w:t>9</w:t>
      </w:r>
      <w:r w:rsidRPr="00F15A7C">
        <w:rPr>
          <w:rStyle w:val="Strong"/>
          <w:b w:val="0"/>
          <w:bCs/>
        </w:rPr>
        <w:t xml:space="preserve">.tabulu). Vidējā izmaksātā summa šajos piecos gados ir bijusi 715 </w:t>
      </w:r>
      <w:r w:rsidRPr="00F15A7C">
        <w:rPr>
          <w:rStyle w:val="Strong"/>
          <w:b w:val="0"/>
          <w:bCs/>
          <w:i/>
        </w:rPr>
        <w:t>euro</w:t>
      </w:r>
      <w:r w:rsidRPr="00F15A7C">
        <w:rPr>
          <w:rStyle w:val="Strong"/>
          <w:b w:val="0"/>
          <w:bCs/>
        </w:rPr>
        <w:t xml:space="preserve"> vienam darbiniekam (summu veido darbiniekam piešķirtā bruto summa un valsts sociālās apdrošināšanas obligāto iemaksu darba devēja daļa).</w:t>
      </w:r>
    </w:p>
    <w:p w14:paraId="113BCFDC" w14:textId="77777777" w:rsidR="00F15A7C" w:rsidRPr="00F15A7C" w:rsidRDefault="00F15A7C" w:rsidP="005749B8">
      <w:pPr>
        <w:ind w:firstLine="720"/>
        <w:jc w:val="both"/>
        <w:rPr>
          <w:rStyle w:val="Strong"/>
          <w:b w:val="0"/>
          <w:bCs/>
        </w:rPr>
      </w:pPr>
    </w:p>
    <w:p w14:paraId="3EA1D63B" w14:textId="77777777" w:rsidR="005749B8" w:rsidRPr="00F15A7C" w:rsidRDefault="00BD033F" w:rsidP="005749B8">
      <w:pPr>
        <w:tabs>
          <w:tab w:val="left" w:pos="720"/>
        </w:tabs>
        <w:jc w:val="right"/>
      </w:pPr>
      <w:r w:rsidRPr="00F15A7C">
        <w:t>9</w:t>
      </w:r>
      <w:r w:rsidR="005749B8" w:rsidRPr="00F15A7C">
        <w:t>.tabula</w:t>
      </w:r>
    </w:p>
    <w:p w14:paraId="61A46ED2" w14:textId="77777777" w:rsidR="005749B8" w:rsidRPr="003B2D11" w:rsidRDefault="005749B8" w:rsidP="005749B8">
      <w:pPr>
        <w:tabs>
          <w:tab w:val="left" w:pos="720"/>
        </w:tabs>
        <w:jc w:val="right"/>
        <w:rPr>
          <w:sz w:val="28"/>
          <w:szCs w:val="28"/>
        </w:rPr>
      </w:pPr>
    </w:p>
    <w:p w14:paraId="7C3C62E0" w14:textId="77777777" w:rsidR="005749B8" w:rsidRPr="001E23E1" w:rsidRDefault="005749B8" w:rsidP="00F15A7C">
      <w:pPr>
        <w:spacing w:after="120"/>
        <w:jc w:val="center"/>
        <w:rPr>
          <w:b/>
          <w:sz w:val="28"/>
          <w:szCs w:val="28"/>
        </w:rPr>
      </w:pPr>
      <w:r w:rsidRPr="00F15A7C">
        <w:rPr>
          <w:b/>
        </w:rPr>
        <w:t xml:space="preserve">Darbinieku prasījumu garantiju fonda faktiskie izdevumi, uzņēmumu un darbinieku skaits no 2011.gada līdz 2015.gadam, </w:t>
      </w:r>
      <w:r w:rsidRPr="00F15A7C">
        <w:rPr>
          <w:b/>
          <w:i/>
        </w:rPr>
        <w:t>euro</w:t>
      </w:r>
    </w:p>
    <w:tbl>
      <w:tblPr>
        <w:tblW w:w="7395" w:type="dxa"/>
        <w:jc w:val="center"/>
        <w:tblLook w:val="04A0" w:firstRow="1" w:lastRow="0" w:firstColumn="1" w:lastColumn="0" w:noHBand="0" w:noVBand="1"/>
      </w:tblPr>
      <w:tblGrid>
        <w:gridCol w:w="1552"/>
        <w:gridCol w:w="1380"/>
        <w:gridCol w:w="1523"/>
        <w:gridCol w:w="1537"/>
        <w:gridCol w:w="1403"/>
      </w:tblGrid>
      <w:tr w:rsidR="005749B8" w14:paraId="380991DA" w14:textId="77777777" w:rsidTr="00F15A7C">
        <w:trPr>
          <w:trHeight w:val="1575"/>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A1D7E" w14:textId="77777777" w:rsidR="005749B8" w:rsidRDefault="005749B8" w:rsidP="00E30B90">
            <w:pPr>
              <w:jc w:val="center"/>
              <w:rPr>
                <w:b/>
                <w:bCs/>
              </w:rPr>
            </w:pPr>
            <w:r>
              <w:rPr>
                <w:b/>
                <w:bCs/>
              </w:rPr>
              <w:t>Gads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03A36D4" w14:textId="77777777" w:rsidR="005749B8" w:rsidRDefault="005749B8" w:rsidP="00E30B90">
            <w:pPr>
              <w:jc w:val="center"/>
              <w:rPr>
                <w:b/>
                <w:bCs/>
              </w:rPr>
            </w:pPr>
            <w:r>
              <w:rPr>
                <w:b/>
                <w:bCs/>
              </w:rPr>
              <w:t>Faktiskie izdevumi</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4562480" w14:textId="77777777" w:rsidR="005749B8" w:rsidRDefault="005749B8" w:rsidP="00E30B90">
            <w:pPr>
              <w:jc w:val="center"/>
              <w:rPr>
                <w:b/>
                <w:bCs/>
              </w:rPr>
            </w:pPr>
            <w:r>
              <w:rPr>
                <w:b/>
                <w:bCs/>
              </w:rPr>
              <w:t>Apmierināto darbinieku skaits</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7C33943" w14:textId="77777777" w:rsidR="005749B8" w:rsidRDefault="005749B8" w:rsidP="00E30B90">
            <w:pPr>
              <w:jc w:val="center"/>
              <w:rPr>
                <w:b/>
                <w:bCs/>
              </w:rPr>
            </w:pPr>
            <w:r>
              <w:rPr>
                <w:b/>
                <w:bCs/>
              </w:rPr>
              <w:t>Vidējā summa vienam darbiniekam</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07789570" w14:textId="77777777" w:rsidR="005749B8" w:rsidRDefault="005749B8" w:rsidP="00E30B90">
            <w:pPr>
              <w:jc w:val="center"/>
              <w:rPr>
                <w:b/>
                <w:bCs/>
              </w:rPr>
            </w:pPr>
            <w:r>
              <w:rPr>
                <w:b/>
                <w:bCs/>
              </w:rPr>
              <w:t>Uzņēmumu skaits</w:t>
            </w:r>
          </w:p>
        </w:tc>
      </w:tr>
      <w:tr w:rsidR="005749B8" w14:paraId="68509F74" w14:textId="77777777" w:rsidTr="00F15A7C">
        <w:trPr>
          <w:trHeight w:val="315"/>
          <w:jc w:val="center"/>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14:paraId="622D1975" w14:textId="77777777" w:rsidR="005749B8" w:rsidRDefault="005749B8" w:rsidP="00E30B90">
            <w:pPr>
              <w:jc w:val="right"/>
            </w:pPr>
            <w:r>
              <w:t>2011.gads</w:t>
            </w:r>
          </w:p>
        </w:tc>
        <w:tc>
          <w:tcPr>
            <w:tcW w:w="1380" w:type="dxa"/>
            <w:tcBorders>
              <w:top w:val="nil"/>
              <w:left w:val="nil"/>
              <w:bottom w:val="single" w:sz="4" w:space="0" w:color="auto"/>
              <w:right w:val="single" w:sz="4" w:space="0" w:color="auto"/>
            </w:tcBorders>
            <w:shd w:val="clear" w:color="auto" w:fill="auto"/>
            <w:vAlign w:val="bottom"/>
            <w:hideMark/>
          </w:tcPr>
          <w:p w14:paraId="77367F5B" w14:textId="77777777" w:rsidR="005749B8" w:rsidRDefault="005749B8" w:rsidP="00E30B90">
            <w:pPr>
              <w:jc w:val="right"/>
            </w:pPr>
            <w:r>
              <w:t>2 360 680</w:t>
            </w:r>
          </w:p>
        </w:tc>
        <w:tc>
          <w:tcPr>
            <w:tcW w:w="1523" w:type="dxa"/>
            <w:tcBorders>
              <w:top w:val="nil"/>
              <w:left w:val="nil"/>
              <w:bottom w:val="single" w:sz="4" w:space="0" w:color="auto"/>
              <w:right w:val="single" w:sz="4" w:space="0" w:color="auto"/>
            </w:tcBorders>
            <w:shd w:val="clear" w:color="auto" w:fill="auto"/>
            <w:noWrap/>
            <w:vAlign w:val="bottom"/>
            <w:hideMark/>
          </w:tcPr>
          <w:p w14:paraId="00C0CECF" w14:textId="77777777" w:rsidR="005749B8" w:rsidRDefault="005749B8" w:rsidP="00E30B90">
            <w:pPr>
              <w:jc w:val="right"/>
            </w:pPr>
            <w:r>
              <w:t>3 870</w:t>
            </w:r>
          </w:p>
        </w:tc>
        <w:tc>
          <w:tcPr>
            <w:tcW w:w="1537" w:type="dxa"/>
            <w:tcBorders>
              <w:top w:val="nil"/>
              <w:left w:val="nil"/>
              <w:bottom w:val="single" w:sz="4" w:space="0" w:color="auto"/>
              <w:right w:val="single" w:sz="4" w:space="0" w:color="auto"/>
            </w:tcBorders>
            <w:shd w:val="clear" w:color="auto" w:fill="auto"/>
            <w:vAlign w:val="bottom"/>
            <w:hideMark/>
          </w:tcPr>
          <w:p w14:paraId="7FCA7B57" w14:textId="77777777" w:rsidR="005749B8" w:rsidRDefault="005749B8" w:rsidP="00E30B90">
            <w:pPr>
              <w:jc w:val="right"/>
            </w:pPr>
            <w:r>
              <w:t>610</w:t>
            </w:r>
          </w:p>
        </w:tc>
        <w:tc>
          <w:tcPr>
            <w:tcW w:w="1403" w:type="dxa"/>
            <w:tcBorders>
              <w:top w:val="nil"/>
              <w:left w:val="nil"/>
              <w:bottom w:val="single" w:sz="4" w:space="0" w:color="auto"/>
              <w:right w:val="single" w:sz="4" w:space="0" w:color="auto"/>
            </w:tcBorders>
            <w:shd w:val="clear" w:color="auto" w:fill="auto"/>
            <w:noWrap/>
            <w:vAlign w:val="bottom"/>
            <w:hideMark/>
          </w:tcPr>
          <w:p w14:paraId="15EAB5E4" w14:textId="77777777" w:rsidR="005749B8" w:rsidRDefault="005749B8" w:rsidP="00E30B90">
            <w:pPr>
              <w:jc w:val="right"/>
            </w:pPr>
            <w:r>
              <w:t>303</w:t>
            </w:r>
          </w:p>
        </w:tc>
      </w:tr>
      <w:tr w:rsidR="005749B8" w14:paraId="43D59396" w14:textId="77777777" w:rsidTr="00F15A7C">
        <w:trPr>
          <w:trHeight w:val="315"/>
          <w:jc w:val="center"/>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14:paraId="780204BF" w14:textId="77777777" w:rsidR="005749B8" w:rsidRDefault="005749B8" w:rsidP="00E30B90">
            <w:pPr>
              <w:jc w:val="right"/>
            </w:pPr>
            <w:r>
              <w:t>2012.gads</w:t>
            </w:r>
          </w:p>
        </w:tc>
        <w:tc>
          <w:tcPr>
            <w:tcW w:w="1380" w:type="dxa"/>
            <w:tcBorders>
              <w:top w:val="nil"/>
              <w:left w:val="nil"/>
              <w:bottom w:val="single" w:sz="4" w:space="0" w:color="auto"/>
              <w:right w:val="single" w:sz="4" w:space="0" w:color="auto"/>
            </w:tcBorders>
            <w:shd w:val="clear" w:color="auto" w:fill="auto"/>
            <w:vAlign w:val="bottom"/>
            <w:hideMark/>
          </w:tcPr>
          <w:p w14:paraId="007D0AE7" w14:textId="77777777" w:rsidR="005749B8" w:rsidRDefault="005749B8" w:rsidP="00E30B90">
            <w:pPr>
              <w:jc w:val="right"/>
            </w:pPr>
            <w:r>
              <w:t>1 454 248</w:t>
            </w:r>
          </w:p>
        </w:tc>
        <w:tc>
          <w:tcPr>
            <w:tcW w:w="1523" w:type="dxa"/>
            <w:tcBorders>
              <w:top w:val="nil"/>
              <w:left w:val="nil"/>
              <w:bottom w:val="single" w:sz="4" w:space="0" w:color="auto"/>
              <w:right w:val="single" w:sz="4" w:space="0" w:color="auto"/>
            </w:tcBorders>
            <w:shd w:val="clear" w:color="auto" w:fill="auto"/>
            <w:noWrap/>
            <w:vAlign w:val="bottom"/>
            <w:hideMark/>
          </w:tcPr>
          <w:p w14:paraId="5817E89A" w14:textId="77777777" w:rsidR="005749B8" w:rsidRDefault="005749B8" w:rsidP="00E30B90">
            <w:pPr>
              <w:jc w:val="right"/>
            </w:pPr>
            <w:r>
              <w:t>2 158</w:t>
            </w:r>
          </w:p>
        </w:tc>
        <w:tc>
          <w:tcPr>
            <w:tcW w:w="1537" w:type="dxa"/>
            <w:tcBorders>
              <w:top w:val="nil"/>
              <w:left w:val="nil"/>
              <w:bottom w:val="single" w:sz="4" w:space="0" w:color="auto"/>
              <w:right w:val="single" w:sz="4" w:space="0" w:color="auto"/>
            </w:tcBorders>
            <w:shd w:val="clear" w:color="auto" w:fill="auto"/>
            <w:vAlign w:val="bottom"/>
            <w:hideMark/>
          </w:tcPr>
          <w:p w14:paraId="28434DFD" w14:textId="77777777" w:rsidR="005749B8" w:rsidRDefault="005749B8" w:rsidP="00E30B90">
            <w:pPr>
              <w:jc w:val="right"/>
            </w:pPr>
            <w:r>
              <w:t>674</w:t>
            </w:r>
          </w:p>
        </w:tc>
        <w:tc>
          <w:tcPr>
            <w:tcW w:w="1403" w:type="dxa"/>
            <w:tcBorders>
              <w:top w:val="nil"/>
              <w:left w:val="nil"/>
              <w:bottom w:val="single" w:sz="4" w:space="0" w:color="auto"/>
              <w:right w:val="single" w:sz="4" w:space="0" w:color="auto"/>
            </w:tcBorders>
            <w:shd w:val="clear" w:color="auto" w:fill="auto"/>
            <w:noWrap/>
            <w:vAlign w:val="bottom"/>
            <w:hideMark/>
          </w:tcPr>
          <w:p w14:paraId="3913B362" w14:textId="77777777" w:rsidR="005749B8" w:rsidRDefault="005749B8" w:rsidP="00E30B90">
            <w:pPr>
              <w:jc w:val="right"/>
            </w:pPr>
            <w:r>
              <w:t>172</w:t>
            </w:r>
          </w:p>
        </w:tc>
      </w:tr>
      <w:tr w:rsidR="005749B8" w14:paraId="1C72C9F9" w14:textId="77777777" w:rsidTr="00F15A7C">
        <w:trPr>
          <w:trHeight w:val="315"/>
          <w:jc w:val="center"/>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14:paraId="738BCB4A" w14:textId="77777777" w:rsidR="005749B8" w:rsidRDefault="005749B8" w:rsidP="00E30B90">
            <w:pPr>
              <w:jc w:val="right"/>
            </w:pPr>
            <w:r>
              <w:t>2013.gads</w:t>
            </w:r>
          </w:p>
        </w:tc>
        <w:tc>
          <w:tcPr>
            <w:tcW w:w="1380" w:type="dxa"/>
            <w:tcBorders>
              <w:top w:val="nil"/>
              <w:left w:val="nil"/>
              <w:bottom w:val="single" w:sz="4" w:space="0" w:color="auto"/>
              <w:right w:val="single" w:sz="4" w:space="0" w:color="auto"/>
            </w:tcBorders>
            <w:shd w:val="clear" w:color="auto" w:fill="auto"/>
            <w:vAlign w:val="bottom"/>
            <w:hideMark/>
          </w:tcPr>
          <w:p w14:paraId="5502C201" w14:textId="77777777" w:rsidR="005749B8" w:rsidRDefault="005749B8" w:rsidP="00E30B90">
            <w:pPr>
              <w:jc w:val="right"/>
            </w:pPr>
            <w:r>
              <w:t>1 049 522</w:t>
            </w:r>
          </w:p>
        </w:tc>
        <w:tc>
          <w:tcPr>
            <w:tcW w:w="1523" w:type="dxa"/>
            <w:tcBorders>
              <w:top w:val="nil"/>
              <w:left w:val="nil"/>
              <w:bottom w:val="single" w:sz="4" w:space="0" w:color="auto"/>
              <w:right w:val="single" w:sz="4" w:space="0" w:color="auto"/>
            </w:tcBorders>
            <w:shd w:val="clear" w:color="auto" w:fill="auto"/>
            <w:noWrap/>
            <w:vAlign w:val="bottom"/>
            <w:hideMark/>
          </w:tcPr>
          <w:p w14:paraId="65D97E65" w14:textId="77777777" w:rsidR="005749B8" w:rsidRDefault="005749B8" w:rsidP="00E30B90">
            <w:pPr>
              <w:jc w:val="right"/>
            </w:pPr>
            <w:r>
              <w:t>1 418</w:t>
            </w:r>
          </w:p>
        </w:tc>
        <w:tc>
          <w:tcPr>
            <w:tcW w:w="1537" w:type="dxa"/>
            <w:tcBorders>
              <w:top w:val="nil"/>
              <w:left w:val="nil"/>
              <w:bottom w:val="single" w:sz="4" w:space="0" w:color="auto"/>
              <w:right w:val="single" w:sz="4" w:space="0" w:color="auto"/>
            </w:tcBorders>
            <w:shd w:val="clear" w:color="auto" w:fill="auto"/>
            <w:vAlign w:val="bottom"/>
            <w:hideMark/>
          </w:tcPr>
          <w:p w14:paraId="63D2E751" w14:textId="77777777" w:rsidR="005749B8" w:rsidRDefault="005749B8" w:rsidP="00E30B90">
            <w:pPr>
              <w:jc w:val="right"/>
            </w:pPr>
            <w:r>
              <w:t>740</w:t>
            </w:r>
          </w:p>
        </w:tc>
        <w:tc>
          <w:tcPr>
            <w:tcW w:w="1403" w:type="dxa"/>
            <w:tcBorders>
              <w:top w:val="nil"/>
              <w:left w:val="nil"/>
              <w:bottom w:val="single" w:sz="4" w:space="0" w:color="auto"/>
              <w:right w:val="single" w:sz="4" w:space="0" w:color="auto"/>
            </w:tcBorders>
            <w:shd w:val="clear" w:color="auto" w:fill="auto"/>
            <w:noWrap/>
            <w:vAlign w:val="bottom"/>
            <w:hideMark/>
          </w:tcPr>
          <w:p w14:paraId="2D010D95" w14:textId="77777777" w:rsidR="005749B8" w:rsidRDefault="005749B8" w:rsidP="00E30B90">
            <w:pPr>
              <w:jc w:val="right"/>
            </w:pPr>
            <w:r>
              <w:t>128</w:t>
            </w:r>
          </w:p>
        </w:tc>
      </w:tr>
      <w:tr w:rsidR="005749B8" w14:paraId="520DA4FC" w14:textId="77777777" w:rsidTr="00F15A7C">
        <w:trPr>
          <w:trHeight w:val="315"/>
          <w:jc w:val="center"/>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14:paraId="7ABB1BD0" w14:textId="77777777" w:rsidR="005749B8" w:rsidRDefault="005749B8" w:rsidP="00E30B90">
            <w:pPr>
              <w:jc w:val="right"/>
            </w:pPr>
            <w:r>
              <w:t>2014.gads</w:t>
            </w:r>
          </w:p>
        </w:tc>
        <w:tc>
          <w:tcPr>
            <w:tcW w:w="1380" w:type="dxa"/>
            <w:tcBorders>
              <w:top w:val="nil"/>
              <w:left w:val="nil"/>
              <w:bottom w:val="single" w:sz="4" w:space="0" w:color="auto"/>
              <w:right w:val="single" w:sz="4" w:space="0" w:color="auto"/>
            </w:tcBorders>
            <w:shd w:val="clear" w:color="auto" w:fill="auto"/>
            <w:vAlign w:val="bottom"/>
            <w:hideMark/>
          </w:tcPr>
          <w:p w14:paraId="7726E9E7" w14:textId="77777777" w:rsidR="005749B8" w:rsidRDefault="005749B8" w:rsidP="00E30B90">
            <w:pPr>
              <w:jc w:val="right"/>
            </w:pPr>
            <w:r>
              <w:t>2 663 441</w:t>
            </w:r>
          </w:p>
        </w:tc>
        <w:tc>
          <w:tcPr>
            <w:tcW w:w="1523" w:type="dxa"/>
            <w:tcBorders>
              <w:top w:val="nil"/>
              <w:left w:val="nil"/>
              <w:bottom w:val="single" w:sz="4" w:space="0" w:color="auto"/>
              <w:right w:val="single" w:sz="4" w:space="0" w:color="auto"/>
            </w:tcBorders>
            <w:shd w:val="clear" w:color="auto" w:fill="auto"/>
            <w:noWrap/>
            <w:vAlign w:val="bottom"/>
            <w:hideMark/>
          </w:tcPr>
          <w:p w14:paraId="2AE84020" w14:textId="77777777" w:rsidR="005749B8" w:rsidRDefault="005749B8" w:rsidP="00E30B90">
            <w:pPr>
              <w:jc w:val="right"/>
            </w:pPr>
            <w:r>
              <w:t>3 590</w:t>
            </w:r>
          </w:p>
        </w:tc>
        <w:tc>
          <w:tcPr>
            <w:tcW w:w="1537" w:type="dxa"/>
            <w:tcBorders>
              <w:top w:val="nil"/>
              <w:left w:val="nil"/>
              <w:bottom w:val="single" w:sz="4" w:space="0" w:color="auto"/>
              <w:right w:val="single" w:sz="4" w:space="0" w:color="auto"/>
            </w:tcBorders>
            <w:shd w:val="clear" w:color="auto" w:fill="auto"/>
            <w:vAlign w:val="bottom"/>
            <w:hideMark/>
          </w:tcPr>
          <w:p w14:paraId="2AF0D32F" w14:textId="77777777" w:rsidR="005749B8" w:rsidRDefault="005749B8" w:rsidP="00E30B90">
            <w:pPr>
              <w:jc w:val="right"/>
            </w:pPr>
            <w:r>
              <w:t>742</w:t>
            </w:r>
          </w:p>
        </w:tc>
        <w:tc>
          <w:tcPr>
            <w:tcW w:w="1403" w:type="dxa"/>
            <w:tcBorders>
              <w:top w:val="nil"/>
              <w:left w:val="nil"/>
              <w:bottom w:val="single" w:sz="4" w:space="0" w:color="auto"/>
              <w:right w:val="single" w:sz="4" w:space="0" w:color="auto"/>
            </w:tcBorders>
            <w:shd w:val="clear" w:color="auto" w:fill="auto"/>
            <w:noWrap/>
            <w:vAlign w:val="bottom"/>
            <w:hideMark/>
          </w:tcPr>
          <w:p w14:paraId="73E27774" w14:textId="77777777" w:rsidR="005749B8" w:rsidRDefault="005749B8" w:rsidP="00E30B90">
            <w:pPr>
              <w:jc w:val="right"/>
            </w:pPr>
            <w:r>
              <w:t>111</w:t>
            </w:r>
          </w:p>
        </w:tc>
      </w:tr>
      <w:tr w:rsidR="005749B8" w14:paraId="7061B87F" w14:textId="77777777" w:rsidTr="00F15A7C">
        <w:trPr>
          <w:trHeight w:val="315"/>
          <w:jc w:val="center"/>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14:paraId="707F3D86" w14:textId="77777777" w:rsidR="005749B8" w:rsidRDefault="005749B8" w:rsidP="00E30B90">
            <w:pPr>
              <w:jc w:val="right"/>
            </w:pPr>
            <w:r>
              <w:t>2015.gads</w:t>
            </w:r>
          </w:p>
        </w:tc>
        <w:tc>
          <w:tcPr>
            <w:tcW w:w="1380" w:type="dxa"/>
            <w:tcBorders>
              <w:top w:val="nil"/>
              <w:left w:val="nil"/>
              <w:bottom w:val="single" w:sz="4" w:space="0" w:color="auto"/>
              <w:right w:val="single" w:sz="4" w:space="0" w:color="auto"/>
            </w:tcBorders>
            <w:shd w:val="clear" w:color="auto" w:fill="auto"/>
            <w:vAlign w:val="bottom"/>
            <w:hideMark/>
          </w:tcPr>
          <w:p w14:paraId="5C681FAF" w14:textId="77777777" w:rsidR="005749B8" w:rsidRDefault="005749B8" w:rsidP="00E30B90">
            <w:pPr>
              <w:jc w:val="right"/>
            </w:pPr>
            <w:r>
              <w:t>1 159 057</w:t>
            </w:r>
          </w:p>
        </w:tc>
        <w:tc>
          <w:tcPr>
            <w:tcW w:w="1523" w:type="dxa"/>
            <w:tcBorders>
              <w:top w:val="nil"/>
              <w:left w:val="nil"/>
              <w:bottom w:val="single" w:sz="4" w:space="0" w:color="auto"/>
              <w:right w:val="single" w:sz="4" w:space="0" w:color="auto"/>
            </w:tcBorders>
            <w:shd w:val="clear" w:color="auto" w:fill="auto"/>
            <w:noWrap/>
            <w:vAlign w:val="bottom"/>
            <w:hideMark/>
          </w:tcPr>
          <w:p w14:paraId="21946CE5" w14:textId="77777777" w:rsidR="005749B8" w:rsidRDefault="005749B8" w:rsidP="00E30B90">
            <w:pPr>
              <w:jc w:val="right"/>
            </w:pPr>
            <w:r>
              <w:t>1 432</w:t>
            </w:r>
          </w:p>
        </w:tc>
        <w:tc>
          <w:tcPr>
            <w:tcW w:w="1537" w:type="dxa"/>
            <w:tcBorders>
              <w:top w:val="nil"/>
              <w:left w:val="nil"/>
              <w:bottom w:val="single" w:sz="4" w:space="0" w:color="auto"/>
              <w:right w:val="single" w:sz="4" w:space="0" w:color="auto"/>
            </w:tcBorders>
            <w:shd w:val="clear" w:color="auto" w:fill="auto"/>
            <w:vAlign w:val="bottom"/>
            <w:hideMark/>
          </w:tcPr>
          <w:p w14:paraId="56224B62" w14:textId="77777777" w:rsidR="005749B8" w:rsidRDefault="005749B8" w:rsidP="00E30B90">
            <w:pPr>
              <w:jc w:val="right"/>
            </w:pPr>
            <w:r>
              <w:t>809</w:t>
            </w:r>
          </w:p>
        </w:tc>
        <w:tc>
          <w:tcPr>
            <w:tcW w:w="1403" w:type="dxa"/>
            <w:tcBorders>
              <w:top w:val="nil"/>
              <w:left w:val="nil"/>
              <w:bottom w:val="single" w:sz="4" w:space="0" w:color="auto"/>
              <w:right w:val="single" w:sz="4" w:space="0" w:color="auto"/>
            </w:tcBorders>
            <w:shd w:val="clear" w:color="auto" w:fill="auto"/>
            <w:noWrap/>
            <w:vAlign w:val="bottom"/>
            <w:hideMark/>
          </w:tcPr>
          <w:p w14:paraId="7CB2BF4C" w14:textId="77777777" w:rsidR="005749B8" w:rsidRDefault="005749B8" w:rsidP="00E30B90">
            <w:pPr>
              <w:jc w:val="right"/>
            </w:pPr>
            <w:r>
              <w:t>108</w:t>
            </w:r>
          </w:p>
        </w:tc>
      </w:tr>
      <w:tr w:rsidR="005749B8" w14:paraId="566A3CB4" w14:textId="77777777" w:rsidTr="00F15A7C">
        <w:trPr>
          <w:trHeight w:val="315"/>
          <w:jc w:val="center"/>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14:paraId="6FEFE3EF" w14:textId="77777777" w:rsidR="005749B8" w:rsidRDefault="005749B8" w:rsidP="00E30B90">
            <w:pPr>
              <w:rPr>
                <w:b/>
                <w:bCs/>
              </w:rPr>
            </w:pPr>
            <w:r>
              <w:rPr>
                <w:b/>
                <w:bCs/>
              </w:rPr>
              <w:t>Kopā</w:t>
            </w:r>
          </w:p>
        </w:tc>
        <w:tc>
          <w:tcPr>
            <w:tcW w:w="1380" w:type="dxa"/>
            <w:tcBorders>
              <w:top w:val="nil"/>
              <w:left w:val="nil"/>
              <w:bottom w:val="single" w:sz="4" w:space="0" w:color="auto"/>
              <w:right w:val="single" w:sz="4" w:space="0" w:color="auto"/>
            </w:tcBorders>
            <w:shd w:val="clear" w:color="auto" w:fill="auto"/>
            <w:noWrap/>
            <w:vAlign w:val="bottom"/>
            <w:hideMark/>
          </w:tcPr>
          <w:p w14:paraId="61083525" w14:textId="77777777" w:rsidR="005749B8" w:rsidRDefault="005749B8" w:rsidP="00E30B90">
            <w:pPr>
              <w:jc w:val="right"/>
              <w:rPr>
                <w:b/>
                <w:bCs/>
              </w:rPr>
            </w:pPr>
            <w:r>
              <w:rPr>
                <w:b/>
                <w:bCs/>
              </w:rPr>
              <w:t>8 686 948</w:t>
            </w:r>
          </w:p>
        </w:tc>
        <w:tc>
          <w:tcPr>
            <w:tcW w:w="1523" w:type="dxa"/>
            <w:tcBorders>
              <w:top w:val="nil"/>
              <w:left w:val="nil"/>
              <w:bottom w:val="single" w:sz="4" w:space="0" w:color="auto"/>
              <w:right w:val="single" w:sz="4" w:space="0" w:color="auto"/>
            </w:tcBorders>
            <w:shd w:val="clear" w:color="auto" w:fill="auto"/>
            <w:noWrap/>
            <w:vAlign w:val="bottom"/>
            <w:hideMark/>
          </w:tcPr>
          <w:p w14:paraId="12EBA6E2" w14:textId="77777777" w:rsidR="005749B8" w:rsidRDefault="005749B8" w:rsidP="00E30B90">
            <w:pPr>
              <w:jc w:val="right"/>
              <w:rPr>
                <w:b/>
                <w:bCs/>
              </w:rPr>
            </w:pPr>
            <w:r>
              <w:rPr>
                <w:b/>
                <w:bCs/>
              </w:rPr>
              <w:t>12 468</w:t>
            </w:r>
          </w:p>
        </w:tc>
        <w:tc>
          <w:tcPr>
            <w:tcW w:w="1537" w:type="dxa"/>
            <w:tcBorders>
              <w:top w:val="nil"/>
              <w:left w:val="nil"/>
              <w:bottom w:val="single" w:sz="4" w:space="0" w:color="auto"/>
              <w:right w:val="single" w:sz="4" w:space="0" w:color="auto"/>
            </w:tcBorders>
            <w:shd w:val="clear" w:color="auto" w:fill="auto"/>
            <w:noWrap/>
            <w:vAlign w:val="bottom"/>
            <w:hideMark/>
          </w:tcPr>
          <w:p w14:paraId="756DE8CA" w14:textId="77777777" w:rsidR="005749B8" w:rsidRDefault="005749B8" w:rsidP="00E30B90">
            <w:pPr>
              <w:jc w:val="right"/>
              <w:rPr>
                <w:b/>
                <w:bCs/>
              </w:rPr>
            </w:pPr>
            <w:r>
              <w:rPr>
                <w:b/>
                <w:bCs/>
              </w:rPr>
              <w:t>715</w:t>
            </w:r>
          </w:p>
        </w:tc>
        <w:tc>
          <w:tcPr>
            <w:tcW w:w="1403" w:type="dxa"/>
            <w:tcBorders>
              <w:top w:val="nil"/>
              <w:left w:val="nil"/>
              <w:bottom w:val="single" w:sz="4" w:space="0" w:color="auto"/>
              <w:right w:val="single" w:sz="4" w:space="0" w:color="auto"/>
            </w:tcBorders>
            <w:shd w:val="clear" w:color="auto" w:fill="auto"/>
            <w:noWrap/>
            <w:vAlign w:val="bottom"/>
            <w:hideMark/>
          </w:tcPr>
          <w:p w14:paraId="14889289" w14:textId="77777777" w:rsidR="005749B8" w:rsidRDefault="005749B8" w:rsidP="00E30B90">
            <w:pPr>
              <w:jc w:val="right"/>
              <w:rPr>
                <w:b/>
                <w:bCs/>
              </w:rPr>
            </w:pPr>
            <w:r>
              <w:rPr>
                <w:b/>
                <w:bCs/>
              </w:rPr>
              <w:t>822</w:t>
            </w:r>
          </w:p>
        </w:tc>
      </w:tr>
    </w:tbl>
    <w:p w14:paraId="44A7A24D" w14:textId="77777777" w:rsidR="005749B8" w:rsidRPr="001E23E1" w:rsidRDefault="005749B8" w:rsidP="005749B8">
      <w:pPr>
        <w:tabs>
          <w:tab w:val="left" w:pos="720"/>
        </w:tabs>
        <w:ind w:firstLine="720"/>
        <w:jc w:val="both"/>
      </w:pPr>
    </w:p>
    <w:p w14:paraId="6E0A46CD" w14:textId="77777777" w:rsidR="005749B8" w:rsidRPr="00F15A7C" w:rsidRDefault="005749B8" w:rsidP="00F15A7C">
      <w:pPr>
        <w:tabs>
          <w:tab w:val="left" w:pos="720"/>
        </w:tabs>
        <w:ind w:firstLine="720"/>
        <w:jc w:val="both"/>
      </w:pPr>
      <w:r w:rsidRPr="00F15A7C">
        <w:t xml:space="preserve">Attiecībā uz apmierināto darbinieku skaitu jānorāda, ka, salīdzinot datus laika periodā no 2011. līdz 2015.gadam (skatīt </w:t>
      </w:r>
      <w:r w:rsidR="00BD033F" w:rsidRPr="00F15A7C">
        <w:t>9</w:t>
      </w:r>
      <w:r w:rsidRPr="00F15A7C">
        <w:t xml:space="preserve">.tabulu), vērojama tā stabilizācija. Apmierināto darbinieku skaits sāka izlīdzināties no 2012.gada (2014.gadā no 3 590 darbiniekiem 1 833 bija viena uzņēmuma –  AS „Liepājas metalurgs” darbinieki, līdz ar to objektīvāks 2014.gadā apmierināto darbinieku skaits varētu būt 1 757 darbinieki (3590-1833=1757)), kas norāda uz ekonomikas stabilizēšanos un atgūšanos no krīzes, kas ietekmēja darbinieku prasījumu garantiju fonda rādītājus 2009., 2010. un 2011.gadā. </w:t>
      </w:r>
    </w:p>
    <w:p w14:paraId="1B4B16B8" w14:textId="77777777" w:rsidR="005749B8" w:rsidRPr="00F15A7C" w:rsidRDefault="005749B8" w:rsidP="00F15A7C">
      <w:pPr>
        <w:tabs>
          <w:tab w:val="left" w:pos="720"/>
        </w:tabs>
        <w:ind w:firstLine="720"/>
        <w:jc w:val="both"/>
      </w:pPr>
      <w:r w:rsidRPr="00F15A7C">
        <w:t xml:space="preserve">Darbinieku aizsardzības likumā, kur pārejas noteikumu 6. un 7.punktā noteikti darbinieku prasījumu ierobežojumi, ja darba devēja maksātnespējas gadījums iestājies laika periodā no 2009.gada 10.jūlija līdz 2011.gada 31.decembrim (šāda likuma redakcija ir spēkā pēc </w:t>
      </w:r>
      <w:r w:rsidR="00A55017">
        <w:t xml:space="preserve">Satversmes tiesas </w:t>
      </w:r>
      <w:r w:rsidRPr="00F15A7C">
        <w:t xml:space="preserve">2011.gada 10.jūnija sprieduma lietā Nr.2010-69-01; pirms </w:t>
      </w:r>
      <w:r w:rsidR="00A55017">
        <w:t xml:space="preserve">minētā </w:t>
      </w:r>
      <w:r w:rsidRPr="00F15A7C">
        <w:t>Satversmes tiesas sprieduma ierobežojumi bija piesaistīti iesnieguma iesniegšanas datumam, ko Satversmes tiesa atzina par neatbilstošu). Ierobežojumi paredz, ka minētā likuma 5.panta pirmās daļas 1., 2., 3., un 4.punktā un 5.</w:t>
      </w:r>
      <w:r w:rsidRPr="00F15A7C">
        <w:rPr>
          <w:vertAlign w:val="superscript"/>
        </w:rPr>
        <w:t xml:space="preserve">1 </w:t>
      </w:r>
      <w:r w:rsidRPr="00F15A7C">
        <w:t>panta otrajā daļā minēto apmierināmo darbinieku prasījumu kopsumma nepārsniedz četras maksātnespējas gadījuma iestāšanās dienā valstī noteiktās minimālās mēneša darba algas uz vienu darbinieku.</w:t>
      </w:r>
    </w:p>
    <w:p w14:paraId="2AB34838" w14:textId="77777777" w:rsidR="005749B8" w:rsidRPr="00F15A7C" w:rsidRDefault="005749B8" w:rsidP="00F15A7C">
      <w:pPr>
        <w:tabs>
          <w:tab w:val="left" w:pos="720"/>
        </w:tabs>
        <w:ind w:firstLine="720"/>
        <w:jc w:val="both"/>
      </w:pPr>
      <w:r w:rsidRPr="00F15A7C">
        <w:t>Savukārt saskaņā ar 2011.gada 15.decembra grozījumiem Darbinieku aizsardzības likumā, kas stājās spēkā 2012.gada 1.janvārī, ir noteikts, ka 5.panta pirmās daļas 1., 2., 3. un 4.punktā minētos darbinieku prasījumus un ar tiem saistītos valsts sociālās apdrošināšanas obligāto iemaksu un iedzīvotāju ienākuma nodokļa maksājumus aprēķina, ņemot vērā darba devēja maksātnespējas gadījuma iestāšanās dienā valstī noteikto minimālo mēneša darba algu. Norādītie aprēķināšanas nosacījumi neattiecas (un nevienā periodā nav attiekušies) uz kaitējumu atlīdzību par visu nesamaksāto periodu un par kaitējuma atlīdzību par četriem gadiem uz priekšu no maksātnespējas procesa pasludināšanas brīža.</w:t>
      </w:r>
    </w:p>
    <w:p w14:paraId="3AE648BD" w14:textId="77777777" w:rsidR="005749B8" w:rsidRPr="00F15A7C" w:rsidRDefault="005749B8" w:rsidP="00F15A7C">
      <w:pPr>
        <w:tabs>
          <w:tab w:val="left" w:pos="720"/>
        </w:tabs>
        <w:ind w:firstLine="720"/>
        <w:jc w:val="both"/>
      </w:pPr>
      <w:r w:rsidRPr="00F15A7C">
        <w:t xml:space="preserve">Katru gadu tiek veiktas izmaksas no darbinieku prasījumu garantiju fonda par attiecīgajā gadā pieņemtajiem lēmumiem par darbinieku prasījumu apmierināšanu, bet lēmumi attiecīgajā gadā tiek pieņemti, pamatojoties uz attiecīgā maksātnespējīgā uzņēmuma administratora iesniegumu. Tā kā dažādu iemeslu dēļ iesniegumu par darbinieku prasījumu apmierināšanu administrators var iesniegt vairāku gadu garumā (saskaņā ar </w:t>
      </w:r>
      <w:r w:rsidR="00F10015" w:rsidRPr="00F10015">
        <w:t>Darbinieku aizsardzības likumā</w:t>
      </w:r>
      <w:r w:rsidRPr="00F15A7C">
        <w:t xml:space="preserve"> – līdz brīdim, kad pieņemts lēmums par juridiskās personas maksātnespējas procesa izbeigšanu) pēc maksātnespējas procesa pasludināšanas, tad konkrētajā gadā izmaksātās summas attiecas uz dažādos laika posmos pasludinātiem maksātnespējas procesiem (skatīt </w:t>
      </w:r>
      <w:r w:rsidR="00BD033F" w:rsidRPr="00F15A7C">
        <w:t>10</w:t>
      </w:r>
      <w:r w:rsidRPr="00F15A7C">
        <w:t>.tabulu).</w:t>
      </w:r>
    </w:p>
    <w:p w14:paraId="2F813D93" w14:textId="77777777" w:rsidR="00466A8E" w:rsidRDefault="00466A8E" w:rsidP="005749B8">
      <w:pPr>
        <w:tabs>
          <w:tab w:val="left" w:pos="720"/>
        </w:tabs>
        <w:jc w:val="right"/>
        <w:rPr>
          <w:sz w:val="28"/>
          <w:szCs w:val="28"/>
        </w:rPr>
      </w:pPr>
    </w:p>
    <w:p w14:paraId="0C23EBC0" w14:textId="77777777" w:rsidR="006D355E" w:rsidRDefault="006D355E" w:rsidP="005749B8">
      <w:pPr>
        <w:tabs>
          <w:tab w:val="left" w:pos="720"/>
        </w:tabs>
        <w:jc w:val="right"/>
      </w:pPr>
    </w:p>
    <w:p w14:paraId="5917D2D4" w14:textId="77777777" w:rsidR="006D355E" w:rsidRDefault="006D355E" w:rsidP="005749B8">
      <w:pPr>
        <w:tabs>
          <w:tab w:val="left" w:pos="720"/>
        </w:tabs>
        <w:jc w:val="right"/>
      </w:pPr>
    </w:p>
    <w:p w14:paraId="0200040F" w14:textId="77777777" w:rsidR="006D355E" w:rsidRDefault="006D355E" w:rsidP="005749B8">
      <w:pPr>
        <w:tabs>
          <w:tab w:val="left" w:pos="720"/>
        </w:tabs>
        <w:jc w:val="right"/>
      </w:pPr>
    </w:p>
    <w:p w14:paraId="55A85C49" w14:textId="77777777" w:rsidR="006D355E" w:rsidRDefault="006D355E" w:rsidP="005749B8">
      <w:pPr>
        <w:tabs>
          <w:tab w:val="left" w:pos="720"/>
        </w:tabs>
        <w:jc w:val="right"/>
      </w:pPr>
    </w:p>
    <w:p w14:paraId="36E93623" w14:textId="77777777" w:rsidR="006D355E" w:rsidRDefault="006D355E" w:rsidP="005749B8">
      <w:pPr>
        <w:tabs>
          <w:tab w:val="left" w:pos="720"/>
        </w:tabs>
        <w:jc w:val="right"/>
      </w:pPr>
    </w:p>
    <w:p w14:paraId="2BCEB07C" w14:textId="77777777" w:rsidR="006D355E" w:rsidRDefault="006D355E" w:rsidP="005749B8">
      <w:pPr>
        <w:tabs>
          <w:tab w:val="left" w:pos="720"/>
        </w:tabs>
        <w:jc w:val="right"/>
      </w:pPr>
    </w:p>
    <w:p w14:paraId="335561BC" w14:textId="77777777" w:rsidR="006D355E" w:rsidRDefault="006D355E" w:rsidP="005749B8">
      <w:pPr>
        <w:tabs>
          <w:tab w:val="left" w:pos="720"/>
        </w:tabs>
        <w:jc w:val="right"/>
      </w:pPr>
    </w:p>
    <w:p w14:paraId="6D933738" w14:textId="77777777" w:rsidR="006D355E" w:rsidRDefault="006D355E" w:rsidP="005749B8">
      <w:pPr>
        <w:tabs>
          <w:tab w:val="left" w:pos="720"/>
        </w:tabs>
        <w:jc w:val="right"/>
      </w:pPr>
    </w:p>
    <w:p w14:paraId="43BA5BF3" w14:textId="77777777" w:rsidR="006D355E" w:rsidRDefault="006D355E" w:rsidP="005749B8">
      <w:pPr>
        <w:tabs>
          <w:tab w:val="left" w:pos="720"/>
        </w:tabs>
        <w:jc w:val="right"/>
      </w:pPr>
    </w:p>
    <w:p w14:paraId="5F6655D0" w14:textId="77777777" w:rsidR="006D355E" w:rsidRDefault="006D355E" w:rsidP="005749B8">
      <w:pPr>
        <w:tabs>
          <w:tab w:val="left" w:pos="720"/>
        </w:tabs>
        <w:jc w:val="right"/>
      </w:pPr>
    </w:p>
    <w:p w14:paraId="73F6F2E9" w14:textId="77777777" w:rsidR="006D355E" w:rsidRDefault="006D355E" w:rsidP="005749B8">
      <w:pPr>
        <w:tabs>
          <w:tab w:val="left" w:pos="720"/>
        </w:tabs>
        <w:jc w:val="right"/>
      </w:pPr>
    </w:p>
    <w:p w14:paraId="63D1D97E" w14:textId="77777777" w:rsidR="006D355E" w:rsidRDefault="006D355E" w:rsidP="005749B8">
      <w:pPr>
        <w:tabs>
          <w:tab w:val="left" w:pos="720"/>
        </w:tabs>
        <w:jc w:val="right"/>
      </w:pPr>
    </w:p>
    <w:p w14:paraId="04919291" w14:textId="77777777" w:rsidR="006D355E" w:rsidRDefault="006D355E" w:rsidP="005749B8">
      <w:pPr>
        <w:tabs>
          <w:tab w:val="left" w:pos="720"/>
        </w:tabs>
        <w:jc w:val="right"/>
      </w:pPr>
    </w:p>
    <w:p w14:paraId="5FB06558" w14:textId="77777777" w:rsidR="006D355E" w:rsidRDefault="006D355E" w:rsidP="005749B8">
      <w:pPr>
        <w:tabs>
          <w:tab w:val="left" w:pos="720"/>
        </w:tabs>
        <w:jc w:val="right"/>
      </w:pPr>
    </w:p>
    <w:p w14:paraId="0D2CC24E" w14:textId="77777777" w:rsidR="006D355E" w:rsidRDefault="006D355E" w:rsidP="005749B8">
      <w:pPr>
        <w:tabs>
          <w:tab w:val="left" w:pos="720"/>
        </w:tabs>
        <w:jc w:val="right"/>
      </w:pPr>
    </w:p>
    <w:p w14:paraId="0926DBF1" w14:textId="77777777" w:rsidR="006D355E" w:rsidRDefault="006D355E" w:rsidP="005749B8">
      <w:pPr>
        <w:tabs>
          <w:tab w:val="left" w:pos="720"/>
        </w:tabs>
        <w:jc w:val="right"/>
      </w:pPr>
    </w:p>
    <w:p w14:paraId="32D06978" w14:textId="77777777" w:rsidR="005749B8" w:rsidRPr="00F15A7C" w:rsidRDefault="00BD033F" w:rsidP="005749B8">
      <w:pPr>
        <w:tabs>
          <w:tab w:val="left" w:pos="720"/>
        </w:tabs>
        <w:jc w:val="right"/>
      </w:pPr>
      <w:r w:rsidRPr="00F15A7C">
        <w:t>10</w:t>
      </w:r>
      <w:r w:rsidR="005749B8" w:rsidRPr="00F15A7C">
        <w:t>.tabula</w:t>
      </w:r>
    </w:p>
    <w:p w14:paraId="006AEDED" w14:textId="77777777" w:rsidR="00877450" w:rsidRPr="00F15A7C" w:rsidRDefault="00877450" w:rsidP="005749B8">
      <w:pPr>
        <w:tabs>
          <w:tab w:val="left" w:pos="720"/>
        </w:tabs>
        <w:jc w:val="right"/>
      </w:pPr>
    </w:p>
    <w:p w14:paraId="21363B98" w14:textId="77777777" w:rsidR="009D46B2" w:rsidRDefault="005749B8" w:rsidP="00F10015">
      <w:pPr>
        <w:tabs>
          <w:tab w:val="left" w:pos="720"/>
        </w:tabs>
        <w:spacing w:after="120"/>
        <w:jc w:val="center"/>
        <w:rPr>
          <w:b/>
          <w:sz w:val="28"/>
          <w:szCs w:val="28"/>
        </w:rPr>
      </w:pPr>
      <w:r w:rsidRPr="00F15A7C">
        <w:rPr>
          <w:b/>
        </w:rPr>
        <w:t>No darbinieku prasījumu garantiju fonda faktiski izmaksātās summas, uzņēmumu un darbinieku skaits no 2011.gada līdz 2015.gadam pēc maksātnespējas procesa pasludināšanas gada</w:t>
      </w:r>
    </w:p>
    <w:tbl>
      <w:tblPr>
        <w:tblW w:w="8884" w:type="dxa"/>
        <w:jc w:val="center"/>
        <w:tblLook w:val="04A0" w:firstRow="1" w:lastRow="0" w:firstColumn="1" w:lastColumn="0" w:noHBand="0" w:noVBand="1"/>
      </w:tblPr>
      <w:tblGrid>
        <w:gridCol w:w="1016"/>
        <w:gridCol w:w="1980"/>
        <w:gridCol w:w="1205"/>
        <w:gridCol w:w="1172"/>
        <w:gridCol w:w="1105"/>
        <w:gridCol w:w="1195"/>
        <w:gridCol w:w="1211"/>
      </w:tblGrid>
      <w:tr w:rsidR="005749B8" w14:paraId="40D37AA5" w14:textId="77777777" w:rsidTr="009D46B2">
        <w:trPr>
          <w:trHeight w:val="1305"/>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0D4A" w14:textId="77777777" w:rsidR="005749B8" w:rsidRDefault="005749B8" w:rsidP="00E30B90">
            <w:pPr>
              <w:jc w:val="center"/>
              <w:rPr>
                <w:sz w:val="20"/>
                <w:szCs w:val="20"/>
              </w:rPr>
            </w:pPr>
            <w:r w:rsidRPr="00FA5E15">
              <w:rPr>
                <w:b/>
                <w:sz w:val="20"/>
                <w:szCs w:val="20"/>
              </w:rPr>
              <w:t>Gads, kurā veikta izmaksa </w:t>
            </w:r>
            <w:r>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29F9168" w14:textId="77777777" w:rsidR="005749B8" w:rsidRDefault="005749B8" w:rsidP="00E30B90">
            <w:pPr>
              <w:rPr>
                <w:b/>
                <w:bCs/>
                <w:sz w:val="20"/>
                <w:szCs w:val="20"/>
              </w:rPr>
            </w:pPr>
            <w:r>
              <w:rPr>
                <w:b/>
                <w:bCs/>
                <w:sz w:val="20"/>
                <w:szCs w:val="20"/>
              </w:rPr>
              <w:t>Maksātnespējas procesa pasludināšanas gads</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1E9A29E3" w14:textId="77777777" w:rsidR="005749B8" w:rsidRDefault="005749B8" w:rsidP="00E30B90">
            <w:pPr>
              <w:rPr>
                <w:b/>
                <w:bCs/>
                <w:sz w:val="20"/>
                <w:szCs w:val="20"/>
              </w:rPr>
            </w:pPr>
            <w:r>
              <w:rPr>
                <w:b/>
                <w:bCs/>
                <w:sz w:val="20"/>
                <w:szCs w:val="20"/>
              </w:rPr>
              <w:t>Uzņēmumu skaits</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B459A8C" w14:textId="77777777" w:rsidR="005749B8" w:rsidRDefault="005749B8" w:rsidP="00E30B90">
            <w:pPr>
              <w:rPr>
                <w:b/>
                <w:bCs/>
                <w:sz w:val="20"/>
                <w:szCs w:val="20"/>
              </w:rPr>
            </w:pPr>
            <w:r>
              <w:rPr>
                <w:b/>
                <w:bCs/>
                <w:sz w:val="20"/>
                <w:szCs w:val="20"/>
              </w:rPr>
              <w:t>% no kopējā uzņēmumu skaita</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8469F5C" w14:textId="77777777" w:rsidR="005749B8" w:rsidRDefault="005749B8" w:rsidP="00E30B90">
            <w:pPr>
              <w:rPr>
                <w:b/>
                <w:bCs/>
                <w:sz w:val="20"/>
                <w:szCs w:val="20"/>
              </w:rPr>
            </w:pPr>
            <w:r>
              <w:rPr>
                <w:b/>
                <w:bCs/>
                <w:sz w:val="20"/>
                <w:szCs w:val="20"/>
              </w:rPr>
              <w:t>Izmaksātā summa,</w:t>
            </w:r>
            <w:r>
              <w:rPr>
                <w:b/>
                <w:bCs/>
                <w:i/>
                <w:iCs/>
                <w:sz w:val="20"/>
                <w:szCs w:val="20"/>
              </w:rPr>
              <w:t xml:space="preserve"> euro</w:t>
            </w:r>
            <w:r>
              <w:rPr>
                <w:b/>
                <w:bCs/>
                <w:sz w:val="20"/>
                <w:szCs w:val="20"/>
              </w:rPr>
              <w:t>*</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85C7699" w14:textId="77777777" w:rsidR="005749B8" w:rsidRDefault="005749B8" w:rsidP="00E30B90">
            <w:pPr>
              <w:rPr>
                <w:b/>
                <w:bCs/>
                <w:sz w:val="20"/>
                <w:szCs w:val="20"/>
              </w:rPr>
            </w:pPr>
            <w:r>
              <w:rPr>
                <w:b/>
                <w:bCs/>
                <w:sz w:val="20"/>
                <w:szCs w:val="20"/>
              </w:rPr>
              <w:t>Darbinieku skaits</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7E3E8DD1" w14:textId="77777777" w:rsidR="005749B8" w:rsidRDefault="005749B8" w:rsidP="00E30B90">
            <w:pPr>
              <w:rPr>
                <w:b/>
                <w:bCs/>
                <w:sz w:val="20"/>
                <w:szCs w:val="20"/>
              </w:rPr>
            </w:pPr>
            <w:r>
              <w:rPr>
                <w:b/>
                <w:bCs/>
                <w:sz w:val="20"/>
                <w:szCs w:val="20"/>
              </w:rPr>
              <w:t>Vidējā izmaksātā summa uz darbinieku,</w:t>
            </w:r>
            <w:r>
              <w:rPr>
                <w:b/>
                <w:bCs/>
                <w:i/>
                <w:iCs/>
                <w:sz w:val="20"/>
                <w:szCs w:val="20"/>
              </w:rPr>
              <w:t xml:space="preserve"> euro</w:t>
            </w:r>
          </w:p>
        </w:tc>
      </w:tr>
      <w:tr w:rsidR="005749B8" w14:paraId="69320D65" w14:textId="77777777" w:rsidTr="009D46B2">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C14DF31" w14:textId="77777777" w:rsidR="005749B8" w:rsidRDefault="005749B8" w:rsidP="00E30B90">
            <w:pPr>
              <w:jc w:val="center"/>
              <w:rPr>
                <w:b/>
                <w:bCs/>
                <w:sz w:val="20"/>
                <w:szCs w:val="20"/>
              </w:rPr>
            </w:pPr>
            <w:r>
              <w:rPr>
                <w:b/>
                <w:bCs/>
                <w:sz w:val="20"/>
                <w:szCs w:val="20"/>
              </w:rPr>
              <w:t>2011.gads</w:t>
            </w:r>
          </w:p>
        </w:tc>
        <w:tc>
          <w:tcPr>
            <w:tcW w:w="1980" w:type="dxa"/>
            <w:tcBorders>
              <w:top w:val="nil"/>
              <w:left w:val="nil"/>
              <w:bottom w:val="single" w:sz="4" w:space="0" w:color="auto"/>
              <w:right w:val="single" w:sz="4" w:space="0" w:color="auto"/>
            </w:tcBorders>
            <w:shd w:val="clear" w:color="auto" w:fill="auto"/>
            <w:noWrap/>
            <w:vAlign w:val="bottom"/>
            <w:hideMark/>
          </w:tcPr>
          <w:p w14:paraId="17C306B6" w14:textId="77777777" w:rsidR="005749B8" w:rsidRDefault="005749B8" w:rsidP="00E30B90">
            <w:pPr>
              <w:jc w:val="right"/>
              <w:rPr>
                <w:sz w:val="20"/>
                <w:szCs w:val="20"/>
              </w:rPr>
            </w:pPr>
            <w:r>
              <w:rPr>
                <w:sz w:val="20"/>
                <w:szCs w:val="20"/>
              </w:rPr>
              <w:t>2007.gads</w:t>
            </w:r>
          </w:p>
        </w:tc>
        <w:tc>
          <w:tcPr>
            <w:tcW w:w="1205" w:type="dxa"/>
            <w:tcBorders>
              <w:top w:val="nil"/>
              <w:left w:val="nil"/>
              <w:bottom w:val="single" w:sz="4" w:space="0" w:color="auto"/>
              <w:right w:val="single" w:sz="4" w:space="0" w:color="auto"/>
            </w:tcBorders>
            <w:shd w:val="clear" w:color="auto" w:fill="auto"/>
            <w:noWrap/>
            <w:vAlign w:val="bottom"/>
            <w:hideMark/>
          </w:tcPr>
          <w:p w14:paraId="2FE53887" w14:textId="77777777" w:rsidR="005749B8" w:rsidRDefault="005749B8" w:rsidP="006D355E">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07B666AB" w14:textId="77777777" w:rsidR="005749B8" w:rsidRDefault="005749B8" w:rsidP="006D355E">
            <w:pPr>
              <w:jc w:val="center"/>
              <w:rPr>
                <w:sz w:val="20"/>
                <w:szCs w:val="20"/>
              </w:rPr>
            </w:pPr>
            <w:r>
              <w:rPr>
                <w:sz w:val="20"/>
                <w:szCs w:val="20"/>
              </w:rPr>
              <w:t>1,00%</w:t>
            </w:r>
          </w:p>
        </w:tc>
        <w:tc>
          <w:tcPr>
            <w:tcW w:w="1105" w:type="dxa"/>
            <w:tcBorders>
              <w:top w:val="nil"/>
              <w:left w:val="nil"/>
              <w:bottom w:val="single" w:sz="4" w:space="0" w:color="auto"/>
              <w:right w:val="single" w:sz="4" w:space="0" w:color="auto"/>
            </w:tcBorders>
            <w:shd w:val="clear" w:color="auto" w:fill="auto"/>
            <w:vAlign w:val="bottom"/>
            <w:hideMark/>
          </w:tcPr>
          <w:p w14:paraId="7B8D5681" w14:textId="77777777" w:rsidR="005749B8" w:rsidRDefault="005749B8" w:rsidP="006D355E">
            <w:pPr>
              <w:jc w:val="center"/>
              <w:rPr>
                <w:sz w:val="20"/>
                <w:szCs w:val="20"/>
              </w:rPr>
            </w:pPr>
            <w:r>
              <w:rPr>
                <w:sz w:val="20"/>
                <w:szCs w:val="20"/>
              </w:rPr>
              <w:t>647</w:t>
            </w:r>
          </w:p>
        </w:tc>
        <w:tc>
          <w:tcPr>
            <w:tcW w:w="1195" w:type="dxa"/>
            <w:tcBorders>
              <w:top w:val="nil"/>
              <w:left w:val="nil"/>
              <w:bottom w:val="single" w:sz="4" w:space="0" w:color="auto"/>
              <w:right w:val="single" w:sz="4" w:space="0" w:color="auto"/>
            </w:tcBorders>
            <w:shd w:val="clear" w:color="auto" w:fill="auto"/>
            <w:noWrap/>
            <w:vAlign w:val="bottom"/>
            <w:hideMark/>
          </w:tcPr>
          <w:p w14:paraId="783C8F64" w14:textId="77777777" w:rsidR="005749B8" w:rsidRDefault="005749B8" w:rsidP="006D355E">
            <w:pPr>
              <w:jc w:val="center"/>
              <w:rPr>
                <w:sz w:val="20"/>
                <w:szCs w:val="20"/>
              </w:rPr>
            </w:pPr>
            <w:r>
              <w:rPr>
                <w:sz w:val="20"/>
                <w:szCs w:val="20"/>
              </w:rPr>
              <w:t>1</w:t>
            </w:r>
          </w:p>
        </w:tc>
        <w:tc>
          <w:tcPr>
            <w:tcW w:w="1211" w:type="dxa"/>
            <w:tcBorders>
              <w:top w:val="nil"/>
              <w:left w:val="nil"/>
              <w:bottom w:val="single" w:sz="4" w:space="0" w:color="auto"/>
              <w:right w:val="single" w:sz="4" w:space="0" w:color="auto"/>
            </w:tcBorders>
            <w:shd w:val="clear" w:color="auto" w:fill="auto"/>
            <w:vAlign w:val="bottom"/>
            <w:hideMark/>
          </w:tcPr>
          <w:p w14:paraId="4655EB56" w14:textId="77777777" w:rsidR="005749B8" w:rsidRDefault="005749B8" w:rsidP="006D355E">
            <w:pPr>
              <w:jc w:val="center"/>
              <w:rPr>
                <w:sz w:val="20"/>
                <w:szCs w:val="20"/>
              </w:rPr>
            </w:pPr>
            <w:r>
              <w:rPr>
                <w:sz w:val="20"/>
                <w:szCs w:val="20"/>
              </w:rPr>
              <w:t>647</w:t>
            </w:r>
          </w:p>
        </w:tc>
      </w:tr>
      <w:tr w:rsidR="005749B8" w14:paraId="056D3543"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4038BCA6"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5BAA07CA" w14:textId="77777777" w:rsidR="005749B8" w:rsidRDefault="005749B8" w:rsidP="00E30B90">
            <w:pPr>
              <w:jc w:val="right"/>
              <w:rPr>
                <w:sz w:val="20"/>
                <w:szCs w:val="20"/>
              </w:rPr>
            </w:pPr>
            <w:r>
              <w:rPr>
                <w:sz w:val="20"/>
                <w:szCs w:val="20"/>
              </w:rPr>
              <w:t>2008.gads</w:t>
            </w:r>
          </w:p>
        </w:tc>
        <w:tc>
          <w:tcPr>
            <w:tcW w:w="1205" w:type="dxa"/>
            <w:tcBorders>
              <w:top w:val="nil"/>
              <w:left w:val="nil"/>
              <w:bottom w:val="single" w:sz="4" w:space="0" w:color="auto"/>
              <w:right w:val="single" w:sz="4" w:space="0" w:color="auto"/>
            </w:tcBorders>
            <w:shd w:val="clear" w:color="auto" w:fill="auto"/>
            <w:noWrap/>
            <w:vAlign w:val="bottom"/>
            <w:hideMark/>
          </w:tcPr>
          <w:p w14:paraId="24F9C845" w14:textId="77777777" w:rsidR="005749B8" w:rsidRDefault="005749B8" w:rsidP="006D355E">
            <w:pPr>
              <w:jc w:val="center"/>
              <w:rPr>
                <w:sz w:val="20"/>
                <w:szCs w:val="20"/>
              </w:rPr>
            </w:pPr>
            <w:r>
              <w:rPr>
                <w:sz w:val="20"/>
                <w:szCs w:val="20"/>
              </w:rPr>
              <w:t>5</w:t>
            </w:r>
          </w:p>
        </w:tc>
        <w:tc>
          <w:tcPr>
            <w:tcW w:w="1172" w:type="dxa"/>
            <w:tcBorders>
              <w:top w:val="nil"/>
              <w:left w:val="nil"/>
              <w:bottom w:val="single" w:sz="4" w:space="0" w:color="auto"/>
              <w:right w:val="single" w:sz="4" w:space="0" w:color="auto"/>
            </w:tcBorders>
            <w:shd w:val="clear" w:color="auto" w:fill="auto"/>
            <w:noWrap/>
            <w:vAlign w:val="bottom"/>
            <w:hideMark/>
          </w:tcPr>
          <w:p w14:paraId="1D84CA86" w14:textId="77777777" w:rsidR="005749B8" w:rsidRDefault="005749B8" w:rsidP="006D355E">
            <w:pPr>
              <w:jc w:val="center"/>
              <w:rPr>
                <w:sz w:val="20"/>
                <w:szCs w:val="20"/>
              </w:rPr>
            </w:pPr>
            <w:r>
              <w:rPr>
                <w:sz w:val="20"/>
                <w:szCs w:val="20"/>
              </w:rPr>
              <w:t>2,00%</w:t>
            </w:r>
          </w:p>
        </w:tc>
        <w:tc>
          <w:tcPr>
            <w:tcW w:w="1105" w:type="dxa"/>
            <w:tcBorders>
              <w:top w:val="nil"/>
              <w:left w:val="nil"/>
              <w:bottom w:val="single" w:sz="4" w:space="0" w:color="auto"/>
              <w:right w:val="single" w:sz="4" w:space="0" w:color="auto"/>
            </w:tcBorders>
            <w:shd w:val="clear" w:color="auto" w:fill="auto"/>
            <w:vAlign w:val="bottom"/>
            <w:hideMark/>
          </w:tcPr>
          <w:p w14:paraId="0A5A26CA" w14:textId="77777777" w:rsidR="005749B8" w:rsidRDefault="005749B8" w:rsidP="006D355E">
            <w:pPr>
              <w:jc w:val="center"/>
              <w:rPr>
                <w:sz w:val="20"/>
                <w:szCs w:val="20"/>
              </w:rPr>
            </w:pPr>
            <w:r>
              <w:rPr>
                <w:sz w:val="20"/>
                <w:szCs w:val="20"/>
              </w:rPr>
              <w:t>316 353</w:t>
            </w:r>
          </w:p>
        </w:tc>
        <w:tc>
          <w:tcPr>
            <w:tcW w:w="1195" w:type="dxa"/>
            <w:tcBorders>
              <w:top w:val="nil"/>
              <w:left w:val="nil"/>
              <w:bottom w:val="single" w:sz="4" w:space="0" w:color="auto"/>
              <w:right w:val="single" w:sz="4" w:space="0" w:color="auto"/>
            </w:tcBorders>
            <w:shd w:val="clear" w:color="auto" w:fill="auto"/>
            <w:noWrap/>
            <w:vAlign w:val="bottom"/>
            <w:hideMark/>
          </w:tcPr>
          <w:p w14:paraId="3F8EB806" w14:textId="77777777" w:rsidR="005749B8" w:rsidRDefault="005749B8" w:rsidP="006D355E">
            <w:pPr>
              <w:jc w:val="center"/>
              <w:rPr>
                <w:sz w:val="20"/>
                <w:szCs w:val="20"/>
              </w:rPr>
            </w:pPr>
            <w:r>
              <w:rPr>
                <w:sz w:val="20"/>
                <w:szCs w:val="20"/>
              </w:rPr>
              <w:t>138</w:t>
            </w:r>
          </w:p>
        </w:tc>
        <w:tc>
          <w:tcPr>
            <w:tcW w:w="1211" w:type="dxa"/>
            <w:tcBorders>
              <w:top w:val="nil"/>
              <w:left w:val="nil"/>
              <w:bottom w:val="single" w:sz="4" w:space="0" w:color="auto"/>
              <w:right w:val="single" w:sz="4" w:space="0" w:color="auto"/>
            </w:tcBorders>
            <w:shd w:val="clear" w:color="auto" w:fill="auto"/>
            <w:vAlign w:val="bottom"/>
            <w:hideMark/>
          </w:tcPr>
          <w:p w14:paraId="61369133" w14:textId="77777777" w:rsidR="005749B8" w:rsidRDefault="005749B8" w:rsidP="006D355E">
            <w:pPr>
              <w:jc w:val="center"/>
              <w:rPr>
                <w:sz w:val="20"/>
                <w:szCs w:val="20"/>
              </w:rPr>
            </w:pPr>
            <w:r>
              <w:rPr>
                <w:sz w:val="20"/>
                <w:szCs w:val="20"/>
              </w:rPr>
              <w:t>2292</w:t>
            </w:r>
          </w:p>
        </w:tc>
      </w:tr>
      <w:tr w:rsidR="005749B8" w14:paraId="79DED7DA"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49A0F5C0"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3F00993F" w14:textId="77777777" w:rsidR="005749B8" w:rsidRDefault="005749B8" w:rsidP="00E30B90">
            <w:pPr>
              <w:jc w:val="right"/>
              <w:rPr>
                <w:sz w:val="20"/>
                <w:szCs w:val="20"/>
              </w:rPr>
            </w:pPr>
            <w:r>
              <w:rPr>
                <w:sz w:val="20"/>
                <w:szCs w:val="20"/>
              </w:rPr>
              <w:t>2009.gads</w:t>
            </w:r>
          </w:p>
        </w:tc>
        <w:tc>
          <w:tcPr>
            <w:tcW w:w="1205" w:type="dxa"/>
            <w:tcBorders>
              <w:top w:val="nil"/>
              <w:left w:val="nil"/>
              <w:bottom w:val="single" w:sz="4" w:space="0" w:color="auto"/>
              <w:right w:val="single" w:sz="4" w:space="0" w:color="auto"/>
            </w:tcBorders>
            <w:shd w:val="clear" w:color="auto" w:fill="auto"/>
            <w:noWrap/>
            <w:vAlign w:val="bottom"/>
            <w:hideMark/>
          </w:tcPr>
          <w:p w14:paraId="1503DF34" w14:textId="77777777" w:rsidR="005749B8" w:rsidRDefault="005749B8" w:rsidP="006D355E">
            <w:pPr>
              <w:jc w:val="center"/>
              <w:rPr>
                <w:sz w:val="20"/>
                <w:szCs w:val="20"/>
              </w:rPr>
            </w:pPr>
            <w:r>
              <w:rPr>
                <w:sz w:val="20"/>
                <w:szCs w:val="20"/>
              </w:rPr>
              <w:t>98</w:t>
            </w:r>
          </w:p>
        </w:tc>
        <w:tc>
          <w:tcPr>
            <w:tcW w:w="1172" w:type="dxa"/>
            <w:tcBorders>
              <w:top w:val="nil"/>
              <w:left w:val="nil"/>
              <w:bottom w:val="single" w:sz="4" w:space="0" w:color="auto"/>
              <w:right w:val="single" w:sz="4" w:space="0" w:color="auto"/>
            </w:tcBorders>
            <w:shd w:val="clear" w:color="auto" w:fill="auto"/>
            <w:noWrap/>
            <w:vAlign w:val="bottom"/>
            <w:hideMark/>
          </w:tcPr>
          <w:p w14:paraId="50969526" w14:textId="77777777" w:rsidR="005749B8" w:rsidRDefault="005749B8" w:rsidP="006D355E">
            <w:pPr>
              <w:jc w:val="center"/>
              <w:rPr>
                <w:sz w:val="20"/>
                <w:szCs w:val="20"/>
              </w:rPr>
            </w:pPr>
            <w:r>
              <w:rPr>
                <w:sz w:val="20"/>
                <w:szCs w:val="20"/>
              </w:rPr>
              <w:t>32,00%</w:t>
            </w:r>
          </w:p>
        </w:tc>
        <w:tc>
          <w:tcPr>
            <w:tcW w:w="1105" w:type="dxa"/>
            <w:tcBorders>
              <w:top w:val="nil"/>
              <w:left w:val="nil"/>
              <w:bottom w:val="single" w:sz="4" w:space="0" w:color="auto"/>
              <w:right w:val="single" w:sz="4" w:space="0" w:color="auto"/>
            </w:tcBorders>
            <w:shd w:val="clear" w:color="auto" w:fill="auto"/>
            <w:vAlign w:val="bottom"/>
            <w:hideMark/>
          </w:tcPr>
          <w:p w14:paraId="3BE4A2AE" w14:textId="77777777" w:rsidR="005749B8" w:rsidRDefault="005749B8" w:rsidP="006D355E">
            <w:pPr>
              <w:jc w:val="center"/>
              <w:rPr>
                <w:sz w:val="20"/>
                <w:szCs w:val="20"/>
              </w:rPr>
            </w:pPr>
            <w:r>
              <w:rPr>
                <w:sz w:val="20"/>
                <w:szCs w:val="20"/>
              </w:rPr>
              <w:t>782 044</w:t>
            </w:r>
          </w:p>
        </w:tc>
        <w:tc>
          <w:tcPr>
            <w:tcW w:w="1195" w:type="dxa"/>
            <w:tcBorders>
              <w:top w:val="nil"/>
              <w:left w:val="nil"/>
              <w:bottom w:val="single" w:sz="4" w:space="0" w:color="auto"/>
              <w:right w:val="single" w:sz="4" w:space="0" w:color="auto"/>
            </w:tcBorders>
            <w:shd w:val="clear" w:color="auto" w:fill="auto"/>
            <w:noWrap/>
            <w:vAlign w:val="bottom"/>
            <w:hideMark/>
          </w:tcPr>
          <w:p w14:paraId="4D41B8D0" w14:textId="77777777" w:rsidR="005749B8" w:rsidRDefault="005749B8" w:rsidP="006D355E">
            <w:pPr>
              <w:jc w:val="center"/>
              <w:rPr>
                <w:sz w:val="20"/>
                <w:szCs w:val="20"/>
              </w:rPr>
            </w:pPr>
            <w:r>
              <w:rPr>
                <w:sz w:val="20"/>
                <w:szCs w:val="20"/>
              </w:rPr>
              <w:t>1 437</w:t>
            </w:r>
          </w:p>
        </w:tc>
        <w:tc>
          <w:tcPr>
            <w:tcW w:w="1211" w:type="dxa"/>
            <w:tcBorders>
              <w:top w:val="nil"/>
              <w:left w:val="nil"/>
              <w:bottom w:val="single" w:sz="4" w:space="0" w:color="auto"/>
              <w:right w:val="single" w:sz="4" w:space="0" w:color="auto"/>
            </w:tcBorders>
            <w:shd w:val="clear" w:color="auto" w:fill="auto"/>
            <w:vAlign w:val="bottom"/>
            <w:hideMark/>
          </w:tcPr>
          <w:p w14:paraId="6D5BE7F7" w14:textId="77777777" w:rsidR="005749B8" w:rsidRDefault="005749B8" w:rsidP="006D355E">
            <w:pPr>
              <w:jc w:val="center"/>
              <w:rPr>
                <w:sz w:val="20"/>
                <w:szCs w:val="20"/>
              </w:rPr>
            </w:pPr>
            <w:r>
              <w:rPr>
                <w:sz w:val="20"/>
                <w:szCs w:val="20"/>
              </w:rPr>
              <w:t>544</w:t>
            </w:r>
          </w:p>
        </w:tc>
      </w:tr>
      <w:tr w:rsidR="005749B8" w14:paraId="744E8763"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750BC067"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5EE11325" w14:textId="77777777" w:rsidR="005749B8" w:rsidRDefault="005749B8" w:rsidP="00E30B90">
            <w:pPr>
              <w:jc w:val="right"/>
              <w:rPr>
                <w:sz w:val="20"/>
                <w:szCs w:val="20"/>
              </w:rPr>
            </w:pPr>
            <w:r>
              <w:rPr>
                <w:sz w:val="20"/>
                <w:szCs w:val="20"/>
              </w:rPr>
              <w:t>2010.gads</w:t>
            </w:r>
          </w:p>
        </w:tc>
        <w:tc>
          <w:tcPr>
            <w:tcW w:w="1205" w:type="dxa"/>
            <w:tcBorders>
              <w:top w:val="nil"/>
              <w:left w:val="nil"/>
              <w:bottom w:val="single" w:sz="4" w:space="0" w:color="auto"/>
              <w:right w:val="single" w:sz="4" w:space="0" w:color="auto"/>
            </w:tcBorders>
            <w:shd w:val="clear" w:color="auto" w:fill="auto"/>
            <w:noWrap/>
            <w:vAlign w:val="bottom"/>
            <w:hideMark/>
          </w:tcPr>
          <w:p w14:paraId="7BA869A6" w14:textId="77777777" w:rsidR="005749B8" w:rsidRDefault="005749B8" w:rsidP="006D355E">
            <w:pPr>
              <w:jc w:val="center"/>
              <w:rPr>
                <w:sz w:val="20"/>
                <w:szCs w:val="20"/>
              </w:rPr>
            </w:pPr>
            <w:r>
              <w:rPr>
                <w:sz w:val="20"/>
                <w:szCs w:val="20"/>
              </w:rPr>
              <w:t>180</w:t>
            </w:r>
          </w:p>
        </w:tc>
        <w:tc>
          <w:tcPr>
            <w:tcW w:w="1172" w:type="dxa"/>
            <w:tcBorders>
              <w:top w:val="nil"/>
              <w:left w:val="nil"/>
              <w:bottom w:val="single" w:sz="4" w:space="0" w:color="auto"/>
              <w:right w:val="single" w:sz="4" w:space="0" w:color="auto"/>
            </w:tcBorders>
            <w:shd w:val="clear" w:color="auto" w:fill="auto"/>
            <w:noWrap/>
            <w:vAlign w:val="bottom"/>
            <w:hideMark/>
          </w:tcPr>
          <w:p w14:paraId="06EA0523" w14:textId="77777777" w:rsidR="005749B8" w:rsidRDefault="005749B8" w:rsidP="006D355E">
            <w:pPr>
              <w:jc w:val="center"/>
              <w:rPr>
                <w:sz w:val="20"/>
                <w:szCs w:val="20"/>
              </w:rPr>
            </w:pPr>
            <w:r>
              <w:rPr>
                <w:sz w:val="20"/>
                <w:szCs w:val="20"/>
              </w:rPr>
              <w:t>59,00%</w:t>
            </w:r>
          </w:p>
        </w:tc>
        <w:tc>
          <w:tcPr>
            <w:tcW w:w="1105" w:type="dxa"/>
            <w:tcBorders>
              <w:top w:val="nil"/>
              <w:left w:val="nil"/>
              <w:bottom w:val="single" w:sz="4" w:space="0" w:color="auto"/>
              <w:right w:val="single" w:sz="4" w:space="0" w:color="auto"/>
            </w:tcBorders>
            <w:shd w:val="clear" w:color="auto" w:fill="auto"/>
            <w:vAlign w:val="bottom"/>
            <w:hideMark/>
          </w:tcPr>
          <w:p w14:paraId="5AD3BEB2" w14:textId="77777777" w:rsidR="005749B8" w:rsidRDefault="005749B8" w:rsidP="006D355E">
            <w:pPr>
              <w:jc w:val="center"/>
              <w:rPr>
                <w:sz w:val="20"/>
                <w:szCs w:val="20"/>
              </w:rPr>
            </w:pPr>
            <w:r>
              <w:rPr>
                <w:sz w:val="20"/>
                <w:szCs w:val="20"/>
              </w:rPr>
              <w:t>1 185 581</w:t>
            </w:r>
          </w:p>
        </w:tc>
        <w:tc>
          <w:tcPr>
            <w:tcW w:w="1195" w:type="dxa"/>
            <w:tcBorders>
              <w:top w:val="nil"/>
              <w:left w:val="nil"/>
              <w:bottom w:val="single" w:sz="4" w:space="0" w:color="auto"/>
              <w:right w:val="single" w:sz="4" w:space="0" w:color="auto"/>
            </w:tcBorders>
            <w:shd w:val="clear" w:color="auto" w:fill="auto"/>
            <w:noWrap/>
            <w:vAlign w:val="bottom"/>
            <w:hideMark/>
          </w:tcPr>
          <w:p w14:paraId="0847883C" w14:textId="77777777" w:rsidR="005749B8" w:rsidRDefault="005749B8" w:rsidP="006D355E">
            <w:pPr>
              <w:jc w:val="center"/>
              <w:rPr>
                <w:sz w:val="20"/>
                <w:szCs w:val="20"/>
              </w:rPr>
            </w:pPr>
            <w:r>
              <w:rPr>
                <w:sz w:val="20"/>
                <w:szCs w:val="20"/>
              </w:rPr>
              <w:t>2 188</w:t>
            </w:r>
          </w:p>
        </w:tc>
        <w:tc>
          <w:tcPr>
            <w:tcW w:w="1211" w:type="dxa"/>
            <w:tcBorders>
              <w:top w:val="nil"/>
              <w:left w:val="nil"/>
              <w:bottom w:val="single" w:sz="4" w:space="0" w:color="auto"/>
              <w:right w:val="single" w:sz="4" w:space="0" w:color="auto"/>
            </w:tcBorders>
            <w:shd w:val="clear" w:color="auto" w:fill="auto"/>
            <w:vAlign w:val="bottom"/>
            <w:hideMark/>
          </w:tcPr>
          <w:p w14:paraId="3B4229E8" w14:textId="77777777" w:rsidR="005749B8" w:rsidRDefault="005749B8" w:rsidP="006D355E">
            <w:pPr>
              <w:jc w:val="center"/>
              <w:rPr>
                <w:sz w:val="20"/>
                <w:szCs w:val="20"/>
              </w:rPr>
            </w:pPr>
            <w:r>
              <w:rPr>
                <w:sz w:val="20"/>
                <w:szCs w:val="20"/>
              </w:rPr>
              <w:t>542</w:t>
            </w:r>
          </w:p>
        </w:tc>
      </w:tr>
      <w:tr w:rsidR="005749B8" w14:paraId="10984D8E"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3ACE691"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1B15F70F" w14:textId="77777777" w:rsidR="005749B8" w:rsidRDefault="005749B8" w:rsidP="00E30B90">
            <w:pPr>
              <w:jc w:val="right"/>
              <w:rPr>
                <w:sz w:val="20"/>
                <w:szCs w:val="20"/>
              </w:rPr>
            </w:pPr>
            <w:r>
              <w:rPr>
                <w:sz w:val="20"/>
                <w:szCs w:val="20"/>
              </w:rPr>
              <w:t>2011.gads</w:t>
            </w:r>
          </w:p>
        </w:tc>
        <w:tc>
          <w:tcPr>
            <w:tcW w:w="1205" w:type="dxa"/>
            <w:tcBorders>
              <w:top w:val="nil"/>
              <w:left w:val="nil"/>
              <w:bottom w:val="single" w:sz="4" w:space="0" w:color="auto"/>
              <w:right w:val="single" w:sz="4" w:space="0" w:color="auto"/>
            </w:tcBorders>
            <w:shd w:val="clear" w:color="auto" w:fill="auto"/>
            <w:noWrap/>
            <w:vAlign w:val="bottom"/>
            <w:hideMark/>
          </w:tcPr>
          <w:p w14:paraId="34B3BEA3" w14:textId="77777777" w:rsidR="005749B8" w:rsidRDefault="005749B8" w:rsidP="006D355E">
            <w:pPr>
              <w:jc w:val="center"/>
              <w:rPr>
                <w:sz w:val="20"/>
                <w:szCs w:val="20"/>
              </w:rPr>
            </w:pPr>
            <w:r>
              <w:rPr>
                <w:sz w:val="20"/>
                <w:szCs w:val="20"/>
              </w:rPr>
              <w:t>19</w:t>
            </w:r>
          </w:p>
        </w:tc>
        <w:tc>
          <w:tcPr>
            <w:tcW w:w="1172" w:type="dxa"/>
            <w:tcBorders>
              <w:top w:val="nil"/>
              <w:left w:val="nil"/>
              <w:bottom w:val="single" w:sz="4" w:space="0" w:color="auto"/>
              <w:right w:val="single" w:sz="4" w:space="0" w:color="auto"/>
            </w:tcBorders>
            <w:shd w:val="clear" w:color="auto" w:fill="auto"/>
            <w:noWrap/>
            <w:vAlign w:val="bottom"/>
            <w:hideMark/>
          </w:tcPr>
          <w:p w14:paraId="6EA531ED" w14:textId="77777777" w:rsidR="005749B8" w:rsidRDefault="005749B8" w:rsidP="006D355E">
            <w:pPr>
              <w:jc w:val="center"/>
              <w:rPr>
                <w:sz w:val="20"/>
                <w:szCs w:val="20"/>
              </w:rPr>
            </w:pPr>
            <w:r>
              <w:rPr>
                <w:sz w:val="20"/>
                <w:szCs w:val="20"/>
              </w:rPr>
              <w:t>6,00%</w:t>
            </w:r>
          </w:p>
        </w:tc>
        <w:tc>
          <w:tcPr>
            <w:tcW w:w="1105" w:type="dxa"/>
            <w:tcBorders>
              <w:top w:val="nil"/>
              <w:left w:val="nil"/>
              <w:bottom w:val="single" w:sz="4" w:space="0" w:color="auto"/>
              <w:right w:val="single" w:sz="4" w:space="0" w:color="auto"/>
            </w:tcBorders>
            <w:shd w:val="clear" w:color="auto" w:fill="auto"/>
            <w:vAlign w:val="bottom"/>
            <w:hideMark/>
          </w:tcPr>
          <w:p w14:paraId="52795293" w14:textId="77777777" w:rsidR="005749B8" w:rsidRDefault="005749B8" w:rsidP="006D355E">
            <w:pPr>
              <w:jc w:val="center"/>
              <w:rPr>
                <w:sz w:val="20"/>
                <w:szCs w:val="20"/>
              </w:rPr>
            </w:pPr>
            <w:r>
              <w:rPr>
                <w:sz w:val="20"/>
                <w:szCs w:val="20"/>
              </w:rPr>
              <w:t>73 329</w:t>
            </w:r>
          </w:p>
        </w:tc>
        <w:tc>
          <w:tcPr>
            <w:tcW w:w="1195" w:type="dxa"/>
            <w:tcBorders>
              <w:top w:val="nil"/>
              <w:left w:val="nil"/>
              <w:bottom w:val="single" w:sz="4" w:space="0" w:color="auto"/>
              <w:right w:val="single" w:sz="4" w:space="0" w:color="auto"/>
            </w:tcBorders>
            <w:shd w:val="clear" w:color="auto" w:fill="auto"/>
            <w:noWrap/>
            <w:vAlign w:val="bottom"/>
            <w:hideMark/>
          </w:tcPr>
          <w:p w14:paraId="1361A673" w14:textId="77777777" w:rsidR="005749B8" w:rsidRDefault="005749B8" w:rsidP="006D355E">
            <w:pPr>
              <w:jc w:val="center"/>
              <w:rPr>
                <w:sz w:val="20"/>
                <w:szCs w:val="20"/>
              </w:rPr>
            </w:pPr>
            <w:r>
              <w:rPr>
                <w:sz w:val="20"/>
                <w:szCs w:val="20"/>
              </w:rPr>
              <w:t>106</w:t>
            </w:r>
          </w:p>
        </w:tc>
        <w:tc>
          <w:tcPr>
            <w:tcW w:w="1211" w:type="dxa"/>
            <w:tcBorders>
              <w:top w:val="nil"/>
              <w:left w:val="nil"/>
              <w:bottom w:val="single" w:sz="4" w:space="0" w:color="auto"/>
              <w:right w:val="single" w:sz="4" w:space="0" w:color="auto"/>
            </w:tcBorders>
            <w:shd w:val="clear" w:color="auto" w:fill="auto"/>
            <w:vAlign w:val="bottom"/>
            <w:hideMark/>
          </w:tcPr>
          <w:p w14:paraId="243B4379" w14:textId="77777777" w:rsidR="005749B8" w:rsidRDefault="005749B8" w:rsidP="006D355E">
            <w:pPr>
              <w:jc w:val="center"/>
              <w:rPr>
                <w:sz w:val="20"/>
                <w:szCs w:val="20"/>
              </w:rPr>
            </w:pPr>
            <w:r>
              <w:rPr>
                <w:sz w:val="20"/>
                <w:szCs w:val="20"/>
              </w:rPr>
              <w:t>692</w:t>
            </w:r>
          </w:p>
        </w:tc>
      </w:tr>
      <w:tr w:rsidR="005749B8" w14:paraId="4479CF9C"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3DE3F6D6"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6D8136B2" w14:textId="77777777" w:rsidR="005749B8" w:rsidRDefault="005749B8" w:rsidP="00E30B90">
            <w:pPr>
              <w:jc w:val="right"/>
              <w:rPr>
                <w:sz w:val="20"/>
                <w:szCs w:val="20"/>
              </w:rPr>
            </w:pPr>
            <w:r>
              <w:rPr>
                <w:sz w:val="20"/>
                <w:szCs w:val="20"/>
              </w:rPr>
              <w:t>Kopā</w:t>
            </w:r>
          </w:p>
        </w:tc>
        <w:tc>
          <w:tcPr>
            <w:tcW w:w="1205" w:type="dxa"/>
            <w:tcBorders>
              <w:top w:val="nil"/>
              <w:left w:val="nil"/>
              <w:bottom w:val="single" w:sz="4" w:space="0" w:color="auto"/>
              <w:right w:val="single" w:sz="4" w:space="0" w:color="auto"/>
            </w:tcBorders>
            <w:shd w:val="clear" w:color="auto" w:fill="auto"/>
            <w:noWrap/>
            <w:vAlign w:val="bottom"/>
            <w:hideMark/>
          </w:tcPr>
          <w:p w14:paraId="111C4B65" w14:textId="77777777" w:rsidR="005749B8" w:rsidRDefault="005749B8" w:rsidP="006D355E">
            <w:pPr>
              <w:jc w:val="center"/>
              <w:rPr>
                <w:sz w:val="20"/>
                <w:szCs w:val="20"/>
              </w:rPr>
            </w:pPr>
            <w:r>
              <w:rPr>
                <w:sz w:val="20"/>
                <w:szCs w:val="20"/>
              </w:rPr>
              <w:t>303</w:t>
            </w:r>
          </w:p>
        </w:tc>
        <w:tc>
          <w:tcPr>
            <w:tcW w:w="1172" w:type="dxa"/>
            <w:tcBorders>
              <w:top w:val="nil"/>
              <w:left w:val="nil"/>
              <w:bottom w:val="single" w:sz="4" w:space="0" w:color="auto"/>
              <w:right w:val="single" w:sz="4" w:space="0" w:color="auto"/>
            </w:tcBorders>
            <w:shd w:val="clear" w:color="auto" w:fill="auto"/>
            <w:noWrap/>
            <w:vAlign w:val="bottom"/>
            <w:hideMark/>
          </w:tcPr>
          <w:p w14:paraId="05851792" w14:textId="77777777" w:rsidR="005749B8" w:rsidRDefault="005749B8" w:rsidP="006D355E">
            <w:pPr>
              <w:jc w:val="center"/>
              <w:rPr>
                <w:sz w:val="20"/>
                <w:szCs w:val="20"/>
              </w:rPr>
            </w:pPr>
            <w:r>
              <w:rPr>
                <w:sz w:val="20"/>
                <w:szCs w:val="20"/>
              </w:rPr>
              <w:t>100%</w:t>
            </w:r>
          </w:p>
        </w:tc>
        <w:tc>
          <w:tcPr>
            <w:tcW w:w="1105" w:type="dxa"/>
            <w:tcBorders>
              <w:top w:val="nil"/>
              <w:left w:val="nil"/>
              <w:bottom w:val="single" w:sz="4" w:space="0" w:color="auto"/>
              <w:right w:val="single" w:sz="4" w:space="0" w:color="auto"/>
            </w:tcBorders>
            <w:shd w:val="clear" w:color="auto" w:fill="auto"/>
            <w:vAlign w:val="bottom"/>
            <w:hideMark/>
          </w:tcPr>
          <w:p w14:paraId="5DE5E027" w14:textId="77777777" w:rsidR="005749B8" w:rsidRDefault="005749B8" w:rsidP="006D355E">
            <w:pPr>
              <w:jc w:val="center"/>
              <w:rPr>
                <w:sz w:val="20"/>
                <w:szCs w:val="20"/>
              </w:rPr>
            </w:pPr>
            <w:r>
              <w:rPr>
                <w:sz w:val="20"/>
                <w:szCs w:val="20"/>
              </w:rPr>
              <w:t>2 357 955</w:t>
            </w:r>
          </w:p>
        </w:tc>
        <w:tc>
          <w:tcPr>
            <w:tcW w:w="1195" w:type="dxa"/>
            <w:tcBorders>
              <w:top w:val="nil"/>
              <w:left w:val="nil"/>
              <w:bottom w:val="single" w:sz="4" w:space="0" w:color="auto"/>
              <w:right w:val="single" w:sz="4" w:space="0" w:color="auto"/>
            </w:tcBorders>
            <w:shd w:val="clear" w:color="auto" w:fill="auto"/>
            <w:noWrap/>
            <w:vAlign w:val="bottom"/>
            <w:hideMark/>
          </w:tcPr>
          <w:p w14:paraId="56D52723" w14:textId="77777777" w:rsidR="005749B8" w:rsidRDefault="005749B8" w:rsidP="006D355E">
            <w:pPr>
              <w:jc w:val="center"/>
              <w:rPr>
                <w:sz w:val="20"/>
                <w:szCs w:val="20"/>
              </w:rPr>
            </w:pPr>
            <w:r>
              <w:rPr>
                <w:sz w:val="20"/>
                <w:szCs w:val="20"/>
              </w:rPr>
              <w:t>3 870</w:t>
            </w:r>
          </w:p>
        </w:tc>
        <w:tc>
          <w:tcPr>
            <w:tcW w:w="1211" w:type="dxa"/>
            <w:tcBorders>
              <w:top w:val="nil"/>
              <w:left w:val="nil"/>
              <w:bottom w:val="single" w:sz="4" w:space="0" w:color="auto"/>
              <w:right w:val="single" w:sz="4" w:space="0" w:color="auto"/>
            </w:tcBorders>
            <w:shd w:val="clear" w:color="auto" w:fill="auto"/>
            <w:vAlign w:val="bottom"/>
            <w:hideMark/>
          </w:tcPr>
          <w:p w14:paraId="4A4B43EE" w14:textId="77777777" w:rsidR="005749B8" w:rsidRDefault="005749B8" w:rsidP="006D355E">
            <w:pPr>
              <w:jc w:val="center"/>
              <w:rPr>
                <w:sz w:val="20"/>
                <w:szCs w:val="20"/>
              </w:rPr>
            </w:pPr>
            <w:r>
              <w:rPr>
                <w:sz w:val="20"/>
                <w:szCs w:val="20"/>
              </w:rPr>
              <w:t>609</w:t>
            </w:r>
          </w:p>
        </w:tc>
      </w:tr>
      <w:tr w:rsidR="005749B8" w14:paraId="07DF9F64" w14:textId="77777777" w:rsidTr="009D46B2">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01E7ED3" w14:textId="77777777" w:rsidR="005749B8" w:rsidRDefault="005749B8" w:rsidP="00E30B90">
            <w:pPr>
              <w:jc w:val="center"/>
              <w:rPr>
                <w:b/>
                <w:bCs/>
                <w:sz w:val="20"/>
                <w:szCs w:val="20"/>
              </w:rPr>
            </w:pPr>
            <w:r>
              <w:rPr>
                <w:b/>
                <w:bCs/>
                <w:sz w:val="20"/>
                <w:szCs w:val="20"/>
              </w:rPr>
              <w:t>2012.gads</w:t>
            </w:r>
          </w:p>
        </w:tc>
        <w:tc>
          <w:tcPr>
            <w:tcW w:w="1980" w:type="dxa"/>
            <w:tcBorders>
              <w:top w:val="nil"/>
              <w:left w:val="nil"/>
              <w:bottom w:val="single" w:sz="4" w:space="0" w:color="auto"/>
              <w:right w:val="single" w:sz="4" w:space="0" w:color="auto"/>
            </w:tcBorders>
            <w:shd w:val="clear" w:color="auto" w:fill="auto"/>
            <w:noWrap/>
            <w:vAlign w:val="bottom"/>
            <w:hideMark/>
          </w:tcPr>
          <w:p w14:paraId="7CF40E62" w14:textId="77777777" w:rsidR="005749B8" w:rsidRDefault="005749B8" w:rsidP="00E30B90">
            <w:pPr>
              <w:jc w:val="right"/>
              <w:rPr>
                <w:sz w:val="20"/>
                <w:szCs w:val="20"/>
              </w:rPr>
            </w:pPr>
            <w:r>
              <w:rPr>
                <w:sz w:val="20"/>
                <w:szCs w:val="20"/>
              </w:rPr>
              <w:t>2008.gads</w:t>
            </w:r>
          </w:p>
        </w:tc>
        <w:tc>
          <w:tcPr>
            <w:tcW w:w="1205" w:type="dxa"/>
            <w:tcBorders>
              <w:top w:val="nil"/>
              <w:left w:val="nil"/>
              <w:bottom w:val="single" w:sz="4" w:space="0" w:color="auto"/>
              <w:right w:val="single" w:sz="4" w:space="0" w:color="auto"/>
            </w:tcBorders>
            <w:shd w:val="clear" w:color="auto" w:fill="auto"/>
            <w:noWrap/>
            <w:vAlign w:val="bottom"/>
            <w:hideMark/>
          </w:tcPr>
          <w:p w14:paraId="39D8CC79" w14:textId="77777777" w:rsidR="005749B8" w:rsidRDefault="005749B8" w:rsidP="006D355E">
            <w:pPr>
              <w:jc w:val="center"/>
              <w:rPr>
                <w:sz w:val="20"/>
                <w:szCs w:val="20"/>
              </w:rPr>
            </w:pPr>
            <w:r>
              <w:rPr>
                <w:sz w:val="20"/>
                <w:szCs w:val="20"/>
              </w:rPr>
              <w:t>5</w:t>
            </w:r>
          </w:p>
        </w:tc>
        <w:tc>
          <w:tcPr>
            <w:tcW w:w="1172" w:type="dxa"/>
            <w:tcBorders>
              <w:top w:val="nil"/>
              <w:left w:val="nil"/>
              <w:bottom w:val="single" w:sz="4" w:space="0" w:color="auto"/>
              <w:right w:val="single" w:sz="4" w:space="0" w:color="auto"/>
            </w:tcBorders>
            <w:shd w:val="clear" w:color="auto" w:fill="auto"/>
            <w:noWrap/>
            <w:vAlign w:val="bottom"/>
            <w:hideMark/>
          </w:tcPr>
          <w:p w14:paraId="4D2915FF" w14:textId="77777777" w:rsidR="005749B8" w:rsidRDefault="005749B8" w:rsidP="006D355E">
            <w:pPr>
              <w:jc w:val="center"/>
              <w:rPr>
                <w:sz w:val="20"/>
                <w:szCs w:val="20"/>
              </w:rPr>
            </w:pPr>
            <w:r>
              <w:rPr>
                <w:sz w:val="20"/>
                <w:szCs w:val="20"/>
              </w:rPr>
              <w:t>3,00%</w:t>
            </w:r>
          </w:p>
        </w:tc>
        <w:tc>
          <w:tcPr>
            <w:tcW w:w="1105" w:type="dxa"/>
            <w:tcBorders>
              <w:top w:val="nil"/>
              <w:left w:val="nil"/>
              <w:bottom w:val="single" w:sz="4" w:space="0" w:color="auto"/>
              <w:right w:val="single" w:sz="4" w:space="0" w:color="auto"/>
            </w:tcBorders>
            <w:shd w:val="clear" w:color="auto" w:fill="auto"/>
            <w:vAlign w:val="bottom"/>
            <w:hideMark/>
          </w:tcPr>
          <w:p w14:paraId="3C3DC1E3" w14:textId="77777777" w:rsidR="005749B8" w:rsidRDefault="005749B8" w:rsidP="006D355E">
            <w:pPr>
              <w:jc w:val="center"/>
              <w:rPr>
                <w:sz w:val="20"/>
                <w:szCs w:val="20"/>
              </w:rPr>
            </w:pPr>
            <w:r>
              <w:rPr>
                <w:sz w:val="20"/>
                <w:szCs w:val="20"/>
              </w:rPr>
              <w:t>69 025</w:t>
            </w:r>
          </w:p>
        </w:tc>
        <w:tc>
          <w:tcPr>
            <w:tcW w:w="1195" w:type="dxa"/>
            <w:tcBorders>
              <w:top w:val="nil"/>
              <w:left w:val="nil"/>
              <w:bottom w:val="single" w:sz="4" w:space="0" w:color="auto"/>
              <w:right w:val="single" w:sz="4" w:space="0" w:color="auto"/>
            </w:tcBorders>
            <w:shd w:val="clear" w:color="auto" w:fill="auto"/>
            <w:noWrap/>
            <w:vAlign w:val="bottom"/>
            <w:hideMark/>
          </w:tcPr>
          <w:p w14:paraId="2843EAAC" w14:textId="77777777" w:rsidR="005749B8" w:rsidRDefault="005749B8" w:rsidP="006D355E">
            <w:pPr>
              <w:jc w:val="center"/>
              <w:rPr>
                <w:sz w:val="20"/>
                <w:szCs w:val="20"/>
              </w:rPr>
            </w:pPr>
            <w:r>
              <w:rPr>
                <w:sz w:val="20"/>
                <w:szCs w:val="20"/>
              </w:rPr>
              <w:t>50</w:t>
            </w:r>
          </w:p>
        </w:tc>
        <w:tc>
          <w:tcPr>
            <w:tcW w:w="1211" w:type="dxa"/>
            <w:tcBorders>
              <w:top w:val="nil"/>
              <w:left w:val="nil"/>
              <w:bottom w:val="single" w:sz="4" w:space="0" w:color="auto"/>
              <w:right w:val="single" w:sz="4" w:space="0" w:color="auto"/>
            </w:tcBorders>
            <w:shd w:val="clear" w:color="auto" w:fill="auto"/>
            <w:vAlign w:val="bottom"/>
            <w:hideMark/>
          </w:tcPr>
          <w:p w14:paraId="508E8DB8" w14:textId="77777777" w:rsidR="005749B8" w:rsidRDefault="005749B8" w:rsidP="006D355E">
            <w:pPr>
              <w:jc w:val="center"/>
              <w:rPr>
                <w:sz w:val="20"/>
                <w:szCs w:val="20"/>
              </w:rPr>
            </w:pPr>
            <w:r>
              <w:rPr>
                <w:sz w:val="20"/>
                <w:szCs w:val="20"/>
              </w:rPr>
              <w:t>1380</w:t>
            </w:r>
          </w:p>
        </w:tc>
      </w:tr>
      <w:tr w:rsidR="005749B8" w14:paraId="61D93877"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28F2871C"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7B361775" w14:textId="77777777" w:rsidR="005749B8" w:rsidRDefault="005749B8" w:rsidP="00E30B90">
            <w:pPr>
              <w:jc w:val="right"/>
              <w:rPr>
                <w:sz w:val="20"/>
                <w:szCs w:val="20"/>
              </w:rPr>
            </w:pPr>
            <w:r>
              <w:rPr>
                <w:sz w:val="20"/>
                <w:szCs w:val="20"/>
              </w:rPr>
              <w:t>2009.gads</w:t>
            </w:r>
          </w:p>
        </w:tc>
        <w:tc>
          <w:tcPr>
            <w:tcW w:w="1205" w:type="dxa"/>
            <w:tcBorders>
              <w:top w:val="nil"/>
              <w:left w:val="nil"/>
              <w:bottom w:val="single" w:sz="4" w:space="0" w:color="auto"/>
              <w:right w:val="single" w:sz="4" w:space="0" w:color="auto"/>
            </w:tcBorders>
            <w:shd w:val="clear" w:color="auto" w:fill="auto"/>
            <w:noWrap/>
            <w:vAlign w:val="bottom"/>
            <w:hideMark/>
          </w:tcPr>
          <w:p w14:paraId="652EDEFC" w14:textId="77777777" w:rsidR="005749B8" w:rsidRDefault="005749B8" w:rsidP="006D355E">
            <w:pPr>
              <w:jc w:val="center"/>
              <w:rPr>
                <w:sz w:val="20"/>
                <w:szCs w:val="20"/>
              </w:rPr>
            </w:pPr>
            <w:r>
              <w:rPr>
                <w:sz w:val="20"/>
                <w:szCs w:val="20"/>
              </w:rPr>
              <w:t>28</w:t>
            </w:r>
          </w:p>
        </w:tc>
        <w:tc>
          <w:tcPr>
            <w:tcW w:w="1172" w:type="dxa"/>
            <w:tcBorders>
              <w:top w:val="nil"/>
              <w:left w:val="nil"/>
              <w:bottom w:val="single" w:sz="4" w:space="0" w:color="auto"/>
              <w:right w:val="single" w:sz="4" w:space="0" w:color="auto"/>
            </w:tcBorders>
            <w:shd w:val="clear" w:color="auto" w:fill="auto"/>
            <w:noWrap/>
            <w:vAlign w:val="bottom"/>
            <w:hideMark/>
          </w:tcPr>
          <w:p w14:paraId="522D5093" w14:textId="77777777" w:rsidR="005749B8" w:rsidRDefault="005749B8" w:rsidP="006D355E">
            <w:pPr>
              <w:jc w:val="center"/>
              <w:rPr>
                <w:sz w:val="20"/>
                <w:szCs w:val="20"/>
              </w:rPr>
            </w:pPr>
            <w:r>
              <w:rPr>
                <w:sz w:val="20"/>
                <w:szCs w:val="20"/>
              </w:rPr>
              <w:t>16,00%</w:t>
            </w:r>
          </w:p>
        </w:tc>
        <w:tc>
          <w:tcPr>
            <w:tcW w:w="1105" w:type="dxa"/>
            <w:tcBorders>
              <w:top w:val="nil"/>
              <w:left w:val="nil"/>
              <w:bottom w:val="single" w:sz="4" w:space="0" w:color="auto"/>
              <w:right w:val="single" w:sz="4" w:space="0" w:color="auto"/>
            </w:tcBorders>
            <w:shd w:val="clear" w:color="auto" w:fill="auto"/>
            <w:vAlign w:val="bottom"/>
            <w:hideMark/>
          </w:tcPr>
          <w:p w14:paraId="2F78E7E0" w14:textId="77777777" w:rsidR="005749B8" w:rsidRDefault="005749B8" w:rsidP="006D355E">
            <w:pPr>
              <w:jc w:val="center"/>
              <w:rPr>
                <w:sz w:val="20"/>
                <w:szCs w:val="20"/>
              </w:rPr>
            </w:pPr>
            <w:r>
              <w:rPr>
                <w:sz w:val="20"/>
                <w:szCs w:val="20"/>
              </w:rPr>
              <w:t>154 306</w:t>
            </w:r>
          </w:p>
        </w:tc>
        <w:tc>
          <w:tcPr>
            <w:tcW w:w="1195" w:type="dxa"/>
            <w:tcBorders>
              <w:top w:val="nil"/>
              <w:left w:val="nil"/>
              <w:bottom w:val="single" w:sz="4" w:space="0" w:color="auto"/>
              <w:right w:val="single" w:sz="4" w:space="0" w:color="auto"/>
            </w:tcBorders>
            <w:shd w:val="clear" w:color="auto" w:fill="auto"/>
            <w:noWrap/>
            <w:vAlign w:val="bottom"/>
            <w:hideMark/>
          </w:tcPr>
          <w:p w14:paraId="4C64595C" w14:textId="77777777" w:rsidR="005749B8" w:rsidRDefault="005749B8" w:rsidP="006D355E">
            <w:pPr>
              <w:jc w:val="center"/>
              <w:rPr>
                <w:sz w:val="20"/>
                <w:szCs w:val="20"/>
              </w:rPr>
            </w:pPr>
            <w:r>
              <w:rPr>
                <w:sz w:val="20"/>
                <w:szCs w:val="20"/>
              </w:rPr>
              <w:t>274</w:t>
            </w:r>
          </w:p>
        </w:tc>
        <w:tc>
          <w:tcPr>
            <w:tcW w:w="1211" w:type="dxa"/>
            <w:tcBorders>
              <w:top w:val="nil"/>
              <w:left w:val="nil"/>
              <w:bottom w:val="single" w:sz="4" w:space="0" w:color="auto"/>
              <w:right w:val="single" w:sz="4" w:space="0" w:color="auto"/>
            </w:tcBorders>
            <w:shd w:val="clear" w:color="auto" w:fill="auto"/>
            <w:vAlign w:val="bottom"/>
            <w:hideMark/>
          </w:tcPr>
          <w:p w14:paraId="40C50839" w14:textId="77777777" w:rsidR="005749B8" w:rsidRDefault="005749B8" w:rsidP="006D355E">
            <w:pPr>
              <w:jc w:val="center"/>
              <w:rPr>
                <w:sz w:val="20"/>
                <w:szCs w:val="20"/>
              </w:rPr>
            </w:pPr>
            <w:r>
              <w:rPr>
                <w:sz w:val="20"/>
                <w:szCs w:val="20"/>
              </w:rPr>
              <w:t>563</w:t>
            </w:r>
          </w:p>
        </w:tc>
      </w:tr>
      <w:tr w:rsidR="005749B8" w14:paraId="3C424A6F"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65580B30"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7DB22818" w14:textId="77777777" w:rsidR="005749B8" w:rsidRDefault="005749B8" w:rsidP="00E30B90">
            <w:pPr>
              <w:jc w:val="right"/>
              <w:rPr>
                <w:sz w:val="20"/>
                <w:szCs w:val="20"/>
              </w:rPr>
            </w:pPr>
            <w:r>
              <w:rPr>
                <w:sz w:val="20"/>
                <w:szCs w:val="20"/>
              </w:rPr>
              <w:t>2010.gads</w:t>
            </w:r>
          </w:p>
        </w:tc>
        <w:tc>
          <w:tcPr>
            <w:tcW w:w="1205" w:type="dxa"/>
            <w:tcBorders>
              <w:top w:val="nil"/>
              <w:left w:val="nil"/>
              <w:bottom w:val="single" w:sz="4" w:space="0" w:color="auto"/>
              <w:right w:val="single" w:sz="4" w:space="0" w:color="auto"/>
            </w:tcBorders>
            <w:shd w:val="clear" w:color="auto" w:fill="auto"/>
            <w:noWrap/>
            <w:vAlign w:val="bottom"/>
            <w:hideMark/>
          </w:tcPr>
          <w:p w14:paraId="36B923FE" w14:textId="77777777" w:rsidR="005749B8" w:rsidRDefault="005749B8" w:rsidP="006D355E">
            <w:pPr>
              <w:jc w:val="center"/>
              <w:rPr>
                <w:sz w:val="20"/>
                <w:szCs w:val="20"/>
              </w:rPr>
            </w:pPr>
            <w:r>
              <w:rPr>
                <w:sz w:val="20"/>
                <w:szCs w:val="20"/>
              </w:rPr>
              <w:t>57</w:t>
            </w:r>
          </w:p>
        </w:tc>
        <w:tc>
          <w:tcPr>
            <w:tcW w:w="1172" w:type="dxa"/>
            <w:tcBorders>
              <w:top w:val="nil"/>
              <w:left w:val="nil"/>
              <w:bottom w:val="single" w:sz="4" w:space="0" w:color="auto"/>
              <w:right w:val="single" w:sz="4" w:space="0" w:color="auto"/>
            </w:tcBorders>
            <w:shd w:val="clear" w:color="auto" w:fill="auto"/>
            <w:noWrap/>
            <w:vAlign w:val="bottom"/>
            <w:hideMark/>
          </w:tcPr>
          <w:p w14:paraId="77A6AA1A" w14:textId="77777777" w:rsidR="005749B8" w:rsidRDefault="005749B8" w:rsidP="006D355E">
            <w:pPr>
              <w:jc w:val="center"/>
              <w:rPr>
                <w:sz w:val="20"/>
                <w:szCs w:val="20"/>
              </w:rPr>
            </w:pPr>
            <w:r>
              <w:rPr>
                <w:sz w:val="20"/>
                <w:szCs w:val="20"/>
              </w:rPr>
              <w:t>33,00%</w:t>
            </w:r>
          </w:p>
        </w:tc>
        <w:tc>
          <w:tcPr>
            <w:tcW w:w="1105" w:type="dxa"/>
            <w:tcBorders>
              <w:top w:val="nil"/>
              <w:left w:val="nil"/>
              <w:bottom w:val="single" w:sz="4" w:space="0" w:color="auto"/>
              <w:right w:val="single" w:sz="4" w:space="0" w:color="auto"/>
            </w:tcBorders>
            <w:shd w:val="clear" w:color="auto" w:fill="auto"/>
            <w:vAlign w:val="bottom"/>
            <w:hideMark/>
          </w:tcPr>
          <w:p w14:paraId="4FD897B0" w14:textId="77777777" w:rsidR="005749B8" w:rsidRDefault="005749B8" w:rsidP="006D355E">
            <w:pPr>
              <w:jc w:val="center"/>
              <w:rPr>
                <w:sz w:val="20"/>
                <w:szCs w:val="20"/>
              </w:rPr>
            </w:pPr>
            <w:r>
              <w:rPr>
                <w:sz w:val="20"/>
                <w:szCs w:val="20"/>
              </w:rPr>
              <w:t>350 866</w:t>
            </w:r>
          </w:p>
        </w:tc>
        <w:tc>
          <w:tcPr>
            <w:tcW w:w="1195" w:type="dxa"/>
            <w:tcBorders>
              <w:top w:val="nil"/>
              <w:left w:val="nil"/>
              <w:bottom w:val="single" w:sz="4" w:space="0" w:color="auto"/>
              <w:right w:val="single" w:sz="4" w:space="0" w:color="auto"/>
            </w:tcBorders>
            <w:shd w:val="clear" w:color="auto" w:fill="auto"/>
            <w:noWrap/>
            <w:vAlign w:val="bottom"/>
            <w:hideMark/>
          </w:tcPr>
          <w:p w14:paraId="434018AC" w14:textId="77777777" w:rsidR="005749B8" w:rsidRDefault="005749B8" w:rsidP="006D355E">
            <w:pPr>
              <w:jc w:val="center"/>
              <w:rPr>
                <w:sz w:val="20"/>
                <w:szCs w:val="20"/>
              </w:rPr>
            </w:pPr>
            <w:r>
              <w:rPr>
                <w:sz w:val="20"/>
                <w:szCs w:val="20"/>
              </w:rPr>
              <w:t>615</w:t>
            </w:r>
          </w:p>
        </w:tc>
        <w:tc>
          <w:tcPr>
            <w:tcW w:w="1211" w:type="dxa"/>
            <w:tcBorders>
              <w:top w:val="nil"/>
              <w:left w:val="nil"/>
              <w:bottom w:val="single" w:sz="4" w:space="0" w:color="auto"/>
              <w:right w:val="single" w:sz="4" w:space="0" w:color="auto"/>
            </w:tcBorders>
            <w:shd w:val="clear" w:color="auto" w:fill="auto"/>
            <w:vAlign w:val="bottom"/>
            <w:hideMark/>
          </w:tcPr>
          <w:p w14:paraId="0CFF613E" w14:textId="77777777" w:rsidR="005749B8" w:rsidRDefault="005749B8" w:rsidP="006D355E">
            <w:pPr>
              <w:jc w:val="center"/>
              <w:rPr>
                <w:sz w:val="20"/>
                <w:szCs w:val="20"/>
              </w:rPr>
            </w:pPr>
            <w:r>
              <w:rPr>
                <w:sz w:val="20"/>
                <w:szCs w:val="20"/>
              </w:rPr>
              <w:t>571</w:t>
            </w:r>
          </w:p>
        </w:tc>
      </w:tr>
      <w:tr w:rsidR="005749B8" w14:paraId="533AC9C7"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562E6608"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4D0D155A" w14:textId="77777777" w:rsidR="005749B8" w:rsidRDefault="005749B8" w:rsidP="00E30B90">
            <w:pPr>
              <w:jc w:val="right"/>
              <w:rPr>
                <w:sz w:val="20"/>
                <w:szCs w:val="20"/>
              </w:rPr>
            </w:pPr>
            <w:r>
              <w:rPr>
                <w:sz w:val="20"/>
                <w:szCs w:val="20"/>
              </w:rPr>
              <w:t>2011.gads</w:t>
            </w:r>
          </w:p>
        </w:tc>
        <w:tc>
          <w:tcPr>
            <w:tcW w:w="1205" w:type="dxa"/>
            <w:tcBorders>
              <w:top w:val="nil"/>
              <w:left w:val="nil"/>
              <w:bottom w:val="single" w:sz="4" w:space="0" w:color="auto"/>
              <w:right w:val="single" w:sz="4" w:space="0" w:color="auto"/>
            </w:tcBorders>
            <w:shd w:val="clear" w:color="auto" w:fill="auto"/>
            <w:noWrap/>
            <w:vAlign w:val="bottom"/>
            <w:hideMark/>
          </w:tcPr>
          <w:p w14:paraId="09F8EC60" w14:textId="77777777" w:rsidR="005749B8" w:rsidRDefault="005749B8" w:rsidP="006D355E">
            <w:pPr>
              <w:jc w:val="center"/>
              <w:rPr>
                <w:sz w:val="20"/>
                <w:szCs w:val="20"/>
              </w:rPr>
            </w:pPr>
            <w:r>
              <w:rPr>
                <w:sz w:val="20"/>
                <w:szCs w:val="20"/>
              </w:rPr>
              <w:t>55</w:t>
            </w:r>
          </w:p>
        </w:tc>
        <w:tc>
          <w:tcPr>
            <w:tcW w:w="1172" w:type="dxa"/>
            <w:tcBorders>
              <w:top w:val="nil"/>
              <w:left w:val="nil"/>
              <w:bottom w:val="single" w:sz="4" w:space="0" w:color="auto"/>
              <w:right w:val="single" w:sz="4" w:space="0" w:color="auto"/>
            </w:tcBorders>
            <w:shd w:val="clear" w:color="auto" w:fill="auto"/>
            <w:noWrap/>
            <w:vAlign w:val="bottom"/>
            <w:hideMark/>
          </w:tcPr>
          <w:p w14:paraId="2D90C7B6" w14:textId="77777777" w:rsidR="005749B8" w:rsidRDefault="005749B8" w:rsidP="006D355E">
            <w:pPr>
              <w:jc w:val="center"/>
              <w:rPr>
                <w:sz w:val="20"/>
                <w:szCs w:val="20"/>
              </w:rPr>
            </w:pPr>
            <w:r>
              <w:rPr>
                <w:sz w:val="20"/>
                <w:szCs w:val="20"/>
              </w:rPr>
              <w:t>32,00%</w:t>
            </w:r>
          </w:p>
        </w:tc>
        <w:tc>
          <w:tcPr>
            <w:tcW w:w="1105" w:type="dxa"/>
            <w:tcBorders>
              <w:top w:val="nil"/>
              <w:left w:val="nil"/>
              <w:bottom w:val="single" w:sz="4" w:space="0" w:color="auto"/>
              <w:right w:val="single" w:sz="4" w:space="0" w:color="auto"/>
            </w:tcBorders>
            <w:shd w:val="clear" w:color="auto" w:fill="auto"/>
            <w:vAlign w:val="bottom"/>
            <w:hideMark/>
          </w:tcPr>
          <w:p w14:paraId="264A6ABC" w14:textId="77777777" w:rsidR="005749B8" w:rsidRDefault="005749B8" w:rsidP="006D355E">
            <w:pPr>
              <w:jc w:val="center"/>
              <w:rPr>
                <w:sz w:val="20"/>
                <w:szCs w:val="20"/>
              </w:rPr>
            </w:pPr>
            <w:r>
              <w:rPr>
                <w:sz w:val="20"/>
                <w:szCs w:val="20"/>
              </w:rPr>
              <w:t>744 836</w:t>
            </w:r>
          </w:p>
        </w:tc>
        <w:tc>
          <w:tcPr>
            <w:tcW w:w="1195" w:type="dxa"/>
            <w:tcBorders>
              <w:top w:val="nil"/>
              <w:left w:val="nil"/>
              <w:bottom w:val="single" w:sz="4" w:space="0" w:color="auto"/>
              <w:right w:val="single" w:sz="4" w:space="0" w:color="auto"/>
            </w:tcBorders>
            <w:shd w:val="clear" w:color="auto" w:fill="auto"/>
            <w:noWrap/>
            <w:vAlign w:val="bottom"/>
            <w:hideMark/>
          </w:tcPr>
          <w:p w14:paraId="0FED6B11" w14:textId="77777777" w:rsidR="005749B8" w:rsidRDefault="005749B8" w:rsidP="006D355E">
            <w:pPr>
              <w:jc w:val="center"/>
              <w:rPr>
                <w:sz w:val="20"/>
                <w:szCs w:val="20"/>
              </w:rPr>
            </w:pPr>
            <w:r>
              <w:rPr>
                <w:sz w:val="20"/>
                <w:szCs w:val="20"/>
              </w:rPr>
              <w:t>988</w:t>
            </w:r>
          </w:p>
        </w:tc>
        <w:tc>
          <w:tcPr>
            <w:tcW w:w="1211" w:type="dxa"/>
            <w:tcBorders>
              <w:top w:val="nil"/>
              <w:left w:val="nil"/>
              <w:bottom w:val="single" w:sz="4" w:space="0" w:color="auto"/>
              <w:right w:val="single" w:sz="4" w:space="0" w:color="auto"/>
            </w:tcBorders>
            <w:shd w:val="clear" w:color="auto" w:fill="auto"/>
            <w:vAlign w:val="bottom"/>
            <w:hideMark/>
          </w:tcPr>
          <w:p w14:paraId="22312A91" w14:textId="77777777" w:rsidR="005749B8" w:rsidRDefault="005749B8" w:rsidP="006D355E">
            <w:pPr>
              <w:jc w:val="center"/>
              <w:rPr>
                <w:sz w:val="20"/>
                <w:szCs w:val="20"/>
              </w:rPr>
            </w:pPr>
            <w:r>
              <w:rPr>
                <w:sz w:val="20"/>
                <w:szCs w:val="20"/>
              </w:rPr>
              <w:t>754</w:t>
            </w:r>
          </w:p>
        </w:tc>
      </w:tr>
      <w:tr w:rsidR="005749B8" w14:paraId="4D3E73CF"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115BAD9D"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05201D1B" w14:textId="77777777" w:rsidR="005749B8" w:rsidRDefault="005749B8" w:rsidP="00E30B90">
            <w:pPr>
              <w:jc w:val="right"/>
              <w:rPr>
                <w:sz w:val="20"/>
                <w:szCs w:val="20"/>
              </w:rPr>
            </w:pPr>
            <w:r>
              <w:rPr>
                <w:sz w:val="20"/>
                <w:szCs w:val="20"/>
              </w:rPr>
              <w:t>2012.gads</w:t>
            </w:r>
          </w:p>
        </w:tc>
        <w:tc>
          <w:tcPr>
            <w:tcW w:w="1205" w:type="dxa"/>
            <w:tcBorders>
              <w:top w:val="nil"/>
              <w:left w:val="nil"/>
              <w:bottom w:val="single" w:sz="4" w:space="0" w:color="auto"/>
              <w:right w:val="single" w:sz="4" w:space="0" w:color="auto"/>
            </w:tcBorders>
            <w:shd w:val="clear" w:color="auto" w:fill="auto"/>
            <w:noWrap/>
            <w:vAlign w:val="bottom"/>
            <w:hideMark/>
          </w:tcPr>
          <w:p w14:paraId="3C0949B5" w14:textId="77777777" w:rsidR="005749B8" w:rsidRDefault="005749B8" w:rsidP="006D355E">
            <w:pPr>
              <w:jc w:val="center"/>
              <w:rPr>
                <w:sz w:val="20"/>
                <w:szCs w:val="20"/>
              </w:rPr>
            </w:pPr>
            <w:r>
              <w:rPr>
                <w:sz w:val="20"/>
                <w:szCs w:val="20"/>
              </w:rPr>
              <w:t>27</w:t>
            </w:r>
          </w:p>
        </w:tc>
        <w:tc>
          <w:tcPr>
            <w:tcW w:w="1172" w:type="dxa"/>
            <w:tcBorders>
              <w:top w:val="nil"/>
              <w:left w:val="nil"/>
              <w:bottom w:val="single" w:sz="4" w:space="0" w:color="auto"/>
              <w:right w:val="single" w:sz="4" w:space="0" w:color="auto"/>
            </w:tcBorders>
            <w:shd w:val="clear" w:color="auto" w:fill="auto"/>
            <w:noWrap/>
            <w:vAlign w:val="bottom"/>
            <w:hideMark/>
          </w:tcPr>
          <w:p w14:paraId="4B5D87BC" w14:textId="77777777" w:rsidR="005749B8" w:rsidRDefault="005749B8" w:rsidP="006D355E">
            <w:pPr>
              <w:jc w:val="center"/>
              <w:rPr>
                <w:sz w:val="20"/>
                <w:szCs w:val="20"/>
              </w:rPr>
            </w:pPr>
            <w:r>
              <w:rPr>
                <w:sz w:val="20"/>
                <w:szCs w:val="20"/>
              </w:rPr>
              <w:t>16,00%</w:t>
            </w:r>
          </w:p>
        </w:tc>
        <w:tc>
          <w:tcPr>
            <w:tcW w:w="1105" w:type="dxa"/>
            <w:tcBorders>
              <w:top w:val="nil"/>
              <w:left w:val="nil"/>
              <w:bottom w:val="single" w:sz="4" w:space="0" w:color="auto"/>
              <w:right w:val="single" w:sz="4" w:space="0" w:color="auto"/>
            </w:tcBorders>
            <w:shd w:val="clear" w:color="auto" w:fill="auto"/>
            <w:vAlign w:val="bottom"/>
            <w:hideMark/>
          </w:tcPr>
          <w:p w14:paraId="5E2D0F1C" w14:textId="77777777" w:rsidR="005749B8" w:rsidRDefault="005749B8" w:rsidP="006D355E">
            <w:pPr>
              <w:jc w:val="center"/>
              <w:rPr>
                <w:sz w:val="20"/>
                <w:szCs w:val="20"/>
              </w:rPr>
            </w:pPr>
            <w:r>
              <w:rPr>
                <w:sz w:val="20"/>
                <w:szCs w:val="20"/>
              </w:rPr>
              <w:t>135 216</w:t>
            </w:r>
          </w:p>
        </w:tc>
        <w:tc>
          <w:tcPr>
            <w:tcW w:w="1195" w:type="dxa"/>
            <w:tcBorders>
              <w:top w:val="nil"/>
              <w:left w:val="nil"/>
              <w:bottom w:val="single" w:sz="4" w:space="0" w:color="auto"/>
              <w:right w:val="single" w:sz="4" w:space="0" w:color="auto"/>
            </w:tcBorders>
            <w:shd w:val="clear" w:color="auto" w:fill="auto"/>
            <w:noWrap/>
            <w:vAlign w:val="bottom"/>
            <w:hideMark/>
          </w:tcPr>
          <w:p w14:paraId="01A9A0E2" w14:textId="77777777" w:rsidR="005749B8" w:rsidRDefault="005749B8" w:rsidP="006D355E">
            <w:pPr>
              <w:jc w:val="center"/>
              <w:rPr>
                <w:sz w:val="20"/>
                <w:szCs w:val="20"/>
              </w:rPr>
            </w:pPr>
            <w:r>
              <w:rPr>
                <w:sz w:val="20"/>
                <w:szCs w:val="20"/>
              </w:rPr>
              <w:t>231</w:t>
            </w:r>
          </w:p>
        </w:tc>
        <w:tc>
          <w:tcPr>
            <w:tcW w:w="1211" w:type="dxa"/>
            <w:tcBorders>
              <w:top w:val="nil"/>
              <w:left w:val="nil"/>
              <w:bottom w:val="single" w:sz="4" w:space="0" w:color="auto"/>
              <w:right w:val="single" w:sz="4" w:space="0" w:color="auto"/>
            </w:tcBorders>
            <w:shd w:val="clear" w:color="auto" w:fill="auto"/>
            <w:vAlign w:val="bottom"/>
            <w:hideMark/>
          </w:tcPr>
          <w:p w14:paraId="638DAD4E" w14:textId="77777777" w:rsidR="005749B8" w:rsidRDefault="005749B8" w:rsidP="006D355E">
            <w:pPr>
              <w:jc w:val="center"/>
              <w:rPr>
                <w:sz w:val="20"/>
                <w:szCs w:val="20"/>
              </w:rPr>
            </w:pPr>
            <w:r>
              <w:rPr>
                <w:sz w:val="20"/>
                <w:szCs w:val="20"/>
              </w:rPr>
              <w:t>585</w:t>
            </w:r>
          </w:p>
        </w:tc>
      </w:tr>
      <w:tr w:rsidR="005749B8" w14:paraId="1087BC15"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6FEDB5C5"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0D634426" w14:textId="77777777" w:rsidR="005749B8" w:rsidRDefault="005749B8" w:rsidP="00E30B90">
            <w:pPr>
              <w:jc w:val="right"/>
              <w:rPr>
                <w:sz w:val="20"/>
                <w:szCs w:val="20"/>
              </w:rPr>
            </w:pPr>
            <w:r>
              <w:rPr>
                <w:sz w:val="20"/>
                <w:szCs w:val="20"/>
              </w:rPr>
              <w:t>Kopā</w:t>
            </w:r>
          </w:p>
        </w:tc>
        <w:tc>
          <w:tcPr>
            <w:tcW w:w="1205" w:type="dxa"/>
            <w:tcBorders>
              <w:top w:val="nil"/>
              <w:left w:val="nil"/>
              <w:bottom w:val="single" w:sz="4" w:space="0" w:color="auto"/>
              <w:right w:val="single" w:sz="4" w:space="0" w:color="auto"/>
            </w:tcBorders>
            <w:shd w:val="clear" w:color="auto" w:fill="auto"/>
            <w:noWrap/>
            <w:vAlign w:val="bottom"/>
            <w:hideMark/>
          </w:tcPr>
          <w:p w14:paraId="343A29C4" w14:textId="77777777" w:rsidR="005749B8" w:rsidRDefault="005749B8" w:rsidP="006D355E">
            <w:pPr>
              <w:jc w:val="center"/>
              <w:rPr>
                <w:sz w:val="20"/>
                <w:szCs w:val="20"/>
              </w:rPr>
            </w:pPr>
            <w:r>
              <w:rPr>
                <w:sz w:val="20"/>
                <w:szCs w:val="20"/>
              </w:rPr>
              <w:t>172</w:t>
            </w:r>
          </w:p>
        </w:tc>
        <w:tc>
          <w:tcPr>
            <w:tcW w:w="1172" w:type="dxa"/>
            <w:tcBorders>
              <w:top w:val="nil"/>
              <w:left w:val="nil"/>
              <w:bottom w:val="single" w:sz="4" w:space="0" w:color="auto"/>
              <w:right w:val="single" w:sz="4" w:space="0" w:color="auto"/>
            </w:tcBorders>
            <w:shd w:val="clear" w:color="auto" w:fill="auto"/>
            <w:noWrap/>
            <w:vAlign w:val="bottom"/>
            <w:hideMark/>
          </w:tcPr>
          <w:p w14:paraId="36611461" w14:textId="77777777" w:rsidR="005749B8" w:rsidRDefault="005749B8" w:rsidP="006D355E">
            <w:pPr>
              <w:jc w:val="center"/>
              <w:rPr>
                <w:sz w:val="20"/>
                <w:szCs w:val="20"/>
              </w:rPr>
            </w:pPr>
            <w:r>
              <w:rPr>
                <w:sz w:val="20"/>
                <w:szCs w:val="20"/>
              </w:rPr>
              <w:t>100,00%</w:t>
            </w:r>
          </w:p>
        </w:tc>
        <w:tc>
          <w:tcPr>
            <w:tcW w:w="1105" w:type="dxa"/>
            <w:tcBorders>
              <w:top w:val="nil"/>
              <w:left w:val="nil"/>
              <w:bottom w:val="single" w:sz="4" w:space="0" w:color="auto"/>
              <w:right w:val="single" w:sz="4" w:space="0" w:color="auto"/>
            </w:tcBorders>
            <w:shd w:val="clear" w:color="auto" w:fill="auto"/>
            <w:vAlign w:val="bottom"/>
            <w:hideMark/>
          </w:tcPr>
          <w:p w14:paraId="45578E5A" w14:textId="77777777" w:rsidR="005749B8" w:rsidRDefault="005749B8" w:rsidP="006D355E">
            <w:pPr>
              <w:jc w:val="center"/>
              <w:rPr>
                <w:sz w:val="20"/>
                <w:szCs w:val="20"/>
              </w:rPr>
            </w:pPr>
            <w:r>
              <w:rPr>
                <w:sz w:val="20"/>
                <w:szCs w:val="20"/>
              </w:rPr>
              <w:t>1 454 249</w:t>
            </w:r>
          </w:p>
        </w:tc>
        <w:tc>
          <w:tcPr>
            <w:tcW w:w="1195" w:type="dxa"/>
            <w:tcBorders>
              <w:top w:val="nil"/>
              <w:left w:val="nil"/>
              <w:bottom w:val="single" w:sz="4" w:space="0" w:color="auto"/>
              <w:right w:val="single" w:sz="4" w:space="0" w:color="auto"/>
            </w:tcBorders>
            <w:shd w:val="clear" w:color="auto" w:fill="auto"/>
            <w:noWrap/>
            <w:vAlign w:val="bottom"/>
            <w:hideMark/>
          </w:tcPr>
          <w:p w14:paraId="4AFCE69D" w14:textId="77777777" w:rsidR="005749B8" w:rsidRDefault="005749B8" w:rsidP="006D355E">
            <w:pPr>
              <w:jc w:val="center"/>
              <w:rPr>
                <w:sz w:val="20"/>
                <w:szCs w:val="20"/>
              </w:rPr>
            </w:pPr>
            <w:r>
              <w:rPr>
                <w:sz w:val="20"/>
                <w:szCs w:val="20"/>
              </w:rPr>
              <w:t>2158</w:t>
            </w:r>
          </w:p>
        </w:tc>
        <w:tc>
          <w:tcPr>
            <w:tcW w:w="1211" w:type="dxa"/>
            <w:tcBorders>
              <w:top w:val="nil"/>
              <w:left w:val="nil"/>
              <w:bottom w:val="single" w:sz="4" w:space="0" w:color="auto"/>
              <w:right w:val="single" w:sz="4" w:space="0" w:color="auto"/>
            </w:tcBorders>
            <w:shd w:val="clear" w:color="auto" w:fill="auto"/>
            <w:vAlign w:val="bottom"/>
            <w:hideMark/>
          </w:tcPr>
          <w:p w14:paraId="6327FFA8" w14:textId="77777777" w:rsidR="005749B8" w:rsidRDefault="005749B8" w:rsidP="006D355E">
            <w:pPr>
              <w:jc w:val="center"/>
              <w:rPr>
                <w:sz w:val="20"/>
                <w:szCs w:val="20"/>
              </w:rPr>
            </w:pPr>
            <w:r>
              <w:rPr>
                <w:sz w:val="20"/>
                <w:szCs w:val="20"/>
              </w:rPr>
              <w:t>674</w:t>
            </w:r>
          </w:p>
        </w:tc>
      </w:tr>
      <w:tr w:rsidR="005749B8" w14:paraId="7A65E28A" w14:textId="77777777" w:rsidTr="009D46B2">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2472242" w14:textId="77777777" w:rsidR="005749B8" w:rsidRDefault="005749B8" w:rsidP="00E30B90">
            <w:pPr>
              <w:jc w:val="center"/>
              <w:rPr>
                <w:b/>
                <w:bCs/>
                <w:sz w:val="20"/>
                <w:szCs w:val="20"/>
              </w:rPr>
            </w:pPr>
            <w:r>
              <w:rPr>
                <w:b/>
                <w:bCs/>
                <w:sz w:val="20"/>
                <w:szCs w:val="20"/>
              </w:rPr>
              <w:t>2013.gads</w:t>
            </w:r>
          </w:p>
        </w:tc>
        <w:tc>
          <w:tcPr>
            <w:tcW w:w="1980" w:type="dxa"/>
            <w:tcBorders>
              <w:top w:val="nil"/>
              <w:left w:val="nil"/>
              <w:bottom w:val="single" w:sz="4" w:space="0" w:color="auto"/>
              <w:right w:val="single" w:sz="4" w:space="0" w:color="auto"/>
            </w:tcBorders>
            <w:shd w:val="clear" w:color="auto" w:fill="auto"/>
            <w:noWrap/>
            <w:vAlign w:val="bottom"/>
            <w:hideMark/>
          </w:tcPr>
          <w:p w14:paraId="3DFA1365" w14:textId="77777777" w:rsidR="005749B8" w:rsidRDefault="005749B8" w:rsidP="00E30B90">
            <w:pPr>
              <w:jc w:val="right"/>
              <w:rPr>
                <w:sz w:val="20"/>
                <w:szCs w:val="20"/>
              </w:rPr>
            </w:pPr>
            <w:r>
              <w:rPr>
                <w:sz w:val="20"/>
                <w:szCs w:val="20"/>
              </w:rPr>
              <w:t>2004.gads</w:t>
            </w:r>
          </w:p>
        </w:tc>
        <w:tc>
          <w:tcPr>
            <w:tcW w:w="1205" w:type="dxa"/>
            <w:tcBorders>
              <w:top w:val="nil"/>
              <w:left w:val="nil"/>
              <w:bottom w:val="single" w:sz="4" w:space="0" w:color="auto"/>
              <w:right w:val="single" w:sz="4" w:space="0" w:color="auto"/>
            </w:tcBorders>
            <w:shd w:val="clear" w:color="auto" w:fill="auto"/>
            <w:noWrap/>
            <w:vAlign w:val="bottom"/>
            <w:hideMark/>
          </w:tcPr>
          <w:p w14:paraId="3DC6E63A" w14:textId="77777777" w:rsidR="005749B8" w:rsidRDefault="005749B8" w:rsidP="006D355E">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27B256D" w14:textId="77777777" w:rsidR="005749B8" w:rsidRDefault="005749B8" w:rsidP="006D355E">
            <w:pPr>
              <w:jc w:val="center"/>
              <w:rPr>
                <w:sz w:val="20"/>
                <w:szCs w:val="20"/>
              </w:rPr>
            </w:pPr>
            <w:r>
              <w:rPr>
                <w:sz w:val="20"/>
                <w:szCs w:val="20"/>
              </w:rPr>
              <w:t>1,00%</w:t>
            </w:r>
          </w:p>
        </w:tc>
        <w:tc>
          <w:tcPr>
            <w:tcW w:w="1105" w:type="dxa"/>
            <w:tcBorders>
              <w:top w:val="nil"/>
              <w:left w:val="nil"/>
              <w:bottom w:val="single" w:sz="4" w:space="0" w:color="auto"/>
              <w:right w:val="single" w:sz="4" w:space="0" w:color="auto"/>
            </w:tcBorders>
            <w:shd w:val="clear" w:color="auto" w:fill="auto"/>
            <w:vAlign w:val="bottom"/>
            <w:hideMark/>
          </w:tcPr>
          <w:p w14:paraId="19577EB9" w14:textId="77777777" w:rsidR="005749B8" w:rsidRDefault="005749B8" w:rsidP="006D355E">
            <w:pPr>
              <w:jc w:val="center"/>
              <w:rPr>
                <w:sz w:val="20"/>
                <w:szCs w:val="20"/>
              </w:rPr>
            </w:pPr>
            <w:r>
              <w:rPr>
                <w:sz w:val="20"/>
                <w:szCs w:val="20"/>
              </w:rPr>
              <w:t>2 181</w:t>
            </w:r>
          </w:p>
        </w:tc>
        <w:tc>
          <w:tcPr>
            <w:tcW w:w="1195" w:type="dxa"/>
            <w:tcBorders>
              <w:top w:val="nil"/>
              <w:left w:val="nil"/>
              <w:bottom w:val="single" w:sz="4" w:space="0" w:color="auto"/>
              <w:right w:val="single" w:sz="4" w:space="0" w:color="auto"/>
            </w:tcBorders>
            <w:shd w:val="clear" w:color="auto" w:fill="auto"/>
            <w:noWrap/>
            <w:vAlign w:val="bottom"/>
            <w:hideMark/>
          </w:tcPr>
          <w:p w14:paraId="4CA5348E" w14:textId="77777777" w:rsidR="005749B8" w:rsidRDefault="005749B8" w:rsidP="006D355E">
            <w:pPr>
              <w:jc w:val="center"/>
              <w:rPr>
                <w:sz w:val="20"/>
                <w:szCs w:val="20"/>
              </w:rPr>
            </w:pPr>
            <w:r>
              <w:rPr>
                <w:sz w:val="20"/>
                <w:szCs w:val="20"/>
              </w:rPr>
              <w:t>5</w:t>
            </w:r>
          </w:p>
        </w:tc>
        <w:tc>
          <w:tcPr>
            <w:tcW w:w="1211" w:type="dxa"/>
            <w:tcBorders>
              <w:top w:val="nil"/>
              <w:left w:val="nil"/>
              <w:bottom w:val="single" w:sz="4" w:space="0" w:color="auto"/>
              <w:right w:val="single" w:sz="4" w:space="0" w:color="auto"/>
            </w:tcBorders>
            <w:shd w:val="clear" w:color="auto" w:fill="auto"/>
            <w:vAlign w:val="bottom"/>
            <w:hideMark/>
          </w:tcPr>
          <w:p w14:paraId="78DE1203" w14:textId="77777777" w:rsidR="005749B8" w:rsidRDefault="005749B8" w:rsidP="006D355E">
            <w:pPr>
              <w:jc w:val="center"/>
              <w:rPr>
                <w:sz w:val="20"/>
                <w:szCs w:val="20"/>
              </w:rPr>
            </w:pPr>
            <w:r>
              <w:rPr>
                <w:sz w:val="20"/>
                <w:szCs w:val="20"/>
              </w:rPr>
              <w:t>436</w:t>
            </w:r>
          </w:p>
        </w:tc>
      </w:tr>
      <w:tr w:rsidR="005749B8" w14:paraId="34ED4CF9"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31B0C63D"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65B1E09C" w14:textId="77777777" w:rsidR="005749B8" w:rsidRDefault="005749B8" w:rsidP="00E30B90">
            <w:pPr>
              <w:jc w:val="right"/>
              <w:rPr>
                <w:sz w:val="20"/>
                <w:szCs w:val="20"/>
              </w:rPr>
            </w:pPr>
            <w:r>
              <w:rPr>
                <w:sz w:val="20"/>
                <w:szCs w:val="20"/>
              </w:rPr>
              <w:t>2008.gads</w:t>
            </w:r>
          </w:p>
        </w:tc>
        <w:tc>
          <w:tcPr>
            <w:tcW w:w="1205" w:type="dxa"/>
            <w:tcBorders>
              <w:top w:val="nil"/>
              <w:left w:val="nil"/>
              <w:bottom w:val="single" w:sz="4" w:space="0" w:color="auto"/>
              <w:right w:val="single" w:sz="4" w:space="0" w:color="auto"/>
            </w:tcBorders>
            <w:shd w:val="clear" w:color="auto" w:fill="auto"/>
            <w:noWrap/>
            <w:vAlign w:val="bottom"/>
            <w:hideMark/>
          </w:tcPr>
          <w:p w14:paraId="7402A154" w14:textId="77777777" w:rsidR="005749B8" w:rsidRDefault="005749B8" w:rsidP="006D355E">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3F3F97F" w14:textId="77777777" w:rsidR="005749B8" w:rsidRDefault="005749B8" w:rsidP="006D355E">
            <w:pPr>
              <w:jc w:val="center"/>
              <w:rPr>
                <w:sz w:val="20"/>
                <w:szCs w:val="20"/>
              </w:rPr>
            </w:pPr>
            <w:r>
              <w:rPr>
                <w:sz w:val="20"/>
                <w:szCs w:val="20"/>
              </w:rPr>
              <w:t>1,00%</w:t>
            </w:r>
          </w:p>
        </w:tc>
        <w:tc>
          <w:tcPr>
            <w:tcW w:w="1105" w:type="dxa"/>
            <w:tcBorders>
              <w:top w:val="nil"/>
              <w:left w:val="nil"/>
              <w:bottom w:val="single" w:sz="4" w:space="0" w:color="auto"/>
              <w:right w:val="single" w:sz="4" w:space="0" w:color="auto"/>
            </w:tcBorders>
            <w:shd w:val="clear" w:color="auto" w:fill="auto"/>
            <w:vAlign w:val="bottom"/>
            <w:hideMark/>
          </w:tcPr>
          <w:p w14:paraId="61B738DA" w14:textId="77777777" w:rsidR="005749B8" w:rsidRDefault="005749B8" w:rsidP="006D355E">
            <w:pPr>
              <w:jc w:val="center"/>
              <w:rPr>
                <w:sz w:val="20"/>
                <w:szCs w:val="20"/>
              </w:rPr>
            </w:pPr>
            <w:r>
              <w:rPr>
                <w:sz w:val="20"/>
                <w:szCs w:val="20"/>
              </w:rPr>
              <w:t>581</w:t>
            </w:r>
          </w:p>
        </w:tc>
        <w:tc>
          <w:tcPr>
            <w:tcW w:w="1195" w:type="dxa"/>
            <w:tcBorders>
              <w:top w:val="nil"/>
              <w:left w:val="nil"/>
              <w:bottom w:val="single" w:sz="4" w:space="0" w:color="auto"/>
              <w:right w:val="single" w:sz="4" w:space="0" w:color="auto"/>
            </w:tcBorders>
            <w:shd w:val="clear" w:color="auto" w:fill="auto"/>
            <w:noWrap/>
            <w:vAlign w:val="bottom"/>
            <w:hideMark/>
          </w:tcPr>
          <w:p w14:paraId="4D0CFA7B" w14:textId="77777777" w:rsidR="005749B8" w:rsidRDefault="005749B8" w:rsidP="006D355E">
            <w:pPr>
              <w:jc w:val="center"/>
              <w:rPr>
                <w:sz w:val="20"/>
                <w:szCs w:val="20"/>
              </w:rPr>
            </w:pPr>
            <w:r>
              <w:rPr>
                <w:sz w:val="20"/>
                <w:szCs w:val="20"/>
              </w:rPr>
              <w:t>1</w:t>
            </w:r>
          </w:p>
        </w:tc>
        <w:tc>
          <w:tcPr>
            <w:tcW w:w="1211" w:type="dxa"/>
            <w:tcBorders>
              <w:top w:val="nil"/>
              <w:left w:val="nil"/>
              <w:bottom w:val="single" w:sz="4" w:space="0" w:color="auto"/>
              <w:right w:val="single" w:sz="4" w:space="0" w:color="auto"/>
            </w:tcBorders>
            <w:shd w:val="clear" w:color="auto" w:fill="auto"/>
            <w:vAlign w:val="bottom"/>
            <w:hideMark/>
          </w:tcPr>
          <w:p w14:paraId="05F2211F" w14:textId="77777777" w:rsidR="005749B8" w:rsidRDefault="005749B8" w:rsidP="006D355E">
            <w:pPr>
              <w:jc w:val="center"/>
              <w:rPr>
                <w:sz w:val="20"/>
                <w:szCs w:val="20"/>
              </w:rPr>
            </w:pPr>
            <w:r>
              <w:rPr>
                <w:sz w:val="20"/>
                <w:szCs w:val="20"/>
              </w:rPr>
              <w:t>581</w:t>
            </w:r>
          </w:p>
        </w:tc>
      </w:tr>
      <w:tr w:rsidR="005749B8" w14:paraId="06E521F2"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EAEB477"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5F4E020F" w14:textId="77777777" w:rsidR="005749B8" w:rsidRDefault="005749B8" w:rsidP="00E30B90">
            <w:pPr>
              <w:jc w:val="right"/>
              <w:rPr>
                <w:sz w:val="20"/>
                <w:szCs w:val="20"/>
              </w:rPr>
            </w:pPr>
            <w:r>
              <w:rPr>
                <w:sz w:val="20"/>
                <w:szCs w:val="20"/>
              </w:rPr>
              <w:t>2009.gads</w:t>
            </w:r>
          </w:p>
        </w:tc>
        <w:tc>
          <w:tcPr>
            <w:tcW w:w="1205" w:type="dxa"/>
            <w:tcBorders>
              <w:top w:val="nil"/>
              <w:left w:val="nil"/>
              <w:bottom w:val="single" w:sz="4" w:space="0" w:color="auto"/>
              <w:right w:val="single" w:sz="4" w:space="0" w:color="auto"/>
            </w:tcBorders>
            <w:shd w:val="clear" w:color="auto" w:fill="auto"/>
            <w:noWrap/>
            <w:vAlign w:val="bottom"/>
            <w:hideMark/>
          </w:tcPr>
          <w:p w14:paraId="4EB1E891" w14:textId="77777777" w:rsidR="005749B8" w:rsidRDefault="005749B8" w:rsidP="006D355E">
            <w:pPr>
              <w:jc w:val="center"/>
              <w:rPr>
                <w:sz w:val="20"/>
                <w:szCs w:val="20"/>
              </w:rPr>
            </w:pPr>
            <w:r>
              <w:rPr>
                <w:sz w:val="20"/>
                <w:szCs w:val="20"/>
              </w:rPr>
              <w:t>10</w:t>
            </w:r>
          </w:p>
        </w:tc>
        <w:tc>
          <w:tcPr>
            <w:tcW w:w="1172" w:type="dxa"/>
            <w:tcBorders>
              <w:top w:val="nil"/>
              <w:left w:val="nil"/>
              <w:bottom w:val="single" w:sz="4" w:space="0" w:color="auto"/>
              <w:right w:val="single" w:sz="4" w:space="0" w:color="auto"/>
            </w:tcBorders>
            <w:shd w:val="clear" w:color="auto" w:fill="auto"/>
            <w:noWrap/>
            <w:vAlign w:val="bottom"/>
            <w:hideMark/>
          </w:tcPr>
          <w:p w14:paraId="1A33EAD4" w14:textId="77777777" w:rsidR="005749B8" w:rsidRDefault="005749B8" w:rsidP="006D355E">
            <w:pPr>
              <w:jc w:val="center"/>
              <w:rPr>
                <w:sz w:val="20"/>
                <w:szCs w:val="20"/>
              </w:rPr>
            </w:pPr>
            <w:r>
              <w:rPr>
                <w:sz w:val="20"/>
                <w:szCs w:val="20"/>
              </w:rPr>
              <w:t>8,00%</w:t>
            </w:r>
          </w:p>
        </w:tc>
        <w:tc>
          <w:tcPr>
            <w:tcW w:w="1105" w:type="dxa"/>
            <w:tcBorders>
              <w:top w:val="nil"/>
              <w:left w:val="nil"/>
              <w:bottom w:val="single" w:sz="4" w:space="0" w:color="auto"/>
              <w:right w:val="single" w:sz="4" w:space="0" w:color="auto"/>
            </w:tcBorders>
            <w:shd w:val="clear" w:color="auto" w:fill="auto"/>
            <w:vAlign w:val="bottom"/>
            <w:hideMark/>
          </w:tcPr>
          <w:p w14:paraId="54C48CEC" w14:textId="77777777" w:rsidR="005749B8" w:rsidRDefault="005749B8" w:rsidP="006D355E">
            <w:pPr>
              <w:jc w:val="center"/>
              <w:rPr>
                <w:sz w:val="20"/>
                <w:szCs w:val="20"/>
              </w:rPr>
            </w:pPr>
            <w:r>
              <w:rPr>
                <w:sz w:val="20"/>
                <w:szCs w:val="20"/>
              </w:rPr>
              <w:t>39 802</w:t>
            </w:r>
          </w:p>
        </w:tc>
        <w:tc>
          <w:tcPr>
            <w:tcW w:w="1195" w:type="dxa"/>
            <w:tcBorders>
              <w:top w:val="nil"/>
              <w:left w:val="nil"/>
              <w:bottom w:val="single" w:sz="4" w:space="0" w:color="auto"/>
              <w:right w:val="single" w:sz="4" w:space="0" w:color="auto"/>
            </w:tcBorders>
            <w:shd w:val="clear" w:color="auto" w:fill="auto"/>
            <w:noWrap/>
            <w:vAlign w:val="bottom"/>
            <w:hideMark/>
          </w:tcPr>
          <w:p w14:paraId="135F25A2" w14:textId="77777777" w:rsidR="005749B8" w:rsidRDefault="005749B8" w:rsidP="006D355E">
            <w:pPr>
              <w:jc w:val="center"/>
              <w:rPr>
                <w:sz w:val="20"/>
                <w:szCs w:val="20"/>
              </w:rPr>
            </w:pPr>
            <w:r>
              <w:rPr>
                <w:sz w:val="20"/>
                <w:szCs w:val="20"/>
              </w:rPr>
              <w:t>61</w:t>
            </w:r>
          </w:p>
        </w:tc>
        <w:tc>
          <w:tcPr>
            <w:tcW w:w="1211" w:type="dxa"/>
            <w:tcBorders>
              <w:top w:val="nil"/>
              <w:left w:val="nil"/>
              <w:bottom w:val="single" w:sz="4" w:space="0" w:color="auto"/>
              <w:right w:val="single" w:sz="4" w:space="0" w:color="auto"/>
            </w:tcBorders>
            <w:shd w:val="clear" w:color="auto" w:fill="auto"/>
            <w:vAlign w:val="bottom"/>
            <w:hideMark/>
          </w:tcPr>
          <w:p w14:paraId="443380E8" w14:textId="77777777" w:rsidR="005749B8" w:rsidRDefault="005749B8" w:rsidP="006D355E">
            <w:pPr>
              <w:jc w:val="center"/>
              <w:rPr>
                <w:sz w:val="20"/>
                <w:szCs w:val="20"/>
              </w:rPr>
            </w:pPr>
            <w:r>
              <w:rPr>
                <w:sz w:val="20"/>
                <w:szCs w:val="20"/>
              </w:rPr>
              <w:t>652</w:t>
            </w:r>
          </w:p>
        </w:tc>
      </w:tr>
      <w:tr w:rsidR="005749B8" w14:paraId="0D0350C3"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1F53F657"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731E2EA2" w14:textId="77777777" w:rsidR="005749B8" w:rsidRDefault="005749B8" w:rsidP="00E30B90">
            <w:pPr>
              <w:jc w:val="right"/>
              <w:rPr>
                <w:sz w:val="20"/>
                <w:szCs w:val="20"/>
              </w:rPr>
            </w:pPr>
            <w:r>
              <w:rPr>
                <w:sz w:val="20"/>
                <w:szCs w:val="20"/>
              </w:rPr>
              <w:t>2010.gads</w:t>
            </w:r>
          </w:p>
        </w:tc>
        <w:tc>
          <w:tcPr>
            <w:tcW w:w="1205" w:type="dxa"/>
            <w:tcBorders>
              <w:top w:val="nil"/>
              <w:left w:val="nil"/>
              <w:bottom w:val="single" w:sz="4" w:space="0" w:color="auto"/>
              <w:right w:val="single" w:sz="4" w:space="0" w:color="auto"/>
            </w:tcBorders>
            <w:shd w:val="clear" w:color="auto" w:fill="auto"/>
            <w:noWrap/>
            <w:vAlign w:val="bottom"/>
            <w:hideMark/>
          </w:tcPr>
          <w:p w14:paraId="67F0048B" w14:textId="77777777" w:rsidR="005749B8" w:rsidRDefault="005749B8" w:rsidP="006D355E">
            <w:pPr>
              <w:jc w:val="center"/>
              <w:rPr>
                <w:sz w:val="20"/>
                <w:szCs w:val="20"/>
              </w:rPr>
            </w:pPr>
            <w:r>
              <w:rPr>
                <w:sz w:val="20"/>
                <w:szCs w:val="20"/>
              </w:rPr>
              <w:t>17</w:t>
            </w:r>
          </w:p>
        </w:tc>
        <w:tc>
          <w:tcPr>
            <w:tcW w:w="1172" w:type="dxa"/>
            <w:tcBorders>
              <w:top w:val="nil"/>
              <w:left w:val="nil"/>
              <w:bottom w:val="single" w:sz="4" w:space="0" w:color="auto"/>
              <w:right w:val="single" w:sz="4" w:space="0" w:color="auto"/>
            </w:tcBorders>
            <w:shd w:val="clear" w:color="auto" w:fill="auto"/>
            <w:noWrap/>
            <w:vAlign w:val="bottom"/>
            <w:hideMark/>
          </w:tcPr>
          <w:p w14:paraId="7DEB46E6" w14:textId="77777777" w:rsidR="005749B8" w:rsidRDefault="005749B8" w:rsidP="006D355E">
            <w:pPr>
              <w:jc w:val="center"/>
              <w:rPr>
                <w:sz w:val="20"/>
                <w:szCs w:val="20"/>
              </w:rPr>
            </w:pPr>
            <w:r>
              <w:rPr>
                <w:sz w:val="20"/>
                <w:szCs w:val="20"/>
              </w:rPr>
              <w:t>13,00%</w:t>
            </w:r>
          </w:p>
        </w:tc>
        <w:tc>
          <w:tcPr>
            <w:tcW w:w="1105" w:type="dxa"/>
            <w:tcBorders>
              <w:top w:val="nil"/>
              <w:left w:val="nil"/>
              <w:bottom w:val="single" w:sz="4" w:space="0" w:color="auto"/>
              <w:right w:val="single" w:sz="4" w:space="0" w:color="auto"/>
            </w:tcBorders>
            <w:shd w:val="clear" w:color="auto" w:fill="auto"/>
            <w:vAlign w:val="bottom"/>
            <w:hideMark/>
          </w:tcPr>
          <w:p w14:paraId="460BCFCE" w14:textId="77777777" w:rsidR="005749B8" w:rsidRDefault="005749B8" w:rsidP="006D355E">
            <w:pPr>
              <w:jc w:val="center"/>
              <w:rPr>
                <w:sz w:val="20"/>
                <w:szCs w:val="20"/>
              </w:rPr>
            </w:pPr>
            <w:r>
              <w:rPr>
                <w:sz w:val="20"/>
                <w:szCs w:val="20"/>
              </w:rPr>
              <w:t>53 294</w:t>
            </w:r>
          </w:p>
        </w:tc>
        <w:tc>
          <w:tcPr>
            <w:tcW w:w="1195" w:type="dxa"/>
            <w:tcBorders>
              <w:top w:val="nil"/>
              <w:left w:val="nil"/>
              <w:bottom w:val="single" w:sz="4" w:space="0" w:color="auto"/>
              <w:right w:val="single" w:sz="4" w:space="0" w:color="auto"/>
            </w:tcBorders>
            <w:shd w:val="clear" w:color="auto" w:fill="auto"/>
            <w:noWrap/>
            <w:vAlign w:val="bottom"/>
            <w:hideMark/>
          </w:tcPr>
          <w:p w14:paraId="4E2FDB31" w14:textId="77777777" w:rsidR="005749B8" w:rsidRDefault="005749B8" w:rsidP="006D355E">
            <w:pPr>
              <w:jc w:val="center"/>
              <w:rPr>
                <w:sz w:val="20"/>
                <w:szCs w:val="20"/>
              </w:rPr>
            </w:pPr>
            <w:r>
              <w:rPr>
                <w:sz w:val="20"/>
                <w:szCs w:val="20"/>
              </w:rPr>
              <w:t>98</w:t>
            </w:r>
          </w:p>
        </w:tc>
        <w:tc>
          <w:tcPr>
            <w:tcW w:w="1211" w:type="dxa"/>
            <w:tcBorders>
              <w:top w:val="nil"/>
              <w:left w:val="nil"/>
              <w:bottom w:val="single" w:sz="4" w:space="0" w:color="auto"/>
              <w:right w:val="single" w:sz="4" w:space="0" w:color="auto"/>
            </w:tcBorders>
            <w:shd w:val="clear" w:color="auto" w:fill="auto"/>
            <w:vAlign w:val="bottom"/>
            <w:hideMark/>
          </w:tcPr>
          <w:p w14:paraId="1CF8B9F9" w14:textId="77777777" w:rsidR="005749B8" w:rsidRDefault="005749B8" w:rsidP="006D355E">
            <w:pPr>
              <w:jc w:val="center"/>
              <w:rPr>
                <w:sz w:val="20"/>
                <w:szCs w:val="20"/>
              </w:rPr>
            </w:pPr>
            <w:r>
              <w:rPr>
                <w:sz w:val="20"/>
                <w:szCs w:val="20"/>
              </w:rPr>
              <w:t>544</w:t>
            </w:r>
          </w:p>
        </w:tc>
      </w:tr>
      <w:tr w:rsidR="005749B8" w14:paraId="5497AE97"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533E115F"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0F2D3CC3" w14:textId="77777777" w:rsidR="005749B8" w:rsidRDefault="005749B8" w:rsidP="00E30B90">
            <w:pPr>
              <w:jc w:val="right"/>
              <w:rPr>
                <w:sz w:val="20"/>
                <w:szCs w:val="20"/>
              </w:rPr>
            </w:pPr>
            <w:r>
              <w:rPr>
                <w:sz w:val="20"/>
                <w:szCs w:val="20"/>
              </w:rPr>
              <w:t>2011.gads</w:t>
            </w:r>
          </w:p>
        </w:tc>
        <w:tc>
          <w:tcPr>
            <w:tcW w:w="1205" w:type="dxa"/>
            <w:tcBorders>
              <w:top w:val="nil"/>
              <w:left w:val="nil"/>
              <w:bottom w:val="single" w:sz="4" w:space="0" w:color="auto"/>
              <w:right w:val="single" w:sz="4" w:space="0" w:color="auto"/>
            </w:tcBorders>
            <w:shd w:val="clear" w:color="auto" w:fill="auto"/>
            <w:noWrap/>
            <w:vAlign w:val="bottom"/>
            <w:hideMark/>
          </w:tcPr>
          <w:p w14:paraId="5580B0BF" w14:textId="77777777" w:rsidR="005749B8" w:rsidRDefault="005749B8" w:rsidP="006D355E">
            <w:pPr>
              <w:jc w:val="center"/>
              <w:rPr>
                <w:sz w:val="20"/>
                <w:szCs w:val="20"/>
              </w:rPr>
            </w:pPr>
            <w:r>
              <w:rPr>
                <w:sz w:val="20"/>
                <w:szCs w:val="20"/>
              </w:rPr>
              <w:t>7</w:t>
            </w:r>
          </w:p>
        </w:tc>
        <w:tc>
          <w:tcPr>
            <w:tcW w:w="1172" w:type="dxa"/>
            <w:tcBorders>
              <w:top w:val="nil"/>
              <w:left w:val="nil"/>
              <w:bottom w:val="single" w:sz="4" w:space="0" w:color="auto"/>
              <w:right w:val="single" w:sz="4" w:space="0" w:color="auto"/>
            </w:tcBorders>
            <w:shd w:val="clear" w:color="auto" w:fill="auto"/>
            <w:noWrap/>
            <w:vAlign w:val="bottom"/>
            <w:hideMark/>
          </w:tcPr>
          <w:p w14:paraId="45097A29" w14:textId="77777777" w:rsidR="005749B8" w:rsidRDefault="005749B8" w:rsidP="006D355E">
            <w:pPr>
              <w:jc w:val="center"/>
              <w:rPr>
                <w:sz w:val="20"/>
                <w:szCs w:val="20"/>
              </w:rPr>
            </w:pPr>
            <w:r>
              <w:rPr>
                <w:sz w:val="20"/>
                <w:szCs w:val="20"/>
              </w:rPr>
              <w:t>5,00%</w:t>
            </w:r>
          </w:p>
        </w:tc>
        <w:tc>
          <w:tcPr>
            <w:tcW w:w="1105" w:type="dxa"/>
            <w:tcBorders>
              <w:top w:val="nil"/>
              <w:left w:val="nil"/>
              <w:bottom w:val="single" w:sz="4" w:space="0" w:color="auto"/>
              <w:right w:val="single" w:sz="4" w:space="0" w:color="auto"/>
            </w:tcBorders>
            <w:shd w:val="clear" w:color="auto" w:fill="auto"/>
            <w:vAlign w:val="bottom"/>
            <w:hideMark/>
          </w:tcPr>
          <w:p w14:paraId="17A04A84" w14:textId="77777777" w:rsidR="005749B8" w:rsidRDefault="005749B8" w:rsidP="006D355E">
            <w:pPr>
              <w:jc w:val="center"/>
              <w:rPr>
                <w:sz w:val="20"/>
                <w:szCs w:val="20"/>
              </w:rPr>
            </w:pPr>
            <w:r>
              <w:rPr>
                <w:sz w:val="20"/>
                <w:szCs w:val="20"/>
              </w:rPr>
              <w:t>37 874</w:t>
            </w:r>
          </w:p>
        </w:tc>
        <w:tc>
          <w:tcPr>
            <w:tcW w:w="1195" w:type="dxa"/>
            <w:tcBorders>
              <w:top w:val="nil"/>
              <w:left w:val="nil"/>
              <w:bottom w:val="single" w:sz="4" w:space="0" w:color="auto"/>
              <w:right w:val="single" w:sz="4" w:space="0" w:color="auto"/>
            </w:tcBorders>
            <w:shd w:val="clear" w:color="auto" w:fill="auto"/>
            <w:noWrap/>
            <w:vAlign w:val="bottom"/>
            <w:hideMark/>
          </w:tcPr>
          <w:p w14:paraId="7B5778B3" w14:textId="77777777" w:rsidR="005749B8" w:rsidRDefault="005749B8" w:rsidP="006D355E">
            <w:pPr>
              <w:jc w:val="center"/>
              <w:rPr>
                <w:sz w:val="20"/>
                <w:szCs w:val="20"/>
              </w:rPr>
            </w:pPr>
            <w:r>
              <w:rPr>
                <w:sz w:val="20"/>
                <w:szCs w:val="20"/>
              </w:rPr>
              <w:t>46</w:t>
            </w:r>
          </w:p>
        </w:tc>
        <w:tc>
          <w:tcPr>
            <w:tcW w:w="1211" w:type="dxa"/>
            <w:tcBorders>
              <w:top w:val="nil"/>
              <w:left w:val="nil"/>
              <w:bottom w:val="single" w:sz="4" w:space="0" w:color="auto"/>
              <w:right w:val="single" w:sz="4" w:space="0" w:color="auto"/>
            </w:tcBorders>
            <w:shd w:val="clear" w:color="auto" w:fill="auto"/>
            <w:vAlign w:val="bottom"/>
            <w:hideMark/>
          </w:tcPr>
          <w:p w14:paraId="65BE678E" w14:textId="77777777" w:rsidR="005749B8" w:rsidRDefault="005749B8" w:rsidP="006D355E">
            <w:pPr>
              <w:jc w:val="center"/>
              <w:rPr>
                <w:sz w:val="20"/>
                <w:szCs w:val="20"/>
              </w:rPr>
            </w:pPr>
            <w:r>
              <w:rPr>
                <w:sz w:val="20"/>
                <w:szCs w:val="20"/>
              </w:rPr>
              <w:t>823</w:t>
            </w:r>
          </w:p>
        </w:tc>
      </w:tr>
      <w:tr w:rsidR="005749B8" w14:paraId="46C13491"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5A11C84C"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773DE598" w14:textId="77777777" w:rsidR="005749B8" w:rsidRDefault="005749B8" w:rsidP="00E30B90">
            <w:pPr>
              <w:jc w:val="right"/>
              <w:rPr>
                <w:sz w:val="20"/>
                <w:szCs w:val="20"/>
              </w:rPr>
            </w:pPr>
            <w:r>
              <w:rPr>
                <w:sz w:val="20"/>
                <w:szCs w:val="20"/>
              </w:rPr>
              <w:t>2012.gads</w:t>
            </w:r>
          </w:p>
        </w:tc>
        <w:tc>
          <w:tcPr>
            <w:tcW w:w="1205" w:type="dxa"/>
            <w:tcBorders>
              <w:top w:val="nil"/>
              <w:left w:val="nil"/>
              <w:bottom w:val="single" w:sz="4" w:space="0" w:color="auto"/>
              <w:right w:val="single" w:sz="4" w:space="0" w:color="auto"/>
            </w:tcBorders>
            <w:shd w:val="clear" w:color="auto" w:fill="auto"/>
            <w:noWrap/>
            <w:vAlign w:val="bottom"/>
            <w:hideMark/>
          </w:tcPr>
          <w:p w14:paraId="1C9DFE31" w14:textId="77777777" w:rsidR="005749B8" w:rsidRDefault="005749B8" w:rsidP="006D355E">
            <w:pPr>
              <w:jc w:val="center"/>
              <w:rPr>
                <w:sz w:val="20"/>
                <w:szCs w:val="20"/>
              </w:rPr>
            </w:pPr>
            <w:r>
              <w:rPr>
                <w:sz w:val="20"/>
                <w:szCs w:val="20"/>
              </w:rPr>
              <w:t>48</w:t>
            </w:r>
          </w:p>
        </w:tc>
        <w:tc>
          <w:tcPr>
            <w:tcW w:w="1172" w:type="dxa"/>
            <w:tcBorders>
              <w:top w:val="nil"/>
              <w:left w:val="nil"/>
              <w:bottom w:val="single" w:sz="4" w:space="0" w:color="auto"/>
              <w:right w:val="single" w:sz="4" w:space="0" w:color="auto"/>
            </w:tcBorders>
            <w:shd w:val="clear" w:color="auto" w:fill="auto"/>
            <w:noWrap/>
            <w:vAlign w:val="bottom"/>
            <w:hideMark/>
          </w:tcPr>
          <w:p w14:paraId="742D6EF2" w14:textId="77777777" w:rsidR="005749B8" w:rsidRDefault="005749B8" w:rsidP="006D355E">
            <w:pPr>
              <w:jc w:val="center"/>
              <w:rPr>
                <w:sz w:val="20"/>
                <w:szCs w:val="20"/>
              </w:rPr>
            </w:pPr>
            <w:r>
              <w:rPr>
                <w:sz w:val="20"/>
                <w:szCs w:val="20"/>
              </w:rPr>
              <w:t>38,00%</w:t>
            </w:r>
          </w:p>
        </w:tc>
        <w:tc>
          <w:tcPr>
            <w:tcW w:w="1105" w:type="dxa"/>
            <w:tcBorders>
              <w:top w:val="nil"/>
              <w:left w:val="nil"/>
              <w:bottom w:val="single" w:sz="4" w:space="0" w:color="auto"/>
              <w:right w:val="single" w:sz="4" w:space="0" w:color="auto"/>
            </w:tcBorders>
            <w:shd w:val="clear" w:color="auto" w:fill="auto"/>
            <w:vAlign w:val="bottom"/>
            <w:hideMark/>
          </w:tcPr>
          <w:p w14:paraId="0E062F41" w14:textId="77777777" w:rsidR="005749B8" w:rsidRDefault="005749B8" w:rsidP="006D355E">
            <w:pPr>
              <w:jc w:val="center"/>
              <w:rPr>
                <w:sz w:val="20"/>
                <w:szCs w:val="20"/>
              </w:rPr>
            </w:pPr>
            <w:r>
              <w:rPr>
                <w:sz w:val="20"/>
                <w:szCs w:val="20"/>
              </w:rPr>
              <w:t>506 658</w:t>
            </w:r>
          </w:p>
        </w:tc>
        <w:tc>
          <w:tcPr>
            <w:tcW w:w="1195" w:type="dxa"/>
            <w:tcBorders>
              <w:top w:val="nil"/>
              <w:left w:val="nil"/>
              <w:bottom w:val="single" w:sz="4" w:space="0" w:color="auto"/>
              <w:right w:val="single" w:sz="4" w:space="0" w:color="auto"/>
            </w:tcBorders>
            <w:shd w:val="clear" w:color="auto" w:fill="auto"/>
            <w:noWrap/>
            <w:vAlign w:val="bottom"/>
            <w:hideMark/>
          </w:tcPr>
          <w:p w14:paraId="1E4F957A" w14:textId="77777777" w:rsidR="005749B8" w:rsidRDefault="005749B8" w:rsidP="006D355E">
            <w:pPr>
              <w:jc w:val="center"/>
              <w:rPr>
                <w:sz w:val="20"/>
                <w:szCs w:val="20"/>
              </w:rPr>
            </w:pPr>
            <w:r>
              <w:rPr>
                <w:sz w:val="20"/>
                <w:szCs w:val="20"/>
              </w:rPr>
              <w:t>566</w:t>
            </w:r>
          </w:p>
        </w:tc>
        <w:tc>
          <w:tcPr>
            <w:tcW w:w="1211" w:type="dxa"/>
            <w:tcBorders>
              <w:top w:val="nil"/>
              <w:left w:val="nil"/>
              <w:bottom w:val="single" w:sz="4" w:space="0" w:color="auto"/>
              <w:right w:val="single" w:sz="4" w:space="0" w:color="auto"/>
            </w:tcBorders>
            <w:shd w:val="clear" w:color="auto" w:fill="auto"/>
            <w:vAlign w:val="bottom"/>
            <w:hideMark/>
          </w:tcPr>
          <w:p w14:paraId="6E261A05" w14:textId="77777777" w:rsidR="005749B8" w:rsidRDefault="005749B8" w:rsidP="006D355E">
            <w:pPr>
              <w:jc w:val="center"/>
              <w:rPr>
                <w:sz w:val="20"/>
                <w:szCs w:val="20"/>
              </w:rPr>
            </w:pPr>
            <w:r>
              <w:rPr>
                <w:sz w:val="20"/>
                <w:szCs w:val="20"/>
              </w:rPr>
              <w:t>895</w:t>
            </w:r>
          </w:p>
        </w:tc>
      </w:tr>
      <w:tr w:rsidR="005749B8" w14:paraId="7C7B4405"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7D0A772A"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158A73F5" w14:textId="77777777" w:rsidR="005749B8" w:rsidRDefault="005749B8" w:rsidP="00E30B90">
            <w:pPr>
              <w:jc w:val="right"/>
              <w:rPr>
                <w:sz w:val="20"/>
                <w:szCs w:val="20"/>
              </w:rPr>
            </w:pPr>
            <w:r>
              <w:rPr>
                <w:sz w:val="20"/>
                <w:szCs w:val="20"/>
              </w:rPr>
              <w:t>2013.gads</w:t>
            </w:r>
          </w:p>
        </w:tc>
        <w:tc>
          <w:tcPr>
            <w:tcW w:w="1205" w:type="dxa"/>
            <w:tcBorders>
              <w:top w:val="nil"/>
              <w:left w:val="nil"/>
              <w:bottom w:val="single" w:sz="4" w:space="0" w:color="auto"/>
              <w:right w:val="single" w:sz="4" w:space="0" w:color="auto"/>
            </w:tcBorders>
            <w:shd w:val="clear" w:color="auto" w:fill="auto"/>
            <w:noWrap/>
            <w:vAlign w:val="bottom"/>
            <w:hideMark/>
          </w:tcPr>
          <w:p w14:paraId="7B8F2E7B" w14:textId="77777777" w:rsidR="005749B8" w:rsidRDefault="005749B8" w:rsidP="006D355E">
            <w:pPr>
              <w:jc w:val="center"/>
              <w:rPr>
                <w:sz w:val="20"/>
                <w:szCs w:val="20"/>
              </w:rPr>
            </w:pPr>
            <w:r>
              <w:rPr>
                <w:sz w:val="20"/>
                <w:szCs w:val="20"/>
              </w:rPr>
              <w:t>44</w:t>
            </w:r>
          </w:p>
        </w:tc>
        <w:tc>
          <w:tcPr>
            <w:tcW w:w="1172" w:type="dxa"/>
            <w:tcBorders>
              <w:top w:val="nil"/>
              <w:left w:val="nil"/>
              <w:bottom w:val="single" w:sz="4" w:space="0" w:color="auto"/>
              <w:right w:val="single" w:sz="4" w:space="0" w:color="auto"/>
            </w:tcBorders>
            <w:shd w:val="clear" w:color="auto" w:fill="auto"/>
            <w:noWrap/>
            <w:vAlign w:val="bottom"/>
            <w:hideMark/>
          </w:tcPr>
          <w:p w14:paraId="3EF71287" w14:textId="77777777" w:rsidR="005749B8" w:rsidRDefault="005749B8" w:rsidP="006D355E">
            <w:pPr>
              <w:jc w:val="center"/>
              <w:rPr>
                <w:sz w:val="20"/>
                <w:szCs w:val="20"/>
              </w:rPr>
            </w:pPr>
            <w:r>
              <w:rPr>
                <w:sz w:val="20"/>
                <w:szCs w:val="20"/>
              </w:rPr>
              <w:t>34,00%</w:t>
            </w:r>
          </w:p>
        </w:tc>
        <w:tc>
          <w:tcPr>
            <w:tcW w:w="1105" w:type="dxa"/>
            <w:tcBorders>
              <w:top w:val="nil"/>
              <w:left w:val="nil"/>
              <w:bottom w:val="single" w:sz="4" w:space="0" w:color="auto"/>
              <w:right w:val="single" w:sz="4" w:space="0" w:color="auto"/>
            </w:tcBorders>
            <w:shd w:val="clear" w:color="auto" w:fill="auto"/>
            <w:vAlign w:val="bottom"/>
            <w:hideMark/>
          </w:tcPr>
          <w:p w14:paraId="278EA9F9" w14:textId="77777777" w:rsidR="005749B8" w:rsidRDefault="005749B8" w:rsidP="006D355E">
            <w:pPr>
              <w:jc w:val="center"/>
              <w:rPr>
                <w:sz w:val="20"/>
                <w:szCs w:val="20"/>
              </w:rPr>
            </w:pPr>
            <w:r>
              <w:rPr>
                <w:sz w:val="20"/>
                <w:szCs w:val="20"/>
              </w:rPr>
              <w:t>406 517</w:t>
            </w:r>
          </w:p>
        </w:tc>
        <w:tc>
          <w:tcPr>
            <w:tcW w:w="1195" w:type="dxa"/>
            <w:tcBorders>
              <w:top w:val="nil"/>
              <w:left w:val="nil"/>
              <w:bottom w:val="single" w:sz="4" w:space="0" w:color="auto"/>
              <w:right w:val="single" w:sz="4" w:space="0" w:color="auto"/>
            </w:tcBorders>
            <w:shd w:val="clear" w:color="auto" w:fill="auto"/>
            <w:noWrap/>
            <w:vAlign w:val="bottom"/>
            <w:hideMark/>
          </w:tcPr>
          <w:p w14:paraId="271B82A3" w14:textId="77777777" w:rsidR="005749B8" w:rsidRDefault="005749B8" w:rsidP="006D355E">
            <w:pPr>
              <w:jc w:val="center"/>
              <w:rPr>
                <w:sz w:val="20"/>
                <w:szCs w:val="20"/>
              </w:rPr>
            </w:pPr>
            <w:r>
              <w:rPr>
                <w:sz w:val="20"/>
                <w:szCs w:val="20"/>
              </w:rPr>
              <w:t>641</w:t>
            </w:r>
          </w:p>
        </w:tc>
        <w:tc>
          <w:tcPr>
            <w:tcW w:w="1211" w:type="dxa"/>
            <w:tcBorders>
              <w:top w:val="nil"/>
              <w:left w:val="nil"/>
              <w:bottom w:val="single" w:sz="4" w:space="0" w:color="auto"/>
              <w:right w:val="single" w:sz="4" w:space="0" w:color="auto"/>
            </w:tcBorders>
            <w:shd w:val="clear" w:color="auto" w:fill="auto"/>
            <w:vAlign w:val="bottom"/>
            <w:hideMark/>
          </w:tcPr>
          <w:p w14:paraId="656F5E23" w14:textId="77777777" w:rsidR="005749B8" w:rsidRDefault="005749B8" w:rsidP="006D355E">
            <w:pPr>
              <w:jc w:val="center"/>
              <w:rPr>
                <w:sz w:val="20"/>
                <w:szCs w:val="20"/>
              </w:rPr>
            </w:pPr>
            <w:r>
              <w:rPr>
                <w:sz w:val="20"/>
                <w:szCs w:val="20"/>
              </w:rPr>
              <w:t>634</w:t>
            </w:r>
          </w:p>
        </w:tc>
      </w:tr>
      <w:tr w:rsidR="005749B8" w14:paraId="2086E1DD"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1FED75D2"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73CDB275" w14:textId="77777777" w:rsidR="005749B8" w:rsidRDefault="005749B8" w:rsidP="00E30B90">
            <w:pPr>
              <w:jc w:val="right"/>
              <w:rPr>
                <w:sz w:val="20"/>
                <w:szCs w:val="20"/>
              </w:rPr>
            </w:pPr>
            <w:r>
              <w:rPr>
                <w:sz w:val="20"/>
                <w:szCs w:val="20"/>
              </w:rPr>
              <w:t>Kopā</w:t>
            </w:r>
          </w:p>
        </w:tc>
        <w:tc>
          <w:tcPr>
            <w:tcW w:w="1205" w:type="dxa"/>
            <w:tcBorders>
              <w:top w:val="nil"/>
              <w:left w:val="nil"/>
              <w:bottom w:val="single" w:sz="4" w:space="0" w:color="auto"/>
              <w:right w:val="single" w:sz="4" w:space="0" w:color="auto"/>
            </w:tcBorders>
            <w:shd w:val="clear" w:color="auto" w:fill="auto"/>
            <w:noWrap/>
            <w:vAlign w:val="bottom"/>
            <w:hideMark/>
          </w:tcPr>
          <w:p w14:paraId="3544230C" w14:textId="77777777" w:rsidR="005749B8" w:rsidRDefault="005749B8" w:rsidP="006D355E">
            <w:pPr>
              <w:jc w:val="center"/>
              <w:rPr>
                <w:sz w:val="20"/>
                <w:szCs w:val="20"/>
              </w:rPr>
            </w:pPr>
            <w:r>
              <w:rPr>
                <w:sz w:val="20"/>
                <w:szCs w:val="20"/>
              </w:rPr>
              <w:t>128</w:t>
            </w:r>
          </w:p>
        </w:tc>
        <w:tc>
          <w:tcPr>
            <w:tcW w:w="1172" w:type="dxa"/>
            <w:tcBorders>
              <w:top w:val="nil"/>
              <w:left w:val="nil"/>
              <w:bottom w:val="single" w:sz="4" w:space="0" w:color="auto"/>
              <w:right w:val="single" w:sz="4" w:space="0" w:color="auto"/>
            </w:tcBorders>
            <w:shd w:val="clear" w:color="auto" w:fill="auto"/>
            <w:noWrap/>
            <w:vAlign w:val="bottom"/>
            <w:hideMark/>
          </w:tcPr>
          <w:p w14:paraId="1201569C" w14:textId="77777777" w:rsidR="005749B8" w:rsidRDefault="005749B8" w:rsidP="006D355E">
            <w:pPr>
              <w:jc w:val="center"/>
              <w:rPr>
                <w:sz w:val="20"/>
                <w:szCs w:val="20"/>
              </w:rPr>
            </w:pPr>
            <w:r>
              <w:rPr>
                <w:sz w:val="20"/>
                <w:szCs w:val="20"/>
              </w:rPr>
              <w:t>100,00%</w:t>
            </w:r>
          </w:p>
        </w:tc>
        <w:tc>
          <w:tcPr>
            <w:tcW w:w="1105" w:type="dxa"/>
            <w:tcBorders>
              <w:top w:val="nil"/>
              <w:left w:val="nil"/>
              <w:bottom w:val="single" w:sz="4" w:space="0" w:color="auto"/>
              <w:right w:val="single" w:sz="4" w:space="0" w:color="auto"/>
            </w:tcBorders>
            <w:shd w:val="clear" w:color="auto" w:fill="auto"/>
            <w:vAlign w:val="bottom"/>
            <w:hideMark/>
          </w:tcPr>
          <w:p w14:paraId="58644A94" w14:textId="77777777" w:rsidR="005749B8" w:rsidRDefault="005749B8" w:rsidP="006D355E">
            <w:pPr>
              <w:jc w:val="center"/>
              <w:rPr>
                <w:sz w:val="20"/>
                <w:szCs w:val="20"/>
              </w:rPr>
            </w:pPr>
            <w:r>
              <w:rPr>
                <w:sz w:val="20"/>
                <w:szCs w:val="20"/>
              </w:rPr>
              <w:t>1 046 906</w:t>
            </w:r>
          </w:p>
        </w:tc>
        <w:tc>
          <w:tcPr>
            <w:tcW w:w="1195" w:type="dxa"/>
            <w:tcBorders>
              <w:top w:val="nil"/>
              <w:left w:val="nil"/>
              <w:bottom w:val="single" w:sz="4" w:space="0" w:color="auto"/>
              <w:right w:val="single" w:sz="4" w:space="0" w:color="auto"/>
            </w:tcBorders>
            <w:shd w:val="clear" w:color="auto" w:fill="auto"/>
            <w:noWrap/>
            <w:vAlign w:val="bottom"/>
            <w:hideMark/>
          </w:tcPr>
          <w:p w14:paraId="1A8DFA8B" w14:textId="77777777" w:rsidR="005749B8" w:rsidRDefault="005749B8" w:rsidP="006D355E">
            <w:pPr>
              <w:jc w:val="center"/>
              <w:rPr>
                <w:sz w:val="20"/>
                <w:szCs w:val="20"/>
              </w:rPr>
            </w:pPr>
            <w:r>
              <w:rPr>
                <w:sz w:val="20"/>
                <w:szCs w:val="20"/>
              </w:rPr>
              <w:t>1418</w:t>
            </w:r>
          </w:p>
        </w:tc>
        <w:tc>
          <w:tcPr>
            <w:tcW w:w="1211" w:type="dxa"/>
            <w:tcBorders>
              <w:top w:val="nil"/>
              <w:left w:val="nil"/>
              <w:bottom w:val="single" w:sz="4" w:space="0" w:color="auto"/>
              <w:right w:val="single" w:sz="4" w:space="0" w:color="auto"/>
            </w:tcBorders>
            <w:shd w:val="clear" w:color="auto" w:fill="auto"/>
            <w:vAlign w:val="bottom"/>
            <w:hideMark/>
          </w:tcPr>
          <w:p w14:paraId="53D153C0" w14:textId="77777777" w:rsidR="005749B8" w:rsidRDefault="005749B8" w:rsidP="006D355E">
            <w:pPr>
              <w:jc w:val="center"/>
              <w:rPr>
                <w:sz w:val="20"/>
                <w:szCs w:val="20"/>
              </w:rPr>
            </w:pPr>
            <w:r>
              <w:rPr>
                <w:sz w:val="20"/>
                <w:szCs w:val="20"/>
              </w:rPr>
              <w:t>738</w:t>
            </w:r>
          </w:p>
        </w:tc>
      </w:tr>
      <w:tr w:rsidR="005749B8" w14:paraId="5A5912B4" w14:textId="77777777" w:rsidTr="009D46B2">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193B173" w14:textId="77777777" w:rsidR="005749B8" w:rsidRDefault="005749B8" w:rsidP="00E30B90">
            <w:pPr>
              <w:jc w:val="center"/>
              <w:rPr>
                <w:b/>
                <w:bCs/>
                <w:sz w:val="20"/>
                <w:szCs w:val="20"/>
              </w:rPr>
            </w:pPr>
            <w:r>
              <w:rPr>
                <w:b/>
                <w:bCs/>
                <w:sz w:val="20"/>
                <w:szCs w:val="20"/>
              </w:rPr>
              <w:t>2014.gads</w:t>
            </w:r>
          </w:p>
        </w:tc>
        <w:tc>
          <w:tcPr>
            <w:tcW w:w="1980" w:type="dxa"/>
            <w:tcBorders>
              <w:top w:val="nil"/>
              <w:left w:val="nil"/>
              <w:bottom w:val="single" w:sz="4" w:space="0" w:color="auto"/>
              <w:right w:val="single" w:sz="4" w:space="0" w:color="auto"/>
            </w:tcBorders>
            <w:shd w:val="clear" w:color="auto" w:fill="auto"/>
            <w:noWrap/>
            <w:vAlign w:val="bottom"/>
            <w:hideMark/>
          </w:tcPr>
          <w:p w14:paraId="4A0B84A2" w14:textId="77777777" w:rsidR="005749B8" w:rsidRDefault="005749B8" w:rsidP="00E30B90">
            <w:pPr>
              <w:jc w:val="right"/>
              <w:rPr>
                <w:sz w:val="20"/>
                <w:szCs w:val="20"/>
              </w:rPr>
            </w:pPr>
            <w:r>
              <w:rPr>
                <w:sz w:val="20"/>
                <w:szCs w:val="20"/>
              </w:rPr>
              <w:t>2009.gads</w:t>
            </w:r>
          </w:p>
        </w:tc>
        <w:tc>
          <w:tcPr>
            <w:tcW w:w="1205" w:type="dxa"/>
            <w:tcBorders>
              <w:top w:val="nil"/>
              <w:left w:val="nil"/>
              <w:bottom w:val="single" w:sz="4" w:space="0" w:color="auto"/>
              <w:right w:val="single" w:sz="4" w:space="0" w:color="auto"/>
            </w:tcBorders>
            <w:shd w:val="clear" w:color="auto" w:fill="auto"/>
            <w:noWrap/>
            <w:vAlign w:val="bottom"/>
            <w:hideMark/>
          </w:tcPr>
          <w:p w14:paraId="36EC1E6F" w14:textId="77777777" w:rsidR="005749B8" w:rsidRDefault="005749B8" w:rsidP="006D355E">
            <w:pPr>
              <w:jc w:val="center"/>
              <w:rPr>
                <w:sz w:val="20"/>
                <w:szCs w:val="20"/>
              </w:rPr>
            </w:pPr>
            <w:r>
              <w:rPr>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1B584B2A" w14:textId="77777777" w:rsidR="005749B8" w:rsidRDefault="005749B8" w:rsidP="006D355E">
            <w:pPr>
              <w:jc w:val="center"/>
              <w:rPr>
                <w:sz w:val="20"/>
                <w:szCs w:val="20"/>
              </w:rPr>
            </w:pPr>
            <w:r>
              <w:rPr>
                <w:sz w:val="20"/>
                <w:szCs w:val="20"/>
              </w:rPr>
              <w:t>3,60%</w:t>
            </w:r>
          </w:p>
        </w:tc>
        <w:tc>
          <w:tcPr>
            <w:tcW w:w="1105" w:type="dxa"/>
            <w:tcBorders>
              <w:top w:val="nil"/>
              <w:left w:val="nil"/>
              <w:bottom w:val="single" w:sz="4" w:space="0" w:color="auto"/>
              <w:right w:val="single" w:sz="4" w:space="0" w:color="auto"/>
            </w:tcBorders>
            <w:shd w:val="clear" w:color="auto" w:fill="auto"/>
            <w:vAlign w:val="bottom"/>
            <w:hideMark/>
          </w:tcPr>
          <w:p w14:paraId="25483EA2" w14:textId="77777777" w:rsidR="005749B8" w:rsidRDefault="005749B8" w:rsidP="006D355E">
            <w:pPr>
              <w:jc w:val="center"/>
              <w:rPr>
                <w:sz w:val="20"/>
                <w:szCs w:val="20"/>
              </w:rPr>
            </w:pPr>
            <w:r>
              <w:rPr>
                <w:sz w:val="20"/>
                <w:szCs w:val="20"/>
              </w:rPr>
              <w:t>7 559</w:t>
            </w:r>
          </w:p>
        </w:tc>
        <w:tc>
          <w:tcPr>
            <w:tcW w:w="1195" w:type="dxa"/>
            <w:tcBorders>
              <w:top w:val="nil"/>
              <w:left w:val="nil"/>
              <w:bottom w:val="single" w:sz="4" w:space="0" w:color="auto"/>
              <w:right w:val="single" w:sz="4" w:space="0" w:color="auto"/>
            </w:tcBorders>
            <w:shd w:val="clear" w:color="auto" w:fill="auto"/>
            <w:noWrap/>
            <w:vAlign w:val="bottom"/>
            <w:hideMark/>
          </w:tcPr>
          <w:p w14:paraId="5F97A56A" w14:textId="77777777" w:rsidR="005749B8" w:rsidRDefault="005749B8" w:rsidP="006D355E">
            <w:pPr>
              <w:jc w:val="center"/>
              <w:rPr>
                <w:sz w:val="20"/>
                <w:szCs w:val="20"/>
              </w:rPr>
            </w:pPr>
            <w:r>
              <w:rPr>
                <w:sz w:val="20"/>
                <w:szCs w:val="20"/>
              </w:rPr>
              <w:t>5</w:t>
            </w:r>
          </w:p>
        </w:tc>
        <w:tc>
          <w:tcPr>
            <w:tcW w:w="1211" w:type="dxa"/>
            <w:tcBorders>
              <w:top w:val="nil"/>
              <w:left w:val="nil"/>
              <w:bottom w:val="single" w:sz="4" w:space="0" w:color="auto"/>
              <w:right w:val="single" w:sz="4" w:space="0" w:color="auto"/>
            </w:tcBorders>
            <w:shd w:val="clear" w:color="auto" w:fill="auto"/>
            <w:vAlign w:val="bottom"/>
            <w:hideMark/>
          </w:tcPr>
          <w:p w14:paraId="57B1C82C" w14:textId="77777777" w:rsidR="005749B8" w:rsidRDefault="005749B8" w:rsidP="006D355E">
            <w:pPr>
              <w:jc w:val="center"/>
              <w:rPr>
                <w:sz w:val="20"/>
                <w:szCs w:val="20"/>
              </w:rPr>
            </w:pPr>
            <w:r>
              <w:rPr>
                <w:sz w:val="20"/>
                <w:szCs w:val="20"/>
              </w:rPr>
              <w:t>1512</w:t>
            </w:r>
          </w:p>
        </w:tc>
      </w:tr>
      <w:tr w:rsidR="005749B8" w14:paraId="6ABFC354"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262F719D"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05264EEF" w14:textId="77777777" w:rsidR="005749B8" w:rsidRDefault="005749B8" w:rsidP="00E30B90">
            <w:pPr>
              <w:jc w:val="right"/>
              <w:rPr>
                <w:sz w:val="20"/>
                <w:szCs w:val="20"/>
              </w:rPr>
            </w:pPr>
            <w:r>
              <w:rPr>
                <w:sz w:val="20"/>
                <w:szCs w:val="20"/>
              </w:rPr>
              <w:t>2010.gads</w:t>
            </w:r>
          </w:p>
        </w:tc>
        <w:tc>
          <w:tcPr>
            <w:tcW w:w="1205" w:type="dxa"/>
            <w:tcBorders>
              <w:top w:val="nil"/>
              <w:left w:val="nil"/>
              <w:bottom w:val="single" w:sz="4" w:space="0" w:color="auto"/>
              <w:right w:val="single" w:sz="4" w:space="0" w:color="auto"/>
            </w:tcBorders>
            <w:shd w:val="clear" w:color="auto" w:fill="auto"/>
            <w:noWrap/>
            <w:vAlign w:val="bottom"/>
            <w:hideMark/>
          </w:tcPr>
          <w:p w14:paraId="29AED176" w14:textId="77777777" w:rsidR="005749B8" w:rsidRDefault="005749B8" w:rsidP="006D355E">
            <w:pPr>
              <w:jc w:val="center"/>
              <w:rPr>
                <w:sz w:val="20"/>
                <w:szCs w:val="20"/>
              </w:rPr>
            </w:pPr>
            <w:r>
              <w:rPr>
                <w:sz w:val="20"/>
                <w:szCs w:val="20"/>
              </w:rPr>
              <w:t>3</w:t>
            </w:r>
          </w:p>
        </w:tc>
        <w:tc>
          <w:tcPr>
            <w:tcW w:w="1172" w:type="dxa"/>
            <w:tcBorders>
              <w:top w:val="nil"/>
              <w:left w:val="nil"/>
              <w:bottom w:val="single" w:sz="4" w:space="0" w:color="auto"/>
              <w:right w:val="single" w:sz="4" w:space="0" w:color="auto"/>
            </w:tcBorders>
            <w:shd w:val="clear" w:color="auto" w:fill="auto"/>
            <w:noWrap/>
            <w:vAlign w:val="bottom"/>
            <w:hideMark/>
          </w:tcPr>
          <w:p w14:paraId="32A65CE8" w14:textId="77777777" w:rsidR="005749B8" w:rsidRDefault="005749B8" w:rsidP="006D355E">
            <w:pPr>
              <w:jc w:val="center"/>
              <w:rPr>
                <w:sz w:val="20"/>
                <w:szCs w:val="20"/>
              </w:rPr>
            </w:pPr>
            <w:r>
              <w:rPr>
                <w:sz w:val="20"/>
                <w:szCs w:val="20"/>
              </w:rPr>
              <w:t>2,70%</w:t>
            </w:r>
          </w:p>
        </w:tc>
        <w:tc>
          <w:tcPr>
            <w:tcW w:w="1105" w:type="dxa"/>
            <w:tcBorders>
              <w:top w:val="nil"/>
              <w:left w:val="nil"/>
              <w:bottom w:val="single" w:sz="4" w:space="0" w:color="auto"/>
              <w:right w:val="single" w:sz="4" w:space="0" w:color="auto"/>
            </w:tcBorders>
            <w:shd w:val="clear" w:color="auto" w:fill="auto"/>
            <w:vAlign w:val="bottom"/>
            <w:hideMark/>
          </w:tcPr>
          <w:p w14:paraId="3346FD3C" w14:textId="77777777" w:rsidR="005749B8" w:rsidRDefault="005749B8" w:rsidP="006D355E">
            <w:pPr>
              <w:jc w:val="center"/>
              <w:rPr>
                <w:sz w:val="20"/>
                <w:szCs w:val="20"/>
              </w:rPr>
            </w:pPr>
            <w:r>
              <w:rPr>
                <w:sz w:val="20"/>
                <w:szCs w:val="20"/>
              </w:rPr>
              <w:t>2 756</w:t>
            </w:r>
          </w:p>
        </w:tc>
        <w:tc>
          <w:tcPr>
            <w:tcW w:w="1195" w:type="dxa"/>
            <w:tcBorders>
              <w:top w:val="nil"/>
              <w:left w:val="nil"/>
              <w:bottom w:val="single" w:sz="4" w:space="0" w:color="auto"/>
              <w:right w:val="single" w:sz="4" w:space="0" w:color="auto"/>
            </w:tcBorders>
            <w:shd w:val="clear" w:color="auto" w:fill="auto"/>
            <w:noWrap/>
            <w:vAlign w:val="bottom"/>
            <w:hideMark/>
          </w:tcPr>
          <w:p w14:paraId="456DAF2D" w14:textId="77777777" w:rsidR="005749B8" w:rsidRDefault="005749B8" w:rsidP="006D355E">
            <w:pPr>
              <w:jc w:val="center"/>
              <w:rPr>
                <w:sz w:val="20"/>
                <w:szCs w:val="20"/>
              </w:rPr>
            </w:pPr>
            <w:r>
              <w:rPr>
                <w:sz w:val="20"/>
                <w:szCs w:val="20"/>
              </w:rPr>
              <w:t>9</w:t>
            </w:r>
          </w:p>
        </w:tc>
        <w:tc>
          <w:tcPr>
            <w:tcW w:w="1211" w:type="dxa"/>
            <w:tcBorders>
              <w:top w:val="nil"/>
              <w:left w:val="nil"/>
              <w:bottom w:val="single" w:sz="4" w:space="0" w:color="auto"/>
              <w:right w:val="single" w:sz="4" w:space="0" w:color="auto"/>
            </w:tcBorders>
            <w:shd w:val="clear" w:color="auto" w:fill="auto"/>
            <w:vAlign w:val="bottom"/>
            <w:hideMark/>
          </w:tcPr>
          <w:p w14:paraId="1BE63D06" w14:textId="77777777" w:rsidR="005749B8" w:rsidRDefault="005749B8" w:rsidP="006D355E">
            <w:pPr>
              <w:jc w:val="center"/>
              <w:rPr>
                <w:sz w:val="20"/>
                <w:szCs w:val="20"/>
              </w:rPr>
            </w:pPr>
            <w:r>
              <w:rPr>
                <w:sz w:val="20"/>
                <w:szCs w:val="20"/>
              </w:rPr>
              <w:t>306</w:t>
            </w:r>
          </w:p>
        </w:tc>
      </w:tr>
      <w:tr w:rsidR="005749B8" w14:paraId="3C8E0443"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59B5578A"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1CEC23CC" w14:textId="77777777" w:rsidR="005749B8" w:rsidRDefault="005749B8" w:rsidP="00E30B90">
            <w:pPr>
              <w:jc w:val="right"/>
              <w:rPr>
                <w:sz w:val="20"/>
                <w:szCs w:val="20"/>
              </w:rPr>
            </w:pPr>
            <w:r>
              <w:rPr>
                <w:sz w:val="20"/>
                <w:szCs w:val="20"/>
              </w:rPr>
              <w:t>2011.gads</w:t>
            </w:r>
          </w:p>
        </w:tc>
        <w:tc>
          <w:tcPr>
            <w:tcW w:w="1205" w:type="dxa"/>
            <w:tcBorders>
              <w:top w:val="nil"/>
              <w:left w:val="nil"/>
              <w:bottom w:val="single" w:sz="4" w:space="0" w:color="auto"/>
              <w:right w:val="single" w:sz="4" w:space="0" w:color="auto"/>
            </w:tcBorders>
            <w:shd w:val="clear" w:color="auto" w:fill="auto"/>
            <w:noWrap/>
            <w:vAlign w:val="bottom"/>
            <w:hideMark/>
          </w:tcPr>
          <w:p w14:paraId="2A261AB5" w14:textId="77777777" w:rsidR="005749B8" w:rsidRDefault="005749B8" w:rsidP="006D355E">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2DB642E" w14:textId="77777777" w:rsidR="005749B8" w:rsidRDefault="005749B8" w:rsidP="006D355E">
            <w:pPr>
              <w:jc w:val="center"/>
              <w:rPr>
                <w:sz w:val="20"/>
                <w:szCs w:val="20"/>
              </w:rPr>
            </w:pPr>
            <w:r>
              <w:rPr>
                <w:sz w:val="20"/>
                <w:szCs w:val="20"/>
              </w:rPr>
              <w:t>0,90%</w:t>
            </w:r>
          </w:p>
        </w:tc>
        <w:tc>
          <w:tcPr>
            <w:tcW w:w="1105" w:type="dxa"/>
            <w:tcBorders>
              <w:top w:val="nil"/>
              <w:left w:val="nil"/>
              <w:bottom w:val="single" w:sz="4" w:space="0" w:color="auto"/>
              <w:right w:val="single" w:sz="4" w:space="0" w:color="auto"/>
            </w:tcBorders>
            <w:shd w:val="clear" w:color="auto" w:fill="auto"/>
            <w:vAlign w:val="bottom"/>
            <w:hideMark/>
          </w:tcPr>
          <w:p w14:paraId="059EE4B3" w14:textId="77777777" w:rsidR="005749B8" w:rsidRDefault="005749B8" w:rsidP="006D355E">
            <w:pPr>
              <w:jc w:val="center"/>
              <w:rPr>
                <w:sz w:val="20"/>
                <w:szCs w:val="20"/>
              </w:rPr>
            </w:pPr>
            <w:r>
              <w:rPr>
                <w:sz w:val="20"/>
                <w:szCs w:val="20"/>
              </w:rPr>
              <w:t>424</w:t>
            </w:r>
          </w:p>
        </w:tc>
        <w:tc>
          <w:tcPr>
            <w:tcW w:w="1195" w:type="dxa"/>
            <w:tcBorders>
              <w:top w:val="nil"/>
              <w:left w:val="nil"/>
              <w:bottom w:val="single" w:sz="4" w:space="0" w:color="auto"/>
              <w:right w:val="single" w:sz="4" w:space="0" w:color="auto"/>
            </w:tcBorders>
            <w:shd w:val="clear" w:color="auto" w:fill="auto"/>
            <w:noWrap/>
            <w:vAlign w:val="bottom"/>
            <w:hideMark/>
          </w:tcPr>
          <w:p w14:paraId="3BB84C0B" w14:textId="77777777" w:rsidR="005749B8" w:rsidRDefault="005749B8" w:rsidP="006D355E">
            <w:pPr>
              <w:jc w:val="center"/>
              <w:rPr>
                <w:sz w:val="20"/>
                <w:szCs w:val="20"/>
              </w:rPr>
            </w:pPr>
            <w:r>
              <w:rPr>
                <w:sz w:val="20"/>
                <w:szCs w:val="20"/>
              </w:rPr>
              <w:t>1</w:t>
            </w:r>
          </w:p>
        </w:tc>
        <w:tc>
          <w:tcPr>
            <w:tcW w:w="1211" w:type="dxa"/>
            <w:tcBorders>
              <w:top w:val="nil"/>
              <w:left w:val="nil"/>
              <w:bottom w:val="single" w:sz="4" w:space="0" w:color="auto"/>
              <w:right w:val="single" w:sz="4" w:space="0" w:color="auto"/>
            </w:tcBorders>
            <w:shd w:val="clear" w:color="auto" w:fill="auto"/>
            <w:vAlign w:val="bottom"/>
            <w:hideMark/>
          </w:tcPr>
          <w:p w14:paraId="284A117F" w14:textId="77777777" w:rsidR="005749B8" w:rsidRDefault="005749B8" w:rsidP="006D355E">
            <w:pPr>
              <w:jc w:val="center"/>
              <w:rPr>
                <w:sz w:val="20"/>
                <w:szCs w:val="20"/>
              </w:rPr>
            </w:pPr>
            <w:r>
              <w:rPr>
                <w:sz w:val="20"/>
                <w:szCs w:val="20"/>
              </w:rPr>
              <w:t>424</w:t>
            </w:r>
          </w:p>
        </w:tc>
      </w:tr>
      <w:tr w:rsidR="005749B8" w14:paraId="3F10824E"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2F4650FD"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379DBACD" w14:textId="77777777" w:rsidR="005749B8" w:rsidRDefault="005749B8" w:rsidP="00E30B90">
            <w:pPr>
              <w:jc w:val="right"/>
              <w:rPr>
                <w:sz w:val="20"/>
                <w:szCs w:val="20"/>
              </w:rPr>
            </w:pPr>
            <w:r>
              <w:rPr>
                <w:sz w:val="20"/>
                <w:szCs w:val="20"/>
              </w:rPr>
              <w:t>2012.gads</w:t>
            </w:r>
          </w:p>
        </w:tc>
        <w:tc>
          <w:tcPr>
            <w:tcW w:w="1205" w:type="dxa"/>
            <w:tcBorders>
              <w:top w:val="nil"/>
              <w:left w:val="nil"/>
              <w:bottom w:val="single" w:sz="4" w:space="0" w:color="auto"/>
              <w:right w:val="single" w:sz="4" w:space="0" w:color="auto"/>
            </w:tcBorders>
            <w:shd w:val="clear" w:color="auto" w:fill="auto"/>
            <w:noWrap/>
            <w:vAlign w:val="bottom"/>
            <w:hideMark/>
          </w:tcPr>
          <w:p w14:paraId="3914097D" w14:textId="77777777" w:rsidR="005749B8" w:rsidRDefault="005749B8" w:rsidP="006D355E">
            <w:pPr>
              <w:jc w:val="center"/>
              <w:rPr>
                <w:sz w:val="20"/>
                <w:szCs w:val="20"/>
              </w:rPr>
            </w:pPr>
            <w:r>
              <w:rPr>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50BCD108" w14:textId="77777777" w:rsidR="005749B8" w:rsidRDefault="005749B8" w:rsidP="006D355E">
            <w:pPr>
              <w:jc w:val="center"/>
              <w:rPr>
                <w:sz w:val="20"/>
                <w:szCs w:val="20"/>
              </w:rPr>
            </w:pPr>
            <w:r>
              <w:rPr>
                <w:sz w:val="20"/>
                <w:szCs w:val="20"/>
              </w:rPr>
              <w:t>3,60%</w:t>
            </w:r>
          </w:p>
        </w:tc>
        <w:tc>
          <w:tcPr>
            <w:tcW w:w="1105" w:type="dxa"/>
            <w:tcBorders>
              <w:top w:val="nil"/>
              <w:left w:val="nil"/>
              <w:bottom w:val="single" w:sz="4" w:space="0" w:color="auto"/>
              <w:right w:val="single" w:sz="4" w:space="0" w:color="auto"/>
            </w:tcBorders>
            <w:shd w:val="clear" w:color="auto" w:fill="auto"/>
            <w:vAlign w:val="bottom"/>
            <w:hideMark/>
          </w:tcPr>
          <w:p w14:paraId="76AC0AD3" w14:textId="77777777" w:rsidR="005749B8" w:rsidRDefault="005749B8" w:rsidP="006D355E">
            <w:pPr>
              <w:jc w:val="center"/>
              <w:rPr>
                <w:sz w:val="20"/>
                <w:szCs w:val="20"/>
              </w:rPr>
            </w:pPr>
            <w:r>
              <w:rPr>
                <w:sz w:val="20"/>
                <w:szCs w:val="20"/>
              </w:rPr>
              <w:t>8 291</w:t>
            </w:r>
          </w:p>
        </w:tc>
        <w:tc>
          <w:tcPr>
            <w:tcW w:w="1195" w:type="dxa"/>
            <w:tcBorders>
              <w:top w:val="nil"/>
              <w:left w:val="nil"/>
              <w:bottom w:val="single" w:sz="4" w:space="0" w:color="auto"/>
              <w:right w:val="single" w:sz="4" w:space="0" w:color="auto"/>
            </w:tcBorders>
            <w:shd w:val="clear" w:color="auto" w:fill="auto"/>
            <w:noWrap/>
            <w:vAlign w:val="bottom"/>
            <w:hideMark/>
          </w:tcPr>
          <w:p w14:paraId="41284893" w14:textId="77777777" w:rsidR="005749B8" w:rsidRDefault="005749B8" w:rsidP="006D355E">
            <w:pPr>
              <w:jc w:val="center"/>
              <w:rPr>
                <w:sz w:val="20"/>
                <w:szCs w:val="20"/>
              </w:rPr>
            </w:pPr>
            <w:r>
              <w:rPr>
                <w:sz w:val="20"/>
                <w:szCs w:val="20"/>
              </w:rPr>
              <w:t>12</w:t>
            </w:r>
          </w:p>
        </w:tc>
        <w:tc>
          <w:tcPr>
            <w:tcW w:w="1211" w:type="dxa"/>
            <w:tcBorders>
              <w:top w:val="nil"/>
              <w:left w:val="nil"/>
              <w:bottom w:val="single" w:sz="4" w:space="0" w:color="auto"/>
              <w:right w:val="single" w:sz="4" w:space="0" w:color="auto"/>
            </w:tcBorders>
            <w:shd w:val="clear" w:color="auto" w:fill="auto"/>
            <w:vAlign w:val="bottom"/>
            <w:hideMark/>
          </w:tcPr>
          <w:p w14:paraId="4174F60F" w14:textId="77777777" w:rsidR="005749B8" w:rsidRDefault="005749B8" w:rsidP="006D355E">
            <w:pPr>
              <w:jc w:val="center"/>
              <w:rPr>
                <w:sz w:val="20"/>
                <w:szCs w:val="20"/>
              </w:rPr>
            </w:pPr>
            <w:r>
              <w:rPr>
                <w:sz w:val="20"/>
                <w:szCs w:val="20"/>
              </w:rPr>
              <w:t>691</w:t>
            </w:r>
          </w:p>
        </w:tc>
      </w:tr>
      <w:tr w:rsidR="005749B8" w14:paraId="681E2E3E"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7763B08A"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4678A5E7" w14:textId="77777777" w:rsidR="005749B8" w:rsidRDefault="005749B8" w:rsidP="00E30B90">
            <w:pPr>
              <w:jc w:val="right"/>
              <w:rPr>
                <w:sz w:val="20"/>
                <w:szCs w:val="20"/>
              </w:rPr>
            </w:pPr>
            <w:r>
              <w:rPr>
                <w:sz w:val="20"/>
                <w:szCs w:val="20"/>
              </w:rPr>
              <w:t>2013.gads</w:t>
            </w:r>
          </w:p>
        </w:tc>
        <w:tc>
          <w:tcPr>
            <w:tcW w:w="1205" w:type="dxa"/>
            <w:tcBorders>
              <w:top w:val="nil"/>
              <w:left w:val="nil"/>
              <w:bottom w:val="single" w:sz="4" w:space="0" w:color="auto"/>
              <w:right w:val="single" w:sz="4" w:space="0" w:color="auto"/>
            </w:tcBorders>
            <w:shd w:val="clear" w:color="auto" w:fill="auto"/>
            <w:noWrap/>
            <w:vAlign w:val="bottom"/>
            <w:hideMark/>
          </w:tcPr>
          <w:p w14:paraId="1D816DDB" w14:textId="77777777" w:rsidR="005749B8" w:rsidRDefault="005749B8" w:rsidP="006D355E">
            <w:pPr>
              <w:jc w:val="center"/>
              <w:rPr>
                <w:sz w:val="20"/>
                <w:szCs w:val="20"/>
              </w:rPr>
            </w:pPr>
            <w:r>
              <w:rPr>
                <w:sz w:val="20"/>
                <w:szCs w:val="20"/>
              </w:rPr>
              <w:t>48</w:t>
            </w:r>
          </w:p>
        </w:tc>
        <w:tc>
          <w:tcPr>
            <w:tcW w:w="1172" w:type="dxa"/>
            <w:tcBorders>
              <w:top w:val="nil"/>
              <w:left w:val="nil"/>
              <w:bottom w:val="single" w:sz="4" w:space="0" w:color="auto"/>
              <w:right w:val="single" w:sz="4" w:space="0" w:color="auto"/>
            </w:tcBorders>
            <w:shd w:val="clear" w:color="auto" w:fill="auto"/>
            <w:noWrap/>
            <w:vAlign w:val="bottom"/>
            <w:hideMark/>
          </w:tcPr>
          <w:p w14:paraId="0960235C" w14:textId="77777777" w:rsidR="005749B8" w:rsidRDefault="005749B8" w:rsidP="006D355E">
            <w:pPr>
              <w:jc w:val="center"/>
              <w:rPr>
                <w:sz w:val="20"/>
                <w:szCs w:val="20"/>
              </w:rPr>
            </w:pPr>
            <w:r>
              <w:rPr>
                <w:sz w:val="20"/>
                <w:szCs w:val="20"/>
              </w:rPr>
              <w:t>43,24%</w:t>
            </w:r>
          </w:p>
        </w:tc>
        <w:tc>
          <w:tcPr>
            <w:tcW w:w="1105" w:type="dxa"/>
            <w:tcBorders>
              <w:top w:val="nil"/>
              <w:left w:val="nil"/>
              <w:bottom w:val="single" w:sz="4" w:space="0" w:color="auto"/>
              <w:right w:val="single" w:sz="4" w:space="0" w:color="auto"/>
            </w:tcBorders>
            <w:shd w:val="clear" w:color="auto" w:fill="auto"/>
            <w:vAlign w:val="bottom"/>
            <w:hideMark/>
          </w:tcPr>
          <w:p w14:paraId="483927C2" w14:textId="77777777" w:rsidR="005749B8" w:rsidRDefault="005749B8" w:rsidP="006D355E">
            <w:pPr>
              <w:jc w:val="center"/>
              <w:rPr>
                <w:sz w:val="20"/>
                <w:szCs w:val="20"/>
              </w:rPr>
            </w:pPr>
            <w:r>
              <w:rPr>
                <w:sz w:val="20"/>
                <w:szCs w:val="20"/>
              </w:rPr>
              <w:t>1 942 034</w:t>
            </w:r>
          </w:p>
        </w:tc>
        <w:tc>
          <w:tcPr>
            <w:tcW w:w="1195" w:type="dxa"/>
            <w:tcBorders>
              <w:top w:val="nil"/>
              <w:left w:val="nil"/>
              <w:bottom w:val="single" w:sz="4" w:space="0" w:color="auto"/>
              <w:right w:val="single" w:sz="4" w:space="0" w:color="auto"/>
            </w:tcBorders>
            <w:shd w:val="clear" w:color="auto" w:fill="auto"/>
            <w:noWrap/>
            <w:vAlign w:val="bottom"/>
            <w:hideMark/>
          </w:tcPr>
          <w:p w14:paraId="53B7252D" w14:textId="77777777" w:rsidR="005749B8" w:rsidRDefault="005749B8" w:rsidP="006D355E">
            <w:pPr>
              <w:jc w:val="center"/>
              <w:rPr>
                <w:sz w:val="20"/>
                <w:szCs w:val="20"/>
              </w:rPr>
            </w:pPr>
            <w:r>
              <w:rPr>
                <w:sz w:val="20"/>
                <w:szCs w:val="20"/>
              </w:rPr>
              <w:t>2657</w:t>
            </w:r>
          </w:p>
        </w:tc>
        <w:tc>
          <w:tcPr>
            <w:tcW w:w="1211" w:type="dxa"/>
            <w:tcBorders>
              <w:top w:val="nil"/>
              <w:left w:val="nil"/>
              <w:bottom w:val="single" w:sz="4" w:space="0" w:color="auto"/>
              <w:right w:val="single" w:sz="4" w:space="0" w:color="auto"/>
            </w:tcBorders>
            <w:shd w:val="clear" w:color="auto" w:fill="auto"/>
            <w:vAlign w:val="bottom"/>
            <w:hideMark/>
          </w:tcPr>
          <w:p w14:paraId="341A182C" w14:textId="77777777" w:rsidR="005749B8" w:rsidRDefault="005749B8" w:rsidP="006D355E">
            <w:pPr>
              <w:jc w:val="center"/>
              <w:rPr>
                <w:sz w:val="20"/>
                <w:szCs w:val="20"/>
              </w:rPr>
            </w:pPr>
            <w:r>
              <w:rPr>
                <w:sz w:val="20"/>
                <w:szCs w:val="20"/>
              </w:rPr>
              <w:t>731</w:t>
            </w:r>
          </w:p>
        </w:tc>
      </w:tr>
      <w:tr w:rsidR="005749B8" w14:paraId="11111033" w14:textId="77777777" w:rsidTr="009D46B2">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68E0EDB1"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180B9218" w14:textId="77777777" w:rsidR="005749B8" w:rsidRDefault="005749B8" w:rsidP="00E30B90">
            <w:pPr>
              <w:jc w:val="right"/>
              <w:rPr>
                <w:sz w:val="20"/>
                <w:szCs w:val="20"/>
              </w:rPr>
            </w:pPr>
            <w:r>
              <w:rPr>
                <w:sz w:val="20"/>
                <w:szCs w:val="20"/>
              </w:rPr>
              <w:t>2014.gads</w:t>
            </w:r>
          </w:p>
        </w:tc>
        <w:tc>
          <w:tcPr>
            <w:tcW w:w="1205" w:type="dxa"/>
            <w:tcBorders>
              <w:top w:val="nil"/>
              <w:left w:val="nil"/>
              <w:bottom w:val="single" w:sz="4" w:space="0" w:color="auto"/>
              <w:right w:val="single" w:sz="4" w:space="0" w:color="auto"/>
            </w:tcBorders>
            <w:shd w:val="clear" w:color="auto" w:fill="auto"/>
            <w:noWrap/>
            <w:vAlign w:val="bottom"/>
            <w:hideMark/>
          </w:tcPr>
          <w:p w14:paraId="0EF060B0" w14:textId="77777777" w:rsidR="005749B8" w:rsidRDefault="005749B8" w:rsidP="006D355E">
            <w:pPr>
              <w:jc w:val="center"/>
              <w:rPr>
                <w:sz w:val="20"/>
                <w:szCs w:val="20"/>
              </w:rPr>
            </w:pPr>
            <w:r>
              <w:rPr>
                <w:sz w:val="20"/>
                <w:szCs w:val="20"/>
              </w:rPr>
              <w:t>51</w:t>
            </w:r>
          </w:p>
        </w:tc>
        <w:tc>
          <w:tcPr>
            <w:tcW w:w="1172" w:type="dxa"/>
            <w:tcBorders>
              <w:top w:val="nil"/>
              <w:left w:val="nil"/>
              <w:bottom w:val="single" w:sz="4" w:space="0" w:color="auto"/>
              <w:right w:val="single" w:sz="4" w:space="0" w:color="auto"/>
            </w:tcBorders>
            <w:shd w:val="clear" w:color="auto" w:fill="auto"/>
            <w:noWrap/>
            <w:vAlign w:val="bottom"/>
            <w:hideMark/>
          </w:tcPr>
          <w:p w14:paraId="36B9FBBB" w14:textId="77777777" w:rsidR="005749B8" w:rsidRDefault="005749B8" w:rsidP="006D355E">
            <w:pPr>
              <w:jc w:val="center"/>
              <w:rPr>
                <w:sz w:val="20"/>
                <w:szCs w:val="20"/>
              </w:rPr>
            </w:pPr>
            <w:r>
              <w:rPr>
                <w:sz w:val="20"/>
                <w:szCs w:val="20"/>
              </w:rPr>
              <w:t>45,95%</w:t>
            </w:r>
          </w:p>
        </w:tc>
        <w:tc>
          <w:tcPr>
            <w:tcW w:w="1105" w:type="dxa"/>
            <w:tcBorders>
              <w:top w:val="nil"/>
              <w:left w:val="nil"/>
              <w:bottom w:val="single" w:sz="4" w:space="0" w:color="auto"/>
              <w:right w:val="single" w:sz="4" w:space="0" w:color="auto"/>
            </w:tcBorders>
            <w:shd w:val="clear" w:color="auto" w:fill="auto"/>
            <w:vAlign w:val="bottom"/>
            <w:hideMark/>
          </w:tcPr>
          <w:p w14:paraId="17FB0CD4" w14:textId="77777777" w:rsidR="005749B8" w:rsidRDefault="005749B8" w:rsidP="006D355E">
            <w:pPr>
              <w:jc w:val="center"/>
              <w:rPr>
                <w:sz w:val="20"/>
                <w:szCs w:val="20"/>
              </w:rPr>
            </w:pPr>
            <w:r>
              <w:rPr>
                <w:sz w:val="20"/>
                <w:szCs w:val="20"/>
              </w:rPr>
              <w:t>701 065</w:t>
            </w:r>
          </w:p>
        </w:tc>
        <w:tc>
          <w:tcPr>
            <w:tcW w:w="1195" w:type="dxa"/>
            <w:tcBorders>
              <w:top w:val="nil"/>
              <w:left w:val="nil"/>
              <w:bottom w:val="single" w:sz="4" w:space="0" w:color="auto"/>
              <w:right w:val="single" w:sz="4" w:space="0" w:color="auto"/>
            </w:tcBorders>
            <w:shd w:val="clear" w:color="auto" w:fill="auto"/>
            <w:noWrap/>
            <w:vAlign w:val="bottom"/>
            <w:hideMark/>
          </w:tcPr>
          <w:p w14:paraId="1527D6F8" w14:textId="77777777" w:rsidR="005749B8" w:rsidRDefault="005749B8" w:rsidP="006D355E">
            <w:pPr>
              <w:jc w:val="center"/>
              <w:rPr>
                <w:sz w:val="20"/>
                <w:szCs w:val="20"/>
              </w:rPr>
            </w:pPr>
            <w:r>
              <w:rPr>
                <w:sz w:val="20"/>
                <w:szCs w:val="20"/>
              </w:rPr>
              <w:t>906</w:t>
            </w:r>
          </w:p>
        </w:tc>
        <w:tc>
          <w:tcPr>
            <w:tcW w:w="1211" w:type="dxa"/>
            <w:tcBorders>
              <w:top w:val="nil"/>
              <w:left w:val="nil"/>
              <w:bottom w:val="single" w:sz="4" w:space="0" w:color="auto"/>
              <w:right w:val="single" w:sz="4" w:space="0" w:color="auto"/>
            </w:tcBorders>
            <w:shd w:val="clear" w:color="auto" w:fill="auto"/>
            <w:vAlign w:val="bottom"/>
            <w:hideMark/>
          </w:tcPr>
          <w:p w14:paraId="346E932E" w14:textId="77777777" w:rsidR="005749B8" w:rsidRDefault="005749B8" w:rsidP="006D355E">
            <w:pPr>
              <w:jc w:val="center"/>
              <w:rPr>
                <w:sz w:val="20"/>
                <w:szCs w:val="20"/>
              </w:rPr>
            </w:pPr>
            <w:r>
              <w:rPr>
                <w:sz w:val="20"/>
                <w:szCs w:val="20"/>
              </w:rPr>
              <w:t>774</w:t>
            </w:r>
          </w:p>
        </w:tc>
      </w:tr>
      <w:tr w:rsidR="005749B8" w14:paraId="29B9E5DE" w14:textId="77777777" w:rsidTr="00F15A7C">
        <w:trPr>
          <w:trHeight w:val="401"/>
          <w:jc w:val="center"/>
        </w:trPr>
        <w:tc>
          <w:tcPr>
            <w:tcW w:w="1016" w:type="dxa"/>
            <w:vMerge/>
            <w:tcBorders>
              <w:top w:val="nil"/>
              <w:left w:val="single" w:sz="4" w:space="0" w:color="auto"/>
              <w:bottom w:val="single" w:sz="4" w:space="0" w:color="auto"/>
              <w:right w:val="single" w:sz="4" w:space="0" w:color="auto"/>
            </w:tcBorders>
            <w:vAlign w:val="center"/>
            <w:hideMark/>
          </w:tcPr>
          <w:p w14:paraId="56A728C0"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65D33EBD" w14:textId="77777777" w:rsidR="005749B8" w:rsidRDefault="005749B8" w:rsidP="00E30B90">
            <w:pPr>
              <w:jc w:val="right"/>
              <w:rPr>
                <w:sz w:val="20"/>
                <w:szCs w:val="20"/>
              </w:rPr>
            </w:pPr>
            <w:r>
              <w:rPr>
                <w:sz w:val="20"/>
                <w:szCs w:val="20"/>
              </w:rPr>
              <w:t>Kopā</w:t>
            </w:r>
          </w:p>
        </w:tc>
        <w:tc>
          <w:tcPr>
            <w:tcW w:w="1205" w:type="dxa"/>
            <w:tcBorders>
              <w:top w:val="nil"/>
              <w:left w:val="nil"/>
              <w:bottom w:val="single" w:sz="4" w:space="0" w:color="auto"/>
              <w:right w:val="single" w:sz="4" w:space="0" w:color="auto"/>
            </w:tcBorders>
            <w:shd w:val="clear" w:color="auto" w:fill="auto"/>
            <w:noWrap/>
            <w:vAlign w:val="bottom"/>
            <w:hideMark/>
          </w:tcPr>
          <w:p w14:paraId="741AD590" w14:textId="77777777" w:rsidR="005749B8" w:rsidRDefault="005749B8" w:rsidP="006D355E">
            <w:pPr>
              <w:jc w:val="center"/>
              <w:rPr>
                <w:sz w:val="20"/>
                <w:szCs w:val="20"/>
              </w:rPr>
            </w:pPr>
            <w:r>
              <w:rPr>
                <w:sz w:val="20"/>
                <w:szCs w:val="20"/>
              </w:rPr>
              <w:t>111</w:t>
            </w:r>
          </w:p>
        </w:tc>
        <w:tc>
          <w:tcPr>
            <w:tcW w:w="1172" w:type="dxa"/>
            <w:tcBorders>
              <w:top w:val="nil"/>
              <w:left w:val="nil"/>
              <w:bottom w:val="single" w:sz="4" w:space="0" w:color="auto"/>
              <w:right w:val="single" w:sz="4" w:space="0" w:color="auto"/>
            </w:tcBorders>
            <w:shd w:val="clear" w:color="auto" w:fill="auto"/>
            <w:noWrap/>
            <w:vAlign w:val="bottom"/>
            <w:hideMark/>
          </w:tcPr>
          <w:p w14:paraId="447FEDA6" w14:textId="77777777" w:rsidR="005749B8" w:rsidRDefault="005749B8" w:rsidP="006D355E">
            <w:pPr>
              <w:jc w:val="center"/>
              <w:rPr>
                <w:sz w:val="20"/>
                <w:szCs w:val="20"/>
              </w:rPr>
            </w:pPr>
            <w:r>
              <w:rPr>
                <w:sz w:val="20"/>
                <w:szCs w:val="20"/>
              </w:rPr>
              <w:t>100,00%</w:t>
            </w:r>
          </w:p>
        </w:tc>
        <w:tc>
          <w:tcPr>
            <w:tcW w:w="1105" w:type="dxa"/>
            <w:tcBorders>
              <w:top w:val="nil"/>
              <w:left w:val="nil"/>
              <w:bottom w:val="single" w:sz="4" w:space="0" w:color="auto"/>
              <w:right w:val="single" w:sz="4" w:space="0" w:color="auto"/>
            </w:tcBorders>
            <w:shd w:val="clear" w:color="auto" w:fill="auto"/>
            <w:vAlign w:val="bottom"/>
            <w:hideMark/>
          </w:tcPr>
          <w:p w14:paraId="7ACCC85A" w14:textId="77777777" w:rsidR="005749B8" w:rsidRDefault="005749B8" w:rsidP="006D355E">
            <w:pPr>
              <w:jc w:val="center"/>
              <w:rPr>
                <w:sz w:val="20"/>
                <w:szCs w:val="20"/>
              </w:rPr>
            </w:pPr>
            <w:r>
              <w:rPr>
                <w:sz w:val="20"/>
                <w:szCs w:val="20"/>
              </w:rPr>
              <w:t>2 662 129</w:t>
            </w:r>
          </w:p>
        </w:tc>
        <w:tc>
          <w:tcPr>
            <w:tcW w:w="1195" w:type="dxa"/>
            <w:tcBorders>
              <w:top w:val="nil"/>
              <w:left w:val="nil"/>
              <w:bottom w:val="single" w:sz="4" w:space="0" w:color="auto"/>
              <w:right w:val="single" w:sz="4" w:space="0" w:color="auto"/>
            </w:tcBorders>
            <w:shd w:val="clear" w:color="auto" w:fill="auto"/>
            <w:noWrap/>
            <w:vAlign w:val="bottom"/>
            <w:hideMark/>
          </w:tcPr>
          <w:p w14:paraId="1D2F16BD" w14:textId="77777777" w:rsidR="005749B8" w:rsidRDefault="005749B8" w:rsidP="006D355E">
            <w:pPr>
              <w:jc w:val="center"/>
              <w:rPr>
                <w:sz w:val="20"/>
                <w:szCs w:val="20"/>
              </w:rPr>
            </w:pPr>
            <w:r>
              <w:rPr>
                <w:sz w:val="20"/>
                <w:szCs w:val="20"/>
              </w:rPr>
              <w:t>3590</w:t>
            </w:r>
          </w:p>
        </w:tc>
        <w:tc>
          <w:tcPr>
            <w:tcW w:w="1211" w:type="dxa"/>
            <w:tcBorders>
              <w:top w:val="nil"/>
              <w:left w:val="nil"/>
              <w:bottom w:val="single" w:sz="4" w:space="0" w:color="auto"/>
              <w:right w:val="single" w:sz="4" w:space="0" w:color="auto"/>
            </w:tcBorders>
            <w:shd w:val="clear" w:color="auto" w:fill="auto"/>
            <w:vAlign w:val="bottom"/>
            <w:hideMark/>
          </w:tcPr>
          <w:p w14:paraId="328815D2" w14:textId="77777777" w:rsidR="005749B8" w:rsidRDefault="005749B8" w:rsidP="006D355E">
            <w:pPr>
              <w:jc w:val="center"/>
              <w:rPr>
                <w:sz w:val="20"/>
                <w:szCs w:val="20"/>
              </w:rPr>
            </w:pPr>
            <w:r>
              <w:rPr>
                <w:sz w:val="20"/>
                <w:szCs w:val="20"/>
              </w:rPr>
              <w:t>742</w:t>
            </w:r>
          </w:p>
        </w:tc>
      </w:tr>
      <w:tr w:rsidR="005749B8" w14:paraId="2CA50BDB" w14:textId="77777777" w:rsidTr="009D46B2">
        <w:trPr>
          <w:trHeight w:val="255"/>
          <w:jc w:val="center"/>
        </w:trPr>
        <w:tc>
          <w:tcPr>
            <w:tcW w:w="101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BB4418D" w14:textId="77777777" w:rsidR="005749B8" w:rsidRDefault="005749B8" w:rsidP="00E30B90">
            <w:pPr>
              <w:jc w:val="center"/>
              <w:rPr>
                <w:b/>
                <w:bCs/>
                <w:sz w:val="20"/>
                <w:szCs w:val="20"/>
              </w:rPr>
            </w:pPr>
            <w:r>
              <w:rPr>
                <w:b/>
                <w:bCs/>
                <w:sz w:val="20"/>
                <w:szCs w:val="20"/>
              </w:rPr>
              <w:t>2015.gads</w:t>
            </w:r>
          </w:p>
        </w:tc>
        <w:tc>
          <w:tcPr>
            <w:tcW w:w="1980" w:type="dxa"/>
            <w:tcBorders>
              <w:top w:val="nil"/>
              <w:left w:val="nil"/>
              <w:bottom w:val="single" w:sz="4" w:space="0" w:color="auto"/>
              <w:right w:val="single" w:sz="4" w:space="0" w:color="auto"/>
            </w:tcBorders>
            <w:shd w:val="clear" w:color="auto" w:fill="auto"/>
            <w:noWrap/>
            <w:vAlign w:val="bottom"/>
            <w:hideMark/>
          </w:tcPr>
          <w:p w14:paraId="2D439823" w14:textId="77777777" w:rsidR="005749B8" w:rsidRDefault="005749B8" w:rsidP="00E30B90">
            <w:pPr>
              <w:jc w:val="right"/>
              <w:rPr>
                <w:sz w:val="20"/>
                <w:szCs w:val="20"/>
              </w:rPr>
            </w:pPr>
            <w:r>
              <w:rPr>
                <w:sz w:val="20"/>
                <w:szCs w:val="20"/>
              </w:rPr>
              <w:t>2004.gads</w:t>
            </w:r>
          </w:p>
        </w:tc>
        <w:tc>
          <w:tcPr>
            <w:tcW w:w="1205" w:type="dxa"/>
            <w:tcBorders>
              <w:top w:val="nil"/>
              <w:left w:val="nil"/>
              <w:bottom w:val="single" w:sz="4" w:space="0" w:color="auto"/>
              <w:right w:val="single" w:sz="4" w:space="0" w:color="auto"/>
            </w:tcBorders>
            <w:shd w:val="clear" w:color="auto" w:fill="auto"/>
            <w:noWrap/>
            <w:vAlign w:val="bottom"/>
            <w:hideMark/>
          </w:tcPr>
          <w:p w14:paraId="15304F5C" w14:textId="77777777" w:rsidR="005749B8" w:rsidRDefault="005749B8" w:rsidP="006D355E">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79612B53" w14:textId="77777777" w:rsidR="005749B8" w:rsidRDefault="005749B8" w:rsidP="006D355E">
            <w:pPr>
              <w:jc w:val="center"/>
              <w:rPr>
                <w:sz w:val="20"/>
                <w:szCs w:val="20"/>
              </w:rPr>
            </w:pPr>
            <w:r>
              <w:rPr>
                <w:sz w:val="20"/>
                <w:szCs w:val="20"/>
              </w:rPr>
              <w:t>0,90%</w:t>
            </w:r>
          </w:p>
        </w:tc>
        <w:tc>
          <w:tcPr>
            <w:tcW w:w="1105" w:type="dxa"/>
            <w:tcBorders>
              <w:top w:val="nil"/>
              <w:left w:val="nil"/>
              <w:bottom w:val="single" w:sz="4" w:space="0" w:color="auto"/>
              <w:right w:val="single" w:sz="4" w:space="0" w:color="auto"/>
            </w:tcBorders>
            <w:shd w:val="clear" w:color="auto" w:fill="auto"/>
            <w:vAlign w:val="bottom"/>
            <w:hideMark/>
          </w:tcPr>
          <w:p w14:paraId="1FC8041E" w14:textId="77777777" w:rsidR="005749B8" w:rsidRDefault="005749B8" w:rsidP="006D355E">
            <w:pPr>
              <w:jc w:val="center"/>
              <w:rPr>
                <w:sz w:val="20"/>
                <w:szCs w:val="20"/>
              </w:rPr>
            </w:pPr>
            <w:r>
              <w:rPr>
                <w:sz w:val="20"/>
                <w:szCs w:val="20"/>
              </w:rPr>
              <w:t>6 253</w:t>
            </w:r>
          </w:p>
        </w:tc>
        <w:tc>
          <w:tcPr>
            <w:tcW w:w="1195" w:type="dxa"/>
            <w:tcBorders>
              <w:top w:val="nil"/>
              <w:left w:val="nil"/>
              <w:bottom w:val="single" w:sz="4" w:space="0" w:color="auto"/>
              <w:right w:val="single" w:sz="4" w:space="0" w:color="auto"/>
            </w:tcBorders>
            <w:shd w:val="clear" w:color="auto" w:fill="auto"/>
            <w:noWrap/>
            <w:vAlign w:val="bottom"/>
            <w:hideMark/>
          </w:tcPr>
          <w:p w14:paraId="5752BB34" w14:textId="77777777" w:rsidR="005749B8" w:rsidRDefault="005749B8" w:rsidP="006D355E">
            <w:pPr>
              <w:jc w:val="center"/>
              <w:rPr>
                <w:sz w:val="20"/>
                <w:szCs w:val="20"/>
              </w:rPr>
            </w:pPr>
            <w:r>
              <w:rPr>
                <w:sz w:val="20"/>
                <w:szCs w:val="20"/>
              </w:rPr>
              <w:t>52</w:t>
            </w:r>
          </w:p>
        </w:tc>
        <w:tc>
          <w:tcPr>
            <w:tcW w:w="1211" w:type="dxa"/>
            <w:tcBorders>
              <w:top w:val="nil"/>
              <w:left w:val="nil"/>
              <w:bottom w:val="single" w:sz="4" w:space="0" w:color="auto"/>
              <w:right w:val="single" w:sz="4" w:space="0" w:color="auto"/>
            </w:tcBorders>
            <w:shd w:val="clear" w:color="auto" w:fill="auto"/>
            <w:vAlign w:val="bottom"/>
            <w:hideMark/>
          </w:tcPr>
          <w:p w14:paraId="1BE49E99" w14:textId="77777777" w:rsidR="005749B8" w:rsidRDefault="005749B8" w:rsidP="006D355E">
            <w:pPr>
              <w:jc w:val="center"/>
              <w:rPr>
                <w:sz w:val="20"/>
                <w:szCs w:val="20"/>
              </w:rPr>
            </w:pPr>
            <w:r>
              <w:rPr>
                <w:sz w:val="20"/>
                <w:szCs w:val="20"/>
              </w:rPr>
              <w:t>120</w:t>
            </w:r>
          </w:p>
        </w:tc>
      </w:tr>
      <w:tr w:rsidR="005749B8" w14:paraId="0DCC0A05" w14:textId="77777777" w:rsidTr="009D46B2">
        <w:trPr>
          <w:trHeight w:val="255"/>
          <w:jc w:val="center"/>
        </w:trPr>
        <w:tc>
          <w:tcPr>
            <w:tcW w:w="1016" w:type="dxa"/>
            <w:vMerge/>
            <w:tcBorders>
              <w:top w:val="nil"/>
              <w:left w:val="single" w:sz="4" w:space="0" w:color="auto"/>
              <w:bottom w:val="single" w:sz="4" w:space="0" w:color="000000"/>
              <w:right w:val="single" w:sz="4" w:space="0" w:color="auto"/>
            </w:tcBorders>
            <w:vAlign w:val="center"/>
            <w:hideMark/>
          </w:tcPr>
          <w:p w14:paraId="52C493D8"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5A68A3A7" w14:textId="77777777" w:rsidR="005749B8" w:rsidRDefault="005749B8" w:rsidP="00E30B90">
            <w:pPr>
              <w:jc w:val="right"/>
              <w:rPr>
                <w:sz w:val="20"/>
                <w:szCs w:val="20"/>
              </w:rPr>
            </w:pPr>
            <w:r>
              <w:rPr>
                <w:sz w:val="20"/>
                <w:szCs w:val="20"/>
              </w:rPr>
              <w:t>2010.gads</w:t>
            </w:r>
          </w:p>
        </w:tc>
        <w:tc>
          <w:tcPr>
            <w:tcW w:w="1205" w:type="dxa"/>
            <w:tcBorders>
              <w:top w:val="nil"/>
              <w:left w:val="nil"/>
              <w:bottom w:val="single" w:sz="4" w:space="0" w:color="auto"/>
              <w:right w:val="single" w:sz="4" w:space="0" w:color="auto"/>
            </w:tcBorders>
            <w:shd w:val="clear" w:color="auto" w:fill="auto"/>
            <w:noWrap/>
            <w:vAlign w:val="bottom"/>
            <w:hideMark/>
          </w:tcPr>
          <w:p w14:paraId="7B5B23DE" w14:textId="77777777" w:rsidR="005749B8" w:rsidRDefault="005749B8" w:rsidP="006D355E">
            <w:pPr>
              <w:jc w:val="center"/>
              <w:rPr>
                <w:sz w:val="20"/>
                <w:szCs w:val="20"/>
              </w:rPr>
            </w:pPr>
            <w:r>
              <w:rPr>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27BF28F" w14:textId="77777777" w:rsidR="005749B8" w:rsidRDefault="005749B8" w:rsidP="006D355E">
            <w:pPr>
              <w:jc w:val="center"/>
              <w:rPr>
                <w:sz w:val="20"/>
                <w:szCs w:val="20"/>
              </w:rPr>
            </w:pPr>
            <w:r>
              <w:rPr>
                <w:sz w:val="20"/>
                <w:szCs w:val="20"/>
              </w:rPr>
              <w:t>3,70%</w:t>
            </w:r>
          </w:p>
        </w:tc>
        <w:tc>
          <w:tcPr>
            <w:tcW w:w="1105" w:type="dxa"/>
            <w:tcBorders>
              <w:top w:val="nil"/>
              <w:left w:val="nil"/>
              <w:bottom w:val="single" w:sz="4" w:space="0" w:color="auto"/>
              <w:right w:val="single" w:sz="4" w:space="0" w:color="auto"/>
            </w:tcBorders>
            <w:shd w:val="clear" w:color="auto" w:fill="auto"/>
            <w:vAlign w:val="bottom"/>
            <w:hideMark/>
          </w:tcPr>
          <w:p w14:paraId="18153BFB" w14:textId="77777777" w:rsidR="005749B8" w:rsidRDefault="005749B8" w:rsidP="006D355E">
            <w:pPr>
              <w:jc w:val="center"/>
              <w:rPr>
                <w:sz w:val="20"/>
                <w:szCs w:val="20"/>
              </w:rPr>
            </w:pPr>
            <w:r>
              <w:rPr>
                <w:sz w:val="20"/>
                <w:szCs w:val="20"/>
              </w:rPr>
              <w:t>16 937</w:t>
            </w:r>
          </w:p>
        </w:tc>
        <w:tc>
          <w:tcPr>
            <w:tcW w:w="1195" w:type="dxa"/>
            <w:tcBorders>
              <w:top w:val="nil"/>
              <w:left w:val="nil"/>
              <w:bottom w:val="single" w:sz="4" w:space="0" w:color="auto"/>
              <w:right w:val="single" w:sz="4" w:space="0" w:color="auto"/>
            </w:tcBorders>
            <w:shd w:val="clear" w:color="auto" w:fill="auto"/>
            <w:noWrap/>
            <w:vAlign w:val="bottom"/>
            <w:hideMark/>
          </w:tcPr>
          <w:p w14:paraId="01AAD28C" w14:textId="77777777" w:rsidR="005749B8" w:rsidRDefault="005749B8" w:rsidP="006D355E">
            <w:pPr>
              <w:jc w:val="center"/>
              <w:rPr>
                <w:sz w:val="20"/>
                <w:szCs w:val="20"/>
              </w:rPr>
            </w:pPr>
            <w:r>
              <w:rPr>
                <w:sz w:val="20"/>
                <w:szCs w:val="20"/>
              </w:rPr>
              <w:t>37</w:t>
            </w:r>
          </w:p>
        </w:tc>
        <w:tc>
          <w:tcPr>
            <w:tcW w:w="1211" w:type="dxa"/>
            <w:tcBorders>
              <w:top w:val="nil"/>
              <w:left w:val="nil"/>
              <w:bottom w:val="single" w:sz="4" w:space="0" w:color="auto"/>
              <w:right w:val="single" w:sz="4" w:space="0" w:color="auto"/>
            </w:tcBorders>
            <w:shd w:val="clear" w:color="auto" w:fill="auto"/>
            <w:vAlign w:val="bottom"/>
            <w:hideMark/>
          </w:tcPr>
          <w:p w14:paraId="115BE77B" w14:textId="77777777" w:rsidR="005749B8" w:rsidRDefault="005749B8" w:rsidP="006D355E">
            <w:pPr>
              <w:jc w:val="center"/>
              <w:rPr>
                <w:sz w:val="20"/>
                <w:szCs w:val="20"/>
              </w:rPr>
            </w:pPr>
            <w:r>
              <w:rPr>
                <w:sz w:val="20"/>
                <w:szCs w:val="20"/>
              </w:rPr>
              <w:t>458</w:t>
            </w:r>
          </w:p>
        </w:tc>
      </w:tr>
      <w:tr w:rsidR="005749B8" w14:paraId="438FB922" w14:textId="77777777" w:rsidTr="009D46B2">
        <w:trPr>
          <w:trHeight w:val="255"/>
          <w:jc w:val="center"/>
        </w:trPr>
        <w:tc>
          <w:tcPr>
            <w:tcW w:w="1016" w:type="dxa"/>
            <w:vMerge/>
            <w:tcBorders>
              <w:top w:val="nil"/>
              <w:left w:val="single" w:sz="4" w:space="0" w:color="auto"/>
              <w:bottom w:val="single" w:sz="4" w:space="0" w:color="000000"/>
              <w:right w:val="single" w:sz="4" w:space="0" w:color="auto"/>
            </w:tcBorders>
            <w:vAlign w:val="center"/>
            <w:hideMark/>
          </w:tcPr>
          <w:p w14:paraId="67A90C00"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5B3E3FF4" w14:textId="77777777" w:rsidR="005749B8" w:rsidRDefault="005749B8" w:rsidP="00E30B90">
            <w:pPr>
              <w:jc w:val="right"/>
              <w:rPr>
                <w:sz w:val="20"/>
                <w:szCs w:val="20"/>
              </w:rPr>
            </w:pPr>
            <w:r>
              <w:rPr>
                <w:sz w:val="20"/>
                <w:szCs w:val="20"/>
              </w:rPr>
              <w:t>2011.gads</w:t>
            </w:r>
          </w:p>
        </w:tc>
        <w:tc>
          <w:tcPr>
            <w:tcW w:w="1205" w:type="dxa"/>
            <w:tcBorders>
              <w:top w:val="nil"/>
              <w:left w:val="nil"/>
              <w:bottom w:val="single" w:sz="4" w:space="0" w:color="auto"/>
              <w:right w:val="single" w:sz="4" w:space="0" w:color="auto"/>
            </w:tcBorders>
            <w:shd w:val="clear" w:color="auto" w:fill="auto"/>
            <w:noWrap/>
            <w:vAlign w:val="bottom"/>
            <w:hideMark/>
          </w:tcPr>
          <w:p w14:paraId="7E285951" w14:textId="77777777" w:rsidR="005749B8" w:rsidRDefault="005749B8" w:rsidP="006D355E">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CF764EB" w14:textId="77777777" w:rsidR="005749B8" w:rsidRDefault="005749B8" w:rsidP="006D355E">
            <w:pPr>
              <w:jc w:val="center"/>
              <w:rPr>
                <w:sz w:val="20"/>
                <w:szCs w:val="20"/>
              </w:rPr>
            </w:pPr>
            <w:r>
              <w:rPr>
                <w:sz w:val="20"/>
                <w:szCs w:val="20"/>
              </w:rPr>
              <w:t>0,90%</w:t>
            </w:r>
          </w:p>
        </w:tc>
        <w:tc>
          <w:tcPr>
            <w:tcW w:w="1105" w:type="dxa"/>
            <w:tcBorders>
              <w:top w:val="nil"/>
              <w:left w:val="nil"/>
              <w:bottom w:val="single" w:sz="4" w:space="0" w:color="auto"/>
              <w:right w:val="single" w:sz="4" w:space="0" w:color="auto"/>
            </w:tcBorders>
            <w:shd w:val="clear" w:color="auto" w:fill="auto"/>
            <w:vAlign w:val="bottom"/>
            <w:hideMark/>
          </w:tcPr>
          <w:p w14:paraId="69E78C2C" w14:textId="77777777" w:rsidR="005749B8" w:rsidRDefault="005749B8" w:rsidP="006D355E">
            <w:pPr>
              <w:jc w:val="center"/>
              <w:rPr>
                <w:sz w:val="20"/>
                <w:szCs w:val="20"/>
              </w:rPr>
            </w:pPr>
            <w:r>
              <w:rPr>
                <w:sz w:val="20"/>
                <w:szCs w:val="20"/>
              </w:rPr>
              <w:t>2 675</w:t>
            </w:r>
          </w:p>
        </w:tc>
        <w:tc>
          <w:tcPr>
            <w:tcW w:w="1195" w:type="dxa"/>
            <w:tcBorders>
              <w:top w:val="nil"/>
              <w:left w:val="nil"/>
              <w:bottom w:val="single" w:sz="4" w:space="0" w:color="auto"/>
              <w:right w:val="single" w:sz="4" w:space="0" w:color="auto"/>
            </w:tcBorders>
            <w:shd w:val="clear" w:color="auto" w:fill="auto"/>
            <w:noWrap/>
            <w:vAlign w:val="bottom"/>
            <w:hideMark/>
          </w:tcPr>
          <w:p w14:paraId="72F9571D" w14:textId="77777777" w:rsidR="005749B8" w:rsidRDefault="005749B8" w:rsidP="006D355E">
            <w:pPr>
              <w:jc w:val="center"/>
              <w:rPr>
                <w:sz w:val="20"/>
                <w:szCs w:val="20"/>
              </w:rPr>
            </w:pPr>
            <w:r>
              <w:rPr>
                <w:sz w:val="20"/>
                <w:szCs w:val="20"/>
              </w:rPr>
              <w:t>5</w:t>
            </w:r>
          </w:p>
        </w:tc>
        <w:tc>
          <w:tcPr>
            <w:tcW w:w="1211" w:type="dxa"/>
            <w:tcBorders>
              <w:top w:val="nil"/>
              <w:left w:val="nil"/>
              <w:bottom w:val="single" w:sz="4" w:space="0" w:color="auto"/>
              <w:right w:val="single" w:sz="4" w:space="0" w:color="auto"/>
            </w:tcBorders>
            <w:shd w:val="clear" w:color="auto" w:fill="auto"/>
            <w:vAlign w:val="bottom"/>
            <w:hideMark/>
          </w:tcPr>
          <w:p w14:paraId="628FD949" w14:textId="77777777" w:rsidR="005749B8" w:rsidRDefault="005749B8" w:rsidP="006D355E">
            <w:pPr>
              <w:jc w:val="center"/>
              <w:rPr>
                <w:sz w:val="20"/>
                <w:szCs w:val="20"/>
              </w:rPr>
            </w:pPr>
            <w:r>
              <w:rPr>
                <w:sz w:val="20"/>
                <w:szCs w:val="20"/>
              </w:rPr>
              <w:t>535</w:t>
            </w:r>
          </w:p>
        </w:tc>
      </w:tr>
      <w:tr w:rsidR="005749B8" w14:paraId="2A0AAAB8" w14:textId="77777777" w:rsidTr="009D46B2">
        <w:trPr>
          <w:trHeight w:val="255"/>
          <w:jc w:val="center"/>
        </w:trPr>
        <w:tc>
          <w:tcPr>
            <w:tcW w:w="1016" w:type="dxa"/>
            <w:vMerge/>
            <w:tcBorders>
              <w:top w:val="nil"/>
              <w:left w:val="single" w:sz="4" w:space="0" w:color="auto"/>
              <w:bottom w:val="single" w:sz="4" w:space="0" w:color="000000"/>
              <w:right w:val="single" w:sz="4" w:space="0" w:color="auto"/>
            </w:tcBorders>
            <w:vAlign w:val="center"/>
            <w:hideMark/>
          </w:tcPr>
          <w:p w14:paraId="7BBE319A"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4A81E27F" w14:textId="77777777" w:rsidR="005749B8" w:rsidRDefault="005749B8" w:rsidP="00E30B90">
            <w:pPr>
              <w:jc w:val="right"/>
              <w:rPr>
                <w:sz w:val="20"/>
                <w:szCs w:val="20"/>
              </w:rPr>
            </w:pPr>
            <w:r>
              <w:rPr>
                <w:sz w:val="20"/>
                <w:szCs w:val="20"/>
              </w:rPr>
              <w:t>2012.gads</w:t>
            </w:r>
          </w:p>
        </w:tc>
        <w:tc>
          <w:tcPr>
            <w:tcW w:w="1205" w:type="dxa"/>
            <w:tcBorders>
              <w:top w:val="nil"/>
              <w:left w:val="nil"/>
              <w:bottom w:val="single" w:sz="4" w:space="0" w:color="auto"/>
              <w:right w:val="single" w:sz="4" w:space="0" w:color="auto"/>
            </w:tcBorders>
            <w:shd w:val="clear" w:color="auto" w:fill="auto"/>
            <w:noWrap/>
            <w:vAlign w:val="bottom"/>
            <w:hideMark/>
          </w:tcPr>
          <w:p w14:paraId="73DAFE39" w14:textId="77777777" w:rsidR="005749B8" w:rsidRDefault="005749B8" w:rsidP="006D355E">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3357B39D" w14:textId="77777777" w:rsidR="005749B8" w:rsidRDefault="005749B8" w:rsidP="006D355E">
            <w:pPr>
              <w:jc w:val="center"/>
              <w:rPr>
                <w:sz w:val="20"/>
                <w:szCs w:val="20"/>
              </w:rPr>
            </w:pPr>
            <w:r>
              <w:rPr>
                <w:sz w:val="20"/>
                <w:szCs w:val="20"/>
              </w:rPr>
              <w:t>1,90%</w:t>
            </w:r>
          </w:p>
        </w:tc>
        <w:tc>
          <w:tcPr>
            <w:tcW w:w="1105" w:type="dxa"/>
            <w:tcBorders>
              <w:top w:val="nil"/>
              <w:left w:val="nil"/>
              <w:bottom w:val="single" w:sz="4" w:space="0" w:color="auto"/>
              <w:right w:val="single" w:sz="4" w:space="0" w:color="auto"/>
            </w:tcBorders>
            <w:shd w:val="clear" w:color="auto" w:fill="auto"/>
            <w:vAlign w:val="bottom"/>
            <w:hideMark/>
          </w:tcPr>
          <w:p w14:paraId="46925EE2" w14:textId="77777777" w:rsidR="005749B8" w:rsidRDefault="005749B8" w:rsidP="006D355E">
            <w:pPr>
              <w:jc w:val="center"/>
              <w:rPr>
                <w:sz w:val="20"/>
                <w:szCs w:val="20"/>
              </w:rPr>
            </w:pPr>
            <w:r>
              <w:rPr>
                <w:sz w:val="20"/>
                <w:szCs w:val="20"/>
              </w:rPr>
              <w:t>1 670</w:t>
            </w:r>
          </w:p>
        </w:tc>
        <w:tc>
          <w:tcPr>
            <w:tcW w:w="1195" w:type="dxa"/>
            <w:tcBorders>
              <w:top w:val="nil"/>
              <w:left w:val="nil"/>
              <w:bottom w:val="single" w:sz="4" w:space="0" w:color="auto"/>
              <w:right w:val="single" w:sz="4" w:space="0" w:color="auto"/>
            </w:tcBorders>
            <w:shd w:val="clear" w:color="auto" w:fill="auto"/>
            <w:noWrap/>
            <w:vAlign w:val="bottom"/>
            <w:hideMark/>
          </w:tcPr>
          <w:p w14:paraId="784EDD90" w14:textId="77777777" w:rsidR="005749B8" w:rsidRDefault="005749B8" w:rsidP="006D355E">
            <w:pPr>
              <w:jc w:val="center"/>
              <w:rPr>
                <w:sz w:val="20"/>
                <w:szCs w:val="20"/>
              </w:rPr>
            </w:pPr>
            <w:r>
              <w:rPr>
                <w:sz w:val="20"/>
                <w:szCs w:val="20"/>
              </w:rPr>
              <w:t>4</w:t>
            </w:r>
          </w:p>
        </w:tc>
        <w:tc>
          <w:tcPr>
            <w:tcW w:w="1211" w:type="dxa"/>
            <w:tcBorders>
              <w:top w:val="nil"/>
              <w:left w:val="nil"/>
              <w:bottom w:val="single" w:sz="4" w:space="0" w:color="auto"/>
              <w:right w:val="single" w:sz="4" w:space="0" w:color="auto"/>
            </w:tcBorders>
            <w:shd w:val="clear" w:color="auto" w:fill="auto"/>
            <w:vAlign w:val="bottom"/>
            <w:hideMark/>
          </w:tcPr>
          <w:p w14:paraId="0496D8E0" w14:textId="77777777" w:rsidR="005749B8" w:rsidRDefault="005749B8" w:rsidP="006D355E">
            <w:pPr>
              <w:jc w:val="center"/>
              <w:rPr>
                <w:sz w:val="20"/>
                <w:szCs w:val="20"/>
              </w:rPr>
            </w:pPr>
            <w:r>
              <w:rPr>
                <w:sz w:val="20"/>
                <w:szCs w:val="20"/>
              </w:rPr>
              <w:t>418</w:t>
            </w:r>
          </w:p>
        </w:tc>
      </w:tr>
      <w:tr w:rsidR="005749B8" w14:paraId="2AC8EB40" w14:textId="77777777" w:rsidTr="009D46B2">
        <w:trPr>
          <w:trHeight w:val="255"/>
          <w:jc w:val="center"/>
        </w:trPr>
        <w:tc>
          <w:tcPr>
            <w:tcW w:w="1016" w:type="dxa"/>
            <w:vMerge/>
            <w:tcBorders>
              <w:top w:val="nil"/>
              <w:left w:val="single" w:sz="4" w:space="0" w:color="auto"/>
              <w:bottom w:val="single" w:sz="4" w:space="0" w:color="000000"/>
              <w:right w:val="single" w:sz="4" w:space="0" w:color="auto"/>
            </w:tcBorders>
            <w:vAlign w:val="center"/>
            <w:hideMark/>
          </w:tcPr>
          <w:p w14:paraId="76442829"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2FC5AC80" w14:textId="77777777" w:rsidR="005749B8" w:rsidRDefault="005749B8" w:rsidP="00E30B90">
            <w:pPr>
              <w:jc w:val="right"/>
              <w:rPr>
                <w:sz w:val="20"/>
                <w:szCs w:val="20"/>
              </w:rPr>
            </w:pPr>
            <w:r>
              <w:rPr>
                <w:sz w:val="20"/>
                <w:szCs w:val="20"/>
              </w:rPr>
              <w:t>2013.gads</w:t>
            </w:r>
          </w:p>
        </w:tc>
        <w:tc>
          <w:tcPr>
            <w:tcW w:w="1205" w:type="dxa"/>
            <w:tcBorders>
              <w:top w:val="nil"/>
              <w:left w:val="nil"/>
              <w:bottom w:val="single" w:sz="4" w:space="0" w:color="auto"/>
              <w:right w:val="single" w:sz="4" w:space="0" w:color="auto"/>
            </w:tcBorders>
            <w:shd w:val="clear" w:color="auto" w:fill="auto"/>
            <w:noWrap/>
            <w:vAlign w:val="bottom"/>
            <w:hideMark/>
          </w:tcPr>
          <w:p w14:paraId="4D776ADD" w14:textId="77777777" w:rsidR="005749B8" w:rsidRDefault="005749B8" w:rsidP="006D355E">
            <w:pPr>
              <w:jc w:val="center"/>
              <w:rPr>
                <w:sz w:val="20"/>
                <w:szCs w:val="20"/>
              </w:rPr>
            </w:pPr>
            <w:r>
              <w:rPr>
                <w:sz w:val="20"/>
                <w:szCs w:val="20"/>
              </w:rPr>
              <w:t>5</w:t>
            </w:r>
          </w:p>
        </w:tc>
        <w:tc>
          <w:tcPr>
            <w:tcW w:w="1172" w:type="dxa"/>
            <w:tcBorders>
              <w:top w:val="nil"/>
              <w:left w:val="nil"/>
              <w:bottom w:val="single" w:sz="4" w:space="0" w:color="auto"/>
              <w:right w:val="single" w:sz="4" w:space="0" w:color="auto"/>
            </w:tcBorders>
            <w:shd w:val="clear" w:color="auto" w:fill="auto"/>
            <w:noWrap/>
            <w:vAlign w:val="bottom"/>
            <w:hideMark/>
          </w:tcPr>
          <w:p w14:paraId="794B7B3F" w14:textId="77777777" w:rsidR="005749B8" w:rsidRDefault="005749B8" w:rsidP="006D355E">
            <w:pPr>
              <w:jc w:val="center"/>
              <w:rPr>
                <w:sz w:val="20"/>
                <w:szCs w:val="20"/>
              </w:rPr>
            </w:pPr>
            <w:r>
              <w:rPr>
                <w:sz w:val="20"/>
                <w:szCs w:val="20"/>
              </w:rPr>
              <w:t>4,60%</w:t>
            </w:r>
          </w:p>
        </w:tc>
        <w:tc>
          <w:tcPr>
            <w:tcW w:w="1105" w:type="dxa"/>
            <w:tcBorders>
              <w:top w:val="nil"/>
              <w:left w:val="nil"/>
              <w:bottom w:val="single" w:sz="4" w:space="0" w:color="auto"/>
              <w:right w:val="single" w:sz="4" w:space="0" w:color="auto"/>
            </w:tcBorders>
            <w:shd w:val="clear" w:color="auto" w:fill="auto"/>
            <w:vAlign w:val="bottom"/>
            <w:hideMark/>
          </w:tcPr>
          <w:p w14:paraId="5FC40D5B" w14:textId="77777777" w:rsidR="005749B8" w:rsidRDefault="005749B8" w:rsidP="006D355E">
            <w:pPr>
              <w:jc w:val="center"/>
              <w:rPr>
                <w:sz w:val="20"/>
                <w:szCs w:val="20"/>
              </w:rPr>
            </w:pPr>
            <w:r>
              <w:rPr>
                <w:sz w:val="20"/>
                <w:szCs w:val="20"/>
              </w:rPr>
              <w:t>5 458</w:t>
            </w:r>
          </w:p>
        </w:tc>
        <w:tc>
          <w:tcPr>
            <w:tcW w:w="1195" w:type="dxa"/>
            <w:tcBorders>
              <w:top w:val="nil"/>
              <w:left w:val="nil"/>
              <w:bottom w:val="single" w:sz="4" w:space="0" w:color="auto"/>
              <w:right w:val="single" w:sz="4" w:space="0" w:color="auto"/>
            </w:tcBorders>
            <w:shd w:val="clear" w:color="auto" w:fill="auto"/>
            <w:noWrap/>
            <w:vAlign w:val="bottom"/>
            <w:hideMark/>
          </w:tcPr>
          <w:p w14:paraId="7F41446E" w14:textId="77777777" w:rsidR="005749B8" w:rsidRDefault="005749B8" w:rsidP="006D355E">
            <w:pPr>
              <w:jc w:val="center"/>
              <w:rPr>
                <w:sz w:val="20"/>
                <w:szCs w:val="20"/>
              </w:rPr>
            </w:pPr>
            <w:r>
              <w:rPr>
                <w:sz w:val="20"/>
                <w:szCs w:val="20"/>
              </w:rPr>
              <w:t>10</w:t>
            </w:r>
          </w:p>
        </w:tc>
        <w:tc>
          <w:tcPr>
            <w:tcW w:w="1211" w:type="dxa"/>
            <w:tcBorders>
              <w:top w:val="nil"/>
              <w:left w:val="nil"/>
              <w:bottom w:val="single" w:sz="4" w:space="0" w:color="auto"/>
              <w:right w:val="single" w:sz="4" w:space="0" w:color="auto"/>
            </w:tcBorders>
            <w:shd w:val="clear" w:color="auto" w:fill="auto"/>
            <w:vAlign w:val="bottom"/>
            <w:hideMark/>
          </w:tcPr>
          <w:p w14:paraId="05EB3124" w14:textId="77777777" w:rsidR="005749B8" w:rsidRDefault="005749B8" w:rsidP="006D355E">
            <w:pPr>
              <w:jc w:val="center"/>
              <w:rPr>
                <w:sz w:val="20"/>
                <w:szCs w:val="20"/>
              </w:rPr>
            </w:pPr>
            <w:r>
              <w:rPr>
                <w:sz w:val="20"/>
                <w:szCs w:val="20"/>
              </w:rPr>
              <w:t>546</w:t>
            </w:r>
          </w:p>
        </w:tc>
      </w:tr>
      <w:tr w:rsidR="005749B8" w14:paraId="5C6B8543" w14:textId="77777777" w:rsidTr="009D46B2">
        <w:trPr>
          <w:trHeight w:val="255"/>
          <w:jc w:val="center"/>
        </w:trPr>
        <w:tc>
          <w:tcPr>
            <w:tcW w:w="1016" w:type="dxa"/>
            <w:vMerge/>
            <w:tcBorders>
              <w:top w:val="nil"/>
              <w:left w:val="single" w:sz="4" w:space="0" w:color="auto"/>
              <w:bottom w:val="single" w:sz="4" w:space="0" w:color="000000"/>
              <w:right w:val="single" w:sz="4" w:space="0" w:color="auto"/>
            </w:tcBorders>
            <w:vAlign w:val="center"/>
            <w:hideMark/>
          </w:tcPr>
          <w:p w14:paraId="78F5C06D"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06E40F0F" w14:textId="77777777" w:rsidR="005749B8" w:rsidRDefault="005749B8" w:rsidP="00E30B90">
            <w:pPr>
              <w:jc w:val="right"/>
              <w:rPr>
                <w:sz w:val="20"/>
                <w:szCs w:val="20"/>
              </w:rPr>
            </w:pPr>
            <w:r>
              <w:rPr>
                <w:sz w:val="20"/>
                <w:szCs w:val="20"/>
              </w:rPr>
              <w:t>2014.gads</w:t>
            </w:r>
          </w:p>
        </w:tc>
        <w:tc>
          <w:tcPr>
            <w:tcW w:w="1205" w:type="dxa"/>
            <w:tcBorders>
              <w:top w:val="nil"/>
              <w:left w:val="nil"/>
              <w:bottom w:val="single" w:sz="4" w:space="0" w:color="auto"/>
              <w:right w:val="single" w:sz="4" w:space="0" w:color="auto"/>
            </w:tcBorders>
            <w:shd w:val="clear" w:color="auto" w:fill="auto"/>
            <w:noWrap/>
            <w:vAlign w:val="bottom"/>
            <w:hideMark/>
          </w:tcPr>
          <w:p w14:paraId="762276DB" w14:textId="77777777" w:rsidR="005749B8" w:rsidRDefault="005749B8" w:rsidP="006D355E">
            <w:pPr>
              <w:jc w:val="center"/>
              <w:rPr>
                <w:sz w:val="20"/>
                <w:szCs w:val="20"/>
              </w:rPr>
            </w:pPr>
            <w:r>
              <w:rPr>
                <w:sz w:val="20"/>
                <w:szCs w:val="20"/>
              </w:rPr>
              <w:t>65</w:t>
            </w:r>
          </w:p>
        </w:tc>
        <w:tc>
          <w:tcPr>
            <w:tcW w:w="1172" w:type="dxa"/>
            <w:tcBorders>
              <w:top w:val="nil"/>
              <w:left w:val="nil"/>
              <w:bottom w:val="single" w:sz="4" w:space="0" w:color="auto"/>
              <w:right w:val="single" w:sz="4" w:space="0" w:color="auto"/>
            </w:tcBorders>
            <w:shd w:val="clear" w:color="auto" w:fill="auto"/>
            <w:noWrap/>
            <w:vAlign w:val="bottom"/>
            <w:hideMark/>
          </w:tcPr>
          <w:p w14:paraId="2336A98B" w14:textId="77777777" w:rsidR="005749B8" w:rsidRDefault="005749B8" w:rsidP="006D355E">
            <w:pPr>
              <w:jc w:val="center"/>
              <w:rPr>
                <w:sz w:val="20"/>
                <w:szCs w:val="20"/>
              </w:rPr>
            </w:pPr>
            <w:r>
              <w:rPr>
                <w:sz w:val="20"/>
                <w:szCs w:val="20"/>
              </w:rPr>
              <w:t>60,20%</w:t>
            </w:r>
          </w:p>
        </w:tc>
        <w:tc>
          <w:tcPr>
            <w:tcW w:w="1105" w:type="dxa"/>
            <w:tcBorders>
              <w:top w:val="nil"/>
              <w:left w:val="nil"/>
              <w:bottom w:val="single" w:sz="4" w:space="0" w:color="auto"/>
              <w:right w:val="single" w:sz="4" w:space="0" w:color="auto"/>
            </w:tcBorders>
            <w:shd w:val="clear" w:color="auto" w:fill="auto"/>
            <w:vAlign w:val="bottom"/>
            <w:hideMark/>
          </w:tcPr>
          <w:p w14:paraId="03130840" w14:textId="77777777" w:rsidR="005749B8" w:rsidRDefault="005749B8" w:rsidP="006D355E">
            <w:pPr>
              <w:jc w:val="center"/>
              <w:rPr>
                <w:sz w:val="20"/>
                <w:szCs w:val="20"/>
              </w:rPr>
            </w:pPr>
            <w:r>
              <w:rPr>
                <w:sz w:val="20"/>
                <w:szCs w:val="20"/>
              </w:rPr>
              <w:t>781 887</w:t>
            </w:r>
          </w:p>
        </w:tc>
        <w:tc>
          <w:tcPr>
            <w:tcW w:w="1195" w:type="dxa"/>
            <w:tcBorders>
              <w:top w:val="nil"/>
              <w:left w:val="nil"/>
              <w:bottom w:val="single" w:sz="4" w:space="0" w:color="auto"/>
              <w:right w:val="single" w:sz="4" w:space="0" w:color="auto"/>
            </w:tcBorders>
            <w:shd w:val="clear" w:color="auto" w:fill="auto"/>
            <w:noWrap/>
            <w:vAlign w:val="bottom"/>
            <w:hideMark/>
          </w:tcPr>
          <w:p w14:paraId="0C302F0F" w14:textId="77777777" w:rsidR="005749B8" w:rsidRDefault="005749B8" w:rsidP="006D355E">
            <w:pPr>
              <w:jc w:val="center"/>
              <w:rPr>
                <w:sz w:val="20"/>
                <w:szCs w:val="20"/>
              </w:rPr>
            </w:pPr>
            <w:r>
              <w:rPr>
                <w:sz w:val="20"/>
                <w:szCs w:val="20"/>
              </w:rPr>
              <w:t>945</w:t>
            </w:r>
          </w:p>
        </w:tc>
        <w:tc>
          <w:tcPr>
            <w:tcW w:w="1211" w:type="dxa"/>
            <w:tcBorders>
              <w:top w:val="nil"/>
              <w:left w:val="nil"/>
              <w:bottom w:val="single" w:sz="4" w:space="0" w:color="auto"/>
              <w:right w:val="single" w:sz="4" w:space="0" w:color="auto"/>
            </w:tcBorders>
            <w:shd w:val="clear" w:color="auto" w:fill="auto"/>
            <w:vAlign w:val="bottom"/>
            <w:hideMark/>
          </w:tcPr>
          <w:p w14:paraId="2F8A0195" w14:textId="77777777" w:rsidR="005749B8" w:rsidRDefault="005749B8" w:rsidP="006D355E">
            <w:pPr>
              <w:jc w:val="center"/>
              <w:rPr>
                <w:sz w:val="20"/>
                <w:szCs w:val="20"/>
              </w:rPr>
            </w:pPr>
            <w:r>
              <w:rPr>
                <w:sz w:val="20"/>
                <w:szCs w:val="20"/>
              </w:rPr>
              <w:t>827</w:t>
            </w:r>
          </w:p>
        </w:tc>
      </w:tr>
      <w:tr w:rsidR="005749B8" w14:paraId="7B72EAB9" w14:textId="77777777" w:rsidTr="009D46B2">
        <w:trPr>
          <w:trHeight w:val="255"/>
          <w:jc w:val="center"/>
        </w:trPr>
        <w:tc>
          <w:tcPr>
            <w:tcW w:w="1016" w:type="dxa"/>
            <w:vMerge/>
            <w:tcBorders>
              <w:top w:val="nil"/>
              <w:left w:val="single" w:sz="4" w:space="0" w:color="auto"/>
              <w:bottom w:val="single" w:sz="4" w:space="0" w:color="000000"/>
              <w:right w:val="single" w:sz="4" w:space="0" w:color="auto"/>
            </w:tcBorders>
            <w:vAlign w:val="center"/>
            <w:hideMark/>
          </w:tcPr>
          <w:p w14:paraId="23E44B9F"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0835E0B1" w14:textId="77777777" w:rsidR="005749B8" w:rsidRDefault="005749B8" w:rsidP="00E30B90">
            <w:pPr>
              <w:jc w:val="right"/>
              <w:rPr>
                <w:sz w:val="20"/>
                <w:szCs w:val="20"/>
              </w:rPr>
            </w:pPr>
            <w:r>
              <w:rPr>
                <w:sz w:val="20"/>
                <w:szCs w:val="20"/>
              </w:rPr>
              <w:t>2015.gads</w:t>
            </w:r>
          </w:p>
        </w:tc>
        <w:tc>
          <w:tcPr>
            <w:tcW w:w="1205" w:type="dxa"/>
            <w:tcBorders>
              <w:top w:val="nil"/>
              <w:left w:val="nil"/>
              <w:bottom w:val="single" w:sz="4" w:space="0" w:color="auto"/>
              <w:right w:val="single" w:sz="4" w:space="0" w:color="auto"/>
            </w:tcBorders>
            <w:shd w:val="clear" w:color="auto" w:fill="auto"/>
            <w:noWrap/>
            <w:vAlign w:val="bottom"/>
            <w:hideMark/>
          </w:tcPr>
          <w:p w14:paraId="15F9962F" w14:textId="77777777" w:rsidR="005749B8" w:rsidRDefault="005749B8" w:rsidP="006D355E">
            <w:pPr>
              <w:jc w:val="center"/>
              <w:rPr>
                <w:sz w:val="20"/>
                <w:szCs w:val="20"/>
              </w:rPr>
            </w:pPr>
            <w:r>
              <w:rPr>
                <w:sz w:val="20"/>
                <w:szCs w:val="20"/>
              </w:rPr>
              <w:t>30</w:t>
            </w:r>
          </w:p>
        </w:tc>
        <w:tc>
          <w:tcPr>
            <w:tcW w:w="1172" w:type="dxa"/>
            <w:tcBorders>
              <w:top w:val="nil"/>
              <w:left w:val="nil"/>
              <w:bottom w:val="single" w:sz="4" w:space="0" w:color="auto"/>
              <w:right w:val="single" w:sz="4" w:space="0" w:color="auto"/>
            </w:tcBorders>
            <w:shd w:val="clear" w:color="auto" w:fill="auto"/>
            <w:noWrap/>
            <w:vAlign w:val="bottom"/>
            <w:hideMark/>
          </w:tcPr>
          <w:p w14:paraId="23033F2D" w14:textId="77777777" w:rsidR="005749B8" w:rsidRDefault="005749B8" w:rsidP="006D355E">
            <w:pPr>
              <w:jc w:val="center"/>
              <w:rPr>
                <w:sz w:val="20"/>
                <w:szCs w:val="20"/>
              </w:rPr>
            </w:pPr>
            <w:r>
              <w:rPr>
                <w:sz w:val="20"/>
                <w:szCs w:val="20"/>
              </w:rPr>
              <w:t>27,80%</w:t>
            </w:r>
          </w:p>
        </w:tc>
        <w:tc>
          <w:tcPr>
            <w:tcW w:w="1105" w:type="dxa"/>
            <w:tcBorders>
              <w:top w:val="nil"/>
              <w:left w:val="nil"/>
              <w:bottom w:val="single" w:sz="4" w:space="0" w:color="auto"/>
              <w:right w:val="single" w:sz="4" w:space="0" w:color="auto"/>
            </w:tcBorders>
            <w:shd w:val="clear" w:color="auto" w:fill="auto"/>
            <w:vAlign w:val="bottom"/>
            <w:hideMark/>
          </w:tcPr>
          <w:p w14:paraId="4E9B5A5E" w14:textId="77777777" w:rsidR="005749B8" w:rsidRDefault="005749B8" w:rsidP="006D355E">
            <w:pPr>
              <w:jc w:val="center"/>
              <w:rPr>
                <w:sz w:val="20"/>
                <w:szCs w:val="20"/>
              </w:rPr>
            </w:pPr>
            <w:r>
              <w:rPr>
                <w:sz w:val="20"/>
                <w:szCs w:val="20"/>
              </w:rPr>
              <w:t>342 167</w:t>
            </w:r>
          </w:p>
        </w:tc>
        <w:tc>
          <w:tcPr>
            <w:tcW w:w="1195" w:type="dxa"/>
            <w:tcBorders>
              <w:top w:val="nil"/>
              <w:left w:val="nil"/>
              <w:bottom w:val="single" w:sz="4" w:space="0" w:color="auto"/>
              <w:right w:val="single" w:sz="4" w:space="0" w:color="auto"/>
            </w:tcBorders>
            <w:shd w:val="clear" w:color="auto" w:fill="auto"/>
            <w:noWrap/>
            <w:vAlign w:val="bottom"/>
            <w:hideMark/>
          </w:tcPr>
          <w:p w14:paraId="38E6AAC1" w14:textId="77777777" w:rsidR="005749B8" w:rsidRDefault="005749B8" w:rsidP="006D355E">
            <w:pPr>
              <w:jc w:val="center"/>
              <w:rPr>
                <w:sz w:val="20"/>
                <w:szCs w:val="20"/>
              </w:rPr>
            </w:pPr>
            <w:r>
              <w:rPr>
                <w:sz w:val="20"/>
                <w:szCs w:val="20"/>
              </w:rPr>
              <w:t>379</w:t>
            </w:r>
          </w:p>
        </w:tc>
        <w:tc>
          <w:tcPr>
            <w:tcW w:w="1211" w:type="dxa"/>
            <w:tcBorders>
              <w:top w:val="nil"/>
              <w:left w:val="nil"/>
              <w:bottom w:val="single" w:sz="4" w:space="0" w:color="auto"/>
              <w:right w:val="single" w:sz="4" w:space="0" w:color="auto"/>
            </w:tcBorders>
            <w:shd w:val="clear" w:color="auto" w:fill="auto"/>
            <w:vAlign w:val="bottom"/>
            <w:hideMark/>
          </w:tcPr>
          <w:p w14:paraId="04318974" w14:textId="77777777" w:rsidR="005749B8" w:rsidRDefault="005749B8" w:rsidP="006D355E">
            <w:pPr>
              <w:jc w:val="center"/>
              <w:rPr>
                <w:sz w:val="20"/>
                <w:szCs w:val="20"/>
              </w:rPr>
            </w:pPr>
            <w:r>
              <w:rPr>
                <w:sz w:val="20"/>
                <w:szCs w:val="20"/>
              </w:rPr>
              <w:t>903</w:t>
            </w:r>
          </w:p>
        </w:tc>
      </w:tr>
      <w:tr w:rsidR="005749B8" w14:paraId="00A596C4" w14:textId="77777777" w:rsidTr="009D46B2">
        <w:trPr>
          <w:trHeight w:val="255"/>
          <w:jc w:val="center"/>
        </w:trPr>
        <w:tc>
          <w:tcPr>
            <w:tcW w:w="1016" w:type="dxa"/>
            <w:vMerge/>
            <w:tcBorders>
              <w:top w:val="nil"/>
              <w:left w:val="single" w:sz="4" w:space="0" w:color="auto"/>
              <w:bottom w:val="single" w:sz="4" w:space="0" w:color="000000"/>
              <w:right w:val="single" w:sz="4" w:space="0" w:color="auto"/>
            </w:tcBorders>
            <w:vAlign w:val="center"/>
            <w:hideMark/>
          </w:tcPr>
          <w:p w14:paraId="02A3B545" w14:textId="77777777" w:rsidR="005749B8" w:rsidRDefault="005749B8" w:rsidP="00E30B90">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5D6DC77F" w14:textId="77777777" w:rsidR="005749B8" w:rsidRDefault="005749B8" w:rsidP="00E30B90">
            <w:pPr>
              <w:jc w:val="right"/>
              <w:rPr>
                <w:sz w:val="20"/>
                <w:szCs w:val="20"/>
              </w:rPr>
            </w:pPr>
            <w:r>
              <w:rPr>
                <w:sz w:val="20"/>
                <w:szCs w:val="20"/>
              </w:rPr>
              <w:t>Kopā</w:t>
            </w:r>
          </w:p>
        </w:tc>
        <w:tc>
          <w:tcPr>
            <w:tcW w:w="1205" w:type="dxa"/>
            <w:tcBorders>
              <w:top w:val="nil"/>
              <w:left w:val="nil"/>
              <w:bottom w:val="single" w:sz="4" w:space="0" w:color="auto"/>
              <w:right w:val="single" w:sz="4" w:space="0" w:color="auto"/>
            </w:tcBorders>
            <w:shd w:val="clear" w:color="auto" w:fill="auto"/>
            <w:noWrap/>
            <w:vAlign w:val="bottom"/>
            <w:hideMark/>
          </w:tcPr>
          <w:p w14:paraId="578B2C27" w14:textId="77777777" w:rsidR="005749B8" w:rsidRDefault="005749B8" w:rsidP="006D355E">
            <w:pPr>
              <w:jc w:val="center"/>
              <w:rPr>
                <w:sz w:val="20"/>
                <w:szCs w:val="20"/>
              </w:rPr>
            </w:pPr>
            <w:r>
              <w:rPr>
                <w:sz w:val="20"/>
                <w:szCs w:val="20"/>
              </w:rPr>
              <w:t>108</w:t>
            </w:r>
          </w:p>
        </w:tc>
        <w:tc>
          <w:tcPr>
            <w:tcW w:w="1172" w:type="dxa"/>
            <w:tcBorders>
              <w:top w:val="nil"/>
              <w:left w:val="nil"/>
              <w:bottom w:val="single" w:sz="4" w:space="0" w:color="auto"/>
              <w:right w:val="single" w:sz="4" w:space="0" w:color="auto"/>
            </w:tcBorders>
            <w:shd w:val="clear" w:color="auto" w:fill="auto"/>
            <w:noWrap/>
            <w:vAlign w:val="bottom"/>
            <w:hideMark/>
          </w:tcPr>
          <w:p w14:paraId="1129BCEC" w14:textId="77777777" w:rsidR="005749B8" w:rsidRDefault="005749B8" w:rsidP="006D355E">
            <w:pPr>
              <w:jc w:val="center"/>
              <w:rPr>
                <w:sz w:val="20"/>
                <w:szCs w:val="20"/>
              </w:rPr>
            </w:pPr>
            <w:r>
              <w:rPr>
                <w:sz w:val="20"/>
                <w:szCs w:val="20"/>
              </w:rPr>
              <w:t>100,00%</w:t>
            </w:r>
          </w:p>
        </w:tc>
        <w:tc>
          <w:tcPr>
            <w:tcW w:w="1105" w:type="dxa"/>
            <w:tcBorders>
              <w:top w:val="nil"/>
              <w:left w:val="nil"/>
              <w:bottom w:val="single" w:sz="4" w:space="0" w:color="auto"/>
              <w:right w:val="single" w:sz="4" w:space="0" w:color="auto"/>
            </w:tcBorders>
            <w:shd w:val="clear" w:color="auto" w:fill="auto"/>
            <w:vAlign w:val="bottom"/>
            <w:hideMark/>
          </w:tcPr>
          <w:p w14:paraId="09415AAB" w14:textId="77777777" w:rsidR="005749B8" w:rsidRDefault="005749B8" w:rsidP="006D355E">
            <w:pPr>
              <w:jc w:val="center"/>
              <w:rPr>
                <w:sz w:val="20"/>
                <w:szCs w:val="20"/>
              </w:rPr>
            </w:pPr>
            <w:r>
              <w:rPr>
                <w:sz w:val="20"/>
                <w:szCs w:val="20"/>
              </w:rPr>
              <w:t>1 157 047</w:t>
            </w:r>
          </w:p>
        </w:tc>
        <w:tc>
          <w:tcPr>
            <w:tcW w:w="1195" w:type="dxa"/>
            <w:tcBorders>
              <w:top w:val="nil"/>
              <w:left w:val="nil"/>
              <w:bottom w:val="single" w:sz="4" w:space="0" w:color="auto"/>
              <w:right w:val="single" w:sz="4" w:space="0" w:color="auto"/>
            </w:tcBorders>
            <w:shd w:val="clear" w:color="auto" w:fill="auto"/>
            <w:noWrap/>
            <w:vAlign w:val="bottom"/>
            <w:hideMark/>
          </w:tcPr>
          <w:p w14:paraId="2B3FF6B0" w14:textId="77777777" w:rsidR="005749B8" w:rsidRDefault="005749B8" w:rsidP="006D355E">
            <w:pPr>
              <w:jc w:val="center"/>
              <w:rPr>
                <w:sz w:val="20"/>
                <w:szCs w:val="20"/>
              </w:rPr>
            </w:pPr>
            <w:r>
              <w:rPr>
                <w:sz w:val="20"/>
                <w:szCs w:val="20"/>
              </w:rPr>
              <w:t>1432</w:t>
            </w:r>
          </w:p>
        </w:tc>
        <w:tc>
          <w:tcPr>
            <w:tcW w:w="1211" w:type="dxa"/>
            <w:tcBorders>
              <w:top w:val="nil"/>
              <w:left w:val="nil"/>
              <w:bottom w:val="single" w:sz="4" w:space="0" w:color="auto"/>
              <w:right w:val="single" w:sz="4" w:space="0" w:color="auto"/>
            </w:tcBorders>
            <w:shd w:val="clear" w:color="auto" w:fill="auto"/>
            <w:vAlign w:val="bottom"/>
            <w:hideMark/>
          </w:tcPr>
          <w:p w14:paraId="4FE789FD" w14:textId="77777777" w:rsidR="005749B8" w:rsidRDefault="005749B8" w:rsidP="006D355E">
            <w:pPr>
              <w:jc w:val="center"/>
              <w:rPr>
                <w:sz w:val="20"/>
                <w:szCs w:val="20"/>
              </w:rPr>
            </w:pPr>
            <w:r>
              <w:rPr>
                <w:sz w:val="20"/>
                <w:szCs w:val="20"/>
              </w:rPr>
              <w:t>808</w:t>
            </w:r>
          </w:p>
        </w:tc>
      </w:tr>
    </w:tbl>
    <w:p w14:paraId="6B95873C" w14:textId="77777777" w:rsidR="009D46B2" w:rsidRDefault="009D46B2" w:rsidP="005749B8">
      <w:pPr>
        <w:tabs>
          <w:tab w:val="left" w:pos="720"/>
        </w:tabs>
        <w:ind w:firstLine="720"/>
        <w:jc w:val="both"/>
        <w:rPr>
          <w:sz w:val="20"/>
          <w:szCs w:val="20"/>
        </w:rPr>
      </w:pPr>
    </w:p>
    <w:p w14:paraId="6272052D" w14:textId="77777777" w:rsidR="00B04B47" w:rsidRDefault="00B04B47" w:rsidP="005749B8">
      <w:pPr>
        <w:tabs>
          <w:tab w:val="left" w:pos="720"/>
        </w:tabs>
        <w:ind w:firstLine="720"/>
        <w:jc w:val="both"/>
        <w:rPr>
          <w:sz w:val="20"/>
          <w:szCs w:val="20"/>
        </w:rPr>
      </w:pPr>
    </w:p>
    <w:p w14:paraId="4B3D88CE" w14:textId="77777777" w:rsidR="005749B8" w:rsidRPr="001E23E1" w:rsidRDefault="005749B8" w:rsidP="005749B8">
      <w:pPr>
        <w:tabs>
          <w:tab w:val="left" w:pos="720"/>
        </w:tabs>
        <w:ind w:firstLine="720"/>
        <w:jc w:val="both"/>
        <w:rPr>
          <w:sz w:val="20"/>
          <w:szCs w:val="20"/>
        </w:rPr>
      </w:pPr>
      <w:r w:rsidRPr="001E23E1">
        <w:rPr>
          <w:sz w:val="20"/>
          <w:szCs w:val="20"/>
        </w:rPr>
        <w:t xml:space="preserve">* izmaksātā summa šajā tabulā var atšķirties, salīdzinot ar attiecīgā gada kopējo izmaksāto summu </w:t>
      </w:r>
      <w:r w:rsidR="00BD033F">
        <w:rPr>
          <w:sz w:val="20"/>
          <w:szCs w:val="20"/>
        </w:rPr>
        <w:t>9</w:t>
      </w:r>
      <w:r w:rsidRPr="001E23E1">
        <w:rPr>
          <w:sz w:val="20"/>
          <w:szCs w:val="20"/>
        </w:rPr>
        <w:t>.tabulā, jo</w:t>
      </w:r>
      <w:r>
        <w:rPr>
          <w:sz w:val="20"/>
          <w:szCs w:val="20"/>
        </w:rPr>
        <w:t>,</w:t>
      </w:r>
      <w:r w:rsidRPr="001E23E1">
        <w:rPr>
          <w:sz w:val="20"/>
          <w:szCs w:val="20"/>
        </w:rPr>
        <w:t xml:space="preserve"> veicot darbinieku un uzņēmumu uzskaiti, tiek skaitīti tikai tie uzņēmumi un darbinieki, par kuriem ir pilnībā veikta visas lēmumā piešķirtās summas apmaksa</w:t>
      </w:r>
      <w:r>
        <w:rPr>
          <w:sz w:val="20"/>
          <w:szCs w:val="20"/>
        </w:rPr>
        <w:t>.S</w:t>
      </w:r>
      <w:r w:rsidRPr="001E23E1">
        <w:rPr>
          <w:sz w:val="20"/>
          <w:szCs w:val="20"/>
        </w:rPr>
        <w:t>avukārt kopējā izmaksātā summa var būt lielāka, jo daļa no lēmumā piešķirtās summas ir faktiski izmaksāta no garantiju fonda līdzekļiem attiecīgajā gadā, bet pilnīga lēmuma apmaksa vēl nav veikta, līdz ar to cilvēku un uzņēmumu skaitā vēl netiek ieskaitīti. Tāpat šajā tabulā izmaksātajā summā nav uzrādīta administratoriem izmaksātās atlīdzības par darbinieku prasījumu iesniegšanu attiecīgajā gadā, bet kopējos darbinieku prasījumu garantiju fonda izdevumos šie maksājumi tiek skaitīti.</w:t>
      </w:r>
    </w:p>
    <w:p w14:paraId="12B63189" w14:textId="77777777" w:rsidR="005749B8" w:rsidRPr="001E23E1" w:rsidRDefault="005749B8" w:rsidP="005749B8">
      <w:pPr>
        <w:tabs>
          <w:tab w:val="left" w:pos="720"/>
        </w:tabs>
        <w:ind w:firstLine="720"/>
        <w:jc w:val="both"/>
      </w:pPr>
    </w:p>
    <w:p w14:paraId="7297216B" w14:textId="77777777" w:rsidR="005749B8" w:rsidRDefault="005749B8" w:rsidP="005749B8">
      <w:pPr>
        <w:tabs>
          <w:tab w:val="left" w:pos="720"/>
        </w:tabs>
        <w:ind w:firstLine="720"/>
        <w:jc w:val="both"/>
      </w:pPr>
      <w:r w:rsidRPr="00F15A7C">
        <w:t xml:space="preserve">No </w:t>
      </w:r>
      <w:r w:rsidR="000A4C08" w:rsidRPr="00F15A7C">
        <w:t>10</w:t>
      </w:r>
      <w:r w:rsidRPr="00F15A7C">
        <w:t xml:space="preserve">.tabulā apkopotās informācijas redzams, ka pamatā kārtējā gadā visvairāk segti ir darbinieku prasījumi procesos, kuri pasludināti iepriekšējā gadā (vidēji 46 procenti). Līdz ar to svarīgi ir noskaidrot maksātnespējīgo uzņēmumu skaitu (proporciju), kuri ir pasludināti par maksātnespējīgiem pret tiem maksātnespējīgajiem uzņēmumiem, kuros ir iesniegti iesniegumi darbinieku prasījumu segšanai un segti no darbinieku prasījumu garantiju fonda (skatīt </w:t>
      </w:r>
      <w:r w:rsidR="000A4C08" w:rsidRPr="00F15A7C">
        <w:t>11</w:t>
      </w:r>
      <w:r w:rsidRPr="00F15A7C">
        <w:t xml:space="preserve">. un </w:t>
      </w:r>
      <w:r w:rsidR="000A4C08" w:rsidRPr="00F15A7C">
        <w:t>12</w:t>
      </w:r>
      <w:r w:rsidRPr="00F15A7C">
        <w:t>.tabulu).</w:t>
      </w:r>
    </w:p>
    <w:p w14:paraId="2AE9FF1B" w14:textId="77777777" w:rsidR="00B04B47" w:rsidRDefault="00B04B47" w:rsidP="005749B8">
      <w:pPr>
        <w:tabs>
          <w:tab w:val="left" w:pos="720"/>
        </w:tabs>
        <w:ind w:firstLine="720"/>
        <w:jc w:val="both"/>
      </w:pPr>
    </w:p>
    <w:p w14:paraId="6DEC84C0" w14:textId="77777777" w:rsidR="005749B8" w:rsidRDefault="000A4C08" w:rsidP="005749B8">
      <w:pPr>
        <w:tabs>
          <w:tab w:val="left" w:pos="720"/>
        </w:tabs>
        <w:jc w:val="right"/>
      </w:pPr>
      <w:r w:rsidRPr="00F15A7C">
        <w:t>11</w:t>
      </w:r>
      <w:r w:rsidR="005749B8" w:rsidRPr="00F15A7C">
        <w:t>.tabula</w:t>
      </w:r>
    </w:p>
    <w:p w14:paraId="25ADA0B4" w14:textId="77777777" w:rsidR="00F15A7C" w:rsidRPr="00F15A7C" w:rsidRDefault="00F15A7C" w:rsidP="005749B8">
      <w:pPr>
        <w:tabs>
          <w:tab w:val="left" w:pos="720"/>
        </w:tabs>
        <w:jc w:val="right"/>
      </w:pPr>
    </w:p>
    <w:p w14:paraId="10FAE30C" w14:textId="77777777" w:rsidR="005749B8" w:rsidRPr="00F15A7C" w:rsidRDefault="005749B8" w:rsidP="00F15A7C">
      <w:pPr>
        <w:tabs>
          <w:tab w:val="left" w:pos="720"/>
        </w:tabs>
        <w:spacing w:after="120"/>
        <w:jc w:val="center"/>
        <w:rPr>
          <w:b/>
        </w:rPr>
      </w:pPr>
      <w:r w:rsidRPr="00F15A7C">
        <w:rPr>
          <w:b/>
        </w:rPr>
        <w:t xml:space="preserve">Maksātnespējīgie uzņēmumi, kuru darbinieku prasījumi ir segti no darbinieku prasījumu garantiju fonda, no kopējā pasludināto juridisko personu maksātnespējas procesu skaita no 2011.gada līdz 2015.gadam </w:t>
      </w:r>
    </w:p>
    <w:tbl>
      <w:tblPr>
        <w:tblW w:w="9493" w:type="dxa"/>
        <w:jc w:val="center"/>
        <w:tblLayout w:type="fixed"/>
        <w:tblLook w:val="04A0" w:firstRow="1" w:lastRow="0" w:firstColumn="1" w:lastColumn="0" w:noHBand="0" w:noVBand="1"/>
      </w:tblPr>
      <w:tblGrid>
        <w:gridCol w:w="562"/>
        <w:gridCol w:w="709"/>
        <w:gridCol w:w="709"/>
        <w:gridCol w:w="567"/>
        <w:gridCol w:w="850"/>
        <w:gridCol w:w="567"/>
        <w:gridCol w:w="851"/>
        <w:gridCol w:w="709"/>
        <w:gridCol w:w="850"/>
        <w:gridCol w:w="709"/>
        <w:gridCol w:w="850"/>
        <w:gridCol w:w="709"/>
        <w:gridCol w:w="851"/>
      </w:tblGrid>
      <w:tr w:rsidR="005749B8" w14:paraId="6ADB6EDA" w14:textId="77777777" w:rsidTr="00F15A7C">
        <w:trPr>
          <w:trHeight w:val="684"/>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50C0B" w14:textId="77777777" w:rsidR="005749B8" w:rsidRPr="002D47E9" w:rsidRDefault="005749B8" w:rsidP="00E30B90">
            <w:pPr>
              <w:jc w:val="center"/>
              <w:rPr>
                <w:b/>
                <w:sz w:val="20"/>
                <w:szCs w:val="20"/>
              </w:rPr>
            </w:pPr>
            <w:r w:rsidRPr="002D47E9">
              <w:rPr>
                <w:b/>
                <w:sz w:val="20"/>
                <w:szCs w:val="20"/>
              </w:rPr>
              <w:t>Pasludināšanas gads</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0BBCD2" w14:textId="77777777" w:rsidR="005749B8" w:rsidRPr="002D47E9" w:rsidRDefault="005749B8" w:rsidP="00E30B90">
            <w:pPr>
              <w:jc w:val="center"/>
              <w:rPr>
                <w:b/>
                <w:sz w:val="20"/>
                <w:szCs w:val="20"/>
              </w:rPr>
            </w:pPr>
            <w:r w:rsidRPr="002D47E9">
              <w:rPr>
                <w:b/>
                <w:sz w:val="20"/>
                <w:szCs w:val="20"/>
              </w:rPr>
              <w:t>2011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5767F5" w14:textId="77777777" w:rsidR="005749B8" w:rsidRPr="002D47E9" w:rsidRDefault="005749B8" w:rsidP="00E30B90">
            <w:pPr>
              <w:jc w:val="center"/>
              <w:rPr>
                <w:b/>
                <w:sz w:val="20"/>
                <w:szCs w:val="20"/>
              </w:rPr>
            </w:pPr>
            <w:r w:rsidRPr="002D47E9">
              <w:rPr>
                <w:b/>
                <w:sz w:val="20"/>
                <w:szCs w:val="20"/>
              </w:rPr>
              <w:t>2012</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3BE729" w14:textId="77777777" w:rsidR="005749B8" w:rsidRPr="002D47E9" w:rsidRDefault="005749B8" w:rsidP="00E30B90">
            <w:pPr>
              <w:jc w:val="center"/>
              <w:rPr>
                <w:b/>
                <w:sz w:val="20"/>
                <w:szCs w:val="20"/>
              </w:rPr>
            </w:pPr>
            <w:r w:rsidRPr="002D47E9">
              <w:rPr>
                <w:b/>
                <w:sz w:val="20"/>
                <w:szCs w:val="20"/>
              </w:rPr>
              <w:t>2013</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2002D6" w14:textId="77777777" w:rsidR="005749B8" w:rsidRPr="002D47E9" w:rsidRDefault="005749B8" w:rsidP="00E30B90">
            <w:pPr>
              <w:jc w:val="center"/>
              <w:rPr>
                <w:b/>
                <w:sz w:val="20"/>
                <w:szCs w:val="20"/>
              </w:rPr>
            </w:pPr>
            <w:r w:rsidRPr="002D47E9">
              <w:rPr>
                <w:b/>
                <w:sz w:val="20"/>
                <w:szCs w:val="20"/>
              </w:rPr>
              <w:t>2014</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1997A5" w14:textId="77777777" w:rsidR="005749B8" w:rsidRPr="002D47E9" w:rsidRDefault="005749B8" w:rsidP="00E30B90">
            <w:pPr>
              <w:jc w:val="center"/>
              <w:rPr>
                <w:b/>
                <w:sz w:val="20"/>
                <w:szCs w:val="20"/>
              </w:rPr>
            </w:pPr>
            <w:r w:rsidRPr="002D47E9">
              <w:rPr>
                <w:b/>
                <w:sz w:val="20"/>
                <w:szCs w:val="20"/>
              </w:rPr>
              <w:t>2015</w:t>
            </w:r>
          </w:p>
        </w:tc>
      </w:tr>
      <w:tr w:rsidR="005749B8" w14:paraId="5B36C302" w14:textId="77777777" w:rsidTr="00F15A7C">
        <w:trPr>
          <w:trHeight w:val="930"/>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F38A032" w14:textId="77777777" w:rsidR="005749B8" w:rsidRDefault="005749B8" w:rsidP="00E30B90">
            <w:pPr>
              <w:jc w:val="center"/>
              <w:rPr>
                <w:sz w:val="20"/>
                <w:szCs w:val="20"/>
              </w:rPr>
            </w:pPr>
            <w:r>
              <w:rPr>
                <w:sz w:val="20"/>
                <w:szCs w:val="20"/>
              </w:rPr>
              <w:t>Pasludinātie juridiskās personas maksātnespējas procesi attiecīgajā gadā</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699DF" w14:textId="77777777" w:rsidR="005749B8" w:rsidRDefault="005749B8" w:rsidP="00E30B90">
            <w:pPr>
              <w:jc w:val="center"/>
              <w:rPr>
                <w:sz w:val="20"/>
                <w:szCs w:val="20"/>
              </w:rPr>
            </w:pPr>
            <w:r>
              <w:rPr>
                <w:sz w:val="20"/>
                <w:szCs w:val="20"/>
              </w:rPr>
              <w:t>879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29D5A8" w14:textId="77777777" w:rsidR="005749B8" w:rsidRDefault="005749B8" w:rsidP="00E30B90">
            <w:pPr>
              <w:jc w:val="center"/>
              <w:rPr>
                <w:sz w:val="20"/>
                <w:szCs w:val="20"/>
              </w:rPr>
            </w:pPr>
            <w:r>
              <w:rPr>
                <w:sz w:val="20"/>
                <w:szCs w:val="20"/>
              </w:rPr>
              <w:t>881</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F6591D" w14:textId="77777777" w:rsidR="005749B8" w:rsidRDefault="005749B8" w:rsidP="00E30B90">
            <w:pPr>
              <w:jc w:val="center"/>
              <w:rPr>
                <w:sz w:val="20"/>
                <w:szCs w:val="20"/>
              </w:rPr>
            </w:pPr>
            <w:r>
              <w:rPr>
                <w:sz w:val="20"/>
                <w:szCs w:val="20"/>
              </w:rPr>
              <w:t>820</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C56129" w14:textId="77777777" w:rsidR="005749B8" w:rsidRDefault="005749B8" w:rsidP="00E30B90">
            <w:pPr>
              <w:jc w:val="center"/>
              <w:rPr>
                <w:sz w:val="20"/>
                <w:szCs w:val="20"/>
              </w:rPr>
            </w:pPr>
            <w:r>
              <w:rPr>
                <w:sz w:val="20"/>
                <w:szCs w:val="20"/>
              </w:rPr>
              <w:t>960</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2D4180" w14:textId="77777777" w:rsidR="005749B8" w:rsidRDefault="005749B8" w:rsidP="00E30B90">
            <w:pPr>
              <w:jc w:val="center"/>
              <w:rPr>
                <w:sz w:val="20"/>
                <w:szCs w:val="20"/>
              </w:rPr>
            </w:pPr>
            <w:r>
              <w:rPr>
                <w:sz w:val="20"/>
                <w:szCs w:val="20"/>
              </w:rPr>
              <w:t>802</w:t>
            </w:r>
          </w:p>
        </w:tc>
      </w:tr>
      <w:tr w:rsidR="005749B8" w14:paraId="25145EF4" w14:textId="77777777" w:rsidTr="00F15A7C">
        <w:trPr>
          <w:trHeight w:val="587"/>
          <w:jc w:val="center"/>
        </w:trPr>
        <w:tc>
          <w:tcPr>
            <w:tcW w:w="562"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5EE41910" w14:textId="77777777" w:rsidR="005749B8" w:rsidRDefault="005749B8" w:rsidP="00E30B90">
            <w:pPr>
              <w:jc w:val="center"/>
              <w:rPr>
                <w:sz w:val="20"/>
                <w:szCs w:val="20"/>
              </w:rPr>
            </w:pPr>
            <w:r>
              <w:rPr>
                <w:sz w:val="20"/>
                <w:szCs w:val="20"/>
              </w:rPr>
              <w:t>Segtie maksātnespējas procesi pa gadiem</w:t>
            </w:r>
          </w:p>
        </w:tc>
        <w:tc>
          <w:tcPr>
            <w:tcW w:w="709" w:type="dxa"/>
            <w:tcBorders>
              <w:top w:val="nil"/>
              <w:left w:val="nil"/>
              <w:bottom w:val="single" w:sz="4" w:space="0" w:color="auto"/>
              <w:right w:val="single" w:sz="4" w:space="0" w:color="auto"/>
            </w:tcBorders>
            <w:shd w:val="clear" w:color="auto" w:fill="auto"/>
            <w:vAlign w:val="bottom"/>
            <w:hideMark/>
          </w:tcPr>
          <w:p w14:paraId="6FA265E2" w14:textId="77777777" w:rsidR="005749B8" w:rsidRDefault="005749B8" w:rsidP="00F15A7C">
            <w:pPr>
              <w:jc w:val="center"/>
              <w:rPr>
                <w:sz w:val="20"/>
                <w:szCs w:val="20"/>
              </w:rPr>
            </w:pPr>
            <w:r>
              <w:rPr>
                <w:sz w:val="20"/>
                <w:szCs w:val="20"/>
              </w:rPr>
              <w:t>2011</w:t>
            </w:r>
          </w:p>
        </w:tc>
        <w:tc>
          <w:tcPr>
            <w:tcW w:w="709" w:type="dxa"/>
            <w:tcBorders>
              <w:top w:val="nil"/>
              <w:left w:val="nil"/>
              <w:bottom w:val="single" w:sz="4" w:space="0" w:color="auto"/>
              <w:right w:val="single" w:sz="4" w:space="0" w:color="auto"/>
            </w:tcBorders>
            <w:shd w:val="clear" w:color="auto" w:fill="auto"/>
            <w:vAlign w:val="bottom"/>
            <w:hideMark/>
          </w:tcPr>
          <w:p w14:paraId="442B7E98" w14:textId="77777777" w:rsidR="005749B8" w:rsidRDefault="005749B8" w:rsidP="00F15A7C">
            <w:pPr>
              <w:jc w:val="center"/>
              <w:rPr>
                <w:sz w:val="20"/>
                <w:szCs w:val="20"/>
              </w:rPr>
            </w:pPr>
            <w:r>
              <w:rPr>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14:paraId="53A471D9" w14:textId="77777777" w:rsidR="005749B8" w:rsidRDefault="005749B8" w:rsidP="00F15A7C">
            <w:pPr>
              <w:jc w:val="center"/>
              <w:rPr>
                <w:sz w:val="20"/>
                <w:szCs w:val="20"/>
              </w:rPr>
            </w:pPr>
            <w:r>
              <w:rPr>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14:paraId="66B0697F" w14:textId="77777777" w:rsidR="005749B8" w:rsidRDefault="005749B8" w:rsidP="00F15A7C">
            <w:pPr>
              <w:jc w:val="center"/>
              <w:rPr>
                <w:sz w:val="20"/>
                <w:szCs w:val="20"/>
              </w:rPr>
            </w:pPr>
            <w:r>
              <w:rPr>
                <w:sz w:val="20"/>
                <w:szCs w:val="20"/>
              </w:rPr>
              <w:t>2,2%</w:t>
            </w: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CC1AE9" w14:textId="77777777" w:rsidR="005749B8" w:rsidRDefault="005749B8" w:rsidP="00F15A7C">
            <w:pPr>
              <w:jc w:val="center"/>
              <w:rPr>
                <w:sz w:val="20"/>
                <w:szCs w:val="20"/>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311417" w14:textId="77777777" w:rsidR="005749B8" w:rsidRDefault="005749B8" w:rsidP="00F15A7C">
            <w:pPr>
              <w:jc w:val="center"/>
              <w:rPr>
                <w:sz w:val="20"/>
                <w:szCs w:val="20"/>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DCA015" w14:textId="77777777" w:rsidR="005749B8" w:rsidRDefault="005749B8" w:rsidP="00F15A7C">
            <w:pPr>
              <w:jc w:val="center"/>
              <w:rPr>
                <w:sz w:val="20"/>
                <w:szCs w:val="20"/>
              </w:rPr>
            </w:pP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F6046C" w14:textId="77777777" w:rsidR="005749B8" w:rsidRDefault="005749B8" w:rsidP="00F15A7C">
            <w:pPr>
              <w:jc w:val="center"/>
              <w:rPr>
                <w:sz w:val="20"/>
                <w:szCs w:val="20"/>
              </w:rPr>
            </w:pPr>
          </w:p>
        </w:tc>
      </w:tr>
      <w:tr w:rsidR="005749B8" w14:paraId="3C765872" w14:textId="77777777" w:rsidTr="00F15A7C">
        <w:trPr>
          <w:trHeight w:val="553"/>
          <w:jc w:val="center"/>
        </w:trPr>
        <w:tc>
          <w:tcPr>
            <w:tcW w:w="562" w:type="dxa"/>
            <w:vMerge/>
            <w:tcBorders>
              <w:top w:val="nil"/>
              <w:left w:val="single" w:sz="4" w:space="0" w:color="auto"/>
              <w:bottom w:val="single" w:sz="4" w:space="0" w:color="000000"/>
              <w:right w:val="single" w:sz="4" w:space="0" w:color="auto"/>
            </w:tcBorders>
            <w:vAlign w:val="center"/>
            <w:hideMark/>
          </w:tcPr>
          <w:p w14:paraId="198B8791" w14:textId="77777777" w:rsidR="005749B8" w:rsidRDefault="005749B8" w:rsidP="00E30B90">
            <w:pP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8DC7FBF" w14:textId="77777777" w:rsidR="005749B8" w:rsidRDefault="005749B8" w:rsidP="00F15A7C">
            <w:pPr>
              <w:jc w:val="center"/>
              <w:rPr>
                <w:sz w:val="20"/>
                <w:szCs w:val="20"/>
              </w:rPr>
            </w:pPr>
            <w:r>
              <w:rPr>
                <w:sz w:val="20"/>
                <w:szCs w:val="20"/>
              </w:rPr>
              <w:t>2012</w:t>
            </w:r>
          </w:p>
        </w:tc>
        <w:tc>
          <w:tcPr>
            <w:tcW w:w="709" w:type="dxa"/>
            <w:tcBorders>
              <w:top w:val="nil"/>
              <w:left w:val="nil"/>
              <w:bottom w:val="single" w:sz="4" w:space="0" w:color="auto"/>
              <w:right w:val="single" w:sz="4" w:space="0" w:color="auto"/>
            </w:tcBorders>
            <w:shd w:val="clear" w:color="auto" w:fill="auto"/>
            <w:noWrap/>
            <w:vAlign w:val="bottom"/>
            <w:hideMark/>
          </w:tcPr>
          <w:p w14:paraId="5E1D9375" w14:textId="77777777" w:rsidR="005749B8" w:rsidRDefault="005749B8" w:rsidP="00F15A7C">
            <w:pPr>
              <w:jc w:val="center"/>
              <w:rPr>
                <w:sz w:val="20"/>
                <w:szCs w:val="20"/>
              </w:rPr>
            </w:pPr>
            <w:r>
              <w:rPr>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14:paraId="2FAEDDE0" w14:textId="77777777" w:rsidR="005749B8" w:rsidRDefault="005749B8" w:rsidP="00F15A7C">
            <w:pPr>
              <w:jc w:val="center"/>
              <w:rPr>
                <w:sz w:val="20"/>
                <w:szCs w:val="20"/>
              </w:rPr>
            </w:pPr>
            <w:r>
              <w:rPr>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14:paraId="6282A334" w14:textId="77777777" w:rsidR="005749B8" w:rsidRDefault="005749B8" w:rsidP="00F15A7C">
            <w:pPr>
              <w:jc w:val="center"/>
              <w:rPr>
                <w:sz w:val="20"/>
                <w:szCs w:val="20"/>
              </w:rPr>
            </w:pPr>
            <w:r>
              <w:rPr>
                <w:sz w:val="20"/>
                <w:szCs w:val="20"/>
              </w:rPr>
              <w:t>6,3%</w:t>
            </w:r>
          </w:p>
        </w:tc>
        <w:tc>
          <w:tcPr>
            <w:tcW w:w="567" w:type="dxa"/>
            <w:tcBorders>
              <w:top w:val="nil"/>
              <w:left w:val="nil"/>
              <w:bottom w:val="single" w:sz="4" w:space="0" w:color="auto"/>
              <w:right w:val="single" w:sz="4" w:space="0" w:color="auto"/>
            </w:tcBorders>
            <w:shd w:val="clear" w:color="auto" w:fill="auto"/>
            <w:noWrap/>
            <w:vAlign w:val="bottom"/>
            <w:hideMark/>
          </w:tcPr>
          <w:p w14:paraId="48BBF102" w14:textId="77777777" w:rsidR="005749B8" w:rsidRDefault="005749B8" w:rsidP="00F15A7C">
            <w:pPr>
              <w:jc w:val="center"/>
              <w:rPr>
                <w:sz w:val="20"/>
                <w:szCs w:val="20"/>
              </w:rPr>
            </w:pPr>
            <w:r>
              <w:rPr>
                <w:sz w:val="20"/>
                <w:szCs w:val="20"/>
              </w:rPr>
              <w:t>27</w:t>
            </w:r>
          </w:p>
        </w:tc>
        <w:tc>
          <w:tcPr>
            <w:tcW w:w="851" w:type="dxa"/>
            <w:tcBorders>
              <w:top w:val="nil"/>
              <w:left w:val="nil"/>
              <w:bottom w:val="single" w:sz="4" w:space="0" w:color="auto"/>
              <w:right w:val="single" w:sz="4" w:space="0" w:color="auto"/>
            </w:tcBorders>
            <w:shd w:val="clear" w:color="auto" w:fill="auto"/>
            <w:noWrap/>
            <w:vAlign w:val="bottom"/>
            <w:hideMark/>
          </w:tcPr>
          <w:p w14:paraId="6D19C1E0" w14:textId="77777777" w:rsidR="005749B8" w:rsidRDefault="005749B8" w:rsidP="00F15A7C">
            <w:pPr>
              <w:jc w:val="center"/>
              <w:rPr>
                <w:sz w:val="20"/>
                <w:szCs w:val="20"/>
              </w:rPr>
            </w:pPr>
            <w:r>
              <w:rPr>
                <w:sz w:val="20"/>
                <w:szCs w:val="20"/>
              </w:rPr>
              <w:t>3,1%</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2F9AA6" w14:textId="77777777" w:rsidR="005749B8" w:rsidRDefault="005749B8" w:rsidP="00F15A7C">
            <w:pPr>
              <w:jc w:val="center"/>
              <w:rPr>
                <w:sz w:val="20"/>
                <w:szCs w:val="20"/>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4C97EB" w14:textId="77777777" w:rsidR="005749B8" w:rsidRDefault="005749B8" w:rsidP="00F15A7C">
            <w:pPr>
              <w:jc w:val="center"/>
              <w:rPr>
                <w:sz w:val="20"/>
                <w:szCs w:val="20"/>
              </w:rPr>
            </w:pP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6CBC08" w14:textId="77777777" w:rsidR="005749B8" w:rsidRDefault="005749B8" w:rsidP="00F15A7C">
            <w:pPr>
              <w:jc w:val="center"/>
              <w:rPr>
                <w:sz w:val="20"/>
                <w:szCs w:val="20"/>
              </w:rPr>
            </w:pPr>
          </w:p>
        </w:tc>
      </w:tr>
      <w:tr w:rsidR="005749B8" w14:paraId="50F5DE7C" w14:textId="77777777" w:rsidTr="00F15A7C">
        <w:trPr>
          <w:trHeight w:val="547"/>
          <w:jc w:val="center"/>
        </w:trPr>
        <w:tc>
          <w:tcPr>
            <w:tcW w:w="562" w:type="dxa"/>
            <w:vMerge/>
            <w:tcBorders>
              <w:top w:val="nil"/>
              <w:left w:val="single" w:sz="4" w:space="0" w:color="auto"/>
              <w:bottom w:val="single" w:sz="4" w:space="0" w:color="000000"/>
              <w:right w:val="single" w:sz="4" w:space="0" w:color="auto"/>
            </w:tcBorders>
            <w:vAlign w:val="center"/>
            <w:hideMark/>
          </w:tcPr>
          <w:p w14:paraId="232BE994" w14:textId="77777777" w:rsidR="005749B8" w:rsidRDefault="005749B8" w:rsidP="00E30B90">
            <w:pP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6AC9646" w14:textId="77777777" w:rsidR="005749B8" w:rsidRDefault="005749B8" w:rsidP="00F15A7C">
            <w:pPr>
              <w:jc w:val="center"/>
              <w:rPr>
                <w:sz w:val="20"/>
                <w:szCs w:val="20"/>
              </w:rPr>
            </w:pPr>
            <w:r>
              <w:rPr>
                <w:sz w:val="20"/>
                <w:szCs w:val="20"/>
              </w:rPr>
              <w:t>2013</w:t>
            </w:r>
          </w:p>
        </w:tc>
        <w:tc>
          <w:tcPr>
            <w:tcW w:w="709" w:type="dxa"/>
            <w:tcBorders>
              <w:top w:val="nil"/>
              <w:left w:val="nil"/>
              <w:bottom w:val="single" w:sz="4" w:space="0" w:color="auto"/>
              <w:right w:val="single" w:sz="4" w:space="0" w:color="auto"/>
            </w:tcBorders>
            <w:shd w:val="clear" w:color="auto" w:fill="auto"/>
            <w:noWrap/>
            <w:vAlign w:val="bottom"/>
            <w:hideMark/>
          </w:tcPr>
          <w:p w14:paraId="060DEE86" w14:textId="77777777" w:rsidR="005749B8" w:rsidRDefault="005749B8" w:rsidP="00F15A7C">
            <w:pPr>
              <w:jc w:val="center"/>
              <w:rPr>
                <w:sz w:val="20"/>
                <w:szCs w:val="20"/>
              </w:rPr>
            </w:pPr>
            <w:r>
              <w:rPr>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14:paraId="5F843E27" w14:textId="77777777" w:rsidR="005749B8" w:rsidRDefault="005749B8" w:rsidP="00F15A7C">
            <w:pPr>
              <w:jc w:val="center"/>
              <w:rPr>
                <w:sz w:val="20"/>
                <w:szCs w:val="20"/>
              </w:rPr>
            </w:pPr>
            <w:r>
              <w:rPr>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14:paraId="6F515633" w14:textId="77777777" w:rsidR="005749B8" w:rsidRDefault="005749B8" w:rsidP="00F15A7C">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14:paraId="1E64E248" w14:textId="77777777" w:rsidR="005749B8" w:rsidRDefault="005749B8" w:rsidP="00F15A7C">
            <w:pPr>
              <w:jc w:val="center"/>
              <w:rPr>
                <w:sz w:val="20"/>
                <w:szCs w:val="20"/>
              </w:rPr>
            </w:pPr>
            <w:r>
              <w:rPr>
                <w:sz w:val="20"/>
                <w:szCs w:val="20"/>
              </w:rPr>
              <w:t>48</w:t>
            </w:r>
          </w:p>
        </w:tc>
        <w:tc>
          <w:tcPr>
            <w:tcW w:w="851" w:type="dxa"/>
            <w:tcBorders>
              <w:top w:val="nil"/>
              <w:left w:val="nil"/>
              <w:bottom w:val="single" w:sz="4" w:space="0" w:color="auto"/>
              <w:right w:val="single" w:sz="4" w:space="0" w:color="auto"/>
            </w:tcBorders>
            <w:shd w:val="clear" w:color="auto" w:fill="auto"/>
            <w:noWrap/>
            <w:vAlign w:val="bottom"/>
            <w:hideMark/>
          </w:tcPr>
          <w:p w14:paraId="1F49B275" w14:textId="77777777" w:rsidR="005749B8" w:rsidRDefault="005749B8" w:rsidP="00F15A7C">
            <w:pPr>
              <w:jc w:val="center"/>
              <w:rPr>
                <w:sz w:val="20"/>
                <w:szCs w:val="20"/>
              </w:rPr>
            </w:pPr>
            <w:r>
              <w:rPr>
                <w:sz w:val="20"/>
                <w:szCs w:val="20"/>
              </w:rPr>
              <w:t>5,4%</w:t>
            </w:r>
          </w:p>
        </w:tc>
        <w:tc>
          <w:tcPr>
            <w:tcW w:w="709" w:type="dxa"/>
            <w:tcBorders>
              <w:top w:val="nil"/>
              <w:left w:val="nil"/>
              <w:bottom w:val="single" w:sz="4" w:space="0" w:color="auto"/>
              <w:right w:val="single" w:sz="4" w:space="0" w:color="auto"/>
            </w:tcBorders>
            <w:shd w:val="clear" w:color="auto" w:fill="auto"/>
            <w:noWrap/>
            <w:vAlign w:val="bottom"/>
            <w:hideMark/>
          </w:tcPr>
          <w:p w14:paraId="69500539" w14:textId="77777777" w:rsidR="005749B8" w:rsidRDefault="005749B8" w:rsidP="00F15A7C">
            <w:pPr>
              <w:jc w:val="center"/>
              <w:rPr>
                <w:sz w:val="20"/>
                <w:szCs w:val="20"/>
              </w:rPr>
            </w:pPr>
            <w:r>
              <w:rPr>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14:paraId="3DE549ED" w14:textId="77777777" w:rsidR="005749B8" w:rsidRDefault="005749B8" w:rsidP="00F15A7C">
            <w:pPr>
              <w:jc w:val="center"/>
              <w:rPr>
                <w:sz w:val="20"/>
                <w:szCs w:val="20"/>
              </w:rPr>
            </w:pPr>
            <w:r>
              <w:rPr>
                <w:sz w:val="20"/>
                <w:szCs w:val="20"/>
              </w:rPr>
              <w:t>5,4%</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51EA5B" w14:textId="77777777" w:rsidR="005749B8" w:rsidRDefault="005749B8" w:rsidP="00F15A7C">
            <w:pPr>
              <w:jc w:val="center"/>
              <w:rPr>
                <w:sz w:val="20"/>
                <w:szCs w:val="20"/>
              </w:rPr>
            </w:pP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98760F" w14:textId="77777777" w:rsidR="005749B8" w:rsidRDefault="005749B8" w:rsidP="00F15A7C">
            <w:pPr>
              <w:jc w:val="center"/>
              <w:rPr>
                <w:sz w:val="20"/>
                <w:szCs w:val="20"/>
              </w:rPr>
            </w:pPr>
          </w:p>
        </w:tc>
      </w:tr>
      <w:tr w:rsidR="005749B8" w14:paraId="497EBC18" w14:textId="77777777" w:rsidTr="00F15A7C">
        <w:trPr>
          <w:trHeight w:val="555"/>
          <w:jc w:val="center"/>
        </w:trPr>
        <w:tc>
          <w:tcPr>
            <w:tcW w:w="562" w:type="dxa"/>
            <w:vMerge/>
            <w:tcBorders>
              <w:top w:val="nil"/>
              <w:left w:val="single" w:sz="4" w:space="0" w:color="auto"/>
              <w:bottom w:val="single" w:sz="4" w:space="0" w:color="000000"/>
              <w:right w:val="single" w:sz="4" w:space="0" w:color="auto"/>
            </w:tcBorders>
            <w:vAlign w:val="center"/>
            <w:hideMark/>
          </w:tcPr>
          <w:p w14:paraId="03652E5E" w14:textId="77777777" w:rsidR="005749B8" w:rsidRDefault="005749B8" w:rsidP="00E30B90">
            <w:pP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BB079A1" w14:textId="77777777" w:rsidR="005749B8" w:rsidRDefault="005749B8" w:rsidP="00F15A7C">
            <w:pPr>
              <w:jc w:val="center"/>
              <w:rPr>
                <w:sz w:val="20"/>
                <w:szCs w:val="20"/>
              </w:rPr>
            </w:pPr>
            <w:r>
              <w:rPr>
                <w:sz w:val="20"/>
                <w:szCs w:val="20"/>
              </w:rPr>
              <w:t>2014</w:t>
            </w:r>
          </w:p>
        </w:tc>
        <w:tc>
          <w:tcPr>
            <w:tcW w:w="709" w:type="dxa"/>
            <w:tcBorders>
              <w:top w:val="nil"/>
              <w:left w:val="nil"/>
              <w:bottom w:val="single" w:sz="4" w:space="0" w:color="auto"/>
              <w:right w:val="single" w:sz="4" w:space="0" w:color="auto"/>
            </w:tcBorders>
            <w:shd w:val="clear" w:color="auto" w:fill="auto"/>
            <w:noWrap/>
            <w:vAlign w:val="bottom"/>
            <w:hideMark/>
          </w:tcPr>
          <w:p w14:paraId="1C36F925" w14:textId="77777777" w:rsidR="005749B8" w:rsidRDefault="005749B8" w:rsidP="00F15A7C">
            <w:pPr>
              <w:jc w:val="center"/>
              <w:rPr>
                <w:sz w:val="20"/>
                <w:szCs w:val="20"/>
              </w:rPr>
            </w:pPr>
            <w:r>
              <w:rPr>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14:paraId="0400CA40" w14:textId="77777777" w:rsidR="005749B8" w:rsidRDefault="005749B8" w:rsidP="00F15A7C">
            <w:pPr>
              <w:jc w:val="center"/>
              <w:rPr>
                <w:sz w:val="20"/>
                <w:szCs w:val="20"/>
              </w:rPr>
            </w:pPr>
            <w:r>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D5BA981" w14:textId="77777777" w:rsidR="005749B8" w:rsidRDefault="005749B8" w:rsidP="00F15A7C">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14:paraId="308292CE" w14:textId="77777777" w:rsidR="005749B8" w:rsidRDefault="005749B8" w:rsidP="00F15A7C">
            <w:pPr>
              <w:jc w:val="center"/>
              <w:rPr>
                <w:sz w:val="20"/>
                <w:szCs w:val="20"/>
              </w:rPr>
            </w:pPr>
            <w:r>
              <w:rPr>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14:paraId="1C46B39E" w14:textId="77777777" w:rsidR="005749B8" w:rsidRDefault="005749B8" w:rsidP="00F15A7C">
            <w:pPr>
              <w:jc w:val="center"/>
              <w:rPr>
                <w:sz w:val="20"/>
                <w:szCs w:val="20"/>
              </w:rPr>
            </w:pPr>
            <w:r>
              <w:rPr>
                <w:sz w:val="20"/>
                <w:szCs w:val="20"/>
              </w:rPr>
              <w:t>0,5%</w:t>
            </w:r>
          </w:p>
        </w:tc>
        <w:tc>
          <w:tcPr>
            <w:tcW w:w="709" w:type="dxa"/>
            <w:tcBorders>
              <w:top w:val="nil"/>
              <w:left w:val="nil"/>
              <w:bottom w:val="single" w:sz="4" w:space="0" w:color="auto"/>
              <w:right w:val="single" w:sz="4" w:space="0" w:color="auto"/>
            </w:tcBorders>
            <w:shd w:val="clear" w:color="auto" w:fill="auto"/>
            <w:noWrap/>
            <w:vAlign w:val="bottom"/>
            <w:hideMark/>
          </w:tcPr>
          <w:p w14:paraId="5F657283" w14:textId="77777777" w:rsidR="005749B8" w:rsidRDefault="005749B8" w:rsidP="00F15A7C">
            <w:pPr>
              <w:jc w:val="center"/>
              <w:rPr>
                <w:sz w:val="20"/>
                <w:szCs w:val="20"/>
              </w:rPr>
            </w:pPr>
            <w:r>
              <w:rPr>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14:paraId="51E6FBAF" w14:textId="77777777" w:rsidR="005749B8" w:rsidRDefault="005749B8" w:rsidP="00F15A7C">
            <w:pPr>
              <w:jc w:val="center"/>
              <w:rPr>
                <w:sz w:val="20"/>
                <w:szCs w:val="20"/>
              </w:rPr>
            </w:pPr>
            <w:r>
              <w:rPr>
                <w:sz w:val="20"/>
                <w:szCs w:val="20"/>
              </w:rPr>
              <w:t>5,9%</w:t>
            </w:r>
          </w:p>
        </w:tc>
        <w:tc>
          <w:tcPr>
            <w:tcW w:w="709" w:type="dxa"/>
            <w:tcBorders>
              <w:top w:val="nil"/>
              <w:left w:val="nil"/>
              <w:bottom w:val="single" w:sz="4" w:space="0" w:color="auto"/>
              <w:right w:val="single" w:sz="4" w:space="0" w:color="auto"/>
            </w:tcBorders>
            <w:shd w:val="clear" w:color="auto" w:fill="auto"/>
            <w:noWrap/>
            <w:vAlign w:val="bottom"/>
            <w:hideMark/>
          </w:tcPr>
          <w:p w14:paraId="2552383A" w14:textId="77777777" w:rsidR="005749B8" w:rsidRDefault="005749B8" w:rsidP="00F15A7C">
            <w:pPr>
              <w:jc w:val="center"/>
              <w:rPr>
                <w:sz w:val="20"/>
                <w:szCs w:val="20"/>
              </w:rPr>
            </w:pPr>
            <w:r>
              <w:rPr>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14:paraId="5E43BFC4" w14:textId="77777777" w:rsidR="005749B8" w:rsidRDefault="005749B8" w:rsidP="00F15A7C">
            <w:pPr>
              <w:jc w:val="center"/>
              <w:rPr>
                <w:sz w:val="20"/>
                <w:szCs w:val="20"/>
              </w:rPr>
            </w:pPr>
            <w:r>
              <w:rPr>
                <w:sz w:val="20"/>
                <w:szCs w:val="20"/>
              </w:rPr>
              <w:t>5,3%</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20B2F8" w14:textId="77777777" w:rsidR="005749B8" w:rsidRDefault="005749B8" w:rsidP="00F15A7C">
            <w:pPr>
              <w:jc w:val="center"/>
              <w:rPr>
                <w:sz w:val="20"/>
                <w:szCs w:val="20"/>
              </w:rPr>
            </w:pPr>
          </w:p>
        </w:tc>
      </w:tr>
      <w:tr w:rsidR="005749B8" w14:paraId="715301BD" w14:textId="77777777" w:rsidTr="00F15A7C">
        <w:trPr>
          <w:trHeight w:val="577"/>
          <w:jc w:val="center"/>
        </w:trPr>
        <w:tc>
          <w:tcPr>
            <w:tcW w:w="562" w:type="dxa"/>
            <w:vMerge/>
            <w:tcBorders>
              <w:top w:val="nil"/>
              <w:left w:val="single" w:sz="4" w:space="0" w:color="auto"/>
              <w:bottom w:val="single" w:sz="4" w:space="0" w:color="000000"/>
              <w:right w:val="single" w:sz="4" w:space="0" w:color="auto"/>
            </w:tcBorders>
            <w:vAlign w:val="center"/>
            <w:hideMark/>
          </w:tcPr>
          <w:p w14:paraId="1E02C30E" w14:textId="77777777" w:rsidR="005749B8" w:rsidRDefault="005749B8" w:rsidP="00E30B90">
            <w:pP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B01BDDC" w14:textId="77777777" w:rsidR="005749B8" w:rsidRDefault="005749B8" w:rsidP="00F15A7C">
            <w:pPr>
              <w:jc w:val="center"/>
              <w:rPr>
                <w:sz w:val="20"/>
                <w:szCs w:val="20"/>
              </w:rPr>
            </w:pPr>
            <w:r>
              <w:rPr>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14:paraId="3CDD8F97" w14:textId="77777777" w:rsidR="005749B8" w:rsidRDefault="005749B8" w:rsidP="00F15A7C">
            <w:pPr>
              <w:jc w:val="center"/>
              <w:rPr>
                <w:sz w:val="20"/>
                <w:szCs w:val="20"/>
              </w:rPr>
            </w:pPr>
            <w:r>
              <w:rPr>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14:paraId="1ADA78A3" w14:textId="77777777" w:rsidR="005749B8" w:rsidRDefault="005749B8" w:rsidP="00F15A7C">
            <w:pPr>
              <w:jc w:val="center"/>
              <w:rPr>
                <w:sz w:val="20"/>
                <w:szCs w:val="20"/>
              </w:rPr>
            </w:pPr>
            <w:r>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A52C474" w14:textId="77777777" w:rsidR="005749B8" w:rsidRDefault="005749B8" w:rsidP="00F15A7C">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14:paraId="64477BAB" w14:textId="77777777" w:rsidR="005749B8" w:rsidRDefault="005749B8" w:rsidP="00F15A7C">
            <w:pPr>
              <w:jc w:val="center"/>
              <w:rPr>
                <w:sz w:val="20"/>
                <w:szCs w:val="20"/>
              </w:rPr>
            </w:pPr>
            <w:r>
              <w:rPr>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14:paraId="25602DAF" w14:textId="77777777" w:rsidR="005749B8" w:rsidRDefault="005749B8" w:rsidP="00F15A7C">
            <w:pPr>
              <w:jc w:val="center"/>
              <w:rPr>
                <w:sz w:val="20"/>
                <w:szCs w:val="20"/>
              </w:rPr>
            </w:pPr>
            <w:r>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14:paraId="75C54EE3" w14:textId="77777777" w:rsidR="005749B8" w:rsidRDefault="005749B8" w:rsidP="00F15A7C">
            <w:pPr>
              <w:jc w:val="center"/>
              <w:rPr>
                <w:sz w:val="20"/>
                <w:szCs w:val="20"/>
              </w:rPr>
            </w:pPr>
            <w:r>
              <w:rPr>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2D706323" w14:textId="77777777" w:rsidR="005749B8" w:rsidRDefault="005749B8" w:rsidP="00F15A7C">
            <w:pPr>
              <w:jc w:val="center"/>
              <w:rPr>
                <w:sz w:val="20"/>
                <w:szCs w:val="20"/>
              </w:rPr>
            </w:pPr>
            <w:r>
              <w:rPr>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14:paraId="4B97F52E" w14:textId="77777777" w:rsidR="005749B8" w:rsidRDefault="005749B8" w:rsidP="00F15A7C">
            <w:pPr>
              <w:jc w:val="center"/>
              <w:rPr>
                <w:sz w:val="20"/>
                <w:szCs w:val="20"/>
              </w:rPr>
            </w:pPr>
            <w:r>
              <w:rPr>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14:paraId="1FA5B9C8" w14:textId="77777777" w:rsidR="005749B8" w:rsidRDefault="005749B8" w:rsidP="00F15A7C">
            <w:pPr>
              <w:jc w:val="center"/>
              <w:rPr>
                <w:sz w:val="20"/>
                <w:szCs w:val="20"/>
              </w:rPr>
            </w:pPr>
            <w:r>
              <w:rPr>
                <w:sz w:val="20"/>
                <w:szCs w:val="20"/>
              </w:rPr>
              <w:t>6,8%</w:t>
            </w:r>
          </w:p>
        </w:tc>
        <w:tc>
          <w:tcPr>
            <w:tcW w:w="709" w:type="dxa"/>
            <w:tcBorders>
              <w:top w:val="nil"/>
              <w:left w:val="nil"/>
              <w:bottom w:val="single" w:sz="4" w:space="0" w:color="auto"/>
              <w:right w:val="single" w:sz="4" w:space="0" w:color="auto"/>
            </w:tcBorders>
            <w:shd w:val="clear" w:color="auto" w:fill="auto"/>
            <w:noWrap/>
            <w:vAlign w:val="bottom"/>
            <w:hideMark/>
          </w:tcPr>
          <w:p w14:paraId="33D4FFDB" w14:textId="77777777" w:rsidR="005749B8" w:rsidRDefault="005749B8" w:rsidP="00F15A7C">
            <w:pPr>
              <w:jc w:val="center"/>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14:paraId="0D683201" w14:textId="77777777" w:rsidR="005749B8" w:rsidRDefault="005749B8" w:rsidP="00F15A7C">
            <w:pPr>
              <w:jc w:val="center"/>
              <w:rPr>
                <w:sz w:val="20"/>
                <w:szCs w:val="20"/>
              </w:rPr>
            </w:pPr>
            <w:r>
              <w:rPr>
                <w:sz w:val="20"/>
                <w:szCs w:val="20"/>
              </w:rPr>
              <w:t>3,7%</w:t>
            </w:r>
          </w:p>
        </w:tc>
      </w:tr>
      <w:tr w:rsidR="005749B8" w14:paraId="6EF5C8D1" w14:textId="77777777" w:rsidTr="00F15A7C">
        <w:trPr>
          <w:trHeight w:val="557"/>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876A467" w14:textId="77777777" w:rsidR="005749B8" w:rsidRDefault="005749B8" w:rsidP="00F15A7C">
            <w:pPr>
              <w:jc w:val="center"/>
              <w:rPr>
                <w:sz w:val="20"/>
                <w:szCs w:val="20"/>
              </w:rPr>
            </w:pPr>
            <w:r>
              <w:rPr>
                <w:sz w:val="20"/>
                <w:szCs w:val="20"/>
              </w:rPr>
              <w:t>Kopā 2011.-2015.gads</w:t>
            </w:r>
          </w:p>
        </w:tc>
        <w:tc>
          <w:tcPr>
            <w:tcW w:w="709" w:type="dxa"/>
            <w:tcBorders>
              <w:top w:val="nil"/>
              <w:left w:val="nil"/>
              <w:bottom w:val="single" w:sz="4" w:space="0" w:color="auto"/>
              <w:right w:val="single" w:sz="4" w:space="0" w:color="auto"/>
            </w:tcBorders>
            <w:shd w:val="clear" w:color="auto" w:fill="auto"/>
            <w:noWrap/>
            <w:vAlign w:val="bottom"/>
            <w:hideMark/>
          </w:tcPr>
          <w:p w14:paraId="1A8DB6E5" w14:textId="77777777" w:rsidR="005749B8" w:rsidRDefault="005749B8" w:rsidP="00F15A7C">
            <w:pPr>
              <w:jc w:val="center"/>
              <w:rPr>
                <w:sz w:val="20"/>
                <w:szCs w:val="20"/>
              </w:rPr>
            </w:pPr>
            <w:r>
              <w:rPr>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14:paraId="49AE40DD" w14:textId="77777777" w:rsidR="005749B8" w:rsidRDefault="005749B8" w:rsidP="00F15A7C">
            <w:pPr>
              <w:jc w:val="center"/>
              <w:rPr>
                <w:sz w:val="20"/>
                <w:szCs w:val="20"/>
              </w:rPr>
            </w:pPr>
            <w:r>
              <w:rPr>
                <w:sz w:val="20"/>
                <w:szCs w:val="20"/>
              </w:rPr>
              <w:t>83</w:t>
            </w:r>
          </w:p>
        </w:tc>
        <w:tc>
          <w:tcPr>
            <w:tcW w:w="850" w:type="dxa"/>
            <w:tcBorders>
              <w:top w:val="nil"/>
              <w:left w:val="nil"/>
              <w:bottom w:val="single" w:sz="4" w:space="0" w:color="auto"/>
              <w:right w:val="single" w:sz="4" w:space="0" w:color="auto"/>
            </w:tcBorders>
            <w:shd w:val="clear" w:color="auto" w:fill="auto"/>
            <w:noWrap/>
            <w:vAlign w:val="bottom"/>
            <w:hideMark/>
          </w:tcPr>
          <w:p w14:paraId="3CFB37AD" w14:textId="77777777" w:rsidR="005749B8" w:rsidRDefault="005749B8" w:rsidP="00F15A7C">
            <w:pPr>
              <w:jc w:val="center"/>
              <w:rPr>
                <w:sz w:val="20"/>
                <w:szCs w:val="20"/>
              </w:rPr>
            </w:pPr>
            <w:r>
              <w:rPr>
                <w:sz w:val="20"/>
                <w:szCs w:val="20"/>
              </w:rPr>
              <w:t>9,4%</w:t>
            </w:r>
          </w:p>
        </w:tc>
        <w:tc>
          <w:tcPr>
            <w:tcW w:w="567" w:type="dxa"/>
            <w:tcBorders>
              <w:top w:val="nil"/>
              <w:left w:val="nil"/>
              <w:bottom w:val="single" w:sz="4" w:space="0" w:color="auto"/>
              <w:right w:val="single" w:sz="4" w:space="0" w:color="auto"/>
            </w:tcBorders>
            <w:shd w:val="clear" w:color="auto" w:fill="auto"/>
            <w:noWrap/>
            <w:vAlign w:val="bottom"/>
            <w:hideMark/>
          </w:tcPr>
          <w:p w14:paraId="0C93B614" w14:textId="77777777" w:rsidR="005749B8" w:rsidRDefault="005749B8" w:rsidP="00F15A7C">
            <w:pPr>
              <w:jc w:val="center"/>
              <w:rPr>
                <w:sz w:val="20"/>
                <w:szCs w:val="20"/>
              </w:rPr>
            </w:pPr>
            <w:r>
              <w:rPr>
                <w:sz w:val="20"/>
                <w:szCs w:val="20"/>
              </w:rPr>
              <w:t>81</w:t>
            </w:r>
          </w:p>
        </w:tc>
        <w:tc>
          <w:tcPr>
            <w:tcW w:w="851" w:type="dxa"/>
            <w:tcBorders>
              <w:top w:val="nil"/>
              <w:left w:val="nil"/>
              <w:bottom w:val="single" w:sz="4" w:space="0" w:color="auto"/>
              <w:right w:val="single" w:sz="4" w:space="0" w:color="auto"/>
            </w:tcBorders>
            <w:shd w:val="clear" w:color="auto" w:fill="auto"/>
            <w:noWrap/>
            <w:vAlign w:val="bottom"/>
            <w:hideMark/>
          </w:tcPr>
          <w:p w14:paraId="19BCC2A8" w14:textId="77777777" w:rsidR="005749B8" w:rsidRDefault="005749B8" w:rsidP="00F15A7C">
            <w:pPr>
              <w:jc w:val="center"/>
              <w:rPr>
                <w:sz w:val="20"/>
                <w:szCs w:val="20"/>
              </w:rPr>
            </w:pPr>
            <w:r>
              <w:rPr>
                <w:sz w:val="20"/>
                <w:szCs w:val="20"/>
              </w:rPr>
              <w:t>9,2%</w:t>
            </w:r>
          </w:p>
        </w:tc>
        <w:tc>
          <w:tcPr>
            <w:tcW w:w="709" w:type="dxa"/>
            <w:tcBorders>
              <w:top w:val="nil"/>
              <w:left w:val="nil"/>
              <w:bottom w:val="single" w:sz="4" w:space="0" w:color="auto"/>
              <w:right w:val="single" w:sz="4" w:space="0" w:color="auto"/>
            </w:tcBorders>
            <w:shd w:val="clear" w:color="auto" w:fill="auto"/>
            <w:noWrap/>
            <w:vAlign w:val="bottom"/>
            <w:hideMark/>
          </w:tcPr>
          <w:p w14:paraId="79847301" w14:textId="77777777" w:rsidR="005749B8" w:rsidRDefault="005749B8" w:rsidP="00F15A7C">
            <w:pPr>
              <w:jc w:val="center"/>
              <w:rPr>
                <w:sz w:val="20"/>
                <w:szCs w:val="20"/>
              </w:rPr>
            </w:pPr>
            <w:r>
              <w:rPr>
                <w:sz w:val="20"/>
                <w:szCs w:val="20"/>
              </w:rPr>
              <w:t>97</w:t>
            </w:r>
          </w:p>
        </w:tc>
        <w:tc>
          <w:tcPr>
            <w:tcW w:w="850" w:type="dxa"/>
            <w:tcBorders>
              <w:top w:val="nil"/>
              <w:left w:val="nil"/>
              <w:bottom w:val="single" w:sz="4" w:space="0" w:color="auto"/>
              <w:right w:val="single" w:sz="4" w:space="0" w:color="auto"/>
            </w:tcBorders>
            <w:shd w:val="clear" w:color="auto" w:fill="auto"/>
            <w:noWrap/>
            <w:vAlign w:val="bottom"/>
            <w:hideMark/>
          </w:tcPr>
          <w:p w14:paraId="693CF49B" w14:textId="77777777" w:rsidR="005749B8" w:rsidRDefault="005749B8" w:rsidP="00F15A7C">
            <w:pPr>
              <w:jc w:val="center"/>
              <w:rPr>
                <w:sz w:val="20"/>
                <w:szCs w:val="20"/>
              </w:rPr>
            </w:pPr>
            <w:r>
              <w:rPr>
                <w:sz w:val="20"/>
                <w:szCs w:val="20"/>
              </w:rPr>
              <w:t>11,8%</w:t>
            </w:r>
          </w:p>
        </w:tc>
        <w:tc>
          <w:tcPr>
            <w:tcW w:w="709" w:type="dxa"/>
            <w:tcBorders>
              <w:top w:val="nil"/>
              <w:left w:val="nil"/>
              <w:bottom w:val="single" w:sz="4" w:space="0" w:color="auto"/>
              <w:right w:val="single" w:sz="4" w:space="0" w:color="auto"/>
            </w:tcBorders>
            <w:shd w:val="clear" w:color="auto" w:fill="auto"/>
            <w:noWrap/>
            <w:vAlign w:val="bottom"/>
            <w:hideMark/>
          </w:tcPr>
          <w:p w14:paraId="6280D944" w14:textId="77777777" w:rsidR="005749B8" w:rsidRDefault="005749B8" w:rsidP="00F15A7C">
            <w:pPr>
              <w:jc w:val="center"/>
              <w:rPr>
                <w:sz w:val="20"/>
                <w:szCs w:val="20"/>
              </w:rPr>
            </w:pPr>
            <w:r>
              <w:rPr>
                <w:sz w:val="20"/>
                <w:szCs w:val="20"/>
              </w:rPr>
              <w:t>116</w:t>
            </w:r>
          </w:p>
        </w:tc>
        <w:tc>
          <w:tcPr>
            <w:tcW w:w="850" w:type="dxa"/>
            <w:tcBorders>
              <w:top w:val="nil"/>
              <w:left w:val="nil"/>
              <w:bottom w:val="single" w:sz="4" w:space="0" w:color="auto"/>
              <w:right w:val="single" w:sz="4" w:space="0" w:color="auto"/>
            </w:tcBorders>
            <w:shd w:val="clear" w:color="auto" w:fill="auto"/>
            <w:noWrap/>
            <w:vAlign w:val="bottom"/>
            <w:hideMark/>
          </w:tcPr>
          <w:p w14:paraId="041BE252" w14:textId="77777777" w:rsidR="005749B8" w:rsidRDefault="005749B8" w:rsidP="00F15A7C">
            <w:pPr>
              <w:jc w:val="center"/>
              <w:rPr>
                <w:sz w:val="20"/>
                <w:szCs w:val="20"/>
              </w:rPr>
            </w:pPr>
            <w:r>
              <w:rPr>
                <w:sz w:val="20"/>
                <w:szCs w:val="20"/>
              </w:rPr>
              <w:t>12,1%</w:t>
            </w:r>
          </w:p>
        </w:tc>
        <w:tc>
          <w:tcPr>
            <w:tcW w:w="709" w:type="dxa"/>
            <w:tcBorders>
              <w:top w:val="nil"/>
              <w:left w:val="nil"/>
              <w:bottom w:val="single" w:sz="4" w:space="0" w:color="auto"/>
              <w:right w:val="single" w:sz="4" w:space="0" w:color="auto"/>
            </w:tcBorders>
            <w:shd w:val="clear" w:color="auto" w:fill="auto"/>
            <w:noWrap/>
            <w:vAlign w:val="bottom"/>
            <w:hideMark/>
          </w:tcPr>
          <w:p w14:paraId="3CC60462" w14:textId="77777777" w:rsidR="005749B8" w:rsidRDefault="005749B8" w:rsidP="00F15A7C">
            <w:pPr>
              <w:jc w:val="center"/>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14:paraId="13A2FDF8" w14:textId="77777777" w:rsidR="005749B8" w:rsidRDefault="005749B8" w:rsidP="00F15A7C">
            <w:pPr>
              <w:jc w:val="center"/>
              <w:rPr>
                <w:sz w:val="20"/>
                <w:szCs w:val="20"/>
              </w:rPr>
            </w:pPr>
            <w:r>
              <w:rPr>
                <w:sz w:val="20"/>
                <w:szCs w:val="20"/>
              </w:rPr>
              <w:t>3,7%</w:t>
            </w:r>
          </w:p>
        </w:tc>
      </w:tr>
    </w:tbl>
    <w:p w14:paraId="6625DCD4" w14:textId="77777777" w:rsidR="005749B8" w:rsidRPr="001E23E1" w:rsidRDefault="005749B8" w:rsidP="005749B8">
      <w:pPr>
        <w:tabs>
          <w:tab w:val="left" w:pos="720"/>
        </w:tabs>
        <w:ind w:firstLine="720"/>
        <w:jc w:val="both"/>
        <w:rPr>
          <w:b/>
        </w:rPr>
      </w:pPr>
    </w:p>
    <w:p w14:paraId="5595A83A" w14:textId="77777777" w:rsidR="005749B8" w:rsidRDefault="005749B8" w:rsidP="005749B8">
      <w:pPr>
        <w:tabs>
          <w:tab w:val="left" w:pos="720"/>
        </w:tabs>
        <w:ind w:firstLine="720"/>
        <w:jc w:val="both"/>
        <w:rPr>
          <w:b/>
        </w:rPr>
      </w:pPr>
    </w:p>
    <w:p w14:paraId="69639288" w14:textId="77777777" w:rsidR="00B04B47" w:rsidRDefault="00B04B47" w:rsidP="005749B8">
      <w:pPr>
        <w:tabs>
          <w:tab w:val="left" w:pos="720"/>
        </w:tabs>
        <w:jc w:val="right"/>
      </w:pPr>
    </w:p>
    <w:p w14:paraId="2BF966F7" w14:textId="77777777" w:rsidR="006D355E" w:rsidRDefault="006D355E" w:rsidP="005749B8">
      <w:pPr>
        <w:tabs>
          <w:tab w:val="left" w:pos="720"/>
        </w:tabs>
        <w:jc w:val="right"/>
      </w:pPr>
    </w:p>
    <w:p w14:paraId="19EFD95D" w14:textId="77777777" w:rsidR="006D355E" w:rsidRDefault="006D355E" w:rsidP="005749B8">
      <w:pPr>
        <w:tabs>
          <w:tab w:val="left" w:pos="720"/>
        </w:tabs>
        <w:jc w:val="right"/>
      </w:pPr>
    </w:p>
    <w:p w14:paraId="21729124" w14:textId="77777777" w:rsidR="006D355E" w:rsidRDefault="006D355E" w:rsidP="005749B8">
      <w:pPr>
        <w:tabs>
          <w:tab w:val="left" w:pos="720"/>
        </w:tabs>
        <w:jc w:val="right"/>
      </w:pPr>
    </w:p>
    <w:p w14:paraId="4336C913" w14:textId="77777777" w:rsidR="006D355E" w:rsidRDefault="006D355E" w:rsidP="005749B8">
      <w:pPr>
        <w:tabs>
          <w:tab w:val="left" w:pos="720"/>
        </w:tabs>
        <w:jc w:val="right"/>
      </w:pPr>
    </w:p>
    <w:p w14:paraId="27CCC42E" w14:textId="77777777" w:rsidR="006D355E" w:rsidRDefault="006D355E" w:rsidP="005749B8">
      <w:pPr>
        <w:tabs>
          <w:tab w:val="left" w:pos="720"/>
        </w:tabs>
        <w:jc w:val="right"/>
      </w:pPr>
    </w:p>
    <w:p w14:paraId="758EF039" w14:textId="77777777" w:rsidR="006D355E" w:rsidRDefault="006D355E" w:rsidP="005749B8">
      <w:pPr>
        <w:tabs>
          <w:tab w:val="left" w:pos="720"/>
        </w:tabs>
        <w:jc w:val="right"/>
      </w:pPr>
    </w:p>
    <w:p w14:paraId="07A2C0E8" w14:textId="77777777" w:rsidR="006D355E" w:rsidRDefault="006D355E" w:rsidP="005749B8">
      <w:pPr>
        <w:tabs>
          <w:tab w:val="left" w:pos="720"/>
        </w:tabs>
        <w:jc w:val="right"/>
      </w:pPr>
    </w:p>
    <w:p w14:paraId="09CF440D" w14:textId="77777777" w:rsidR="006D355E" w:rsidRDefault="006D355E" w:rsidP="005749B8">
      <w:pPr>
        <w:tabs>
          <w:tab w:val="left" w:pos="720"/>
        </w:tabs>
        <w:jc w:val="right"/>
      </w:pPr>
    </w:p>
    <w:p w14:paraId="6F7249F0" w14:textId="77777777" w:rsidR="006D355E" w:rsidRDefault="006D355E" w:rsidP="005749B8">
      <w:pPr>
        <w:tabs>
          <w:tab w:val="left" w:pos="720"/>
        </w:tabs>
        <w:jc w:val="right"/>
      </w:pPr>
    </w:p>
    <w:p w14:paraId="0E8B6444" w14:textId="77777777" w:rsidR="006D355E" w:rsidRDefault="006D355E" w:rsidP="005749B8">
      <w:pPr>
        <w:tabs>
          <w:tab w:val="left" w:pos="720"/>
        </w:tabs>
        <w:jc w:val="right"/>
      </w:pPr>
    </w:p>
    <w:p w14:paraId="149243B9" w14:textId="77777777" w:rsidR="006D355E" w:rsidRDefault="006D355E" w:rsidP="005749B8">
      <w:pPr>
        <w:tabs>
          <w:tab w:val="left" w:pos="720"/>
        </w:tabs>
        <w:jc w:val="right"/>
      </w:pPr>
    </w:p>
    <w:p w14:paraId="4A3CBA77" w14:textId="77777777" w:rsidR="006D355E" w:rsidRDefault="006D355E" w:rsidP="005749B8">
      <w:pPr>
        <w:tabs>
          <w:tab w:val="left" w:pos="720"/>
        </w:tabs>
        <w:jc w:val="right"/>
      </w:pPr>
    </w:p>
    <w:p w14:paraId="16CA5228" w14:textId="77777777" w:rsidR="005749B8" w:rsidRPr="00F15A7C" w:rsidRDefault="000A4C08" w:rsidP="005749B8">
      <w:pPr>
        <w:tabs>
          <w:tab w:val="left" w:pos="720"/>
        </w:tabs>
        <w:jc w:val="right"/>
      </w:pPr>
      <w:r w:rsidRPr="00F15A7C">
        <w:t>12</w:t>
      </w:r>
      <w:r w:rsidR="005749B8" w:rsidRPr="00F15A7C">
        <w:t>.tabula</w:t>
      </w:r>
    </w:p>
    <w:p w14:paraId="6ABE83B9" w14:textId="77777777" w:rsidR="005749B8" w:rsidRPr="00F15A7C" w:rsidRDefault="005749B8" w:rsidP="005749B8">
      <w:pPr>
        <w:tabs>
          <w:tab w:val="left" w:pos="720"/>
        </w:tabs>
        <w:jc w:val="right"/>
        <w:rPr>
          <w:b/>
        </w:rPr>
      </w:pPr>
    </w:p>
    <w:p w14:paraId="29D03D14" w14:textId="77777777" w:rsidR="005749B8" w:rsidRPr="001E23E1" w:rsidRDefault="005749B8" w:rsidP="00F15A7C">
      <w:pPr>
        <w:tabs>
          <w:tab w:val="left" w:pos="720"/>
        </w:tabs>
        <w:spacing w:after="120"/>
        <w:jc w:val="center"/>
        <w:rPr>
          <w:b/>
          <w:sz w:val="28"/>
          <w:szCs w:val="28"/>
        </w:rPr>
      </w:pPr>
      <w:r w:rsidRPr="00F15A7C">
        <w:rPr>
          <w:b/>
        </w:rPr>
        <w:t>Maksātnespējīgie uzņēmumi, kuru darbinieku prasījumi ir segti no darbinieku prasījumu garantiju fonda, no kopējā pasludināto juridisko personu maksātnespējas procesu skaita no 2011.gada līdz 2015.gadam pēc segšanas proporcijas pa gadiem</w:t>
      </w:r>
    </w:p>
    <w:tbl>
      <w:tblPr>
        <w:tblW w:w="8140" w:type="dxa"/>
        <w:jc w:val="center"/>
        <w:tblLook w:val="04A0" w:firstRow="1" w:lastRow="0" w:firstColumn="1" w:lastColumn="0" w:noHBand="0" w:noVBand="1"/>
      </w:tblPr>
      <w:tblGrid>
        <w:gridCol w:w="3340"/>
        <w:gridCol w:w="960"/>
        <w:gridCol w:w="960"/>
        <w:gridCol w:w="960"/>
        <w:gridCol w:w="960"/>
        <w:gridCol w:w="960"/>
      </w:tblGrid>
      <w:tr w:rsidR="005749B8" w:rsidRPr="00F92A82" w14:paraId="708AE6DB" w14:textId="77777777" w:rsidTr="00B04B47">
        <w:trPr>
          <w:trHeight w:val="930"/>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3FF2F" w14:textId="77777777" w:rsidR="005749B8" w:rsidRPr="00F92A82" w:rsidRDefault="005749B8" w:rsidP="00E30B90">
            <w:pPr>
              <w:jc w:val="center"/>
              <w:rPr>
                <w:b/>
              </w:rPr>
            </w:pPr>
            <w:r w:rsidRPr="00F92A82">
              <w:rPr>
                <w:b/>
              </w:rPr>
              <w:t>Gads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E217C86" w14:textId="77777777" w:rsidR="005749B8" w:rsidRPr="00F92A82" w:rsidRDefault="005749B8" w:rsidP="00E30B90">
            <w:pPr>
              <w:jc w:val="center"/>
              <w:rPr>
                <w:b/>
              </w:rPr>
            </w:pPr>
            <w:r w:rsidRPr="00F92A82">
              <w:rPr>
                <w:b/>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B30156" w14:textId="77777777" w:rsidR="005749B8" w:rsidRPr="00F92A82" w:rsidRDefault="005749B8" w:rsidP="00E30B90">
            <w:pPr>
              <w:jc w:val="center"/>
              <w:rPr>
                <w:b/>
              </w:rPr>
            </w:pPr>
            <w:r w:rsidRPr="00F92A82">
              <w:rPr>
                <w:b/>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472637" w14:textId="77777777" w:rsidR="005749B8" w:rsidRPr="00F92A82" w:rsidRDefault="005749B8" w:rsidP="00E30B90">
            <w:pPr>
              <w:jc w:val="center"/>
              <w:rPr>
                <w:b/>
              </w:rPr>
            </w:pPr>
            <w:r w:rsidRPr="00F92A82">
              <w:rPr>
                <w:b/>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921459" w14:textId="77777777" w:rsidR="005749B8" w:rsidRPr="00F92A82" w:rsidRDefault="005749B8" w:rsidP="00E30B90">
            <w:pPr>
              <w:jc w:val="center"/>
              <w:rPr>
                <w:b/>
              </w:rPr>
            </w:pPr>
            <w:r w:rsidRPr="00F92A82">
              <w:rPr>
                <w:b/>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A238AA6" w14:textId="77777777" w:rsidR="005749B8" w:rsidRPr="00F92A82" w:rsidRDefault="005749B8" w:rsidP="00E30B90">
            <w:pPr>
              <w:jc w:val="center"/>
              <w:rPr>
                <w:b/>
              </w:rPr>
            </w:pPr>
            <w:r w:rsidRPr="00F92A82">
              <w:rPr>
                <w:b/>
              </w:rPr>
              <w:t>2015</w:t>
            </w:r>
          </w:p>
        </w:tc>
      </w:tr>
      <w:tr w:rsidR="005749B8" w14:paraId="24EB825B" w14:textId="77777777" w:rsidTr="00B04B47">
        <w:trPr>
          <w:trHeight w:val="102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BC7569F" w14:textId="77777777" w:rsidR="005749B8" w:rsidRDefault="005749B8" w:rsidP="00E30B90">
            <w:r>
              <w:t>Pasludinātie juridiskās personas maksātnespējas procesi attiecīgajā gadā</w:t>
            </w:r>
          </w:p>
        </w:tc>
        <w:tc>
          <w:tcPr>
            <w:tcW w:w="960" w:type="dxa"/>
            <w:tcBorders>
              <w:top w:val="nil"/>
              <w:left w:val="nil"/>
              <w:bottom w:val="single" w:sz="4" w:space="0" w:color="auto"/>
              <w:right w:val="single" w:sz="4" w:space="0" w:color="auto"/>
            </w:tcBorders>
            <w:shd w:val="clear" w:color="auto" w:fill="auto"/>
            <w:noWrap/>
            <w:vAlign w:val="center"/>
            <w:hideMark/>
          </w:tcPr>
          <w:p w14:paraId="4952DD5D" w14:textId="77777777" w:rsidR="005749B8" w:rsidRDefault="005749B8" w:rsidP="00F15A7C">
            <w:pPr>
              <w:jc w:val="center"/>
            </w:pPr>
            <w:r>
              <w:t>879</w:t>
            </w:r>
          </w:p>
        </w:tc>
        <w:tc>
          <w:tcPr>
            <w:tcW w:w="960" w:type="dxa"/>
            <w:tcBorders>
              <w:top w:val="nil"/>
              <w:left w:val="nil"/>
              <w:bottom w:val="single" w:sz="4" w:space="0" w:color="auto"/>
              <w:right w:val="single" w:sz="4" w:space="0" w:color="auto"/>
            </w:tcBorders>
            <w:shd w:val="clear" w:color="auto" w:fill="auto"/>
            <w:noWrap/>
            <w:vAlign w:val="center"/>
            <w:hideMark/>
          </w:tcPr>
          <w:p w14:paraId="0B031D31" w14:textId="77777777" w:rsidR="005749B8" w:rsidRDefault="005749B8" w:rsidP="00F15A7C">
            <w:pPr>
              <w:jc w:val="center"/>
            </w:pPr>
            <w:r>
              <w:t>881</w:t>
            </w:r>
          </w:p>
        </w:tc>
        <w:tc>
          <w:tcPr>
            <w:tcW w:w="960" w:type="dxa"/>
            <w:tcBorders>
              <w:top w:val="nil"/>
              <w:left w:val="nil"/>
              <w:bottom w:val="single" w:sz="4" w:space="0" w:color="auto"/>
              <w:right w:val="single" w:sz="4" w:space="0" w:color="auto"/>
            </w:tcBorders>
            <w:shd w:val="clear" w:color="auto" w:fill="auto"/>
            <w:noWrap/>
            <w:vAlign w:val="center"/>
            <w:hideMark/>
          </w:tcPr>
          <w:p w14:paraId="1183A391" w14:textId="77777777" w:rsidR="005749B8" w:rsidRDefault="005749B8" w:rsidP="00F15A7C">
            <w:pPr>
              <w:jc w:val="center"/>
            </w:pPr>
            <w:r>
              <w:t>820</w:t>
            </w:r>
          </w:p>
        </w:tc>
        <w:tc>
          <w:tcPr>
            <w:tcW w:w="960" w:type="dxa"/>
            <w:tcBorders>
              <w:top w:val="nil"/>
              <w:left w:val="nil"/>
              <w:bottom w:val="single" w:sz="4" w:space="0" w:color="auto"/>
              <w:right w:val="single" w:sz="4" w:space="0" w:color="auto"/>
            </w:tcBorders>
            <w:shd w:val="clear" w:color="auto" w:fill="auto"/>
            <w:noWrap/>
            <w:vAlign w:val="center"/>
            <w:hideMark/>
          </w:tcPr>
          <w:p w14:paraId="02269F16" w14:textId="77777777" w:rsidR="005749B8" w:rsidRDefault="005749B8" w:rsidP="00F15A7C">
            <w:pPr>
              <w:jc w:val="center"/>
            </w:pPr>
            <w:r>
              <w:t>960</w:t>
            </w:r>
          </w:p>
        </w:tc>
        <w:tc>
          <w:tcPr>
            <w:tcW w:w="960" w:type="dxa"/>
            <w:tcBorders>
              <w:top w:val="nil"/>
              <w:left w:val="nil"/>
              <w:bottom w:val="single" w:sz="4" w:space="0" w:color="auto"/>
              <w:right w:val="single" w:sz="4" w:space="0" w:color="auto"/>
            </w:tcBorders>
            <w:shd w:val="clear" w:color="auto" w:fill="auto"/>
            <w:noWrap/>
            <w:vAlign w:val="center"/>
            <w:hideMark/>
          </w:tcPr>
          <w:p w14:paraId="1EB1C551" w14:textId="77777777" w:rsidR="005749B8" w:rsidRDefault="005749B8" w:rsidP="00F15A7C">
            <w:pPr>
              <w:jc w:val="center"/>
            </w:pPr>
            <w:r>
              <w:t>802</w:t>
            </w:r>
          </w:p>
        </w:tc>
      </w:tr>
      <w:tr w:rsidR="005749B8" w14:paraId="19F0B500" w14:textId="77777777" w:rsidTr="00B04B47">
        <w:trPr>
          <w:trHeight w:val="102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9F4A3F0" w14:textId="77777777" w:rsidR="005749B8" w:rsidRDefault="005749B8" w:rsidP="00E30B90">
            <w:r>
              <w:t>No darbinieku prasījumu garantiju fonda segtie maksātnespējas procesi (kopā)</w:t>
            </w:r>
          </w:p>
        </w:tc>
        <w:tc>
          <w:tcPr>
            <w:tcW w:w="960" w:type="dxa"/>
            <w:tcBorders>
              <w:top w:val="nil"/>
              <w:left w:val="nil"/>
              <w:bottom w:val="single" w:sz="4" w:space="0" w:color="auto"/>
              <w:right w:val="single" w:sz="4" w:space="0" w:color="auto"/>
            </w:tcBorders>
            <w:shd w:val="clear" w:color="auto" w:fill="auto"/>
            <w:noWrap/>
            <w:vAlign w:val="center"/>
            <w:hideMark/>
          </w:tcPr>
          <w:p w14:paraId="394227F2" w14:textId="77777777" w:rsidR="005749B8" w:rsidRDefault="005749B8" w:rsidP="00F15A7C">
            <w:pPr>
              <w:jc w:val="center"/>
            </w:pPr>
            <w:r>
              <w:t>83</w:t>
            </w:r>
          </w:p>
        </w:tc>
        <w:tc>
          <w:tcPr>
            <w:tcW w:w="960" w:type="dxa"/>
            <w:tcBorders>
              <w:top w:val="nil"/>
              <w:left w:val="nil"/>
              <w:bottom w:val="single" w:sz="4" w:space="0" w:color="auto"/>
              <w:right w:val="single" w:sz="4" w:space="0" w:color="auto"/>
            </w:tcBorders>
            <w:shd w:val="clear" w:color="auto" w:fill="auto"/>
            <w:noWrap/>
            <w:vAlign w:val="center"/>
            <w:hideMark/>
          </w:tcPr>
          <w:p w14:paraId="3A034F33" w14:textId="77777777" w:rsidR="005749B8" w:rsidRDefault="005749B8" w:rsidP="00F15A7C">
            <w:pPr>
              <w:jc w:val="center"/>
            </w:pPr>
            <w:r>
              <w:t>81</w:t>
            </w:r>
          </w:p>
        </w:tc>
        <w:tc>
          <w:tcPr>
            <w:tcW w:w="960" w:type="dxa"/>
            <w:tcBorders>
              <w:top w:val="nil"/>
              <w:left w:val="nil"/>
              <w:bottom w:val="single" w:sz="4" w:space="0" w:color="auto"/>
              <w:right w:val="single" w:sz="4" w:space="0" w:color="auto"/>
            </w:tcBorders>
            <w:shd w:val="clear" w:color="auto" w:fill="auto"/>
            <w:noWrap/>
            <w:vAlign w:val="center"/>
            <w:hideMark/>
          </w:tcPr>
          <w:p w14:paraId="2C021AAA" w14:textId="77777777" w:rsidR="005749B8" w:rsidRDefault="005749B8" w:rsidP="00F15A7C">
            <w:pPr>
              <w:jc w:val="center"/>
            </w:pPr>
            <w:r>
              <w:t>97</w:t>
            </w:r>
          </w:p>
        </w:tc>
        <w:tc>
          <w:tcPr>
            <w:tcW w:w="960" w:type="dxa"/>
            <w:tcBorders>
              <w:top w:val="nil"/>
              <w:left w:val="nil"/>
              <w:bottom w:val="single" w:sz="4" w:space="0" w:color="auto"/>
              <w:right w:val="single" w:sz="4" w:space="0" w:color="auto"/>
            </w:tcBorders>
            <w:shd w:val="clear" w:color="auto" w:fill="auto"/>
            <w:noWrap/>
            <w:vAlign w:val="center"/>
            <w:hideMark/>
          </w:tcPr>
          <w:p w14:paraId="67C5BC01" w14:textId="77777777" w:rsidR="005749B8" w:rsidRDefault="005749B8" w:rsidP="00F15A7C">
            <w:pPr>
              <w:jc w:val="center"/>
            </w:pPr>
            <w:r>
              <w:t>116</w:t>
            </w:r>
          </w:p>
        </w:tc>
        <w:tc>
          <w:tcPr>
            <w:tcW w:w="960" w:type="dxa"/>
            <w:tcBorders>
              <w:top w:val="nil"/>
              <w:left w:val="nil"/>
              <w:bottom w:val="single" w:sz="4" w:space="0" w:color="auto"/>
              <w:right w:val="single" w:sz="4" w:space="0" w:color="auto"/>
            </w:tcBorders>
            <w:shd w:val="clear" w:color="auto" w:fill="auto"/>
            <w:noWrap/>
            <w:vAlign w:val="center"/>
            <w:hideMark/>
          </w:tcPr>
          <w:p w14:paraId="27CA60CF" w14:textId="77777777" w:rsidR="005749B8" w:rsidRDefault="005749B8" w:rsidP="00F15A7C">
            <w:pPr>
              <w:jc w:val="center"/>
            </w:pPr>
            <w:r>
              <w:t>30</w:t>
            </w:r>
          </w:p>
        </w:tc>
      </w:tr>
      <w:tr w:rsidR="005749B8" w14:paraId="21080BF0" w14:textId="77777777" w:rsidTr="00B04B47">
        <w:trPr>
          <w:trHeight w:val="482"/>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25C85A2" w14:textId="77777777" w:rsidR="005749B8" w:rsidRDefault="005749B8" w:rsidP="00E30B90">
            <w:r>
              <w:t>Procents no pasludinātajiem</w:t>
            </w:r>
          </w:p>
        </w:tc>
        <w:tc>
          <w:tcPr>
            <w:tcW w:w="960" w:type="dxa"/>
            <w:tcBorders>
              <w:top w:val="nil"/>
              <w:left w:val="nil"/>
              <w:bottom w:val="single" w:sz="4" w:space="0" w:color="auto"/>
              <w:right w:val="single" w:sz="4" w:space="0" w:color="auto"/>
            </w:tcBorders>
            <w:shd w:val="clear" w:color="auto" w:fill="auto"/>
            <w:noWrap/>
            <w:vAlign w:val="center"/>
            <w:hideMark/>
          </w:tcPr>
          <w:p w14:paraId="727F8060" w14:textId="77777777" w:rsidR="005749B8" w:rsidRDefault="005749B8" w:rsidP="00F15A7C">
            <w:pPr>
              <w:jc w:val="center"/>
            </w:pPr>
            <w:r>
              <w:t>9,4%</w:t>
            </w:r>
          </w:p>
        </w:tc>
        <w:tc>
          <w:tcPr>
            <w:tcW w:w="960" w:type="dxa"/>
            <w:tcBorders>
              <w:top w:val="nil"/>
              <w:left w:val="nil"/>
              <w:bottom w:val="single" w:sz="4" w:space="0" w:color="auto"/>
              <w:right w:val="single" w:sz="4" w:space="0" w:color="auto"/>
            </w:tcBorders>
            <w:shd w:val="clear" w:color="auto" w:fill="auto"/>
            <w:noWrap/>
            <w:vAlign w:val="center"/>
            <w:hideMark/>
          </w:tcPr>
          <w:p w14:paraId="206CCBA1" w14:textId="77777777" w:rsidR="005749B8" w:rsidRDefault="005749B8" w:rsidP="00F15A7C">
            <w:pPr>
              <w:jc w:val="center"/>
            </w:pPr>
            <w:r>
              <w:t>9,2%</w:t>
            </w:r>
          </w:p>
        </w:tc>
        <w:tc>
          <w:tcPr>
            <w:tcW w:w="960" w:type="dxa"/>
            <w:tcBorders>
              <w:top w:val="nil"/>
              <w:left w:val="nil"/>
              <w:bottom w:val="single" w:sz="4" w:space="0" w:color="auto"/>
              <w:right w:val="single" w:sz="4" w:space="0" w:color="auto"/>
            </w:tcBorders>
            <w:shd w:val="clear" w:color="auto" w:fill="auto"/>
            <w:noWrap/>
            <w:vAlign w:val="center"/>
            <w:hideMark/>
          </w:tcPr>
          <w:p w14:paraId="08CC9092" w14:textId="77777777" w:rsidR="005749B8" w:rsidRDefault="005749B8" w:rsidP="00F15A7C">
            <w:pPr>
              <w:jc w:val="center"/>
            </w:pPr>
            <w:r>
              <w:t>11,8%</w:t>
            </w:r>
          </w:p>
        </w:tc>
        <w:tc>
          <w:tcPr>
            <w:tcW w:w="960" w:type="dxa"/>
            <w:tcBorders>
              <w:top w:val="nil"/>
              <w:left w:val="nil"/>
              <w:bottom w:val="single" w:sz="4" w:space="0" w:color="auto"/>
              <w:right w:val="single" w:sz="4" w:space="0" w:color="auto"/>
            </w:tcBorders>
            <w:shd w:val="clear" w:color="auto" w:fill="auto"/>
            <w:noWrap/>
            <w:vAlign w:val="center"/>
            <w:hideMark/>
          </w:tcPr>
          <w:p w14:paraId="2AD2E38B" w14:textId="77777777" w:rsidR="005749B8" w:rsidRDefault="005749B8" w:rsidP="00F15A7C">
            <w:pPr>
              <w:jc w:val="center"/>
            </w:pPr>
            <w:r>
              <w:t>12,1%</w:t>
            </w:r>
          </w:p>
        </w:tc>
        <w:tc>
          <w:tcPr>
            <w:tcW w:w="960" w:type="dxa"/>
            <w:tcBorders>
              <w:top w:val="nil"/>
              <w:left w:val="nil"/>
              <w:bottom w:val="single" w:sz="4" w:space="0" w:color="auto"/>
              <w:right w:val="single" w:sz="4" w:space="0" w:color="auto"/>
            </w:tcBorders>
            <w:shd w:val="clear" w:color="auto" w:fill="auto"/>
            <w:noWrap/>
            <w:vAlign w:val="center"/>
            <w:hideMark/>
          </w:tcPr>
          <w:p w14:paraId="77700F4E" w14:textId="77777777" w:rsidR="005749B8" w:rsidRDefault="005749B8" w:rsidP="00F15A7C">
            <w:pPr>
              <w:jc w:val="center"/>
            </w:pPr>
            <w:r>
              <w:t>3,7%</w:t>
            </w:r>
          </w:p>
        </w:tc>
      </w:tr>
      <w:tr w:rsidR="005749B8" w14:paraId="1548E6F4" w14:textId="77777777" w:rsidTr="00B04B47">
        <w:trPr>
          <w:trHeight w:val="546"/>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CBEBF8B" w14:textId="77777777" w:rsidR="005749B8" w:rsidRDefault="005749B8" w:rsidP="00E30B90">
            <w:pPr>
              <w:jc w:val="right"/>
            </w:pPr>
            <w:r>
              <w:t>Pirmajā gadā</w:t>
            </w:r>
          </w:p>
        </w:tc>
        <w:tc>
          <w:tcPr>
            <w:tcW w:w="960" w:type="dxa"/>
            <w:tcBorders>
              <w:top w:val="nil"/>
              <w:left w:val="nil"/>
              <w:bottom w:val="single" w:sz="4" w:space="0" w:color="auto"/>
              <w:right w:val="single" w:sz="4" w:space="0" w:color="auto"/>
            </w:tcBorders>
            <w:shd w:val="clear" w:color="auto" w:fill="auto"/>
            <w:noWrap/>
            <w:vAlign w:val="center"/>
            <w:hideMark/>
          </w:tcPr>
          <w:p w14:paraId="4CC70AAB" w14:textId="77777777" w:rsidR="005749B8" w:rsidRDefault="005749B8" w:rsidP="00F15A7C">
            <w:pPr>
              <w:jc w:val="center"/>
            </w:pPr>
            <w:r>
              <w:t>2,2%</w:t>
            </w:r>
          </w:p>
        </w:tc>
        <w:tc>
          <w:tcPr>
            <w:tcW w:w="960" w:type="dxa"/>
            <w:tcBorders>
              <w:top w:val="nil"/>
              <w:left w:val="nil"/>
              <w:bottom w:val="single" w:sz="4" w:space="0" w:color="auto"/>
              <w:right w:val="single" w:sz="4" w:space="0" w:color="auto"/>
            </w:tcBorders>
            <w:shd w:val="clear" w:color="auto" w:fill="auto"/>
            <w:noWrap/>
            <w:vAlign w:val="center"/>
            <w:hideMark/>
          </w:tcPr>
          <w:p w14:paraId="0AF10D6D" w14:textId="77777777" w:rsidR="005749B8" w:rsidRDefault="005749B8" w:rsidP="00F15A7C">
            <w:pPr>
              <w:jc w:val="center"/>
            </w:pPr>
            <w:r>
              <w:t>3,1%</w:t>
            </w:r>
          </w:p>
        </w:tc>
        <w:tc>
          <w:tcPr>
            <w:tcW w:w="960" w:type="dxa"/>
            <w:tcBorders>
              <w:top w:val="nil"/>
              <w:left w:val="nil"/>
              <w:bottom w:val="single" w:sz="4" w:space="0" w:color="auto"/>
              <w:right w:val="single" w:sz="4" w:space="0" w:color="auto"/>
            </w:tcBorders>
            <w:shd w:val="clear" w:color="auto" w:fill="auto"/>
            <w:noWrap/>
            <w:vAlign w:val="center"/>
            <w:hideMark/>
          </w:tcPr>
          <w:p w14:paraId="5C9CD720" w14:textId="77777777" w:rsidR="005749B8" w:rsidRDefault="005749B8" w:rsidP="00F15A7C">
            <w:pPr>
              <w:jc w:val="center"/>
            </w:pPr>
            <w:r>
              <w:t>5,4%</w:t>
            </w:r>
          </w:p>
        </w:tc>
        <w:tc>
          <w:tcPr>
            <w:tcW w:w="960" w:type="dxa"/>
            <w:tcBorders>
              <w:top w:val="nil"/>
              <w:left w:val="nil"/>
              <w:bottom w:val="single" w:sz="4" w:space="0" w:color="auto"/>
              <w:right w:val="single" w:sz="4" w:space="0" w:color="auto"/>
            </w:tcBorders>
            <w:shd w:val="clear" w:color="auto" w:fill="auto"/>
            <w:noWrap/>
            <w:vAlign w:val="center"/>
            <w:hideMark/>
          </w:tcPr>
          <w:p w14:paraId="07F5E03D" w14:textId="77777777" w:rsidR="005749B8" w:rsidRDefault="005749B8" w:rsidP="00F15A7C">
            <w:pPr>
              <w:jc w:val="center"/>
            </w:pPr>
            <w:r>
              <w:t>5,3%</w:t>
            </w:r>
          </w:p>
        </w:tc>
        <w:tc>
          <w:tcPr>
            <w:tcW w:w="960" w:type="dxa"/>
            <w:tcBorders>
              <w:top w:val="nil"/>
              <w:left w:val="nil"/>
              <w:bottom w:val="single" w:sz="4" w:space="0" w:color="auto"/>
              <w:right w:val="single" w:sz="4" w:space="0" w:color="auto"/>
            </w:tcBorders>
            <w:shd w:val="clear" w:color="auto" w:fill="auto"/>
            <w:noWrap/>
            <w:vAlign w:val="center"/>
            <w:hideMark/>
          </w:tcPr>
          <w:p w14:paraId="7EA83011" w14:textId="77777777" w:rsidR="005749B8" w:rsidRDefault="005749B8" w:rsidP="00F15A7C">
            <w:pPr>
              <w:jc w:val="center"/>
            </w:pPr>
            <w:r>
              <w:t>3,7%</w:t>
            </w:r>
          </w:p>
        </w:tc>
      </w:tr>
      <w:tr w:rsidR="005749B8" w14:paraId="7B2CB0C9" w14:textId="77777777" w:rsidTr="00B04B47">
        <w:trPr>
          <w:trHeight w:val="568"/>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8D0CBF9" w14:textId="77777777" w:rsidR="005749B8" w:rsidRDefault="005749B8" w:rsidP="00E30B90">
            <w:pPr>
              <w:jc w:val="right"/>
            </w:pPr>
            <w:r>
              <w:t>Otrajā gadā</w:t>
            </w:r>
          </w:p>
        </w:tc>
        <w:tc>
          <w:tcPr>
            <w:tcW w:w="960" w:type="dxa"/>
            <w:tcBorders>
              <w:top w:val="nil"/>
              <w:left w:val="nil"/>
              <w:bottom w:val="single" w:sz="4" w:space="0" w:color="auto"/>
              <w:right w:val="single" w:sz="4" w:space="0" w:color="auto"/>
            </w:tcBorders>
            <w:shd w:val="clear" w:color="auto" w:fill="auto"/>
            <w:noWrap/>
            <w:vAlign w:val="center"/>
            <w:hideMark/>
          </w:tcPr>
          <w:p w14:paraId="6D2DE52C" w14:textId="77777777" w:rsidR="005749B8" w:rsidRDefault="005749B8" w:rsidP="00F15A7C">
            <w:pPr>
              <w:jc w:val="center"/>
            </w:pPr>
            <w:r>
              <w:t>6,3%</w:t>
            </w:r>
          </w:p>
        </w:tc>
        <w:tc>
          <w:tcPr>
            <w:tcW w:w="960" w:type="dxa"/>
            <w:tcBorders>
              <w:top w:val="nil"/>
              <w:left w:val="nil"/>
              <w:bottom w:val="single" w:sz="4" w:space="0" w:color="auto"/>
              <w:right w:val="single" w:sz="4" w:space="0" w:color="auto"/>
            </w:tcBorders>
            <w:shd w:val="clear" w:color="auto" w:fill="auto"/>
            <w:noWrap/>
            <w:vAlign w:val="center"/>
            <w:hideMark/>
          </w:tcPr>
          <w:p w14:paraId="14BDC166" w14:textId="77777777" w:rsidR="005749B8" w:rsidRDefault="005749B8" w:rsidP="00F15A7C">
            <w:pPr>
              <w:jc w:val="center"/>
            </w:pPr>
            <w:r>
              <w:t>5,4%</w:t>
            </w:r>
          </w:p>
        </w:tc>
        <w:tc>
          <w:tcPr>
            <w:tcW w:w="960" w:type="dxa"/>
            <w:tcBorders>
              <w:top w:val="nil"/>
              <w:left w:val="nil"/>
              <w:bottom w:val="single" w:sz="4" w:space="0" w:color="auto"/>
              <w:right w:val="single" w:sz="4" w:space="0" w:color="auto"/>
            </w:tcBorders>
            <w:shd w:val="clear" w:color="auto" w:fill="auto"/>
            <w:noWrap/>
            <w:vAlign w:val="center"/>
            <w:hideMark/>
          </w:tcPr>
          <w:p w14:paraId="4EB115A2" w14:textId="77777777" w:rsidR="005749B8" w:rsidRDefault="005749B8" w:rsidP="00F15A7C">
            <w:pPr>
              <w:jc w:val="center"/>
            </w:pPr>
            <w:r>
              <w:t>5,9%</w:t>
            </w:r>
          </w:p>
        </w:tc>
        <w:tc>
          <w:tcPr>
            <w:tcW w:w="960" w:type="dxa"/>
            <w:tcBorders>
              <w:top w:val="nil"/>
              <w:left w:val="nil"/>
              <w:bottom w:val="single" w:sz="4" w:space="0" w:color="auto"/>
              <w:right w:val="single" w:sz="4" w:space="0" w:color="auto"/>
            </w:tcBorders>
            <w:shd w:val="clear" w:color="auto" w:fill="auto"/>
            <w:noWrap/>
            <w:vAlign w:val="center"/>
            <w:hideMark/>
          </w:tcPr>
          <w:p w14:paraId="7A97CECD" w14:textId="77777777" w:rsidR="005749B8" w:rsidRDefault="005749B8" w:rsidP="00F15A7C">
            <w:pPr>
              <w:jc w:val="center"/>
            </w:pPr>
            <w:r>
              <w:t>6,8%</w:t>
            </w:r>
          </w:p>
        </w:tc>
        <w:tc>
          <w:tcPr>
            <w:tcW w:w="960" w:type="dxa"/>
            <w:tcBorders>
              <w:top w:val="nil"/>
              <w:left w:val="nil"/>
              <w:bottom w:val="single" w:sz="4" w:space="0" w:color="auto"/>
              <w:right w:val="single" w:sz="4" w:space="0" w:color="auto"/>
            </w:tcBorders>
            <w:shd w:val="clear" w:color="auto" w:fill="auto"/>
            <w:noWrap/>
            <w:vAlign w:val="center"/>
            <w:hideMark/>
          </w:tcPr>
          <w:p w14:paraId="2CE57E58" w14:textId="77777777" w:rsidR="005749B8" w:rsidRDefault="005749B8" w:rsidP="00F15A7C">
            <w:pPr>
              <w:jc w:val="center"/>
            </w:pPr>
          </w:p>
        </w:tc>
      </w:tr>
      <w:tr w:rsidR="005749B8" w14:paraId="7A854B96" w14:textId="77777777" w:rsidTr="00B04B47">
        <w:trPr>
          <w:trHeight w:val="551"/>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C86FF69" w14:textId="77777777" w:rsidR="005749B8" w:rsidRDefault="005749B8" w:rsidP="00E30B90">
            <w:pPr>
              <w:jc w:val="right"/>
            </w:pPr>
            <w:r>
              <w:t>Trešajā gadā</w:t>
            </w:r>
          </w:p>
        </w:tc>
        <w:tc>
          <w:tcPr>
            <w:tcW w:w="960" w:type="dxa"/>
            <w:tcBorders>
              <w:top w:val="nil"/>
              <w:left w:val="nil"/>
              <w:bottom w:val="single" w:sz="4" w:space="0" w:color="auto"/>
              <w:right w:val="single" w:sz="4" w:space="0" w:color="auto"/>
            </w:tcBorders>
            <w:shd w:val="clear" w:color="auto" w:fill="auto"/>
            <w:noWrap/>
            <w:vAlign w:val="center"/>
            <w:hideMark/>
          </w:tcPr>
          <w:p w14:paraId="62014AAA" w14:textId="77777777" w:rsidR="005749B8" w:rsidRDefault="005749B8" w:rsidP="00F15A7C">
            <w:pPr>
              <w:jc w:val="center"/>
            </w:pPr>
            <w:r>
              <w:t>0,8%</w:t>
            </w:r>
          </w:p>
        </w:tc>
        <w:tc>
          <w:tcPr>
            <w:tcW w:w="960" w:type="dxa"/>
            <w:tcBorders>
              <w:top w:val="nil"/>
              <w:left w:val="nil"/>
              <w:bottom w:val="single" w:sz="4" w:space="0" w:color="auto"/>
              <w:right w:val="single" w:sz="4" w:space="0" w:color="auto"/>
            </w:tcBorders>
            <w:shd w:val="clear" w:color="auto" w:fill="auto"/>
            <w:noWrap/>
            <w:vAlign w:val="center"/>
            <w:hideMark/>
          </w:tcPr>
          <w:p w14:paraId="669A4EC5" w14:textId="77777777" w:rsidR="005749B8" w:rsidRDefault="005749B8" w:rsidP="00F15A7C">
            <w:pPr>
              <w:jc w:val="center"/>
            </w:pPr>
            <w:r>
              <w:t>0,5%</w:t>
            </w:r>
          </w:p>
        </w:tc>
        <w:tc>
          <w:tcPr>
            <w:tcW w:w="960" w:type="dxa"/>
            <w:tcBorders>
              <w:top w:val="nil"/>
              <w:left w:val="nil"/>
              <w:bottom w:val="single" w:sz="4" w:space="0" w:color="auto"/>
              <w:right w:val="single" w:sz="4" w:space="0" w:color="auto"/>
            </w:tcBorders>
            <w:shd w:val="clear" w:color="auto" w:fill="auto"/>
            <w:noWrap/>
            <w:vAlign w:val="center"/>
            <w:hideMark/>
          </w:tcPr>
          <w:p w14:paraId="48CCD4CD" w14:textId="77777777" w:rsidR="005749B8" w:rsidRDefault="005749B8" w:rsidP="00F15A7C">
            <w:pPr>
              <w:jc w:val="center"/>
            </w:pPr>
            <w:r>
              <w:t>0,6%</w:t>
            </w:r>
          </w:p>
        </w:tc>
        <w:tc>
          <w:tcPr>
            <w:tcW w:w="960" w:type="dxa"/>
            <w:tcBorders>
              <w:top w:val="nil"/>
              <w:left w:val="nil"/>
              <w:bottom w:val="single" w:sz="4" w:space="0" w:color="auto"/>
              <w:right w:val="single" w:sz="4" w:space="0" w:color="auto"/>
            </w:tcBorders>
            <w:shd w:val="clear" w:color="auto" w:fill="auto"/>
            <w:noWrap/>
            <w:vAlign w:val="center"/>
            <w:hideMark/>
          </w:tcPr>
          <w:p w14:paraId="750C9243" w14:textId="77777777" w:rsidR="005749B8" w:rsidRDefault="005749B8" w:rsidP="00F15A7C">
            <w:pPr>
              <w:jc w:val="center"/>
            </w:pPr>
          </w:p>
        </w:tc>
        <w:tc>
          <w:tcPr>
            <w:tcW w:w="960" w:type="dxa"/>
            <w:tcBorders>
              <w:top w:val="nil"/>
              <w:left w:val="nil"/>
              <w:bottom w:val="single" w:sz="4" w:space="0" w:color="auto"/>
              <w:right w:val="single" w:sz="4" w:space="0" w:color="auto"/>
            </w:tcBorders>
            <w:shd w:val="clear" w:color="auto" w:fill="auto"/>
            <w:noWrap/>
            <w:vAlign w:val="center"/>
            <w:hideMark/>
          </w:tcPr>
          <w:p w14:paraId="7E5413B7" w14:textId="77777777" w:rsidR="005749B8" w:rsidRDefault="005749B8" w:rsidP="00F15A7C">
            <w:pPr>
              <w:jc w:val="center"/>
            </w:pPr>
          </w:p>
        </w:tc>
      </w:tr>
      <w:tr w:rsidR="005749B8" w14:paraId="03111B22" w14:textId="77777777" w:rsidTr="00B04B47">
        <w:trPr>
          <w:trHeight w:val="48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66B1C049" w14:textId="77777777" w:rsidR="005749B8" w:rsidRDefault="005749B8" w:rsidP="00E30B90">
            <w:pPr>
              <w:jc w:val="right"/>
            </w:pPr>
            <w:r>
              <w:t>Ceturtajā gadā</w:t>
            </w:r>
          </w:p>
        </w:tc>
        <w:tc>
          <w:tcPr>
            <w:tcW w:w="960" w:type="dxa"/>
            <w:tcBorders>
              <w:top w:val="nil"/>
              <w:left w:val="nil"/>
              <w:bottom w:val="single" w:sz="4" w:space="0" w:color="auto"/>
              <w:right w:val="single" w:sz="4" w:space="0" w:color="auto"/>
            </w:tcBorders>
            <w:shd w:val="clear" w:color="auto" w:fill="auto"/>
            <w:noWrap/>
            <w:vAlign w:val="center"/>
            <w:hideMark/>
          </w:tcPr>
          <w:p w14:paraId="4C2AA808" w14:textId="77777777" w:rsidR="005749B8" w:rsidRDefault="005749B8" w:rsidP="00F15A7C">
            <w:pPr>
              <w:jc w:val="center"/>
            </w:pPr>
            <w:r>
              <w:t>0,1%</w:t>
            </w:r>
          </w:p>
        </w:tc>
        <w:tc>
          <w:tcPr>
            <w:tcW w:w="960" w:type="dxa"/>
            <w:tcBorders>
              <w:top w:val="nil"/>
              <w:left w:val="nil"/>
              <w:bottom w:val="single" w:sz="4" w:space="0" w:color="auto"/>
              <w:right w:val="single" w:sz="4" w:space="0" w:color="auto"/>
            </w:tcBorders>
            <w:shd w:val="clear" w:color="auto" w:fill="auto"/>
            <w:noWrap/>
            <w:vAlign w:val="center"/>
            <w:hideMark/>
          </w:tcPr>
          <w:p w14:paraId="1B7D09E2" w14:textId="77777777" w:rsidR="005749B8" w:rsidRDefault="005749B8" w:rsidP="00F15A7C">
            <w:pPr>
              <w:jc w:val="center"/>
            </w:pPr>
            <w:r>
              <w:t>0,2%</w:t>
            </w:r>
          </w:p>
        </w:tc>
        <w:tc>
          <w:tcPr>
            <w:tcW w:w="960" w:type="dxa"/>
            <w:tcBorders>
              <w:top w:val="nil"/>
              <w:left w:val="nil"/>
              <w:bottom w:val="single" w:sz="4" w:space="0" w:color="auto"/>
              <w:right w:val="single" w:sz="4" w:space="0" w:color="auto"/>
            </w:tcBorders>
            <w:shd w:val="clear" w:color="auto" w:fill="auto"/>
            <w:noWrap/>
            <w:vAlign w:val="center"/>
            <w:hideMark/>
          </w:tcPr>
          <w:p w14:paraId="26F0E7D0" w14:textId="77777777" w:rsidR="005749B8" w:rsidRDefault="005749B8" w:rsidP="00F15A7C">
            <w:pPr>
              <w:jc w:val="center"/>
            </w:pPr>
          </w:p>
        </w:tc>
        <w:tc>
          <w:tcPr>
            <w:tcW w:w="960" w:type="dxa"/>
            <w:tcBorders>
              <w:top w:val="nil"/>
              <w:left w:val="nil"/>
              <w:bottom w:val="single" w:sz="4" w:space="0" w:color="auto"/>
              <w:right w:val="single" w:sz="4" w:space="0" w:color="auto"/>
            </w:tcBorders>
            <w:shd w:val="clear" w:color="auto" w:fill="auto"/>
            <w:noWrap/>
            <w:vAlign w:val="center"/>
            <w:hideMark/>
          </w:tcPr>
          <w:p w14:paraId="02F9DFB2" w14:textId="77777777" w:rsidR="005749B8" w:rsidRDefault="005749B8" w:rsidP="00F15A7C">
            <w:pPr>
              <w:jc w:val="center"/>
            </w:pPr>
          </w:p>
        </w:tc>
        <w:tc>
          <w:tcPr>
            <w:tcW w:w="960" w:type="dxa"/>
            <w:tcBorders>
              <w:top w:val="nil"/>
              <w:left w:val="nil"/>
              <w:bottom w:val="single" w:sz="4" w:space="0" w:color="auto"/>
              <w:right w:val="single" w:sz="4" w:space="0" w:color="auto"/>
            </w:tcBorders>
            <w:shd w:val="clear" w:color="auto" w:fill="auto"/>
            <w:noWrap/>
            <w:vAlign w:val="center"/>
            <w:hideMark/>
          </w:tcPr>
          <w:p w14:paraId="47076DEE" w14:textId="77777777" w:rsidR="005749B8" w:rsidRDefault="005749B8" w:rsidP="00F15A7C">
            <w:pPr>
              <w:jc w:val="center"/>
            </w:pPr>
          </w:p>
        </w:tc>
      </w:tr>
      <w:tr w:rsidR="005749B8" w14:paraId="69E076A6" w14:textId="77777777" w:rsidTr="00B04B47">
        <w:trPr>
          <w:trHeight w:val="51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24A9F66" w14:textId="77777777" w:rsidR="005749B8" w:rsidRDefault="005749B8" w:rsidP="00E30B90">
            <w:pPr>
              <w:jc w:val="right"/>
            </w:pPr>
            <w:r>
              <w:t>Piektajā gadā</w:t>
            </w:r>
          </w:p>
        </w:tc>
        <w:tc>
          <w:tcPr>
            <w:tcW w:w="960" w:type="dxa"/>
            <w:tcBorders>
              <w:top w:val="nil"/>
              <w:left w:val="nil"/>
              <w:bottom w:val="single" w:sz="4" w:space="0" w:color="auto"/>
              <w:right w:val="single" w:sz="4" w:space="0" w:color="auto"/>
            </w:tcBorders>
            <w:shd w:val="clear" w:color="auto" w:fill="auto"/>
            <w:noWrap/>
            <w:vAlign w:val="center"/>
            <w:hideMark/>
          </w:tcPr>
          <w:p w14:paraId="43D1E0CD" w14:textId="77777777" w:rsidR="005749B8" w:rsidRDefault="005749B8" w:rsidP="00F15A7C">
            <w:pPr>
              <w:jc w:val="center"/>
            </w:pPr>
            <w:r>
              <w:t>0,1%</w:t>
            </w:r>
          </w:p>
        </w:tc>
        <w:tc>
          <w:tcPr>
            <w:tcW w:w="960" w:type="dxa"/>
            <w:tcBorders>
              <w:top w:val="nil"/>
              <w:left w:val="nil"/>
              <w:bottom w:val="single" w:sz="4" w:space="0" w:color="auto"/>
              <w:right w:val="single" w:sz="4" w:space="0" w:color="auto"/>
            </w:tcBorders>
            <w:shd w:val="clear" w:color="auto" w:fill="auto"/>
            <w:noWrap/>
            <w:vAlign w:val="center"/>
            <w:hideMark/>
          </w:tcPr>
          <w:p w14:paraId="65A9F3A9" w14:textId="77777777" w:rsidR="005749B8" w:rsidRDefault="005749B8" w:rsidP="00F15A7C">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43F57668" w14:textId="77777777" w:rsidR="005749B8" w:rsidRDefault="005749B8" w:rsidP="00F15A7C">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3ACC4FB8" w14:textId="77777777" w:rsidR="005749B8" w:rsidRDefault="005749B8" w:rsidP="00F15A7C">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4B1B1AD0" w14:textId="77777777" w:rsidR="005749B8" w:rsidRDefault="005749B8" w:rsidP="00F15A7C">
            <w:pPr>
              <w:jc w:val="center"/>
              <w:rPr>
                <w:rFonts w:ascii="Arial" w:hAnsi="Arial" w:cs="Arial"/>
                <w:sz w:val="20"/>
                <w:szCs w:val="20"/>
              </w:rPr>
            </w:pPr>
          </w:p>
        </w:tc>
      </w:tr>
    </w:tbl>
    <w:p w14:paraId="6334BD62" w14:textId="77777777" w:rsidR="005749B8" w:rsidRPr="001E23E1" w:rsidRDefault="005749B8" w:rsidP="005749B8">
      <w:pPr>
        <w:tabs>
          <w:tab w:val="left" w:pos="720"/>
        </w:tabs>
        <w:ind w:firstLine="720"/>
        <w:jc w:val="both"/>
        <w:rPr>
          <w:b/>
        </w:rPr>
      </w:pPr>
    </w:p>
    <w:p w14:paraId="795234D6" w14:textId="77777777" w:rsidR="00B04B47" w:rsidRDefault="005749B8" w:rsidP="005749B8">
      <w:pPr>
        <w:tabs>
          <w:tab w:val="left" w:pos="720"/>
        </w:tabs>
        <w:jc w:val="both"/>
        <w:rPr>
          <w:b/>
        </w:rPr>
      </w:pPr>
      <w:r w:rsidRPr="001E23E1">
        <w:rPr>
          <w:b/>
        </w:rPr>
        <w:tab/>
      </w:r>
    </w:p>
    <w:p w14:paraId="61C1E695" w14:textId="77777777" w:rsidR="005749B8" w:rsidRPr="00F15A7C" w:rsidRDefault="005749B8" w:rsidP="00B04B47">
      <w:pPr>
        <w:tabs>
          <w:tab w:val="left" w:pos="720"/>
        </w:tabs>
        <w:ind w:firstLine="709"/>
        <w:jc w:val="both"/>
      </w:pPr>
      <w:r w:rsidRPr="00F15A7C">
        <w:t xml:space="preserve">Kā redzams no </w:t>
      </w:r>
      <w:r w:rsidR="000A4C08" w:rsidRPr="00F15A7C">
        <w:t>11</w:t>
      </w:r>
      <w:r w:rsidRPr="00F15A7C">
        <w:t>.tabulā apkopotās informācijas, laika periodā no 2011.gada līdz 2013.gadam pasludināto juridiskās personas maksātnespējas procesu skaits bija stabilizējies, taču, ņemot vērā ekonomisko situāciju valstī un uzņēmējdarbības vides ciešo saistību ar ārējiem ekonomiskiem faktoriem (piemēram, eksporta tirgu un dažādu valstu ietekmi uz tiem), 2014.gadā, salīdzinot ar 2013.gadu, par 16 procentiem bija pieaudzis pasludināto juridisko personu maksātnespējas procesu skaits, savukārt 2015.gadā, salīdzinot ar 2014.gadu, par 16 procentiem ir samazinājies pasludināto juridisko personu maksātnespējas procesu skaits.</w:t>
      </w:r>
    </w:p>
    <w:p w14:paraId="66B7D13F" w14:textId="77777777" w:rsidR="005749B8" w:rsidRPr="00F15A7C" w:rsidRDefault="005749B8" w:rsidP="005749B8">
      <w:pPr>
        <w:tabs>
          <w:tab w:val="left" w:pos="720"/>
        </w:tabs>
        <w:jc w:val="both"/>
      </w:pPr>
      <w:r w:rsidRPr="00F15A7C">
        <w:tab/>
        <w:t>No visiem 2011.gadā pasludinātajiem juridiskās personas maksātnespējas procesiem piecu gadu laikā darbinieku prasījumu garantiju fondā ir vērsušies 9,4 procentu uzņēmumu administratori. No 2012.gadā pasludinātajiem – 9,2 procentu uzņēmumu administratori ir pieprasījuši līdzekļus no darbinieku prasījumu garantiju fonda līdzekļiem četru gadu laikā. No 2013.gadā pasludinātajiem maksātnespējas procesiem 11,8 procentu uzņēmumu administratori ir pieprasījuši līdzekļus no darbinieku prasījumu garantiju fonda līdzekļiem trīs gadu laikā. No 2014.gadā pasludinātajiem maksātnespējas procesiem 12,1 procent</w:t>
      </w:r>
      <w:r w:rsidR="001E03B5">
        <w:t>a</w:t>
      </w:r>
      <w:r w:rsidRPr="00F15A7C">
        <w:t xml:space="preserve"> uzņēmumu administratori ir pieprasījuši līdzekļus no darbinieku prasījumu garantiju fonda līdzekļiem divu gadu laikā. No 2015.gadā pasludinātajiem maksātnespējas procesiem 3,7</w:t>
      </w:r>
      <w:r w:rsidR="001E03B5">
        <w:t> </w:t>
      </w:r>
      <w:r w:rsidRPr="00F15A7C">
        <w:t>procentu uzņēmumu administratori ir pieprasījuši līdzekļus no darbinieku prasījumu garantiju fonda līdzekļiem gada laikā.</w:t>
      </w:r>
    </w:p>
    <w:p w14:paraId="34E3460A" w14:textId="77777777" w:rsidR="005749B8" w:rsidRPr="00F15A7C" w:rsidRDefault="005749B8" w:rsidP="005749B8">
      <w:pPr>
        <w:tabs>
          <w:tab w:val="left" w:pos="720"/>
        </w:tabs>
        <w:jc w:val="both"/>
      </w:pPr>
      <w:r w:rsidRPr="00F15A7C">
        <w:tab/>
        <w:t xml:space="preserve">Ņemot vērā </w:t>
      </w:r>
      <w:r w:rsidR="000A4C08" w:rsidRPr="00F15A7C">
        <w:t>12</w:t>
      </w:r>
      <w:r w:rsidRPr="00F15A7C">
        <w:t>.tabulā apkopotos rādītājus, vidēji no attiecīgajā gadā pasludinātajiem maksātnespējas procesiem vairāku gadu laikā apmēram 10</w:t>
      </w:r>
      <w:r w:rsidR="001E03B5">
        <w:t>,</w:t>
      </w:r>
      <w:r w:rsidRPr="00F15A7C">
        <w:t>9 procentu uzņēmumu administratori vēršas darbinieku prasījumu garantiju fondā, saglabājot tendenci, ka pamatā tas notiek pirmajos divos gados – pasludināšanas un nākamajā gadā. Līdz ar to var pieņemt, ka 2016.gadā apmēram 6 procenti no 2015.gadā pasludināto maksātnespējas procesu administratoriem vēl varētu vērsties ar iesniegumu darbinieku prasījumu apmierināšanai no darbinieku prasījumu garantiju fonda. Jāatzīmē, ka 2013.gadā maksātnespējas process tika pasludināts AS „Liepājas metalurgs”, kas kopējo pasludināto procesu skaitu būtiski nemainīja, taču būtiski ietekmēja izmaksāto līdzekļu apjomu un darbinieku skaitu, līdz ar to, prognozējot, jāņem vērā šādu maksātnespējas procesu iespējamība arī nākotnē.</w:t>
      </w:r>
    </w:p>
    <w:p w14:paraId="0E02B38B" w14:textId="77777777" w:rsidR="005749B8" w:rsidRDefault="005749B8" w:rsidP="005749B8">
      <w:pPr>
        <w:tabs>
          <w:tab w:val="left" w:pos="720"/>
        </w:tabs>
        <w:ind w:firstLine="720"/>
        <w:jc w:val="both"/>
      </w:pPr>
      <w:r w:rsidRPr="00F15A7C">
        <w:t xml:space="preserve">Ja laika periodā no 2008.gada līdz 2010.gadam (ieskaitot) vidējais nodarbināto skaits, par kuriem tika maksāta URVN mēnesī, kritās, tad 2011.gadā bija vērojamas pirmās ekonomikas augšupejas pazīmes, un šis skaits palielinājās (skatīt </w:t>
      </w:r>
      <w:r w:rsidR="00164EBD" w:rsidRPr="00F15A7C">
        <w:t>13</w:t>
      </w:r>
      <w:r w:rsidRPr="00F15A7C">
        <w:t>.tabulu).</w:t>
      </w:r>
    </w:p>
    <w:p w14:paraId="18AEA108" w14:textId="77777777" w:rsidR="00B04B47" w:rsidRDefault="00B04B47" w:rsidP="005749B8">
      <w:pPr>
        <w:tabs>
          <w:tab w:val="left" w:pos="720"/>
        </w:tabs>
        <w:ind w:firstLine="720"/>
        <w:jc w:val="both"/>
      </w:pPr>
    </w:p>
    <w:p w14:paraId="7E6478F5" w14:textId="77777777" w:rsidR="005749B8" w:rsidRDefault="00164EBD" w:rsidP="005749B8">
      <w:pPr>
        <w:tabs>
          <w:tab w:val="left" w:pos="720"/>
        </w:tabs>
        <w:jc w:val="right"/>
        <w:rPr>
          <w:sz w:val="28"/>
          <w:szCs w:val="28"/>
        </w:rPr>
      </w:pPr>
      <w:r w:rsidRPr="00F15A7C">
        <w:t>13</w:t>
      </w:r>
      <w:r w:rsidR="005749B8" w:rsidRPr="00F15A7C">
        <w:t>.tabula</w:t>
      </w:r>
    </w:p>
    <w:p w14:paraId="6F815306" w14:textId="77777777" w:rsidR="009D46B2" w:rsidRPr="003B2D11" w:rsidRDefault="009D46B2" w:rsidP="005749B8">
      <w:pPr>
        <w:tabs>
          <w:tab w:val="left" w:pos="720"/>
        </w:tabs>
        <w:jc w:val="right"/>
        <w:rPr>
          <w:sz w:val="28"/>
          <w:szCs w:val="28"/>
        </w:rPr>
      </w:pPr>
    </w:p>
    <w:p w14:paraId="4F5B0F7B" w14:textId="77777777" w:rsidR="005749B8" w:rsidRDefault="005749B8" w:rsidP="00F15A7C">
      <w:pPr>
        <w:tabs>
          <w:tab w:val="left" w:pos="720"/>
        </w:tabs>
        <w:spacing w:after="120"/>
        <w:jc w:val="center"/>
        <w:rPr>
          <w:b/>
          <w:sz w:val="28"/>
          <w:szCs w:val="28"/>
        </w:rPr>
      </w:pPr>
      <w:r w:rsidRPr="00F15A7C">
        <w:rPr>
          <w:b/>
        </w:rPr>
        <w:t>Vidējais darbinieku skaits mēnesī, par kuriem tiek maksāta URVN no 2008.gada līdz 2015.gadam</w:t>
      </w:r>
    </w:p>
    <w:tbl>
      <w:tblPr>
        <w:tblW w:w="9680" w:type="dxa"/>
        <w:jc w:val="center"/>
        <w:tblLook w:val="04A0" w:firstRow="1" w:lastRow="0" w:firstColumn="1" w:lastColumn="0" w:noHBand="0" w:noVBand="1"/>
      </w:tblPr>
      <w:tblGrid>
        <w:gridCol w:w="1835"/>
        <w:gridCol w:w="1125"/>
        <w:gridCol w:w="960"/>
        <w:gridCol w:w="960"/>
        <w:gridCol w:w="960"/>
        <w:gridCol w:w="960"/>
        <w:gridCol w:w="960"/>
        <w:gridCol w:w="960"/>
        <w:gridCol w:w="960"/>
      </w:tblGrid>
      <w:tr w:rsidR="005749B8" w:rsidRPr="000C05AA" w14:paraId="71E3967C" w14:textId="77777777" w:rsidTr="009D46B2">
        <w:trPr>
          <w:trHeight w:val="315"/>
          <w:jc w:val="center"/>
        </w:trPr>
        <w:tc>
          <w:tcPr>
            <w:tcW w:w="1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DB6B9" w14:textId="77777777" w:rsidR="005749B8" w:rsidRPr="000C05AA" w:rsidRDefault="005749B8" w:rsidP="00E30B90">
            <w:pPr>
              <w:jc w:val="right"/>
              <w:rPr>
                <w:b/>
                <w:sz w:val="18"/>
                <w:szCs w:val="18"/>
              </w:rPr>
            </w:pPr>
            <w:r w:rsidRPr="000C05AA">
              <w:rPr>
                <w:b/>
                <w:sz w:val="18"/>
                <w:szCs w:val="18"/>
              </w:rPr>
              <w:t>Gads</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5307DDA1" w14:textId="77777777" w:rsidR="005749B8" w:rsidRPr="000C05AA" w:rsidRDefault="005749B8" w:rsidP="00E30B90">
            <w:pPr>
              <w:jc w:val="right"/>
              <w:rPr>
                <w:b/>
                <w:sz w:val="18"/>
                <w:szCs w:val="18"/>
              </w:rPr>
            </w:pPr>
            <w:r w:rsidRPr="000C05AA">
              <w:rPr>
                <w:b/>
                <w:sz w:val="18"/>
                <w:szCs w:val="18"/>
              </w:rPr>
              <w:t>2008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CE3E3B" w14:textId="77777777" w:rsidR="005749B8" w:rsidRPr="000C05AA" w:rsidRDefault="005749B8" w:rsidP="00E30B90">
            <w:pPr>
              <w:jc w:val="right"/>
              <w:rPr>
                <w:b/>
                <w:sz w:val="18"/>
                <w:szCs w:val="18"/>
              </w:rPr>
            </w:pPr>
            <w:r w:rsidRPr="000C05AA">
              <w:rPr>
                <w:b/>
                <w:sz w:val="18"/>
                <w:szCs w:val="18"/>
              </w:rPr>
              <w:t>2009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3647FB" w14:textId="77777777" w:rsidR="005749B8" w:rsidRPr="000C05AA" w:rsidRDefault="005749B8" w:rsidP="00E30B90">
            <w:pPr>
              <w:jc w:val="right"/>
              <w:rPr>
                <w:b/>
                <w:sz w:val="18"/>
                <w:szCs w:val="18"/>
              </w:rPr>
            </w:pPr>
            <w:r w:rsidRPr="000C05AA">
              <w:rPr>
                <w:b/>
                <w:sz w:val="18"/>
                <w:szCs w:val="18"/>
              </w:rPr>
              <w:t>2010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744D69" w14:textId="77777777" w:rsidR="005749B8" w:rsidRPr="000C05AA" w:rsidRDefault="005749B8" w:rsidP="00E30B90">
            <w:pPr>
              <w:jc w:val="right"/>
              <w:rPr>
                <w:b/>
                <w:sz w:val="18"/>
                <w:szCs w:val="18"/>
              </w:rPr>
            </w:pPr>
            <w:r w:rsidRPr="000C05AA">
              <w:rPr>
                <w:b/>
                <w:sz w:val="18"/>
                <w:szCs w:val="18"/>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CA9E32" w14:textId="77777777" w:rsidR="005749B8" w:rsidRPr="000C05AA" w:rsidRDefault="005749B8" w:rsidP="00E30B90">
            <w:pPr>
              <w:jc w:val="right"/>
              <w:rPr>
                <w:b/>
                <w:sz w:val="18"/>
                <w:szCs w:val="18"/>
              </w:rPr>
            </w:pPr>
            <w:r w:rsidRPr="000C05AA">
              <w:rPr>
                <w:b/>
                <w:sz w:val="18"/>
                <w:szCs w:val="18"/>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323B11D" w14:textId="77777777" w:rsidR="005749B8" w:rsidRPr="000C05AA" w:rsidRDefault="005749B8" w:rsidP="00E30B90">
            <w:pPr>
              <w:jc w:val="right"/>
              <w:rPr>
                <w:b/>
                <w:sz w:val="18"/>
                <w:szCs w:val="18"/>
              </w:rPr>
            </w:pPr>
            <w:r w:rsidRPr="000C05AA">
              <w:rPr>
                <w:b/>
                <w:sz w:val="18"/>
                <w:szCs w:val="18"/>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B4E9448" w14:textId="77777777" w:rsidR="005749B8" w:rsidRPr="000C05AA" w:rsidRDefault="005749B8" w:rsidP="00E30B90">
            <w:pPr>
              <w:jc w:val="right"/>
              <w:rPr>
                <w:b/>
                <w:sz w:val="18"/>
                <w:szCs w:val="18"/>
              </w:rPr>
            </w:pPr>
            <w:r w:rsidRPr="000C05AA">
              <w:rPr>
                <w:b/>
                <w:sz w:val="18"/>
                <w:szCs w:val="18"/>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09B539D" w14:textId="77777777" w:rsidR="005749B8" w:rsidRPr="000C05AA" w:rsidRDefault="005749B8" w:rsidP="00E30B90">
            <w:pPr>
              <w:jc w:val="right"/>
              <w:rPr>
                <w:b/>
                <w:sz w:val="18"/>
                <w:szCs w:val="18"/>
              </w:rPr>
            </w:pPr>
            <w:r w:rsidRPr="000C05AA">
              <w:rPr>
                <w:b/>
                <w:sz w:val="18"/>
                <w:szCs w:val="18"/>
              </w:rPr>
              <w:t>2015</w:t>
            </w:r>
          </w:p>
        </w:tc>
      </w:tr>
      <w:tr w:rsidR="005749B8" w:rsidRPr="00F77A95" w14:paraId="4E6957DB" w14:textId="77777777" w:rsidTr="009D46B2">
        <w:trPr>
          <w:trHeight w:val="945"/>
          <w:jc w:val="center"/>
        </w:trPr>
        <w:tc>
          <w:tcPr>
            <w:tcW w:w="1835" w:type="dxa"/>
            <w:tcBorders>
              <w:top w:val="nil"/>
              <w:left w:val="single" w:sz="4" w:space="0" w:color="auto"/>
              <w:bottom w:val="single" w:sz="4" w:space="0" w:color="auto"/>
              <w:right w:val="single" w:sz="4" w:space="0" w:color="auto"/>
            </w:tcBorders>
            <w:shd w:val="clear" w:color="auto" w:fill="auto"/>
            <w:vAlign w:val="bottom"/>
            <w:hideMark/>
          </w:tcPr>
          <w:p w14:paraId="4310F4D4" w14:textId="77777777" w:rsidR="005749B8" w:rsidRPr="00F77A95" w:rsidRDefault="005749B8" w:rsidP="00E30B90">
            <w:pPr>
              <w:rPr>
                <w:sz w:val="18"/>
                <w:szCs w:val="18"/>
              </w:rPr>
            </w:pPr>
            <w:r w:rsidRPr="00F77A95">
              <w:rPr>
                <w:sz w:val="18"/>
                <w:szCs w:val="18"/>
              </w:rPr>
              <w:t>Vidējais darbinieku skaits, par kuriem maksāta URVN*</w:t>
            </w:r>
          </w:p>
        </w:tc>
        <w:tc>
          <w:tcPr>
            <w:tcW w:w="1125" w:type="dxa"/>
            <w:tcBorders>
              <w:top w:val="nil"/>
              <w:left w:val="nil"/>
              <w:bottom w:val="single" w:sz="4" w:space="0" w:color="auto"/>
              <w:right w:val="single" w:sz="4" w:space="0" w:color="auto"/>
            </w:tcBorders>
            <w:shd w:val="clear" w:color="auto" w:fill="auto"/>
            <w:noWrap/>
            <w:vAlign w:val="bottom"/>
            <w:hideMark/>
          </w:tcPr>
          <w:p w14:paraId="7C8D4480" w14:textId="77777777" w:rsidR="005749B8" w:rsidRPr="00F77A95" w:rsidRDefault="005749B8" w:rsidP="00E30B90">
            <w:pPr>
              <w:jc w:val="right"/>
              <w:rPr>
                <w:sz w:val="18"/>
                <w:szCs w:val="18"/>
              </w:rPr>
            </w:pPr>
            <w:r w:rsidRPr="00F77A95">
              <w:rPr>
                <w:sz w:val="18"/>
                <w:szCs w:val="18"/>
              </w:rPr>
              <w:t>842 722</w:t>
            </w:r>
          </w:p>
        </w:tc>
        <w:tc>
          <w:tcPr>
            <w:tcW w:w="960" w:type="dxa"/>
            <w:tcBorders>
              <w:top w:val="nil"/>
              <w:left w:val="nil"/>
              <w:bottom w:val="single" w:sz="4" w:space="0" w:color="auto"/>
              <w:right w:val="single" w:sz="4" w:space="0" w:color="auto"/>
            </w:tcBorders>
            <w:shd w:val="clear" w:color="auto" w:fill="auto"/>
            <w:noWrap/>
            <w:vAlign w:val="bottom"/>
            <w:hideMark/>
          </w:tcPr>
          <w:p w14:paraId="5289DA62" w14:textId="77777777" w:rsidR="005749B8" w:rsidRPr="00F77A95" w:rsidRDefault="005749B8" w:rsidP="00E30B90">
            <w:pPr>
              <w:jc w:val="right"/>
              <w:rPr>
                <w:sz w:val="18"/>
                <w:szCs w:val="18"/>
              </w:rPr>
            </w:pPr>
            <w:r w:rsidRPr="00F77A95">
              <w:rPr>
                <w:sz w:val="18"/>
                <w:szCs w:val="18"/>
              </w:rPr>
              <w:t>700 930</w:t>
            </w:r>
          </w:p>
        </w:tc>
        <w:tc>
          <w:tcPr>
            <w:tcW w:w="960" w:type="dxa"/>
            <w:tcBorders>
              <w:top w:val="nil"/>
              <w:left w:val="nil"/>
              <w:bottom w:val="single" w:sz="4" w:space="0" w:color="auto"/>
              <w:right w:val="single" w:sz="4" w:space="0" w:color="auto"/>
            </w:tcBorders>
            <w:shd w:val="clear" w:color="auto" w:fill="auto"/>
            <w:noWrap/>
            <w:vAlign w:val="bottom"/>
            <w:hideMark/>
          </w:tcPr>
          <w:p w14:paraId="0D8BD36C" w14:textId="77777777" w:rsidR="005749B8" w:rsidRPr="00F77A95" w:rsidRDefault="005749B8" w:rsidP="00E30B90">
            <w:pPr>
              <w:jc w:val="center"/>
              <w:rPr>
                <w:sz w:val="18"/>
                <w:szCs w:val="18"/>
              </w:rPr>
            </w:pPr>
            <w:r w:rsidRPr="00F77A95">
              <w:rPr>
                <w:sz w:val="18"/>
                <w:szCs w:val="18"/>
              </w:rPr>
              <w:t>644 716</w:t>
            </w:r>
          </w:p>
        </w:tc>
        <w:tc>
          <w:tcPr>
            <w:tcW w:w="960" w:type="dxa"/>
            <w:tcBorders>
              <w:top w:val="nil"/>
              <w:left w:val="nil"/>
              <w:bottom w:val="single" w:sz="4" w:space="0" w:color="auto"/>
              <w:right w:val="single" w:sz="4" w:space="0" w:color="auto"/>
            </w:tcBorders>
            <w:shd w:val="clear" w:color="auto" w:fill="auto"/>
            <w:noWrap/>
            <w:vAlign w:val="bottom"/>
            <w:hideMark/>
          </w:tcPr>
          <w:p w14:paraId="483A8657" w14:textId="77777777" w:rsidR="005749B8" w:rsidRPr="00F77A95" w:rsidRDefault="005749B8" w:rsidP="00E30B90">
            <w:pPr>
              <w:jc w:val="center"/>
              <w:rPr>
                <w:sz w:val="18"/>
                <w:szCs w:val="18"/>
              </w:rPr>
            </w:pPr>
            <w:r w:rsidRPr="00F77A95">
              <w:rPr>
                <w:sz w:val="18"/>
                <w:szCs w:val="18"/>
              </w:rPr>
              <w:t>656 349</w:t>
            </w:r>
          </w:p>
        </w:tc>
        <w:tc>
          <w:tcPr>
            <w:tcW w:w="960" w:type="dxa"/>
            <w:tcBorders>
              <w:top w:val="nil"/>
              <w:left w:val="nil"/>
              <w:bottom w:val="single" w:sz="4" w:space="0" w:color="auto"/>
              <w:right w:val="single" w:sz="4" w:space="0" w:color="auto"/>
            </w:tcBorders>
            <w:shd w:val="clear" w:color="auto" w:fill="auto"/>
            <w:noWrap/>
            <w:vAlign w:val="bottom"/>
            <w:hideMark/>
          </w:tcPr>
          <w:p w14:paraId="0840829D" w14:textId="77777777" w:rsidR="005749B8" w:rsidRPr="00F77A95" w:rsidRDefault="005749B8" w:rsidP="00E30B90">
            <w:pPr>
              <w:jc w:val="right"/>
              <w:rPr>
                <w:sz w:val="18"/>
                <w:szCs w:val="18"/>
              </w:rPr>
            </w:pPr>
            <w:r w:rsidRPr="00F77A95">
              <w:rPr>
                <w:sz w:val="18"/>
                <w:szCs w:val="18"/>
              </w:rPr>
              <w:t>674 978</w:t>
            </w:r>
          </w:p>
        </w:tc>
        <w:tc>
          <w:tcPr>
            <w:tcW w:w="960" w:type="dxa"/>
            <w:tcBorders>
              <w:top w:val="nil"/>
              <w:left w:val="nil"/>
              <w:bottom w:val="single" w:sz="4" w:space="0" w:color="auto"/>
              <w:right w:val="single" w:sz="4" w:space="0" w:color="auto"/>
            </w:tcBorders>
            <w:shd w:val="clear" w:color="auto" w:fill="auto"/>
            <w:noWrap/>
            <w:vAlign w:val="bottom"/>
            <w:hideMark/>
          </w:tcPr>
          <w:p w14:paraId="2DDF6DB2" w14:textId="77777777" w:rsidR="005749B8" w:rsidRPr="00F77A95" w:rsidRDefault="005749B8" w:rsidP="00E30B90">
            <w:pPr>
              <w:jc w:val="right"/>
              <w:rPr>
                <w:sz w:val="18"/>
                <w:szCs w:val="18"/>
              </w:rPr>
            </w:pPr>
            <w:r w:rsidRPr="00F77A95">
              <w:rPr>
                <w:sz w:val="18"/>
                <w:szCs w:val="18"/>
              </w:rPr>
              <w:t>705 358</w:t>
            </w:r>
          </w:p>
        </w:tc>
        <w:tc>
          <w:tcPr>
            <w:tcW w:w="960" w:type="dxa"/>
            <w:tcBorders>
              <w:top w:val="nil"/>
              <w:left w:val="nil"/>
              <w:bottom w:val="single" w:sz="4" w:space="0" w:color="auto"/>
              <w:right w:val="single" w:sz="4" w:space="0" w:color="auto"/>
            </w:tcBorders>
            <w:shd w:val="clear" w:color="auto" w:fill="auto"/>
            <w:noWrap/>
            <w:vAlign w:val="bottom"/>
            <w:hideMark/>
          </w:tcPr>
          <w:p w14:paraId="6F800307" w14:textId="77777777" w:rsidR="005749B8" w:rsidRPr="00F77A95" w:rsidRDefault="005749B8" w:rsidP="00E30B90">
            <w:pPr>
              <w:jc w:val="right"/>
              <w:rPr>
                <w:sz w:val="18"/>
                <w:szCs w:val="18"/>
              </w:rPr>
            </w:pPr>
            <w:r w:rsidRPr="00F77A95">
              <w:rPr>
                <w:sz w:val="18"/>
                <w:szCs w:val="18"/>
              </w:rPr>
              <w:t>698 489</w:t>
            </w:r>
          </w:p>
        </w:tc>
        <w:tc>
          <w:tcPr>
            <w:tcW w:w="960" w:type="dxa"/>
            <w:tcBorders>
              <w:top w:val="nil"/>
              <w:left w:val="nil"/>
              <w:bottom w:val="single" w:sz="4" w:space="0" w:color="auto"/>
              <w:right w:val="single" w:sz="4" w:space="0" w:color="auto"/>
            </w:tcBorders>
            <w:shd w:val="clear" w:color="auto" w:fill="auto"/>
            <w:noWrap/>
            <w:vAlign w:val="bottom"/>
            <w:hideMark/>
          </w:tcPr>
          <w:p w14:paraId="1D011AAE" w14:textId="77777777" w:rsidR="005749B8" w:rsidRPr="00F77A95" w:rsidRDefault="005749B8" w:rsidP="00E30B90">
            <w:pPr>
              <w:jc w:val="right"/>
              <w:rPr>
                <w:sz w:val="18"/>
                <w:szCs w:val="18"/>
              </w:rPr>
            </w:pPr>
            <w:r w:rsidRPr="00F77A95">
              <w:rPr>
                <w:sz w:val="18"/>
                <w:szCs w:val="18"/>
              </w:rPr>
              <w:t>696 295</w:t>
            </w:r>
          </w:p>
        </w:tc>
      </w:tr>
      <w:tr w:rsidR="005749B8" w:rsidRPr="00F77A95" w14:paraId="652D855B" w14:textId="77777777" w:rsidTr="009D46B2">
        <w:trPr>
          <w:trHeight w:val="945"/>
          <w:jc w:val="center"/>
        </w:trPr>
        <w:tc>
          <w:tcPr>
            <w:tcW w:w="1835" w:type="dxa"/>
            <w:tcBorders>
              <w:top w:val="nil"/>
              <w:left w:val="single" w:sz="4" w:space="0" w:color="auto"/>
              <w:bottom w:val="single" w:sz="4" w:space="0" w:color="auto"/>
              <w:right w:val="single" w:sz="4" w:space="0" w:color="auto"/>
            </w:tcBorders>
            <w:shd w:val="clear" w:color="auto" w:fill="auto"/>
            <w:vAlign w:val="bottom"/>
            <w:hideMark/>
          </w:tcPr>
          <w:p w14:paraId="3A5C53CF" w14:textId="77777777" w:rsidR="005749B8" w:rsidRPr="00F77A95" w:rsidRDefault="005749B8" w:rsidP="00E30B90">
            <w:pPr>
              <w:rPr>
                <w:sz w:val="18"/>
                <w:szCs w:val="18"/>
              </w:rPr>
            </w:pPr>
            <w:r w:rsidRPr="00F77A95">
              <w:rPr>
                <w:sz w:val="18"/>
                <w:szCs w:val="18"/>
              </w:rPr>
              <w:t>Attiecība procentos pret iepriekšējo gadu</w:t>
            </w:r>
          </w:p>
        </w:tc>
        <w:tc>
          <w:tcPr>
            <w:tcW w:w="1125" w:type="dxa"/>
            <w:tcBorders>
              <w:top w:val="nil"/>
              <w:left w:val="nil"/>
              <w:bottom w:val="single" w:sz="4" w:space="0" w:color="auto"/>
              <w:right w:val="single" w:sz="4" w:space="0" w:color="auto"/>
            </w:tcBorders>
            <w:shd w:val="clear" w:color="auto" w:fill="auto"/>
            <w:noWrap/>
            <w:vAlign w:val="bottom"/>
            <w:hideMark/>
          </w:tcPr>
          <w:p w14:paraId="03081195" w14:textId="77777777" w:rsidR="005749B8" w:rsidRPr="0051383C" w:rsidRDefault="005749B8" w:rsidP="00E30B90">
            <w:pPr>
              <w:rPr>
                <w:sz w:val="18"/>
                <w:szCs w:val="18"/>
              </w:rPr>
            </w:pPr>
            <w:r w:rsidRPr="0051383C">
              <w:rPr>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7972B63" w14:textId="77777777" w:rsidR="005749B8" w:rsidRPr="0051383C" w:rsidRDefault="005749B8" w:rsidP="00E30B90">
            <w:pPr>
              <w:jc w:val="right"/>
              <w:rPr>
                <w:sz w:val="18"/>
                <w:szCs w:val="18"/>
              </w:rPr>
            </w:pPr>
            <w:r w:rsidRPr="0051383C">
              <w:rPr>
                <w:sz w:val="18"/>
                <w:szCs w:val="18"/>
              </w:rPr>
              <w:t>83,2%</w:t>
            </w:r>
          </w:p>
        </w:tc>
        <w:tc>
          <w:tcPr>
            <w:tcW w:w="960" w:type="dxa"/>
            <w:tcBorders>
              <w:top w:val="nil"/>
              <w:left w:val="nil"/>
              <w:bottom w:val="single" w:sz="4" w:space="0" w:color="auto"/>
              <w:right w:val="single" w:sz="4" w:space="0" w:color="auto"/>
            </w:tcBorders>
            <w:shd w:val="clear" w:color="auto" w:fill="auto"/>
            <w:noWrap/>
            <w:vAlign w:val="bottom"/>
            <w:hideMark/>
          </w:tcPr>
          <w:p w14:paraId="2D685FE4" w14:textId="77777777" w:rsidR="005749B8" w:rsidRPr="0051383C" w:rsidRDefault="005749B8" w:rsidP="00E30B90">
            <w:pPr>
              <w:jc w:val="right"/>
              <w:rPr>
                <w:sz w:val="18"/>
                <w:szCs w:val="18"/>
              </w:rPr>
            </w:pPr>
            <w:r w:rsidRPr="0051383C">
              <w:rPr>
                <w:sz w:val="18"/>
                <w:szCs w:val="18"/>
              </w:rPr>
              <w:t>92,0%</w:t>
            </w:r>
          </w:p>
        </w:tc>
        <w:tc>
          <w:tcPr>
            <w:tcW w:w="960" w:type="dxa"/>
            <w:tcBorders>
              <w:top w:val="nil"/>
              <w:left w:val="nil"/>
              <w:bottom w:val="single" w:sz="4" w:space="0" w:color="auto"/>
              <w:right w:val="single" w:sz="4" w:space="0" w:color="auto"/>
            </w:tcBorders>
            <w:shd w:val="clear" w:color="auto" w:fill="auto"/>
            <w:noWrap/>
            <w:vAlign w:val="bottom"/>
            <w:hideMark/>
          </w:tcPr>
          <w:p w14:paraId="18338007" w14:textId="77777777" w:rsidR="005749B8" w:rsidRPr="0051383C" w:rsidRDefault="005749B8" w:rsidP="00E30B90">
            <w:pPr>
              <w:jc w:val="right"/>
              <w:rPr>
                <w:sz w:val="18"/>
                <w:szCs w:val="18"/>
              </w:rPr>
            </w:pPr>
            <w:r w:rsidRPr="0051383C">
              <w:rPr>
                <w:sz w:val="18"/>
                <w:szCs w:val="18"/>
              </w:rPr>
              <w:t>101,8%</w:t>
            </w:r>
          </w:p>
        </w:tc>
        <w:tc>
          <w:tcPr>
            <w:tcW w:w="960" w:type="dxa"/>
            <w:tcBorders>
              <w:top w:val="nil"/>
              <w:left w:val="nil"/>
              <w:bottom w:val="single" w:sz="4" w:space="0" w:color="auto"/>
              <w:right w:val="single" w:sz="4" w:space="0" w:color="auto"/>
            </w:tcBorders>
            <w:shd w:val="clear" w:color="auto" w:fill="auto"/>
            <w:noWrap/>
            <w:vAlign w:val="bottom"/>
            <w:hideMark/>
          </w:tcPr>
          <w:p w14:paraId="0AC349FD" w14:textId="77777777" w:rsidR="005749B8" w:rsidRPr="0051383C" w:rsidRDefault="005749B8" w:rsidP="00E30B90">
            <w:pPr>
              <w:jc w:val="right"/>
              <w:rPr>
                <w:sz w:val="18"/>
                <w:szCs w:val="18"/>
              </w:rPr>
            </w:pPr>
            <w:r w:rsidRPr="0051383C">
              <w:rPr>
                <w:sz w:val="18"/>
                <w:szCs w:val="18"/>
              </w:rPr>
              <w:t>102,8%</w:t>
            </w:r>
          </w:p>
        </w:tc>
        <w:tc>
          <w:tcPr>
            <w:tcW w:w="960" w:type="dxa"/>
            <w:tcBorders>
              <w:top w:val="nil"/>
              <w:left w:val="nil"/>
              <w:bottom w:val="single" w:sz="4" w:space="0" w:color="auto"/>
              <w:right w:val="single" w:sz="4" w:space="0" w:color="auto"/>
            </w:tcBorders>
            <w:shd w:val="clear" w:color="auto" w:fill="auto"/>
            <w:noWrap/>
            <w:vAlign w:val="bottom"/>
            <w:hideMark/>
          </w:tcPr>
          <w:p w14:paraId="00FA204B" w14:textId="77777777" w:rsidR="005749B8" w:rsidRPr="0051383C" w:rsidRDefault="005749B8" w:rsidP="00E30B90">
            <w:pPr>
              <w:jc w:val="right"/>
              <w:rPr>
                <w:sz w:val="18"/>
                <w:szCs w:val="18"/>
              </w:rPr>
            </w:pPr>
            <w:r w:rsidRPr="0051383C">
              <w:rPr>
                <w:sz w:val="18"/>
                <w:szCs w:val="18"/>
              </w:rPr>
              <w:t>104,5%</w:t>
            </w:r>
          </w:p>
        </w:tc>
        <w:tc>
          <w:tcPr>
            <w:tcW w:w="960" w:type="dxa"/>
            <w:tcBorders>
              <w:top w:val="nil"/>
              <w:left w:val="nil"/>
              <w:bottom w:val="single" w:sz="4" w:space="0" w:color="auto"/>
              <w:right w:val="single" w:sz="4" w:space="0" w:color="auto"/>
            </w:tcBorders>
            <w:shd w:val="clear" w:color="auto" w:fill="auto"/>
            <w:noWrap/>
            <w:vAlign w:val="bottom"/>
            <w:hideMark/>
          </w:tcPr>
          <w:p w14:paraId="16B58543" w14:textId="77777777" w:rsidR="005749B8" w:rsidRPr="0051383C" w:rsidRDefault="005749B8" w:rsidP="00E30B90">
            <w:pPr>
              <w:jc w:val="right"/>
              <w:rPr>
                <w:sz w:val="18"/>
                <w:szCs w:val="18"/>
              </w:rPr>
            </w:pPr>
            <w:r w:rsidRPr="0051383C">
              <w:rPr>
                <w:sz w:val="18"/>
                <w:szCs w:val="18"/>
              </w:rPr>
              <w:t>99,0%</w:t>
            </w:r>
          </w:p>
        </w:tc>
        <w:tc>
          <w:tcPr>
            <w:tcW w:w="960" w:type="dxa"/>
            <w:tcBorders>
              <w:top w:val="nil"/>
              <w:left w:val="nil"/>
              <w:bottom w:val="single" w:sz="4" w:space="0" w:color="auto"/>
              <w:right w:val="single" w:sz="4" w:space="0" w:color="auto"/>
            </w:tcBorders>
            <w:shd w:val="clear" w:color="auto" w:fill="auto"/>
            <w:noWrap/>
            <w:vAlign w:val="bottom"/>
            <w:hideMark/>
          </w:tcPr>
          <w:p w14:paraId="4CC60EAB" w14:textId="77777777" w:rsidR="005749B8" w:rsidRPr="0051383C" w:rsidRDefault="005749B8" w:rsidP="00E30B90">
            <w:pPr>
              <w:jc w:val="right"/>
              <w:rPr>
                <w:sz w:val="18"/>
                <w:szCs w:val="18"/>
              </w:rPr>
            </w:pPr>
            <w:r w:rsidRPr="0051383C">
              <w:rPr>
                <w:sz w:val="18"/>
                <w:szCs w:val="18"/>
              </w:rPr>
              <w:t>99,7%</w:t>
            </w:r>
          </w:p>
        </w:tc>
      </w:tr>
      <w:tr w:rsidR="005749B8" w:rsidRPr="00F77A95" w14:paraId="733A4046" w14:textId="77777777" w:rsidTr="009D46B2">
        <w:trPr>
          <w:trHeight w:val="945"/>
          <w:jc w:val="center"/>
        </w:trPr>
        <w:tc>
          <w:tcPr>
            <w:tcW w:w="1835" w:type="dxa"/>
            <w:tcBorders>
              <w:top w:val="nil"/>
              <w:left w:val="single" w:sz="4" w:space="0" w:color="auto"/>
              <w:bottom w:val="single" w:sz="4" w:space="0" w:color="auto"/>
              <w:right w:val="single" w:sz="4" w:space="0" w:color="auto"/>
            </w:tcBorders>
            <w:shd w:val="clear" w:color="auto" w:fill="auto"/>
            <w:vAlign w:val="bottom"/>
            <w:hideMark/>
          </w:tcPr>
          <w:p w14:paraId="1E61E44E" w14:textId="77777777" w:rsidR="005749B8" w:rsidRPr="00F77A95" w:rsidRDefault="005749B8" w:rsidP="00E30B90">
            <w:pPr>
              <w:rPr>
                <w:sz w:val="18"/>
                <w:szCs w:val="18"/>
              </w:rPr>
            </w:pPr>
            <w:r w:rsidRPr="00F77A95">
              <w:rPr>
                <w:sz w:val="18"/>
                <w:szCs w:val="18"/>
              </w:rPr>
              <w:t>Nodarbināto skaits (pēc EM ziņojuma datiem**)</w:t>
            </w:r>
          </w:p>
        </w:tc>
        <w:tc>
          <w:tcPr>
            <w:tcW w:w="1125" w:type="dxa"/>
            <w:tcBorders>
              <w:top w:val="nil"/>
              <w:left w:val="nil"/>
              <w:bottom w:val="single" w:sz="4" w:space="0" w:color="auto"/>
              <w:right w:val="single" w:sz="4" w:space="0" w:color="auto"/>
            </w:tcBorders>
            <w:shd w:val="clear" w:color="auto" w:fill="auto"/>
            <w:noWrap/>
            <w:vAlign w:val="bottom"/>
            <w:hideMark/>
          </w:tcPr>
          <w:p w14:paraId="2C803B8F" w14:textId="77777777" w:rsidR="005749B8" w:rsidRPr="0051383C" w:rsidRDefault="005749B8" w:rsidP="00E30B90">
            <w:pPr>
              <w:jc w:val="right"/>
              <w:rPr>
                <w:sz w:val="18"/>
                <w:szCs w:val="18"/>
              </w:rPr>
            </w:pPr>
            <w:r w:rsidRPr="0051383C">
              <w:rPr>
                <w:sz w:val="18"/>
                <w:szCs w:val="18"/>
              </w:rPr>
              <w:t>1 054 900</w:t>
            </w:r>
          </w:p>
        </w:tc>
        <w:tc>
          <w:tcPr>
            <w:tcW w:w="960" w:type="dxa"/>
            <w:tcBorders>
              <w:top w:val="nil"/>
              <w:left w:val="nil"/>
              <w:bottom w:val="single" w:sz="4" w:space="0" w:color="auto"/>
              <w:right w:val="single" w:sz="4" w:space="0" w:color="auto"/>
            </w:tcBorders>
            <w:shd w:val="clear" w:color="auto" w:fill="auto"/>
            <w:noWrap/>
            <w:vAlign w:val="bottom"/>
            <w:hideMark/>
          </w:tcPr>
          <w:p w14:paraId="4E79B1C4" w14:textId="77777777" w:rsidR="005749B8" w:rsidRPr="0051383C" w:rsidRDefault="005749B8" w:rsidP="00E30B90">
            <w:pPr>
              <w:jc w:val="right"/>
              <w:rPr>
                <w:sz w:val="18"/>
                <w:szCs w:val="18"/>
              </w:rPr>
            </w:pPr>
            <w:r w:rsidRPr="0051383C">
              <w:rPr>
                <w:sz w:val="18"/>
                <w:szCs w:val="18"/>
              </w:rPr>
              <w:t>908 500</w:t>
            </w:r>
          </w:p>
        </w:tc>
        <w:tc>
          <w:tcPr>
            <w:tcW w:w="960" w:type="dxa"/>
            <w:tcBorders>
              <w:top w:val="nil"/>
              <w:left w:val="nil"/>
              <w:bottom w:val="single" w:sz="4" w:space="0" w:color="auto"/>
              <w:right w:val="single" w:sz="4" w:space="0" w:color="auto"/>
            </w:tcBorders>
            <w:shd w:val="clear" w:color="auto" w:fill="auto"/>
            <w:noWrap/>
            <w:vAlign w:val="bottom"/>
            <w:hideMark/>
          </w:tcPr>
          <w:p w14:paraId="2DA59DB9" w14:textId="77777777" w:rsidR="005749B8" w:rsidRPr="0051383C" w:rsidRDefault="005749B8" w:rsidP="00E30B90">
            <w:pPr>
              <w:jc w:val="right"/>
              <w:rPr>
                <w:sz w:val="18"/>
                <w:szCs w:val="18"/>
              </w:rPr>
            </w:pPr>
            <w:r w:rsidRPr="0051383C">
              <w:rPr>
                <w:sz w:val="18"/>
                <w:szCs w:val="18"/>
              </w:rPr>
              <w:t>850 700</w:t>
            </w:r>
          </w:p>
        </w:tc>
        <w:tc>
          <w:tcPr>
            <w:tcW w:w="960" w:type="dxa"/>
            <w:tcBorders>
              <w:top w:val="nil"/>
              <w:left w:val="nil"/>
              <w:bottom w:val="single" w:sz="4" w:space="0" w:color="auto"/>
              <w:right w:val="single" w:sz="4" w:space="0" w:color="auto"/>
            </w:tcBorders>
            <w:shd w:val="clear" w:color="auto" w:fill="auto"/>
            <w:noWrap/>
            <w:vAlign w:val="bottom"/>
            <w:hideMark/>
          </w:tcPr>
          <w:p w14:paraId="45A07CCD" w14:textId="77777777" w:rsidR="005749B8" w:rsidRPr="0051383C" w:rsidRDefault="005749B8" w:rsidP="00E30B90">
            <w:pPr>
              <w:jc w:val="right"/>
              <w:rPr>
                <w:sz w:val="18"/>
                <w:szCs w:val="18"/>
              </w:rPr>
            </w:pPr>
            <w:r w:rsidRPr="0051383C">
              <w:rPr>
                <w:sz w:val="18"/>
                <w:szCs w:val="18"/>
              </w:rPr>
              <w:t>861 600</w:t>
            </w:r>
          </w:p>
        </w:tc>
        <w:tc>
          <w:tcPr>
            <w:tcW w:w="960" w:type="dxa"/>
            <w:tcBorders>
              <w:top w:val="nil"/>
              <w:left w:val="nil"/>
              <w:bottom w:val="single" w:sz="4" w:space="0" w:color="auto"/>
              <w:right w:val="single" w:sz="4" w:space="0" w:color="auto"/>
            </w:tcBorders>
            <w:shd w:val="clear" w:color="auto" w:fill="auto"/>
            <w:noWrap/>
            <w:vAlign w:val="bottom"/>
            <w:hideMark/>
          </w:tcPr>
          <w:p w14:paraId="38E09FF6" w14:textId="77777777" w:rsidR="005749B8" w:rsidRPr="0051383C" w:rsidRDefault="005749B8" w:rsidP="00E30B90">
            <w:pPr>
              <w:jc w:val="right"/>
              <w:rPr>
                <w:sz w:val="18"/>
                <w:szCs w:val="18"/>
              </w:rPr>
            </w:pPr>
            <w:r w:rsidRPr="0051383C">
              <w:rPr>
                <w:sz w:val="18"/>
                <w:szCs w:val="18"/>
              </w:rPr>
              <w:t>875 600</w:t>
            </w:r>
          </w:p>
        </w:tc>
        <w:tc>
          <w:tcPr>
            <w:tcW w:w="960" w:type="dxa"/>
            <w:tcBorders>
              <w:top w:val="nil"/>
              <w:left w:val="nil"/>
              <w:bottom w:val="single" w:sz="4" w:space="0" w:color="auto"/>
              <w:right w:val="single" w:sz="4" w:space="0" w:color="auto"/>
            </w:tcBorders>
            <w:shd w:val="clear" w:color="auto" w:fill="auto"/>
            <w:noWrap/>
            <w:vAlign w:val="bottom"/>
            <w:hideMark/>
          </w:tcPr>
          <w:p w14:paraId="1C6571E4" w14:textId="77777777" w:rsidR="005749B8" w:rsidRPr="0051383C" w:rsidRDefault="005749B8" w:rsidP="00E30B90">
            <w:pPr>
              <w:jc w:val="right"/>
              <w:rPr>
                <w:sz w:val="18"/>
                <w:szCs w:val="18"/>
              </w:rPr>
            </w:pPr>
            <w:r w:rsidRPr="0051383C">
              <w:rPr>
                <w:sz w:val="18"/>
                <w:szCs w:val="18"/>
              </w:rPr>
              <w:t>893 900</w:t>
            </w:r>
          </w:p>
        </w:tc>
        <w:tc>
          <w:tcPr>
            <w:tcW w:w="960" w:type="dxa"/>
            <w:tcBorders>
              <w:top w:val="nil"/>
              <w:left w:val="nil"/>
              <w:bottom w:val="single" w:sz="4" w:space="0" w:color="auto"/>
              <w:right w:val="single" w:sz="4" w:space="0" w:color="auto"/>
            </w:tcBorders>
            <w:shd w:val="clear" w:color="auto" w:fill="auto"/>
            <w:noWrap/>
            <w:vAlign w:val="bottom"/>
            <w:hideMark/>
          </w:tcPr>
          <w:p w14:paraId="7ACF0347" w14:textId="77777777" w:rsidR="005749B8" w:rsidRPr="0051383C" w:rsidRDefault="005749B8" w:rsidP="00E30B90">
            <w:pPr>
              <w:jc w:val="right"/>
              <w:rPr>
                <w:sz w:val="18"/>
                <w:szCs w:val="18"/>
              </w:rPr>
            </w:pPr>
            <w:r w:rsidRPr="0051383C">
              <w:rPr>
                <w:sz w:val="18"/>
                <w:szCs w:val="18"/>
              </w:rPr>
              <w:t>884 600</w:t>
            </w:r>
          </w:p>
        </w:tc>
        <w:tc>
          <w:tcPr>
            <w:tcW w:w="960" w:type="dxa"/>
            <w:tcBorders>
              <w:top w:val="nil"/>
              <w:left w:val="nil"/>
              <w:bottom w:val="single" w:sz="4" w:space="0" w:color="auto"/>
              <w:right w:val="single" w:sz="4" w:space="0" w:color="auto"/>
            </w:tcBorders>
            <w:shd w:val="clear" w:color="auto" w:fill="auto"/>
            <w:noWrap/>
            <w:vAlign w:val="bottom"/>
            <w:hideMark/>
          </w:tcPr>
          <w:p w14:paraId="72BDB79F" w14:textId="77777777" w:rsidR="005749B8" w:rsidRPr="0051383C" w:rsidRDefault="005749B8" w:rsidP="00E30B90">
            <w:pPr>
              <w:jc w:val="right"/>
              <w:rPr>
                <w:sz w:val="18"/>
                <w:szCs w:val="18"/>
              </w:rPr>
            </w:pPr>
            <w:r w:rsidRPr="0051383C">
              <w:rPr>
                <w:sz w:val="18"/>
                <w:szCs w:val="18"/>
              </w:rPr>
              <w:t>896 100</w:t>
            </w:r>
          </w:p>
        </w:tc>
      </w:tr>
      <w:tr w:rsidR="005749B8" w:rsidRPr="00F77A95" w14:paraId="2512B037" w14:textId="77777777" w:rsidTr="009D46B2">
        <w:trPr>
          <w:trHeight w:val="1275"/>
          <w:jc w:val="center"/>
        </w:trPr>
        <w:tc>
          <w:tcPr>
            <w:tcW w:w="1835" w:type="dxa"/>
            <w:tcBorders>
              <w:top w:val="nil"/>
              <w:left w:val="single" w:sz="4" w:space="0" w:color="auto"/>
              <w:bottom w:val="single" w:sz="4" w:space="0" w:color="auto"/>
              <w:right w:val="single" w:sz="4" w:space="0" w:color="auto"/>
            </w:tcBorders>
            <w:shd w:val="clear" w:color="auto" w:fill="auto"/>
            <w:vAlign w:val="bottom"/>
            <w:hideMark/>
          </w:tcPr>
          <w:p w14:paraId="1CC0C4D4" w14:textId="77777777" w:rsidR="005749B8" w:rsidRPr="00F77A95" w:rsidRDefault="005749B8" w:rsidP="00E30B90">
            <w:pPr>
              <w:rPr>
                <w:rFonts w:ascii="Arial" w:hAnsi="Arial" w:cs="Arial"/>
                <w:sz w:val="18"/>
                <w:szCs w:val="18"/>
              </w:rPr>
            </w:pPr>
            <w:r w:rsidRPr="004A4262">
              <w:rPr>
                <w:sz w:val="18"/>
                <w:szCs w:val="18"/>
              </w:rPr>
              <w:t>Darbinieku, par kuriem maksāta URVN, attiecība pret nodarbināto skaitu (%)</w:t>
            </w:r>
          </w:p>
        </w:tc>
        <w:tc>
          <w:tcPr>
            <w:tcW w:w="1125" w:type="dxa"/>
            <w:tcBorders>
              <w:top w:val="nil"/>
              <w:left w:val="nil"/>
              <w:bottom w:val="single" w:sz="4" w:space="0" w:color="auto"/>
              <w:right w:val="single" w:sz="4" w:space="0" w:color="auto"/>
            </w:tcBorders>
            <w:shd w:val="clear" w:color="auto" w:fill="auto"/>
            <w:noWrap/>
            <w:vAlign w:val="bottom"/>
            <w:hideMark/>
          </w:tcPr>
          <w:p w14:paraId="2A4BB52F" w14:textId="77777777" w:rsidR="005749B8" w:rsidRPr="0051383C" w:rsidRDefault="005749B8" w:rsidP="00E30B90">
            <w:pPr>
              <w:jc w:val="right"/>
              <w:rPr>
                <w:sz w:val="18"/>
                <w:szCs w:val="18"/>
              </w:rPr>
            </w:pPr>
            <w:r w:rsidRPr="0051383C">
              <w:rPr>
                <w:sz w:val="18"/>
                <w:szCs w:val="18"/>
              </w:rPr>
              <w:t>80</w:t>
            </w:r>
          </w:p>
        </w:tc>
        <w:tc>
          <w:tcPr>
            <w:tcW w:w="960" w:type="dxa"/>
            <w:tcBorders>
              <w:top w:val="nil"/>
              <w:left w:val="nil"/>
              <w:bottom w:val="single" w:sz="4" w:space="0" w:color="auto"/>
              <w:right w:val="single" w:sz="4" w:space="0" w:color="auto"/>
            </w:tcBorders>
            <w:shd w:val="clear" w:color="auto" w:fill="auto"/>
            <w:noWrap/>
            <w:vAlign w:val="bottom"/>
            <w:hideMark/>
          </w:tcPr>
          <w:p w14:paraId="3572A072" w14:textId="77777777" w:rsidR="005749B8" w:rsidRPr="0051383C" w:rsidRDefault="005749B8" w:rsidP="00E30B90">
            <w:pPr>
              <w:jc w:val="right"/>
              <w:rPr>
                <w:sz w:val="18"/>
                <w:szCs w:val="18"/>
              </w:rPr>
            </w:pPr>
            <w:r w:rsidRPr="0051383C">
              <w:rPr>
                <w:sz w:val="18"/>
                <w:szCs w:val="18"/>
              </w:rPr>
              <w:t>77</w:t>
            </w:r>
          </w:p>
        </w:tc>
        <w:tc>
          <w:tcPr>
            <w:tcW w:w="960" w:type="dxa"/>
            <w:tcBorders>
              <w:top w:val="nil"/>
              <w:left w:val="nil"/>
              <w:bottom w:val="single" w:sz="4" w:space="0" w:color="auto"/>
              <w:right w:val="single" w:sz="4" w:space="0" w:color="auto"/>
            </w:tcBorders>
            <w:shd w:val="clear" w:color="auto" w:fill="auto"/>
            <w:noWrap/>
            <w:vAlign w:val="bottom"/>
            <w:hideMark/>
          </w:tcPr>
          <w:p w14:paraId="0981FD20" w14:textId="77777777" w:rsidR="005749B8" w:rsidRPr="0051383C" w:rsidRDefault="005749B8" w:rsidP="00E30B90">
            <w:pPr>
              <w:jc w:val="right"/>
              <w:rPr>
                <w:sz w:val="18"/>
                <w:szCs w:val="18"/>
              </w:rPr>
            </w:pPr>
            <w:r w:rsidRPr="0051383C">
              <w:rPr>
                <w:sz w:val="18"/>
                <w:szCs w:val="18"/>
              </w:rPr>
              <w:t>76</w:t>
            </w:r>
          </w:p>
        </w:tc>
        <w:tc>
          <w:tcPr>
            <w:tcW w:w="960" w:type="dxa"/>
            <w:tcBorders>
              <w:top w:val="nil"/>
              <w:left w:val="nil"/>
              <w:bottom w:val="single" w:sz="4" w:space="0" w:color="auto"/>
              <w:right w:val="single" w:sz="4" w:space="0" w:color="auto"/>
            </w:tcBorders>
            <w:shd w:val="clear" w:color="auto" w:fill="auto"/>
            <w:noWrap/>
            <w:vAlign w:val="bottom"/>
            <w:hideMark/>
          </w:tcPr>
          <w:p w14:paraId="5AD86195" w14:textId="77777777" w:rsidR="005749B8" w:rsidRPr="0051383C" w:rsidRDefault="005749B8" w:rsidP="00E30B90">
            <w:pPr>
              <w:jc w:val="right"/>
              <w:rPr>
                <w:sz w:val="18"/>
                <w:szCs w:val="18"/>
              </w:rPr>
            </w:pPr>
            <w:r w:rsidRPr="0051383C">
              <w:rPr>
                <w:sz w:val="18"/>
                <w:szCs w:val="18"/>
              </w:rPr>
              <w:t>76</w:t>
            </w:r>
          </w:p>
        </w:tc>
        <w:tc>
          <w:tcPr>
            <w:tcW w:w="960" w:type="dxa"/>
            <w:tcBorders>
              <w:top w:val="nil"/>
              <w:left w:val="nil"/>
              <w:bottom w:val="single" w:sz="4" w:space="0" w:color="auto"/>
              <w:right w:val="single" w:sz="4" w:space="0" w:color="auto"/>
            </w:tcBorders>
            <w:shd w:val="clear" w:color="auto" w:fill="auto"/>
            <w:noWrap/>
            <w:vAlign w:val="bottom"/>
            <w:hideMark/>
          </w:tcPr>
          <w:p w14:paraId="3A246A5F" w14:textId="77777777" w:rsidR="005749B8" w:rsidRPr="0051383C" w:rsidRDefault="005749B8" w:rsidP="00E30B90">
            <w:pPr>
              <w:jc w:val="right"/>
              <w:rPr>
                <w:sz w:val="18"/>
                <w:szCs w:val="18"/>
              </w:rPr>
            </w:pPr>
            <w:r w:rsidRPr="0051383C">
              <w:rPr>
                <w:sz w:val="18"/>
                <w:szCs w:val="18"/>
              </w:rPr>
              <w:t>77</w:t>
            </w:r>
          </w:p>
        </w:tc>
        <w:tc>
          <w:tcPr>
            <w:tcW w:w="960" w:type="dxa"/>
            <w:tcBorders>
              <w:top w:val="nil"/>
              <w:left w:val="nil"/>
              <w:bottom w:val="single" w:sz="4" w:space="0" w:color="auto"/>
              <w:right w:val="single" w:sz="4" w:space="0" w:color="auto"/>
            </w:tcBorders>
            <w:shd w:val="clear" w:color="auto" w:fill="auto"/>
            <w:noWrap/>
            <w:vAlign w:val="bottom"/>
            <w:hideMark/>
          </w:tcPr>
          <w:p w14:paraId="22117ECD" w14:textId="77777777" w:rsidR="005749B8" w:rsidRPr="0051383C" w:rsidRDefault="005749B8" w:rsidP="00E30B90">
            <w:pPr>
              <w:jc w:val="right"/>
              <w:rPr>
                <w:sz w:val="18"/>
                <w:szCs w:val="18"/>
              </w:rPr>
            </w:pPr>
            <w:r w:rsidRPr="0051383C">
              <w:rPr>
                <w:sz w:val="18"/>
                <w:szCs w:val="18"/>
              </w:rPr>
              <w:t>79</w:t>
            </w:r>
          </w:p>
        </w:tc>
        <w:tc>
          <w:tcPr>
            <w:tcW w:w="960" w:type="dxa"/>
            <w:tcBorders>
              <w:top w:val="nil"/>
              <w:left w:val="nil"/>
              <w:bottom w:val="single" w:sz="4" w:space="0" w:color="auto"/>
              <w:right w:val="single" w:sz="4" w:space="0" w:color="auto"/>
            </w:tcBorders>
            <w:shd w:val="clear" w:color="auto" w:fill="auto"/>
            <w:noWrap/>
            <w:vAlign w:val="bottom"/>
            <w:hideMark/>
          </w:tcPr>
          <w:p w14:paraId="143A5278" w14:textId="77777777" w:rsidR="005749B8" w:rsidRPr="0051383C" w:rsidRDefault="005749B8" w:rsidP="00E30B90">
            <w:pPr>
              <w:jc w:val="right"/>
              <w:rPr>
                <w:sz w:val="18"/>
                <w:szCs w:val="18"/>
              </w:rPr>
            </w:pPr>
            <w:r w:rsidRPr="0051383C">
              <w:rPr>
                <w:sz w:val="18"/>
                <w:szCs w:val="18"/>
              </w:rPr>
              <w:t>79</w:t>
            </w:r>
          </w:p>
        </w:tc>
        <w:tc>
          <w:tcPr>
            <w:tcW w:w="960" w:type="dxa"/>
            <w:tcBorders>
              <w:top w:val="nil"/>
              <w:left w:val="nil"/>
              <w:bottom w:val="single" w:sz="4" w:space="0" w:color="auto"/>
              <w:right w:val="single" w:sz="4" w:space="0" w:color="auto"/>
            </w:tcBorders>
            <w:shd w:val="clear" w:color="auto" w:fill="auto"/>
            <w:noWrap/>
            <w:vAlign w:val="bottom"/>
            <w:hideMark/>
          </w:tcPr>
          <w:p w14:paraId="1C7A90D3" w14:textId="77777777" w:rsidR="005749B8" w:rsidRPr="0051383C" w:rsidRDefault="005749B8" w:rsidP="00E30B90">
            <w:pPr>
              <w:jc w:val="right"/>
              <w:rPr>
                <w:sz w:val="18"/>
                <w:szCs w:val="18"/>
              </w:rPr>
            </w:pPr>
            <w:r w:rsidRPr="0051383C">
              <w:rPr>
                <w:sz w:val="18"/>
                <w:szCs w:val="18"/>
              </w:rPr>
              <w:t>78</w:t>
            </w:r>
          </w:p>
        </w:tc>
      </w:tr>
    </w:tbl>
    <w:p w14:paraId="58FF0558" w14:textId="77777777" w:rsidR="00F15A7C" w:rsidRDefault="00F15A7C" w:rsidP="005749B8">
      <w:pPr>
        <w:tabs>
          <w:tab w:val="left" w:pos="720"/>
        </w:tabs>
        <w:jc w:val="both"/>
        <w:rPr>
          <w:sz w:val="20"/>
          <w:szCs w:val="20"/>
        </w:rPr>
      </w:pPr>
    </w:p>
    <w:p w14:paraId="4A7CF93A" w14:textId="77777777" w:rsidR="00B04B47" w:rsidRDefault="00B04B47" w:rsidP="005749B8">
      <w:pPr>
        <w:tabs>
          <w:tab w:val="left" w:pos="720"/>
        </w:tabs>
        <w:jc w:val="both"/>
        <w:rPr>
          <w:sz w:val="20"/>
          <w:szCs w:val="20"/>
        </w:rPr>
      </w:pPr>
    </w:p>
    <w:p w14:paraId="3772145E" w14:textId="77777777" w:rsidR="005749B8" w:rsidRPr="0015047D" w:rsidRDefault="005749B8" w:rsidP="005749B8">
      <w:pPr>
        <w:tabs>
          <w:tab w:val="left" w:pos="720"/>
        </w:tabs>
        <w:jc w:val="both"/>
        <w:rPr>
          <w:sz w:val="20"/>
          <w:szCs w:val="20"/>
        </w:rPr>
      </w:pPr>
      <w:r w:rsidRPr="0015047D">
        <w:rPr>
          <w:sz w:val="20"/>
          <w:szCs w:val="20"/>
        </w:rPr>
        <w:t>* Saskaņā ar Valsts ieņēmumu dienesta sniegto informāciju</w:t>
      </w:r>
    </w:p>
    <w:p w14:paraId="2E841C03" w14:textId="77777777" w:rsidR="005749B8" w:rsidRPr="0015047D" w:rsidRDefault="005749B8" w:rsidP="005749B8">
      <w:pPr>
        <w:tabs>
          <w:tab w:val="left" w:pos="720"/>
        </w:tabs>
        <w:jc w:val="both"/>
        <w:rPr>
          <w:sz w:val="20"/>
          <w:szCs w:val="20"/>
        </w:rPr>
      </w:pPr>
      <w:r w:rsidRPr="0015047D">
        <w:rPr>
          <w:sz w:val="20"/>
          <w:szCs w:val="20"/>
        </w:rPr>
        <w:t>**Ziņojums par Latvijas tautsaimniecības attīstību (201</w:t>
      </w:r>
      <w:r>
        <w:rPr>
          <w:sz w:val="20"/>
          <w:szCs w:val="20"/>
        </w:rPr>
        <w:t>5</w:t>
      </w:r>
      <w:r w:rsidRPr="0015047D">
        <w:rPr>
          <w:sz w:val="20"/>
          <w:szCs w:val="20"/>
        </w:rPr>
        <w:t>.gada</w:t>
      </w:r>
      <w:r>
        <w:rPr>
          <w:sz w:val="20"/>
          <w:szCs w:val="20"/>
        </w:rPr>
        <w:t xml:space="preserve"> dec.)</w:t>
      </w:r>
      <w:r w:rsidRPr="0015047D">
        <w:rPr>
          <w:sz w:val="20"/>
          <w:szCs w:val="20"/>
        </w:rPr>
        <w:t xml:space="preserve"> un Makroekonomiskais apskats 201</w:t>
      </w:r>
      <w:r>
        <w:rPr>
          <w:sz w:val="20"/>
          <w:szCs w:val="20"/>
        </w:rPr>
        <w:t>6</w:t>
      </w:r>
      <w:r w:rsidRPr="0015047D">
        <w:rPr>
          <w:sz w:val="20"/>
          <w:szCs w:val="20"/>
        </w:rPr>
        <w:t>-</w:t>
      </w:r>
      <w:r>
        <w:rPr>
          <w:sz w:val="20"/>
          <w:szCs w:val="20"/>
        </w:rPr>
        <w:t>1</w:t>
      </w:r>
    </w:p>
    <w:p w14:paraId="1D336BF8" w14:textId="77777777" w:rsidR="005749B8" w:rsidRPr="001E23E1" w:rsidRDefault="005749B8" w:rsidP="005749B8">
      <w:pPr>
        <w:tabs>
          <w:tab w:val="left" w:pos="720"/>
        </w:tabs>
        <w:ind w:firstLine="720"/>
        <w:jc w:val="both"/>
      </w:pPr>
    </w:p>
    <w:p w14:paraId="58C1CA81" w14:textId="77777777" w:rsidR="005749B8" w:rsidRPr="00F15A7C" w:rsidRDefault="005749B8" w:rsidP="005749B8">
      <w:pPr>
        <w:tabs>
          <w:tab w:val="left" w:pos="720"/>
        </w:tabs>
        <w:ind w:firstLine="720"/>
        <w:jc w:val="both"/>
      </w:pPr>
      <w:r w:rsidRPr="00F15A7C">
        <w:t xml:space="preserve">No </w:t>
      </w:r>
      <w:r w:rsidR="00164EBD" w:rsidRPr="00F15A7C">
        <w:t>13</w:t>
      </w:r>
      <w:r w:rsidRPr="00F15A7C">
        <w:t>.tabulā atspoguļotās informācijas redzams, ka, sākot no 2011.gada līdz 2014.gadam, nodarbināto, par kuriem tika maksāta URVN, skaitam ir augoša tendence, kas liecina par zināmu ekonomikas stabilitāti. Pieaugums apstājas 2014.gadā, saglabājot stabilu darbinieku, par kuriem maksāta URVN, procentuālo attiecību pret kopējo nodarbināto skaitu – vidēji 78 procenti.</w:t>
      </w:r>
    </w:p>
    <w:p w14:paraId="1D82A6A9" w14:textId="77777777" w:rsidR="005749B8" w:rsidRPr="00F15A7C" w:rsidRDefault="005749B8" w:rsidP="005749B8">
      <w:pPr>
        <w:tabs>
          <w:tab w:val="left" w:pos="720"/>
        </w:tabs>
        <w:ind w:firstLine="720"/>
        <w:jc w:val="both"/>
      </w:pPr>
      <w:r w:rsidRPr="00F15A7C">
        <w:t>Pieņemot, ka 2009. un 2010.gada rādītāji bija ekonomikas lejupslīdes rādītāji, savukārt 2008.gads vēl bija stabilitātes rādītājs (ekonomikas lejupslīde sākās 2008.gada beigās, un tas vēl neietekmēja pasludināto maksātnespējas procesu rādītājus) un 2011.gads jau ir pirmais stabilizācijas gads, par pamatu turpmākiem aprēķiniem tiks ņemti rādītāji no 2011.gada līdz 2015.gadam.</w:t>
      </w:r>
    </w:p>
    <w:p w14:paraId="3840552C" w14:textId="77777777" w:rsidR="005749B8" w:rsidRDefault="005749B8" w:rsidP="005749B8">
      <w:pPr>
        <w:tabs>
          <w:tab w:val="left" w:pos="720"/>
        </w:tabs>
        <w:ind w:firstLine="720"/>
        <w:jc w:val="both"/>
      </w:pPr>
      <w:r w:rsidRPr="00F15A7C">
        <w:t>Nozīmīgs rādītājs ir darbinieku skaits un vidējā segtā summa katram darbiniekam pa gadiem (skatīt 1</w:t>
      </w:r>
      <w:r w:rsidR="00164EBD" w:rsidRPr="00F15A7C">
        <w:t>4</w:t>
      </w:r>
      <w:r w:rsidRPr="00F15A7C">
        <w:t>.tabulu).</w:t>
      </w:r>
    </w:p>
    <w:p w14:paraId="1710402B" w14:textId="77777777" w:rsidR="00B04B47" w:rsidRPr="00F15A7C" w:rsidRDefault="00B04B47" w:rsidP="005749B8">
      <w:pPr>
        <w:tabs>
          <w:tab w:val="left" w:pos="720"/>
        </w:tabs>
        <w:ind w:firstLine="720"/>
        <w:jc w:val="both"/>
      </w:pPr>
    </w:p>
    <w:p w14:paraId="657A7A86" w14:textId="77777777" w:rsidR="005749B8" w:rsidRPr="00F15A7C" w:rsidRDefault="005749B8" w:rsidP="005749B8">
      <w:pPr>
        <w:tabs>
          <w:tab w:val="left" w:pos="720"/>
        </w:tabs>
        <w:jc w:val="right"/>
      </w:pPr>
      <w:r w:rsidRPr="00F15A7C">
        <w:t>1</w:t>
      </w:r>
      <w:r w:rsidR="00164EBD" w:rsidRPr="00F15A7C">
        <w:t>4</w:t>
      </w:r>
      <w:r w:rsidRPr="00F15A7C">
        <w:t>.tabula</w:t>
      </w:r>
    </w:p>
    <w:p w14:paraId="26BB5CC5" w14:textId="77777777" w:rsidR="005749B8" w:rsidRPr="00F15A7C" w:rsidRDefault="005749B8" w:rsidP="005749B8">
      <w:pPr>
        <w:tabs>
          <w:tab w:val="left" w:pos="720"/>
        </w:tabs>
        <w:jc w:val="right"/>
        <w:rPr>
          <w:b/>
        </w:rPr>
      </w:pPr>
    </w:p>
    <w:p w14:paraId="7CE2AF3B" w14:textId="77777777" w:rsidR="005749B8" w:rsidRPr="001E23E1" w:rsidRDefault="005749B8" w:rsidP="00F15A7C">
      <w:pPr>
        <w:tabs>
          <w:tab w:val="left" w:pos="720"/>
        </w:tabs>
        <w:spacing w:after="120"/>
        <w:jc w:val="center"/>
        <w:rPr>
          <w:b/>
          <w:sz w:val="28"/>
          <w:szCs w:val="28"/>
        </w:rPr>
      </w:pPr>
      <w:r w:rsidRPr="00F15A7C">
        <w:rPr>
          <w:b/>
        </w:rPr>
        <w:t xml:space="preserve">Vidējā summa uz darbinieku, kas izmaksāta, apmierinot darbinieku prasījumus no 2011.gada līdz 2015.gadam, </w:t>
      </w:r>
      <w:r w:rsidRPr="00F15A7C">
        <w:rPr>
          <w:b/>
          <w:i/>
        </w:rPr>
        <w:t>euro</w:t>
      </w:r>
    </w:p>
    <w:tbl>
      <w:tblPr>
        <w:tblW w:w="7120" w:type="dxa"/>
        <w:jc w:val="center"/>
        <w:tblLook w:val="04A0" w:firstRow="1" w:lastRow="0" w:firstColumn="1" w:lastColumn="0" w:noHBand="0" w:noVBand="1"/>
      </w:tblPr>
      <w:tblGrid>
        <w:gridCol w:w="2520"/>
        <w:gridCol w:w="1296"/>
        <w:gridCol w:w="1180"/>
        <w:gridCol w:w="1017"/>
        <w:gridCol w:w="1200"/>
      </w:tblGrid>
      <w:tr w:rsidR="005749B8" w:rsidRPr="009822A3" w14:paraId="770CDA10" w14:textId="77777777" w:rsidTr="00877450">
        <w:trPr>
          <w:trHeight w:val="94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5715" w14:textId="77777777" w:rsidR="005749B8" w:rsidRPr="009822A3" w:rsidRDefault="005749B8" w:rsidP="00E30B90">
            <w:pPr>
              <w:rPr>
                <w:b/>
              </w:rPr>
            </w:pPr>
            <w:r w:rsidRPr="009822A3">
              <w:rPr>
                <w:b/>
              </w:rPr>
              <w:t>Maksātnespējas procesa pasludināšanas gads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73E82CB" w14:textId="77777777" w:rsidR="005749B8" w:rsidRPr="009822A3" w:rsidRDefault="005749B8" w:rsidP="00E30B90">
            <w:pPr>
              <w:rPr>
                <w:b/>
              </w:rPr>
            </w:pPr>
            <w:r w:rsidRPr="009822A3">
              <w:rPr>
                <w:b/>
              </w:rPr>
              <w:t>Prasījumu segšanas gads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42C6822" w14:textId="77777777" w:rsidR="005749B8" w:rsidRPr="009822A3" w:rsidRDefault="005749B8" w:rsidP="00E30B90">
            <w:pPr>
              <w:rPr>
                <w:b/>
              </w:rPr>
            </w:pPr>
            <w:r w:rsidRPr="009822A3">
              <w:rPr>
                <w:b/>
              </w:rPr>
              <w:t>Summa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6A3B7A4" w14:textId="77777777" w:rsidR="005749B8" w:rsidRPr="009822A3" w:rsidRDefault="005749B8" w:rsidP="00E30B90">
            <w:pPr>
              <w:rPr>
                <w:b/>
              </w:rPr>
            </w:pPr>
            <w:r w:rsidRPr="009822A3">
              <w:rPr>
                <w:b/>
              </w:rPr>
              <w:t>Cilvēku skaits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1C8FFDE" w14:textId="77777777" w:rsidR="005749B8" w:rsidRPr="009822A3" w:rsidRDefault="005749B8" w:rsidP="00E30B90">
            <w:pPr>
              <w:rPr>
                <w:b/>
              </w:rPr>
            </w:pPr>
            <w:r w:rsidRPr="009822A3">
              <w:rPr>
                <w:b/>
              </w:rPr>
              <w:t>Vidēji uz cilvēku</w:t>
            </w:r>
          </w:p>
        </w:tc>
      </w:tr>
      <w:tr w:rsidR="005749B8" w14:paraId="0B105EDB" w14:textId="77777777" w:rsidTr="00877450">
        <w:trPr>
          <w:trHeight w:val="315"/>
          <w:jc w:val="center"/>
        </w:trPr>
        <w:tc>
          <w:tcPr>
            <w:tcW w:w="2520" w:type="dxa"/>
            <w:vMerge w:val="restart"/>
            <w:tcBorders>
              <w:top w:val="nil"/>
              <w:left w:val="single" w:sz="4" w:space="0" w:color="auto"/>
              <w:bottom w:val="single" w:sz="4" w:space="0" w:color="000000"/>
              <w:right w:val="single" w:sz="4" w:space="0" w:color="auto"/>
            </w:tcBorders>
            <w:shd w:val="clear" w:color="auto" w:fill="auto"/>
            <w:vAlign w:val="bottom"/>
            <w:hideMark/>
          </w:tcPr>
          <w:p w14:paraId="43167FAA" w14:textId="77777777" w:rsidR="005749B8" w:rsidRDefault="005749B8" w:rsidP="00E30B90">
            <w:pPr>
              <w:jc w:val="center"/>
            </w:pPr>
            <w:r>
              <w:t>2011.gads</w:t>
            </w:r>
          </w:p>
        </w:tc>
        <w:tc>
          <w:tcPr>
            <w:tcW w:w="1240" w:type="dxa"/>
            <w:tcBorders>
              <w:top w:val="nil"/>
              <w:left w:val="nil"/>
              <w:bottom w:val="single" w:sz="4" w:space="0" w:color="auto"/>
              <w:right w:val="single" w:sz="4" w:space="0" w:color="auto"/>
            </w:tcBorders>
            <w:shd w:val="clear" w:color="auto" w:fill="auto"/>
            <w:noWrap/>
            <w:vAlign w:val="bottom"/>
            <w:hideMark/>
          </w:tcPr>
          <w:p w14:paraId="512C6D4E" w14:textId="77777777" w:rsidR="005749B8" w:rsidRDefault="005749B8" w:rsidP="00E30B90">
            <w:pPr>
              <w:jc w:val="right"/>
            </w:pPr>
            <w:r>
              <w:t>2011</w:t>
            </w:r>
          </w:p>
        </w:tc>
        <w:tc>
          <w:tcPr>
            <w:tcW w:w="1180" w:type="dxa"/>
            <w:tcBorders>
              <w:top w:val="nil"/>
              <w:left w:val="nil"/>
              <w:bottom w:val="single" w:sz="4" w:space="0" w:color="auto"/>
              <w:right w:val="single" w:sz="4" w:space="0" w:color="auto"/>
            </w:tcBorders>
            <w:shd w:val="clear" w:color="auto" w:fill="auto"/>
            <w:noWrap/>
            <w:vAlign w:val="bottom"/>
            <w:hideMark/>
          </w:tcPr>
          <w:p w14:paraId="306A2D4B" w14:textId="77777777" w:rsidR="005749B8" w:rsidRDefault="005749B8" w:rsidP="00E30B90">
            <w:pPr>
              <w:jc w:val="right"/>
            </w:pPr>
            <w:r>
              <w:t>73 329</w:t>
            </w:r>
          </w:p>
        </w:tc>
        <w:tc>
          <w:tcPr>
            <w:tcW w:w="980" w:type="dxa"/>
            <w:tcBorders>
              <w:top w:val="nil"/>
              <w:left w:val="nil"/>
              <w:bottom w:val="single" w:sz="4" w:space="0" w:color="auto"/>
              <w:right w:val="single" w:sz="4" w:space="0" w:color="auto"/>
            </w:tcBorders>
            <w:shd w:val="clear" w:color="auto" w:fill="auto"/>
            <w:noWrap/>
            <w:vAlign w:val="bottom"/>
            <w:hideMark/>
          </w:tcPr>
          <w:p w14:paraId="7458558F" w14:textId="77777777" w:rsidR="005749B8" w:rsidRDefault="005749B8" w:rsidP="00E30B90">
            <w:pPr>
              <w:jc w:val="right"/>
            </w:pPr>
            <w:r>
              <w:t>106</w:t>
            </w:r>
          </w:p>
        </w:tc>
        <w:tc>
          <w:tcPr>
            <w:tcW w:w="1200" w:type="dxa"/>
            <w:tcBorders>
              <w:top w:val="nil"/>
              <w:left w:val="nil"/>
              <w:bottom w:val="single" w:sz="4" w:space="0" w:color="auto"/>
              <w:right w:val="single" w:sz="4" w:space="0" w:color="auto"/>
            </w:tcBorders>
            <w:shd w:val="clear" w:color="auto" w:fill="auto"/>
            <w:noWrap/>
            <w:vAlign w:val="bottom"/>
            <w:hideMark/>
          </w:tcPr>
          <w:p w14:paraId="7BD73B71" w14:textId="77777777" w:rsidR="005749B8" w:rsidRDefault="005749B8" w:rsidP="00E30B90">
            <w:pPr>
              <w:jc w:val="right"/>
            </w:pPr>
            <w:r>
              <w:t>692</w:t>
            </w:r>
          </w:p>
        </w:tc>
      </w:tr>
      <w:tr w:rsidR="005749B8" w14:paraId="71D250CF"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0E13B454"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24F9B9E8" w14:textId="77777777" w:rsidR="005749B8" w:rsidRDefault="005749B8" w:rsidP="00E30B90">
            <w:pPr>
              <w:jc w:val="right"/>
            </w:pPr>
            <w:r>
              <w:t>2012</w:t>
            </w:r>
          </w:p>
        </w:tc>
        <w:tc>
          <w:tcPr>
            <w:tcW w:w="1180" w:type="dxa"/>
            <w:tcBorders>
              <w:top w:val="nil"/>
              <w:left w:val="nil"/>
              <w:bottom w:val="single" w:sz="4" w:space="0" w:color="auto"/>
              <w:right w:val="single" w:sz="4" w:space="0" w:color="auto"/>
            </w:tcBorders>
            <w:shd w:val="clear" w:color="auto" w:fill="auto"/>
            <w:noWrap/>
            <w:vAlign w:val="bottom"/>
            <w:hideMark/>
          </w:tcPr>
          <w:p w14:paraId="1B5DC663" w14:textId="77777777" w:rsidR="005749B8" w:rsidRDefault="005749B8" w:rsidP="00E30B90">
            <w:pPr>
              <w:jc w:val="right"/>
            </w:pPr>
            <w:r>
              <w:t>744 836</w:t>
            </w:r>
          </w:p>
        </w:tc>
        <w:tc>
          <w:tcPr>
            <w:tcW w:w="980" w:type="dxa"/>
            <w:tcBorders>
              <w:top w:val="nil"/>
              <w:left w:val="nil"/>
              <w:bottom w:val="single" w:sz="4" w:space="0" w:color="auto"/>
              <w:right w:val="single" w:sz="4" w:space="0" w:color="auto"/>
            </w:tcBorders>
            <w:shd w:val="clear" w:color="auto" w:fill="auto"/>
            <w:noWrap/>
            <w:vAlign w:val="bottom"/>
            <w:hideMark/>
          </w:tcPr>
          <w:p w14:paraId="779073EA" w14:textId="77777777" w:rsidR="005749B8" w:rsidRDefault="005749B8" w:rsidP="00E30B90">
            <w:pPr>
              <w:jc w:val="right"/>
            </w:pPr>
            <w:r>
              <w:t>988</w:t>
            </w:r>
          </w:p>
        </w:tc>
        <w:tc>
          <w:tcPr>
            <w:tcW w:w="1200" w:type="dxa"/>
            <w:tcBorders>
              <w:top w:val="nil"/>
              <w:left w:val="nil"/>
              <w:bottom w:val="single" w:sz="4" w:space="0" w:color="auto"/>
              <w:right w:val="single" w:sz="4" w:space="0" w:color="auto"/>
            </w:tcBorders>
            <w:shd w:val="clear" w:color="auto" w:fill="auto"/>
            <w:noWrap/>
            <w:vAlign w:val="bottom"/>
            <w:hideMark/>
          </w:tcPr>
          <w:p w14:paraId="7BBBE1CC" w14:textId="77777777" w:rsidR="005749B8" w:rsidRDefault="005749B8" w:rsidP="00E30B90">
            <w:pPr>
              <w:jc w:val="right"/>
            </w:pPr>
            <w:r>
              <w:t>754</w:t>
            </w:r>
          </w:p>
        </w:tc>
      </w:tr>
      <w:tr w:rsidR="005749B8" w14:paraId="0B03E46D"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2C72FF39"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52B60872" w14:textId="77777777" w:rsidR="005749B8" w:rsidRDefault="005749B8" w:rsidP="00E30B90">
            <w:pPr>
              <w:jc w:val="right"/>
            </w:pPr>
            <w:r>
              <w:t>2013</w:t>
            </w:r>
          </w:p>
        </w:tc>
        <w:tc>
          <w:tcPr>
            <w:tcW w:w="1180" w:type="dxa"/>
            <w:tcBorders>
              <w:top w:val="nil"/>
              <w:left w:val="nil"/>
              <w:bottom w:val="single" w:sz="4" w:space="0" w:color="auto"/>
              <w:right w:val="single" w:sz="4" w:space="0" w:color="auto"/>
            </w:tcBorders>
            <w:shd w:val="clear" w:color="auto" w:fill="auto"/>
            <w:noWrap/>
            <w:vAlign w:val="bottom"/>
            <w:hideMark/>
          </w:tcPr>
          <w:p w14:paraId="2C6ED5FB" w14:textId="77777777" w:rsidR="005749B8" w:rsidRDefault="005749B8" w:rsidP="00E30B90">
            <w:pPr>
              <w:jc w:val="right"/>
            </w:pPr>
            <w:r>
              <w:t>37 874</w:t>
            </w:r>
          </w:p>
        </w:tc>
        <w:tc>
          <w:tcPr>
            <w:tcW w:w="980" w:type="dxa"/>
            <w:tcBorders>
              <w:top w:val="nil"/>
              <w:left w:val="nil"/>
              <w:bottom w:val="single" w:sz="4" w:space="0" w:color="auto"/>
              <w:right w:val="single" w:sz="4" w:space="0" w:color="auto"/>
            </w:tcBorders>
            <w:shd w:val="clear" w:color="auto" w:fill="auto"/>
            <w:noWrap/>
            <w:vAlign w:val="bottom"/>
            <w:hideMark/>
          </w:tcPr>
          <w:p w14:paraId="3313CC7C" w14:textId="77777777" w:rsidR="005749B8" w:rsidRDefault="005749B8" w:rsidP="00E30B90">
            <w:pPr>
              <w:jc w:val="right"/>
            </w:pPr>
            <w:r>
              <w:t>46</w:t>
            </w:r>
          </w:p>
        </w:tc>
        <w:tc>
          <w:tcPr>
            <w:tcW w:w="1200" w:type="dxa"/>
            <w:tcBorders>
              <w:top w:val="nil"/>
              <w:left w:val="nil"/>
              <w:bottom w:val="single" w:sz="4" w:space="0" w:color="auto"/>
              <w:right w:val="single" w:sz="4" w:space="0" w:color="auto"/>
            </w:tcBorders>
            <w:shd w:val="clear" w:color="auto" w:fill="auto"/>
            <w:noWrap/>
            <w:vAlign w:val="bottom"/>
            <w:hideMark/>
          </w:tcPr>
          <w:p w14:paraId="199883C5" w14:textId="77777777" w:rsidR="005749B8" w:rsidRDefault="005749B8" w:rsidP="00E30B90">
            <w:pPr>
              <w:jc w:val="right"/>
            </w:pPr>
            <w:r>
              <w:t>823</w:t>
            </w:r>
          </w:p>
        </w:tc>
      </w:tr>
      <w:tr w:rsidR="005749B8" w14:paraId="77FE7354"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2F5EE47E"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667086C5" w14:textId="77777777" w:rsidR="005749B8" w:rsidRDefault="005749B8" w:rsidP="00E30B90">
            <w:pPr>
              <w:jc w:val="right"/>
            </w:pPr>
            <w:r>
              <w:t>2014</w:t>
            </w:r>
          </w:p>
        </w:tc>
        <w:tc>
          <w:tcPr>
            <w:tcW w:w="1180" w:type="dxa"/>
            <w:tcBorders>
              <w:top w:val="nil"/>
              <w:left w:val="nil"/>
              <w:bottom w:val="single" w:sz="4" w:space="0" w:color="auto"/>
              <w:right w:val="single" w:sz="4" w:space="0" w:color="auto"/>
            </w:tcBorders>
            <w:shd w:val="clear" w:color="auto" w:fill="auto"/>
            <w:noWrap/>
            <w:vAlign w:val="bottom"/>
            <w:hideMark/>
          </w:tcPr>
          <w:p w14:paraId="05EF1AF9" w14:textId="77777777" w:rsidR="005749B8" w:rsidRDefault="005749B8" w:rsidP="00E30B90">
            <w:pPr>
              <w:jc w:val="right"/>
            </w:pPr>
            <w:r>
              <w:t>424</w:t>
            </w:r>
          </w:p>
        </w:tc>
        <w:tc>
          <w:tcPr>
            <w:tcW w:w="980" w:type="dxa"/>
            <w:tcBorders>
              <w:top w:val="nil"/>
              <w:left w:val="nil"/>
              <w:bottom w:val="single" w:sz="4" w:space="0" w:color="auto"/>
              <w:right w:val="single" w:sz="4" w:space="0" w:color="auto"/>
            </w:tcBorders>
            <w:shd w:val="clear" w:color="auto" w:fill="auto"/>
            <w:noWrap/>
            <w:vAlign w:val="bottom"/>
            <w:hideMark/>
          </w:tcPr>
          <w:p w14:paraId="40EA690C" w14:textId="77777777" w:rsidR="005749B8" w:rsidRDefault="005749B8" w:rsidP="00E30B90">
            <w:pPr>
              <w:jc w:val="right"/>
            </w:pPr>
            <w:r>
              <w:t>1</w:t>
            </w:r>
          </w:p>
        </w:tc>
        <w:tc>
          <w:tcPr>
            <w:tcW w:w="1200" w:type="dxa"/>
            <w:tcBorders>
              <w:top w:val="nil"/>
              <w:left w:val="nil"/>
              <w:bottom w:val="single" w:sz="4" w:space="0" w:color="auto"/>
              <w:right w:val="single" w:sz="4" w:space="0" w:color="auto"/>
            </w:tcBorders>
            <w:shd w:val="clear" w:color="auto" w:fill="auto"/>
            <w:noWrap/>
            <w:vAlign w:val="bottom"/>
            <w:hideMark/>
          </w:tcPr>
          <w:p w14:paraId="7BCCB9BD" w14:textId="77777777" w:rsidR="005749B8" w:rsidRDefault="005749B8" w:rsidP="00E30B90">
            <w:pPr>
              <w:jc w:val="right"/>
            </w:pPr>
            <w:r>
              <w:t>424</w:t>
            </w:r>
          </w:p>
        </w:tc>
      </w:tr>
      <w:tr w:rsidR="005749B8" w14:paraId="7A009D0E"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779B5E77"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1E83EC4D" w14:textId="77777777" w:rsidR="005749B8" w:rsidRDefault="005749B8" w:rsidP="00E30B90">
            <w:pPr>
              <w:jc w:val="right"/>
            </w:pPr>
            <w:r>
              <w:t>2015</w:t>
            </w:r>
          </w:p>
        </w:tc>
        <w:tc>
          <w:tcPr>
            <w:tcW w:w="1180" w:type="dxa"/>
            <w:tcBorders>
              <w:top w:val="nil"/>
              <w:left w:val="nil"/>
              <w:bottom w:val="single" w:sz="4" w:space="0" w:color="auto"/>
              <w:right w:val="single" w:sz="4" w:space="0" w:color="auto"/>
            </w:tcBorders>
            <w:shd w:val="clear" w:color="auto" w:fill="auto"/>
            <w:noWrap/>
            <w:vAlign w:val="bottom"/>
            <w:hideMark/>
          </w:tcPr>
          <w:p w14:paraId="460CFD32" w14:textId="77777777" w:rsidR="005749B8" w:rsidRDefault="005749B8" w:rsidP="00E30B90">
            <w:pPr>
              <w:jc w:val="right"/>
            </w:pPr>
            <w:r>
              <w:t>2 675</w:t>
            </w:r>
          </w:p>
        </w:tc>
        <w:tc>
          <w:tcPr>
            <w:tcW w:w="980" w:type="dxa"/>
            <w:tcBorders>
              <w:top w:val="nil"/>
              <w:left w:val="nil"/>
              <w:bottom w:val="single" w:sz="4" w:space="0" w:color="auto"/>
              <w:right w:val="single" w:sz="4" w:space="0" w:color="auto"/>
            </w:tcBorders>
            <w:shd w:val="clear" w:color="auto" w:fill="auto"/>
            <w:vAlign w:val="bottom"/>
            <w:hideMark/>
          </w:tcPr>
          <w:p w14:paraId="7B5A3BFB" w14:textId="77777777" w:rsidR="005749B8" w:rsidRDefault="005749B8" w:rsidP="00E30B90">
            <w:pPr>
              <w:jc w:val="right"/>
            </w:pPr>
            <w:r>
              <w:t>5</w:t>
            </w:r>
          </w:p>
        </w:tc>
        <w:tc>
          <w:tcPr>
            <w:tcW w:w="1200" w:type="dxa"/>
            <w:tcBorders>
              <w:top w:val="nil"/>
              <w:left w:val="nil"/>
              <w:bottom w:val="single" w:sz="4" w:space="0" w:color="auto"/>
              <w:right w:val="single" w:sz="4" w:space="0" w:color="auto"/>
            </w:tcBorders>
            <w:shd w:val="clear" w:color="auto" w:fill="auto"/>
            <w:noWrap/>
            <w:vAlign w:val="bottom"/>
            <w:hideMark/>
          </w:tcPr>
          <w:p w14:paraId="4FBBFDB3" w14:textId="77777777" w:rsidR="005749B8" w:rsidRDefault="005749B8" w:rsidP="00E30B90">
            <w:pPr>
              <w:jc w:val="right"/>
            </w:pPr>
            <w:r>
              <w:t>535</w:t>
            </w:r>
          </w:p>
        </w:tc>
      </w:tr>
      <w:tr w:rsidR="005749B8" w14:paraId="0905C87F" w14:textId="77777777" w:rsidTr="00877450">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04962AE9" w14:textId="77777777" w:rsidR="005749B8" w:rsidRDefault="005749B8" w:rsidP="00E30B90">
            <w:pPr>
              <w:jc w:val="center"/>
            </w:pPr>
            <w:r>
              <w:t> </w:t>
            </w:r>
          </w:p>
        </w:tc>
        <w:tc>
          <w:tcPr>
            <w:tcW w:w="1240" w:type="dxa"/>
            <w:tcBorders>
              <w:top w:val="nil"/>
              <w:left w:val="nil"/>
              <w:bottom w:val="single" w:sz="4" w:space="0" w:color="auto"/>
              <w:right w:val="single" w:sz="4" w:space="0" w:color="auto"/>
            </w:tcBorders>
            <w:shd w:val="clear" w:color="auto" w:fill="auto"/>
            <w:noWrap/>
            <w:vAlign w:val="bottom"/>
            <w:hideMark/>
          </w:tcPr>
          <w:p w14:paraId="0FF8D3D6" w14:textId="77777777" w:rsidR="005749B8" w:rsidRDefault="005749B8" w:rsidP="00E30B90">
            <w:pPr>
              <w:rPr>
                <w:b/>
                <w:bCs/>
              </w:rPr>
            </w:pPr>
            <w:r>
              <w:rPr>
                <w:b/>
                <w:bCs/>
              </w:rPr>
              <w:t>Kopā</w:t>
            </w:r>
          </w:p>
        </w:tc>
        <w:tc>
          <w:tcPr>
            <w:tcW w:w="1180" w:type="dxa"/>
            <w:tcBorders>
              <w:top w:val="nil"/>
              <w:left w:val="nil"/>
              <w:bottom w:val="single" w:sz="4" w:space="0" w:color="auto"/>
              <w:right w:val="single" w:sz="4" w:space="0" w:color="auto"/>
            </w:tcBorders>
            <w:shd w:val="clear" w:color="auto" w:fill="auto"/>
            <w:noWrap/>
            <w:vAlign w:val="bottom"/>
            <w:hideMark/>
          </w:tcPr>
          <w:p w14:paraId="57E36C24" w14:textId="77777777" w:rsidR="005749B8" w:rsidRDefault="005749B8" w:rsidP="00E30B90">
            <w:pPr>
              <w:jc w:val="right"/>
              <w:rPr>
                <w:b/>
                <w:bCs/>
              </w:rPr>
            </w:pPr>
            <w:r>
              <w:rPr>
                <w:b/>
                <w:bCs/>
              </w:rPr>
              <w:t>859 139</w:t>
            </w:r>
          </w:p>
        </w:tc>
        <w:tc>
          <w:tcPr>
            <w:tcW w:w="980" w:type="dxa"/>
            <w:tcBorders>
              <w:top w:val="nil"/>
              <w:left w:val="nil"/>
              <w:bottom w:val="single" w:sz="4" w:space="0" w:color="auto"/>
              <w:right w:val="single" w:sz="4" w:space="0" w:color="auto"/>
            </w:tcBorders>
            <w:shd w:val="clear" w:color="auto" w:fill="auto"/>
            <w:noWrap/>
            <w:vAlign w:val="bottom"/>
            <w:hideMark/>
          </w:tcPr>
          <w:p w14:paraId="4AB89225" w14:textId="77777777" w:rsidR="005749B8" w:rsidRDefault="005749B8" w:rsidP="00E30B90">
            <w:pPr>
              <w:jc w:val="right"/>
              <w:rPr>
                <w:b/>
                <w:bCs/>
              </w:rPr>
            </w:pPr>
            <w:r>
              <w:rPr>
                <w:b/>
                <w:bCs/>
              </w:rPr>
              <w:t>1 146</w:t>
            </w:r>
          </w:p>
        </w:tc>
        <w:tc>
          <w:tcPr>
            <w:tcW w:w="1200" w:type="dxa"/>
            <w:tcBorders>
              <w:top w:val="nil"/>
              <w:left w:val="nil"/>
              <w:bottom w:val="single" w:sz="4" w:space="0" w:color="auto"/>
              <w:right w:val="single" w:sz="4" w:space="0" w:color="auto"/>
            </w:tcBorders>
            <w:shd w:val="clear" w:color="auto" w:fill="auto"/>
            <w:vAlign w:val="bottom"/>
            <w:hideMark/>
          </w:tcPr>
          <w:p w14:paraId="25CB72F4" w14:textId="77777777" w:rsidR="005749B8" w:rsidRDefault="005749B8" w:rsidP="00E30B90">
            <w:pPr>
              <w:jc w:val="right"/>
              <w:rPr>
                <w:b/>
                <w:bCs/>
              </w:rPr>
            </w:pPr>
            <w:r>
              <w:rPr>
                <w:b/>
                <w:bCs/>
              </w:rPr>
              <w:t>750</w:t>
            </w:r>
          </w:p>
        </w:tc>
      </w:tr>
      <w:tr w:rsidR="005749B8" w14:paraId="44F79F8B" w14:textId="77777777" w:rsidTr="00877450">
        <w:trPr>
          <w:trHeight w:val="315"/>
          <w:jc w:val="center"/>
        </w:trPr>
        <w:tc>
          <w:tcPr>
            <w:tcW w:w="2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E9590C" w14:textId="77777777" w:rsidR="005749B8" w:rsidRDefault="005749B8" w:rsidP="00E30B90">
            <w:pPr>
              <w:jc w:val="center"/>
            </w:pPr>
            <w:r>
              <w:t>2012.gads</w:t>
            </w:r>
          </w:p>
        </w:tc>
        <w:tc>
          <w:tcPr>
            <w:tcW w:w="1240" w:type="dxa"/>
            <w:tcBorders>
              <w:top w:val="nil"/>
              <w:left w:val="nil"/>
              <w:bottom w:val="single" w:sz="4" w:space="0" w:color="auto"/>
              <w:right w:val="single" w:sz="4" w:space="0" w:color="auto"/>
            </w:tcBorders>
            <w:shd w:val="clear" w:color="auto" w:fill="auto"/>
            <w:noWrap/>
            <w:vAlign w:val="bottom"/>
            <w:hideMark/>
          </w:tcPr>
          <w:p w14:paraId="3C0A01F1" w14:textId="77777777" w:rsidR="005749B8" w:rsidRDefault="005749B8" w:rsidP="00E30B90">
            <w:pPr>
              <w:jc w:val="right"/>
            </w:pPr>
            <w:r>
              <w:t>2012</w:t>
            </w:r>
          </w:p>
        </w:tc>
        <w:tc>
          <w:tcPr>
            <w:tcW w:w="1180" w:type="dxa"/>
            <w:tcBorders>
              <w:top w:val="nil"/>
              <w:left w:val="nil"/>
              <w:bottom w:val="single" w:sz="4" w:space="0" w:color="auto"/>
              <w:right w:val="single" w:sz="4" w:space="0" w:color="auto"/>
            </w:tcBorders>
            <w:shd w:val="clear" w:color="auto" w:fill="auto"/>
            <w:noWrap/>
            <w:vAlign w:val="bottom"/>
            <w:hideMark/>
          </w:tcPr>
          <w:p w14:paraId="66F9598F" w14:textId="77777777" w:rsidR="005749B8" w:rsidRDefault="005749B8" w:rsidP="00E30B90">
            <w:pPr>
              <w:jc w:val="right"/>
            </w:pPr>
            <w:r>
              <w:t>135 216</w:t>
            </w:r>
          </w:p>
        </w:tc>
        <w:tc>
          <w:tcPr>
            <w:tcW w:w="980" w:type="dxa"/>
            <w:tcBorders>
              <w:top w:val="nil"/>
              <w:left w:val="nil"/>
              <w:bottom w:val="single" w:sz="4" w:space="0" w:color="auto"/>
              <w:right w:val="single" w:sz="4" w:space="0" w:color="auto"/>
            </w:tcBorders>
            <w:shd w:val="clear" w:color="auto" w:fill="auto"/>
            <w:noWrap/>
            <w:vAlign w:val="bottom"/>
            <w:hideMark/>
          </w:tcPr>
          <w:p w14:paraId="06EDA915" w14:textId="77777777" w:rsidR="005749B8" w:rsidRDefault="005749B8" w:rsidP="00E30B90">
            <w:pPr>
              <w:jc w:val="right"/>
            </w:pPr>
            <w:r>
              <w:t>231</w:t>
            </w:r>
          </w:p>
        </w:tc>
        <w:tc>
          <w:tcPr>
            <w:tcW w:w="1200" w:type="dxa"/>
            <w:tcBorders>
              <w:top w:val="nil"/>
              <w:left w:val="nil"/>
              <w:bottom w:val="single" w:sz="4" w:space="0" w:color="auto"/>
              <w:right w:val="single" w:sz="4" w:space="0" w:color="auto"/>
            </w:tcBorders>
            <w:shd w:val="clear" w:color="auto" w:fill="auto"/>
            <w:noWrap/>
            <w:vAlign w:val="bottom"/>
            <w:hideMark/>
          </w:tcPr>
          <w:p w14:paraId="667C2DD8" w14:textId="77777777" w:rsidR="005749B8" w:rsidRDefault="005749B8" w:rsidP="00E30B90">
            <w:pPr>
              <w:jc w:val="right"/>
            </w:pPr>
            <w:r>
              <w:t>585</w:t>
            </w:r>
          </w:p>
        </w:tc>
      </w:tr>
      <w:tr w:rsidR="005749B8" w14:paraId="59821D4F"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6AB07CCC"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0FB08E21" w14:textId="77777777" w:rsidR="005749B8" w:rsidRDefault="005749B8" w:rsidP="00E30B90">
            <w:pPr>
              <w:jc w:val="right"/>
            </w:pPr>
            <w:r>
              <w:t>2013</w:t>
            </w:r>
          </w:p>
        </w:tc>
        <w:tc>
          <w:tcPr>
            <w:tcW w:w="1180" w:type="dxa"/>
            <w:tcBorders>
              <w:top w:val="nil"/>
              <w:left w:val="nil"/>
              <w:bottom w:val="single" w:sz="4" w:space="0" w:color="auto"/>
              <w:right w:val="single" w:sz="4" w:space="0" w:color="auto"/>
            </w:tcBorders>
            <w:shd w:val="clear" w:color="auto" w:fill="auto"/>
            <w:noWrap/>
            <w:vAlign w:val="bottom"/>
            <w:hideMark/>
          </w:tcPr>
          <w:p w14:paraId="034950AC" w14:textId="77777777" w:rsidR="005749B8" w:rsidRDefault="005749B8" w:rsidP="00E30B90">
            <w:pPr>
              <w:jc w:val="right"/>
            </w:pPr>
            <w:r>
              <w:t>506 658</w:t>
            </w:r>
          </w:p>
        </w:tc>
        <w:tc>
          <w:tcPr>
            <w:tcW w:w="980" w:type="dxa"/>
            <w:tcBorders>
              <w:top w:val="nil"/>
              <w:left w:val="nil"/>
              <w:bottom w:val="single" w:sz="4" w:space="0" w:color="auto"/>
              <w:right w:val="single" w:sz="4" w:space="0" w:color="auto"/>
            </w:tcBorders>
            <w:shd w:val="clear" w:color="auto" w:fill="auto"/>
            <w:noWrap/>
            <w:vAlign w:val="bottom"/>
            <w:hideMark/>
          </w:tcPr>
          <w:p w14:paraId="2EA8914E" w14:textId="77777777" w:rsidR="005749B8" w:rsidRDefault="005749B8" w:rsidP="00E30B90">
            <w:pPr>
              <w:jc w:val="right"/>
            </w:pPr>
            <w:r>
              <w:t>566</w:t>
            </w:r>
          </w:p>
        </w:tc>
        <w:tc>
          <w:tcPr>
            <w:tcW w:w="1200" w:type="dxa"/>
            <w:tcBorders>
              <w:top w:val="nil"/>
              <w:left w:val="nil"/>
              <w:bottom w:val="single" w:sz="4" w:space="0" w:color="auto"/>
              <w:right w:val="single" w:sz="4" w:space="0" w:color="auto"/>
            </w:tcBorders>
            <w:shd w:val="clear" w:color="auto" w:fill="auto"/>
            <w:noWrap/>
            <w:vAlign w:val="bottom"/>
            <w:hideMark/>
          </w:tcPr>
          <w:p w14:paraId="13DB275F" w14:textId="77777777" w:rsidR="005749B8" w:rsidRDefault="005749B8" w:rsidP="00E30B90">
            <w:pPr>
              <w:jc w:val="right"/>
            </w:pPr>
            <w:r>
              <w:t>895</w:t>
            </w:r>
          </w:p>
        </w:tc>
      </w:tr>
      <w:tr w:rsidR="005749B8" w14:paraId="28697FD1"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6FAB4992"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19325922" w14:textId="77777777" w:rsidR="005749B8" w:rsidRDefault="005749B8" w:rsidP="00E30B90">
            <w:pPr>
              <w:jc w:val="right"/>
            </w:pPr>
            <w:r>
              <w:t>2014</w:t>
            </w:r>
          </w:p>
        </w:tc>
        <w:tc>
          <w:tcPr>
            <w:tcW w:w="1180" w:type="dxa"/>
            <w:tcBorders>
              <w:top w:val="nil"/>
              <w:left w:val="nil"/>
              <w:bottom w:val="single" w:sz="4" w:space="0" w:color="auto"/>
              <w:right w:val="single" w:sz="4" w:space="0" w:color="auto"/>
            </w:tcBorders>
            <w:shd w:val="clear" w:color="auto" w:fill="auto"/>
            <w:noWrap/>
            <w:vAlign w:val="bottom"/>
            <w:hideMark/>
          </w:tcPr>
          <w:p w14:paraId="3B9220D4" w14:textId="77777777" w:rsidR="005749B8" w:rsidRDefault="005749B8" w:rsidP="00E30B90">
            <w:pPr>
              <w:jc w:val="right"/>
            </w:pPr>
            <w:r>
              <w:t>8 291</w:t>
            </w:r>
          </w:p>
        </w:tc>
        <w:tc>
          <w:tcPr>
            <w:tcW w:w="980" w:type="dxa"/>
            <w:tcBorders>
              <w:top w:val="nil"/>
              <w:left w:val="nil"/>
              <w:bottom w:val="single" w:sz="4" w:space="0" w:color="auto"/>
              <w:right w:val="single" w:sz="4" w:space="0" w:color="auto"/>
            </w:tcBorders>
            <w:shd w:val="clear" w:color="auto" w:fill="auto"/>
            <w:noWrap/>
            <w:vAlign w:val="bottom"/>
            <w:hideMark/>
          </w:tcPr>
          <w:p w14:paraId="700236AF" w14:textId="77777777" w:rsidR="005749B8" w:rsidRDefault="005749B8" w:rsidP="00E30B90">
            <w:pPr>
              <w:jc w:val="right"/>
            </w:pPr>
            <w:r>
              <w:t>12</w:t>
            </w:r>
          </w:p>
        </w:tc>
        <w:tc>
          <w:tcPr>
            <w:tcW w:w="1200" w:type="dxa"/>
            <w:tcBorders>
              <w:top w:val="nil"/>
              <w:left w:val="nil"/>
              <w:bottom w:val="single" w:sz="4" w:space="0" w:color="auto"/>
              <w:right w:val="single" w:sz="4" w:space="0" w:color="auto"/>
            </w:tcBorders>
            <w:shd w:val="clear" w:color="auto" w:fill="auto"/>
            <w:noWrap/>
            <w:vAlign w:val="bottom"/>
            <w:hideMark/>
          </w:tcPr>
          <w:p w14:paraId="1FF8D754" w14:textId="77777777" w:rsidR="005749B8" w:rsidRDefault="005749B8" w:rsidP="00E30B90">
            <w:pPr>
              <w:jc w:val="right"/>
            </w:pPr>
            <w:r>
              <w:t>691</w:t>
            </w:r>
          </w:p>
        </w:tc>
      </w:tr>
      <w:tr w:rsidR="005749B8" w14:paraId="42734C8D"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725947A5"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661E7329" w14:textId="77777777" w:rsidR="005749B8" w:rsidRDefault="005749B8" w:rsidP="00E30B90">
            <w:pPr>
              <w:jc w:val="right"/>
            </w:pPr>
            <w:r>
              <w:t>2015</w:t>
            </w:r>
          </w:p>
        </w:tc>
        <w:tc>
          <w:tcPr>
            <w:tcW w:w="1180" w:type="dxa"/>
            <w:tcBorders>
              <w:top w:val="nil"/>
              <w:left w:val="nil"/>
              <w:bottom w:val="single" w:sz="4" w:space="0" w:color="auto"/>
              <w:right w:val="single" w:sz="4" w:space="0" w:color="auto"/>
            </w:tcBorders>
            <w:shd w:val="clear" w:color="auto" w:fill="auto"/>
            <w:noWrap/>
            <w:vAlign w:val="bottom"/>
            <w:hideMark/>
          </w:tcPr>
          <w:p w14:paraId="3934CD3A" w14:textId="77777777" w:rsidR="005749B8" w:rsidRDefault="005749B8" w:rsidP="00E30B90">
            <w:pPr>
              <w:jc w:val="right"/>
            </w:pPr>
            <w:r>
              <w:t>1 670</w:t>
            </w:r>
          </w:p>
        </w:tc>
        <w:tc>
          <w:tcPr>
            <w:tcW w:w="980" w:type="dxa"/>
            <w:tcBorders>
              <w:top w:val="nil"/>
              <w:left w:val="nil"/>
              <w:bottom w:val="single" w:sz="4" w:space="0" w:color="auto"/>
              <w:right w:val="single" w:sz="4" w:space="0" w:color="auto"/>
            </w:tcBorders>
            <w:shd w:val="clear" w:color="auto" w:fill="auto"/>
            <w:noWrap/>
            <w:vAlign w:val="bottom"/>
            <w:hideMark/>
          </w:tcPr>
          <w:p w14:paraId="39B20209" w14:textId="77777777" w:rsidR="005749B8" w:rsidRDefault="005749B8" w:rsidP="00E30B90">
            <w:pPr>
              <w:jc w:val="right"/>
            </w:pPr>
            <w:r>
              <w:t>4</w:t>
            </w:r>
          </w:p>
        </w:tc>
        <w:tc>
          <w:tcPr>
            <w:tcW w:w="1200" w:type="dxa"/>
            <w:tcBorders>
              <w:top w:val="nil"/>
              <w:left w:val="nil"/>
              <w:bottom w:val="single" w:sz="4" w:space="0" w:color="auto"/>
              <w:right w:val="single" w:sz="4" w:space="0" w:color="auto"/>
            </w:tcBorders>
            <w:shd w:val="clear" w:color="auto" w:fill="auto"/>
            <w:noWrap/>
            <w:vAlign w:val="bottom"/>
            <w:hideMark/>
          </w:tcPr>
          <w:p w14:paraId="7D04F68C" w14:textId="77777777" w:rsidR="005749B8" w:rsidRDefault="005749B8" w:rsidP="00E30B90">
            <w:pPr>
              <w:jc w:val="right"/>
            </w:pPr>
            <w:r>
              <w:t>418</w:t>
            </w:r>
          </w:p>
        </w:tc>
      </w:tr>
      <w:tr w:rsidR="005749B8" w14:paraId="0A80CAE8" w14:textId="77777777" w:rsidTr="00877450">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C4C8215" w14:textId="77777777" w:rsidR="005749B8" w:rsidRDefault="005749B8" w:rsidP="00E30B90">
            <w:pPr>
              <w:jc w:val="center"/>
            </w:pPr>
            <w:r>
              <w:t> </w:t>
            </w:r>
          </w:p>
        </w:tc>
        <w:tc>
          <w:tcPr>
            <w:tcW w:w="1240" w:type="dxa"/>
            <w:tcBorders>
              <w:top w:val="nil"/>
              <w:left w:val="nil"/>
              <w:bottom w:val="single" w:sz="4" w:space="0" w:color="auto"/>
              <w:right w:val="single" w:sz="4" w:space="0" w:color="auto"/>
            </w:tcBorders>
            <w:shd w:val="clear" w:color="auto" w:fill="auto"/>
            <w:noWrap/>
            <w:vAlign w:val="bottom"/>
            <w:hideMark/>
          </w:tcPr>
          <w:p w14:paraId="7E2736B1" w14:textId="77777777" w:rsidR="005749B8" w:rsidRDefault="005749B8" w:rsidP="00E30B90">
            <w:pPr>
              <w:rPr>
                <w:b/>
                <w:bCs/>
              </w:rPr>
            </w:pPr>
            <w:r>
              <w:rPr>
                <w:b/>
                <w:bCs/>
              </w:rPr>
              <w:t>Kopā</w:t>
            </w:r>
          </w:p>
        </w:tc>
        <w:tc>
          <w:tcPr>
            <w:tcW w:w="1180" w:type="dxa"/>
            <w:tcBorders>
              <w:top w:val="nil"/>
              <w:left w:val="nil"/>
              <w:bottom w:val="single" w:sz="4" w:space="0" w:color="auto"/>
              <w:right w:val="single" w:sz="4" w:space="0" w:color="auto"/>
            </w:tcBorders>
            <w:shd w:val="clear" w:color="auto" w:fill="auto"/>
            <w:noWrap/>
            <w:vAlign w:val="bottom"/>
            <w:hideMark/>
          </w:tcPr>
          <w:p w14:paraId="416A270D" w14:textId="77777777" w:rsidR="005749B8" w:rsidRDefault="005749B8" w:rsidP="00E30B90">
            <w:pPr>
              <w:jc w:val="right"/>
              <w:rPr>
                <w:b/>
                <w:bCs/>
              </w:rPr>
            </w:pPr>
            <w:r>
              <w:rPr>
                <w:b/>
                <w:bCs/>
              </w:rPr>
              <w:t>651 834</w:t>
            </w:r>
          </w:p>
        </w:tc>
        <w:tc>
          <w:tcPr>
            <w:tcW w:w="980" w:type="dxa"/>
            <w:tcBorders>
              <w:top w:val="nil"/>
              <w:left w:val="nil"/>
              <w:bottom w:val="single" w:sz="4" w:space="0" w:color="auto"/>
              <w:right w:val="single" w:sz="4" w:space="0" w:color="auto"/>
            </w:tcBorders>
            <w:shd w:val="clear" w:color="auto" w:fill="auto"/>
            <w:noWrap/>
            <w:vAlign w:val="bottom"/>
            <w:hideMark/>
          </w:tcPr>
          <w:p w14:paraId="2068F637" w14:textId="77777777" w:rsidR="005749B8" w:rsidRDefault="005749B8" w:rsidP="00E30B90">
            <w:pPr>
              <w:jc w:val="right"/>
              <w:rPr>
                <w:b/>
                <w:bCs/>
              </w:rPr>
            </w:pPr>
            <w:r>
              <w:rPr>
                <w:b/>
                <w:bCs/>
              </w:rPr>
              <w:t>813</w:t>
            </w:r>
          </w:p>
        </w:tc>
        <w:tc>
          <w:tcPr>
            <w:tcW w:w="1200" w:type="dxa"/>
            <w:tcBorders>
              <w:top w:val="nil"/>
              <w:left w:val="nil"/>
              <w:bottom w:val="single" w:sz="4" w:space="0" w:color="auto"/>
              <w:right w:val="single" w:sz="4" w:space="0" w:color="auto"/>
            </w:tcBorders>
            <w:shd w:val="clear" w:color="auto" w:fill="auto"/>
            <w:noWrap/>
            <w:vAlign w:val="bottom"/>
            <w:hideMark/>
          </w:tcPr>
          <w:p w14:paraId="75BA634F" w14:textId="77777777" w:rsidR="005749B8" w:rsidRDefault="005749B8" w:rsidP="00E30B90">
            <w:pPr>
              <w:jc w:val="right"/>
              <w:rPr>
                <w:b/>
                <w:bCs/>
              </w:rPr>
            </w:pPr>
            <w:r>
              <w:rPr>
                <w:b/>
                <w:bCs/>
              </w:rPr>
              <w:t>802</w:t>
            </w:r>
          </w:p>
        </w:tc>
      </w:tr>
      <w:tr w:rsidR="005749B8" w14:paraId="73DE1088" w14:textId="77777777" w:rsidTr="00877450">
        <w:trPr>
          <w:trHeight w:val="315"/>
          <w:jc w:val="center"/>
        </w:trPr>
        <w:tc>
          <w:tcPr>
            <w:tcW w:w="2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F4EDD7" w14:textId="77777777" w:rsidR="005749B8" w:rsidRDefault="005749B8" w:rsidP="00E30B90">
            <w:pPr>
              <w:jc w:val="center"/>
            </w:pPr>
            <w:r>
              <w:t>2013.gads</w:t>
            </w:r>
          </w:p>
        </w:tc>
        <w:tc>
          <w:tcPr>
            <w:tcW w:w="1240" w:type="dxa"/>
            <w:tcBorders>
              <w:top w:val="nil"/>
              <w:left w:val="nil"/>
              <w:bottom w:val="single" w:sz="4" w:space="0" w:color="auto"/>
              <w:right w:val="single" w:sz="4" w:space="0" w:color="auto"/>
            </w:tcBorders>
            <w:shd w:val="clear" w:color="auto" w:fill="auto"/>
            <w:noWrap/>
            <w:vAlign w:val="bottom"/>
            <w:hideMark/>
          </w:tcPr>
          <w:p w14:paraId="1455167E" w14:textId="77777777" w:rsidR="005749B8" w:rsidRDefault="005749B8" w:rsidP="00E30B90">
            <w:pPr>
              <w:jc w:val="right"/>
            </w:pPr>
            <w:r>
              <w:t>2013</w:t>
            </w:r>
          </w:p>
        </w:tc>
        <w:tc>
          <w:tcPr>
            <w:tcW w:w="1180" w:type="dxa"/>
            <w:tcBorders>
              <w:top w:val="nil"/>
              <w:left w:val="nil"/>
              <w:bottom w:val="single" w:sz="4" w:space="0" w:color="auto"/>
              <w:right w:val="single" w:sz="4" w:space="0" w:color="auto"/>
            </w:tcBorders>
            <w:shd w:val="clear" w:color="auto" w:fill="auto"/>
            <w:noWrap/>
            <w:vAlign w:val="bottom"/>
            <w:hideMark/>
          </w:tcPr>
          <w:p w14:paraId="1F4C9AE5" w14:textId="77777777" w:rsidR="005749B8" w:rsidRDefault="005749B8" w:rsidP="00E30B90">
            <w:pPr>
              <w:jc w:val="right"/>
            </w:pPr>
            <w:r>
              <w:t>406 517</w:t>
            </w:r>
          </w:p>
        </w:tc>
        <w:tc>
          <w:tcPr>
            <w:tcW w:w="980" w:type="dxa"/>
            <w:tcBorders>
              <w:top w:val="nil"/>
              <w:left w:val="nil"/>
              <w:bottom w:val="single" w:sz="4" w:space="0" w:color="auto"/>
              <w:right w:val="single" w:sz="4" w:space="0" w:color="auto"/>
            </w:tcBorders>
            <w:shd w:val="clear" w:color="auto" w:fill="auto"/>
            <w:noWrap/>
            <w:vAlign w:val="bottom"/>
            <w:hideMark/>
          </w:tcPr>
          <w:p w14:paraId="58DF02BB" w14:textId="77777777" w:rsidR="005749B8" w:rsidRDefault="005749B8" w:rsidP="00E30B90">
            <w:pPr>
              <w:jc w:val="right"/>
            </w:pPr>
            <w:r>
              <w:t>641</w:t>
            </w:r>
          </w:p>
        </w:tc>
        <w:tc>
          <w:tcPr>
            <w:tcW w:w="1200" w:type="dxa"/>
            <w:tcBorders>
              <w:top w:val="nil"/>
              <w:left w:val="nil"/>
              <w:bottom w:val="single" w:sz="4" w:space="0" w:color="auto"/>
              <w:right w:val="single" w:sz="4" w:space="0" w:color="auto"/>
            </w:tcBorders>
            <w:shd w:val="clear" w:color="auto" w:fill="auto"/>
            <w:noWrap/>
            <w:vAlign w:val="bottom"/>
            <w:hideMark/>
          </w:tcPr>
          <w:p w14:paraId="7E789AF8" w14:textId="77777777" w:rsidR="005749B8" w:rsidRDefault="005749B8" w:rsidP="00E30B90">
            <w:pPr>
              <w:jc w:val="right"/>
            </w:pPr>
            <w:r>
              <w:t>634</w:t>
            </w:r>
          </w:p>
        </w:tc>
      </w:tr>
      <w:tr w:rsidR="005749B8" w14:paraId="52B11099"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292D15BD"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41A7AF87" w14:textId="77777777" w:rsidR="005749B8" w:rsidRDefault="005749B8" w:rsidP="00E30B90">
            <w:pPr>
              <w:jc w:val="right"/>
            </w:pPr>
            <w:r>
              <w:t>2014</w:t>
            </w:r>
          </w:p>
        </w:tc>
        <w:tc>
          <w:tcPr>
            <w:tcW w:w="1180" w:type="dxa"/>
            <w:tcBorders>
              <w:top w:val="nil"/>
              <w:left w:val="nil"/>
              <w:bottom w:val="single" w:sz="4" w:space="0" w:color="auto"/>
              <w:right w:val="single" w:sz="4" w:space="0" w:color="auto"/>
            </w:tcBorders>
            <w:shd w:val="clear" w:color="auto" w:fill="auto"/>
            <w:noWrap/>
            <w:vAlign w:val="bottom"/>
            <w:hideMark/>
          </w:tcPr>
          <w:p w14:paraId="5905ACE7" w14:textId="77777777" w:rsidR="005749B8" w:rsidRDefault="005749B8" w:rsidP="00E30B90">
            <w:pPr>
              <w:jc w:val="right"/>
            </w:pPr>
            <w:r>
              <w:t>1 942 034</w:t>
            </w:r>
          </w:p>
        </w:tc>
        <w:tc>
          <w:tcPr>
            <w:tcW w:w="980" w:type="dxa"/>
            <w:tcBorders>
              <w:top w:val="nil"/>
              <w:left w:val="nil"/>
              <w:bottom w:val="single" w:sz="4" w:space="0" w:color="auto"/>
              <w:right w:val="single" w:sz="4" w:space="0" w:color="auto"/>
            </w:tcBorders>
            <w:shd w:val="clear" w:color="auto" w:fill="auto"/>
            <w:noWrap/>
            <w:vAlign w:val="bottom"/>
            <w:hideMark/>
          </w:tcPr>
          <w:p w14:paraId="49C6F21C" w14:textId="77777777" w:rsidR="005749B8" w:rsidRDefault="005749B8" w:rsidP="00E30B90">
            <w:pPr>
              <w:jc w:val="right"/>
            </w:pPr>
            <w:r>
              <w:t>2 657</w:t>
            </w:r>
          </w:p>
        </w:tc>
        <w:tc>
          <w:tcPr>
            <w:tcW w:w="1200" w:type="dxa"/>
            <w:tcBorders>
              <w:top w:val="nil"/>
              <w:left w:val="nil"/>
              <w:bottom w:val="single" w:sz="4" w:space="0" w:color="auto"/>
              <w:right w:val="single" w:sz="4" w:space="0" w:color="auto"/>
            </w:tcBorders>
            <w:shd w:val="clear" w:color="auto" w:fill="auto"/>
            <w:noWrap/>
            <w:vAlign w:val="bottom"/>
            <w:hideMark/>
          </w:tcPr>
          <w:p w14:paraId="7042EDFE" w14:textId="77777777" w:rsidR="005749B8" w:rsidRDefault="005749B8" w:rsidP="00E30B90">
            <w:pPr>
              <w:jc w:val="right"/>
            </w:pPr>
            <w:r>
              <w:t>731</w:t>
            </w:r>
          </w:p>
        </w:tc>
      </w:tr>
      <w:tr w:rsidR="005749B8" w14:paraId="2550A4EF"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6DD6AA00"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5F44BBD5" w14:textId="77777777" w:rsidR="005749B8" w:rsidRDefault="005749B8" w:rsidP="00E30B90">
            <w:pPr>
              <w:jc w:val="right"/>
            </w:pPr>
            <w:r>
              <w:t>2015</w:t>
            </w:r>
          </w:p>
        </w:tc>
        <w:tc>
          <w:tcPr>
            <w:tcW w:w="1180" w:type="dxa"/>
            <w:tcBorders>
              <w:top w:val="nil"/>
              <w:left w:val="nil"/>
              <w:bottom w:val="single" w:sz="4" w:space="0" w:color="auto"/>
              <w:right w:val="single" w:sz="4" w:space="0" w:color="auto"/>
            </w:tcBorders>
            <w:shd w:val="clear" w:color="auto" w:fill="auto"/>
            <w:noWrap/>
            <w:vAlign w:val="bottom"/>
            <w:hideMark/>
          </w:tcPr>
          <w:p w14:paraId="6AE6C1B4" w14:textId="77777777" w:rsidR="005749B8" w:rsidRDefault="005749B8" w:rsidP="00E30B90">
            <w:pPr>
              <w:jc w:val="right"/>
            </w:pPr>
            <w:r>
              <w:t>5 458</w:t>
            </w:r>
          </w:p>
        </w:tc>
        <w:tc>
          <w:tcPr>
            <w:tcW w:w="980" w:type="dxa"/>
            <w:tcBorders>
              <w:top w:val="nil"/>
              <w:left w:val="nil"/>
              <w:bottom w:val="single" w:sz="4" w:space="0" w:color="auto"/>
              <w:right w:val="single" w:sz="4" w:space="0" w:color="auto"/>
            </w:tcBorders>
            <w:shd w:val="clear" w:color="auto" w:fill="auto"/>
            <w:noWrap/>
            <w:vAlign w:val="bottom"/>
            <w:hideMark/>
          </w:tcPr>
          <w:p w14:paraId="31A202BD" w14:textId="77777777" w:rsidR="005749B8" w:rsidRDefault="005749B8" w:rsidP="00E30B90">
            <w:pPr>
              <w:jc w:val="right"/>
            </w:pPr>
            <w:r>
              <w:t>10</w:t>
            </w:r>
          </w:p>
        </w:tc>
        <w:tc>
          <w:tcPr>
            <w:tcW w:w="1200" w:type="dxa"/>
            <w:tcBorders>
              <w:top w:val="nil"/>
              <w:left w:val="nil"/>
              <w:bottom w:val="single" w:sz="4" w:space="0" w:color="auto"/>
              <w:right w:val="single" w:sz="4" w:space="0" w:color="auto"/>
            </w:tcBorders>
            <w:shd w:val="clear" w:color="auto" w:fill="auto"/>
            <w:noWrap/>
            <w:vAlign w:val="bottom"/>
            <w:hideMark/>
          </w:tcPr>
          <w:p w14:paraId="2F4FD950" w14:textId="77777777" w:rsidR="005749B8" w:rsidRDefault="005749B8" w:rsidP="00E30B90">
            <w:pPr>
              <w:jc w:val="right"/>
            </w:pPr>
            <w:r>
              <w:t>546</w:t>
            </w:r>
          </w:p>
        </w:tc>
      </w:tr>
      <w:tr w:rsidR="005749B8" w14:paraId="08D8B371" w14:textId="77777777" w:rsidTr="00877450">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D43A9F" w14:textId="77777777" w:rsidR="005749B8" w:rsidRDefault="005749B8" w:rsidP="00E30B90">
            <w:pPr>
              <w:jc w:val="center"/>
            </w:pPr>
            <w:r>
              <w:t> </w:t>
            </w:r>
          </w:p>
        </w:tc>
        <w:tc>
          <w:tcPr>
            <w:tcW w:w="1240" w:type="dxa"/>
            <w:tcBorders>
              <w:top w:val="nil"/>
              <w:left w:val="nil"/>
              <w:bottom w:val="single" w:sz="4" w:space="0" w:color="auto"/>
              <w:right w:val="single" w:sz="4" w:space="0" w:color="auto"/>
            </w:tcBorders>
            <w:shd w:val="clear" w:color="auto" w:fill="auto"/>
            <w:noWrap/>
            <w:vAlign w:val="bottom"/>
            <w:hideMark/>
          </w:tcPr>
          <w:p w14:paraId="65D99869" w14:textId="77777777" w:rsidR="005749B8" w:rsidRDefault="005749B8" w:rsidP="00E30B90">
            <w:pPr>
              <w:rPr>
                <w:b/>
                <w:bCs/>
              </w:rPr>
            </w:pPr>
            <w:r>
              <w:rPr>
                <w:b/>
                <w:bCs/>
              </w:rPr>
              <w:t>Kopā</w:t>
            </w:r>
          </w:p>
        </w:tc>
        <w:tc>
          <w:tcPr>
            <w:tcW w:w="1180" w:type="dxa"/>
            <w:tcBorders>
              <w:top w:val="nil"/>
              <w:left w:val="nil"/>
              <w:bottom w:val="single" w:sz="4" w:space="0" w:color="auto"/>
              <w:right w:val="single" w:sz="4" w:space="0" w:color="auto"/>
            </w:tcBorders>
            <w:shd w:val="clear" w:color="auto" w:fill="auto"/>
            <w:noWrap/>
            <w:vAlign w:val="bottom"/>
            <w:hideMark/>
          </w:tcPr>
          <w:p w14:paraId="67B8EC41" w14:textId="77777777" w:rsidR="005749B8" w:rsidRDefault="005749B8" w:rsidP="00E30B90">
            <w:pPr>
              <w:jc w:val="right"/>
              <w:rPr>
                <w:b/>
                <w:bCs/>
              </w:rPr>
            </w:pPr>
            <w:r>
              <w:rPr>
                <w:b/>
                <w:bCs/>
              </w:rPr>
              <w:t>2 354 009</w:t>
            </w:r>
          </w:p>
        </w:tc>
        <w:tc>
          <w:tcPr>
            <w:tcW w:w="980" w:type="dxa"/>
            <w:tcBorders>
              <w:top w:val="nil"/>
              <w:left w:val="nil"/>
              <w:bottom w:val="single" w:sz="4" w:space="0" w:color="auto"/>
              <w:right w:val="single" w:sz="4" w:space="0" w:color="auto"/>
            </w:tcBorders>
            <w:shd w:val="clear" w:color="auto" w:fill="auto"/>
            <w:noWrap/>
            <w:vAlign w:val="bottom"/>
            <w:hideMark/>
          </w:tcPr>
          <w:p w14:paraId="3C4C59F9" w14:textId="77777777" w:rsidR="005749B8" w:rsidRDefault="005749B8" w:rsidP="00E30B90">
            <w:pPr>
              <w:jc w:val="right"/>
              <w:rPr>
                <w:b/>
                <w:bCs/>
              </w:rPr>
            </w:pPr>
            <w:r>
              <w:rPr>
                <w:b/>
                <w:bCs/>
              </w:rPr>
              <w:t>3 308</w:t>
            </w:r>
          </w:p>
        </w:tc>
        <w:tc>
          <w:tcPr>
            <w:tcW w:w="1200" w:type="dxa"/>
            <w:tcBorders>
              <w:top w:val="nil"/>
              <w:left w:val="nil"/>
              <w:bottom w:val="single" w:sz="4" w:space="0" w:color="auto"/>
              <w:right w:val="single" w:sz="4" w:space="0" w:color="auto"/>
            </w:tcBorders>
            <w:shd w:val="clear" w:color="auto" w:fill="auto"/>
            <w:noWrap/>
            <w:vAlign w:val="bottom"/>
            <w:hideMark/>
          </w:tcPr>
          <w:p w14:paraId="58246F8F" w14:textId="77777777" w:rsidR="005749B8" w:rsidRDefault="005749B8" w:rsidP="00E30B90">
            <w:pPr>
              <w:jc w:val="right"/>
              <w:rPr>
                <w:b/>
                <w:bCs/>
              </w:rPr>
            </w:pPr>
            <w:r>
              <w:rPr>
                <w:b/>
                <w:bCs/>
              </w:rPr>
              <w:t>712</w:t>
            </w:r>
          </w:p>
        </w:tc>
      </w:tr>
      <w:tr w:rsidR="005749B8" w14:paraId="1DF3D932" w14:textId="77777777" w:rsidTr="00877450">
        <w:trPr>
          <w:trHeight w:val="315"/>
          <w:jc w:val="center"/>
        </w:trPr>
        <w:tc>
          <w:tcPr>
            <w:tcW w:w="2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68BE81" w14:textId="77777777" w:rsidR="005749B8" w:rsidRDefault="005749B8" w:rsidP="00E30B90">
            <w:pPr>
              <w:jc w:val="center"/>
            </w:pPr>
            <w:r>
              <w:t>2014.gads</w:t>
            </w:r>
          </w:p>
        </w:tc>
        <w:tc>
          <w:tcPr>
            <w:tcW w:w="1240" w:type="dxa"/>
            <w:tcBorders>
              <w:top w:val="nil"/>
              <w:left w:val="nil"/>
              <w:bottom w:val="single" w:sz="4" w:space="0" w:color="auto"/>
              <w:right w:val="single" w:sz="4" w:space="0" w:color="auto"/>
            </w:tcBorders>
            <w:shd w:val="clear" w:color="auto" w:fill="auto"/>
            <w:noWrap/>
            <w:vAlign w:val="bottom"/>
            <w:hideMark/>
          </w:tcPr>
          <w:p w14:paraId="59614D81" w14:textId="77777777" w:rsidR="005749B8" w:rsidRDefault="005749B8" w:rsidP="00E30B90">
            <w:pPr>
              <w:jc w:val="right"/>
            </w:pPr>
            <w:r>
              <w:t>2014</w:t>
            </w:r>
          </w:p>
        </w:tc>
        <w:tc>
          <w:tcPr>
            <w:tcW w:w="1180" w:type="dxa"/>
            <w:tcBorders>
              <w:top w:val="nil"/>
              <w:left w:val="nil"/>
              <w:bottom w:val="single" w:sz="4" w:space="0" w:color="auto"/>
              <w:right w:val="single" w:sz="4" w:space="0" w:color="auto"/>
            </w:tcBorders>
            <w:shd w:val="clear" w:color="auto" w:fill="auto"/>
            <w:noWrap/>
            <w:vAlign w:val="bottom"/>
            <w:hideMark/>
          </w:tcPr>
          <w:p w14:paraId="04E72469" w14:textId="77777777" w:rsidR="005749B8" w:rsidRDefault="005749B8" w:rsidP="00E30B90">
            <w:pPr>
              <w:jc w:val="right"/>
            </w:pPr>
            <w:r>
              <w:t>701 065</w:t>
            </w:r>
          </w:p>
        </w:tc>
        <w:tc>
          <w:tcPr>
            <w:tcW w:w="980" w:type="dxa"/>
            <w:tcBorders>
              <w:top w:val="nil"/>
              <w:left w:val="nil"/>
              <w:bottom w:val="single" w:sz="4" w:space="0" w:color="auto"/>
              <w:right w:val="single" w:sz="4" w:space="0" w:color="auto"/>
            </w:tcBorders>
            <w:shd w:val="clear" w:color="auto" w:fill="auto"/>
            <w:noWrap/>
            <w:vAlign w:val="bottom"/>
            <w:hideMark/>
          </w:tcPr>
          <w:p w14:paraId="326C7BC1" w14:textId="77777777" w:rsidR="005749B8" w:rsidRDefault="005749B8" w:rsidP="00E30B90">
            <w:pPr>
              <w:jc w:val="right"/>
            </w:pPr>
            <w:r>
              <w:t>906</w:t>
            </w:r>
          </w:p>
        </w:tc>
        <w:tc>
          <w:tcPr>
            <w:tcW w:w="1200" w:type="dxa"/>
            <w:tcBorders>
              <w:top w:val="nil"/>
              <w:left w:val="nil"/>
              <w:bottom w:val="single" w:sz="4" w:space="0" w:color="auto"/>
              <w:right w:val="single" w:sz="4" w:space="0" w:color="auto"/>
            </w:tcBorders>
            <w:shd w:val="clear" w:color="auto" w:fill="auto"/>
            <w:noWrap/>
            <w:vAlign w:val="bottom"/>
            <w:hideMark/>
          </w:tcPr>
          <w:p w14:paraId="06D46A04" w14:textId="77777777" w:rsidR="005749B8" w:rsidRDefault="005749B8" w:rsidP="00E30B90">
            <w:pPr>
              <w:jc w:val="right"/>
            </w:pPr>
            <w:r>
              <w:t>774</w:t>
            </w:r>
          </w:p>
        </w:tc>
      </w:tr>
      <w:tr w:rsidR="005749B8" w14:paraId="388472A6" w14:textId="77777777" w:rsidTr="00877450">
        <w:trPr>
          <w:trHeight w:val="315"/>
          <w:jc w:val="center"/>
        </w:trPr>
        <w:tc>
          <w:tcPr>
            <w:tcW w:w="2520" w:type="dxa"/>
            <w:vMerge/>
            <w:tcBorders>
              <w:top w:val="nil"/>
              <w:left w:val="single" w:sz="4" w:space="0" w:color="auto"/>
              <w:bottom w:val="single" w:sz="4" w:space="0" w:color="000000"/>
              <w:right w:val="single" w:sz="4" w:space="0" w:color="auto"/>
            </w:tcBorders>
            <w:vAlign w:val="center"/>
            <w:hideMark/>
          </w:tcPr>
          <w:p w14:paraId="2EE0206B" w14:textId="77777777" w:rsidR="005749B8" w:rsidRDefault="005749B8" w:rsidP="00E30B90"/>
        </w:tc>
        <w:tc>
          <w:tcPr>
            <w:tcW w:w="1240" w:type="dxa"/>
            <w:tcBorders>
              <w:top w:val="nil"/>
              <w:left w:val="nil"/>
              <w:bottom w:val="single" w:sz="4" w:space="0" w:color="auto"/>
              <w:right w:val="single" w:sz="4" w:space="0" w:color="auto"/>
            </w:tcBorders>
            <w:shd w:val="clear" w:color="auto" w:fill="auto"/>
            <w:noWrap/>
            <w:vAlign w:val="bottom"/>
            <w:hideMark/>
          </w:tcPr>
          <w:p w14:paraId="674866C3" w14:textId="77777777" w:rsidR="005749B8" w:rsidRDefault="005749B8" w:rsidP="00E30B90">
            <w:pPr>
              <w:jc w:val="right"/>
            </w:pPr>
            <w:r>
              <w:t>2015</w:t>
            </w:r>
          </w:p>
        </w:tc>
        <w:tc>
          <w:tcPr>
            <w:tcW w:w="1180" w:type="dxa"/>
            <w:tcBorders>
              <w:top w:val="nil"/>
              <w:left w:val="nil"/>
              <w:bottom w:val="single" w:sz="4" w:space="0" w:color="auto"/>
              <w:right w:val="single" w:sz="4" w:space="0" w:color="auto"/>
            </w:tcBorders>
            <w:shd w:val="clear" w:color="auto" w:fill="auto"/>
            <w:noWrap/>
            <w:vAlign w:val="bottom"/>
            <w:hideMark/>
          </w:tcPr>
          <w:p w14:paraId="5F9B2207" w14:textId="77777777" w:rsidR="005749B8" w:rsidRDefault="005749B8" w:rsidP="00E30B90">
            <w:pPr>
              <w:jc w:val="right"/>
            </w:pPr>
            <w:r>
              <w:t>781 887</w:t>
            </w:r>
          </w:p>
        </w:tc>
        <w:tc>
          <w:tcPr>
            <w:tcW w:w="980" w:type="dxa"/>
            <w:tcBorders>
              <w:top w:val="nil"/>
              <w:left w:val="nil"/>
              <w:bottom w:val="single" w:sz="4" w:space="0" w:color="auto"/>
              <w:right w:val="single" w:sz="4" w:space="0" w:color="auto"/>
            </w:tcBorders>
            <w:shd w:val="clear" w:color="auto" w:fill="auto"/>
            <w:noWrap/>
            <w:vAlign w:val="bottom"/>
            <w:hideMark/>
          </w:tcPr>
          <w:p w14:paraId="5D75428E" w14:textId="77777777" w:rsidR="005749B8" w:rsidRDefault="005749B8" w:rsidP="00E30B90">
            <w:pPr>
              <w:jc w:val="right"/>
            </w:pPr>
            <w:r>
              <w:t>945</w:t>
            </w:r>
          </w:p>
        </w:tc>
        <w:tc>
          <w:tcPr>
            <w:tcW w:w="1200" w:type="dxa"/>
            <w:tcBorders>
              <w:top w:val="nil"/>
              <w:left w:val="nil"/>
              <w:bottom w:val="single" w:sz="4" w:space="0" w:color="auto"/>
              <w:right w:val="single" w:sz="4" w:space="0" w:color="auto"/>
            </w:tcBorders>
            <w:shd w:val="clear" w:color="auto" w:fill="auto"/>
            <w:noWrap/>
            <w:vAlign w:val="bottom"/>
            <w:hideMark/>
          </w:tcPr>
          <w:p w14:paraId="76871D85" w14:textId="77777777" w:rsidR="005749B8" w:rsidRDefault="005749B8" w:rsidP="00E30B90">
            <w:pPr>
              <w:jc w:val="right"/>
            </w:pPr>
            <w:r>
              <w:t>827</w:t>
            </w:r>
          </w:p>
        </w:tc>
      </w:tr>
      <w:tr w:rsidR="005749B8" w14:paraId="367F8002" w14:textId="77777777" w:rsidTr="00877450">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C2F238B" w14:textId="77777777" w:rsidR="005749B8" w:rsidRDefault="005749B8" w:rsidP="00E30B90">
            <w:pPr>
              <w:jc w:val="center"/>
            </w:pPr>
            <w:r>
              <w:t> </w:t>
            </w:r>
          </w:p>
        </w:tc>
        <w:tc>
          <w:tcPr>
            <w:tcW w:w="1240" w:type="dxa"/>
            <w:tcBorders>
              <w:top w:val="nil"/>
              <w:left w:val="nil"/>
              <w:bottom w:val="single" w:sz="4" w:space="0" w:color="auto"/>
              <w:right w:val="single" w:sz="4" w:space="0" w:color="auto"/>
            </w:tcBorders>
            <w:shd w:val="clear" w:color="auto" w:fill="auto"/>
            <w:noWrap/>
            <w:vAlign w:val="bottom"/>
            <w:hideMark/>
          </w:tcPr>
          <w:p w14:paraId="47737226" w14:textId="77777777" w:rsidR="005749B8" w:rsidRDefault="005749B8" w:rsidP="00E30B90">
            <w:pPr>
              <w:rPr>
                <w:b/>
                <w:bCs/>
              </w:rPr>
            </w:pPr>
            <w:r>
              <w:rPr>
                <w:b/>
                <w:bCs/>
              </w:rPr>
              <w:t>Kopā</w:t>
            </w:r>
          </w:p>
        </w:tc>
        <w:tc>
          <w:tcPr>
            <w:tcW w:w="1180" w:type="dxa"/>
            <w:tcBorders>
              <w:top w:val="nil"/>
              <w:left w:val="nil"/>
              <w:bottom w:val="single" w:sz="4" w:space="0" w:color="auto"/>
              <w:right w:val="single" w:sz="4" w:space="0" w:color="auto"/>
            </w:tcBorders>
            <w:shd w:val="clear" w:color="auto" w:fill="auto"/>
            <w:noWrap/>
            <w:vAlign w:val="bottom"/>
            <w:hideMark/>
          </w:tcPr>
          <w:p w14:paraId="32EEEFCD" w14:textId="77777777" w:rsidR="005749B8" w:rsidRDefault="005749B8" w:rsidP="00E30B90">
            <w:pPr>
              <w:jc w:val="right"/>
              <w:rPr>
                <w:b/>
                <w:bCs/>
              </w:rPr>
            </w:pPr>
            <w:r>
              <w:rPr>
                <w:b/>
                <w:bCs/>
              </w:rPr>
              <w:t>1 482 952</w:t>
            </w:r>
          </w:p>
        </w:tc>
        <w:tc>
          <w:tcPr>
            <w:tcW w:w="980" w:type="dxa"/>
            <w:tcBorders>
              <w:top w:val="nil"/>
              <w:left w:val="nil"/>
              <w:bottom w:val="single" w:sz="4" w:space="0" w:color="auto"/>
              <w:right w:val="single" w:sz="4" w:space="0" w:color="auto"/>
            </w:tcBorders>
            <w:shd w:val="clear" w:color="auto" w:fill="auto"/>
            <w:noWrap/>
            <w:vAlign w:val="bottom"/>
            <w:hideMark/>
          </w:tcPr>
          <w:p w14:paraId="137256B4" w14:textId="77777777" w:rsidR="005749B8" w:rsidRDefault="005749B8" w:rsidP="00E30B90">
            <w:pPr>
              <w:jc w:val="right"/>
              <w:rPr>
                <w:b/>
                <w:bCs/>
              </w:rPr>
            </w:pPr>
            <w:r>
              <w:rPr>
                <w:b/>
                <w:bCs/>
              </w:rPr>
              <w:t>1 851</w:t>
            </w:r>
          </w:p>
        </w:tc>
        <w:tc>
          <w:tcPr>
            <w:tcW w:w="1200" w:type="dxa"/>
            <w:tcBorders>
              <w:top w:val="nil"/>
              <w:left w:val="nil"/>
              <w:bottom w:val="single" w:sz="4" w:space="0" w:color="auto"/>
              <w:right w:val="single" w:sz="4" w:space="0" w:color="auto"/>
            </w:tcBorders>
            <w:shd w:val="clear" w:color="auto" w:fill="auto"/>
            <w:noWrap/>
            <w:vAlign w:val="bottom"/>
            <w:hideMark/>
          </w:tcPr>
          <w:p w14:paraId="2474F8F4" w14:textId="77777777" w:rsidR="005749B8" w:rsidRDefault="005749B8" w:rsidP="00E30B90">
            <w:pPr>
              <w:jc w:val="right"/>
              <w:rPr>
                <w:b/>
                <w:bCs/>
              </w:rPr>
            </w:pPr>
            <w:r>
              <w:rPr>
                <w:b/>
                <w:bCs/>
              </w:rPr>
              <w:t>801</w:t>
            </w:r>
          </w:p>
        </w:tc>
      </w:tr>
      <w:tr w:rsidR="005749B8" w14:paraId="0884F12A" w14:textId="77777777" w:rsidTr="00877450">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45E9E9F" w14:textId="77777777" w:rsidR="005749B8" w:rsidRDefault="005749B8" w:rsidP="00E30B90">
            <w:pPr>
              <w:jc w:val="center"/>
            </w:pPr>
            <w:r>
              <w:t>2015.gads</w:t>
            </w:r>
          </w:p>
        </w:tc>
        <w:tc>
          <w:tcPr>
            <w:tcW w:w="1240" w:type="dxa"/>
            <w:tcBorders>
              <w:top w:val="nil"/>
              <w:left w:val="nil"/>
              <w:bottom w:val="single" w:sz="4" w:space="0" w:color="auto"/>
              <w:right w:val="single" w:sz="4" w:space="0" w:color="auto"/>
            </w:tcBorders>
            <w:shd w:val="clear" w:color="auto" w:fill="auto"/>
            <w:noWrap/>
            <w:vAlign w:val="bottom"/>
            <w:hideMark/>
          </w:tcPr>
          <w:p w14:paraId="4CF8280E" w14:textId="77777777" w:rsidR="005749B8" w:rsidRDefault="005749B8" w:rsidP="00E30B90">
            <w:pPr>
              <w:jc w:val="right"/>
            </w:pPr>
            <w:r>
              <w:t>2015</w:t>
            </w:r>
          </w:p>
        </w:tc>
        <w:tc>
          <w:tcPr>
            <w:tcW w:w="1180" w:type="dxa"/>
            <w:tcBorders>
              <w:top w:val="nil"/>
              <w:left w:val="nil"/>
              <w:bottom w:val="single" w:sz="4" w:space="0" w:color="auto"/>
              <w:right w:val="single" w:sz="4" w:space="0" w:color="auto"/>
            </w:tcBorders>
            <w:shd w:val="clear" w:color="auto" w:fill="auto"/>
            <w:noWrap/>
            <w:vAlign w:val="bottom"/>
            <w:hideMark/>
          </w:tcPr>
          <w:p w14:paraId="6725894F" w14:textId="77777777" w:rsidR="005749B8" w:rsidRDefault="005749B8" w:rsidP="00E30B90">
            <w:pPr>
              <w:jc w:val="right"/>
              <w:rPr>
                <w:b/>
                <w:bCs/>
              </w:rPr>
            </w:pPr>
            <w:r>
              <w:rPr>
                <w:b/>
                <w:bCs/>
              </w:rPr>
              <w:t>342 167</w:t>
            </w:r>
          </w:p>
        </w:tc>
        <w:tc>
          <w:tcPr>
            <w:tcW w:w="980" w:type="dxa"/>
            <w:tcBorders>
              <w:top w:val="nil"/>
              <w:left w:val="nil"/>
              <w:bottom w:val="single" w:sz="4" w:space="0" w:color="auto"/>
              <w:right w:val="single" w:sz="4" w:space="0" w:color="auto"/>
            </w:tcBorders>
            <w:shd w:val="clear" w:color="auto" w:fill="auto"/>
            <w:noWrap/>
            <w:vAlign w:val="bottom"/>
            <w:hideMark/>
          </w:tcPr>
          <w:p w14:paraId="26118EF1" w14:textId="77777777" w:rsidR="005749B8" w:rsidRDefault="005749B8" w:rsidP="00E30B90">
            <w:pPr>
              <w:jc w:val="right"/>
              <w:rPr>
                <w:b/>
                <w:bCs/>
              </w:rPr>
            </w:pPr>
            <w:r>
              <w:rPr>
                <w:b/>
                <w:bCs/>
              </w:rPr>
              <w:t>379</w:t>
            </w:r>
          </w:p>
        </w:tc>
        <w:tc>
          <w:tcPr>
            <w:tcW w:w="1200" w:type="dxa"/>
            <w:tcBorders>
              <w:top w:val="nil"/>
              <w:left w:val="nil"/>
              <w:bottom w:val="single" w:sz="4" w:space="0" w:color="auto"/>
              <w:right w:val="single" w:sz="4" w:space="0" w:color="auto"/>
            </w:tcBorders>
            <w:shd w:val="clear" w:color="auto" w:fill="auto"/>
            <w:noWrap/>
            <w:vAlign w:val="bottom"/>
            <w:hideMark/>
          </w:tcPr>
          <w:p w14:paraId="0AA574F7" w14:textId="77777777" w:rsidR="005749B8" w:rsidRDefault="005749B8" w:rsidP="00E30B90">
            <w:pPr>
              <w:jc w:val="right"/>
              <w:rPr>
                <w:b/>
                <w:bCs/>
              </w:rPr>
            </w:pPr>
            <w:r>
              <w:rPr>
                <w:b/>
                <w:bCs/>
              </w:rPr>
              <w:t>903</w:t>
            </w:r>
          </w:p>
        </w:tc>
      </w:tr>
    </w:tbl>
    <w:p w14:paraId="6F248C08" w14:textId="77777777" w:rsidR="005749B8" w:rsidRPr="001E23E1" w:rsidRDefault="005749B8" w:rsidP="005749B8">
      <w:pPr>
        <w:tabs>
          <w:tab w:val="left" w:pos="720"/>
        </w:tabs>
        <w:ind w:firstLine="720"/>
        <w:jc w:val="center"/>
        <w:rPr>
          <w:b/>
          <w:sz w:val="28"/>
          <w:szCs w:val="28"/>
        </w:rPr>
      </w:pPr>
    </w:p>
    <w:p w14:paraId="681CFC73" w14:textId="77777777" w:rsidR="005749B8" w:rsidRPr="00F15A7C" w:rsidRDefault="005749B8" w:rsidP="00F15A7C">
      <w:pPr>
        <w:tabs>
          <w:tab w:val="left" w:pos="720"/>
        </w:tabs>
        <w:ind w:firstLine="720"/>
        <w:jc w:val="both"/>
      </w:pPr>
      <w:r w:rsidRPr="00F15A7C">
        <w:t>No 2012.gada 1.janvāra darbinieku prasījumu aprēķināšanai ir piemērojama jauna metodika – tās pamatā ir valstī noteiktā minimālā mēnešalga, bet aprēķiniem tiek izmantotas unificētas formulas, kuru aprēķinu rezultātus salīdzina ar Valsts ieņēmumu dienestā deklarētajiem attiecīgā darbinieka ienākumiem.</w:t>
      </w:r>
    </w:p>
    <w:p w14:paraId="3B0DB732" w14:textId="77777777" w:rsidR="005749B8" w:rsidRDefault="005749B8" w:rsidP="00F15A7C">
      <w:pPr>
        <w:tabs>
          <w:tab w:val="left" w:pos="720"/>
        </w:tabs>
        <w:ind w:firstLine="720"/>
        <w:jc w:val="both"/>
      </w:pPr>
      <w:r w:rsidRPr="00F15A7C">
        <w:t xml:space="preserve">Turpmākajiem URVN aprēķiniem iespējams izmantot 2012., 2013., 2014. un 2015.gada vidējās izmaksātās summas uz vienu darbinieku attiecīgi: 802, 712, 801 un 903 </w:t>
      </w:r>
      <w:r w:rsidRPr="00F15A7C">
        <w:rPr>
          <w:i/>
        </w:rPr>
        <w:t>euro</w:t>
      </w:r>
      <w:r w:rsidRPr="00F15A7C">
        <w:t>.</w:t>
      </w:r>
    </w:p>
    <w:p w14:paraId="1839D6D4" w14:textId="77777777" w:rsidR="00F15A7C" w:rsidRPr="00F15A7C" w:rsidRDefault="00F15A7C" w:rsidP="00F15A7C">
      <w:pPr>
        <w:tabs>
          <w:tab w:val="left" w:pos="720"/>
        </w:tabs>
        <w:ind w:firstLine="720"/>
        <w:jc w:val="both"/>
      </w:pPr>
    </w:p>
    <w:p w14:paraId="7DF33870" w14:textId="77777777" w:rsidR="005749B8" w:rsidRPr="00F15A7C" w:rsidRDefault="00164EBD" w:rsidP="00F15A7C">
      <w:pPr>
        <w:pStyle w:val="Heading3"/>
        <w:numPr>
          <w:ilvl w:val="0"/>
          <w:numId w:val="0"/>
        </w:numPr>
        <w:spacing w:before="0" w:after="0"/>
        <w:ind w:firstLine="720"/>
        <w:jc w:val="both"/>
        <w:rPr>
          <w:rFonts w:ascii="Times New Roman" w:hAnsi="Times New Roman" w:cs="Times New Roman"/>
          <w:sz w:val="24"/>
          <w:szCs w:val="24"/>
        </w:rPr>
      </w:pPr>
      <w:bookmarkStart w:id="56" w:name="_Toc410048275"/>
      <w:bookmarkStart w:id="57" w:name="_Toc414279020"/>
      <w:bookmarkStart w:id="58" w:name="_Toc453263318"/>
      <w:r w:rsidRPr="00F15A7C">
        <w:rPr>
          <w:rFonts w:ascii="Times New Roman" w:hAnsi="Times New Roman" w:cs="Times New Roman"/>
          <w:sz w:val="24"/>
          <w:szCs w:val="24"/>
        </w:rPr>
        <w:t>3</w:t>
      </w:r>
      <w:r w:rsidR="005749B8" w:rsidRPr="00F15A7C">
        <w:rPr>
          <w:rFonts w:ascii="Times New Roman" w:hAnsi="Times New Roman" w:cs="Times New Roman"/>
          <w:sz w:val="24"/>
          <w:szCs w:val="24"/>
        </w:rPr>
        <w:t>.3. Darbinieku prasījumu garantiju fonda 2016.gada plānotais budžets</w:t>
      </w:r>
      <w:bookmarkEnd w:id="56"/>
      <w:bookmarkEnd w:id="57"/>
      <w:bookmarkEnd w:id="58"/>
    </w:p>
    <w:p w14:paraId="76C90E14" w14:textId="77777777" w:rsidR="005749B8" w:rsidRDefault="005749B8" w:rsidP="00F15A7C">
      <w:pPr>
        <w:tabs>
          <w:tab w:val="left" w:pos="720"/>
        </w:tabs>
        <w:ind w:firstLine="720"/>
        <w:jc w:val="both"/>
      </w:pPr>
      <w:r w:rsidRPr="00F15A7C">
        <w:t xml:space="preserve">Likumā „Par valsts budžetu 2016.gadam” darbinieku prasījumu garantiju fonda ieņēmumi no URVN plānoti 3 047 734 </w:t>
      </w:r>
      <w:r w:rsidRPr="00F15A7C">
        <w:rPr>
          <w:i/>
        </w:rPr>
        <w:t>euro</w:t>
      </w:r>
      <w:r w:rsidRPr="00F15A7C">
        <w:t xml:space="preserve"> apmērā un izdevumi – 1 704 467 </w:t>
      </w:r>
      <w:r w:rsidRPr="00F15A7C">
        <w:rPr>
          <w:i/>
        </w:rPr>
        <w:t>euro</w:t>
      </w:r>
      <w:r w:rsidRPr="00F15A7C">
        <w:t xml:space="preserve"> apmērā (skatīt 1</w:t>
      </w:r>
      <w:r w:rsidR="00164EBD" w:rsidRPr="00F15A7C">
        <w:t>5</w:t>
      </w:r>
      <w:r w:rsidRPr="00F15A7C">
        <w:t xml:space="preserve">.tabulu). </w:t>
      </w:r>
    </w:p>
    <w:p w14:paraId="1A2E1CF7" w14:textId="77777777" w:rsidR="00F15A7C" w:rsidRDefault="00F15A7C" w:rsidP="00F15A7C">
      <w:pPr>
        <w:tabs>
          <w:tab w:val="left" w:pos="720"/>
        </w:tabs>
        <w:ind w:firstLine="720"/>
        <w:jc w:val="both"/>
      </w:pPr>
    </w:p>
    <w:p w14:paraId="7619E168" w14:textId="77777777" w:rsidR="00F15A7C" w:rsidRDefault="00F15A7C" w:rsidP="00F15A7C">
      <w:pPr>
        <w:tabs>
          <w:tab w:val="left" w:pos="720"/>
        </w:tabs>
        <w:ind w:firstLine="720"/>
        <w:jc w:val="both"/>
      </w:pPr>
    </w:p>
    <w:p w14:paraId="59E93D07" w14:textId="77777777" w:rsidR="00F15A7C" w:rsidRDefault="00F15A7C" w:rsidP="00F15A7C">
      <w:pPr>
        <w:tabs>
          <w:tab w:val="left" w:pos="720"/>
        </w:tabs>
        <w:ind w:firstLine="720"/>
        <w:jc w:val="both"/>
      </w:pPr>
    </w:p>
    <w:p w14:paraId="63D72542" w14:textId="77777777" w:rsidR="00F15A7C" w:rsidRDefault="00F15A7C" w:rsidP="00F15A7C">
      <w:pPr>
        <w:tabs>
          <w:tab w:val="left" w:pos="720"/>
        </w:tabs>
        <w:ind w:firstLine="720"/>
        <w:jc w:val="both"/>
      </w:pPr>
    </w:p>
    <w:p w14:paraId="4FBD4E82" w14:textId="77777777" w:rsidR="005749B8" w:rsidRPr="00F15A7C" w:rsidRDefault="005749B8" w:rsidP="005749B8">
      <w:pPr>
        <w:tabs>
          <w:tab w:val="left" w:pos="720"/>
        </w:tabs>
        <w:ind w:firstLine="720"/>
        <w:jc w:val="right"/>
      </w:pPr>
      <w:r w:rsidRPr="00F15A7C">
        <w:t>1</w:t>
      </w:r>
      <w:r w:rsidR="00164EBD" w:rsidRPr="00F15A7C">
        <w:t>5</w:t>
      </w:r>
      <w:r w:rsidRPr="00F15A7C">
        <w:t>.tabula</w:t>
      </w:r>
    </w:p>
    <w:p w14:paraId="2C79C2E5" w14:textId="77777777" w:rsidR="005749B8" w:rsidRPr="00F15A7C" w:rsidRDefault="005749B8" w:rsidP="005749B8">
      <w:pPr>
        <w:tabs>
          <w:tab w:val="left" w:pos="720"/>
        </w:tabs>
        <w:ind w:firstLine="720"/>
        <w:jc w:val="right"/>
      </w:pPr>
    </w:p>
    <w:p w14:paraId="563693B9" w14:textId="77777777" w:rsidR="005749B8" w:rsidRPr="00F15A7C" w:rsidRDefault="005749B8" w:rsidP="005749B8">
      <w:pPr>
        <w:tabs>
          <w:tab w:val="left" w:pos="540"/>
        </w:tabs>
        <w:jc w:val="center"/>
        <w:rPr>
          <w:b/>
        </w:rPr>
      </w:pPr>
      <w:r w:rsidRPr="00F15A7C">
        <w:rPr>
          <w:b/>
        </w:rPr>
        <w:t xml:space="preserve">Plānotie ieņēmumi un izdevumi darbinieku prasījumu garantiju fondā 2016.gadā, </w:t>
      </w:r>
      <w:r w:rsidRPr="00F15A7C">
        <w:rPr>
          <w:b/>
          <w:i/>
        </w:rPr>
        <w:t>euro</w:t>
      </w:r>
    </w:p>
    <w:p w14:paraId="06CDF375" w14:textId="77777777" w:rsidR="005749B8" w:rsidRPr="009D46B2" w:rsidRDefault="005749B8" w:rsidP="005749B8">
      <w:pPr>
        <w:tabs>
          <w:tab w:val="left" w:pos="720"/>
        </w:tabs>
        <w:ind w:firstLine="720"/>
        <w:jc w:val="right"/>
        <w:rPr>
          <w:sz w:val="28"/>
          <w:szCs w:val="28"/>
        </w:rPr>
      </w:pPr>
    </w:p>
    <w:tbl>
      <w:tblPr>
        <w:tblW w:w="7481" w:type="dxa"/>
        <w:tblInd w:w="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92"/>
        <w:gridCol w:w="2389"/>
      </w:tblGrid>
      <w:tr w:rsidR="005749B8" w:rsidRPr="001E23E1" w14:paraId="6934EBFD" w14:textId="77777777" w:rsidTr="00E30B90">
        <w:trPr>
          <w:trHeight w:val="645"/>
        </w:trPr>
        <w:tc>
          <w:tcPr>
            <w:tcW w:w="5092" w:type="dxa"/>
            <w:tcBorders>
              <w:top w:val="single" w:sz="8" w:space="0" w:color="auto"/>
              <w:left w:val="single" w:sz="8" w:space="0" w:color="auto"/>
              <w:bottom w:val="single" w:sz="8" w:space="0" w:color="auto"/>
              <w:right w:val="single" w:sz="8" w:space="0" w:color="auto"/>
            </w:tcBorders>
            <w:shd w:val="clear" w:color="auto" w:fill="auto"/>
            <w:vAlign w:val="center"/>
          </w:tcPr>
          <w:p w14:paraId="26017B6A" w14:textId="77777777" w:rsidR="005749B8" w:rsidRPr="001E23E1" w:rsidRDefault="005749B8" w:rsidP="00E30B90">
            <w:pPr>
              <w:jc w:val="center"/>
              <w:rPr>
                <w:b/>
                <w:bCs/>
              </w:rPr>
            </w:pPr>
            <w:r w:rsidRPr="001E23E1">
              <w:rPr>
                <w:b/>
                <w:bCs/>
              </w:rPr>
              <w:t>Ieņēmumu un izdevumu veids</w:t>
            </w:r>
          </w:p>
        </w:tc>
        <w:tc>
          <w:tcPr>
            <w:tcW w:w="2389" w:type="dxa"/>
            <w:tcBorders>
              <w:top w:val="single" w:sz="8" w:space="0" w:color="auto"/>
              <w:left w:val="single" w:sz="8" w:space="0" w:color="auto"/>
              <w:bottom w:val="single" w:sz="8" w:space="0" w:color="auto"/>
              <w:right w:val="single" w:sz="8" w:space="0" w:color="auto"/>
            </w:tcBorders>
            <w:shd w:val="clear" w:color="auto" w:fill="auto"/>
            <w:vAlign w:val="center"/>
          </w:tcPr>
          <w:p w14:paraId="21E855EB" w14:textId="77777777" w:rsidR="005749B8" w:rsidRPr="001E23E1" w:rsidRDefault="005749B8" w:rsidP="00F15A7C">
            <w:pPr>
              <w:jc w:val="center"/>
              <w:rPr>
                <w:b/>
                <w:bCs/>
              </w:rPr>
            </w:pPr>
            <w:r w:rsidRPr="001E23E1">
              <w:rPr>
                <w:b/>
                <w:bCs/>
              </w:rPr>
              <w:t>201</w:t>
            </w:r>
            <w:r>
              <w:rPr>
                <w:b/>
                <w:bCs/>
              </w:rPr>
              <w:t>6</w:t>
            </w:r>
            <w:r w:rsidRPr="001E23E1">
              <w:rPr>
                <w:b/>
                <w:bCs/>
              </w:rPr>
              <w:t>.gads</w:t>
            </w:r>
          </w:p>
        </w:tc>
      </w:tr>
      <w:tr w:rsidR="005749B8" w:rsidRPr="001E23E1" w14:paraId="5A3425D3" w14:textId="77777777" w:rsidTr="006D355E">
        <w:trPr>
          <w:trHeight w:val="330"/>
        </w:trPr>
        <w:tc>
          <w:tcPr>
            <w:tcW w:w="5092" w:type="dxa"/>
            <w:tcBorders>
              <w:top w:val="single" w:sz="8" w:space="0" w:color="auto"/>
              <w:left w:val="single" w:sz="8" w:space="0" w:color="auto"/>
              <w:bottom w:val="single" w:sz="8" w:space="0" w:color="auto"/>
              <w:right w:val="single" w:sz="8" w:space="0" w:color="auto"/>
            </w:tcBorders>
          </w:tcPr>
          <w:p w14:paraId="2E4E3E06" w14:textId="77777777" w:rsidR="005749B8" w:rsidRPr="001E23E1" w:rsidRDefault="005749B8" w:rsidP="00E30B90">
            <w:pPr>
              <w:jc w:val="both"/>
              <w:rPr>
                <w:b/>
                <w:bCs/>
              </w:rPr>
            </w:pPr>
            <w:r w:rsidRPr="001E23E1">
              <w:rPr>
                <w:bCs/>
              </w:rPr>
              <w:t>1.</w:t>
            </w:r>
            <w:r w:rsidR="00701EA8">
              <w:rPr>
                <w:bCs/>
              </w:rPr>
              <w:t> </w:t>
            </w:r>
            <w:r w:rsidRPr="001E23E1">
              <w:t>Darbinieku prasījumu garantiju fonda atlikums uz 1.janvāri</w:t>
            </w:r>
          </w:p>
        </w:tc>
        <w:tc>
          <w:tcPr>
            <w:tcW w:w="2389" w:type="dxa"/>
            <w:tcBorders>
              <w:top w:val="single" w:sz="8" w:space="0" w:color="auto"/>
              <w:left w:val="single" w:sz="8" w:space="0" w:color="auto"/>
              <w:bottom w:val="single" w:sz="8" w:space="0" w:color="auto"/>
              <w:right w:val="single" w:sz="8" w:space="0" w:color="auto"/>
            </w:tcBorders>
            <w:vAlign w:val="center"/>
          </w:tcPr>
          <w:p w14:paraId="0AAE425A" w14:textId="77777777" w:rsidR="005749B8" w:rsidRPr="001E23E1" w:rsidRDefault="005749B8" w:rsidP="00F15A7C">
            <w:pPr>
              <w:jc w:val="center"/>
              <w:rPr>
                <w:b/>
                <w:bCs/>
              </w:rPr>
            </w:pPr>
            <w:r>
              <w:t>7 314 740</w:t>
            </w:r>
          </w:p>
        </w:tc>
      </w:tr>
      <w:tr w:rsidR="005749B8" w:rsidRPr="001E23E1" w14:paraId="6D1E42B2" w14:textId="77777777" w:rsidTr="006D355E">
        <w:trPr>
          <w:trHeight w:val="330"/>
        </w:trPr>
        <w:tc>
          <w:tcPr>
            <w:tcW w:w="5092" w:type="dxa"/>
            <w:tcBorders>
              <w:top w:val="single" w:sz="8" w:space="0" w:color="auto"/>
              <w:left w:val="single" w:sz="8" w:space="0" w:color="auto"/>
              <w:bottom w:val="single" w:sz="8" w:space="0" w:color="auto"/>
              <w:right w:val="single" w:sz="8" w:space="0" w:color="auto"/>
            </w:tcBorders>
          </w:tcPr>
          <w:p w14:paraId="1D9BF329" w14:textId="77777777" w:rsidR="005749B8" w:rsidRPr="001E23E1" w:rsidRDefault="005749B8" w:rsidP="00E30B90">
            <w:pPr>
              <w:jc w:val="both"/>
              <w:rPr>
                <w:b/>
                <w:bCs/>
              </w:rPr>
            </w:pPr>
            <w:r w:rsidRPr="001E23E1">
              <w:rPr>
                <w:b/>
                <w:bCs/>
              </w:rPr>
              <w:t>2.</w:t>
            </w:r>
            <w:r w:rsidR="00701EA8">
              <w:rPr>
                <w:b/>
                <w:bCs/>
              </w:rPr>
              <w:t> </w:t>
            </w:r>
            <w:r w:rsidRPr="001E23E1">
              <w:rPr>
                <w:b/>
                <w:bCs/>
              </w:rPr>
              <w:t xml:space="preserve">Ieņēmumi </w:t>
            </w:r>
          </w:p>
        </w:tc>
        <w:tc>
          <w:tcPr>
            <w:tcW w:w="2389" w:type="dxa"/>
            <w:tcBorders>
              <w:top w:val="single" w:sz="8" w:space="0" w:color="auto"/>
              <w:left w:val="single" w:sz="8" w:space="0" w:color="auto"/>
              <w:bottom w:val="single" w:sz="8" w:space="0" w:color="auto"/>
              <w:right w:val="single" w:sz="8" w:space="0" w:color="auto"/>
            </w:tcBorders>
            <w:vAlign w:val="center"/>
          </w:tcPr>
          <w:p w14:paraId="02CC27C4" w14:textId="77777777" w:rsidR="005749B8" w:rsidRPr="001E23E1" w:rsidRDefault="005749B8" w:rsidP="00F15A7C">
            <w:pPr>
              <w:jc w:val="center"/>
              <w:rPr>
                <w:b/>
                <w:bCs/>
              </w:rPr>
            </w:pPr>
            <w:r>
              <w:rPr>
                <w:b/>
                <w:bCs/>
              </w:rPr>
              <w:t>3 189 734</w:t>
            </w:r>
          </w:p>
        </w:tc>
      </w:tr>
      <w:tr w:rsidR="005749B8" w:rsidRPr="001E23E1" w14:paraId="76C9D5E1" w14:textId="77777777" w:rsidTr="006D355E">
        <w:trPr>
          <w:trHeight w:val="330"/>
        </w:trPr>
        <w:tc>
          <w:tcPr>
            <w:tcW w:w="5092" w:type="dxa"/>
            <w:tcBorders>
              <w:top w:val="single" w:sz="8" w:space="0" w:color="auto"/>
              <w:left w:val="single" w:sz="8" w:space="0" w:color="auto"/>
              <w:bottom w:val="single" w:sz="8" w:space="0" w:color="auto"/>
              <w:right w:val="single" w:sz="8" w:space="0" w:color="auto"/>
            </w:tcBorders>
          </w:tcPr>
          <w:p w14:paraId="3CF1A539" w14:textId="77777777" w:rsidR="005749B8" w:rsidRPr="001E23E1" w:rsidRDefault="005749B8" w:rsidP="00E30B90">
            <w:pPr>
              <w:jc w:val="both"/>
              <w:rPr>
                <w:b/>
                <w:bCs/>
              </w:rPr>
            </w:pPr>
            <w:r w:rsidRPr="001E23E1">
              <w:rPr>
                <w:b/>
                <w:bCs/>
              </w:rPr>
              <w:t>3.</w:t>
            </w:r>
            <w:r w:rsidR="00701EA8">
              <w:rPr>
                <w:b/>
                <w:bCs/>
              </w:rPr>
              <w:t> </w:t>
            </w:r>
            <w:r w:rsidRPr="001E23E1">
              <w:rPr>
                <w:b/>
                <w:bCs/>
              </w:rPr>
              <w:t>Izdevumi kopā (4+5+6+7):</w:t>
            </w:r>
          </w:p>
        </w:tc>
        <w:tc>
          <w:tcPr>
            <w:tcW w:w="2389" w:type="dxa"/>
            <w:tcBorders>
              <w:top w:val="single" w:sz="8" w:space="0" w:color="auto"/>
              <w:left w:val="single" w:sz="8" w:space="0" w:color="auto"/>
              <w:bottom w:val="single" w:sz="8" w:space="0" w:color="auto"/>
              <w:right w:val="single" w:sz="8" w:space="0" w:color="auto"/>
            </w:tcBorders>
            <w:vAlign w:val="center"/>
          </w:tcPr>
          <w:p w14:paraId="1D5C3E2C" w14:textId="77777777" w:rsidR="005749B8" w:rsidRPr="001E23E1" w:rsidRDefault="005749B8" w:rsidP="00F15A7C">
            <w:pPr>
              <w:jc w:val="center"/>
              <w:rPr>
                <w:b/>
                <w:bCs/>
              </w:rPr>
            </w:pPr>
            <w:r>
              <w:rPr>
                <w:b/>
                <w:bCs/>
              </w:rPr>
              <w:t>1 704 467</w:t>
            </w:r>
          </w:p>
        </w:tc>
      </w:tr>
      <w:tr w:rsidR="005749B8" w:rsidRPr="001E23E1" w14:paraId="429DDEBD" w14:textId="77777777" w:rsidTr="006D355E">
        <w:trPr>
          <w:trHeight w:val="645"/>
        </w:trPr>
        <w:tc>
          <w:tcPr>
            <w:tcW w:w="5092" w:type="dxa"/>
            <w:tcBorders>
              <w:top w:val="single" w:sz="8" w:space="0" w:color="auto"/>
              <w:left w:val="single" w:sz="8" w:space="0" w:color="auto"/>
              <w:bottom w:val="single" w:sz="8" w:space="0" w:color="auto"/>
              <w:right w:val="single" w:sz="8" w:space="0" w:color="auto"/>
            </w:tcBorders>
          </w:tcPr>
          <w:p w14:paraId="381F05E9" w14:textId="77777777" w:rsidR="005749B8" w:rsidRPr="001E23E1" w:rsidRDefault="005749B8" w:rsidP="00E30B90">
            <w:pPr>
              <w:jc w:val="both"/>
            </w:pPr>
            <w:r w:rsidRPr="001E23E1">
              <w:t>4.</w:t>
            </w:r>
            <w:r w:rsidR="00701EA8">
              <w:t> </w:t>
            </w:r>
            <w:r w:rsidRPr="001E23E1">
              <w:t>Valsts sociālās apdrošināšanas obligātās iemaksas</w:t>
            </w:r>
          </w:p>
        </w:tc>
        <w:tc>
          <w:tcPr>
            <w:tcW w:w="2389" w:type="dxa"/>
            <w:tcBorders>
              <w:top w:val="single" w:sz="8" w:space="0" w:color="auto"/>
              <w:left w:val="single" w:sz="8" w:space="0" w:color="auto"/>
              <w:bottom w:val="single" w:sz="8" w:space="0" w:color="auto"/>
              <w:right w:val="single" w:sz="8" w:space="0" w:color="auto"/>
            </w:tcBorders>
            <w:shd w:val="clear" w:color="auto" w:fill="auto"/>
            <w:vAlign w:val="center"/>
          </w:tcPr>
          <w:p w14:paraId="19328826" w14:textId="77777777" w:rsidR="005749B8" w:rsidRPr="001E23E1" w:rsidRDefault="005749B8" w:rsidP="00F15A7C">
            <w:pPr>
              <w:jc w:val="center"/>
            </w:pPr>
            <w:r>
              <w:t>477 793</w:t>
            </w:r>
          </w:p>
        </w:tc>
      </w:tr>
      <w:tr w:rsidR="005749B8" w:rsidRPr="001E23E1" w14:paraId="7E6F7D3F" w14:textId="77777777" w:rsidTr="006D355E">
        <w:trPr>
          <w:trHeight w:val="330"/>
        </w:trPr>
        <w:tc>
          <w:tcPr>
            <w:tcW w:w="5092" w:type="dxa"/>
            <w:tcBorders>
              <w:top w:val="single" w:sz="8" w:space="0" w:color="auto"/>
              <w:left w:val="single" w:sz="8" w:space="0" w:color="auto"/>
              <w:bottom w:val="single" w:sz="8" w:space="0" w:color="auto"/>
              <w:right w:val="single" w:sz="8" w:space="0" w:color="auto"/>
            </w:tcBorders>
          </w:tcPr>
          <w:p w14:paraId="3D76D6B2" w14:textId="77777777" w:rsidR="005749B8" w:rsidRPr="001E23E1" w:rsidRDefault="005749B8" w:rsidP="00E30B90">
            <w:pPr>
              <w:jc w:val="both"/>
            </w:pPr>
            <w:r w:rsidRPr="001E23E1">
              <w:t>5.</w:t>
            </w:r>
            <w:r w:rsidR="00701EA8">
              <w:t> </w:t>
            </w:r>
            <w:r w:rsidRPr="001E23E1">
              <w:t>Iedzīvotāju ienākuma nodoklis</w:t>
            </w:r>
          </w:p>
        </w:tc>
        <w:tc>
          <w:tcPr>
            <w:tcW w:w="2389" w:type="dxa"/>
            <w:tcBorders>
              <w:top w:val="single" w:sz="8" w:space="0" w:color="auto"/>
              <w:left w:val="single" w:sz="8" w:space="0" w:color="auto"/>
              <w:bottom w:val="single" w:sz="8" w:space="0" w:color="auto"/>
              <w:right w:val="single" w:sz="8" w:space="0" w:color="auto"/>
            </w:tcBorders>
            <w:shd w:val="clear" w:color="auto" w:fill="auto"/>
            <w:vAlign w:val="center"/>
          </w:tcPr>
          <w:p w14:paraId="131742EF" w14:textId="77777777" w:rsidR="005749B8" w:rsidRPr="001E23E1" w:rsidRDefault="005749B8" w:rsidP="00F15A7C">
            <w:pPr>
              <w:jc w:val="center"/>
            </w:pPr>
            <w:r>
              <w:t>292 841</w:t>
            </w:r>
          </w:p>
        </w:tc>
      </w:tr>
      <w:tr w:rsidR="005749B8" w:rsidRPr="001E23E1" w14:paraId="70517843" w14:textId="77777777" w:rsidTr="006D355E">
        <w:trPr>
          <w:trHeight w:val="645"/>
        </w:trPr>
        <w:tc>
          <w:tcPr>
            <w:tcW w:w="5092" w:type="dxa"/>
            <w:tcBorders>
              <w:top w:val="single" w:sz="8" w:space="0" w:color="auto"/>
              <w:left w:val="single" w:sz="8" w:space="0" w:color="auto"/>
              <w:bottom w:val="single" w:sz="8" w:space="0" w:color="auto"/>
              <w:right w:val="single" w:sz="8" w:space="0" w:color="auto"/>
            </w:tcBorders>
          </w:tcPr>
          <w:p w14:paraId="1624E375" w14:textId="77777777" w:rsidR="005749B8" w:rsidRPr="001E23E1" w:rsidRDefault="005749B8" w:rsidP="00E30B90">
            <w:pPr>
              <w:jc w:val="both"/>
            </w:pPr>
            <w:r w:rsidRPr="001E23E1">
              <w:t>6.</w:t>
            </w:r>
            <w:r w:rsidR="00701EA8">
              <w:t> </w:t>
            </w:r>
            <w:r w:rsidRPr="001E23E1">
              <w:t>Maksātnespējīgo darba devēju darbinieku prasījumi (neto)</w:t>
            </w:r>
          </w:p>
        </w:tc>
        <w:tc>
          <w:tcPr>
            <w:tcW w:w="2389" w:type="dxa"/>
            <w:tcBorders>
              <w:top w:val="single" w:sz="8" w:space="0" w:color="auto"/>
              <w:left w:val="single" w:sz="8" w:space="0" w:color="auto"/>
              <w:bottom w:val="single" w:sz="8" w:space="0" w:color="auto"/>
              <w:right w:val="single" w:sz="8" w:space="0" w:color="auto"/>
            </w:tcBorders>
            <w:shd w:val="clear" w:color="auto" w:fill="auto"/>
            <w:vAlign w:val="center"/>
          </w:tcPr>
          <w:p w14:paraId="2036C5DD" w14:textId="77777777" w:rsidR="005749B8" w:rsidRPr="001E23E1" w:rsidRDefault="005749B8" w:rsidP="00F15A7C">
            <w:pPr>
              <w:jc w:val="center"/>
            </w:pPr>
            <w:r>
              <w:t>922 262</w:t>
            </w:r>
          </w:p>
        </w:tc>
      </w:tr>
      <w:tr w:rsidR="005749B8" w:rsidRPr="001E23E1" w14:paraId="5A364B79" w14:textId="77777777" w:rsidTr="006D355E">
        <w:trPr>
          <w:trHeight w:val="645"/>
        </w:trPr>
        <w:tc>
          <w:tcPr>
            <w:tcW w:w="5092" w:type="dxa"/>
            <w:tcBorders>
              <w:top w:val="single" w:sz="8" w:space="0" w:color="auto"/>
              <w:left w:val="single" w:sz="8" w:space="0" w:color="auto"/>
              <w:bottom w:val="single" w:sz="8" w:space="0" w:color="auto"/>
              <w:right w:val="single" w:sz="8" w:space="0" w:color="auto"/>
            </w:tcBorders>
          </w:tcPr>
          <w:p w14:paraId="007F9F66" w14:textId="77777777" w:rsidR="005749B8" w:rsidRPr="001E23E1" w:rsidRDefault="005749B8" w:rsidP="00E30B90">
            <w:pPr>
              <w:jc w:val="both"/>
            </w:pPr>
            <w:r w:rsidRPr="001E23E1">
              <w:t>7.</w:t>
            </w:r>
            <w:r w:rsidR="00701EA8">
              <w:t> </w:t>
            </w:r>
            <w:r w:rsidRPr="001E23E1">
              <w:t>Administratora atlīdzība par darbinieku prasījumu iesniegšanu</w:t>
            </w:r>
          </w:p>
        </w:tc>
        <w:tc>
          <w:tcPr>
            <w:tcW w:w="2389" w:type="dxa"/>
            <w:tcBorders>
              <w:top w:val="single" w:sz="8" w:space="0" w:color="auto"/>
              <w:left w:val="single" w:sz="8" w:space="0" w:color="auto"/>
              <w:bottom w:val="single" w:sz="8" w:space="0" w:color="auto"/>
              <w:right w:val="single" w:sz="8" w:space="0" w:color="auto"/>
            </w:tcBorders>
            <w:vAlign w:val="center"/>
          </w:tcPr>
          <w:p w14:paraId="3B12C5AD" w14:textId="77777777" w:rsidR="005749B8" w:rsidRPr="001E23E1" w:rsidRDefault="005749B8" w:rsidP="00F15A7C">
            <w:pPr>
              <w:jc w:val="center"/>
            </w:pPr>
            <w:r>
              <w:t>11 571</w:t>
            </w:r>
          </w:p>
        </w:tc>
      </w:tr>
    </w:tbl>
    <w:p w14:paraId="6FFA4D27" w14:textId="77777777" w:rsidR="005749B8" w:rsidRPr="001E23E1" w:rsidRDefault="005749B8" w:rsidP="001852BD">
      <w:pPr>
        <w:tabs>
          <w:tab w:val="left" w:pos="720"/>
        </w:tabs>
        <w:ind w:firstLine="720"/>
        <w:jc w:val="both"/>
        <w:rPr>
          <w:sz w:val="28"/>
          <w:szCs w:val="28"/>
        </w:rPr>
      </w:pPr>
    </w:p>
    <w:p w14:paraId="706EB618" w14:textId="77777777" w:rsidR="00C02CAA" w:rsidRPr="001E23E1" w:rsidRDefault="00C02CAA" w:rsidP="001852BD">
      <w:pPr>
        <w:tabs>
          <w:tab w:val="left" w:pos="540"/>
        </w:tabs>
        <w:jc w:val="both"/>
      </w:pPr>
    </w:p>
    <w:p w14:paraId="624CAA55" w14:textId="77777777" w:rsidR="00C02CAA" w:rsidRPr="00F15A7C" w:rsidRDefault="00C02CAA" w:rsidP="00B04B47">
      <w:pPr>
        <w:pStyle w:val="Heading2"/>
        <w:numPr>
          <w:ilvl w:val="0"/>
          <w:numId w:val="0"/>
        </w:numPr>
        <w:spacing w:before="0" w:after="0"/>
        <w:ind w:firstLine="709"/>
        <w:jc w:val="both"/>
        <w:rPr>
          <w:rFonts w:ascii="Times New Roman" w:hAnsi="Times New Roman" w:cs="Times New Roman"/>
          <w:i w:val="0"/>
          <w:iCs w:val="0"/>
          <w:sz w:val="24"/>
          <w:szCs w:val="24"/>
        </w:rPr>
      </w:pPr>
      <w:bookmarkStart w:id="59" w:name="_Toc286319809"/>
      <w:bookmarkStart w:id="60" w:name="_Toc286319811"/>
      <w:bookmarkStart w:id="61" w:name="_Toc286319813"/>
      <w:bookmarkStart w:id="62" w:name="_Toc286319814"/>
      <w:bookmarkStart w:id="63" w:name="_Toc286319815"/>
      <w:bookmarkStart w:id="64" w:name="_Toc286319819"/>
      <w:bookmarkStart w:id="65" w:name="_Toc410048284"/>
      <w:bookmarkStart w:id="66" w:name="_Toc414279029"/>
      <w:bookmarkStart w:id="67" w:name="_Toc453263319"/>
      <w:bookmarkEnd w:id="3"/>
      <w:bookmarkEnd w:id="7"/>
      <w:bookmarkEnd w:id="8"/>
      <w:bookmarkEnd w:id="9"/>
      <w:bookmarkEnd w:id="59"/>
      <w:bookmarkEnd w:id="60"/>
      <w:bookmarkEnd w:id="61"/>
      <w:bookmarkEnd w:id="62"/>
      <w:bookmarkEnd w:id="63"/>
      <w:bookmarkEnd w:id="64"/>
      <w:r w:rsidRPr="00F15A7C">
        <w:rPr>
          <w:rFonts w:ascii="Times New Roman" w:hAnsi="Times New Roman" w:cs="Times New Roman"/>
          <w:i w:val="0"/>
          <w:iCs w:val="0"/>
          <w:sz w:val="24"/>
          <w:szCs w:val="24"/>
        </w:rPr>
        <w:t>III.</w:t>
      </w:r>
      <w:r w:rsidR="00B04B47">
        <w:rPr>
          <w:rFonts w:ascii="Times New Roman" w:hAnsi="Times New Roman" w:cs="Times New Roman"/>
          <w:i w:val="0"/>
          <w:iCs w:val="0"/>
          <w:sz w:val="24"/>
          <w:szCs w:val="24"/>
        </w:rPr>
        <w:t xml:space="preserve"> </w:t>
      </w:r>
      <w:r w:rsidRPr="00F15A7C">
        <w:rPr>
          <w:rFonts w:ascii="Times New Roman" w:hAnsi="Times New Roman" w:cs="Times New Roman"/>
          <w:i w:val="0"/>
          <w:iCs w:val="0"/>
          <w:sz w:val="24"/>
          <w:szCs w:val="24"/>
        </w:rPr>
        <w:t>Secinājumi</w:t>
      </w:r>
      <w:bookmarkEnd w:id="65"/>
      <w:bookmarkEnd w:id="66"/>
      <w:bookmarkEnd w:id="67"/>
    </w:p>
    <w:p w14:paraId="322F6336" w14:textId="77777777" w:rsidR="00C02CAA" w:rsidRPr="00F15A7C" w:rsidRDefault="00C02CAA" w:rsidP="00F15A7C">
      <w:pPr>
        <w:ind w:firstLine="720"/>
        <w:jc w:val="both"/>
      </w:pPr>
      <w:r w:rsidRPr="00F15A7C">
        <w:t>1.</w:t>
      </w:r>
      <w:r w:rsidR="00EE04F5" w:rsidRPr="00F15A7C">
        <w:t xml:space="preserve"> </w:t>
      </w:r>
      <w:r w:rsidRPr="00F15A7C">
        <w:t xml:space="preserve">Eiropas Parlamenta un Padomes 2008.gada 22.oktobra </w:t>
      </w:r>
      <w:r w:rsidR="00701EA8">
        <w:t>D</w:t>
      </w:r>
      <w:r w:rsidRPr="00F15A7C">
        <w:t>irektīva 2008/94/EK par darba ņēmēju aizsardzību to darba devēja maksātnespējas gadījumā</w:t>
      </w:r>
      <w:r w:rsidR="00EE04F5" w:rsidRPr="00F15A7C">
        <w:t xml:space="preserve"> </w:t>
      </w:r>
      <w:r w:rsidRPr="00F15A7C">
        <w:t xml:space="preserve">uzliek pienākumu valstij nodrošināt darbinieku prasījumu aizsardzību darba devēja maksātnespējas gadījumā, izveidojot garantijas iestādi, kā arī nosaka šīs institūcijas funkcijas un finansēšanas kārtību. </w:t>
      </w:r>
    </w:p>
    <w:p w14:paraId="5EFDCA69" w14:textId="77777777" w:rsidR="00C02CAA" w:rsidRPr="00F15A7C" w:rsidRDefault="00C02CAA" w:rsidP="00F15A7C">
      <w:pPr>
        <w:ind w:firstLine="720"/>
        <w:jc w:val="both"/>
      </w:pPr>
      <w:r w:rsidRPr="00F15A7C">
        <w:t xml:space="preserve">2. Latvijā darbinieku prasījumi tiek segti no darbinieku prasījumu garantiju fonda, kura turētājs ir Maksātnespējas administrācija. Darbinieku prasījumu garantiju fonds tiek finansēts no URVN (darba devēju veikto maksājumu) daļas, kas atbilst </w:t>
      </w:r>
      <w:r w:rsidR="00701EA8">
        <w:t xml:space="preserve">minētajā </w:t>
      </w:r>
      <w:r w:rsidRPr="00F15A7C">
        <w:t>direktīvā noteiktajam pamatprincipam, ka darba devēji piedalās finansēšanā, ja vien to pilnīgi nenodrošina valsts iestādes.</w:t>
      </w:r>
    </w:p>
    <w:p w14:paraId="494AF609" w14:textId="77777777" w:rsidR="00C02CAA" w:rsidRPr="00F15A7C" w:rsidRDefault="00C02CAA" w:rsidP="00F15A7C">
      <w:pPr>
        <w:ind w:firstLine="720"/>
        <w:jc w:val="both"/>
      </w:pPr>
      <w:r w:rsidRPr="00F15A7C">
        <w:t>3. Ieviešot URVN, jau sākotnēji tika paredzēts un normatīvajos aktos nostiprināts, ka nodeva tiek izmantota ne tikai darbinieku prasījumu apmierināšanai, bet arī citu ar maksātnespējas procesu saistīto pasākumu finansēšanai.</w:t>
      </w:r>
      <w:r w:rsidR="00EE04F5" w:rsidRPr="00F15A7C">
        <w:t xml:space="preserve"> </w:t>
      </w:r>
      <w:r w:rsidRPr="00F15A7C">
        <w:t>No 2012.gada</w:t>
      </w:r>
      <w:r w:rsidR="00811BC9" w:rsidRPr="00F15A7C">
        <w:t xml:space="preserve"> </w:t>
      </w:r>
      <w:r w:rsidRPr="00F15A7C">
        <w:t xml:space="preserve">līdz 2014.gadam URVN ieņēmumi tiek izlietoti šādu </w:t>
      </w:r>
      <w:r w:rsidR="00E4759E">
        <w:t xml:space="preserve">budžeta </w:t>
      </w:r>
      <w:r w:rsidRPr="00F15A7C">
        <w:t>apakšprogrammu finansēšanai:</w:t>
      </w:r>
    </w:p>
    <w:p w14:paraId="5BCD9394" w14:textId="77777777" w:rsidR="00C02CAA" w:rsidRPr="00F15A7C" w:rsidRDefault="00C02CAA" w:rsidP="00F15A7C">
      <w:pPr>
        <w:ind w:firstLine="720"/>
        <w:jc w:val="both"/>
      </w:pPr>
      <w:r w:rsidRPr="00F15A7C">
        <w:t xml:space="preserve">- </w:t>
      </w:r>
      <w:r w:rsidR="00F10015" w:rsidRPr="00F10015">
        <w:t>„</w:t>
      </w:r>
      <w:r w:rsidR="00F10015">
        <w:t>D</w:t>
      </w:r>
      <w:r w:rsidR="00F10015" w:rsidRPr="00F10015">
        <w:t>arbinieku prasījumu garantiju fonds”</w:t>
      </w:r>
      <w:r w:rsidRPr="00F15A7C">
        <w:t>;</w:t>
      </w:r>
    </w:p>
    <w:p w14:paraId="78A38C93" w14:textId="77777777" w:rsidR="00C02CAA" w:rsidRPr="00F15A7C" w:rsidRDefault="00C02CAA" w:rsidP="00F15A7C">
      <w:pPr>
        <w:ind w:firstLine="720"/>
        <w:jc w:val="both"/>
      </w:pPr>
      <w:r w:rsidRPr="00F15A7C">
        <w:t xml:space="preserve">- </w:t>
      </w:r>
      <w:r w:rsidR="00F10015" w:rsidRPr="00F10015">
        <w:t>„</w:t>
      </w:r>
      <w:r w:rsidR="00F10015">
        <w:t>M</w:t>
      </w:r>
      <w:r w:rsidRPr="00F15A7C">
        <w:t>aksātnespējas procesa izmaksas</w:t>
      </w:r>
      <w:r w:rsidR="00F10015" w:rsidRPr="00F10015">
        <w:t>”</w:t>
      </w:r>
      <w:r w:rsidRPr="00F15A7C">
        <w:t>.</w:t>
      </w:r>
    </w:p>
    <w:p w14:paraId="3554CE40" w14:textId="77777777" w:rsidR="00774E59" w:rsidRPr="00F15A7C" w:rsidRDefault="00774E59" w:rsidP="00F15A7C">
      <w:pPr>
        <w:ind w:firstLine="720"/>
        <w:jc w:val="both"/>
      </w:pPr>
      <w:r w:rsidRPr="00F15A7C">
        <w:t>No 2015.gada daļa no URVN ieņēmumiem (</w:t>
      </w:r>
      <w:r w:rsidR="00BB7824">
        <w:t>cetri</w:t>
      </w:r>
      <w:r w:rsidRPr="00F15A7C">
        <w:t xml:space="preserve"> procenti) tiek izmantota </w:t>
      </w:r>
      <w:r w:rsidR="00701EA8">
        <w:t xml:space="preserve">budžeta </w:t>
      </w:r>
      <w:r w:rsidRPr="00F15A7C">
        <w:t xml:space="preserve">apakšprogrammas </w:t>
      </w:r>
      <w:r w:rsidR="00F10015" w:rsidRPr="00F10015">
        <w:t>„</w:t>
      </w:r>
      <w:r w:rsidRPr="00F15A7C">
        <w:t>Maksātnespējas procesu pārvaldība” finansēšanai.</w:t>
      </w:r>
    </w:p>
    <w:p w14:paraId="117947FE" w14:textId="77777777" w:rsidR="00774E59" w:rsidRPr="00F15A7C" w:rsidRDefault="00774E59" w:rsidP="00F15A7C">
      <w:pPr>
        <w:ind w:firstLine="720"/>
        <w:jc w:val="both"/>
      </w:pPr>
      <w:r w:rsidRPr="00F15A7C">
        <w:t xml:space="preserve">No 2016.gada URVN ieņēmumi tiek izlietoti šādu </w:t>
      </w:r>
      <w:r w:rsidR="00701EA8">
        <w:t xml:space="preserve">budžeta </w:t>
      </w:r>
      <w:r w:rsidRPr="00F15A7C">
        <w:t>apakšprogrammu finansēšanai:</w:t>
      </w:r>
    </w:p>
    <w:p w14:paraId="74CB8D79" w14:textId="77777777" w:rsidR="00774E59" w:rsidRPr="00F15A7C" w:rsidRDefault="00774E59" w:rsidP="00F15A7C">
      <w:pPr>
        <w:ind w:firstLine="720"/>
        <w:jc w:val="both"/>
      </w:pPr>
      <w:r w:rsidRPr="00F15A7C">
        <w:t xml:space="preserve">- </w:t>
      </w:r>
      <w:r w:rsidR="00F10015" w:rsidRPr="00F10015">
        <w:t>„Darbinieku prasījumu garantiju fonds”</w:t>
      </w:r>
      <w:r w:rsidRPr="00F15A7C">
        <w:t>;</w:t>
      </w:r>
    </w:p>
    <w:p w14:paraId="3FFF4F9F" w14:textId="77777777" w:rsidR="00774E59" w:rsidRPr="00F15A7C" w:rsidRDefault="00774E59" w:rsidP="00F15A7C">
      <w:pPr>
        <w:ind w:firstLine="720"/>
        <w:jc w:val="both"/>
      </w:pPr>
      <w:r w:rsidRPr="00F15A7C">
        <w:t xml:space="preserve">- </w:t>
      </w:r>
      <w:r w:rsidR="00F10015" w:rsidRPr="00F10015">
        <w:t>„Maksātnespējas procesu pārvaldība”</w:t>
      </w:r>
      <w:r w:rsidRPr="00F15A7C">
        <w:t>.</w:t>
      </w:r>
    </w:p>
    <w:p w14:paraId="409E598F" w14:textId="77777777" w:rsidR="00C02CAA" w:rsidRPr="00F15A7C" w:rsidRDefault="00774E59" w:rsidP="00F15A7C">
      <w:pPr>
        <w:ind w:firstLine="720"/>
        <w:jc w:val="both"/>
      </w:pPr>
      <w:r w:rsidRPr="00F15A7C">
        <w:t xml:space="preserve">4. No 2011.gada līdz 2015.gadam kopā URVN iekasēta 14 793 195 </w:t>
      </w:r>
      <w:r w:rsidRPr="00F15A7C">
        <w:rPr>
          <w:i/>
        </w:rPr>
        <w:t>euro</w:t>
      </w:r>
      <w:r w:rsidRPr="00F15A7C">
        <w:t xml:space="preserve"> apmērā, no tā 85 procenti, jeb 12 642 166 </w:t>
      </w:r>
      <w:r w:rsidRPr="00F15A7C">
        <w:rPr>
          <w:i/>
        </w:rPr>
        <w:t>euro</w:t>
      </w:r>
      <w:r w:rsidRPr="00F15A7C">
        <w:t xml:space="preserve"> novirzīti darbinieku prasījumu garantiju fondā.</w:t>
      </w:r>
    </w:p>
    <w:p w14:paraId="15DE91C7" w14:textId="77777777" w:rsidR="00C02CAA" w:rsidRPr="00F15A7C" w:rsidRDefault="00C02CAA" w:rsidP="00F15A7C">
      <w:pPr>
        <w:ind w:firstLine="720"/>
        <w:jc w:val="both"/>
        <w:rPr>
          <w:bCs/>
        </w:rPr>
      </w:pPr>
      <w:r w:rsidRPr="00F15A7C">
        <w:t>5. Uz 201</w:t>
      </w:r>
      <w:r w:rsidR="00B46A1E" w:rsidRPr="00F15A7C">
        <w:t>1</w:t>
      </w:r>
      <w:r w:rsidRPr="00F15A7C">
        <w:t xml:space="preserve">.gada 31.decembri uzkrājums darbinieku prasījumu garantiju fondā bija </w:t>
      </w:r>
      <w:r w:rsidR="00B46A1E" w:rsidRPr="00F15A7C">
        <w:t xml:space="preserve"> </w:t>
      </w:r>
      <w:r w:rsidR="00D76F4E" w:rsidRPr="00F15A7C">
        <w:t>624 601</w:t>
      </w:r>
      <w:r w:rsidR="00B46A1E" w:rsidRPr="00F15A7C">
        <w:t xml:space="preserve"> </w:t>
      </w:r>
      <w:r w:rsidRPr="00F15A7C">
        <w:rPr>
          <w:i/>
        </w:rPr>
        <w:t>euro</w:t>
      </w:r>
      <w:r w:rsidRPr="00F15A7C">
        <w:t>. Sakarā ar ierobežojumiem, kas piemēroti darbinieku prasījumu segšanai no darbinieku prasījumu garantiju fonda, kā arī sakarā ar to, ka vērojama ekonomikas atveseļošanās, darbavietu pieaugums un normalizējies maksātnespējīgo juridisko personu skaits un attiecīgi samazinājies izdevumu apjoms maksātnespējīgo darbinieku prasījumu segšanai,</w:t>
      </w:r>
      <w:r w:rsidR="00B46A1E" w:rsidRPr="00F15A7C">
        <w:t xml:space="preserve"> </w:t>
      </w:r>
      <w:r w:rsidRPr="00F15A7C">
        <w:t>201</w:t>
      </w:r>
      <w:r w:rsidR="00B46A1E" w:rsidRPr="00F15A7C">
        <w:t>5</w:t>
      </w:r>
      <w:r w:rsidRPr="00F15A7C">
        <w:t xml:space="preserve">.gada 31.decembrī uzkrājums bija </w:t>
      </w:r>
      <w:r w:rsidR="00B46A1E" w:rsidRPr="00F15A7C">
        <w:rPr>
          <w:bCs/>
        </w:rPr>
        <w:t xml:space="preserve">7 314 740 </w:t>
      </w:r>
      <w:r w:rsidRPr="00F15A7C">
        <w:rPr>
          <w:bCs/>
          <w:i/>
        </w:rPr>
        <w:t>euro</w:t>
      </w:r>
      <w:r w:rsidRPr="00F15A7C">
        <w:rPr>
          <w:bCs/>
        </w:rPr>
        <w:t>.</w:t>
      </w:r>
    </w:p>
    <w:p w14:paraId="168B3612" w14:textId="77777777" w:rsidR="00C02CAA" w:rsidRPr="00F15A7C" w:rsidRDefault="00C02CAA" w:rsidP="00F15A7C">
      <w:pPr>
        <w:ind w:firstLine="720"/>
        <w:jc w:val="both"/>
      </w:pPr>
      <w:r w:rsidRPr="00F15A7C">
        <w:rPr>
          <w:bCs/>
        </w:rPr>
        <w:t>6. Viena liela uzņēmuma</w:t>
      </w:r>
      <w:r w:rsidR="00BB7824" w:rsidRPr="00BB7824">
        <w:rPr>
          <w:bCs/>
        </w:rPr>
        <w:t>, kurā nodarbināti ievērojams skaits darbinieku,</w:t>
      </w:r>
      <w:r w:rsidRPr="00F15A7C">
        <w:rPr>
          <w:bCs/>
        </w:rPr>
        <w:t xml:space="preserve"> maksātnespēja</w:t>
      </w:r>
      <w:r w:rsidR="00BB7824">
        <w:rPr>
          <w:bCs/>
        </w:rPr>
        <w:t xml:space="preserve">s gadījumā, </w:t>
      </w:r>
      <w:r w:rsidRPr="00F15A7C">
        <w:rPr>
          <w:bCs/>
        </w:rPr>
        <w:t xml:space="preserve">var </w:t>
      </w:r>
      <w:r w:rsidR="00BB7824">
        <w:rPr>
          <w:bCs/>
        </w:rPr>
        <w:t>rasties nepieciešamība veikt ievērojamas izmaksas</w:t>
      </w:r>
      <w:r w:rsidR="00646A0A" w:rsidRPr="00F15A7C">
        <w:rPr>
          <w:bCs/>
        </w:rPr>
        <w:t xml:space="preserve"> </w:t>
      </w:r>
      <w:r w:rsidRPr="00F15A7C">
        <w:rPr>
          <w:bCs/>
        </w:rPr>
        <w:t>no darbi</w:t>
      </w:r>
      <w:r w:rsidR="00BB7824">
        <w:rPr>
          <w:bCs/>
        </w:rPr>
        <w:t>nieku prasījumu garantiju fonda, līdz ar to</w:t>
      </w:r>
      <w:r w:rsidR="003D239D" w:rsidRPr="00F15A7C">
        <w:rPr>
          <w:bCs/>
        </w:rPr>
        <w:t xml:space="preserve"> uzkrātais drošības garanta apmērs uz 2015.gada beigām (septiņi miljoni </w:t>
      </w:r>
      <w:r w:rsidR="003D239D" w:rsidRPr="00F15A7C">
        <w:rPr>
          <w:bCs/>
          <w:i/>
        </w:rPr>
        <w:t>euro</w:t>
      </w:r>
      <w:r w:rsidR="003D239D" w:rsidRPr="00F15A7C">
        <w:rPr>
          <w:bCs/>
        </w:rPr>
        <w:t>) ir optimāls</w:t>
      </w:r>
      <w:r w:rsidRPr="00F15A7C">
        <w:rPr>
          <w:bCs/>
        </w:rPr>
        <w:t>.</w:t>
      </w:r>
    </w:p>
    <w:p w14:paraId="75A5FB8C" w14:textId="77777777" w:rsidR="00C02CAA" w:rsidRPr="00F15A7C" w:rsidRDefault="00C02CAA" w:rsidP="00F15A7C">
      <w:pPr>
        <w:ind w:firstLine="720"/>
        <w:jc w:val="both"/>
        <w:rPr>
          <w:bCs/>
        </w:rPr>
      </w:pPr>
      <w:r w:rsidRPr="00F15A7C">
        <w:rPr>
          <w:bCs/>
        </w:rPr>
        <w:t xml:space="preserve">7. </w:t>
      </w:r>
      <w:r w:rsidR="003D239D" w:rsidRPr="00F15A7C">
        <w:rPr>
          <w:bCs/>
        </w:rPr>
        <w:t>No 2011.gada līdz 2015.gadam saglabājas stabila darbinieku, par kuriem maksāta URVN, procentuālā attiecību pret kopējo nodarbināto skaitu – vidēji 78</w:t>
      </w:r>
      <w:r w:rsidR="00774E59" w:rsidRPr="00F15A7C">
        <w:rPr>
          <w:bCs/>
        </w:rPr>
        <w:t xml:space="preserve"> procenti</w:t>
      </w:r>
      <w:r w:rsidR="003D239D" w:rsidRPr="00F15A7C">
        <w:rPr>
          <w:bCs/>
        </w:rPr>
        <w:t>.</w:t>
      </w:r>
    </w:p>
    <w:p w14:paraId="7BB00DBC" w14:textId="77777777" w:rsidR="00C02CAA" w:rsidRPr="00F15A7C" w:rsidRDefault="00C02CAA" w:rsidP="00F15A7C">
      <w:pPr>
        <w:ind w:firstLine="720"/>
        <w:jc w:val="both"/>
      </w:pPr>
      <w:r w:rsidRPr="00F15A7C">
        <w:t>8. Vidējā izmaksātā summa vienam darbiniekam 2012., 2013.</w:t>
      </w:r>
      <w:r w:rsidR="00544F1B" w:rsidRPr="00F15A7C">
        <w:t>, 2014.</w:t>
      </w:r>
      <w:r w:rsidRPr="00F15A7C">
        <w:t xml:space="preserve"> un 201</w:t>
      </w:r>
      <w:r w:rsidR="00544F1B" w:rsidRPr="00F15A7C">
        <w:t>5</w:t>
      </w:r>
      <w:r w:rsidRPr="00F15A7C">
        <w:t>.gadā</w:t>
      </w:r>
      <w:r w:rsidR="00BB7824" w:rsidRPr="00BB7824">
        <w:t xml:space="preserve"> </w:t>
      </w:r>
      <w:r w:rsidR="00BB7824">
        <w:t>(periodā, kad ir spēkā ierobežojums, piesaistot izmasas</w:t>
      </w:r>
      <w:r w:rsidR="00BB7824" w:rsidRPr="00BB7824">
        <w:t xml:space="preserve"> minimālajai mēnešalgai</w:t>
      </w:r>
      <w:r w:rsidR="00BB7824">
        <w:t>)</w:t>
      </w:r>
      <w:r w:rsidRPr="00F15A7C">
        <w:t xml:space="preserve"> attiecīgi ir 80</w:t>
      </w:r>
      <w:r w:rsidR="00544F1B" w:rsidRPr="00F15A7C">
        <w:t>2</w:t>
      </w:r>
      <w:r w:rsidRPr="00F15A7C">
        <w:t>, 712</w:t>
      </w:r>
      <w:r w:rsidR="00544F1B" w:rsidRPr="00F15A7C">
        <w:t>, 801</w:t>
      </w:r>
      <w:r w:rsidRPr="00F15A7C">
        <w:t xml:space="preserve"> un </w:t>
      </w:r>
      <w:r w:rsidR="00544F1B" w:rsidRPr="00F15A7C">
        <w:t xml:space="preserve">903 </w:t>
      </w:r>
      <w:r w:rsidRPr="00F15A7C">
        <w:rPr>
          <w:i/>
        </w:rPr>
        <w:t>euro</w:t>
      </w:r>
      <w:r w:rsidR="00544F1B" w:rsidRPr="00F15A7C">
        <w:rPr>
          <w:i/>
        </w:rPr>
        <w:t xml:space="preserve"> </w:t>
      </w:r>
      <w:r w:rsidRPr="00F15A7C">
        <w:t xml:space="preserve">(darbiniekam piešķirtā summa bruto un darba devēja sociālais nodoklis), kas </w:t>
      </w:r>
      <w:r w:rsidR="00BB7824">
        <w:t xml:space="preserve">vidēji sastāda </w:t>
      </w:r>
      <w:r w:rsidR="00BB7824" w:rsidRPr="00BB7824">
        <w:t xml:space="preserve">805 </w:t>
      </w:r>
      <w:r w:rsidR="00BB7824" w:rsidRPr="00BB7824">
        <w:rPr>
          <w:i/>
        </w:rPr>
        <w:t>euro</w:t>
      </w:r>
      <w:r w:rsidRPr="00F15A7C">
        <w:t>.</w:t>
      </w:r>
    </w:p>
    <w:p w14:paraId="2C0BEA72" w14:textId="77777777" w:rsidR="00C02CAA" w:rsidRPr="00F15A7C" w:rsidRDefault="00C02CAA" w:rsidP="00F15A7C">
      <w:pPr>
        <w:ind w:firstLine="720"/>
        <w:jc w:val="both"/>
      </w:pPr>
      <w:r w:rsidRPr="00F15A7C">
        <w:t>9. Maksātnespējas procesa izmaksu segšanai nepieciešamo līdzekļu apmērs turpmākajā periodā (201</w:t>
      </w:r>
      <w:r w:rsidR="00FD6A74" w:rsidRPr="00F15A7C">
        <w:t>7</w:t>
      </w:r>
      <w:r w:rsidRPr="00F15A7C">
        <w:t>.</w:t>
      </w:r>
      <w:r w:rsidR="00625FB3">
        <w:t>–</w:t>
      </w:r>
      <w:r w:rsidRPr="00F15A7C">
        <w:t>201</w:t>
      </w:r>
      <w:r w:rsidR="00FD6A74" w:rsidRPr="00F15A7C">
        <w:t>9</w:t>
      </w:r>
      <w:r w:rsidRPr="00F15A7C">
        <w:t xml:space="preserve">.gads) katru gadu samazināsies un </w:t>
      </w:r>
      <w:r w:rsidR="00BB7824">
        <w:t xml:space="preserve">līdz ar to, ka </w:t>
      </w:r>
      <w:r w:rsidR="00FD6A74" w:rsidRPr="00F15A7C">
        <w:t xml:space="preserve"> </w:t>
      </w:r>
      <w:r w:rsidR="00BB7824">
        <w:t>attiecīgajā</w:t>
      </w:r>
      <w:r w:rsidRPr="00F15A7C">
        <w:t xml:space="preserve"> apakšprogrammā </w:t>
      </w:r>
      <w:r w:rsidR="00FD6A74" w:rsidRPr="00F15A7C">
        <w:t>bija</w:t>
      </w:r>
      <w:r w:rsidRPr="00F15A7C">
        <w:t xml:space="preserve"> izveidojies ievērojams </w:t>
      </w:r>
      <w:r w:rsidR="00BB7824">
        <w:t xml:space="preserve">līdzekļu </w:t>
      </w:r>
      <w:r w:rsidRPr="00F15A7C">
        <w:t>uzkrājums (</w:t>
      </w:r>
      <w:r w:rsidR="00FD6A74" w:rsidRPr="00F15A7C">
        <w:t>897 989</w:t>
      </w:r>
      <w:r w:rsidRPr="00F15A7C">
        <w:t xml:space="preserve"> </w:t>
      </w:r>
      <w:r w:rsidRPr="00F15A7C">
        <w:rPr>
          <w:i/>
        </w:rPr>
        <w:t>euro</w:t>
      </w:r>
      <w:r w:rsidR="00F45D11" w:rsidRPr="00F15A7C">
        <w:t xml:space="preserve"> 2015.</w:t>
      </w:r>
      <w:r w:rsidR="00625FB3">
        <w:t>gada 31.decembrī</w:t>
      </w:r>
      <w:r w:rsidRPr="00F15A7C">
        <w:t xml:space="preserve">), </w:t>
      </w:r>
      <w:r w:rsidR="00FD6A74" w:rsidRPr="00F15A7C">
        <w:t>sākot no 2016.gada maksātnespējas procesa izmaksas tiek</w:t>
      </w:r>
      <w:r w:rsidRPr="00F15A7C">
        <w:t xml:space="preserve"> segt</w:t>
      </w:r>
      <w:r w:rsidR="00FD6A74" w:rsidRPr="00F15A7C">
        <w:t>as</w:t>
      </w:r>
      <w:r w:rsidRPr="00F15A7C">
        <w:t xml:space="preserve"> </w:t>
      </w:r>
      <w:r w:rsidR="00BB7824">
        <w:t xml:space="preserve">tikai </w:t>
      </w:r>
      <w:r w:rsidRPr="00F15A7C">
        <w:t xml:space="preserve">no uzkrātajiem </w:t>
      </w:r>
      <w:r w:rsidR="00FD6A74" w:rsidRPr="00F15A7C">
        <w:t xml:space="preserve">un atgūtajiem </w:t>
      </w:r>
      <w:r w:rsidRPr="00F15A7C">
        <w:t>līdzekļiem.</w:t>
      </w:r>
    </w:p>
    <w:p w14:paraId="602DE8B6" w14:textId="77777777" w:rsidR="00C02CAA" w:rsidRPr="00F15A7C" w:rsidRDefault="00C02CAA" w:rsidP="00F15A7C">
      <w:pPr>
        <w:ind w:firstLine="720"/>
        <w:jc w:val="both"/>
      </w:pPr>
      <w:r w:rsidRPr="00F15A7C">
        <w:t>10. Ministru kabineta 201</w:t>
      </w:r>
      <w:r w:rsidR="00F45D11" w:rsidRPr="00F15A7C">
        <w:t>5</w:t>
      </w:r>
      <w:r w:rsidRPr="00F15A7C">
        <w:t>.gada 1</w:t>
      </w:r>
      <w:r w:rsidR="00F45D11" w:rsidRPr="00F15A7C">
        <w:t>6</w:t>
      </w:r>
      <w:r w:rsidRPr="00F15A7C">
        <w:t>.</w:t>
      </w:r>
      <w:r w:rsidR="00F45D11" w:rsidRPr="00F15A7C">
        <w:t>jūnija</w:t>
      </w:r>
      <w:r w:rsidRPr="00F15A7C">
        <w:t xml:space="preserve"> sēdē tika izskatīts </w:t>
      </w:r>
      <w:r w:rsidR="00774E59" w:rsidRPr="00F15A7C">
        <w:t>i</w:t>
      </w:r>
      <w:r w:rsidRPr="00F15A7C">
        <w:t>nformatīvais ziņojums</w:t>
      </w:r>
      <w:r w:rsidR="00F45D11" w:rsidRPr="00F15A7C">
        <w:t xml:space="preserve"> </w:t>
      </w:r>
      <w:r w:rsidRPr="00F15A7C">
        <w:t>par 201</w:t>
      </w:r>
      <w:r w:rsidR="00F45D11" w:rsidRPr="00F15A7C">
        <w:t>6</w:t>
      </w:r>
      <w:r w:rsidRPr="00F15A7C">
        <w:t>.–201</w:t>
      </w:r>
      <w:r w:rsidR="00F45D11" w:rsidRPr="00F15A7C">
        <w:t>8</w:t>
      </w:r>
      <w:r w:rsidRPr="00F15A7C">
        <w:t xml:space="preserve">.gadu. Saskaņā ar </w:t>
      </w:r>
      <w:r w:rsidR="00774E59" w:rsidRPr="00F15A7C">
        <w:t>i</w:t>
      </w:r>
      <w:r w:rsidRPr="00F15A7C">
        <w:t>nformatīvajā ziņojumā par 201</w:t>
      </w:r>
      <w:r w:rsidR="00F45D11" w:rsidRPr="00F15A7C">
        <w:t>6</w:t>
      </w:r>
      <w:r w:rsidRPr="00F15A7C">
        <w:t>.–201</w:t>
      </w:r>
      <w:r w:rsidR="00F45D11" w:rsidRPr="00F15A7C">
        <w:t>8</w:t>
      </w:r>
      <w:r w:rsidRPr="00F15A7C">
        <w:t>.gadu sniegto informāciju</w:t>
      </w:r>
      <w:r w:rsidR="00F45D11" w:rsidRPr="00F15A7C">
        <w:t>,</w:t>
      </w:r>
      <w:r w:rsidRPr="00F15A7C">
        <w:t xml:space="preserve"> tika nolemts, ka URVN 201</w:t>
      </w:r>
      <w:r w:rsidR="00F45D11" w:rsidRPr="00F15A7C">
        <w:t>6</w:t>
      </w:r>
      <w:r w:rsidRPr="00F15A7C">
        <w:t>., 201</w:t>
      </w:r>
      <w:r w:rsidR="00F45D11" w:rsidRPr="00F15A7C">
        <w:t>7</w:t>
      </w:r>
      <w:r w:rsidRPr="00F15A7C">
        <w:t>. un 201</w:t>
      </w:r>
      <w:r w:rsidR="00F45D11" w:rsidRPr="00F15A7C">
        <w:t>8</w:t>
      </w:r>
      <w:r w:rsidRPr="00F15A7C">
        <w:t>.gadā būs 0,36</w:t>
      </w:r>
      <w:r w:rsidR="00F45D11" w:rsidRPr="00F15A7C">
        <w:t xml:space="preserve"> </w:t>
      </w:r>
      <w:r w:rsidRPr="00F15A7C">
        <w:rPr>
          <w:i/>
        </w:rPr>
        <w:t>euro</w:t>
      </w:r>
      <w:r w:rsidRPr="00F15A7C">
        <w:t xml:space="preserve"> mēnesī, ko aprēķina par katru darbinieku, ar kuru nodibinātas darba tiesiskās attiecības. Lai noteiktu URVN </w:t>
      </w:r>
      <w:r w:rsidR="00F45D11" w:rsidRPr="00F15A7C">
        <w:t>sadalījumu</w:t>
      </w:r>
      <w:r w:rsidRPr="00F15A7C">
        <w:t xml:space="preserve"> 201</w:t>
      </w:r>
      <w:r w:rsidR="00F45D11" w:rsidRPr="00F15A7C">
        <w:t>7</w:t>
      </w:r>
      <w:r w:rsidRPr="00F15A7C">
        <w:t>. – 201</w:t>
      </w:r>
      <w:r w:rsidR="00F45D11" w:rsidRPr="00F15A7C">
        <w:t>9</w:t>
      </w:r>
      <w:r w:rsidRPr="00F15A7C">
        <w:t>.gadam, nepieciešams izvērtēt un plānot URVN ieņēmumus un izdevumus periodam no 201</w:t>
      </w:r>
      <w:r w:rsidR="00F92E14" w:rsidRPr="00F15A7C">
        <w:t>7</w:t>
      </w:r>
      <w:r w:rsidRPr="00F15A7C">
        <w:t>. līdz 201</w:t>
      </w:r>
      <w:r w:rsidR="00F92E14" w:rsidRPr="00F15A7C">
        <w:t>9</w:t>
      </w:r>
      <w:r w:rsidRPr="00F15A7C">
        <w:t>.gadam.</w:t>
      </w:r>
    </w:p>
    <w:p w14:paraId="5C456B07" w14:textId="77777777" w:rsidR="00C02CAA" w:rsidRPr="00BB7824" w:rsidRDefault="00C02CAA" w:rsidP="006839A4">
      <w:pPr>
        <w:pStyle w:val="Heading1"/>
        <w:numPr>
          <w:ilvl w:val="0"/>
          <w:numId w:val="0"/>
        </w:numPr>
        <w:spacing w:before="0" w:after="0"/>
        <w:ind w:firstLine="720"/>
        <w:jc w:val="both"/>
        <w:rPr>
          <w:rFonts w:ascii="Times New Roman" w:hAnsi="Times New Roman" w:cs="Times New Roman"/>
          <w:sz w:val="24"/>
          <w:szCs w:val="24"/>
        </w:rPr>
      </w:pPr>
      <w:r w:rsidRPr="00F15A7C">
        <w:rPr>
          <w:rFonts w:ascii="Times New Roman" w:hAnsi="Times New Roman" w:cs="Times New Roman"/>
          <w:sz w:val="24"/>
          <w:szCs w:val="24"/>
        </w:rPr>
        <w:br w:type="page"/>
      </w:r>
      <w:bookmarkStart w:id="68" w:name="_Toc286319827"/>
      <w:bookmarkStart w:id="69" w:name="_Toc414279030"/>
      <w:bookmarkStart w:id="70" w:name="_Toc453263320"/>
      <w:bookmarkEnd w:id="68"/>
      <w:r w:rsidRPr="00BB7824">
        <w:rPr>
          <w:rFonts w:ascii="Times New Roman" w:hAnsi="Times New Roman" w:cs="Times New Roman"/>
          <w:sz w:val="24"/>
          <w:szCs w:val="24"/>
        </w:rPr>
        <w:t>B. URVN 201</w:t>
      </w:r>
      <w:r w:rsidR="0001705D" w:rsidRPr="00BB7824">
        <w:rPr>
          <w:rFonts w:ascii="Times New Roman" w:hAnsi="Times New Roman" w:cs="Times New Roman"/>
          <w:sz w:val="24"/>
          <w:szCs w:val="24"/>
        </w:rPr>
        <w:t>7</w:t>
      </w:r>
      <w:r w:rsidRPr="00BB7824">
        <w:rPr>
          <w:rFonts w:ascii="Times New Roman" w:hAnsi="Times New Roman" w:cs="Times New Roman"/>
          <w:sz w:val="24"/>
          <w:szCs w:val="24"/>
        </w:rPr>
        <w:t>.</w:t>
      </w:r>
      <w:r w:rsidR="00C86FBB">
        <w:rPr>
          <w:rFonts w:ascii="Times New Roman" w:hAnsi="Times New Roman" w:cs="Times New Roman"/>
          <w:sz w:val="24"/>
          <w:szCs w:val="24"/>
        </w:rPr>
        <w:t>–</w:t>
      </w:r>
      <w:r w:rsidRPr="00BB7824">
        <w:rPr>
          <w:rFonts w:ascii="Times New Roman" w:hAnsi="Times New Roman" w:cs="Times New Roman"/>
          <w:sz w:val="24"/>
          <w:szCs w:val="24"/>
        </w:rPr>
        <w:t>201</w:t>
      </w:r>
      <w:r w:rsidR="0001705D" w:rsidRPr="00BB7824">
        <w:rPr>
          <w:rFonts w:ascii="Times New Roman" w:hAnsi="Times New Roman" w:cs="Times New Roman"/>
          <w:sz w:val="24"/>
          <w:szCs w:val="24"/>
        </w:rPr>
        <w:t>9</w:t>
      </w:r>
      <w:r w:rsidRPr="00BB7824">
        <w:rPr>
          <w:rFonts w:ascii="Times New Roman" w:hAnsi="Times New Roman" w:cs="Times New Roman"/>
          <w:sz w:val="24"/>
          <w:szCs w:val="24"/>
        </w:rPr>
        <w:t>.gadā</w:t>
      </w:r>
      <w:bookmarkStart w:id="71" w:name="_Toc286319828"/>
      <w:bookmarkEnd w:id="69"/>
      <w:bookmarkEnd w:id="70"/>
      <w:bookmarkEnd w:id="71"/>
    </w:p>
    <w:p w14:paraId="6E27CE5F" w14:textId="77777777" w:rsidR="00C02CAA" w:rsidRPr="00BB7824" w:rsidRDefault="00C02CAA" w:rsidP="00BB7824">
      <w:pPr>
        <w:ind w:firstLine="720"/>
        <w:jc w:val="both"/>
      </w:pPr>
    </w:p>
    <w:p w14:paraId="082502C2" w14:textId="77777777" w:rsidR="00C02CAA" w:rsidRPr="00BB7824" w:rsidRDefault="00C02CAA" w:rsidP="00BB7824">
      <w:pPr>
        <w:pStyle w:val="Heading2"/>
        <w:numPr>
          <w:ilvl w:val="0"/>
          <w:numId w:val="0"/>
        </w:numPr>
        <w:spacing w:before="0" w:after="0"/>
        <w:ind w:firstLine="720"/>
        <w:jc w:val="both"/>
        <w:rPr>
          <w:rFonts w:ascii="Times New Roman" w:hAnsi="Times New Roman"/>
          <w:i w:val="0"/>
          <w:iCs w:val="0"/>
          <w:sz w:val="24"/>
          <w:szCs w:val="24"/>
        </w:rPr>
      </w:pPr>
      <w:bookmarkStart w:id="72" w:name="_Toc453263321"/>
      <w:r w:rsidRPr="00BB7824">
        <w:rPr>
          <w:rFonts w:ascii="Times New Roman" w:hAnsi="Times New Roman"/>
          <w:i w:val="0"/>
          <w:iCs w:val="0"/>
          <w:sz w:val="24"/>
          <w:szCs w:val="24"/>
        </w:rPr>
        <w:t>I.</w:t>
      </w:r>
      <w:r w:rsidR="00DE4317" w:rsidRPr="00BB7824">
        <w:rPr>
          <w:rFonts w:ascii="Times New Roman" w:hAnsi="Times New Roman"/>
          <w:i w:val="0"/>
          <w:iCs w:val="0"/>
          <w:sz w:val="24"/>
          <w:szCs w:val="24"/>
        </w:rPr>
        <w:t xml:space="preserve"> </w:t>
      </w:r>
      <w:bookmarkStart w:id="73" w:name="_Toc410048285"/>
      <w:bookmarkStart w:id="74" w:name="_Toc414279031"/>
      <w:r w:rsidRPr="00BB7824">
        <w:rPr>
          <w:rFonts w:ascii="Times New Roman" w:hAnsi="Times New Roman"/>
          <w:i w:val="0"/>
          <w:iCs w:val="0"/>
          <w:sz w:val="24"/>
          <w:szCs w:val="24"/>
        </w:rPr>
        <w:t>URVN ieņēmumu un izdevumu aprēķins</w:t>
      </w:r>
      <w:r w:rsidR="00D15F99" w:rsidRPr="00BB7824">
        <w:rPr>
          <w:rFonts w:ascii="Times New Roman" w:hAnsi="Times New Roman"/>
          <w:i w:val="0"/>
          <w:iCs w:val="0"/>
          <w:sz w:val="24"/>
          <w:szCs w:val="24"/>
        </w:rPr>
        <w:t xml:space="preserve"> </w:t>
      </w:r>
      <w:r w:rsidRPr="00BB7824">
        <w:rPr>
          <w:rFonts w:ascii="Times New Roman" w:hAnsi="Times New Roman"/>
          <w:i w:val="0"/>
          <w:iCs w:val="0"/>
          <w:sz w:val="24"/>
          <w:szCs w:val="24"/>
        </w:rPr>
        <w:t>un apmērs 201</w:t>
      </w:r>
      <w:r w:rsidR="00D15F99" w:rsidRPr="00BB7824">
        <w:rPr>
          <w:rFonts w:ascii="Times New Roman" w:hAnsi="Times New Roman"/>
          <w:i w:val="0"/>
          <w:iCs w:val="0"/>
          <w:sz w:val="24"/>
          <w:szCs w:val="24"/>
        </w:rPr>
        <w:t>7</w:t>
      </w:r>
      <w:r w:rsidRPr="00BB7824">
        <w:rPr>
          <w:rFonts w:ascii="Times New Roman" w:hAnsi="Times New Roman"/>
          <w:i w:val="0"/>
          <w:iCs w:val="0"/>
          <w:sz w:val="24"/>
          <w:szCs w:val="24"/>
        </w:rPr>
        <w:t>. – 201</w:t>
      </w:r>
      <w:r w:rsidR="00D15F99" w:rsidRPr="00BB7824">
        <w:rPr>
          <w:rFonts w:ascii="Times New Roman" w:hAnsi="Times New Roman"/>
          <w:i w:val="0"/>
          <w:iCs w:val="0"/>
          <w:sz w:val="24"/>
          <w:szCs w:val="24"/>
        </w:rPr>
        <w:t>9</w:t>
      </w:r>
      <w:r w:rsidRPr="00BB7824">
        <w:rPr>
          <w:rFonts w:ascii="Times New Roman" w:hAnsi="Times New Roman"/>
          <w:i w:val="0"/>
          <w:iCs w:val="0"/>
          <w:sz w:val="24"/>
          <w:szCs w:val="24"/>
        </w:rPr>
        <w:t>.gadā</w:t>
      </w:r>
      <w:bookmarkEnd w:id="72"/>
      <w:bookmarkEnd w:id="73"/>
      <w:bookmarkEnd w:id="74"/>
    </w:p>
    <w:p w14:paraId="0EE783DA" w14:textId="77777777" w:rsidR="002D2F21" w:rsidRPr="00BB7824" w:rsidRDefault="002D2F21" w:rsidP="00BB7824">
      <w:pPr>
        <w:ind w:firstLine="720"/>
        <w:jc w:val="both"/>
      </w:pPr>
      <w:r w:rsidRPr="00BB7824">
        <w:t>Saskaņā ar Ekonomikas ministrijas 2015.gada decembra ziņojum</w:t>
      </w:r>
      <w:r w:rsidR="00345BB4">
        <w:t>a</w:t>
      </w:r>
      <w:r w:rsidRPr="00BB7824">
        <w:t xml:space="preserve"> „Ziņojums par Latvijas tautsaimniecības attīstību</w:t>
      </w:r>
      <w:r w:rsidRPr="00BB7824">
        <w:rPr>
          <w:rStyle w:val="FootnoteReference"/>
        </w:rPr>
        <w:footnoteReference w:id="2"/>
      </w:r>
      <w:r w:rsidRPr="00BB7824">
        <w:t xml:space="preserve">” (turpmāk – EM 2015.gada decembra ziņojums) </w:t>
      </w:r>
      <w:r w:rsidR="00345BB4">
        <w:t xml:space="preserve">5.3. nodaļā </w:t>
      </w:r>
      <w:r w:rsidR="00345BB4" w:rsidRPr="00345BB4">
        <w:t>„Darba tirgus prognozēs</w:t>
      </w:r>
      <w:r w:rsidR="00345BB4">
        <w:t>”</w:t>
      </w:r>
      <w:r w:rsidRPr="00BB7824">
        <w:t>norādīto atbilstoši straujākas izaugsmes scenārijam sagaidāms nodarbinātības pieaugums – sākot no 2016.gada līdz 2020.gadam (piecu gadu laikā) nodarbināto skaits varētu palielināties no 902 tūkstošiem 2016.gadā līdz 928 tūkstošiem 2020.gadā (3</w:t>
      </w:r>
      <w:r w:rsidR="00FB1126">
        <w:t>,</w:t>
      </w:r>
      <w:r w:rsidRPr="00BB7824">
        <w:t>8 procentu pieaugums līdz 2020.gadam, salīdzinot ar 2015.gadu – 894 tūkstoši), kas veido vidēji 0,76 procentu pieaugumu gadā. Vienl</w:t>
      </w:r>
      <w:r w:rsidR="00B819BA" w:rsidRPr="00BB7824">
        <w:t>a</w:t>
      </w:r>
      <w:r w:rsidRPr="00BB7824">
        <w:t>ikus saskaņā ar Ekonomikas ministrijas 2016.gada Makroekonomisko apskatu Nr.66/ 2016-1</w:t>
      </w:r>
      <w:r w:rsidRPr="00BB7824">
        <w:rPr>
          <w:rStyle w:val="FootnoteReference"/>
        </w:rPr>
        <w:footnoteReference w:id="3"/>
      </w:r>
      <w:r w:rsidRPr="00BB7824">
        <w:t>, 2015.gadā nodarbināto skaits Latvijā sastādīja 896</w:t>
      </w:r>
      <w:r w:rsidR="00FB1126">
        <w:t>,</w:t>
      </w:r>
      <w:r w:rsidRPr="00BB7824">
        <w:t>1 tūkstoti.</w:t>
      </w:r>
    </w:p>
    <w:p w14:paraId="62B9FE96" w14:textId="77777777" w:rsidR="002D2F21" w:rsidRPr="00BB7824" w:rsidRDefault="002D2F21" w:rsidP="00BB7824">
      <w:pPr>
        <w:ind w:firstLine="720"/>
        <w:jc w:val="both"/>
      </w:pPr>
      <w:r w:rsidRPr="00BB7824">
        <w:t>Tomēr, ņemot vērā faktu, ka gan 2014.gadā, gan 2015.gadā faktiski ir sarucis darbinieku skaits, par kuriem tiek maksāta URVN, attiecīgi par 0</w:t>
      </w:r>
      <w:r w:rsidR="00FB1126">
        <w:t>,</w:t>
      </w:r>
      <w:r w:rsidRPr="00BB7824">
        <w:t>95 procentiem un 0</w:t>
      </w:r>
      <w:r w:rsidR="00FB1126">
        <w:t>,</w:t>
      </w:r>
      <w:r w:rsidRPr="00BB7824">
        <w:t xml:space="preserve">3 procentiem pret iepriekšējo gadu (skatīt </w:t>
      </w:r>
      <w:r w:rsidR="00B177A5" w:rsidRPr="00BB7824">
        <w:t>13</w:t>
      </w:r>
      <w:r w:rsidRPr="00BB7824">
        <w:t>.tabulu), un URVN iekasēšanas faktu pēdējo piecu gadu laikā, nodarbināto skaita pieauguma prognozes procentu turpmākajiem gadiem ir jāsamazina līdz 0</w:t>
      </w:r>
      <w:r w:rsidR="00FB1126">
        <w:t>,</w:t>
      </w:r>
      <w:r w:rsidRPr="00BB7824">
        <w:t>1 procenta pieaugumam gadā.</w:t>
      </w:r>
    </w:p>
    <w:p w14:paraId="1468A9C5" w14:textId="77777777" w:rsidR="00C02CAA" w:rsidRPr="00BB7824" w:rsidRDefault="002D2F21" w:rsidP="00BB7824">
      <w:pPr>
        <w:tabs>
          <w:tab w:val="left" w:pos="720"/>
        </w:tabs>
        <w:ind w:firstLine="720"/>
        <w:jc w:val="both"/>
      </w:pPr>
      <w:r w:rsidRPr="00BB7824">
        <w:t>Ņemot vērā, ka darbaspēka nodokļi ir jutīgs jautājums, tad jāpieņem, ka 2017.</w:t>
      </w:r>
      <w:r w:rsidR="00FB1126">
        <w:t>–</w:t>
      </w:r>
      <w:r w:rsidRPr="00BB7824">
        <w:t xml:space="preserve">2019.gadā URVN paliks iepriekšējā apmērā. Saglabājot to līdzšinējā apmērā – 0,36 </w:t>
      </w:r>
      <w:r w:rsidRPr="00BB7824">
        <w:rPr>
          <w:i/>
        </w:rPr>
        <w:t>euro</w:t>
      </w:r>
      <w:r w:rsidRPr="00BB7824">
        <w:t xml:space="preserve"> mēnesī par katru nodarbināto, plānotie URVN ienākumi turpmākajos gados būs šādi (skatīt 16.tabulu).</w:t>
      </w:r>
      <w:r w:rsidR="00C02CAA" w:rsidRPr="00BB7824">
        <w:t xml:space="preserve"> </w:t>
      </w:r>
    </w:p>
    <w:p w14:paraId="0E45A5EA" w14:textId="77777777" w:rsidR="00C02CAA" w:rsidRPr="00BB7824" w:rsidRDefault="00C02CAA" w:rsidP="00BB7824">
      <w:pPr>
        <w:tabs>
          <w:tab w:val="left" w:pos="720"/>
        </w:tabs>
        <w:ind w:firstLine="720"/>
        <w:jc w:val="both"/>
      </w:pPr>
    </w:p>
    <w:p w14:paraId="20FAB017" w14:textId="77777777" w:rsidR="00C02CAA" w:rsidRPr="00BB7824" w:rsidRDefault="00C02CAA" w:rsidP="00BB7824">
      <w:pPr>
        <w:tabs>
          <w:tab w:val="left" w:pos="720"/>
        </w:tabs>
        <w:ind w:firstLine="720"/>
        <w:jc w:val="right"/>
      </w:pPr>
      <w:r w:rsidRPr="00BB7824">
        <w:t>16.tabula</w:t>
      </w:r>
    </w:p>
    <w:p w14:paraId="4C423108" w14:textId="77777777" w:rsidR="00C02CAA" w:rsidRPr="00BB7824" w:rsidRDefault="00C02CAA" w:rsidP="00BB7824">
      <w:pPr>
        <w:tabs>
          <w:tab w:val="left" w:pos="720"/>
        </w:tabs>
        <w:ind w:firstLine="720"/>
        <w:jc w:val="both"/>
        <w:rPr>
          <w:b/>
        </w:rPr>
      </w:pPr>
    </w:p>
    <w:p w14:paraId="225FCF1C" w14:textId="77777777" w:rsidR="00C02CAA" w:rsidRPr="001E23E1" w:rsidRDefault="00C02CAA" w:rsidP="009D46B2">
      <w:pPr>
        <w:tabs>
          <w:tab w:val="left" w:pos="720"/>
        </w:tabs>
        <w:jc w:val="center"/>
        <w:rPr>
          <w:b/>
          <w:sz w:val="28"/>
          <w:szCs w:val="28"/>
        </w:rPr>
      </w:pPr>
      <w:r w:rsidRPr="00BB7824">
        <w:rPr>
          <w:b/>
        </w:rPr>
        <w:t>201</w:t>
      </w:r>
      <w:r w:rsidR="009A0CE6" w:rsidRPr="00BB7824">
        <w:rPr>
          <w:b/>
        </w:rPr>
        <w:t>7</w:t>
      </w:r>
      <w:r w:rsidRPr="00BB7824">
        <w:rPr>
          <w:b/>
        </w:rPr>
        <w:t>.–201</w:t>
      </w:r>
      <w:r w:rsidR="009A0CE6" w:rsidRPr="00BB7824">
        <w:rPr>
          <w:b/>
        </w:rPr>
        <w:t>9</w:t>
      </w:r>
      <w:r w:rsidRPr="00BB7824">
        <w:rPr>
          <w:b/>
        </w:rPr>
        <w:t>.gadā plānotais URVN ieņēmumu apjoms</w:t>
      </w:r>
      <w:r w:rsidR="009A0CE6" w:rsidRPr="00BB7824">
        <w:rPr>
          <w:b/>
        </w:rPr>
        <w:t xml:space="preserve"> </w:t>
      </w:r>
      <w:r w:rsidRPr="00BB7824">
        <w:rPr>
          <w:b/>
        </w:rPr>
        <w:t>ar likmi</w:t>
      </w:r>
      <w:r w:rsidR="009A0CE6" w:rsidRPr="00BB7824">
        <w:rPr>
          <w:b/>
        </w:rPr>
        <w:t xml:space="preserve"> </w:t>
      </w:r>
      <w:r w:rsidRPr="00BB7824">
        <w:rPr>
          <w:b/>
        </w:rPr>
        <w:t>0,36</w:t>
      </w:r>
      <w:r w:rsidR="009A0CE6" w:rsidRPr="00BB7824">
        <w:rPr>
          <w:b/>
        </w:rPr>
        <w:t xml:space="preserve"> </w:t>
      </w:r>
      <w:r w:rsidRPr="00BB7824">
        <w:rPr>
          <w:b/>
          <w:i/>
        </w:rPr>
        <w:t>euro</w:t>
      </w:r>
      <w:r w:rsidR="009A0CE6" w:rsidRPr="00BB7824">
        <w:rPr>
          <w:b/>
          <w:i/>
        </w:rPr>
        <w:t xml:space="preserve"> </w:t>
      </w:r>
      <w:r w:rsidRPr="00BB7824">
        <w:rPr>
          <w:b/>
        </w:rPr>
        <w:t>mēnesī par nodarbināto</w:t>
      </w:r>
    </w:p>
    <w:tbl>
      <w:tblPr>
        <w:tblpPr w:leftFromText="180" w:rightFromText="180" w:vertAnchor="text" w:horzAnchor="margin" w:tblpXSpec="center" w:tblpY="240"/>
        <w:tblW w:w="7820" w:type="dxa"/>
        <w:tblLook w:val="0000" w:firstRow="0" w:lastRow="0" w:firstColumn="0" w:lastColumn="0" w:noHBand="0" w:noVBand="0"/>
      </w:tblPr>
      <w:tblGrid>
        <w:gridCol w:w="3660"/>
        <w:gridCol w:w="1400"/>
        <w:gridCol w:w="1380"/>
        <w:gridCol w:w="1380"/>
      </w:tblGrid>
      <w:tr w:rsidR="00C02CAA" w:rsidRPr="001E23E1" w14:paraId="6A19B230" w14:textId="77777777" w:rsidTr="00BB7824">
        <w:trPr>
          <w:trHeight w:val="315"/>
        </w:trPr>
        <w:tc>
          <w:tcPr>
            <w:tcW w:w="3660" w:type="dxa"/>
            <w:tcBorders>
              <w:top w:val="single" w:sz="4" w:space="0" w:color="auto"/>
              <w:left w:val="single" w:sz="4" w:space="0" w:color="auto"/>
              <w:bottom w:val="single" w:sz="4" w:space="0" w:color="auto"/>
              <w:right w:val="single" w:sz="4" w:space="0" w:color="auto"/>
            </w:tcBorders>
            <w:shd w:val="clear" w:color="auto" w:fill="FFFFFF"/>
          </w:tcPr>
          <w:p w14:paraId="5099186C" w14:textId="77777777" w:rsidR="00C02CAA" w:rsidRPr="001E23E1" w:rsidRDefault="00C02CAA" w:rsidP="00F91735">
            <w:pPr>
              <w:jc w:val="both"/>
              <w:rPr>
                <w:b/>
                <w:bCs/>
              </w:rPr>
            </w:pPr>
            <w:r w:rsidRPr="001E23E1">
              <w:rPr>
                <w:b/>
                <w:bCs/>
              </w:rPr>
              <w:t> </w:t>
            </w:r>
          </w:p>
        </w:tc>
        <w:tc>
          <w:tcPr>
            <w:tcW w:w="1400" w:type="dxa"/>
            <w:tcBorders>
              <w:top w:val="single" w:sz="4" w:space="0" w:color="auto"/>
              <w:left w:val="nil"/>
              <w:bottom w:val="single" w:sz="4" w:space="0" w:color="auto"/>
              <w:right w:val="single" w:sz="4" w:space="0" w:color="auto"/>
            </w:tcBorders>
            <w:shd w:val="clear" w:color="auto" w:fill="FFFFFF"/>
          </w:tcPr>
          <w:p w14:paraId="1C4ACA5E" w14:textId="77777777" w:rsidR="00C02CAA" w:rsidRPr="001E23E1" w:rsidRDefault="00C02CAA" w:rsidP="00BB7824">
            <w:pPr>
              <w:jc w:val="center"/>
              <w:rPr>
                <w:b/>
                <w:bCs/>
              </w:rPr>
            </w:pPr>
            <w:r w:rsidRPr="001E23E1">
              <w:rPr>
                <w:b/>
                <w:bCs/>
              </w:rPr>
              <w:t>201</w:t>
            </w:r>
            <w:r w:rsidR="009A0CE6">
              <w:rPr>
                <w:b/>
                <w:bCs/>
              </w:rPr>
              <w:t>7</w:t>
            </w:r>
            <w:r w:rsidRPr="001E23E1">
              <w:rPr>
                <w:b/>
                <w:bCs/>
              </w:rPr>
              <w:t>.gads</w:t>
            </w:r>
          </w:p>
        </w:tc>
        <w:tc>
          <w:tcPr>
            <w:tcW w:w="1380" w:type="dxa"/>
            <w:tcBorders>
              <w:top w:val="single" w:sz="4" w:space="0" w:color="auto"/>
              <w:left w:val="nil"/>
              <w:bottom w:val="single" w:sz="4" w:space="0" w:color="auto"/>
              <w:right w:val="single" w:sz="4" w:space="0" w:color="auto"/>
            </w:tcBorders>
            <w:shd w:val="clear" w:color="auto" w:fill="FFFFFF"/>
          </w:tcPr>
          <w:p w14:paraId="7C423789" w14:textId="77777777" w:rsidR="00C02CAA" w:rsidRPr="001E23E1" w:rsidRDefault="00C02CAA" w:rsidP="00BB7824">
            <w:pPr>
              <w:jc w:val="center"/>
              <w:rPr>
                <w:b/>
                <w:bCs/>
              </w:rPr>
            </w:pPr>
            <w:r w:rsidRPr="001E23E1">
              <w:rPr>
                <w:b/>
                <w:bCs/>
              </w:rPr>
              <w:t>201</w:t>
            </w:r>
            <w:r w:rsidR="009A0CE6">
              <w:rPr>
                <w:b/>
                <w:bCs/>
              </w:rPr>
              <w:t>8</w:t>
            </w:r>
            <w:r w:rsidRPr="001E23E1">
              <w:rPr>
                <w:b/>
                <w:bCs/>
              </w:rPr>
              <w:t>.gads</w:t>
            </w:r>
          </w:p>
        </w:tc>
        <w:tc>
          <w:tcPr>
            <w:tcW w:w="1380" w:type="dxa"/>
            <w:tcBorders>
              <w:top w:val="single" w:sz="4" w:space="0" w:color="auto"/>
              <w:left w:val="nil"/>
              <w:bottom w:val="single" w:sz="4" w:space="0" w:color="auto"/>
              <w:right w:val="single" w:sz="4" w:space="0" w:color="auto"/>
            </w:tcBorders>
            <w:shd w:val="clear" w:color="auto" w:fill="FFFFFF"/>
          </w:tcPr>
          <w:p w14:paraId="1359763D" w14:textId="77777777" w:rsidR="00C02CAA" w:rsidRPr="001E23E1" w:rsidRDefault="00C02CAA" w:rsidP="00BB7824">
            <w:pPr>
              <w:jc w:val="center"/>
              <w:rPr>
                <w:b/>
                <w:bCs/>
              </w:rPr>
            </w:pPr>
            <w:r w:rsidRPr="001E23E1">
              <w:rPr>
                <w:b/>
                <w:bCs/>
              </w:rPr>
              <w:t>201</w:t>
            </w:r>
            <w:r w:rsidR="009A0CE6">
              <w:rPr>
                <w:b/>
                <w:bCs/>
              </w:rPr>
              <w:t>9</w:t>
            </w:r>
            <w:r w:rsidRPr="001E23E1">
              <w:rPr>
                <w:b/>
                <w:bCs/>
              </w:rPr>
              <w:t>.gads</w:t>
            </w:r>
          </w:p>
        </w:tc>
      </w:tr>
      <w:tr w:rsidR="00C02CAA" w:rsidRPr="001E23E1" w14:paraId="3C3D4C1B" w14:textId="77777777" w:rsidTr="00BB7824">
        <w:trPr>
          <w:trHeight w:val="630"/>
        </w:trPr>
        <w:tc>
          <w:tcPr>
            <w:tcW w:w="3660" w:type="dxa"/>
            <w:tcBorders>
              <w:top w:val="nil"/>
              <w:left w:val="single" w:sz="4" w:space="0" w:color="auto"/>
              <w:bottom w:val="single" w:sz="4" w:space="0" w:color="auto"/>
              <w:right w:val="single" w:sz="4" w:space="0" w:color="auto"/>
            </w:tcBorders>
          </w:tcPr>
          <w:p w14:paraId="76D5C5D5" w14:textId="77777777" w:rsidR="00C02CAA" w:rsidRPr="001E23E1" w:rsidRDefault="00C02CAA" w:rsidP="00F91735">
            <w:pPr>
              <w:jc w:val="both"/>
            </w:pPr>
            <w:r w:rsidRPr="001E23E1">
              <w:t>Nodarbinātības līmeņa vidējais pieaugums gadā</w:t>
            </w:r>
          </w:p>
        </w:tc>
        <w:tc>
          <w:tcPr>
            <w:tcW w:w="1400" w:type="dxa"/>
            <w:tcBorders>
              <w:top w:val="nil"/>
              <w:left w:val="nil"/>
              <w:bottom w:val="single" w:sz="4" w:space="0" w:color="auto"/>
              <w:right w:val="single" w:sz="4" w:space="0" w:color="auto"/>
            </w:tcBorders>
            <w:noWrap/>
          </w:tcPr>
          <w:p w14:paraId="021379E3" w14:textId="77777777" w:rsidR="00C02CAA" w:rsidRPr="001E23E1" w:rsidRDefault="00C02CAA" w:rsidP="00BB7824">
            <w:pPr>
              <w:jc w:val="center"/>
            </w:pPr>
            <w:r>
              <w:t>0,</w:t>
            </w:r>
            <w:r w:rsidR="00D5044E">
              <w:t>1</w:t>
            </w:r>
            <w:r w:rsidRPr="001E23E1">
              <w:t>%</w:t>
            </w:r>
          </w:p>
        </w:tc>
        <w:tc>
          <w:tcPr>
            <w:tcW w:w="1380" w:type="dxa"/>
            <w:tcBorders>
              <w:top w:val="nil"/>
              <w:left w:val="nil"/>
              <w:bottom w:val="single" w:sz="4" w:space="0" w:color="auto"/>
              <w:right w:val="single" w:sz="4" w:space="0" w:color="auto"/>
            </w:tcBorders>
            <w:noWrap/>
          </w:tcPr>
          <w:p w14:paraId="4037B688" w14:textId="77777777" w:rsidR="00C02CAA" w:rsidRPr="001E23E1" w:rsidRDefault="00C02CAA" w:rsidP="00BB7824">
            <w:pPr>
              <w:jc w:val="center"/>
            </w:pPr>
            <w:r w:rsidRPr="001E23E1">
              <w:t>0</w:t>
            </w:r>
            <w:r>
              <w:t>,</w:t>
            </w:r>
            <w:r w:rsidR="00D5044E">
              <w:t>1</w:t>
            </w:r>
            <w:r w:rsidRPr="001E23E1">
              <w:t>%</w:t>
            </w:r>
          </w:p>
        </w:tc>
        <w:tc>
          <w:tcPr>
            <w:tcW w:w="1380" w:type="dxa"/>
            <w:tcBorders>
              <w:top w:val="nil"/>
              <w:left w:val="nil"/>
              <w:bottom w:val="single" w:sz="4" w:space="0" w:color="auto"/>
              <w:right w:val="single" w:sz="4" w:space="0" w:color="auto"/>
            </w:tcBorders>
            <w:noWrap/>
          </w:tcPr>
          <w:p w14:paraId="34625AAC" w14:textId="77777777" w:rsidR="00C02CAA" w:rsidRPr="001E23E1" w:rsidRDefault="00C02CAA" w:rsidP="00BB7824">
            <w:pPr>
              <w:jc w:val="center"/>
            </w:pPr>
            <w:r w:rsidRPr="001E23E1">
              <w:t>0</w:t>
            </w:r>
            <w:r>
              <w:t>,</w:t>
            </w:r>
            <w:r w:rsidR="00D5044E">
              <w:t>1</w:t>
            </w:r>
            <w:r w:rsidRPr="001E23E1">
              <w:t>%</w:t>
            </w:r>
          </w:p>
        </w:tc>
      </w:tr>
      <w:tr w:rsidR="00C02CAA" w:rsidRPr="001E23E1" w14:paraId="38D86E9C" w14:textId="77777777" w:rsidTr="00BB7824">
        <w:trPr>
          <w:trHeight w:val="315"/>
        </w:trPr>
        <w:tc>
          <w:tcPr>
            <w:tcW w:w="3660" w:type="dxa"/>
            <w:tcBorders>
              <w:top w:val="nil"/>
              <w:left w:val="single" w:sz="4" w:space="0" w:color="auto"/>
              <w:bottom w:val="single" w:sz="4" w:space="0" w:color="auto"/>
              <w:right w:val="single" w:sz="4" w:space="0" w:color="auto"/>
            </w:tcBorders>
          </w:tcPr>
          <w:p w14:paraId="169D7690" w14:textId="77777777" w:rsidR="00C02CAA" w:rsidRPr="001E23E1" w:rsidRDefault="00C02CAA" w:rsidP="00F91735">
            <w:pPr>
              <w:jc w:val="both"/>
            </w:pPr>
            <w:r w:rsidRPr="001E23E1">
              <w:t>Nodarbināto skaits</w:t>
            </w:r>
          </w:p>
        </w:tc>
        <w:tc>
          <w:tcPr>
            <w:tcW w:w="1400" w:type="dxa"/>
            <w:tcBorders>
              <w:top w:val="nil"/>
              <w:left w:val="nil"/>
              <w:bottom w:val="single" w:sz="4" w:space="0" w:color="auto"/>
              <w:right w:val="single" w:sz="4" w:space="0" w:color="auto"/>
            </w:tcBorders>
          </w:tcPr>
          <w:p w14:paraId="31DA221E" w14:textId="77777777" w:rsidR="00C02CAA" w:rsidRPr="001E23E1" w:rsidRDefault="00D5044E" w:rsidP="00BB7824">
            <w:pPr>
              <w:jc w:val="center"/>
            </w:pPr>
            <w:r>
              <w:t>897 893</w:t>
            </w:r>
          </w:p>
        </w:tc>
        <w:tc>
          <w:tcPr>
            <w:tcW w:w="1380" w:type="dxa"/>
            <w:tcBorders>
              <w:top w:val="nil"/>
              <w:left w:val="nil"/>
              <w:bottom w:val="single" w:sz="4" w:space="0" w:color="auto"/>
              <w:right w:val="single" w:sz="4" w:space="0" w:color="auto"/>
            </w:tcBorders>
          </w:tcPr>
          <w:p w14:paraId="185BAE65" w14:textId="77777777" w:rsidR="00C02CAA" w:rsidRPr="001E23E1" w:rsidRDefault="00D5044E" w:rsidP="00BB7824">
            <w:pPr>
              <w:jc w:val="center"/>
            </w:pPr>
            <w:r>
              <w:t>898 791</w:t>
            </w:r>
          </w:p>
        </w:tc>
        <w:tc>
          <w:tcPr>
            <w:tcW w:w="1380" w:type="dxa"/>
            <w:tcBorders>
              <w:top w:val="nil"/>
              <w:left w:val="nil"/>
              <w:bottom w:val="single" w:sz="4" w:space="0" w:color="auto"/>
              <w:right w:val="single" w:sz="4" w:space="0" w:color="auto"/>
            </w:tcBorders>
          </w:tcPr>
          <w:p w14:paraId="103E15D6" w14:textId="77777777" w:rsidR="00C02CAA" w:rsidRPr="001E23E1" w:rsidRDefault="00D5044E" w:rsidP="00BB7824">
            <w:pPr>
              <w:jc w:val="center"/>
            </w:pPr>
            <w:r>
              <w:t>899 690</w:t>
            </w:r>
          </w:p>
        </w:tc>
      </w:tr>
      <w:tr w:rsidR="00C02CAA" w:rsidRPr="001E23E1" w14:paraId="4790FC5F" w14:textId="77777777" w:rsidTr="00BB7824">
        <w:trPr>
          <w:trHeight w:val="630"/>
        </w:trPr>
        <w:tc>
          <w:tcPr>
            <w:tcW w:w="3660" w:type="dxa"/>
            <w:tcBorders>
              <w:top w:val="nil"/>
              <w:left w:val="single" w:sz="4" w:space="0" w:color="auto"/>
              <w:bottom w:val="single" w:sz="4" w:space="0" w:color="auto"/>
              <w:right w:val="single" w:sz="4" w:space="0" w:color="auto"/>
            </w:tcBorders>
          </w:tcPr>
          <w:p w14:paraId="62183588" w14:textId="77777777" w:rsidR="00C02CAA" w:rsidRPr="001E23E1" w:rsidRDefault="00C02CAA" w:rsidP="00F91735">
            <w:pPr>
              <w:jc w:val="both"/>
            </w:pPr>
            <w:r w:rsidRPr="001E23E1">
              <w:t>Vidējais URVN maksātāju skaits, mēnesī</w:t>
            </w:r>
          </w:p>
        </w:tc>
        <w:tc>
          <w:tcPr>
            <w:tcW w:w="1400" w:type="dxa"/>
            <w:tcBorders>
              <w:top w:val="nil"/>
              <w:left w:val="nil"/>
              <w:bottom w:val="single" w:sz="4" w:space="0" w:color="auto"/>
              <w:right w:val="single" w:sz="4" w:space="0" w:color="auto"/>
            </w:tcBorders>
          </w:tcPr>
          <w:p w14:paraId="55CA7A99" w14:textId="77777777" w:rsidR="00C02CAA" w:rsidRPr="001E23E1" w:rsidRDefault="00D5044E" w:rsidP="00BB7824">
            <w:pPr>
              <w:jc w:val="center"/>
            </w:pPr>
            <w:r>
              <w:t>704 846</w:t>
            </w:r>
          </w:p>
        </w:tc>
        <w:tc>
          <w:tcPr>
            <w:tcW w:w="1380" w:type="dxa"/>
            <w:tcBorders>
              <w:top w:val="nil"/>
              <w:left w:val="nil"/>
              <w:bottom w:val="single" w:sz="4" w:space="0" w:color="auto"/>
              <w:right w:val="single" w:sz="4" w:space="0" w:color="auto"/>
            </w:tcBorders>
          </w:tcPr>
          <w:p w14:paraId="53CE1167" w14:textId="77777777" w:rsidR="00C02CAA" w:rsidRPr="001E23E1" w:rsidRDefault="00D5044E" w:rsidP="00BB7824">
            <w:pPr>
              <w:jc w:val="center"/>
            </w:pPr>
            <w:r>
              <w:t>705 551</w:t>
            </w:r>
          </w:p>
        </w:tc>
        <w:tc>
          <w:tcPr>
            <w:tcW w:w="1380" w:type="dxa"/>
            <w:tcBorders>
              <w:top w:val="nil"/>
              <w:left w:val="nil"/>
              <w:bottom w:val="single" w:sz="4" w:space="0" w:color="auto"/>
              <w:right w:val="single" w:sz="4" w:space="0" w:color="auto"/>
            </w:tcBorders>
          </w:tcPr>
          <w:p w14:paraId="237E83BF" w14:textId="77777777" w:rsidR="00C02CAA" w:rsidRPr="001E23E1" w:rsidRDefault="00D5044E" w:rsidP="00BB7824">
            <w:pPr>
              <w:jc w:val="center"/>
            </w:pPr>
            <w:r>
              <w:t>706 256</w:t>
            </w:r>
          </w:p>
        </w:tc>
      </w:tr>
      <w:tr w:rsidR="00C02CAA" w:rsidRPr="001E23E1" w14:paraId="7623507D" w14:textId="77777777" w:rsidTr="00BB7824">
        <w:trPr>
          <w:trHeight w:val="396"/>
        </w:trPr>
        <w:tc>
          <w:tcPr>
            <w:tcW w:w="3660" w:type="dxa"/>
            <w:tcBorders>
              <w:top w:val="nil"/>
              <w:left w:val="single" w:sz="4" w:space="0" w:color="auto"/>
              <w:bottom w:val="single" w:sz="4" w:space="0" w:color="auto"/>
              <w:right w:val="single" w:sz="4" w:space="0" w:color="auto"/>
            </w:tcBorders>
          </w:tcPr>
          <w:p w14:paraId="202E9504" w14:textId="77777777" w:rsidR="00C02CAA" w:rsidRPr="001E23E1" w:rsidRDefault="00C02CAA" w:rsidP="00F91735">
            <w:pPr>
              <w:jc w:val="both"/>
            </w:pPr>
            <w:r w:rsidRPr="001E23E1">
              <w:t>URVN likme</w:t>
            </w:r>
          </w:p>
        </w:tc>
        <w:tc>
          <w:tcPr>
            <w:tcW w:w="1400" w:type="dxa"/>
            <w:tcBorders>
              <w:top w:val="nil"/>
              <w:left w:val="nil"/>
              <w:bottom w:val="single" w:sz="4" w:space="0" w:color="auto"/>
              <w:right w:val="single" w:sz="4" w:space="0" w:color="auto"/>
            </w:tcBorders>
          </w:tcPr>
          <w:p w14:paraId="36177F63" w14:textId="77777777" w:rsidR="00C02CAA" w:rsidRPr="001E23E1" w:rsidRDefault="00C02CAA" w:rsidP="00BB7824">
            <w:pPr>
              <w:jc w:val="center"/>
            </w:pPr>
            <w:r>
              <w:t>0,</w:t>
            </w:r>
            <w:r w:rsidRPr="001E23E1">
              <w:t>36</w:t>
            </w:r>
          </w:p>
        </w:tc>
        <w:tc>
          <w:tcPr>
            <w:tcW w:w="1380" w:type="dxa"/>
            <w:tcBorders>
              <w:top w:val="nil"/>
              <w:left w:val="nil"/>
              <w:bottom w:val="single" w:sz="4" w:space="0" w:color="auto"/>
              <w:right w:val="single" w:sz="4" w:space="0" w:color="auto"/>
            </w:tcBorders>
          </w:tcPr>
          <w:p w14:paraId="3E7ED700" w14:textId="77777777" w:rsidR="00C02CAA" w:rsidRPr="001E23E1" w:rsidRDefault="00C02CAA" w:rsidP="00BB7824">
            <w:pPr>
              <w:jc w:val="center"/>
            </w:pPr>
            <w:r>
              <w:t>0,</w:t>
            </w:r>
            <w:r w:rsidRPr="001E23E1">
              <w:t>36</w:t>
            </w:r>
          </w:p>
        </w:tc>
        <w:tc>
          <w:tcPr>
            <w:tcW w:w="1380" w:type="dxa"/>
            <w:tcBorders>
              <w:top w:val="nil"/>
              <w:left w:val="nil"/>
              <w:bottom w:val="single" w:sz="4" w:space="0" w:color="auto"/>
              <w:right w:val="single" w:sz="4" w:space="0" w:color="auto"/>
            </w:tcBorders>
          </w:tcPr>
          <w:p w14:paraId="230AF345" w14:textId="77777777" w:rsidR="00C02CAA" w:rsidRPr="001E23E1" w:rsidRDefault="00C02CAA" w:rsidP="00BB7824">
            <w:pPr>
              <w:jc w:val="center"/>
            </w:pPr>
            <w:r w:rsidRPr="001E23E1">
              <w:t>0</w:t>
            </w:r>
            <w:r>
              <w:t>,</w:t>
            </w:r>
            <w:r w:rsidRPr="001E23E1">
              <w:t>36</w:t>
            </w:r>
          </w:p>
        </w:tc>
      </w:tr>
      <w:tr w:rsidR="00C02CAA" w:rsidRPr="001E23E1" w14:paraId="6DD2DDFF" w14:textId="77777777" w:rsidTr="00BB7824">
        <w:trPr>
          <w:trHeight w:val="315"/>
        </w:trPr>
        <w:tc>
          <w:tcPr>
            <w:tcW w:w="3660" w:type="dxa"/>
            <w:tcBorders>
              <w:top w:val="nil"/>
              <w:left w:val="single" w:sz="4" w:space="0" w:color="auto"/>
              <w:bottom w:val="single" w:sz="4" w:space="0" w:color="auto"/>
              <w:right w:val="single" w:sz="4" w:space="0" w:color="auto"/>
            </w:tcBorders>
          </w:tcPr>
          <w:p w14:paraId="43D3D4FB" w14:textId="77777777" w:rsidR="00C02CAA" w:rsidRPr="001E23E1" w:rsidRDefault="00C02CAA" w:rsidP="00F91735">
            <w:pPr>
              <w:jc w:val="both"/>
              <w:rPr>
                <w:b/>
                <w:bCs/>
              </w:rPr>
            </w:pPr>
            <w:r w:rsidRPr="001E23E1">
              <w:rPr>
                <w:b/>
                <w:bCs/>
              </w:rPr>
              <w:t>URVN summa gadā, EUR</w:t>
            </w:r>
          </w:p>
        </w:tc>
        <w:tc>
          <w:tcPr>
            <w:tcW w:w="1400" w:type="dxa"/>
            <w:tcBorders>
              <w:top w:val="nil"/>
              <w:left w:val="nil"/>
              <w:bottom w:val="single" w:sz="4" w:space="0" w:color="auto"/>
              <w:right w:val="single" w:sz="4" w:space="0" w:color="auto"/>
            </w:tcBorders>
          </w:tcPr>
          <w:p w14:paraId="309E678B" w14:textId="77777777" w:rsidR="00C02CAA" w:rsidRPr="001E23E1" w:rsidRDefault="00D5044E" w:rsidP="000505A7">
            <w:pPr>
              <w:jc w:val="center"/>
              <w:rPr>
                <w:b/>
                <w:bCs/>
              </w:rPr>
            </w:pPr>
            <w:r>
              <w:rPr>
                <w:b/>
                <w:bCs/>
              </w:rPr>
              <w:t>3 044 93</w:t>
            </w:r>
            <w:r w:rsidR="000505A7" w:rsidRPr="000505A7">
              <w:rPr>
                <w:b/>
                <w:bCs/>
              </w:rPr>
              <w:t>5</w:t>
            </w:r>
          </w:p>
        </w:tc>
        <w:tc>
          <w:tcPr>
            <w:tcW w:w="1380" w:type="dxa"/>
            <w:tcBorders>
              <w:top w:val="nil"/>
              <w:left w:val="nil"/>
              <w:bottom w:val="single" w:sz="4" w:space="0" w:color="auto"/>
              <w:right w:val="single" w:sz="4" w:space="0" w:color="auto"/>
            </w:tcBorders>
          </w:tcPr>
          <w:p w14:paraId="47F7087A" w14:textId="77777777" w:rsidR="00C02CAA" w:rsidRPr="001E23E1" w:rsidRDefault="00D5044E" w:rsidP="00BB7824">
            <w:pPr>
              <w:jc w:val="center"/>
              <w:rPr>
                <w:b/>
                <w:bCs/>
              </w:rPr>
            </w:pPr>
            <w:r>
              <w:rPr>
                <w:b/>
                <w:bCs/>
              </w:rPr>
              <w:t>3 047 980</w:t>
            </w:r>
          </w:p>
        </w:tc>
        <w:tc>
          <w:tcPr>
            <w:tcW w:w="1380" w:type="dxa"/>
            <w:tcBorders>
              <w:top w:val="nil"/>
              <w:left w:val="nil"/>
              <w:bottom w:val="single" w:sz="4" w:space="0" w:color="auto"/>
              <w:right w:val="single" w:sz="4" w:space="0" w:color="auto"/>
            </w:tcBorders>
          </w:tcPr>
          <w:p w14:paraId="6B0D0703" w14:textId="77777777" w:rsidR="00C02CAA" w:rsidRPr="001E23E1" w:rsidRDefault="00D5044E" w:rsidP="00BB7824">
            <w:pPr>
              <w:jc w:val="center"/>
              <w:rPr>
                <w:b/>
                <w:bCs/>
              </w:rPr>
            </w:pPr>
            <w:r>
              <w:rPr>
                <w:b/>
                <w:bCs/>
              </w:rPr>
              <w:t>3 051 026</w:t>
            </w:r>
          </w:p>
        </w:tc>
      </w:tr>
    </w:tbl>
    <w:p w14:paraId="4D9B6CA8" w14:textId="77777777" w:rsidR="00C02CAA" w:rsidRPr="001E23E1" w:rsidRDefault="00C02CAA" w:rsidP="007E193D">
      <w:pPr>
        <w:tabs>
          <w:tab w:val="left" w:pos="720"/>
        </w:tabs>
        <w:jc w:val="right"/>
        <w:rPr>
          <w:sz w:val="20"/>
          <w:szCs w:val="20"/>
        </w:rPr>
      </w:pPr>
    </w:p>
    <w:p w14:paraId="5EA44DF5" w14:textId="77777777" w:rsidR="00C02CAA" w:rsidRPr="001E23E1" w:rsidRDefault="00C02CAA" w:rsidP="002315D0">
      <w:pPr>
        <w:tabs>
          <w:tab w:val="left" w:pos="720"/>
        </w:tabs>
        <w:rPr>
          <w:sz w:val="20"/>
          <w:szCs w:val="20"/>
        </w:rPr>
      </w:pPr>
    </w:p>
    <w:p w14:paraId="604FA38B" w14:textId="77777777" w:rsidR="00C02CAA" w:rsidRPr="001E23E1" w:rsidRDefault="00C02CAA" w:rsidP="00171EE0">
      <w:pPr>
        <w:tabs>
          <w:tab w:val="left" w:pos="720"/>
        </w:tabs>
        <w:rPr>
          <w:sz w:val="20"/>
          <w:szCs w:val="20"/>
        </w:rPr>
      </w:pPr>
    </w:p>
    <w:p w14:paraId="6A41E8C8" w14:textId="77777777" w:rsidR="00C02CAA" w:rsidRDefault="00C02CAA" w:rsidP="00C05141">
      <w:pPr>
        <w:ind w:firstLine="720"/>
        <w:jc w:val="both"/>
        <w:rPr>
          <w:sz w:val="28"/>
          <w:szCs w:val="28"/>
        </w:rPr>
      </w:pPr>
    </w:p>
    <w:p w14:paraId="7D8C1FF6" w14:textId="77777777" w:rsidR="00C02CAA" w:rsidRDefault="00C02CAA" w:rsidP="00C05141">
      <w:pPr>
        <w:ind w:firstLine="720"/>
        <w:jc w:val="both"/>
        <w:rPr>
          <w:sz w:val="28"/>
          <w:szCs w:val="28"/>
        </w:rPr>
      </w:pPr>
    </w:p>
    <w:p w14:paraId="03B3225F" w14:textId="77777777" w:rsidR="00C02CAA" w:rsidRDefault="00C02CAA" w:rsidP="00C05141">
      <w:pPr>
        <w:ind w:firstLine="720"/>
        <w:jc w:val="both"/>
        <w:rPr>
          <w:sz w:val="28"/>
          <w:szCs w:val="28"/>
        </w:rPr>
      </w:pPr>
    </w:p>
    <w:p w14:paraId="0A3A4FB0" w14:textId="77777777" w:rsidR="00C02CAA" w:rsidRDefault="00C02CAA" w:rsidP="00C05141">
      <w:pPr>
        <w:ind w:firstLine="720"/>
        <w:jc w:val="both"/>
        <w:rPr>
          <w:sz w:val="28"/>
          <w:szCs w:val="28"/>
        </w:rPr>
      </w:pPr>
    </w:p>
    <w:p w14:paraId="7A0FB6C0" w14:textId="77777777" w:rsidR="00C02CAA" w:rsidRDefault="00C02CAA" w:rsidP="00C05141">
      <w:pPr>
        <w:ind w:firstLine="720"/>
        <w:jc w:val="both"/>
        <w:rPr>
          <w:sz w:val="28"/>
          <w:szCs w:val="28"/>
        </w:rPr>
      </w:pPr>
    </w:p>
    <w:p w14:paraId="47E2DD35" w14:textId="77777777" w:rsidR="00BB7824" w:rsidRDefault="00BB7824" w:rsidP="00C05141">
      <w:pPr>
        <w:ind w:firstLine="720"/>
        <w:jc w:val="both"/>
        <w:rPr>
          <w:sz w:val="28"/>
          <w:szCs w:val="28"/>
        </w:rPr>
      </w:pPr>
    </w:p>
    <w:p w14:paraId="654D2506" w14:textId="77777777" w:rsidR="00BB7824" w:rsidRDefault="00BB7824" w:rsidP="00C05141">
      <w:pPr>
        <w:ind w:firstLine="720"/>
        <w:jc w:val="both"/>
        <w:rPr>
          <w:sz w:val="28"/>
          <w:szCs w:val="28"/>
        </w:rPr>
      </w:pPr>
    </w:p>
    <w:p w14:paraId="5B925129" w14:textId="77777777" w:rsidR="00BB7824" w:rsidRDefault="00BB7824" w:rsidP="00C05141">
      <w:pPr>
        <w:ind w:firstLine="720"/>
        <w:jc w:val="both"/>
        <w:rPr>
          <w:sz w:val="28"/>
          <w:szCs w:val="28"/>
        </w:rPr>
      </w:pPr>
    </w:p>
    <w:p w14:paraId="17408703" w14:textId="77777777" w:rsidR="00C02CAA" w:rsidRPr="00BB7824" w:rsidRDefault="00566722" w:rsidP="00BB7824">
      <w:pPr>
        <w:ind w:firstLine="720"/>
        <w:jc w:val="both"/>
      </w:pPr>
      <w:r w:rsidRPr="00BB7824">
        <w:t>16.tabulā norādītais plānotais vidējais darbinieku skaits, par kuriem būs jāveic URVN maksājums, aprēķināts, par sākuma rādītāju aprēķiniem izmantojot E</w:t>
      </w:r>
      <w:r w:rsidR="00FB1126">
        <w:t>M</w:t>
      </w:r>
      <w:r w:rsidRPr="00BB7824">
        <w:t xml:space="preserve"> 2015.gada decembra ziņojumā prognozēto nodarbināto skaita pieaugumu – vidēji 0</w:t>
      </w:r>
      <w:r w:rsidR="00FB1126">
        <w:t>,</w:t>
      </w:r>
      <w:r w:rsidRPr="00BB7824">
        <w:t>72 procenti gadā. Pieauguma procents aprēķiniem koriģēts, ņemot vērā 2014. un 2015.gada faktisko darbinieku skaita, par kuriem tiek maksāta URVN, samazinājumu par vidēji 0</w:t>
      </w:r>
      <w:r w:rsidR="00FB1126">
        <w:t>,</w:t>
      </w:r>
      <w:r w:rsidRPr="00BB7824">
        <w:t xml:space="preserve">63 procentiem gadā. Lai atspoguļotu pakāpenisku un piesardzīgu nodarbināto skaita pieaugumu, tuvojoties pēdējo gadu faktiskajam nodarbināto skaitam un faktisko darbinieku skaitam, par kuriem tiek maksāta URVN, prognozēts, ka katru gadu palielinājums būs par 0,1 procentu (Ekonomikas ministrijas </w:t>
      </w:r>
      <w:r w:rsidR="00FB1126">
        <w:t xml:space="preserve">prognozētie </w:t>
      </w:r>
      <w:r w:rsidRPr="00BB7824">
        <w:t>0</w:t>
      </w:r>
      <w:r w:rsidR="00FB1126">
        <w:t>,</w:t>
      </w:r>
      <w:r w:rsidRPr="00BB7824">
        <w:t>72 procenti –</w:t>
      </w:r>
      <w:r w:rsidR="003827F7">
        <w:t xml:space="preserve"> </w:t>
      </w:r>
      <w:r w:rsidRPr="00BB7824">
        <w:t>URVN 0</w:t>
      </w:r>
      <w:r w:rsidR="00FB1126">
        <w:t>,</w:t>
      </w:r>
      <w:r w:rsidRPr="00BB7824">
        <w:t>63 procenti = 0</w:t>
      </w:r>
      <w:r w:rsidR="00FB1126">
        <w:t>,</w:t>
      </w:r>
      <w:r w:rsidRPr="00BB7824">
        <w:t xml:space="preserve">1 procents). Piemērojot </w:t>
      </w:r>
      <w:r w:rsidR="00B177A5" w:rsidRPr="00BB7824">
        <w:t>13</w:t>
      </w:r>
      <w:r w:rsidRPr="00BB7824">
        <w:t>.tabulā aprēķināto procentuālo attiecību – nodarbināto skaits x 78</w:t>
      </w:r>
      <w:r w:rsidR="00FB1126">
        <w:t>,</w:t>
      </w:r>
      <w:r w:rsidRPr="00BB7824">
        <w:t>5% = darbinieki, par kuriem jāmaksā URVN. Saskaņā ar Valsts ieņēmumu dienesta sniegto informāciju 2015.gadā vidējais darbinieku skaits mēnesī, par kuriem aprēķināta URVN, bija 696 295 nodarbinātie, līdz ar to 2017.</w:t>
      </w:r>
      <w:r w:rsidR="00FB1126">
        <w:t>–</w:t>
      </w:r>
      <w:r w:rsidRPr="00BB7824">
        <w:t>2019.gadā norādītais darbinieku skaits ir piesardzīgi prognozēts un objektīvs.</w:t>
      </w:r>
    </w:p>
    <w:p w14:paraId="21882DE5" w14:textId="77777777" w:rsidR="00C02CAA" w:rsidRPr="00BB7824" w:rsidRDefault="00C02CAA" w:rsidP="00BB7824">
      <w:pPr>
        <w:tabs>
          <w:tab w:val="left" w:pos="720"/>
        </w:tabs>
        <w:ind w:firstLine="720"/>
        <w:jc w:val="both"/>
        <w:rPr>
          <w:b/>
        </w:rPr>
      </w:pPr>
    </w:p>
    <w:p w14:paraId="00557FB0" w14:textId="77777777" w:rsidR="00C02CAA" w:rsidRPr="00BB7824" w:rsidRDefault="00C02CAA" w:rsidP="00BB7824">
      <w:pPr>
        <w:pStyle w:val="Heading2"/>
        <w:numPr>
          <w:ilvl w:val="0"/>
          <w:numId w:val="0"/>
        </w:numPr>
        <w:spacing w:before="0" w:after="0"/>
        <w:ind w:firstLine="720"/>
        <w:jc w:val="both"/>
        <w:rPr>
          <w:rFonts w:ascii="Times New Roman" w:hAnsi="Times New Roman"/>
          <w:i w:val="0"/>
          <w:iCs w:val="0"/>
          <w:sz w:val="24"/>
          <w:szCs w:val="24"/>
        </w:rPr>
      </w:pPr>
      <w:bookmarkStart w:id="75" w:name="_Toc410048286"/>
      <w:bookmarkStart w:id="76" w:name="_Toc414279032"/>
      <w:bookmarkStart w:id="77" w:name="_Toc453263322"/>
      <w:r w:rsidRPr="00BB7824">
        <w:rPr>
          <w:rFonts w:ascii="Times New Roman" w:hAnsi="Times New Roman"/>
          <w:i w:val="0"/>
          <w:iCs w:val="0"/>
          <w:sz w:val="24"/>
          <w:szCs w:val="24"/>
        </w:rPr>
        <w:t>1. Budžeta apakšprogramma</w:t>
      </w:r>
      <w:r w:rsidR="00DD04B2" w:rsidRPr="00BB7824">
        <w:rPr>
          <w:rFonts w:ascii="Times New Roman" w:hAnsi="Times New Roman"/>
          <w:i w:val="0"/>
          <w:iCs w:val="0"/>
          <w:sz w:val="24"/>
          <w:szCs w:val="24"/>
        </w:rPr>
        <w:t xml:space="preserve"> </w:t>
      </w:r>
      <w:r w:rsidRPr="00BB7824">
        <w:rPr>
          <w:rFonts w:ascii="Times New Roman" w:hAnsi="Times New Roman" w:cs="Times New Roman"/>
          <w:i w:val="0"/>
          <w:iCs w:val="0"/>
          <w:sz w:val="24"/>
          <w:szCs w:val="24"/>
        </w:rPr>
        <w:t xml:space="preserve">06.05.00 </w:t>
      </w:r>
      <w:r w:rsidRPr="00BB7824">
        <w:rPr>
          <w:rFonts w:ascii="Times New Roman" w:hAnsi="Times New Roman"/>
          <w:i w:val="0"/>
          <w:iCs w:val="0"/>
          <w:sz w:val="24"/>
          <w:szCs w:val="24"/>
        </w:rPr>
        <w:t>„Maksātnespējas procesa izmaksas”</w:t>
      </w:r>
      <w:r w:rsidR="00DD04B2" w:rsidRPr="00BB7824">
        <w:rPr>
          <w:rFonts w:ascii="Times New Roman" w:hAnsi="Times New Roman"/>
          <w:i w:val="0"/>
          <w:iCs w:val="0"/>
          <w:sz w:val="24"/>
          <w:szCs w:val="24"/>
        </w:rPr>
        <w:t xml:space="preserve"> </w:t>
      </w:r>
      <w:r w:rsidRPr="00BB7824">
        <w:rPr>
          <w:rFonts w:ascii="Times New Roman" w:hAnsi="Times New Roman"/>
          <w:i w:val="0"/>
          <w:iCs w:val="0"/>
          <w:sz w:val="24"/>
          <w:szCs w:val="24"/>
        </w:rPr>
        <w:t>201</w:t>
      </w:r>
      <w:r w:rsidR="009A6E88" w:rsidRPr="00BB7824">
        <w:rPr>
          <w:rFonts w:ascii="Times New Roman" w:hAnsi="Times New Roman"/>
          <w:i w:val="0"/>
          <w:iCs w:val="0"/>
          <w:sz w:val="24"/>
          <w:szCs w:val="24"/>
        </w:rPr>
        <w:t>7</w:t>
      </w:r>
      <w:r w:rsidRPr="00BB7824">
        <w:rPr>
          <w:rFonts w:ascii="Times New Roman" w:hAnsi="Times New Roman"/>
          <w:i w:val="0"/>
          <w:iCs w:val="0"/>
          <w:sz w:val="24"/>
          <w:szCs w:val="24"/>
        </w:rPr>
        <w:t>.–201</w:t>
      </w:r>
      <w:r w:rsidR="009A6E88" w:rsidRPr="00BB7824">
        <w:rPr>
          <w:rFonts w:ascii="Times New Roman" w:hAnsi="Times New Roman"/>
          <w:i w:val="0"/>
          <w:iCs w:val="0"/>
          <w:sz w:val="24"/>
          <w:szCs w:val="24"/>
        </w:rPr>
        <w:t>9</w:t>
      </w:r>
      <w:r w:rsidRPr="00BB7824">
        <w:rPr>
          <w:rFonts w:ascii="Times New Roman" w:hAnsi="Times New Roman"/>
          <w:i w:val="0"/>
          <w:iCs w:val="0"/>
          <w:sz w:val="24"/>
          <w:szCs w:val="24"/>
        </w:rPr>
        <w:t>.gadā</w:t>
      </w:r>
      <w:bookmarkEnd w:id="75"/>
      <w:bookmarkEnd w:id="76"/>
      <w:bookmarkEnd w:id="77"/>
    </w:p>
    <w:p w14:paraId="6B104014" w14:textId="77777777" w:rsidR="00566722" w:rsidRPr="00BB7824" w:rsidRDefault="00566722" w:rsidP="00BB7824">
      <w:pPr>
        <w:autoSpaceDE w:val="0"/>
        <w:autoSpaceDN w:val="0"/>
        <w:adjustRightInd w:val="0"/>
        <w:ind w:firstLine="720"/>
        <w:jc w:val="both"/>
        <w:rPr>
          <w:lang w:eastAsia="ru-RU"/>
        </w:rPr>
      </w:pPr>
      <w:r w:rsidRPr="00BB7824">
        <w:t xml:space="preserve">2010.gada 1.novembrī stājās spēkā Maksātnespējas likums, kas nosaka, ka maksātnespējas procesos, kas uzsākti no 2010.gada 1.novembra, maksātnespējas procesa izmaksas (maksātnespējas procesa izdevumi un maksātnespējas procesa administratoru atlīdzība) tiek segtas no paša parādnieka, kreditoru līdzekļiem vai iemaksātā depozīta. Proti, tās vairs netiek segtas no Maksātnespējas administrācijai šiem mērķiem piešķirtajiem līdzekļiem. Tomēr, ievērojot, ka saskaņā ar Maksātnespējas likuma pārejas noteikumu 2. un 5.punktu </w:t>
      </w:r>
      <w:r w:rsidRPr="00BB7824">
        <w:rPr>
          <w:lang w:eastAsia="ru-RU"/>
        </w:rPr>
        <w:t>maksātnespējas procesos, kuri uzsākti līdz 2007.gada 31.decembrim un laika posmā no 2008.gada 1.janvāra līdz 2010.gada 31.oktobrim, tiek piemērotas minētajā laika posmā spēkā esošā maksātnespējas procesu regulējošā likuma normas un uz to pamata izdotie normatīvie akti, jānodrošina maksātnespējas procesa izmaksu segšana attiecīgajos procesos.</w:t>
      </w:r>
    </w:p>
    <w:p w14:paraId="6977217F" w14:textId="77777777" w:rsidR="00566722" w:rsidRPr="00BB7824" w:rsidRDefault="00566722" w:rsidP="00BB7824">
      <w:pPr>
        <w:tabs>
          <w:tab w:val="left" w:pos="720"/>
        </w:tabs>
        <w:ind w:firstLine="720"/>
        <w:jc w:val="both"/>
        <w:rPr>
          <w:bCs/>
        </w:rPr>
      </w:pPr>
      <w:r w:rsidRPr="00BB7824">
        <w:rPr>
          <w:bCs/>
        </w:rPr>
        <w:t xml:space="preserve">Atbilstoši normatīvajam regulējumam, kas piemērojams maksātnespējas procesos, kas uzsākti līdz 2010.gada 31.oktobrim, katrs administrators ir tiesīgs saņemt no Maksātnespējas administrācijas šim mērķim piešķirtos naudas līdzekļus maksātnespējas procesa izdevumu segšanai ne vairāk kā 142 </w:t>
      </w:r>
      <w:r w:rsidRPr="00BB7824">
        <w:rPr>
          <w:bCs/>
          <w:i/>
        </w:rPr>
        <w:t>euro</w:t>
      </w:r>
      <w:r w:rsidRPr="00BB7824">
        <w:rPr>
          <w:bCs/>
        </w:rPr>
        <w:t xml:space="preserve"> apmērā un viena maksātnespējas procesa ietvaros Maksātnespējas administrācija ir tiesīga piešķirt naudas līdzekļus administratora atlīdzības segšanai ne vairāk kā 569 </w:t>
      </w:r>
      <w:r w:rsidRPr="00BB7824">
        <w:rPr>
          <w:bCs/>
          <w:i/>
        </w:rPr>
        <w:t>euro</w:t>
      </w:r>
      <w:r w:rsidRPr="00BB7824">
        <w:rPr>
          <w:bCs/>
        </w:rPr>
        <w:t xml:space="preserve"> apmērā. </w:t>
      </w:r>
    </w:p>
    <w:p w14:paraId="1A4CF276" w14:textId="77777777" w:rsidR="00566722" w:rsidRPr="00BB7824" w:rsidRDefault="00566722" w:rsidP="00BB7824">
      <w:pPr>
        <w:tabs>
          <w:tab w:val="left" w:pos="720"/>
        </w:tabs>
        <w:ind w:firstLine="720"/>
        <w:jc w:val="both"/>
      </w:pPr>
      <w:r w:rsidRPr="00BB7824">
        <w:t>Uz 2016.gada 1.janvāri norosinās 271 maksātnespējas process, kas uzsākts līdz 2010.gada 31.oktobrim. Ievērojot minēto, pastāv iespēja, ka Maksātnespējas administrācijai tajos būs jāsedz maksātnespējas procesa izmaksas (maksātnespējas procesa izdevumus un administratora atlīdzību) no Maksātnespējas administrācijai šiem mērķiem piešķirtajiem līdzekļiem.</w:t>
      </w:r>
    </w:p>
    <w:p w14:paraId="14FE4CDF" w14:textId="77777777" w:rsidR="00566722" w:rsidRPr="00BB7824" w:rsidRDefault="00566722" w:rsidP="00BB7824">
      <w:pPr>
        <w:ind w:firstLine="720"/>
        <w:jc w:val="both"/>
        <w:rPr>
          <w:bCs/>
        </w:rPr>
      </w:pPr>
      <w:r w:rsidRPr="00BB7824">
        <w:rPr>
          <w:bCs/>
        </w:rPr>
        <w:t>Tādējādi, pieņemot, ka visos līdz 2010.gada 31.oktobrim uzsāktajos maksātnespējas procesos būs nepieciešams segt maksātnespējas procesa izmaksas (maksātnespējas procesa izdevumus un administratora atlīdzību)</w:t>
      </w:r>
      <w:r w:rsidRPr="00BB7824">
        <w:t xml:space="preserve"> </w:t>
      </w:r>
      <w:r w:rsidRPr="00BB7824">
        <w:rPr>
          <w:bCs/>
        </w:rPr>
        <w:t>kopējā maksimāli izmaksājamā summa, kas varētu būt nepieciešama apakšprogrammā 06.05.00 „Maksātnespējas procesa izmaksas”, ir 192</w:t>
      </w:r>
      <w:r w:rsidR="00831405">
        <w:rPr>
          <w:bCs/>
        </w:rPr>
        <w:t> </w:t>
      </w:r>
      <w:r w:rsidRPr="00BB7824">
        <w:rPr>
          <w:bCs/>
        </w:rPr>
        <w:t>681</w:t>
      </w:r>
      <w:r w:rsidR="00831405">
        <w:rPr>
          <w:bCs/>
        </w:rPr>
        <w:t> </w:t>
      </w:r>
      <w:r w:rsidRPr="00BB7824">
        <w:rPr>
          <w:bCs/>
          <w:i/>
        </w:rPr>
        <w:t>euro</w:t>
      </w:r>
      <w:r w:rsidRPr="00BB7824">
        <w:rPr>
          <w:bCs/>
        </w:rPr>
        <w:t>.</w:t>
      </w:r>
    </w:p>
    <w:p w14:paraId="7AD7BCBB" w14:textId="77777777" w:rsidR="00566722" w:rsidRPr="00BB7824" w:rsidRDefault="00566722" w:rsidP="00BB7824">
      <w:pPr>
        <w:ind w:firstLine="720"/>
        <w:jc w:val="both"/>
        <w:rPr>
          <w:bCs/>
        </w:rPr>
      </w:pPr>
      <w:r w:rsidRPr="00BB7824">
        <w:rPr>
          <w:bCs/>
        </w:rPr>
        <w:t>Papildu</w:t>
      </w:r>
      <w:r w:rsidR="00345BB4">
        <w:rPr>
          <w:bCs/>
        </w:rPr>
        <w:t>s</w:t>
      </w:r>
      <w:r w:rsidRPr="00BB7824">
        <w:rPr>
          <w:bCs/>
        </w:rPr>
        <w:t xml:space="preserve"> normatīvajā regulējumā, kas bija spēkā līdz 2011.gada 31.decembrim, noteiktajai administratora atlīdzībai administrators ir tiesīgs saņemt atlīdzību 6,40</w:t>
      </w:r>
      <w:r w:rsidR="00831405">
        <w:rPr>
          <w:bCs/>
        </w:rPr>
        <w:t> </w:t>
      </w:r>
      <w:r w:rsidRPr="000121BB">
        <w:rPr>
          <w:bCs/>
          <w:i/>
        </w:rPr>
        <w:t>euro</w:t>
      </w:r>
      <w:r w:rsidRPr="00BB7824">
        <w:rPr>
          <w:bCs/>
        </w:rPr>
        <w:t xml:space="preserve"> apmērā par katru darbinieku, kuram saskaņā ar Maksātnespējas administrācijas lēmumu ir piešķirti naudas līdzekļi tā prasījumu apmierināšanai no darbinieku prasījumu garantiju fonda. Arī šie naudas līdzekļi maksātnespējas procesos, kas uzsākti līdz 2011.gada 31.decembrim, sedzami no budžeta apakšprogrammas 06.05.00 „Maksātnespējas procesa izmaksas”.</w:t>
      </w:r>
    </w:p>
    <w:p w14:paraId="41705B34" w14:textId="77777777" w:rsidR="00566722" w:rsidRPr="00BB7824" w:rsidRDefault="00566722" w:rsidP="00BB7824">
      <w:pPr>
        <w:ind w:firstLine="720"/>
        <w:jc w:val="both"/>
        <w:rPr>
          <w:bCs/>
        </w:rPr>
      </w:pPr>
      <w:r w:rsidRPr="00BB7824">
        <w:rPr>
          <w:bCs/>
        </w:rPr>
        <w:t xml:space="preserve">Tomēr faktiskā kopējā izmaksājamā summa turpmākajos gados gan prognozējama mazāka nekā maksimālā, jo ārējie normatīvie akti nosaka maksimāli pieļaujamo izmaksu apjomu, tomēr jāņem vērā apstāklis, ka saskaņā ar normatīvo regulējumu, kas piemērojams maksātnespējas procesos, kas uzsākti līdz 2010.gada 31.oktobrim, maksātnespējas procesa izmaksas tiek segtas no parādnieka, kreditoru vai citu fizisko vai juridisko personu līdzekļiem. Maksātnespējas administrācija, pamatojoties uz administratora iesniegumu, sedz maksātnespējas procesa izdevumus un administratora atlīdzību no Maksātnespējas administrācijai šiem mērķiem piešķirtajiem līdzekļiem tikai gadījumā, ja no juridiskās personas maksātnespējas procesa subjekta (parādnieka), kreditoru vai citu fizisko vai juridisko personu naudas līdzekļiem nav iespējams pilnā apmērā vai daļā segt maksātnespējas procesa izdevumus vai administratora atlīdzību. Tādējādi Maksātnespējas administrācijā ar iesniegumu maksātnespējas procesa izmaksu segšanai vērsties var tikai t.s. „tukšo” maksātnespējas procesu, kuros nebūs iespējams pilnā apmērā vai daļēji segt izmaksas, administratori. Papildus jānorāda, ka maksātnespējas procesa izdevumi (142 </w:t>
      </w:r>
      <w:r w:rsidRPr="00BB7824">
        <w:rPr>
          <w:bCs/>
          <w:i/>
        </w:rPr>
        <w:t>euro</w:t>
      </w:r>
      <w:r w:rsidRPr="00BB7824">
        <w:rPr>
          <w:bCs/>
        </w:rPr>
        <w:t xml:space="preserve">) šajos procesos tiks pieprasīti salīdzinoši mazāk nekā administratoru atlīdzības, jo maksātnespējas procesa izdevumu segšanas no valsts budžeta līdzekļiem priekšnoteikums attiecīgajā maksātnespējas procesā ir šī procesa pasludināšanas spriedums. Pamatā maksātnespējas procesa izdevumu segšana šajos procesos ir jau veikta, bet pie noteiktiem apstākļiem administrators izdevumu segšanu var pieprasīt arī šobrīd (piemēram, pie administratora maiņas; ja administrators tomēr vēl nav pieprasījis segt izdevumus; ja izdevumi ir segti, administrators saskaņā ar normatīvo regulējumu tos ir atmaksājis Maksātnespējas administrācijai un tagad lūdz atkārtoti). </w:t>
      </w:r>
    </w:p>
    <w:p w14:paraId="0E67AABE" w14:textId="77777777" w:rsidR="00C02CAA" w:rsidRPr="00BB7824" w:rsidRDefault="00566722" w:rsidP="00BB7824">
      <w:pPr>
        <w:ind w:firstLine="720"/>
        <w:jc w:val="both"/>
        <w:rPr>
          <w:bCs/>
        </w:rPr>
      </w:pPr>
      <w:r w:rsidRPr="00BB7824">
        <w:rPr>
          <w:bCs/>
        </w:rPr>
        <w:t>Laika periodā no 2012.gada maija līdz 2016.gada 1.janvārim šādu maksātnespējas procesu skaits ir samazinājies par 90 procentiem (no 2 731 uz 271) un vidējais samazinājums ir bijis 38 procenti gadā. Izdevumi pēdējo četru gadu laikā (2012.</w:t>
      </w:r>
      <w:r w:rsidR="00831405">
        <w:rPr>
          <w:bCs/>
        </w:rPr>
        <w:t>–</w:t>
      </w:r>
      <w:r w:rsidRPr="00BB7824">
        <w:rPr>
          <w:bCs/>
        </w:rPr>
        <w:t>2015.gadā) šajos procesos ir segti vidēji 2 procentos maksātnespējas procesu. Savukārt, no šajos četros gados pabeigtajiem maksātnespējas procesiem, 55 procentu gadījum</w:t>
      </w:r>
      <w:r w:rsidR="00831405">
        <w:rPr>
          <w:bCs/>
        </w:rPr>
        <w:t>os</w:t>
      </w:r>
      <w:r w:rsidRPr="00BB7824">
        <w:rPr>
          <w:bCs/>
        </w:rPr>
        <w:t xml:space="preserve"> ir segta administratora atlīdzība.</w:t>
      </w:r>
    </w:p>
    <w:p w14:paraId="3A0DEE20" w14:textId="77777777" w:rsidR="00C02CAA" w:rsidRPr="00BB7824" w:rsidRDefault="00C02CAA" w:rsidP="00BB7824">
      <w:pPr>
        <w:ind w:firstLine="720"/>
        <w:jc w:val="both"/>
      </w:pPr>
      <w:r w:rsidRPr="00BB7824">
        <w:rPr>
          <w:bCs/>
        </w:rPr>
        <w:t>Ņemot vērā iepriekš norādītos faktus, paredzams, ka uz 201</w:t>
      </w:r>
      <w:r w:rsidR="00D137AE" w:rsidRPr="00BB7824">
        <w:rPr>
          <w:bCs/>
        </w:rPr>
        <w:t>7</w:t>
      </w:r>
      <w:r w:rsidRPr="00BB7824">
        <w:rPr>
          <w:bCs/>
        </w:rPr>
        <w:t xml:space="preserve">.gada sākumu vēl būs atlikuši apmēram </w:t>
      </w:r>
      <w:r w:rsidR="00D137AE" w:rsidRPr="00BB7824">
        <w:rPr>
          <w:bCs/>
        </w:rPr>
        <w:t>168</w:t>
      </w:r>
      <w:r w:rsidRPr="00BB7824">
        <w:rPr>
          <w:bCs/>
        </w:rPr>
        <w:t xml:space="preserve"> procesi (</w:t>
      </w:r>
      <w:r w:rsidR="00D137AE" w:rsidRPr="00BB7824">
        <w:rPr>
          <w:bCs/>
        </w:rPr>
        <w:t>271</w:t>
      </w:r>
      <w:r w:rsidRPr="00BB7824">
        <w:rPr>
          <w:bCs/>
        </w:rPr>
        <w:t xml:space="preserve"> – </w:t>
      </w:r>
      <w:r w:rsidR="006C63D9" w:rsidRPr="00BB7824">
        <w:rPr>
          <w:bCs/>
        </w:rPr>
        <w:t>103(</w:t>
      </w:r>
      <w:r w:rsidR="00D137AE" w:rsidRPr="00BB7824">
        <w:rPr>
          <w:bCs/>
        </w:rPr>
        <w:t>38</w:t>
      </w:r>
      <w:r w:rsidR="006C63D9" w:rsidRPr="00BB7824">
        <w:rPr>
          <w:bCs/>
        </w:rPr>
        <w:t>%)</w:t>
      </w:r>
      <w:r w:rsidRPr="00BB7824">
        <w:rPr>
          <w:bCs/>
        </w:rPr>
        <w:t xml:space="preserve"> = </w:t>
      </w:r>
      <w:r w:rsidR="00D137AE" w:rsidRPr="00BB7824">
        <w:rPr>
          <w:bCs/>
        </w:rPr>
        <w:t>168</w:t>
      </w:r>
      <w:r w:rsidRPr="00BB7824">
        <w:rPr>
          <w:bCs/>
        </w:rPr>
        <w:t xml:space="preserve">), </w:t>
      </w:r>
      <w:r w:rsidRPr="00BB7824">
        <w:t>kuros Maksātnespējas administrācijai būs jāsedz maksātnespējas procesa izmaksas.</w:t>
      </w:r>
    </w:p>
    <w:p w14:paraId="437516D2" w14:textId="77777777" w:rsidR="00C02CAA" w:rsidRPr="00BB7824" w:rsidRDefault="00C02CAA" w:rsidP="00BB7824">
      <w:pPr>
        <w:ind w:firstLine="720"/>
        <w:jc w:val="both"/>
        <w:rPr>
          <w:b/>
        </w:rPr>
      </w:pPr>
    </w:p>
    <w:p w14:paraId="7DF93DEB" w14:textId="77777777" w:rsidR="00C02CAA" w:rsidRPr="007D0A59" w:rsidRDefault="00C02CAA" w:rsidP="00BB7824">
      <w:pPr>
        <w:ind w:firstLine="720"/>
        <w:jc w:val="right"/>
      </w:pPr>
      <w:r w:rsidRPr="007D0A59">
        <w:t>17.tabula</w:t>
      </w:r>
    </w:p>
    <w:p w14:paraId="5DC95316" w14:textId="77777777" w:rsidR="00C02CAA" w:rsidRPr="001E23E1" w:rsidRDefault="00C02CAA" w:rsidP="008146B6">
      <w:pPr>
        <w:ind w:firstLine="720"/>
        <w:jc w:val="right"/>
        <w:rPr>
          <w:b/>
          <w:sz w:val="28"/>
          <w:szCs w:val="28"/>
        </w:rPr>
      </w:pPr>
    </w:p>
    <w:p w14:paraId="0F85506E" w14:textId="77777777" w:rsidR="009D46B2" w:rsidRPr="00BB7824" w:rsidRDefault="00C02CAA" w:rsidP="00BB7824">
      <w:pPr>
        <w:spacing w:after="120"/>
        <w:jc w:val="center"/>
        <w:rPr>
          <w:b/>
        </w:rPr>
      </w:pPr>
      <w:r w:rsidRPr="00BB7824">
        <w:rPr>
          <w:b/>
        </w:rPr>
        <w:t>Plānotie izdevumi maksātnespējas procesa izmaksām 201</w:t>
      </w:r>
      <w:r w:rsidR="00D137AE" w:rsidRPr="00BB7824">
        <w:rPr>
          <w:b/>
        </w:rPr>
        <w:t>7</w:t>
      </w:r>
      <w:r w:rsidRPr="00BB7824">
        <w:rPr>
          <w:b/>
        </w:rPr>
        <w:t>. – 201</w:t>
      </w:r>
      <w:r w:rsidR="00D137AE" w:rsidRPr="00BB7824">
        <w:rPr>
          <w:b/>
        </w:rPr>
        <w:t>9</w:t>
      </w:r>
      <w:r w:rsidRPr="00BB7824">
        <w:rPr>
          <w:b/>
        </w:rPr>
        <w:t>.gadam</w:t>
      </w:r>
    </w:p>
    <w:tbl>
      <w:tblPr>
        <w:tblW w:w="6760" w:type="dxa"/>
        <w:tblInd w:w="1293" w:type="dxa"/>
        <w:tblLook w:val="04A0" w:firstRow="1" w:lastRow="0" w:firstColumn="1" w:lastColumn="0" w:noHBand="0" w:noVBand="1"/>
      </w:tblPr>
      <w:tblGrid>
        <w:gridCol w:w="3091"/>
        <w:gridCol w:w="1223"/>
        <w:gridCol w:w="1223"/>
        <w:gridCol w:w="1223"/>
      </w:tblGrid>
      <w:tr w:rsidR="00BE5022" w14:paraId="01230DB6" w14:textId="77777777" w:rsidTr="00BE5022">
        <w:trPr>
          <w:trHeight w:val="330"/>
        </w:trPr>
        <w:tc>
          <w:tcPr>
            <w:tcW w:w="3091" w:type="dxa"/>
            <w:tcBorders>
              <w:top w:val="single" w:sz="8" w:space="0" w:color="auto"/>
              <w:left w:val="single" w:sz="8" w:space="0" w:color="auto"/>
              <w:bottom w:val="single" w:sz="8" w:space="0" w:color="auto"/>
              <w:right w:val="single" w:sz="8" w:space="0" w:color="auto"/>
            </w:tcBorders>
            <w:shd w:val="clear" w:color="000000" w:fill="FFFFFF"/>
            <w:hideMark/>
          </w:tcPr>
          <w:p w14:paraId="086B52D9" w14:textId="77777777" w:rsidR="00BE5022" w:rsidRDefault="00BE5022">
            <w:pPr>
              <w:jc w:val="both"/>
              <w:rPr>
                <w:b/>
                <w:bCs/>
              </w:rPr>
            </w:pPr>
            <w:r>
              <w:rPr>
                <w:b/>
                <w:bCs/>
              </w:rPr>
              <w:t> </w:t>
            </w:r>
          </w:p>
        </w:tc>
        <w:tc>
          <w:tcPr>
            <w:tcW w:w="1223" w:type="dxa"/>
            <w:tcBorders>
              <w:top w:val="single" w:sz="8" w:space="0" w:color="auto"/>
              <w:left w:val="nil"/>
              <w:bottom w:val="single" w:sz="8" w:space="0" w:color="auto"/>
              <w:right w:val="single" w:sz="8" w:space="0" w:color="auto"/>
            </w:tcBorders>
            <w:shd w:val="clear" w:color="000000" w:fill="FFFFFF"/>
            <w:hideMark/>
          </w:tcPr>
          <w:p w14:paraId="1855FBDE" w14:textId="77777777" w:rsidR="00BE5022" w:rsidRDefault="00BE5022" w:rsidP="00BB7824">
            <w:pPr>
              <w:jc w:val="center"/>
              <w:rPr>
                <w:b/>
                <w:bCs/>
              </w:rPr>
            </w:pPr>
            <w:r>
              <w:rPr>
                <w:b/>
                <w:bCs/>
              </w:rPr>
              <w:t>2017.gads</w:t>
            </w:r>
          </w:p>
        </w:tc>
        <w:tc>
          <w:tcPr>
            <w:tcW w:w="1223" w:type="dxa"/>
            <w:tcBorders>
              <w:top w:val="single" w:sz="8" w:space="0" w:color="auto"/>
              <w:left w:val="nil"/>
              <w:bottom w:val="single" w:sz="8" w:space="0" w:color="auto"/>
              <w:right w:val="single" w:sz="8" w:space="0" w:color="auto"/>
            </w:tcBorders>
            <w:shd w:val="clear" w:color="000000" w:fill="FFFFFF"/>
            <w:hideMark/>
          </w:tcPr>
          <w:p w14:paraId="35AC2D7E" w14:textId="77777777" w:rsidR="00BE5022" w:rsidRDefault="00BE5022" w:rsidP="00BB7824">
            <w:pPr>
              <w:jc w:val="center"/>
              <w:rPr>
                <w:b/>
                <w:bCs/>
              </w:rPr>
            </w:pPr>
            <w:r>
              <w:rPr>
                <w:b/>
                <w:bCs/>
              </w:rPr>
              <w:t>2018.gads</w:t>
            </w:r>
          </w:p>
        </w:tc>
        <w:tc>
          <w:tcPr>
            <w:tcW w:w="1223" w:type="dxa"/>
            <w:tcBorders>
              <w:top w:val="single" w:sz="8" w:space="0" w:color="auto"/>
              <w:left w:val="nil"/>
              <w:bottom w:val="single" w:sz="8" w:space="0" w:color="auto"/>
              <w:right w:val="single" w:sz="8" w:space="0" w:color="auto"/>
            </w:tcBorders>
            <w:shd w:val="clear" w:color="000000" w:fill="FFFFFF"/>
            <w:hideMark/>
          </w:tcPr>
          <w:p w14:paraId="295A1D4E" w14:textId="77777777" w:rsidR="00BE5022" w:rsidRDefault="00BE5022" w:rsidP="00BB7824">
            <w:pPr>
              <w:jc w:val="center"/>
              <w:rPr>
                <w:b/>
                <w:bCs/>
              </w:rPr>
            </w:pPr>
            <w:r>
              <w:rPr>
                <w:b/>
                <w:bCs/>
              </w:rPr>
              <w:t>2019.gads</w:t>
            </w:r>
          </w:p>
        </w:tc>
      </w:tr>
      <w:tr w:rsidR="00BE5022" w14:paraId="656BF6C4" w14:textId="77777777" w:rsidTr="00BE5022">
        <w:trPr>
          <w:trHeight w:val="645"/>
        </w:trPr>
        <w:tc>
          <w:tcPr>
            <w:tcW w:w="3091" w:type="dxa"/>
            <w:tcBorders>
              <w:top w:val="nil"/>
              <w:left w:val="single" w:sz="8" w:space="0" w:color="auto"/>
              <w:bottom w:val="single" w:sz="8" w:space="0" w:color="auto"/>
              <w:right w:val="single" w:sz="8" w:space="0" w:color="auto"/>
            </w:tcBorders>
            <w:shd w:val="clear" w:color="auto" w:fill="auto"/>
            <w:hideMark/>
          </w:tcPr>
          <w:p w14:paraId="38D1A076" w14:textId="77777777" w:rsidR="00BE5022" w:rsidRDefault="00BE5022">
            <w:pPr>
              <w:jc w:val="both"/>
            </w:pPr>
            <w:r>
              <w:t>1. Maksātnespējas procesa izdevumi gadā, skaits</w:t>
            </w:r>
          </w:p>
        </w:tc>
        <w:tc>
          <w:tcPr>
            <w:tcW w:w="1223" w:type="dxa"/>
            <w:tcBorders>
              <w:top w:val="nil"/>
              <w:left w:val="nil"/>
              <w:bottom w:val="single" w:sz="8" w:space="0" w:color="auto"/>
              <w:right w:val="single" w:sz="8" w:space="0" w:color="auto"/>
            </w:tcBorders>
            <w:shd w:val="clear" w:color="auto" w:fill="auto"/>
            <w:hideMark/>
          </w:tcPr>
          <w:p w14:paraId="5D05A230" w14:textId="77777777" w:rsidR="00BE5022" w:rsidRDefault="00BE5022" w:rsidP="00BB7824">
            <w:pPr>
              <w:jc w:val="center"/>
            </w:pPr>
            <w:r>
              <w:t>5</w:t>
            </w:r>
          </w:p>
        </w:tc>
        <w:tc>
          <w:tcPr>
            <w:tcW w:w="1223" w:type="dxa"/>
            <w:tcBorders>
              <w:top w:val="nil"/>
              <w:left w:val="nil"/>
              <w:bottom w:val="single" w:sz="8" w:space="0" w:color="auto"/>
              <w:right w:val="single" w:sz="8" w:space="0" w:color="auto"/>
            </w:tcBorders>
            <w:shd w:val="clear" w:color="auto" w:fill="auto"/>
            <w:hideMark/>
          </w:tcPr>
          <w:p w14:paraId="3C2BF024" w14:textId="77777777" w:rsidR="00BE5022" w:rsidRDefault="00BE5022" w:rsidP="00BB7824">
            <w:pPr>
              <w:jc w:val="center"/>
            </w:pPr>
            <w:r>
              <w:t>4</w:t>
            </w:r>
          </w:p>
        </w:tc>
        <w:tc>
          <w:tcPr>
            <w:tcW w:w="1223" w:type="dxa"/>
            <w:tcBorders>
              <w:top w:val="nil"/>
              <w:left w:val="nil"/>
              <w:bottom w:val="single" w:sz="8" w:space="0" w:color="auto"/>
              <w:right w:val="single" w:sz="8" w:space="0" w:color="auto"/>
            </w:tcBorders>
            <w:shd w:val="clear" w:color="auto" w:fill="auto"/>
            <w:hideMark/>
          </w:tcPr>
          <w:p w14:paraId="7CA873B6" w14:textId="77777777" w:rsidR="00BE5022" w:rsidRDefault="00BE5022" w:rsidP="00BB7824">
            <w:pPr>
              <w:jc w:val="center"/>
            </w:pPr>
            <w:r>
              <w:t>3</w:t>
            </w:r>
          </w:p>
        </w:tc>
      </w:tr>
      <w:tr w:rsidR="00BE5022" w14:paraId="457A5999" w14:textId="77777777" w:rsidTr="00BE5022">
        <w:trPr>
          <w:trHeight w:val="330"/>
        </w:trPr>
        <w:tc>
          <w:tcPr>
            <w:tcW w:w="3091" w:type="dxa"/>
            <w:tcBorders>
              <w:top w:val="nil"/>
              <w:left w:val="single" w:sz="8" w:space="0" w:color="auto"/>
              <w:bottom w:val="single" w:sz="8" w:space="0" w:color="auto"/>
              <w:right w:val="single" w:sz="8" w:space="0" w:color="auto"/>
            </w:tcBorders>
            <w:shd w:val="clear" w:color="auto" w:fill="auto"/>
            <w:hideMark/>
          </w:tcPr>
          <w:p w14:paraId="79E69B89" w14:textId="77777777" w:rsidR="00BE5022" w:rsidRDefault="00BE5022">
            <w:pPr>
              <w:jc w:val="both"/>
            </w:pPr>
            <w:r>
              <w:t xml:space="preserve">2. Maksimālā summa, </w:t>
            </w:r>
            <w:r>
              <w:rPr>
                <w:i/>
                <w:iCs/>
              </w:rPr>
              <w:t>euro</w:t>
            </w:r>
          </w:p>
        </w:tc>
        <w:tc>
          <w:tcPr>
            <w:tcW w:w="1223" w:type="dxa"/>
            <w:tcBorders>
              <w:top w:val="nil"/>
              <w:left w:val="nil"/>
              <w:bottom w:val="single" w:sz="8" w:space="0" w:color="auto"/>
              <w:right w:val="single" w:sz="8" w:space="0" w:color="auto"/>
            </w:tcBorders>
            <w:shd w:val="clear" w:color="auto" w:fill="auto"/>
            <w:hideMark/>
          </w:tcPr>
          <w:p w14:paraId="1EE9CAE9" w14:textId="77777777" w:rsidR="00BE5022" w:rsidRDefault="00BE5022" w:rsidP="00BB7824">
            <w:pPr>
              <w:jc w:val="center"/>
            </w:pPr>
            <w:r>
              <w:t>142</w:t>
            </w:r>
          </w:p>
        </w:tc>
        <w:tc>
          <w:tcPr>
            <w:tcW w:w="1223" w:type="dxa"/>
            <w:tcBorders>
              <w:top w:val="nil"/>
              <w:left w:val="nil"/>
              <w:bottom w:val="single" w:sz="8" w:space="0" w:color="auto"/>
              <w:right w:val="single" w:sz="8" w:space="0" w:color="auto"/>
            </w:tcBorders>
            <w:shd w:val="clear" w:color="auto" w:fill="auto"/>
            <w:hideMark/>
          </w:tcPr>
          <w:p w14:paraId="0A1A151B" w14:textId="77777777" w:rsidR="00BE5022" w:rsidRDefault="00BE5022" w:rsidP="00BB7824">
            <w:pPr>
              <w:jc w:val="center"/>
            </w:pPr>
            <w:r>
              <w:t>142</w:t>
            </w:r>
          </w:p>
        </w:tc>
        <w:tc>
          <w:tcPr>
            <w:tcW w:w="1223" w:type="dxa"/>
            <w:tcBorders>
              <w:top w:val="nil"/>
              <w:left w:val="nil"/>
              <w:bottom w:val="single" w:sz="8" w:space="0" w:color="auto"/>
              <w:right w:val="single" w:sz="8" w:space="0" w:color="auto"/>
            </w:tcBorders>
            <w:shd w:val="clear" w:color="auto" w:fill="auto"/>
            <w:hideMark/>
          </w:tcPr>
          <w:p w14:paraId="25A852B9" w14:textId="77777777" w:rsidR="00BE5022" w:rsidRDefault="00BE5022" w:rsidP="00BB7824">
            <w:pPr>
              <w:jc w:val="center"/>
            </w:pPr>
            <w:r>
              <w:t>142</w:t>
            </w:r>
          </w:p>
        </w:tc>
      </w:tr>
      <w:tr w:rsidR="00BE5022" w14:paraId="57335BB7" w14:textId="77777777" w:rsidTr="00BE5022">
        <w:trPr>
          <w:trHeight w:val="330"/>
        </w:trPr>
        <w:tc>
          <w:tcPr>
            <w:tcW w:w="3091" w:type="dxa"/>
            <w:tcBorders>
              <w:top w:val="nil"/>
              <w:left w:val="single" w:sz="8" w:space="0" w:color="auto"/>
              <w:bottom w:val="single" w:sz="8" w:space="0" w:color="auto"/>
              <w:right w:val="single" w:sz="8" w:space="0" w:color="auto"/>
            </w:tcBorders>
            <w:shd w:val="clear" w:color="auto" w:fill="auto"/>
            <w:hideMark/>
          </w:tcPr>
          <w:p w14:paraId="01CC2CFC" w14:textId="77777777" w:rsidR="00BE5022" w:rsidRDefault="00BE5022" w:rsidP="007B58E6">
            <w:pPr>
              <w:jc w:val="both"/>
            </w:pPr>
            <w:r>
              <w:t xml:space="preserve">3. </w:t>
            </w:r>
            <w:r w:rsidR="007B58E6">
              <w:t>Maksātnespējas procesa izdevumu s</w:t>
            </w:r>
            <w:r>
              <w:t>umma</w:t>
            </w:r>
            <w:r w:rsidR="007B58E6">
              <w:t xml:space="preserve"> gadā</w:t>
            </w:r>
            <w:r>
              <w:t xml:space="preserve">, </w:t>
            </w:r>
            <w:r>
              <w:rPr>
                <w:i/>
                <w:iCs/>
              </w:rPr>
              <w:t>euro</w:t>
            </w:r>
          </w:p>
        </w:tc>
        <w:tc>
          <w:tcPr>
            <w:tcW w:w="1223" w:type="dxa"/>
            <w:tcBorders>
              <w:top w:val="nil"/>
              <w:left w:val="nil"/>
              <w:bottom w:val="single" w:sz="8" w:space="0" w:color="auto"/>
              <w:right w:val="single" w:sz="8" w:space="0" w:color="auto"/>
            </w:tcBorders>
            <w:shd w:val="clear" w:color="auto" w:fill="auto"/>
            <w:hideMark/>
          </w:tcPr>
          <w:p w14:paraId="10E67054" w14:textId="77777777" w:rsidR="00BE5022" w:rsidRDefault="00BE5022" w:rsidP="00BB7824">
            <w:pPr>
              <w:jc w:val="center"/>
            </w:pPr>
            <w:r>
              <w:t>710</w:t>
            </w:r>
          </w:p>
        </w:tc>
        <w:tc>
          <w:tcPr>
            <w:tcW w:w="1223" w:type="dxa"/>
            <w:tcBorders>
              <w:top w:val="nil"/>
              <w:left w:val="nil"/>
              <w:bottom w:val="single" w:sz="8" w:space="0" w:color="auto"/>
              <w:right w:val="single" w:sz="8" w:space="0" w:color="auto"/>
            </w:tcBorders>
            <w:shd w:val="clear" w:color="auto" w:fill="auto"/>
            <w:hideMark/>
          </w:tcPr>
          <w:p w14:paraId="73700382" w14:textId="77777777" w:rsidR="00BE5022" w:rsidRDefault="00BE5022" w:rsidP="00BB7824">
            <w:pPr>
              <w:jc w:val="center"/>
            </w:pPr>
            <w:r>
              <w:t>568</w:t>
            </w:r>
          </w:p>
        </w:tc>
        <w:tc>
          <w:tcPr>
            <w:tcW w:w="1223" w:type="dxa"/>
            <w:tcBorders>
              <w:top w:val="nil"/>
              <w:left w:val="nil"/>
              <w:bottom w:val="single" w:sz="8" w:space="0" w:color="auto"/>
              <w:right w:val="single" w:sz="8" w:space="0" w:color="auto"/>
            </w:tcBorders>
            <w:shd w:val="clear" w:color="auto" w:fill="auto"/>
            <w:hideMark/>
          </w:tcPr>
          <w:p w14:paraId="2B437D87" w14:textId="77777777" w:rsidR="00BE5022" w:rsidRDefault="00BE5022" w:rsidP="00BB7824">
            <w:pPr>
              <w:jc w:val="center"/>
            </w:pPr>
            <w:r>
              <w:t>426</w:t>
            </w:r>
          </w:p>
        </w:tc>
      </w:tr>
      <w:tr w:rsidR="00BE5022" w14:paraId="63EE49E4" w14:textId="77777777" w:rsidTr="00BE5022">
        <w:trPr>
          <w:trHeight w:val="960"/>
        </w:trPr>
        <w:tc>
          <w:tcPr>
            <w:tcW w:w="3091" w:type="dxa"/>
            <w:tcBorders>
              <w:top w:val="nil"/>
              <w:left w:val="single" w:sz="8" w:space="0" w:color="auto"/>
              <w:bottom w:val="single" w:sz="8" w:space="0" w:color="auto"/>
              <w:right w:val="single" w:sz="8" w:space="0" w:color="auto"/>
            </w:tcBorders>
            <w:shd w:val="clear" w:color="auto" w:fill="auto"/>
            <w:hideMark/>
          </w:tcPr>
          <w:p w14:paraId="685253BE" w14:textId="77777777" w:rsidR="00BE5022" w:rsidRDefault="00BE5022" w:rsidP="007B58E6">
            <w:pPr>
              <w:jc w:val="both"/>
            </w:pPr>
            <w:r>
              <w:t>4. Maksātnespējas procesa administrator</w:t>
            </w:r>
            <w:r w:rsidR="007B58E6">
              <w:t>a</w:t>
            </w:r>
            <w:r>
              <w:t xml:space="preserve"> atlīdzība gadā, skaits</w:t>
            </w:r>
          </w:p>
        </w:tc>
        <w:tc>
          <w:tcPr>
            <w:tcW w:w="1223" w:type="dxa"/>
            <w:tcBorders>
              <w:top w:val="nil"/>
              <w:left w:val="nil"/>
              <w:bottom w:val="single" w:sz="8" w:space="0" w:color="auto"/>
              <w:right w:val="single" w:sz="8" w:space="0" w:color="auto"/>
            </w:tcBorders>
            <w:shd w:val="clear" w:color="auto" w:fill="auto"/>
            <w:hideMark/>
          </w:tcPr>
          <w:p w14:paraId="39639F2D" w14:textId="77777777" w:rsidR="00BE5022" w:rsidRDefault="00BE5022" w:rsidP="00BB7824">
            <w:pPr>
              <w:jc w:val="center"/>
            </w:pPr>
            <w:r>
              <w:t>35</w:t>
            </w:r>
          </w:p>
        </w:tc>
        <w:tc>
          <w:tcPr>
            <w:tcW w:w="1223" w:type="dxa"/>
            <w:tcBorders>
              <w:top w:val="nil"/>
              <w:left w:val="nil"/>
              <w:bottom w:val="single" w:sz="8" w:space="0" w:color="auto"/>
              <w:right w:val="single" w:sz="8" w:space="0" w:color="auto"/>
            </w:tcBorders>
            <w:shd w:val="clear" w:color="auto" w:fill="auto"/>
            <w:hideMark/>
          </w:tcPr>
          <w:p w14:paraId="3DDE648E" w14:textId="77777777" w:rsidR="00BE5022" w:rsidRDefault="00BE5022" w:rsidP="00BB7824">
            <w:pPr>
              <w:jc w:val="center"/>
            </w:pPr>
            <w:r>
              <w:t>22</w:t>
            </w:r>
          </w:p>
        </w:tc>
        <w:tc>
          <w:tcPr>
            <w:tcW w:w="1223" w:type="dxa"/>
            <w:tcBorders>
              <w:top w:val="nil"/>
              <w:left w:val="nil"/>
              <w:bottom w:val="single" w:sz="8" w:space="0" w:color="auto"/>
              <w:right w:val="single" w:sz="8" w:space="0" w:color="auto"/>
            </w:tcBorders>
            <w:shd w:val="clear" w:color="auto" w:fill="auto"/>
            <w:hideMark/>
          </w:tcPr>
          <w:p w14:paraId="17C461F2" w14:textId="77777777" w:rsidR="00BE5022" w:rsidRDefault="00BE5022" w:rsidP="00BB7824">
            <w:pPr>
              <w:jc w:val="center"/>
            </w:pPr>
            <w:r>
              <w:t>14</w:t>
            </w:r>
          </w:p>
        </w:tc>
      </w:tr>
      <w:tr w:rsidR="00BE5022" w14:paraId="79F8E7E1" w14:textId="77777777" w:rsidTr="00BE5022">
        <w:trPr>
          <w:trHeight w:val="330"/>
        </w:trPr>
        <w:tc>
          <w:tcPr>
            <w:tcW w:w="3091" w:type="dxa"/>
            <w:tcBorders>
              <w:top w:val="nil"/>
              <w:left w:val="single" w:sz="8" w:space="0" w:color="auto"/>
              <w:bottom w:val="single" w:sz="8" w:space="0" w:color="auto"/>
              <w:right w:val="single" w:sz="8" w:space="0" w:color="auto"/>
            </w:tcBorders>
            <w:shd w:val="clear" w:color="auto" w:fill="auto"/>
            <w:hideMark/>
          </w:tcPr>
          <w:p w14:paraId="4795ACE2" w14:textId="77777777" w:rsidR="00BE5022" w:rsidRDefault="00BE5022">
            <w:pPr>
              <w:jc w:val="both"/>
            </w:pPr>
            <w:r>
              <w:t xml:space="preserve">5. Maksimālā summa, </w:t>
            </w:r>
            <w:r>
              <w:rPr>
                <w:i/>
                <w:iCs/>
              </w:rPr>
              <w:t>euro</w:t>
            </w:r>
          </w:p>
        </w:tc>
        <w:tc>
          <w:tcPr>
            <w:tcW w:w="1223" w:type="dxa"/>
            <w:tcBorders>
              <w:top w:val="nil"/>
              <w:left w:val="nil"/>
              <w:bottom w:val="single" w:sz="8" w:space="0" w:color="auto"/>
              <w:right w:val="single" w:sz="8" w:space="0" w:color="auto"/>
            </w:tcBorders>
            <w:shd w:val="clear" w:color="auto" w:fill="auto"/>
            <w:hideMark/>
          </w:tcPr>
          <w:p w14:paraId="54163A02" w14:textId="77777777" w:rsidR="00BE5022" w:rsidRDefault="00BE5022" w:rsidP="00BB7824">
            <w:pPr>
              <w:jc w:val="center"/>
            </w:pPr>
            <w:r>
              <w:t>569</w:t>
            </w:r>
          </w:p>
        </w:tc>
        <w:tc>
          <w:tcPr>
            <w:tcW w:w="1223" w:type="dxa"/>
            <w:tcBorders>
              <w:top w:val="nil"/>
              <w:left w:val="nil"/>
              <w:bottom w:val="single" w:sz="8" w:space="0" w:color="auto"/>
              <w:right w:val="single" w:sz="8" w:space="0" w:color="auto"/>
            </w:tcBorders>
            <w:shd w:val="clear" w:color="auto" w:fill="auto"/>
            <w:hideMark/>
          </w:tcPr>
          <w:p w14:paraId="73BC4BBF" w14:textId="77777777" w:rsidR="00BE5022" w:rsidRDefault="00BE5022" w:rsidP="00BB7824">
            <w:pPr>
              <w:jc w:val="center"/>
            </w:pPr>
            <w:r>
              <w:t>569</w:t>
            </w:r>
          </w:p>
        </w:tc>
        <w:tc>
          <w:tcPr>
            <w:tcW w:w="1223" w:type="dxa"/>
            <w:tcBorders>
              <w:top w:val="nil"/>
              <w:left w:val="nil"/>
              <w:bottom w:val="single" w:sz="8" w:space="0" w:color="auto"/>
              <w:right w:val="single" w:sz="8" w:space="0" w:color="auto"/>
            </w:tcBorders>
            <w:shd w:val="clear" w:color="auto" w:fill="auto"/>
            <w:hideMark/>
          </w:tcPr>
          <w:p w14:paraId="19B2C33E" w14:textId="77777777" w:rsidR="00BE5022" w:rsidRDefault="00BE5022" w:rsidP="00BB7824">
            <w:pPr>
              <w:jc w:val="center"/>
            </w:pPr>
            <w:r>
              <w:t>569</w:t>
            </w:r>
          </w:p>
        </w:tc>
      </w:tr>
      <w:tr w:rsidR="00BE5022" w14:paraId="1667A2E9" w14:textId="77777777" w:rsidTr="00BE5022">
        <w:trPr>
          <w:trHeight w:val="330"/>
        </w:trPr>
        <w:tc>
          <w:tcPr>
            <w:tcW w:w="3091" w:type="dxa"/>
            <w:tcBorders>
              <w:top w:val="nil"/>
              <w:left w:val="single" w:sz="8" w:space="0" w:color="auto"/>
              <w:bottom w:val="single" w:sz="8" w:space="0" w:color="auto"/>
              <w:right w:val="single" w:sz="8" w:space="0" w:color="auto"/>
            </w:tcBorders>
            <w:shd w:val="clear" w:color="auto" w:fill="auto"/>
            <w:hideMark/>
          </w:tcPr>
          <w:p w14:paraId="5CE49215" w14:textId="77777777" w:rsidR="00BE5022" w:rsidRDefault="00BE5022" w:rsidP="007B58E6">
            <w:pPr>
              <w:jc w:val="both"/>
            </w:pPr>
            <w:r>
              <w:t xml:space="preserve">6. </w:t>
            </w:r>
            <w:r w:rsidR="007B58E6">
              <w:t>Maksātnespējas procesa administratora atlīdzību s</w:t>
            </w:r>
            <w:r>
              <w:t>umma</w:t>
            </w:r>
            <w:r w:rsidR="007B58E6">
              <w:t xml:space="preserve"> gadā</w:t>
            </w:r>
            <w:r>
              <w:t xml:space="preserve">, </w:t>
            </w:r>
            <w:r>
              <w:rPr>
                <w:i/>
                <w:iCs/>
              </w:rPr>
              <w:t>euro</w:t>
            </w:r>
          </w:p>
        </w:tc>
        <w:tc>
          <w:tcPr>
            <w:tcW w:w="1223" w:type="dxa"/>
            <w:tcBorders>
              <w:top w:val="nil"/>
              <w:left w:val="nil"/>
              <w:bottom w:val="single" w:sz="8" w:space="0" w:color="auto"/>
              <w:right w:val="single" w:sz="8" w:space="0" w:color="auto"/>
            </w:tcBorders>
            <w:shd w:val="clear" w:color="auto" w:fill="auto"/>
            <w:hideMark/>
          </w:tcPr>
          <w:p w14:paraId="47C50678" w14:textId="77777777" w:rsidR="00BE5022" w:rsidRDefault="00BE5022" w:rsidP="00BB7824">
            <w:pPr>
              <w:jc w:val="center"/>
            </w:pPr>
            <w:r>
              <w:t>19 915</w:t>
            </w:r>
          </w:p>
        </w:tc>
        <w:tc>
          <w:tcPr>
            <w:tcW w:w="1223" w:type="dxa"/>
            <w:tcBorders>
              <w:top w:val="nil"/>
              <w:left w:val="nil"/>
              <w:bottom w:val="single" w:sz="8" w:space="0" w:color="auto"/>
              <w:right w:val="single" w:sz="8" w:space="0" w:color="auto"/>
            </w:tcBorders>
            <w:shd w:val="clear" w:color="auto" w:fill="auto"/>
            <w:hideMark/>
          </w:tcPr>
          <w:p w14:paraId="6C961770" w14:textId="77777777" w:rsidR="00BE5022" w:rsidRDefault="00BE5022" w:rsidP="00BB7824">
            <w:pPr>
              <w:jc w:val="center"/>
            </w:pPr>
            <w:r>
              <w:t>12 518</w:t>
            </w:r>
          </w:p>
        </w:tc>
        <w:tc>
          <w:tcPr>
            <w:tcW w:w="1223" w:type="dxa"/>
            <w:tcBorders>
              <w:top w:val="nil"/>
              <w:left w:val="nil"/>
              <w:bottom w:val="single" w:sz="8" w:space="0" w:color="auto"/>
              <w:right w:val="single" w:sz="8" w:space="0" w:color="auto"/>
            </w:tcBorders>
            <w:shd w:val="clear" w:color="auto" w:fill="auto"/>
            <w:hideMark/>
          </w:tcPr>
          <w:p w14:paraId="550E0877" w14:textId="77777777" w:rsidR="00BE5022" w:rsidRDefault="00BE5022" w:rsidP="00BB7824">
            <w:pPr>
              <w:jc w:val="center"/>
            </w:pPr>
            <w:r>
              <w:t>7 966</w:t>
            </w:r>
          </w:p>
        </w:tc>
      </w:tr>
      <w:tr w:rsidR="00BE5022" w14:paraId="1D8D53E4" w14:textId="77777777" w:rsidTr="00BE5022">
        <w:trPr>
          <w:trHeight w:val="330"/>
        </w:trPr>
        <w:tc>
          <w:tcPr>
            <w:tcW w:w="3091" w:type="dxa"/>
            <w:tcBorders>
              <w:top w:val="nil"/>
              <w:left w:val="single" w:sz="8" w:space="0" w:color="auto"/>
              <w:bottom w:val="single" w:sz="8" w:space="0" w:color="auto"/>
              <w:right w:val="single" w:sz="8" w:space="0" w:color="auto"/>
            </w:tcBorders>
            <w:shd w:val="clear" w:color="auto" w:fill="auto"/>
            <w:hideMark/>
          </w:tcPr>
          <w:p w14:paraId="20E18AC8" w14:textId="77777777" w:rsidR="00BE5022" w:rsidRDefault="00BE5022">
            <w:pPr>
              <w:jc w:val="both"/>
              <w:rPr>
                <w:b/>
                <w:bCs/>
              </w:rPr>
            </w:pPr>
            <w:r>
              <w:rPr>
                <w:b/>
                <w:bCs/>
              </w:rPr>
              <w:t>7. Kopā (3 + 6 )</w:t>
            </w:r>
          </w:p>
        </w:tc>
        <w:tc>
          <w:tcPr>
            <w:tcW w:w="1223" w:type="dxa"/>
            <w:tcBorders>
              <w:top w:val="nil"/>
              <w:left w:val="nil"/>
              <w:bottom w:val="single" w:sz="8" w:space="0" w:color="auto"/>
              <w:right w:val="single" w:sz="8" w:space="0" w:color="auto"/>
            </w:tcBorders>
            <w:shd w:val="clear" w:color="auto" w:fill="auto"/>
            <w:hideMark/>
          </w:tcPr>
          <w:p w14:paraId="0795CEBC" w14:textId="77777777" w:rsidR="00BE5022" w:rsidRDefault="00BE5022" w:rsidP="00BB7824">
            <w:pPr>
              <w:jc w:val="center"/>
              <w:rPr>
                <w:b/>
                <w:bCs/>
              </w:rPr>
            </w:pPr>
            <w:r>
              <w:rPr>
                <w:b/>
                <w:bCs/>
              </w:rPr>
              <w:t>20 625</w:t>
            </w:r>
          </w:p>
        </w:tc>
        <w:tc>
          <w:tcPr>
            <w:tcW w:w="1223" w:type="dxa"/>
            <w:tcBorders>
              <w:top w:val="nil"/>
              <w:left w:val="nil"/>
              <w:bottom w:val="single" w:sz="8" w:space="0" w:color="auto"/>
              <w:right w:val="single" w:sz="8" w:space="0" w:color="auto"/>
            </w:tcBorders>
            <w:shd w:val="clear" w:color="auto" w:fill="auto"/>
            <w:hideMark/>
          </w:tcPr>
          <w:p w14:paraId="1928BEFE" w14:textId="77777777" w:rsidR="00BE5022" w:rsidRDefault="00BE5022" w:rsidP="00BB7824">
            <w:pPr>
              <w:jc w:val="center"/>
              <w:rPr>
                <w:b/>
                <w:bCs/>
              </w:rPr>
            </w:pPr>
            <w:r>
              <w:rPr>
                <w:b/>
                <w:bCs/>
              </w:rPr>
              <w:t>13 086</w:t>
            </w:r>
          </w:p>
        </w:tc>
        <w:tc>
          <w:tcPr>
            <w:tcW w:w="1223" w:type="dxa"/>
            <w:tcBorders>
              <w:top w:val="nil"/>
              <w:left w:val="nil"/>
              <w:bottom w:val="single" w:sz="8" w:space="0" w:color="auto"/>
              <w:right w:val="single" w:sz="8" w:space="0" w:color="auto"/>
            </w:tcBorders>
            <w:shd w:val="clear" w:color="auto" w:fill="auto"/>
            <w:hideMark/>
          </w:tcPr>
          <w:p w14:paraId="4B33CEB2" w14:textId="77777777" w:rsidR="00BE5022" w:rsidRDefault="00BE5022" w:rsidP="00BB7824">
            <w:pPr>
              <w:jc w:val="center"/>
              <w:rPr>
                <w:b/>
                <w:bCs/>
              </w:rPr>
            </w:pPr>
            <w:r>
              <w:rPr>
                <w:b/>
                <w:bCs/>
              </w:rPr>
              <w:t>8 392</w:t>
            </w:r>
          </w:p>
        </w:tc>
      </w:tr>
    </w:tbl>
    <w:p w14:paraId="51D80168" w14:textId="77777777" w:rsidR="00C02CAA" w:rsidRPr="001E23E1" w:rsidRDefault="00C02CAA" w:rsidP="008146B6">
      <w:pPr>
        <w:jc w:val="right"/>
        <w:rPr>
          <w:sz w:val="20"/>
          <w:szCs w:val="20"/>
        </w:rPr>
      </w:pPr>
    </w:p>
    <w:p w14:paraId="66BAD9BB" w14:textId="77777777" w:rsidR="00C02CAA" w:rsidRPr="007D0A59" w:rsidRDefault="00C02CAA" w:rsidP="007D0A59">
      <w:pPr>
        <w:ind w:firstLine="720"/>
        <w:jc w:val="both"/>
        <w:rPr>
          <w:bCs/>
        </w:rPr>
      </w:pPr>
      <w:r w:rsidRPr="007D0A59">
        <w:t>17.tabulā norādītie izdevumi maksātnespējas procesa izmaksām plānoti, pieņemot, ka tie varētu tikt p</w:t>
      </w:r>
      <w:r w:rsidR="00566722" w:rsidRPr="007D0A59">
        <w:t>ie</w:t>
      </w:r>
      <w:r w:rsidRPr="007D0A59">
        <w:t xml:space="preserve">prasīti tikai </w:t>
      </w:r>
      <w:r w:rsidRPr="007D0A59">
        <w:rPr>
          <w:bCs/>
        </w:rPr>
        <w:t>pie noteiktiem apstākļiem, piemēram, pie administratora maiņas</w:t>
      </w:r>
      <w:r w:rsidR="00566722" w:rsidRPr="007D0A59">
        <w:rPr>
          <w:bCs/>
        </w:rPr>
        <w:t>,</w:t>
      </w:r>
      <w:r w:rsidRPr="007D0A59">
        <w:rPr>
          <w:bCs/>
        </w:rPr>
        <w:t xml:space="preserve"> vai, ja izdevumi ir segti, administrators saskaņā ar normatīvo regulējumu tos ir atmaksājis Maksātnespējas administrācijai un tagad </w:t>
      </w:r>
      <w:r w:rsidR="00566722" w:rsidRPr="007D0A59">
        <w:rPr>
          <w:bCs/>
        </w:rPr>
        <w:t>pie</w:t>
      </w:r>
      <w:r w:rsidRPr="007D0A59">
        <w:rPr>
          <w:bCs/>
        </w:rPr>
        <w:t xml:space="preserve">prasa atkārtoti. Savukārt administratora atlīdzība ieplānota maksimālajā apmērā </w:t>
      </w:r>
      <w:r w:rsidR="006D7488" w:rsidRPr="007D0A59">
        <w:rPr>
          <w:bCs/>
        </w:rPr>
        <w:t>55</w:t>
      </w:r>
      <w:r w:rsidR="00566722" w:rsidRPr="007D0A59">
        <w:rPr>
          <w:bCs/>
        </w:rPr>
        <w:t xml:space="preserve"> procenti</w:t>
      </w:r>
      <w:r w:rsidRPr="007D0A59">
        <w:rPr>
          <w:bCs/>
        </w:rPr>
        <w:t xml:space="preserve"> no</w:t>
      </w:r>
      <w:r w:rsidR="000B33BC" w:rsidRPr="007D0A59">
        <w:rPr>
          <w:bCs/>
        </w:rPr>
        <w:t xml:space="preserve"> </w:t>
      </w:r>
      <w:r w:rsidRPr="007D0A59">
        <w:rPr>
          <w:bCs/>
        </w:rPr>
        <w:t>attiecīgajā gadā pabeigtajiem procesiem.</w:t>
      </w:r>
    </w:p>
    <w:p w14:paraId="293FCACE" w14:textId="77777777" w:rsidR="00C02CAA" w:rsidRPr="007D0A59" w:rsidRDefault="00C02CAA" w:rsidP="007D0A59">
      <w:pPr>
        <w:tabs>
          <w:tab w:val="left" w:pos="720"/>
        </w:tabs>
        <w:ind w:firstLine="720"/>
        <w:jc w:val="both"/>
      </w:pPr>
      <w:r w:rsidRPr="007D0A59">
        <w:t>Ieņēmumu daļā šai apakšprogrammai ieņēmumus no URVN</w:t>
      </w:r>
      <w:r w:rsidR="006D7488" w:rsidRPr="007D0A59">
        <w:t xml:space="preserve"> </w:t>
      </w:r>
      <w:r w:rsidRPr="007D0A59">
        <w:t>nav nepieciešams plānot. Uz 201</w:t>
      </w:r>
      <w:r w:rsidR="00515EEB" w:rsidRPr="007D0A59">
        <w:t>6</w:t>
      </w:r>
      <w:r w:rsidRPr="007D0A59">
        <w:t xml:space="preserve">.gada 1.janvāri šīs apakšprogrammas atlikums </w:t>
      </w:r>
      <w:r w:rsidR="001E1225" w:rsidRPr="007D0A59">
        <w:t>bija</w:t>
      </w:r>
      <w:r w:rsidRPr="007D0A59">
        <w:t xml:space="preserve"> </w:t>
      </w:r>
      <w:r w:rsidR="00515EEB" w:rsidRPr="007D0A59">
        <w:t xml:space="preserve">897 989 </w:t>
      </w:r>
      <w:r w:rsidRPr="007D0A59">
        <w:rPr>
          <w:i/>
        </w:rPr>
        <w:t>euro</w:t>
      </w:r>
      <w:r w:rsidRPr="007D0A59">
        <w:t xml:space="preserve">, </w:t>
      </w:r>
      <w:r w:rsidR="001E1225" w:rsidRPr="007D0A59">
        <w:t xml:space="preserve">un </w:t>
      </w:r>
      <w:r w:rsidR="0019219B" w:rsidRPr="007D0A59">
        <w:t xml:space="preserve">saskaņā ar </w:t>
      </w:r>
      <w:r w:rsidR="00566722" w:rsidRPr="007D0A59">
        <w:t>i</w:t>
      </w:r>
      <w:r w:rsidR="0019219B" w:rsidRPr="007D0A59">
        <w:t>nformatīvo ziņojumu 2016.</w:t>
      </w:r>
      <w:r w:rsidR="006371DE">
        <w:t>–</w:t>
      </w:r>
      <w:r w:rsidR="0019219B" w:rsidRPr="007D0A59">
        <w:t>2018.gadam</w:t>
      </w:r>
      <w:r w:rsidR="00566722" w:rsidRPr="007D0A59">
        <w:t>,</w:t>
      </w:r>
      <w:r w:rsidR="0019219B" w:rsidRPr="007D0A59">
        <w:t xml:space="preserve"> </w:t>
      </w:r>
      <w:r w:rsidR="001E1225" w:rsidRPr="007D0A59">
        <w:t>sākot no 2016.gada šo apakšprogrammu finansē no atgūtajiem līdzekļiem un iepriekšējo gadu atlikuma, piemēram</w:t>
      </w:r>
      <w:r w:rsidR="004574EB" w:rsidRPr="007D0A59">
        <w:t>,</w:t>
      </w:r>
      <w:r w:rsidR="001E1225" w:rsidRPr="007D0A59">
        <w:t xml:space="preserve"> </w:t>
      </w:r>
      <w:r w:rsidRPr="007D0A59">
        <w:t>201</w:t>
      </w:r>
      <w:r w:rsidR="00515EEB" w:rsidRPr="007D0A59">
        <w:t>6</w:t>
      </w:r>
      <w:r w:rsidRPr="007D0A59">
        <w:t xml:space="preserve">.gadā </w:t>
      </w:r>
      <w:r w:rsidR="00515EEB" w:rsidRPr="007D0A59">
        <w:t xml:space="preserve">no šī atlikuma apakšprogrammai tiek novirzīti 93 720 </w:t>
      </w:r>
      <w:r w:rsidR="00515EEB" w:rsidRPr="007D0A59">
        <w:rPr>
          <w:i/>
        </w:rPr>
        <w:t>euro</w:t>
      </w:r>
      <w:r w:rsidR="001E1225" w:rsidRPr="007D0A59">
        <w:t>.</w:t>
      </w:r>
      <w:r w:rsidR="00515EEB" w:rsidRPr="007D0A59">
        <w:t xml:space="preserve"> </w:t>
      </w:r>
      <w:r w:rsidRPr="007D0A59">
        <w:t>Ieņēmumu daļā plānoti atgūtie līdzekļi, ko maksātnespējas procesa administratoriem saskaņā ar normatīvo regulējumu ir pienākums atmaksāt Maksātnespējas administrācijai. Sakarā ar to, ka šai apakšprogrammai piesaistīto maksātnespējīgo uzņēmumu, kuriem segti maksātnespējas procesa izdevumi, skaits tikai samazināsies, atgūtie līdzekļi prognozēti ar lejupejošu tendenci:</w:t>
      </w:r>
      <w:r w:rsidR="00A10823" w:rsidRPr="007D0A59">
        <w:t xml:space="preserve"> </w:t>
      </w:r>
      <w:r w:rsidRPr="007D0A59">
        <w:t>201</w:t>
      </w:r>
      <w:r w:rsidR="00A10823" w:rsidRPr="007D0A59">
        <w:t>7</w:t>
      </w:r>
      <w:r w:rsidRPr="007D0A59">
        <w:t>.gadā</w:t>
      </w:r>
      <w:r w:rsidR="00A10823" w:rsidRPr="007D0A59">
        <w:t xml:space="preserve"> </w:t>
      </w:r>
      <w:r w:rsidRPr="007D0A59">
        <w:t>–</w:t>
      </w:r>
      <w:r w:rsidR="00A10823" w:rsidRPr="007D0A59">
        <w:t xml:space="preserve"> </w:t>
      </w:r>
      <w:r w:rsidR="00BA675B" w:rsidRPr="007D0A59">
        <w:t>1 5</w:t>
      </w:r>
      <w:r w:rsidRPr="007D0A59">
        <w:t xml:space="preserve">00 </w:t>
      </w:r>
      <w:r w:rsidRPr="007D0A59">
        <w:rPr>
          <w:i/>
        </w:rPr>
        <w:t>euro</w:t>
      </w:r>
      <w:r w:rsidRPr="007D0A59">
        <w:t>; 201</w:t>
      </w:r>
      <w:r w:rsidR="000E78BA" w:rsidRPr="007D0A59">
        <w:t>8</w:t>
      </w:r>
      <w:r w:rsidRPr="007D0A59">
        <w:t xml:space="preserve">.gadā – </w:t>
      </w:r>
      <w:r w:rsidR="00BA675B" w:rsidRPr="007D0A59">
        <w:t>1</w:t>
      </w:r>
      <w:r w:rsidR="00A10823" w:rsidRPr="007D0A59">
        <w:t xml:space="preserve"> </w:t>
      </w:r>
      <w:r w:rsidR="00BA675B" w:rsidRPr="007D0A59">
        <w:t>0</w:t>
      </w:r>
      <w:r w:rsidRPr="007D0A59">
        <w:t xml:space="preserve">00 </w:t>
      </w:r>
      <w:r w:rsidRPr="007D0A59">
        <w:rPr>
          <w:i/>
        </w:rPr>
        <w:t>euro</w:t>
      </w:r>
      <w:r w:rsidRPr="007D0A59">
        <w:t>; 201</w:t>
      </w:r>
      <w:r w:rsidR="000E78BA" w:rsidRPr="007D0A59">
        <w:t>9</w:t>
      </w:r>
      <w:r w:rsidRPr="007D0A59">
        <w:t xml:space="preserve">.gadā – </w:t>
      </w:r>
      <w:r w:rsidR="00BA675B" w:rsidRPr="007D0A59">
        <w:t>5</w:t>
      </w:r>
      <w:r w:rsidRPr="007D0A59">
        <w:t xml:space="preserve">00 </w:t>
      </w:r>
      <w:r w:rsidRPr="007D0A59">
        <w:rPr>
          <w:i/>
        </w:rPr>
        <w:t>euro</w:t>
      </w:r>
      <w:r w:rsidRPr="007D0A59">
        <w:t>.</w:t>
      </w:r>
    </w:p>
    <w:p w14:paraId="0F53FB95" w14:textId="77777777" w:rsidR="00C02CAA" w:rsidRPr="007D0A59" w:rsidRDefault="000A3FB9" w:rsidP="007D0A59">
      <w:pPr>
        <w:ind w:firstLine="720"/>
        <w:jc w:val="both"/>
      </w:pPr>
      <w:r w:rsidRPr="007D0A59">
        <w:t xml:space="preserve">Juridiskās personas maksātnespējas procesa depozīta izmaksai, ja darbinieks atbrīvots no depozīta iemaksas, summa plānota, balstoties uz līdzšinējo statistiku un </w:t>
      </w:r>
      <w:r w:rsidR="009B2409" w:rsidRPr="007D0A59">
        <w:t xml:space="preserve">ņemot vērā prognozēto minimālās algas pieaugumu (kas ietekmē depozīta apmēru) par 10 </w:t>
      </w:r>
      <w:r w:rsidR="009B2409" w:rsidRPr="007D0A59">
        <w:rPr>
          <w:i/>
        </w:rPr>
        <w:t xml:space="preserve">euro </w:t>
      </w:r>
      <w:r w:rsidR="009B2409" w:rsidRPr="007D0A59">
        <w:t xml:space="preserve">gadā (2017.gadā </w:t>
      </w:r>
      <w:r w:rsidR="006371DE">
        <w:t>–</w:t>
      </w:r>
      <w:r w:rsidR="009B2409" w:rsidRPr="007D0A59">
        <w:t xml:space="preserve"> 380 </w:t>
      </w:r>
      <w:r w:rsidR="009B2409" w:rsidRPr="007D0A59">
        <w:rPr>
          <w:i/>
        </w:rPr>
        <w:t>euro</w:t>
      </w:r>
      <w:r w:rsidR="009B2409" w:rsidRPr="007D0A59">
        <w:t xml:space="preserve">; 2018.gadā </w:t>
      </w:r>
      <w:r w:rsidR="006371DE">
        <w:t>–</w:t>
      </w:r>
      <w:r w:rsidR="009B2409" w:rsidRPr="007D0A59">
        <w:t xml:space="preserve"> 390 </w:t>
      </w:r>
      <w:r w:rsidR="009B2409" w:rsidRPr="007D0A59">
        <w:rPr>
          <w:i/>
        </w:rPr>
        <w:t>euro</w:t>
      </w:r>
      <w:r w:rsidR="009B2409" w:rsidRPr="007D0A59">
        <w:t xml:space="preserve"> un 2019.gadā </w:t>
      </w:r>
      <w:r w:rsidR="006371DE">
        <w:t>–</w:t>
      </w:r>
      <w:r w:rsidR="009B2409" w:rsidRPr="007D0A59">
        <w:t xml:space="preserve"> 400 </w:t>
      </w:r>
      <w:r w:rsidR="009B2409" w:rsidRPr="007D0A59">
        <w:rPr>
          <w:i/>
        </w:rPr>
        <w:t>euro</w:t>
      </w:r>
      <w:r w:rsidR="009B2409" w:rsidRPr="007D0A59">
        <w:t>)</w:t>
      </w:r>
      <w:r w:rsidRPr="007D0A59">
        <w:t>.</w:t>
      </w:r>
    </w:p>
    <w:p w14:paraId="23E74631" w14:textId="77777777" w:rsidR="00C02CAA" w:rsidRPr="007D0A59" w:rsidRDefault="00C02CAA" w:rsidP="007D0A59">
      <w:pPr>
        <w:ind w:firstLine="720"/>
        <w:jc w:val="both"/>
      </w:pPr>
      <w:r w:rsidRPr="007D0A59">
        <w:t>Apkopojot šajā nodaļā sniegto informāciju, plānotais ieņēmumu un izdevumu apmērs apakšprogrammai „Maksātnespējas procesa izmaksas” 201</w:t>
      </w:r>
      <w:r w:rsidR="00827459" w:rsidRPr="007D0A59">
        <w:t>7</w:t>
      </w:r>
      <w:r w:rsidRPr="007D0A59">
        <w:t>.</w:t>
      </w:r>
      <w:r w:rsidR="006371DE">
        <w:t>–</w:t>
      </w:r>
      <w:r w:rsidRPr="007D0A59">
        <w:t>201</w:t>
      </w:r>
      <w:r w:rsidR="00827459" w:rsidRPr="007D0A59">
        <w:t>9</w:t>
      </w:r>
      <w:r w:rsidRPr="007D0A59">
        <w:t>.gadā ir šāds (skatīt 18.tabulu):</w:t>
      </w:r>
    </w:p>
    <w:p w14:paraId="7A7C8F14" w14:textId="77777777" w:rsidR="00C02CAA" w:rsidRPr="001E23E1" w:rsidRDefault="00C02CAA" w:rsidP="00F57702">
      <w:pPr>
        <w:ind w:firstLine="720"/>
        <w:jc w:val="both"/>
        <w:rPr>
          <w:sz w:val="28"/>
          <w:szCs w:val="28"/>
        </w:rPr>
      </w:pPr>
    </w:p>
    <w:p w14:paraId="1789E4D5" w14:textId="77777777" w:rsidR="00C02CAA" w:rsidRPr="007D0A59" w:rsidRDefault="00C02CAA" w:rsidP="00F57702">
      <w:pPr>
        <w:tabs>
          <w:tab w:val="left" w:pos="720"/>
        </w:tabs>
        <w:jc w:val="right"/>
      </w:pPr>
      <w:r w:rsidRPr="007D0A59">
        <w:t>18.tabula</w:t>
      </w:r>
    </w:p>
    <w:p w14:paraId="201C8EE1" w14:textId="77777777" w:rsidR="00C02CAA" w:rsidRPr="007D0A59" w:rsidRDefault="00C02CAA" w:rsidP="00F57702">
      <w:pPr>
        <w:tabs>
          <w:tab w:val="left" w:pos="720"/>
        </w:tabs>
        <w:jc w:val="right"/>
        <w:rPr>
          <w:b/>
        </w:rPr>
      </w:pPr>
    </w:p>
    <w:p w14:paraId="02A21CDE" w14:textId="77777777" w:rsidR="00C02CAA" w:rsidRPr="007D0A59" w:rsidRDefault="00C02CAA" w:rsidP="007D0A59">
      <w:pPr>
        <w:jc w:val="center"/>
        <w:rPr>
          <w:b/>
        </w:rPr>
      </w:pPr>
      <w:r w:rsidRPr="007D0A59">
        <w:rPr>
          <w:b/>
        </w:rPr>
        <w:t>Plānotie ieņēmumi (atgūtie līdzekļi), izdevumi un nepieciešamais finansējums no uzkrātā atlikuma 201</w:t>
      </w:r>
      <w:r w:rsidR="00827459" w:rsidRPr="007D0A59">
        <w:rPr>
          <w:b/>
        </w:rPr>
        <w:t>7</w:t>
      </w:r>
      <w:r w:rsidRPr="007D0A59">
        <w:rPr>
          <w:b/>
        </w:rPr>
        <w:t>.</w:t>
      </w:r>
      <w:r w:rsidR="006371DE">
        <w:rPr>
          <w:b/>
        </w:rPr>
        <w:t>–</w:t>
      </w:r>
      <w:r w:rsidRPr="007D0A59">
        <w:rPr>
          <w:b/>
        </w:rPr>
        <w:t>201</w:t>
      </w:r>
      <w:r w:rsidR="00827459" w:rsidRPr="007D0A59">
        <w:rPr>
          <w:b/>
        </w:rPr>
        <w:t>9</w:t>
      </w:r>
      <w:r w:rsidRPr="007D0A59">
        <w:rPr>
          <w:b/>
        </w:rPr>
        <w:t>.gadā apakšprogrammai „Maksātnespējas procesa izmaksas”</w:t>
      </w:r>
    </w:p>
    <w:p w14:paraId="203A1CEF" w14:textId="77777777" w:rsidR="00C02CAA" w:rsidRPr="001E23E1" w:rsidRDefault="00C02CAA" w:rsidP="00F57702">
      <w:pPr>
        <w:ind w:firstLine="720"/>
        <w:jc w:val="center"/>
        <w:rPr>
          <w:b/>
          <w:sz w:val="28"/>
          <w:szCs w:val="28"/>
        </w:rPr>
      </w:pPr>
    </w:p>
    <w:tbl>
      <w:tblPr>
        <w:tblW w:w="8380" w:type="dxa"/>
        <w:jc w:val="center"/>
        <w:tblLook w:val="0000" w:firstRow="0" w:lastRow="0" w:firstColumn="0" w:lastColumn="0" w:noHBand="0" w:noVBand="0"/>
      </w:tblPr>
      <w:tblGrid>
        <w:gridCol w:w="4780"/>
        <w:gridCol w:w="1223"/>
        <w:gridCol w:w="1223"/>
        <w:gridCol w:w="1223"/>
      </w:tblGrid>
      <w:tr w:rsidR="00C02CAA" w:rsidRPr="001E23E1" w14:paraId="61A1FE02" w14:textId="77777777">
        <w:trPr>
          <w:trHeight w:val="645"/>
          <w:jc w:val="center"/>
        </w:trPr>
        <w:tc>
          <w:tcPr>
            <w:tcW w:w="4780" w:type="dxa"/>
            <w:tcBorders>
              <w:top w:val="single" w:sz="8" w:space="0" w:color="auto"/>
              <w:left w:val="single" w:sz="8" w:space="0" w:color="auto"/>
              <w:bottom w:val="single" w:sz="8" w:space="0" w:color="auto"/>
              <w:right w:val="single" w:sz="8" w:space="0" w:color="auto"/>
            </w:tcBorders>
            <w:noWrap/>
            <w:vAlign w:val="bottom"/>
          </w:tcPr>
          <w:p w14:paraId="7074BDB6" w14:textId="77777777" w:rsidR="00C02CAA" w:rsidRPr="001E23E1" w:rsidRDefault="00C02CAA">
            <w:pPr>
              <w:rPr>
                <w:rFonts w:ascii="Arial" w:hAnsi="Arial" w:cs="Arial"/>
                <w:sz w:val="20"/>
                <w:szCs w:val="20"/>
              </w:rPr>
            </w:pPr>
            <w:r w:rsidRPr="001E23E1">
              <w:rPr>
                <w:rFonts w:ascii="Arial" w:hAnsi="Arial" w:cs="Arial"/>
                <w:sz w:val="20"/>
                <w:szCs w:val="20"/>
              </w:rPr>
              <w:t> </w:t>
            </w:r>
          </w:p>
        </w:tc>
        <w:tc>
          <w:tcPr>
            <w:tcW w:w="1180" w:type="dxa"/>
            <w:tcBorders>
              <w:top w:val="single" w:sz="8" w:space="0" w:color="auto"/>
              <w:left w:val="nil"/>
              <w:bottom w:val="single" w:sz="8" w:space="0" w:color="auto"/>
              <w:right w:val="single" w:sz="8" w:space="0" w:color="auto"/>
            </w:tcBorders>
          </w:tcPr>
          <w:p w14:paraId="499EEB7F" w14:textId="77777777" w:rsidR="00C02CAA" w:rsidRPr="001E23E1" w:rsidRDefault="00C02CAA" w:rsidP="007D0A59">
            <w:pPr>
              <w:jc w:val="center"/>
              <w:rPr>
                <w:b/>
                <w:bCs/>
              </w:rPr>
            </w:pPr>
            <w:r w:rsidRPr="001E23E1">
              <w:rPr>
                <w:b/>
                <w:bCs/>
              </w:rPr>
              <w:t>201</w:t>
            </w:r>
            <w:r w:rsidR="00827459">
              <w:rPr>
                <w:b/>
                <w:bCs/>
              </w:rPr>
              <w:t>7</w:t>
            </w:r>
            <w:r w:rsidRPr="001E23E1">
              <w:rPr>
                <w:b/>
                <w:bCs/>
              </w:rPr>
              <w:t>.gads</w:t>
            </w:r>
          </w:p>
        </w:tc>
        <w:tc>
          <w:tcPr>
            <w:tcW w:w="1200" w:type="dxa"/>
            <w:tcBorders>
              <w:top w:val="single" w:sz="8" w:space="0" w:color="auto"/>
              <w:left w:val="nil"/>
              <w:bottom w:val="single" w:sz="8" w:space="0" w:color="auto"/>
              <w:right w:val="single" w:sz="8" w:space="0" w:color="auto"/>
            </w:tcBorders>
          </w:tcPr>
          <w:p w14:paraId="70BD550E" w14:textId="77777777" w:rsidR="00C02CAA" w:rsidRPr="001E23E1" w:rsidRDefault="00C02CAA" w:rsidP="007D0A59">
            <w:pPr>
              <w:jc w:val="center"/>
              <w:rPr>
                <w:b/>
                <w:bCs/>
              </w:rPr>
            </w:pPr>
            <w:r w:rsidRPr="001E23E1">
              <w:rPr>
                <w:b/>
                <w:bCs/>
              </w:rPr>
              <w:t>201</w:t>
            </w:r>
            <w:r w:rsidR="00827459">
              <w:rPr>
                <w:b/>
                <w:bCs/>
              </w:rPr>
              <w:t>8</w:t>
            </w:r>
            <w:r w:rsidRPr="001E23E1">
              <w:rPr>
                <w:b/>
                <w:bCs/>
              </w:rPr>
              <w:t>.gads</w:t>
            </w:r>
          </w:p>
        </w:tc>
        <w:tc>
          <w:tcPr>
            <w:tcW w:w="1220" w:type="dxa"/>
            <w:tcBorders>
              <w:top w:val="single" w:sz="8" w:space="0" w:color="auto"/>
              <w:left w:val="nil"/>
              <w:bottom w:val="single" w:sz="8" w:space="0" w:color="auto"/>
              <w:right w:val="single" w:sz="8" w:space="0" w:color="auto"/>
            </w:tcBorders>
          </w:tcPr>
          <w:p w14:paraId="2A74E5D6" w14:textId="77777777" w:rsidR="00C02CAA" w:rsidRPr="001E23E1" w:rsidRDefault="00C02CAA" w:rsidP="007D0A59">
            <w:pPr>
              <w:jc w:val="center"/>
              <w:rPr>
                <w:b/>
                <w:bCs/>
              </w:rPr>
            </w:pPr>
            <w:r w:rsidRPr="001E23E1">
              <w:rPr>
                <w:b/>
                <w:bCs/>
              </w:rPr>
              <w:t>201</w:t>
            </w:r>
            <w:r w:rsidR="00827459">
              <w:rPr>
                <w:b/>
                <w:bCs/>
              </w:rPr>
              <w:t>9</w:t>
            </w:r>
            <w:r w:rsidRPr="001E23E1">
              <w:rPr>
                <w:b/>
                <w:bCs/>
              </w:rPr>
              <w:t>.gads</w:t>
            </w:r>
          </w:p>
        </w:tc>
      </w:tr>
      <w:tr w:rsidR="00C02CAA" w:rsidRPr="001E23E1" w14:paraId="2CB9351F" w14:textId="77777777">
        <w:trPr>
          <w:trHeight w:val="330"/>
          <w:jc w:val="center"/>
        </w:trPr>
        <w:tc>
          <w:tcPr>
            <w:tcW w:w="4780" w:type="dxa"/>
            <w:tcBorders>
              <w:top w:val="nil"/>
              <w:left w:val="single" w:sz="8" w:space="0" w:color="auto"/>
              <w:bottom w:val="single" w:sz="8" w:space="0" w:color="auto"/>
              <w:right w:val="single" w:sz="8" w:space="0" w:color="auto"/>
            </w:tcBorders>
          </w:tcPr>
          <w:p w14:paraId="1E9A8691" w14:textId="77777777" w:rsidR="00C02CAA" w:rsidRPr="001E23E1" w:rsidRDefault="00C02CAA" w:rsidP="004E3D4A">
            <w:pPr>
              <w:jc w:val="both"/>
            </w:pPr>
            <w:r w:rsidRPr="001E23E1">
              <w:t xml:space="preserve">1.Ieņēmumi no atgūtajiem līdzekļiem, </w:t>
            </w:r>
            <w:r w:rsidRPr="004E3D4A">
              <w:rPr>
                <w:i/>
              </w:rPr>
              <w:t>euro</w:t>
            </w:r>
          </w:p>
        </w:tc>
        <w:tc>
          <w:tcPr>
            <w:tcW w:w="1180" w:type="dxa"/>
            <w:tcBorders>
              <w:top w:val="nil"/>
              <w:left w:val="nil"/>
              <w:bottom w:val="single" w:sz="8" w:space="0" w:color="auto"/>
              <w:right w:val="single" w:sz="8" w:space="0" w:color="auto"/>
            </w:tcBorders>
          </w:tcPr>
          <w:p w14:paraId="29293B79" w14:textId="77777777" w:rsidR="00C02CAA" w:rsidRPr="001E23E1" w:rsidRDefault="00D84E31" w:rsidP="007D0A59">
            <w:pPr>
              <w:jc w:val="center"/>
              <w:rPr>
                <w:b/>
                <w:bCs/>
              </w:rPr>
            </w:pPr>
            <w:r>
              <w:rPr>
                <w:b/>
                <w:bCs/>
              </w:rPr>
              <w:t>1 5</w:t>
            </w:r>
            <w:r w:rsidR="00C02CAA" w:rsidRPr="001E23E1">
              <w:rPr>
                <w:b/>
                <w:bCs/>
              </w:rPr>
              <w:t>00</w:t>
            </w:r>
          </w:p>
        </w:tc>
        <w:tc>
          <w:tcPr>
            <w:tcW w:w="1200" w:type="dxa"/>
            <w:tcBorders>
              <w:top w:val="nil"/>
              <w:left w:val="nil"/>
              <w:bottom w:val="single" w:sz="8" w:space="0" w:color="auto"/>
              <w:right w:val="single" w:sz="8" w:space="0" w:color="auto"/>
            </w:tcBorders>
          </w:tcPr>
          <w:p w14:paraId="2DDB5FC8" w14:textId="77777777" w:rsidR="00C02CAA" w:rsidRPr="001E23E1" w:rsidRDefault="00D84E31" w:rsidP="007D0A59">
            <w:pPr>
              <w:jc w:val="center"/>
              <w:rPr>
                <w:b/>
                <w:bCs/>
              </w:rPr>
            </w:pPr>
            <w:r>
              <w:rPr>
                <w:b/>
                <w:bCs/>
              </w:rPr>
              <w:t>1 0</w:t>
            </w:r>
            <w:r w:rsidR="00C02CAA" w:rsidRPr="001E23E1">
              <w:rPr>
                <w:b/>
                <w:bCs/>
              </w:rPr>
              <w:t>00</w:t>
            </w:r>
          </w:p>
        </w:tc>
        <w:tc>
          <w:tcPr>
            <w:tcW w:w="1220" w:type="dxa"/>
            <w:tcBorders>
              <w:top w:val="nil"/>
              <w:left w:val="nil"/>
              <w:bottom w:val="single" w:sz="8" w:space="0" w:color="auto"/>
              <w:right w:val="single" w:sz="8" w:space="0" w:color="auto"/>
            </w:tcBorders>
          </w:tcPr>
          <w:p w14:paraId="53F658CB" w14:textId="77777777" w:rsidR="00C02CAA" w:rsidRPr="001E23E1" w:rsidRDefault="00D84E31" w:rsidP="007D0A59">
            <w:pPr>
              <w:jc w:val="center"/>
              <w:rPr>
                <w:b/>
                <w:bCs/>
              </w:rPr>
            </w:pPr>
            <w:r>
              <w:rPr>
                <w:b/>
                <w:bCs/>
              </w:rPr>
              <w:t>5</w:t>
            </w:r>
            <w:r w:rsidR="00C02CAA" w:rsidRPr="001E23E1">
              <w:rPr>
                <w:b/>
                <w:bCs/>
              </w:rPr>
              <w:t>00</w:t>
            </w:r>
          </w:p>
        </w:tc>
      </w:tr>
      <w:tr w:rsidR="00C02CAA" w:rsidRPr="001E23E1" w14:paraId="4AE49872" w14:textId="77777777">
        <w:trPr>
          <w:trHeight w:val="645"/>
          <w:jc w:val="center"/>
        </w:trPr>
        <w:tc>
          <w:tcPr>
            <w:tcW w:w="4780" w:type="dxa"/>
            <w:tcBorders>
              <w:top w:val="nil"/>
              <w:left w:val="single" w:sz="8" w:space="0" w:color="auto"/>
              <w:bottom w:val="single" w:sz="8" w:space="0" w:color="auto"/>
              <w:right w:val="single" w:sz="8" w:space="0" w:color="auto"/>
            </w:tcBorders>
          </w:tcPr>
          <w:p w14:paraId="5837A3C7" w14:textId="77777777" w:rsidR="00C02CAA" w:rsidRPr="001E23E1" w:rsidRDefault="00C02CAA">
            <w:r w:rsidRPr="001E23E1">
              <w:t xml:space="preserve">2.Maksātnespējas procesa izmaksas, </w:t>
            </w:r>
            <w:r w:rsidRPr="004E3D4A">
              <w:rPr>
                <w:i/>
              </w:rPr>
              <w:t>euro</w:t>
            </w:r>
            <w:r w:rsidR="00827459">
              <w:rPr>
                <w:i/>
              </w:rPr>
              <w:t xml:space="preserve"> </w:t>
            </w:r>
            <w:r w:rsidRPr="001E23E1">
              <w:t>(izdevumi)</w:t>
            </w:r>
          </w:p>
        </w:tc>
        <w:tc>
          <w:tcPr>
            <w:tcW w:w="1180" w:type="dxa"/>
            <w:tcBorders>
              <w:top w:val="nil"/>
              <w:left w:val="nil"/>
              <w:bottom w:val="single" w:sz="8" w:space="0" w:color="auto"/>
              <w:right w:val="single" w:sz="8" w:space="0" w:color="auto"/>
            </w:tcBorders>
          </w:tcPr>
          <w:p w14:paraId="6992E800" w14:textId="77777777" w:rsidR="00C02CAA" w:rsidRPr="001E23E1" w:rsidRDefault="00827459" w:rsidP="007D0A59">
            <w:pPr>
              <w:jc w:val="center"/>
            </w:pPr>
            <w:r>
              <w:t>20 625</w:t>
            </w:r>
          </w:p>
        </w:tc>
        <w:tc>
          <w:tcPr>
            <w:tcW w:w="1200" w:type="dxa"/>
            <w:tcBorders>
              <w:top w:val="nil"/>
              <w:left w:val="nil"/>
              <w:bottom w:val="single" w:sz="8" w:space="0" w:color="auto"/>
              <w:right w:val="single" w:sz="8" w:space="0" w:color="auto"/>
            </w:tcBorders>
          </w:tcPr>
          <w:p w14:paraId="43DB389E" w14:textId="77777777" w:rsidR="00C02CAA" w:rsidRPr="001E23E1" w:rsidRDefault="00827459" w:rsidP="007D0A59">
            <w:pPr>
              <w:jc w:val="center"/>
            </w:pPr>
            <w:r>
              <w:t>13 086</w:t>
            </w:r>
          </w:p>
        </w:tc>
        <w:tc>
          <w:tcPr>
            <w:tcW w:w="1220" w:type="dxa"/>
            <w:tcBorders>
              <w:top w:val="nil"/>
              <w:left w:val="nil"/>
              <w:bottom w:val="single" w:sz="8" w:space="0" w:color="auto"/>
              <w:right w:val="single" w:sz="8" w:space="0" w:color="auto"/>
            </w:tcBorders>
          </w:tcPr>
          <w:p w14:paraId="4C17DF76" w14:textId="77777777" w:rsidR="00C02CAA" w:rsidRPr="001E23E1" w:rsidRDefault="00827459" w:rsidP="007D0A59">
            <w:pPr>
              <w:jc w:val="center"/>
            </w:pPr>
            <w:r>
              <w:t>8 392</w:t>
            </w:r>
          </w:p>
        </w:tc>
      </w:tr>
      <w:tr w:rsidR="00C02CAA" w:rsidRPr="001E23E1" w14:paraId="0778A5AB" w14:textId="77777777">
        <w:trPr>
          <w:trHeight w:val="330"/>
          <w:jc w:val="center"/>
        </w:trPr>
        <w:tc>
          <w:tcPr>
            <w:tcW w:w="4780" w:type="dxa"/>
            <w:tcBorders>
              <w:top w:val="nil"/>
              <w:left w:val="single" w:sz="8" w:space="0" w:color="auto"/>
              <w:bottom w:val="single" w:sz="8" w:space="0" w:color="auto"/>
              <w:right w:val="single" w:sz="8" w:space="0" w:color="auto"/>
            </w:tcBorders>
          </w:tcPr>
          <w:p w14:paraId="3EB91A71" w14:textId="77777777" w:rsidR="00C02CAA" w:rsidRPr="001E23E1" w:rsidRDefault="00C02CAA" w:rsidP="000550A1">
            <w:r w:rsidRPr="001E23E1">
              <w:t xml:space="preserve">3.Depozīts (6 gadījumi gadā x </w:t>
            </w:r>
            <w:r w:rsidR="000550A1">
              <w:t>divas minimālās algas</w:t>
            </w:r>
            <w:r w:rsidRPr="001E23E1">
              <w:rPr>
                <w:i/>
                <w:iCs/>
              </w:rPr>
              <w:t>)</w:t>
            </w:r>
          </w:p>
        </w:tc>
        <w:tc>
          <w:tcPr>
            <w:tcW w:w="1180" w:type="dxa"/>
            <w:tcBorders>
              <w:top w:val="nil"/>
              <w:left w:val="nil"/>
              <w:bottom w:val="single" w:sz="8" w:space="0" w:color="auto"/>
              <w:right w:val="single" w:sz="8" w:space="0" w:color="auto"/>
            </w:tcBorders>
          </w:tcPr>
          <w:p w14:paraId="5E383066" w14:textId="77777777" w:rsidR="00C02CAA" w:rsidRPr="001E23E1" w:rsidRDefault="00C02CAA" w:rsidP="007D0A59">
            <w:pPr>
              <w:jc w:val="center"/>
            </w:pPr>
            <w:r w:rsidRPr="001E23E1">
              <w:t xml:space="preserve">4 </w:t>
            </w:r>
            <w:r w:rsidR="000550A1">
              <w:t>560</w:t>
            </w:r>
          </w:p>
        </w:tc>
        <w:tc>
          <w:tcPr>
            <w:tcW w:w="1200" w:type="dxa"/>
            <w:tcBorders>
              <w:top w:val="nil"/>
              <w:left w:val="nil"/>
              <w:bottom w:val="single" w:sz="8" w:space="0" w:color="auto"/>
              <w:right w:val="single" w:sz="8" w:space="0" w:color="auto"/>
            </w:tcBorders>
          </w:tcPr>
          <w:p w14:paraId="2CA5A09B" w14:textId="77777777" w:rsidR="00C02CAA" w:rsidRPr="001E23E1" w:rsidRDefault="00C02CAA" w:rsidP="007D0A59">
            <w:pPr>
              <w:jc w:val="center"/>
            </w:pPr>
            <w:r w:rsidRPr="001E23E1">
              <w:t xml:space="preserve">4 </w:t>
            </w:r>
            <w:r w:rsidR="000550A1">
              <w:t>680</w:t>
            </w:r>
          </w:p>
        </w:tc>
        <w:tc>
          <w:tcPr>
            <w:tcW w:w="1220" w:type="dxa"/>
            <w:tcBorders>
              <w:top w:val="nil"/>
              <w:left w:val="nil"/>
              <w:bottom w:val="single" w:sz="8" w:space="0" w:color="auto"/>
              <w:right w:val="single" w:sz="8" w:space="0" w:color="auto"/>
            </w:tcBorders>
          </w:tcPr>
          <w:p w14:paraId="690F3532" w14:textId="77777777" w:rsidR="00C02CAA" w:rsidRPr="001E23E1" w:rsidRDefault="00C02CAA" w:rsidP="007D0A59">
            <w:pPr>
              <w:jc w:val="center"/>
            </w:pPr>
            <w:r w:rsidRPr="001E23E1">
              <w:t xml:space="preserve">4 </w:t>
            </w:r>
            <w:r w:rsidR="000550A1">
              <w:t>80</w:t>
            </w:r>
            <w:r w:rsidR="00D84E31">
              <w:t>0</w:t>
            </w:r>
          </w:p>
        </w:tc>
      </w:tr>
      <w:tr w:rsidR="00C02CAA" w:rsidRPr="001E23E1" w14:paraId="638E821E" w14:textId="77777777">
        <w:trPr>
          <w:trHeight w:val="1275"/>
          <w:jc w:val="center"/>
        </w:trPr>
        <w:tc>
          <w:tcPr>
            <w:tcW w:w="4780" w:type="dxa"/>
            <w:tcBorders>
              <w:top w:val="nil"/>
              <w:left w:val="single" w:sz="8" w:space="0" w:color="auto"/>
              <w:bottom w:val="single" w:sz="8" w:space="0" w:color="auto"/>
              <w:right w:val="single" w:sz="8" w:space="0" w:color="auto"/>
            </w:tcBorders>
          </w:tcPr>
          <w:p w14:paraId="3A78572E" w14:textId="77777777" w:rsidR="00C02CAA" w:rsidRPr="001E23E1" w:rsidRDefault="00C02CAA">
            <w:r w:rsidRPr="001E23E1">
              <w:t>4. Administratora atlīdzība par kopējo darbinieku sk</w:t>
            </w:r>
            <w:r>
              <w:t>aitu (par vienu nodarbināto – 6,</w:t>
            </w:r>
            <w:r w:rsidRPr="001E23E1">
              <w:t xml:space="preserve">40 </w:t>
            </w:r>
            <w:r w:rsidRPr="004E3D4A">
              <w:rPr>
                <w:i/>
              </w:rPr>
              <w:t>euro</w:t>
            </w:r>
            <w:r w:rsidRPr="001E23E1">
              <w:t xml:space="preserve">), kuriem segti darbinieku prasījumi no darbinieku prasījumu garantiju fonda, </w:t>
            </w:r>
            <w:r w:rsidRPr="000121BB">
              <w:rPr>
                <w:i/>
              </w:rPr>
              <w:t>euro</w:t>
            </w:r>
          </w:p>
        </w:tc>
        <w:tc>
          <w:tcPr>
            <w:tcW w:w="1180" w:type="dxa"/>
            <w:tcBorders>
              <w:top w:val="nil"/>
              <w:left w:val="nil"/>
              <w:bottom w:val="single" w:sz="8" w:space="0" w:color="auto"/>
              <w:right w:val="single" w:sz="8" w:space="0" w:color="auto"/>
            </w:tcBorders>
          </w:tcPr>
          <w:p w14:paraId="35B5532F" w14:textId="77777777" w:rsidR="00C02CAA" w:rsidRPr="001E23E1" w:rsidRDefault="00C02CAA" w:rsidP="007D0A59">
            <w:pPr>
              <w:jc w:val="center"/>
            </w:pPr>
            <w:r w:rsidRPr="001E23E1">
              <w:t>3 360</w:t>
            </w:r>
          </w:p>
        </w:tc>
        <w:tc>
          <w:tcPr>
            <w:tcW w:w="1200" w:type="dxa"/>
            <w:tcBorders>
              <w:top w:val="nil"/>
              <w:left w:val="nil"/>
              <w:bottom w:val="single" w:sz="8" w:space="0" w:color="auto"/>
              <w:right w:val="single" w:sz="8" w:space="0" w:color="auto"/>
            </w:tcBorders>
          </w:tcPr>
          <w:p w14:paraId="0844F2E4" w14:textId="77777777" w:rsidR="00C02CAA" w:rsidRPr="001E23E1" w:rsidRDefault="00C02CAA" w:rsidP="007D0A59">
            <w:pPr>
              <w:jc w:val="center"/>
            </w:pPr>
            <w:r w:rsidRPr="001E23E1">
              <w:t>3 360</w:t>
            </w:r>
          </w:p>
        </w:tc>
        <w:tc>
          <w:tcPr>
            <w:tcW w:w="1220" w:type="dxa"/>
            <w:tcBorders>
              <w:top w:val="nil"/>
              <w:left w:val="nil"/>
              <w:bottom w:val="single" w:sz="8" w:space="0" w:color="auto"/>
              <w:right w:val="single" w:sz="8" w:space="0" w:color="auto"/>
            </w:tcBorders>
          </w:tcPr>
          <w:p w14:paraId="5826CCE0" w14:textId="77777777" w:rsidR="00C02CAA" w:rsidRPr="001E23E1" w:rsidRDefault="00C02CAA" w:rsidP="007D0A59">
            <w:pPr>
              <w:jc w:val="center"/>
            </w:pPr>
            <w:r w:rsidRPr="001E23E1">
              <w:t>3 360</w:t>
            </w:r>
          </w:p>
        </w:tc>
      </w:tr>
      <w:tr w:rsidR="00C02CAA" w:rsidRPr="001E23E1" w14:paraId="451A2B2D" w14:textId="77777777">
        <w:trPr>
          <w:trHeight w:val="330"/>
          <w:jc w:val="center"/>
        </w:trPr>
        <w:tc>
          <w:tcPr>
            <w:tcW w:w="4780" w:type="dxa"/>
            <w:tcBorders>
              <w:top w:val="nil"/>
              <w:left w:val="single" w:sz="8" w:space="0" w:color="auto"/>
              <w:bottom w:val="single" w:sz="8" w:space="0" w:color="auto"/>
              <w:right w:val="single" w:sz="8" w:space="0" w:color="auto"/>
            </w:tcBorders>
            <w:noWrap/>
            <w:vAlign w:val="bottom"/>
          </w:tcPr>
          <w:p w14:paraId="6D22A372" w14:textId="77777777" w:rsidR="00C02CAA" w:rsidRPr="001E23E1" w:rsidRDefault="00C02CAA">
            <w:r w:rsidRPr="001E23E1">
              <w:t xml:space="preserve">5. Kopā izdevumi, </w:t>
            </w:r>
            <w:r w:rsidRPr="004E3D4A">
              <w:rPr>
                <w:i/>
              </w:rPr>
              <w:t>euro</w:t>
            </w:r>
            <w:r w:rsidRPr="001E23E1">
              <w:t xml:space="preserve"> (2.+3.+4.)</w:t>
            </w:r>
          </w:p>
        </w:tc>
        <w:tc>
          <w:tcPr>
            <w:tcW w:w="1180" w:type="dxa"/>
            <w:tcBorders>
              <w:top w:val="nil"/>
              <w:left w:val="nil"/>
              <w:bottom w:val="single" w:sz="8" w:space="0" w:color="auto"/>
              <w:right w:val="single" w:sz="8" w:space="0" w:color="auto"/>
            </w:tcBorders>
            <w:noWrap/>
          </w:tcPr>
          <w:p w14:paraId="64E5317E" w14:textId="77777777" w:rsidR="00C02CAA" w:rsidRPr="001E23E1" w:rsidRDefault="006D4D13" w:rsidP="007D0A59">
            <w:pPr>
              <w:jc w:val="center"/>
              <w:rPr>
                <w:b/>
                <w:bCs/>
              </w:rPr>
            </w:pPr>
            <w:r>
              <w:rPr>
                <w:b/>
                <w:bCs/>
              </w:rPr>
              <w:t>28 545</w:t>
            </w:r>
          </w:p>
        </w:tc>
        <w:tc>
          <w:tcPr>
            <w:tcW w:w="1200" w:type="dxa"/>
            <w:tcBorders>
              <w:top w:val="nil"/>
              <w:left w:val="nil"/>
              <w:bottom w:val="single" w:sz="8" w:space="0" w:color="auto"/>
              <w:right w:val="single" w:sz="8" w:space="0" w:color="auto"/>
            </w:tcBorders>
            <w:noWrap/>
          </w:tcPr>
          <w:p w14:paraId="47A889F6" w14:textId="77777777" w:rsidR="00C02CAA" w:rsidRPr="001E23E1" w:rsidRDefault="006D4D13" w:rsidP="007D0A59">
            <w:pPr>
              <w:jc w:val="center"/>
              <w:rPr>
                <w:b/>
                <w:bCs/>
              </w:rPr>
            </w:pPr>
            <w:r>
              <w:rPr>
                <w:b/>
                <w:bCs/>
              </w:rPr>
              <w:t>21 126</w:t>
            </w:r>
          </w:p>
        </w:tc>
        <w:tc>
          <w:tcPr>
            <w:tcW w:w="1220" w:type="dxa"/>
            <w:tcBorders>
              <w:top w:val="nil"/>
              <w:left w:val="nil"/>
              <w:bottom w:val="single" w:sz="8" w:space="0" w:color="auto"/>
              <w:right w:val="single" w:sz="8" w:space="0" w:color="auto"/>
            </w:tcBorders>
            <w:noWrap/>
          </w:tcPr>
          <w:p w14:paraId="27C17E62" w14:textId="77777777" w:rsidR="00C02CAA" w:rsidRPr="001E23E1" w:rsidRDefault="006D4D13" w:rsidP="007D0A59">
            <w:pPr>
              <w:jc w:val="center"/>
              <w:rPr>
                <w:b/>
                <w:bCs/>
              </w:rPr>
            </w:pPr>
            <w:r>
              <w:rPr>
                <w:b/>
                <w:bCs/>
              </w:rPr>
              <w:t>16 552</w:t>
            </w:r>
          </w:p>
        </w:tc>
      </w:tr>
      <w:tr w:rsidR="00C02CAA" w:rsidRPr="001E23E1" w14:paraId="7786095D" w14:textId="77777777">
        <w:trPr>
          <w:trHeight w:val="645"/>
          <w:jc w:val="center"/>
        </w:trPr>
        <w:tc>
          <w:tcPr>
            <w:tcW w:w="4780" w:type="dxa"/>
            <w:tcBorders>
              <w:top w:val="nil"/>
              <w:left w:val="single" w:sz="8" w:space="0" w:color="auto"/>
              <w:bottom w:val="single" w:sz="8" w:space="0" w:color="auto"/>
              <w:right w:val="single" w:sz="8" w:space="0" w:color="auto"/>
            </w:tcBorders>
            <w:vAlign w:val="bottom"/>
          </w:tcPr>
          <w:p w14:paraId="17F73252" w14:textId="77777777" w:rsidR="00C02CAA" w:rsidRPr="001E23E1" w:rsidRDefault="00C02CAA">
            <w:r w:rsidRPr="001E23E1">
              <w:t xml:space="preserve">6. No uzkrātā atlikuma nepieciešamā summa, </w:t>
            </w:r>
            <w:r w:rsidRPr="004E3D4A">
              <w:rPr>
                <w:i/>
              </w:rPr>
              <w:t>euro</w:t>
            </w:r>
            <w:r w:rsidRPr="001E23E1">
              <w:t xml:space="preserve"> (5.</w:t>
            </w:r>
            <w:r w:rsidR="006371DE">
              <w:t xml:space="preserve"> – </w:t>
            </w:r>
            <w:r w:rsidRPr="001E23E1">
              <w:t>1.)</w:t>
            </w:r>
          </w:p>
        </w:tc>
        <w:tc>
          <w:tcPr>
            <w:tcW w:w="1180" w:type="dxa"/>
            <w:tcBorders>
              <w:top w:val="nil"/>
              <w:left w:val="nil"/>
              <w:bottom w:val="single" w:sz="8" w:space="0" w:color="auto"/>
              <w:right w:val="single" w:sz="8" w:space="0" w:color="auto"/>
            </w:tcBorders>
            <w:noWrap/>
          </w:tcPr>
          <w:p w14:paraId="01522685" w14:textId="77777777" w:rsidR="00C02CAA" w:rsidRPr="001E23E1" w:rsidRDefault="00882C68" w:rsidP="007D0A59">
            <w:pPr>
              <w:jc w:val="center"/>
            </w:pPr>
            <w:r>
              <w:t>27 045</w:t>
            </w:r>
          </w:p>
        </w:tc>
        <w:tc>
          <w:tcPr>
            <w:tcW w:w="1200" w:type="dxa"/>
            <w:tcBorders>
              <w:top w:val="nil"/>
              <w:left w:val="nil"/>
              <w:bottom w:val="single" w:sz="8" w:space="0" w:color="auto"/>
              <w:right w:val="single" w:sz="8" w:space="0" w:color="auto"/>
            </w:tcBorders>
            <w:noWrap/>
          </w:tcPr>
          <w:p w14:paraId="479C6EAB" w14:textId="77777777" w:rsidR="00C02CAA" w:rsidRPr="001E23E1" w:rsidRDefault="00882C68" w:rsidP="007D0A59">
            <w:pPr>
              <w:jc w:val="center"/>
            </w:pPr>
            <w:r>
              <w:t>20 126</w:t>
            </w:r>
          </w:p>
        </w:tc>
        <w:tc>
          <w:tcPr>
            <w:tcW w:w="1220" w:type="dxa"/>
            <w:tcBorders>
              <w:top w:val="nil"/>
              <w:left w:val="nil"/>
              <w:bottom w:val="single" w:sz="8" w:space="0" w:color="auto"/>
              <w:right w:val="single" w:sz="8" w:space="0" w:color="auto"/>
            </w:tcBorders>
            <w:noWrap/>
          </w:tcPr>
          <w:p w14:paraId="574E725C" w14:textId="77777777" w:rsidR="00C02CAA" w:rsidRPr="001E23E1" w:rsidRDefault="00882C68" w:rsidP="007D0A59">
            <w:pPr>
              <w:jc w:val="center"/>
            </w:pPr>
            <w:r>
              <w:t>16 052</w:t>
            </w:r>
          </w:p>
        </w:tc>
      </w:tr>
    </w:tbl>
    <w:p w14:paraId="6C221BBC" w14:textId="77777777" w:rsidR="00C02CAA" w:rsidRPr="001E23E1" w:rsidRDefault="00C02CAA" w:rsidP="009A173D">
      <w:pPr>
        <w:ind w:firstLine="720"/>
        <w:jc w:val="center"/>
        <w:rPr>
          <w:b/>
          <w:sz w:val="28"/>
          <w:szCs w:val="28"/>
        </w:rPr>
      </w:pPr>
    </w:p>
    <w:p w14:paraId="738EEB50" w14:textId="77777777" w:rsidR="00C02CAA" w:rsidRPr="007D0A59" w:rsidRDefault="00C02CAA" w:rsidP="007D0A59">
      <w:pPr>
        <w:pStyle w:val="Heading1"/>
        <w:numPr>
          <w:ilvl w:val="0"/>
          <w:numId w:val="0"/>
        </w:numPr>
        <w:spacing w:before="0" w:after="0"/>
        <w:ind w:firstLine="720"/>
        <w:jc w:val="both"/>
        <w:rPr>
          <w:rFonts w:ascii="Times New Roman" w:hAnsi="Times New Roman" w:cs="Times New Roman"/>
          <w:sz w:val="24"/>
          <w:szCs w:val="24"/>
        </w:rPr>
      </w:pPr>
      <w:bookmarkStart w:id="78" w:name="_Toc410048287"/>
      <w:bookmarkStart w:id="79" w:name="_Toc414279033"/>
      <w:bookmarkStart w:id="80" w:name="_Toc453263323"/>
      <w:r w:rsidRPr="007D0A59">
        <w:rPr>
          <w:rFonts w:ascii="Times New Roman" w:hAnsi="Times New Roman" w:cs="Times New Roman"/>
          <w:sz w:val="24"/>
          <w:szCs w:val="24"/>
        </w:rPr>
        <w:t>2.</w:t>
      </w:r>
      <w:r w:rsidR="008749DA" w:rsidRPr="007D0A59">
        <w:rPr>
          <w:rFonts w:ascii="Times New Roman" w:hAnsi="Times New Roman" w:cs="Times New Roman"/>
          <w:sz w:val="24"/>
          <w:szCs w:val="24"/>
        </w:rPr>
        <w:t xml:space="preserve"> </w:t>
      </w:r>
      <w:r w:rsidRPr="007D0A59">
        <w:rPr>
          <w:rFonts w:ascii="Times New Roman" w:hAnsi="Times New Roman" w:cs="Times New Roman"/>
          <w:sz w:val="24"/>
          <w:szCs w:val="24"/>
        </w:rPr>
        <w:t>Budžeta apakšprogramma 06.03.00 „Maksātnespējas procesu pārvaldība” 201</w:t>
      </w:r>
      <w:r w:rsidR="00DF4D97" w:rsidRPr="007D0A59">
        <w:rPr>
          <w:rFonts w:ascii="Times New Roman" w:hAnsi="Times New Roman" w:cs="Times New Roman"/>
          <w:sz w:val="24"/>
          <w:szCs w:val="24"/>
        </w:rPr>
        <w:t>7</w:t>
      </w:r>
      <w:r w:rsidRPr="007D0A59">
        <w:rPr>
          <w:rFonts w:ascii="Times New Roman" w:hAnsi="Times New Roman" w:cs="Times New Roman"/>
          <w:sz w:val="24"/>
          <w:szCs w:val="24"/>
        </w:rPr>
        <w:t>. – 201</w:t>
      </w:r>
      <w:r w:rsidR="00DF4D97" w:rsidRPr="007D0A59">
        <w:rPr>
          <w:rFonts w:ascii="Times New Roman" w:hAnsi="Times New Roman" w:cs="Times New Roman"/>
          <w:sz w:val="24"/>
          <w:szCs w:val="24"/>
        </w:rPr>
        <w:t>9</w:t>
      </w:r>
      <w:r w:rsidRPr="007D0A59">
        <w:rPr>
          <w:rFonts w:ascii="Times New Roman" w:hAnsi="Times New Roman" w:cs="Times New Roman"/>
          <w:sz w:val="24"/>
          <w:szCs w:val="24"/>
        </w:rPr>
        <w:t>.gadā</w:t>
      </w:r>
      <w:bookmarkEnd w:id="78"/>
      <w:bookmarkEnd w:id="79"/>
      <w:bookmarkEnd w:id="80"/>
    </w:p>
    <w:p w14:paraId="4CE64B2E" w14:textId="77777777" w:rsidR="00C07EB2" w:rsidRPr="007D0A59" w:rsidRDefault="00D34198" w:rsidP="007D0A59">
      <w:pPr>
        <w:ind w:firstLine="720"/>
        <w:jc w:val="both"/>
      </w:pPr>
      <w:r w:rsidRPr="007D0A59">
        <w:t xml:space="preserve">2015.gada 1.martā stājās spēkā grozījumi Maksātnespējas likumā, kuru mērķis ir uzlabot maksātnespējas jomu kopumā un nodrošināt, ka maksātnespējas process ir ātrāks, efektīvāks un pieejamāks. Ar jaunā regulējuma spēkā stāšanos ir ieviesti jauni tiesiskie mehānismi, kas vērsti uz pozitīvas maksātnespējas jomas attīstības nodrošināšanu, tostarp nosakot jaunas funkcijas Maksātnespējas administrācijai kā maksātnespējas procesu uzraugošajai iestādei. Minēto funkciju nodrošināšanai no 2015.gada tika palielināts Maksātnespējas administrācijas nodarbināto skaits par sešiem nodarbinātajiem ar tam paredzētu attiecīgu finansējumu saskaņā ar Ministru kabineta 2014.gada 9.decembra noteikumiem Nr.751 „Noteikumi par uzņēmējdarbības riska valsts nodevas apmēru un darbinieku prasījumu garantiju fondā ieskaitāmās nodevas daļu 2015.gadā”, kas tiešā veidā tika piešķirts kā daļa no URVN ieņēmumiem 130 475 </w:t>
      </w:r>
      <w:r w:rsidRPr="007D0A59">
        <w:rPr>
          <w:i/>
        </w:rPr>
        <w:t>euro</w:t>
      </w:r>
      <w:r w:rsidRPr="007D0A59">
        <w:t xml:space="preserve"> apmērā.</w:t>
      </w:r>
    </w:p>
    <w:p w14:paraId="39DF0BF0" w14:textId="77777777" w:rsidR="00D34198" w:rsidRPr="007D0A59" w:rsidRDefault="006A5037" w:rsidP="007D0A59">
      <w:pPr>
        <w:ind w:firstLine="720"/>
        <w:jc w:val="both"/>
      </w:pPr>
      <w:r w:rsidRPr="007D0A59">
        <w:t>Sākot no 2016.gad</w:t>
      </w:r>
      <w:r w:rsidR="006371DE">
        <w:t>u</w:t>
      </w:r>
      <w:r w:rsidRPr="007D0A59">
        <w:t xml:space="preserve"> minētais finansējums tiek piešķirts saskaņā ar </w:t>
      </w:r>
      <w:r w:rsidR="00D34198" w:rsidRPr="007D0A59">
        <w:t>i</w:t>
      </w:r>
      <w:r w:rsidRPr="007D0A59">
        <w:t>nformatīvo ziņojumu par 2016.–2018.gadu un uz tā pamata izdotajiem ikgadējiem Ministru kabineta noteikumiem par URVN apmēru un sadali nākamajam gadam.</w:t>
      </w:r>
    </w:p>
    <w:p w14:paraId="3CD9C310" w14:textId="77777777" w:rsidR="00DF4D97" w:rsidRPr="007D0A59" w:rsidRDefault="006A5037" w:rsidP="007D0A59">
      <w:pPr>
        <w:ind w:firstLine="720"/>
        <w:jc w:val="both"/>
      </w:pPr>
      <w:r w:rsidRPr="007D0A59">
        <w:t>Saskaņā ar Ministru kabineta 2015.gada 8.decembra noteikumiem Nr.692 „Noteikumi par uzņēmējdarbības riska valsts nodevas apmēru un darbinieku prasījumu garantiju fondā ieskaitāmās nodevas daļu 2016.gadā” apakšprogrammai 06.03.00 „Maksātnespējas procesu pārvaldība” tiek piešķirti 4</w:t>
      </w:r>
      <w:r w:rsidR="00D34198" w:rsidRPr="007D0A59">
        <w:t xml:space="preserve"> procenti</w:t>
      </w:r>
      <w:r w:rsidRPr="007D0A59">
        <w:t xml:space="preserve"> no URVN ieņēmumiem, bet nepārsniedzot 126 525 </w:t>
      </w:r>
      <w:r w:rsidRPr="007D0A59">
        <w:rPr>
          <w:i/>
        </w:rPr>
        <w:t xml:space="preserve">euro </w:t>
      </w:r>
      <w:r w:rsidRPr="007D0A59">
        <w:t>gadā.</w:t>
      </w:r>
    </w:p>
    <w:p w14:paraId="091D2498" w14:textId="77777777" w:rsidR="00867FCA" w:rsidRPr="007D0A59" w:rsidRDefault="004A1FF0" w:rsidP="007D0A59">
      <w:pPr>
        <w:ind w:firstLine="720"/>
        <w:jc w:val="both"/>
      </w:pPr>
      <w:r w:rsidRPr="007D0A59">
        <w:t xml:space="preserve">Maksātnespējas administrācijas atalgojuma fonds fiskālās disciplīnas un uzraudzības nodrošināšanas pasākumu ietvaros no 2008. </w:t>
      </w:r>
      <w:r w:rsidR="00D8341A">
        <w:t>līdz</w:t>
      </w:r>
      <w:r w:rsidRPr="007D0A59">
        <w:t xml:space="preserve"> 2010.gadam tika samazināts vairāk kā 53</w:t>
      </w:r>
      <w:r w:rsidR="00D8341A">
        <w:t> </w:t>
      </w:r>
      <w:r w:rsidR="00867FCA" w:rsidRPr="007D0A59">
        <w:t>procentu</w:t>
      </w:r>
      <w:r w:rsidRPr="007D0A59">
        <w:t xml:space="preserve"> apmērā. Amata vietu skaits </w:t>
      </w:r>
      <w:r w:rsidR="00565451" w:rsidRPr="007D0A59">
        <w:t>Maksātnespējas administrācijā</w:t>
      </w:r>
      <w:r w:rsidRPr="007D0A59">
        <w:t xml:space="preserve"> no 2008. </w:t>
      </w:r>
      <w:r w:rsidR="00D8341A">
        <w:t>līdz</w:t>
      </w:r>
      <w:r w:rsidRPr="007D0A59">
        <w:t xml:space="preserve"> 2012.gadam tika samazināts no 62 amata vietām uz 42 amata vietām. Tajā pašā laikā nodarbinātajiem būtiski pieauga darba apjoms, kas saistīts ar juridisko personu maksātnespējas procesu skaita pieaugumu krīzes laikā un iespēju ierosināt fiziskās personas maksātnespējas procesu.  Tā kā ievērojami pieauga darba apjoms un ievērojami tika samazināts gan nodarbināto skaits, gan atalgojums, tad mēnešalgu palielināšana, veicot struktūras efektivitātes izvērtēšanu, optimizējot nodarbināto skaitu un nepalielinot esošo </w:t>
      </w:r>
      <w:r w:rsidR="00565451" w:rsidRPr="007D0A59">
        <w:t>Maksātnespējas administrācijas</w:t>
      </w:r>
      <w:r w:rsidRPr="007D0A59">
        <w:t xml:space="preserve"> a</w:t>
      </w:r>
      <w:r w:rsidR="00867FCA" w:rsidRPr="007D0A59">
        <w:t>talgojuma fondu, nav iespējama.</w:t>
      </w:r>
    </w:p>
    <w:p w14:paraId="3E117E49" w14:textId="77777777" w:rsidR="004A1FF0" w:rsidRPr="007D0A59" w:rsidRDefault="004A1FF0" w:rsidP="007D0A59">
      <w:pPr>
        <w:ind w:firstLine="720"/>
        <w:jc w:val="both"/>
      </w:pPr>
      <w:r w:rsidRPr="007D0A59">
        <w:t xml:space="preserve">No 2015.gada 1.janvāra </w:t>
      </w:r>
      <w:r w:rsidR="00565451" w:rsidRPr="007D0A59">
        <w:t>Maksātnespējas administrācijai</w:t>
      </w:r>
      <w:r w:rsidRPr="007D0A59">
        <w:t xml:space="preserve"> ir </w:t>
      </w:r>
      <w:r w:rsidR="00D91110" w:rsidRPr="007D0A59">
        <w:t xml:space="preserve">papildus </w:t>
      </w:r>
      <w:r w:rsidRPr="007D0A59">
        <w:t xml:space="preserve">piešķirtas </w:t>
      </w:r>
      <w:r w:rsidR="00E33B66" w:rsidRPr="007D0A59">
        <w:t>astoņas</w:t>
      </w:r>
      <w:r w:rsidRPr="007D0A59">
        <w:t xml:space="preserve"> amata vietas </w:t>
      </w:r>
      <w:r w:rsidR="00565451" w:rsidRPr="007D0A59">
        <w:t xml:space="preserve">(sešas iepriekš </w:t>
      </w:r>
      <w:r w:rsidR="00E33B66" w:rsidRPr="007D0A59">
        <w:t xml:space="preserve">minētās un divas saistībā ar Latvijas administratīvo pārkāpumu kodeksa (turpmāk – </w:t>
      </w:r>
      <w:r w:rsidR="00867FCA" w:rsidRPr="007D0A59">
        <w:t>L</w:t>
      </w:r>
      <w:r w:rsidR="00E33B66" w:rsidRPr="007D0A59">
        <w:t xml:space="preserve">APK) sodīšanas funkcijas maksātnespējas procesa pārkāpumu gadījumā pārņemšanu no Valsts policijas) </w:t>
      </w:r>
      <w:r w:rsidRPr="007D0A59">
        <w:t xml:space="preserve">un no 2016.gada 1.janvāra papildus </w:t>
      </w:r>
      <w:r w:rsidR="00E33B66" w:rsidRPr="007D0A59">
        <w:t>viena</w:t>
      </w:r>
      <w:r w:rsidRPr="007D0A59">
        <w:t xml:space="preserve"> amata vieta </w:t>
      </w:r>
      <w:r w:rsidR="00E33B66" w:rsidRPr="007D0A59">
        <w:t>(</w:t>
      </w:r>
      <w:r w:rsidR="00867FCA" w:rsidRPr="007D0A59">
        <w:t>L</w:t>
      </w:r>
      <w:r w:rsidR="00E33B66" w:rsidRPr="007D0A59">
        <w:t xml:space="preserve">APK) </w:t>
      </w:r>
      <w:r w:rsidRPr="007D0A59">
        <w:t xml:space="preserve">ar atbilstošu finansējumu, bet tas neatrisina esošā personāla atalgojuma problēmu, jo šīs amata vietas ar finansējumu piešķirtas papildu funkciju nodrošināšanai, nevis līdzšinējā personāla atalgojuma palielināšanai. </w:t>
      </w:r>
    </w:p>
    <w:p w14:paraId="402690A9" w14:textId="77777777" w:rsidR="004A1FF0" w:rsidRPr="007D0A59" w:rsidRDefault="004A1FF0" w:rsidP="007D0A59">
      <w:pPr>
        <w:ind w:firstLine="720"/>
        <w:jc w:val="both"/>
      </w:pPr>
      <w:r w:rsidRPr="007D0A59">
        <w:t xml:space="preserve">Šobrīd </w:t>
      </w:r>
      <w:r w:rsidR="00702A8B" w:rsidRPr="007D0A59">
        <w:t xml:space="preserve">Maksātnespējas administrācijas </w:t>
      </w:r>
      <w:r w:rsidRPr="007D0A59">
        <w:t xml:space="preserve">nodarbinātajiem mēnešalgas no attiecīgajai amata mēnešalgu grupai paredzētā mēnešalgas diapazona maksimāli pieļaujamās robežas atbilstoši Ministru kabineta 2013.gada 29.janvāra noteikumiem Nr.66 „Noteikumi par valsts un pašvaldību institūciju amatpersonu un darbinieku darba samaksu un tās noteikšanas kārtību” ir </w:t>
      </w:r>
      <w:r w:rsidR="00702A8B" w:rsidRPr="007D0A59">
        <w:t xml:space="preserve">noteiktas vidēji 65% </w:t>
      </w:r>
      <w:r w:rsidRPr="007D0A59">
        <w:t>apmērā</w:t>
      </w:r>
      <w:r w:rsidR="00157346" w:rsidRPr="007D0A59">
        <w:t>.</w:t>
      </w:r>
    </w:p>
    <w:p w14:paraId="22886A94" w14:textId="77777777" w:rsidR="0056049F" w:rsidRPr="00ED0FB0" w:rsidRDefault="004A1FF0" w:rsidP="007D0A59">
      <w:pPr>
        <w:ind w:firstLine="720"/>
        <w:jc w:val="both"/>
      </w:pPr>
      <w:r w:rsidRPr="007D0A59">
        <w:t xml:space="preserve">Lai nodrošinātu </w:t>
      </w:r>
      <w:r w:rsidR="00600AE1" w:rsidRPr="007D0A59">
        <w:t>Maksātnespējas administrācijas</w:t>
      </w:r>
      <w:r w:rsidRPr="007D0A59">
        <w:t xml:space="preserve"> noteikto funkciju kvalitatīvu izpildi, nepieciešami kvalificēti un motivēti speciālisti, līdz ar to a</w:t>
      </w:r>
      <w:r w:rsidR="00DD2D88" w:rsidRPr="007D0A59">
        <w:t>ta</w:t>
      </w:r>
      <w:r w:rsidRPr="007D0A59">
        <w:t>lgojuma fonda palielinājums nepieciešams</w:t>
      </w:r>
      <w:r w:rsidR="00DD2D88" w:rsidRPr="007D0A59">
        <w:t>,</w:t>
      </w:r>
      <w:r w:rsidRPr="007D0A59">
        <w:t xml:space="preserve"> lai nodrošinātu konkurētspējīgāku atalgojumu un stiprinātu esošo cilvēkresursu, tādējādi novēršot </w:t>
      </w:r>
      <w:r w:rsidR="00060106" w:rsidRPr="007D0A59">
        <w:t>personāla</w:t>
      </w:r>
      <w:r w:rsidRPr="007D0A59">
        <w:t xml:space="preserve"> mainību un nostiprinot institucionālo </w:t>
      </w:r>
      <w:r w:rsidRPr="00ED0FB0">
        <w:t xml:space="preserve">atmiņu, jo pēdējo </w:t>
      </w:r>
      <w:r w:rsidR="00867FCA" w:rsidRPr="00ED0FB0">
        <w:t>piecu</w:t>
      </w:r>
      <w:r w:rsidRPr="00ED0FB0">
        <w:t xml:space="preserve"> gadu laikā no </w:t>
      </w:r>
      <w:r w:rsidR="00600AE1" w:rsidRPr="00ED0FB0">
        <w:t>Maksātnespējas administrācijas</w:t>
      </w:r>
      <w:r w:rsidRPr="00ED0FB0">
        <w:t xml:space="preserve"> aizgāj</w:t>
      </w:r>
      <w:r w:rsidR="003827F7" w:rsidRPr="00ED0FB0">
        <w:t>is</w:t>
      </w:r>
      <w:r w:rsidRPr="00ED0FB0">
        <w:t xml:space="preserve"> </w:t>
      </w:r>
      <w:r w:rsidR="003857E4" w:rsidRPr="00ED0FB0">
        <w:t>51</w:t>
      </w:r>
      <w:r w:rsidRPr="00ED0FB0">
        <w:t xml:space="preserve"> nodarbināt</w:t>
      </w:r>
      <w:r w:rsidR="003857E4" w:rsidRPr="00ED0FB0">
        <w:t>ais</w:t>
      </w:r>
      <w:r w:rsidRPr="00ED0FB0">
        <w:t xml:space="preserve"> (</w:t>
      </w:r>
      <w:r w:rsidR="00600AE1" w:rsidRPr="00ED0FB0">
        <w:t>Maksātnespējas administrācijā</w:t>
      </w:r>
      <w:r w:rsidRPr="00ED0FB0">
        <w:t xml:space="preserve"> ir 51 amata vieta), no kuriem 3</w:t>
      </w:r>
      <w:r w:rsidR="003857E4" w:rsidRPr="00ED0FB0">
        <w:t>4</w:t>
      </w:r>
      <w:r w:rsidRPr="00ED0FB0">
        <w:t xml:space="preserve"> nodarbinātie (6</w:t>
      </w:r>
      <w:r w:rsidR="003857E4" w:rsidRPr="00ED0FB0">
        <w:t>7</w:t>
      </w:r>
      <w:r w:rsidR="003827F7" w:rsidRPr="00ED0FB0">
        <w:t>%</w:t>
      </w:r>
      <w:r w:rsidRPr="00ED0FB0">
        <w:t>) aizgājuši tieši atalgojuma dēļ</w:t>
      </w:r>
      <w:r w:rsidR="0056049F" w:rsidRPr="00ED0FB0">
        <w:t>.</w:t>
      </w:r>
    </w:p>
    <w:p w14:paraId="666D78AB" w14:textId="77777777" w:rsidR="00867FCA" w:rsidRPr="007D0A59" w:rsidRDefault="00867FCA" w:rsidP="007D0A59">
      <w:pPr>
        <w:ind w:firstLine="720"/>
        <w:jc w:val="both"/>
      </w:pPr>
      <w:r w:rsidRPr="007D0A59">
        <w:t>Jānorāda, ka kvalificēti speciālisti ir vienmēr pieprasīti neatkarīgi no nozares, līdz ar to arī valsts pārvaldes iestādes savā starpā konkurē par darba spēku.</w:t>
      </w:r>
      <w:r w:rsidRPr="007D0A59">
        <w:rPr>
          <w:rStyle w:val="FootnoteReference"/>
        </w:rPr>
        <w:footnoteReference w:id="4"/>
      </w:r>
      <w:r w:rsidRPr="007D0A59">
        <w:t xml:space="preserve"> Analizējot personālinformāciju, tika konstatēts, ka viens no būtiskākajiem iemesliem, kāpēc Maksātnespējas administrācijas speciālisti pāriet uz darbu citās valsts pārvaldes iestādēs ir tas, ka līdzvērtīgos vai pat zemākos amatos tāda paša līmeņa iestādēs kā Maksātnespējas administrācija mēnešalga ir būtiski augstāka, nemaz nerunājot par privāto sektoru, ar kuru valsts pārvaldes iestāde šobrīd nepēj konkurēt. Tāpat atalgojuma fonda palielinājums nepieciešams, lai mazinātu korupcijas riskus, jo korupcijas riskam pakļautajos amatos nodarbinātajiem noteiktais atalgojums iepretim amatpersonai uzticētās varas apjomam rada augsta korupcijas riska situāciju.</w:t>
      </w:r>
    </w:p>
    <w:p w14:paraId="10BB2E36" w14:textId="77777777" w:rsidR="0028561A" w:rsidRPr="007D0A59" w:rsidRDefault="00867FCA" w:rsidP="007D0A59">
      <w:pPr>
        <w:ind w:firstLine="720"/>
        <w:jc w:val="both"/>
      </w:pPr>
      <w:r w:rsidRPr="007D0A59">
        <w:t>Jāuzsv</w:t>
      </w:r>
      <w:r w:rsidR="00D8341A">
        <w:t>e</w:t>
      </w:r>
      <w:r w:rsidRPr="007D0A59">
        <w:t>r, ka atalgojuma fonda palielinājums nepieciešams, lai nodrošinātu jauna augsti kvalificēta darbaspēka piesaisti, jo pēdējo četru gadu laikā Maksātnespējas administrācijā 38 amata konkursos pieteicās 490 pretendenti, no kuriem no turpmākās dalības amat</w:t>
      </w:r>
      <w:r w:rsidR="003827F7">
        <w:t>a konkursā 187 pretendenti (38%</w:t>
      </w:r>
      <w:r w:rsidRPr="007D0A59">
        <w:t>) atteicās tieši atalgojuma dēļ, kaut arī amata konkursu sludinājumos pēdējos trīs gadus amatam noteiktā mēnešalga tiek norādīta. Pretendenti norādīja, ka norādīto mēnešalgu ir uztvēruši kā neto, nevis bruto summu, vai arī kā pārbaudes laika mēnešalgu, vai arī uzskatījuši, ka bez norādītās mēnešalgas amatam ir noteikti papildu maksājumi, jo uzskatījuši, ka sludinājumā norādītā mēnešalga nav adekvāta sludinājumā norādītajam amatam un veicamajiem pienākumiem.</w:t>
      </w:r>
    </w:p>
    <w:p w14:paraId="77E88B48" w14:textId="77777777" w:rsidR="00D7193B" w:rsidRDefault="0028561A" w:rsidP="007D0A59">
      <w:pPr>
        <w:ind w:firstLine="720"/>
        <w:jc w:val="both"/>
      </w:pPr>
      <w:r w:rsidRPr="00ED0FB0">
        <w:t xml:space="preserve">Ņemot vērā atalgojuma fonda palielināšanas nepieciešamību un ievērojot to, ka jāsaglabā Maksātnespējas administrācijas atalgojumu hierarhiskā struktūra, nodarbināto mēnešalga jāpalielina vidēji par </w:t>
      </w:r>
      <w:r w:rsidR="00846484" w:rsidRPr="00ED0FB0">
        <w:t>3</w:t>
      </w:r>
      <w:r w:rsidR="002626CC" w:rsidRPr="00ED0FB0">
        <w:t>1</w:t>
      </w:r>
      <w:r w:rsidR="003827F7" w:rsidRPr="00ED0FB0">
        <w:t>%</w:t>
      </w:r>
      <w:r w:rsidRPr="00ED0FB0">
        <w:t xml:space="preserve">, kā rezultātā vidējā Maksātnespējas administrācijas nodarbinātā mēnešalga sasniegs </w:t>
      </w:r>
      <w:r w:rsidR="00846484" w:rsidRPr="00ED0FB0">
        <w:t>9</w:t>
      </w:r>
      <w:r w:rsidR="00636234">
        <w:t>6</w:t>
      </w:r>
      <w:r w:rsidR="003827F7" w:rsidRPr="00ED0FB0">
        <w:t>%</w:t>
      </w:r>
      <w:r w:rsidRPr="00ED0FB0">
        <w:t xml:space="preserve"> no attiecīgajai amata mēnešalgu grupai paredzētā mēnešalgas diapazona maksimāli pieļaujamās robežas </w:t>
      </w:r>
      <w:r w:rsidR="002626CC" w:rsidRPr="00ED0FB0">
        <w:t>(</w:t>
      </w:r>
      <w:r w:rsidRPr="00ED0FB0">
        <w:t>šobrīd ir vidēji 65</w:t>
      </w:r>
      <w:r w:rsidR="003827F7" w:rsidRPr="00ED0FB0">
        <w:t>%</w:t>
      </w:r>
      <w:r w:rsidRPr="00ED0FB0">
        <w:t xml:space="preserve">). Minētajam atalgojuma palielinājumam nepieciešami </w:t>
      </w:r>
      <w:r w:rsidR="002626CC" w:rsidRPr="00ED0FB0">
        <w:t>19 480</w:t>
      </w:r>
      <w:r w:rsidRPr="00ED0FB0">
        <w:t xml:space="preserve"> </w:t>
      </w:r>
      <w:r w:rsidRPr="00ED0FB0">
        <w:rPr>
          <w:i/>
        </w:rPr>
        <w:t>euro</w:t>
      </w:r>
      <w:r w:rsidRPr="00ED0FB0">
        <w:t xml:space="preserve"> mēnesī</w:t>
      </w:r>
      <w:r w:rsidR="008E111E" w:rsidRPr="00ED0FB0">
        <w:t xml:space="preserve"> (sk</w:t>
      </w:r>
      <w:r w:rsidR="00BC370C" w:rsidRPr="00ED0FB0">
        <w:t>atīt</w:t>
      </w:r>
      <w:r w:rsidR="008E111E" w:rsidRPr="00ED0FB0">
        <w:t xml:space="preserve"> </w:t>
      </w:r>
      <w:r w:rsidR="00BC370C" w:rsidRPr="00ED0FB0">
        <w:t>19.</w:t>
      </w:r>
      <w:r w:rsidR="008E111E" w:rsidRPr="00ED0FB0">
        <w:t>tabul</w:t>
      </w:r>
      <w:r w:rsidR="00BC370C" w:rsidRPr="00ED0FB0">
        <w:t>u</w:t>
      </w:r>
      <w:r w:rsidR="008E111E" w:rsidRPr="00ED0FB0">
        <w:t>)</w:t>
      </w:r>
      <w:r w:rsidRPr="00ED0FB0">
        <w:t xml:space="preserve">, kas gadā sastāda </w:t>
      </w:r>
      <w:r w:rsidR="002626CC" w:rsidRPr="00ED0FB0">
        <w:t>233 760</w:t>
      </w:r>
      <w:r w:rsidRPr="00ED0FB0">
        <w:t xml:space="preserve"> </w:t>
      </w:r>
      <w:r w:rsidRPr="00ED0FB0">
        <w:rPr>
          <w:i/>
        </w:rPr>
        <w:t>euro</w:t>
      </w:r>
      <w:r w:rsidRPr="00ED0FB0">
        <w:t>, plus darba devēja valsts sociālās apdrošināšanas obligātā iemaksas 23</w:t>
      </w:r>
      <w:r w:rsidR="00237C83" w:rsidRPr="00ED0FB0">
        <w:t>,</w:t>
      </w:r>
      <w:r w:rsidRPr="00ED0FB0">
        <w:t>59</w:t>
      </w:r>
      <w:r w:rsidR="003827F7" w:rsidRPr="00ED0FB0">
        <w:t>%</w:t>
      </w:r>
      <w:r w:rsidRPr="00ED0FB0">
        <w:t xml:space="preserve"> apmērā</w:t>
      </w:r>
      <w:r w:rsidR="000849E2" w:rsidRPr="00ED0FB0">
        <w:t>, kas sastāda</w:t>
      </w:r>
      <w:r w:rsidRPr="00ED0FB0">
        <w:t xml:space="preserve"> </w:t>
      </w:r>
      <w:r w:rsidR="002626CC" w:rsidRPr="00ED0FB0">
        <w:t>55 144</w:t>
      </w:r>
      <w:r w:rsidRPr="00ED0FB0">
        <w:t xml:space="preserve"> </w:t>
      </w:r>
      <w:r w:rsidRPr="00ED0FB0">
        <w:rPr>
          <w:i/>
        </w:rPr>
        <w:t>euro</w:t>
      </w:r>
      <w:r w:rsidR="00B141C5" w:rsidRPr="00ED0FB0">
        <w:rPr>
          <w:i/>
        </w:rPr>
        <w:t xml:space="preserve"> </w:t>
      </w:r>
      <w:r w:rsidR="00B141C5" w:rsidRPr="00ED0FB0">
        <w:t>gadā</w:t>
      </w:r>
      <w:r w:rsidR="000849E2" w:rsidRPr="00ED0FB0">
        <w:rPr>
          <w:i/>
        </w:rPr>
        <w:t>.</w:t>
      </w:r>
      <w:r w:rsidRPr="00ED0FB0">
        <w:t xml:space="preserve"> </w:t>
      </w:r>
      <w:r w:rsidR="00E147F0" w:rsidRPr="00ED0FB0">
        <w:t>Līdz ar to atalgojuma fonda palielināšanai</w:t>
      </w:r>
      <w:r w:rsidRPr="00ED0FB0">
        <w:t xml:space="preserve"> kopsummā </w:t>
      </w:r>
      <w:r w:rsidR="00E147F0" w:rsidRPr="00ED0FB0">
        <w:t>nepieciešami</w:t>
      </w:r>
      <w:r w:rsidRPr="00ED0FB0">
        <w:t xml:space="preserve"> </w:t>
      </w:r>
      <w:r w:rsidR="002626CC" w:rsidRPr="00ED0FB0">
        <w:t>288 904</w:t>
      </w:r>
      <w:r w:rsidRPr="00ED0FB0">
        <w:t xml:space="preserve"> </w:t>
      </w:r>
      <w:r w:rsidRPr="00ED0FB0">
        <w:rPr>
          <w:i/>
        </w:rPr>
        <w:t>euro</w:t>
      </w:r>
      <w:r w:rsidR="00B141C5" w:rsidRPr="00ED0FB0">
        <w:t xml:space="preserve"> gadā no 2017.gada</w:t>
      </w:r>
      <w:r w:rsidRPr="00ED0FB0">
        <w:t>.</w:t>
      </w:r>
      <w:r w:rsidR="00B141C5" w:rsidRPr="00ED0FB0">
        <w:t xml:space="preserve"> Savukārt 2016.gadā no 1.septembra papildus nepieciešami 24 075 </w:t>
      </w:r>
      <w:r w:rsidR="00B141C5" w:rsidRPr="00ED0FB0">
        <w:rPr>
          <w:i/>
        </w:rPr>
        <w:t>euro</w:t>
      </w:r>
      <w:r w:rsidR="00B141C5" w:rsidRPr="00ED0FB0">
        <w:t xml:space="preserve"> mēnesī (19 480 + soc</w:t>
      </w:r>
      <w:r w:rsidR="00D8341A">
        <w:t xml:space="preserve">iālais </w:t>
      </w:r>
      <w:r w:rsidR="00B141C5" w:rsidRPr="00ED0FB0">
        <w:t>nod</w:t>
      </w:r>
      <w:r w:rsidR="00D8341A">
        <w:t xml:space="preserve">oklis </w:t>
      </w:r>
      <w:r w:rsidR="00B141C5" w:rsidRPr="00ED0FB0">
        <w:t xml:space="preserve">4 595 =24 075), kas līdz gada beigām sastāda 96 300 </w:t>
      </w:r>
      <w:r w:rsidR="00B141C5" w:rsidRPr="00ED0FB0">
        <w:rPr>
          <w:i/>
        </w:rPr>
        <w:t>euro</w:t>
      </w:r>
      <w:r w:rsidR="00B141C5" w:rsidRPr="00ED0FB0">
        <w:t>.</w:t>
      </w:r>
    </w:p>
    <w:p w14:paraId="2F3435CE" w14:textId="77777777" w:rsidR="00BC370C" w:rsidRPr="005B23CC" w:rsidRDefault="00BC370C" w:rsidP="0028561A">
      <w:pPr>
        <w:ind w:firstLine="459"/>
        <w:jc w:val="both"/>
        <w:rPr>
          <w:sz w:val="14"/>
          <w:szCs w:val="14"/>
        </w:rPr>
      </w:pPr>
    </w:p>
    <w:p w14:paraId="0100E200" w14:textId="77777777" w:rsidR="008E111E" w:rsidRDefault="00BC370C" w:rsidP="00BC370C">
      <w:pPr>
        <w:ind w:firstLine="459"/>
        <w:jc w:val="right"/>
      </w:pPr>
      <w:r w:rsidRPr="007D0A59">
        <w:t>19.</w:t>
      </w:r>
      <w:r w:rsidR="008E111E" w:rsidRPr="007D0A59">
        <w:t>tabula</w:t>
      </w:r>
    </w:p>
    <w:p w14:paraId="19EADC64" w14:textId="77777777" w:rsidR="007D0A59" w:rsidRPr="005B23CC" w:rsidRDefault="007D0A59" w:rsidP="00BC370C">
      <w:pPr>
        <w:ind w:firstLine="459"/>
        <w:jc w:val="right"/>
        <w:rPr>
          <w:sz w:val="16"/>
          <w:szCs w:val="16"/>
        </w:rPr>
      </w:pPr>
    </w:p>
    <w:p w14:paraId="62159941" w14:textId="77777777" w:rsidR="004B3109" w:rsidRPr="007D0A59" w:rsidRDefault="008E111E" w:rsidP="007D0A59">
      <w:pPr>
        <w:spacing w:after="120"/>
        <w:ind w:firstLine="459"/>
        <w:jc w:val="center"/>
      </w:pPr>
      <w:r w:rsidRPr="007D0A59">
        <w:rPr>
          <w:b/>
        </w:rPr>
        <w:t>Nodarbināto mēnešalgas palielinājums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559"/>
        <w:gridCol w:w="1843"/>
        <w:gridCol w:w="1843"/>
      </w:tblGrid>
      <w:tr w:rsidR="00D10294" w:rsidRPr="006F3EC3" w14:paraId="6AAAD6DC" w14:textId="77777777" w:rsidTr="000121BB">
        <w:trPr>
          <w:cantSplit/>
          <w:trHeight w:val="1134"/>
          <w:jc w:val="center"/>
        </w:trPr>
        <w:tc>
          <w:tcPr>
            <w:tcW w:w="675" w:type="dxa"/>
            <w:shd w:val="clear" w:color="auto" w:fill="auto"/>
            <w:textDirection w:val="btLr"/>
          </w:tcPr>
          <w:p w14:paraId="71A54F67" w14:textId="77777777" w:rsidR="00D10294" w:rsidRPr="00ED0FB0" w:rsidRDefault="00D10294" w:rsidP="00531C82">
            <w:pPr>
              <w:ind w:left="113" w:right="113"/>
              <w:jc w:val="center"/>
            </w:pPr>
            <w:r w:rsidRPr="00ED0FB0">
              <w:t>Nr.p.k.</w:t>
            </w:r>
          </w:p>
        </w:tc>
        <w:tc>
          <w:tcPr>
            <w:tcW w:w="3544" w:type="dxa"/>
            <w:shd w:val="clear" w:color="auto" w:fill="auto"/>
            <w:vAlign w:val="center"/>
          </w:tcPr>
          <w:p w14:paraId="6DE42371" w14:textId="77777777" w:rsidR="00D10294" w:rsidRPr="00ED0FB0" w:rsidRDefault="00D10294" w:rsidP="00531C82">
            <w:pPr>
              <w:jc w:val="center"/>
            </w:pPr>
            <w:r w:rsidRPr="00ED0FB0">
              <w:t>Amats</w:t>
            </w:r>
          </w:p>
        </w:tc>
        <w:tc>
          <w:tcPr>
            <w:tcW w:w="1559" w:type="dxa"/>
            <w:shd w:val="clear" w:color="auto" w:fill="auto"/>
            <w:vAlign w:val="center"/>
          </w:tcPr>
          <w:p w14:paraId="64309E29" w14:textId="77777777" w:rsidR="00D10294" w:rsidRPr="00ED0FB0" w:rsidRDefault="00D10294" w:rsidP="007D0A59">
            <w:pPr>
              <w:jc w:val="center"/>
            </w:pPr>
            <w:r w:rsidRPr="00ED0FB0">
              <w:t>Darbinieku skaits</w:t>
            </w:r>
          </w:p>
        </w:tc>
        <w:tc>
          <w:tcPr>
            <w:tcW w:w="1843" w:type="dxa"/>
            <w:shd w:val="clear" w:color="auto" w:fill="auto"/>
            <w:vAlign w:val="center"/>
          </w:tcPr>
          <w:p w14:paraId="38306B54" w14:textId="77777777" w:rsidR="00D10294" w:rsidRPr="00ED0FB0" w:rsidRDefault="00D10294" w:rsidP="007D0A59">
            <w:pPr>
              <w:jc w:val="center"/>
            </w:pPr>
            <w:r w:rsidRPr="00ED0FB0">
              <w:t xml:space="preserve">Mēnešalgas palielinājums </w:t>
            </w:r>
            <w:r w:rsidR="00BC370C" w:rsidRPr="00ED0FB0">
              <w:t xml:space="preserve">uz cilvēku </w:t>
            </w:r>
            <w:r w:rsidRPr="00ED0FB0">
              <w:t>(</w:t>
            </w:r>
            <w:r w:rsidRPr="000121BB">
              <w:rPr>
                <w:i/>
              </w:rPr>
              <w:t>euro</w:t>
            </w:r>
            <w:r w:rsidRPr="00ED0FB0">
              <w:t>)</w:t>
            </w:r>
            <w:r w:rsidR="003A03D6" w:rsidRPr="00ED0FB0">
              <w:t xml:space="preserve"> mēnesī</w:t>
            </w:r>
          </w:p>
        </w:tc>
        <w:tc>
          <w:tcPr>
            <w:tcW w:w="1843" w:type="dxa"/>
            <w:shd w:val="clear" w:color="auto" w:fill="auto"/>
            <w:vAlign w:val="center"/>
          </w:tcPr>
          <w:p w14:paraId="34924697" w14:textId="77777777" w:rsidR="00D10294" w:rsidRPr="00ED0FB0" w:rsidRDefault="00D10294" w:rsidP="007D0A59">
            <w:pPr>
              <w:jc w:val="center"/>
            </w:pPr>
            <w:r w:rsidRPr="00ED0FB0">
              <w:t>Mēnešalga</w:t>
            </w:r>
            <w:r w:rsidR="00BC370C" w:rsidRPr="00ED0FB0">
              <w:t>s palielinājums</w:t>
            </w:r>
            <w:r w:rsidRPr="00ED0FB0">
              <w:t xml:space="preserve"> kopā (</w:t>
            </w:r>
            <w:r w:rsidRPr="000121BB">
              <w:rPr>
                <w:i/>
              </w:rPr>
              <w:t>euro</w:t>
            </w:r>
            <w:r w:rsidRPr="00ED0FB0">
              <w:t>)</w:t>
            </w:r>
            <w:r w:rsidR="00E85FF5" w:rsidRPr="00ED0FB0">
              <w:t xml:space="preserve"> mēnesī</w:t>
            </w:r>
          </w:p>
        </w:tc>
      </w:tr>
      <w:tr w:rsidR="00D10294" w:rsidRPr="006F3EC3" w14:paraId="42C3D3F2" w14:textId="77777777" w:rsidTr="009D46B2">
        <w:trPr>
          <w:jc w:val="center"/>
        </w:trPr>
        <w:tc>
          <w:tcPr>
            <w:tcW w:w="675" w:type="dxa"/>
            <w:shd w:val="clear" w:color="auto" w:fill="auto"/>
          </w:tcPr>
          <w:p w14:paraId="3701A51E" w14:textId="77777777" w:rsidR="00D10294" w:rsidRPr="00ED0FB0" w:rsidRDefault="00D10294" w:rsidP="00531C82">
            <w:pPr>
              <w:jc w:val="both"/>
            </w:pPr>
            <w:r w:rsidRPr="00ED0FB0">
              <w:t>1.</w:t>
            </w:r>
          </w:p>
        </w:tc>
        <w:tc>
          <w:tcPr>
            <w:tcW w:w="3544" w:type="dxa"/>
            <w:shd w:val="clear" w:color="auto" w:fill="auto"/>
          </w:tcPr>
          <w:p w14:paraId="552838A7" w14:textId="77777777" w:rsidR="00D10294" w:rsidRPr="00ED0FB0" w:rsidRDefault="00D10294" w:rsidP="00531C82">
            <w:pPr>
              <w:jc w:val="both"/>
            </w:pPr>
            <w:r w:rsidRPr="00ED0FB0">
              <w:t>Direktors</w:t>
            </w:r>
          </w:p>
        </w:tc>
        <w:tc>
          <w:tcPr>
            <w:tcW w:w="1559" w:type="dxa"/>
            <w:shd w:val="clear" w:color="auto" w:fill="auto"/>
          </w:tcPr>
          <w:p w14:paraId="031246D3" w14:textId="77777777" w:rsidR="00D10294" w:rsidRPr="00ED0FB0" w:rsidRDefault="00D10294" w:rsidP="007D0A59">
            <w:pPr>
              <w:jc w:val="center"/>
            </w:pPr>
            <w:r w:rsidRPr="00ED0FB0">
              <w:t>1</w:t>
            </w:r>
          </w:p>
        </w:tc>
        <w:tc>
          <w:tcPr>
            <w:tcW w:w="1843" w:type="dxa"/>
            <w:shd w:val="clear" w:color="auto" w:fill="auto"/>
          </w:tcPr>
          <w:p w14:paraId="6F33AC32" w14:textId="77777777" w:rsidR="00D10294" w:rsidRPr="00ED0FB0" w:rsidRDefault="00D10294" w:rsidP="007D0A59">
            <w:pPr>
              <w:jc w:val="center"/>
            </w:pPr>
            <w:r w:rsidRPr="00ED0FB0">
              <w:t>329</w:t>
            </w:r>
          </w:p>
        </w:tc>
        <w:tc>
          <w:tcPr>
            <w:tcW w:w="1843" w:type="dxa"/>
            <w:shd w:val="clear" w:color="auto" w:fill="auto"/>
          </w:tcPr>
          <w:p w14:paraId="2C61E611" w14:textId="77777777" w:rsidR="00D10294" w:rsidRPr="00ED0FB0" w:rsidRDefault="00D10294" w:rsidP="007D0A59">
            <w:pPr>
              <w:jc w:val="center"/>
            </w:pPr>
            <w:r w:rsidRPr="00ED0FB0">
              <w:t>329</w:t>
            </w:r>
          </w:p>
        </w:tc>
      </w:tr>
      <w:tr w:rsidR="00846484" w:rsidRPr="006F3EC3" w14:paraId="19E82ABC" w14:textId="77777777" w:rsidTr="009D46B2">
        <w:trPr>
          <w:jc w:val="center"/>
        </w:trPr>
        <w:tc>
          <w:tcPr>
            <w:tcW w:w="675" w:type="dxa"/>
            <w:shd w:val="clear" w:color="auto" w:fill="auto"/>
          </w:tcPr>
          <w:p w14:paraId="6DA6C679" w14:textId="77777777" w:rsidR="00D10294" w:rsidRPr="00ED0FB0" w:rsidRDefault="00D10294" w:rsidP="00531C82">
            <w:pPr>
              <w:jc w:val="both"/>
            </w:pPr>
            <w:r w:rsidRPr="00ED0FB0">
              <w:t>2.</w:t>
            </w:r>
          </w:p>
        </w:tc>
        <w:tc>
          <w:tcPr>
            <w:tcW w:w="3544" w:type="dxa"/>
            <w:shd w:val="clear" w:color="auto" w:fill="auto"/>
          </w:tcPr>
          <w:p w14:paraId="32190ED0" w14:textId="77777777" w:rsidR="00D10294" w:rsidRPr="00ED0FB0" w:rsidRDefault="00D10294" w:rsidP="00531C82">
            <w:pPr>
              <w:jc w:val="both"/>
            </w:pPr>
            <w:r w:rsidRPr="00ED0FB0">
              <w:t>Direktora vietnieks</w:t>
            </w:r>
          </w:p>
        </w:tc>
        <w:tc>
          <w:tcPr>
            <w:tcW w:w="1559" w:type="dxa"/>
            <w:shd w:val="clear" w:color="auto" w:fill="auto"/>
          </w:tcPr>
          <w:p w14:paraId="065A08F9" w14:textId="77777777" w:rsidR="00D10294" w:rsidRPr="00ED0FB0" w:rsidRDefault="00D10294" w:rsidP="007D0A59">
            <w:pPr>
              <w:jc w:val="center"/>
            </w:pPr>
            <w:r w:rsidRPr="00ED0FB0">
              <w:t>1</w:t>
            </w:r>
          </w:p>
        </w:tc>
        <w:tc>
          <w:tcPr>
            <w:tcW w:w="1843" w:type="dxa"/>
            <w:shd w:val="clear" w:color="auto" w:fill="auto"/>
          </w:tcPr>
          <w:p w14:paraId="4716EFE7" w14:textId="77777777" w:rsidR="00D10294" w:rsidRPr="00ED0FB0" w:rsidRDefault="00D10294" w:rsidP="00031EA6">
            <w:pPr>
              <w:jc w:val="center"/>
            </w:pPr>
            <w:r w:rsidRPr="00ED0FB0">
              <w:t>2</w:t>
            </w:r>
            <w:r w:rsidR="00031EA6" w:rsidRPr="00ED0FB0">
              <w:t>7</w:t>
            </w:r>
          </w:p>
        </w:tc>
        <w:tc>
          <w:tcPr>
            <w:tcW w:w="1843" w:type="dxa"/>
            <w:shd w:val="clear" w:color="auto" w:fill="auto"/>
          </w:tcPr>
          <w:p w14:paraId="55FE5AA4" w14:textId="77777777" w:rsidR="00D10294" w:rsidRPr="00ED0FB0" w:rsidRDefault="00D10294" w:rsidP="00031EA6">
            <w:pPr>
              <w:jc w:val="center"/>
            </w:pPr>
            <w:r w:rsidRPr="00ED0FB0">
              <w:t>2</w:t>
            </w:r>
            <w:r w:rsidR="00031EA6" w:rsidRPr="00ED0FB0">
              <w:t>7</w:t>
            </w:r>
          </w:p>
        </w:tc>
      </w:tr>
      <w:tr w:rsidR="00D10294" w:rsidRPr="006F3EC3" w14:paraId="7CD96104" w14:textId="77777777" w:rsidTr="009D46B2">
        <w:trPr>
          <w:jc w:val="center"/>
        </w:trPr>
        <w:tc>
          <w:tcPr>
            <w:tcW w:w="675" w:type="dxa"/>
            <w:shd w:val="clear" w:color="auto" w:fill="auto"/>
          </w:tcPr>
          <w:p w14:paraId="7ABC2A03" w14:textId="77777777" w:rsidR="00D10294" w:rsidRPr="00ED0FB0" w:rsidRDefault="00D10294" w:rsidP="00531C82">
            <w:pPr>
              <w:jc w:val="both"/>
            </w:pPr>
            <w:r w:rsidRPr="00ED0FB0">
              <w:t>3.</w:t>
            </w:r>
          </w:p>
        </w:tc>
        <w:tc>
          <w:tcPr>
            <w:tcW w:w="3544" w:type="dxa"/>
            <w:shd w:val="clear" w:color="auto" w:fill="auto"/>
          </w:tcPr>
          <w:p w14:paraId="1FA4AC61" w14:textId="77777777" w:rsidR="00D10294" w:rsidRPr="00ED0FB0" w:rsidRDefault="00D10294" w:rsidP="00531C82">
            <w:pPr>
              <w:jc w:val="both"/>
            </w:pPr>
            <w:r w:rsidRPr="00ED0FB0">
              <w:t>Departamenta direktors</w:t>
            </w:r>
          </w:p>
        </w:tc>
        <w:tc>
          <w:tcPr>
            <w:tcW w:w="1559" w:type="dxa"/>
            <w:shd w:val="clear" w:color="auto" w:fill="auto"/>
          </w:tcPr>
          <w:p w14:paraId="0B75BF50" w14:textId="77777777" w:rsidR="00D10294" w:rsidRPr="00ED0FB0" w:rsidRDefault="002626CC" w:rsidP="007D0A59">
            <w:pPr>
              <w:jc w:val="center"/>
            </w:pPr>
            <w:r w:rsidRPr="00ED0FB0">
              <w:t>6</w:t>
            </w:r>
          </w:p>
        </w:tc>
        <w:tc>
          <w:tcPr>
            <w:tcW w:w="1843" w:type="dxa"/>
            <w:shd w:val="clear" w:color="auto" w:fill="auto"/>
          </w:tcPr>
          <w:p w14:paraId="3F390AC6" w14:textId="77777777" w:rsidR="00D10294" w:rsidRPr="00ED0FB0" w:rsidRDefault="00031EA6" w:rsidP="007D0A59">
            <w:pPr>
              <w:jc w:val="center"/>
            </w:pPr>
            <w:r w:rsidRPr="00ED0FB0">
              <w:t>462</w:t>
            </w:r>
          </w:p>
        </w:tc>
        <w:tc>
          <w:tcPr>
            <w:tcW w:w="1843" w:type="dxa"/>
            <w:shd w:val="clear" w:color="auto" w:fill="auto"/>
          </w:tcPr>
          <w:p w14:paraId="0A5F15F0" w14:textId="77777777" w:rsidR="00D10294" w:rsidRPr="00ED0FB0" w:rsidRDefault="002626CC" w:rsidP="00031EA6">
            <w:pPr>
              <w:jc w:val="center"/>
            </w:pPr>
            <w:r w:rsidRPr="00ED0FB0">
              <w:t xml:space="preserve">2 </w:t>
            </w:r>
            <w:r w:rsidR="00031EA6" w:rsidRPr="00ED0FB0">
              <w:t>772</w:t>
            </w:r>
          </w:p>
        </w:tc>
      </w:tr>
      <w:tr w:rsidR="00846484" w:rsidRPr="006F3EC3" w14:paraId="3E924F3D" w14:textId="77777777" w:rsidTr="009D46B2">
        <w:trPr>
          <w:jc w:val="center"/>
        </w:trPr>
        <w:tc>
          <w:tcPr>
            <w:tcW w:w="675" w:type="dxa"/>
            <w:shd w:val="clear" w:color="auto" w:fill="auto"/>
          </w:tcPr>
          <w:p w14:paraId="3A6BC593" w14:textId="77777777" w:rsidR="00846484" w:rsidRPr="00ED0FB0" w:rsidRDefault="00846484" w:rsidP="00531C82">
            <w:pPr>
              <w:jc w:val="both"/>
            </w:pPr>
            <w:r w:rsidRPr="00ED0FB0">
              <w:t>4.</w:t>
            </w:r>
          </w:p>
        </w:tc>
        <w:tc>
          <w:tcPr>
            <w:tcW w:w="3544" w:type="dxa"/>
            <w:shd w:val="clear" w:color="auto" w:fill="auto"/>
          </w:tcPr>
          <w:p w14:paraId="53875A43" w14:textId="77777777" w:rsidR="00846484" w:rsidRPr="00ED0FB0" w:rsidRDefault="002626CC" w:rsidP="00531C82">
            <w:pPr>
              <w:jc w:val="both"/>
            </w:pPr>
            <w:r w:rsidRPr="00ED0FB0">
              <w:t>Departamenta direktora vietnieks, galvenais grāmatvedis</w:t>
            </w:r>
          </w:p>
        </w:tc>
        <w:tc>
          <w:tcPr>
            <w:tcW w:w="1559" w:type="dxa"/>
            <w:shd w:val="clear" w:color="auto" w:fill="auto"/>
          </w:tcPr>
          <w:p w14:paraId="0A9EAF95" w14:textId="77777777" w:rsidR="00846484" w:rsidRPr="00ED0FB0" w:rsidRDefault="00031EA6" w:rsidP="007D0A59">
            <w:pPr>
              <w:jc w:val="center"/>
            </w:pPr>
            <w:r w:rsidRPr="00ED0FB0">
              <w:t>4</w:t>
            </w:r>
          </w:p>
        </w:tc>
        <w:tc>
          <w:tcPr>
            <w:tcW w:w="1843" w:type="dxa"/>
            <w:shd w:val="clear" w:color="auto" w:fill="auto"/>
          </w:tcPr>
          <w:p w14:paraId="04C2A88C" w14:textId="77777777" w:rsidR="00846484" w:rsidRPr="00ED0FB0" w:rsidRDefault="00031EA6" w:rsidP="007D0A59">
            <w:pPr>
              <w:jc w:val="center"/>
            </w:pPr>
            <w:r w:rsidRPr="00ED0FB0">
              <w:t>357</w:t>
            </w:r>
          </w:p>
        </w:tc>
        <w:tc>
          <w:tcPr>
            <w:tcW w:w="1843" w:type="dxa"/>
            <w:shd w:val="clear" w:color="auto" w:fill="auto"/>
          </w:tcPr>
          <w:p w14:paraId="3AC8A5ED" w14:textId="77777777" w:rsidR="00846484" w:rsidRPr="00ED0FB0" w:rsidRDefault="002626CC" w:rsidP="00031EA6">
            <w:pPr>
              <w:jc w:val="center"/>
            </w:pPr>
            <w:r w:rsidRPr="00ED0FB0">
              <w:t xml:space="preserve">1 </w:t>
            </w:r>
            <w:r w:rsidR="00031EA6" w:rsidRPr="00ED0FB0">
              <w:t>428</w:t>
            </w:r>
          </w:p>
        </w:tc>
      </w:tr>
      <w:tr w:rsidR="00846484" w:rsidRPr="006F3EC3" w14:paraId="5742BE4D" w14:textId="77777777" w:rsidTr="009D46B2">
        <w:trPr>
          <w:jc w:val="center"/>
        </w:trPr>
        <w:tc>
          <w:tcPr>
            <w:tcW w:w="675" w:type="dxa"/>
            <w:shd w:val="clear" w:color="auto" w:fill="auto"/>
          </w:tcPr>
          <w:p w14:paraId="0DF69E58" w14:textId="77777777" w:rsidR="00846484" w:rsidRPr="00ED0FB0" w:rsidRDefault="00846484" w:rsidP="00531C82">
            <w:pPr>
              <w:jc w:val="both"/>
            </w:pPr>
            <w:r w:rsidRPr="00ED0FB0">
              <w:t>5.</w:t>
            </w:r>
          </w:p>
        </w:tc>
        <w:tc>
          <w:tcPr>
            <w:tcW w:w="3544" w:type="dxa"/>
            <w:shd w:val="clear" w:color="auto" w:fill="auto"/>
          </w:tcPr>
          <w:p w14:paraId="49255EE0" w14:textId="77777777" w:rsidR="00846484" w:rsidRPr="00ED0FB0" w:rsidRDefault="002626CC" w:rsidP="00531C82">
            <w:pPr>
              <w:jc w:val="both"/>
            </w:pPr>
            <w:r w:rsidRPr="00ED0FB0">
              <w:t>Juriskonsults</w:t>
            </w:r>
          </w:p>
        </w:tc>
        <w:tc>
          <w:tcPr>
            <w:tcW w:w="1559" w:type="dxa"/>
            <w:shd w:val="clear" w:color="auto" w:fill="auto"/>
          </w:tcPr>
          <w:p w14:paraId="39B58719" w14:textId="77777777" w:rsidR="00846484" w:rsidRPr="00ED0FB0" w:rsidRDefault="00031EA6" w:rsidP="007D0A59">
            <w:pPr>
              <w:jc w:val="center"/>
            </w:pPr>
            <w:r w:rsidRPr="00ED0FB0">
              <w:t>11</w:t>
            </w:r>
          </w:p>
        </w:tc>
        <w:tc>
          <w:tcPr>
            <w:tcW w:w="1843" w:type="dxa"/>
            <w:shd w:val="clear" w:color="auto" w:fill="auto"/>
          </w:tcPr>
          <w:p w14:paraId="040CAE1E" w14:textId="77777777" w:rsidR="00846484" w:rsidRPr="00ED0FB0" w:rsidRDefault="002626CC" w:rsidP="00031EA6">
            <w:pPr>
              <w:jc w:val="center"/>
            </w:pPr>
            <w:r w:rsidRPr="00ED0FB0">
              <w:t>4</w:t>
            </w:r>
            <w:r w:rsidR="00031EA6" w:rsidRPr="00ED0FB0">
              <w:t>72</w:t>
            </w:r>
          </w:p>
        </w:tc>
        <w:tc>
          <w:tcPr>
            <w:tcW w:w="1843" w:type="dxa"/>
            <w:shd w:val="clear" w:color="auto" w:fill="auto"/>
          </w:tcPr>
          <w:p w14:paraId="758054D1" w14:textId="77777777" w:rsidR="00846484" w:rsidRPr="00ED0FB0" w:rsidRDefault="00031EA6" w:rsidP="007D0A59">
            <w:pPr>
              <w:jc w:val="center"/>
            </w:pPr>
            <w:r w:rsidRPr="00ED0FB0">
              <w:t>5 192</w:t>
            </w:r>
          </w:p>
        </w:tc>
      </w:tr>
      <w:tr w:rsidR="00D10294" w:rsidRPr="006F3EC3" w14:paraId="6F195354" w14:textId="77777777" w:rsidTr="009D46B2">
        <w:trPr>
          <w:jc w:val="center"/>
        </w:trPr>
        <w:tc>
          <w:tcPr>
            <w:tcW w:w="675" w:type="dxa"/>
            <w:shd w:val="clear" w:color="auto" w:fill="auto"/>
          </w:tcPr>
          <w:p w14:paraId="368B6ADD" w14:textId="77777777" w:rsidR="00D10294" w:rsidRPr="00ED0FB0" w:rsidRDefault="002626CC" w:rsidP="00531C82">
            <w:pPr>
              <w:jc w:val="both"/>
            </w:pPr>
            <w:r w:rsidRPr="00ED0FB0">
              <w:t>6</w:t>
            </w:r>
            <w:r w:rsidR="00D10294" w:rsidRPr="00ED0FB0">
              <w:t>.</w:t>
            </w:r>
          </w:p>
        </w:tc>
        <w:tc>
          <w:tcPr>
            <w:tcW w:w="3544" w:type="dxa"/>
            <w:shd w:val="clear" w:color="auto" w:fill="auto"/>
          </w:tcPr>
          <w:p w14:paraId="1D8F606D" w14:textId="77777777" w:rsidR="00D10294" w:rsidRPr="00ED0FB0" w:rsidRDefault="00EC5E54" w:rsidP="00031EA6">
            <w:pPr>
              <w:jc w:val="both"/>
            </w:pPr>
            <w:r w:rsidRPr="00ED0FB0">
              <w:t>P</w:t>
            </w:r>
            <w:r w:rsidR="006311AE" w:rsidRPr="00ED0FB0">
              <w:t>ersonāla speciālists</w:t>
            </w:r>
            <w:r w:rsidRPr="00ED0FB0">
              <w:t xml:space="preserve"> </w:t>
            </w:r>
          </w:p>
        </w:tc>
        <w:tc>
          <w:tcPr>
            <w:tcW w:w="1559" w:type="dxa"/>
            <w:shd w:val="clear" w:color="auto" w:fill="auto"/>
          </w:tcPr>
          <w:p w14:paraId="2072FBA8" w14:textId="77777777" w:rsidR="00D10294" w:rsidRPr="00ED0FB0" w:rsidRDefault="00031EA6" w:rsidP="007D0A59">
            <w:pPr>
              <w:jc w:val="center"/>
            </w:pPr>
            <w:r w:rsidRPr="00ED0FB0">
              <w:t>1</w:t>
            </w:r>
          </w:p>
        </w:tc>
        <w:tc>
          <w:tcPr>
            <w:tcW w:w="1843" w:type="dxa"/>
            <w:shd w:val="clear" w:color="auto" w:fill="auto"/>
          </w:tcPr>
          <w:p w14:paraId="762D2F80" w14:textId="77777777" w:rsidR="00D10294" w:rsidRPr="00ED0FB0" w:rsidRDefault="00EC5E54" w:rsidP="00031EA6">
            <w:pPr>
              <w:jc w:val="center"/>
            </w:pPr>
            <w:r w:rsidRPr="00ED0FB0">
              <w:t>3</w:t>
            </w:r>
            <w:r w:rsidR="00031EA6" w:rsidRPr="00ED0FB0">
              <w:t>60</w:t>
            </w:r>
          </w:p>
        </w:tc>
        <w:tc>
          <w:tcPr>
            <w:tcW w:w="1843" w:type="dxa"/>
            <w:shd w:val="clear" w:color="auto" w:fill="auto"/>
          </w:tcPr>
          <w:p w14:paraId="3E8428AD" w14:textId="77777777" w:rsidR="00D10294" w:rsidRPr="00ED0FB0" w:rsidRDefault="00031EA6" w:rsidP="007D0A59">
            <w:pPr>
              <w:jc w:val="center"/>
            </w:pPr>
            <w:r w:rsidRPr="00ED0FB0">
              <w:t>360</w:t>
            </w:r>
          </w:p>
        </w:tc>
      </w:tr>
      <w:tr w:rsidR="00D10294" w:rsidRPr="006F3EC3" w14:paraId="05B14103" w14:textId="77777777" w:rsidTr="009D46B2">
        <w:trPr>
          <w:jc w:val="center"/>
        </w:trPr>
        <w:tc>
          <w:tcPr>
            <w:tcW w:w="675" w:type="dxa"/>
            <w:shd w:val="clear" w:color="auto" w:fill="auto"/>
          </w:tcPr>
          <w:p w14:paraId="399EBF98" w14:textId="77777777" w:rsidR="00D10294" w:rsidRPr="00ED0FB0" w:rsidRDefault="002626CC" w:rsidP="00531C82">
            <w:pPr>
              <w:jc w:val="both"/>
            </w:pPr>
            <w:r w:rsidRPr="00ED0FB0">
              <w:t>7</w:t>
            </w:r>
            <w:r w:rsidR="00D10294" w:rsidRPr="00ED0FB0">
              <w:t>.</w:t>
            </w:r>
          </w:p>
        </w:tc>
        <w:tc>
          <w:tcPr>
            <w:tcW w:w="3544" w:type="dxa"/>
            <w:shd w:val="clear" w:color="auto" w:fill="auto"/>
          </w:tcPr>
          <w:p w14:paraId="1A28EA49" w14:textId="77777777" w:rsidR="00D10294" w:rsidRPr="00ED0FB0" w:rsidRDefault="00643540" w:rsidP="00031EA6">
            <w:r w:rsidRPr="00ED0FB0">
              <w:t>Juriskonsults, finansists</w:t>
            </w:r>
            <w:r w:rsidR="00031EA6" w:rsidRPr="00ED0FB0">
              <w:t>, iepirkuma un apgādes speciālists</w:t>
            </w:r>
          </w:p>
        </w:tc>
        <w:tc>
          <w:tcPr>
            <w:tcW w:w="1559" w:type="dxa"/>
            <w:shd w:val="clear" w:color="auto" w:fill="auto"/>
          </w:tcPr>
          <w:p w14:paraId="2EB0B19C" w14:textId="77777777" w:rsidR="00D10294" w:rsidRPr="00ED0FB0" w:rsidRDefault="00031EA6" w:rsidP="007D0A59">
            <w:pPr>
              <w:jc w:val="center"/>
            </w:pPr>
            <w:r w:rsidRPr="00ED0FB0">
              <w:t>11</w:t>
            </w:r>
          </w:p>
        </w:tc>
        <w:tc>
          <w:tcPr>
            <w:tcW w:w="1843" w:type="dxa"/>
            <w:shd w:val="clear" w:color="auto" w:fill="auto"/>
          </w:tcPr>
          <w:p w14:paraId="4B9A8543" w14:textId="77777777" w:rsidR="00D10294" w:rsidRPr="00ED0FB0" w:rsidRDefault="000F1894" w:rsidP="007D0A59">
            <w:pPr>
              <w:jc w:val="center"/>
            </w:pPr>
            <w:r w:rsidRPr="00ED0FB0">
              <w:t>375</w:t>
            </w:r>
          </w:p>
        </w:tc>
        <w:tc>
          <w:tcPr>
            <w:tcW w:w="1843" w:type="dxa"/>
            <w:shd w:val="clear" w:color="auto" w:fill="auto"/>
          </w:tcPr>
          <w:p w14:paraId="01F74225" w14:textId="77777777" w:rsidR="00D10294" w:rsidRPr="00ED0FB0" w:rsidRDefault="00031EA6" w:rsidP="007D0A59">
            <w:pPr>
              <w:jc w:val="center"/>
            </w:pPr>
            <w:r w:rsidRPr="00ED0FB0">
              <w:t>4 125</w:t>
            </w:r>
          </w:p>
        </w:tc>
      </w:tr>
      <w:tr w:rsidR="00031EA6" w:rsidRPr="006F3EC3" w14:paraId="22A2C591" w14:textId="77777777" w:rsidTr="009D46B2">
        <w:trPr>
          <w:jc w:val="center"/>
        </w:trPr>
        <w:tc>
          <w:tcPr>
            <w:tcW w:w="675" w:type="dxa"/>
            <w:shd w:val="clear" w:color="auto" w:fill="auto"/>
          </w:tcPr>
          <w:p w14:paraId="7C17D313" w14:textId="77777777" w:rsidR="00031EA6" w:rsidRPr="00ED0FB0" w:rsidRDefault="00031EA6" w:rsidP="00531C82">
            <w:pPr>
              <w:jc w:val="both"/>
            </w:pPr>
            <w:r w:rsidRPr="00ED0FB0">
              <w:t>8.</w:t>
            </w:r>
          </w:p>
        </w:tc>
        <w:tc>
          <w:tcPr>
            <w:tcW w:w="3544" w:type="dxa"/>
            <w:shd w:val="clear" w:color="auto" w:fill="auto"/>
          </w:tcPr>
          <w:p w14:paraId="39097F92" w14:textId="77777777" w:rsidR="00031EA6" w:rsidRPr="00ED0FB0" w:rsidRDefault="00031EA6" w:rsidP="00531C82">
            <w:pPr>
              <w:jc w:val="both"/>
            </w:pPr>
            <w:r w:rsidRPr="00ED0FB0">
              <w:t>IT speciālists</w:t>
            </w:r>
          </w:p>
        </w:tc>
        <w:tc>
          <w:tcPr>
            <w:tcW w:w="1559" w:type="dxa"/>
            <w:shd w:val="clear" w:color="auto" w:fill="auto"/>
          </w:tcPr>
          <w:p w14:paraId="3C6FE286" w14:textId="77777777" w:rsidR="00031EA6" w:rsidRPr="00ED0FB0" w:rsidRDefault="00031EA6" w:rsidP="007D0A59">
            <w:pPr>
              <w:jc w:val="center"/>
            </w:pPr>
            <w:r w:rsidRPr="00ED0FB0">
              <w:t>1</w:t>
            </w:r>
          </w:p>
        </w:tc>
        <w:tc>
          <w:tcPr>
            <w:tcW w:w="1843" w:type="dxa"/>
            <w:shd w:val="clear" w:color="auto" w:fill="auto"/>
          </w:tcPr>
          <w:p w14:paraId="2B520A65" w14:textId="77777777" w:rsidR="00031EA6" w:rsidRPr="00ED0FB0" w:rsidRDefault="00031EA6" w:rsidP="007D0A59">
            <w:pPr>
              <w:jc w:val="center"/>
            </w:pPr>
            <w:r w:rsidRPr="00ED0FB0">
              <w:t>615</w:t>
            </w:r>
          </w:p>
        </w:tc>
        <w:tc>
          <w:tcPr>
            <w:tcW w:w="1843" w:type="dxa"/>
            <w:shd w:val="clear" w:color="auto" w:fill="auto"/>
          </w:tcPr>
          <w:p w14:paraId="056584C2" w14:textId="77777777" w:rsidR="00031EA6" w:rsidRPr="00ED0FB0" w:rsidRDefault="00031EA6" w:rsidP="007D0A59">
            <w:pPr>
              <w:jc w:val="center"/>
            </w:pPr>
            <w:r w:rsidRPr="00ED0FB0">
              <w:t>615</w:t>
            </w:r>
          </w:p>
        </w:tc>
      </w:tr>
      <w:tr w:rsidR="00D10294" w:rsidRPr="006F3EC3" w14:paraId="4468330E" w14:textId="77777777" w:rsidTr="009D46B2">
        <w:trPr>
          <w:jc w:val="center"/>
        </w:trPr>
        <w:tc>
          <w:tcPr>
            <w:tcW w:w="675" w:type="dxa"/>
            <w:shd w:val="clear" w:color="auto" w:fill="auto"/>
          </w:tcPr>
          <w:p w14:paraId="59822344" w14:textId="77777777" w:rsidR="00D10294" w:rsidRPr="00ED0FB0" w:rsidRDefault="00031EA6" w:rsidP="00531C82">
            <w:pPr>
              <w:jc w:val="both"/>
            </w:pPr>
            <w:r w:rsidRPr="00ED0FB0">
              <w:t>9</w:t>
            </w:r>
            <w:r w:rsidR="00D10294" w:rsidRPr="00ED0FB0">
              <w:t>.</w:t>
            </w:r>
          </w:p>
        </w:tc>
        <w:tc>
          <w:tcPr>
            <w:tcW w:w="3544" w:type="dxa"/>
            <w:shd w:val="clear" w:color="auto" w:fill="auto"/>
          </w:tcPr>
          <w:p w14:paraId="708FCE81" w14:textId="77777777" w:rsidR="00D10294" w:rsidRPr="00ED0FB0" w:rsidRDefault="000F1894" w:rsidP="00531C82">
            <w:pPr>
              <w:jc w:val="both"/>
            </w:pPr>
            <w:r w:rsidRPr="00ED0FB0">
              <w:t>Jaunākais juriskonsults</w:t>
            </w:r>
          </w:p>
        </w:tc>
        <w:tc>
          <w:tcPr>
            <w:tcW w:w="1559" w:type="dxa"/>
            <w:shd w:val="clear" w:color="auto" w:fill="auto"/>
          </w:tcPr>
          <w:p w14:paraId="57F20CCB" w14:textId="77777777" w:rsidR="00D10294" w:rsidRPr="00ED0FB0" w:rsidRDefault="00D10294" w:rsidP="007D0A59">
            <w:pPr>
              <w:jc w:val="center"/>
            </w:pPr>
            <w:r w:rsidRPr="00ED0FB0">
              <w:t>1</w:t>
            </w:r>
          </w:p>
        </w:tc>
        <w:tc>
          <w:tcPr>
            <w:tcW w:w="1843" w:type="dxa"/>
            <w:shd w:val="clear" w:color="auto" w:fill="auto"/>
          </w:tcPr>
          <w:p w14:paraId="7BE1B12B" w14:textId="77777777" w:rsidR="00D10294" w:rsidRPr="00ED0FB0" w:rsidRDefault="00031EA6" w:rsidP="007D0A59">
            <w:pPr>
              <w:jc w:val="center"/>
            </w:pPr>
            <w:r w:rsidRPr="00ED0FB0">
              <w:t>431</w:t>
            </w:r>
          </w:p>
        </w:tc>
        <w:tc>
          <w:tcPr>
            <w:tcW w:w="1843" w:type="dxa"/>
            <w:shd w:val="clear" w:color="auto" w:fill="auto"/>
          </w:tcPr>
          <w:p w14:paraId="1C56AE44" w14:textId="77777777" w:rsidR="00D10294" w:rsidRPr="00ED0FB0" w:rsidRDefault="00031EA6" w:rsidP="007D0A59">
            <w:pPr>
              <w:jc w:val="center"/>
            </w:pPr>
            <w:r w:rsidRPr="00ED0FB0">
              <w:t>431</w:t>
            </w:r>
          </w:p>
        </w:tc>
      </w:tr>
      <w:tr w:rsidR="00D10294" w:rsidRPr="006F3EC3" w14:paraId="535E7A38" w14:textId="77777777" w:rsidTr="009D46B2">
        <w:trPr>
          <w:jc w:val="center"/>
        </w:trPr>
        <w:tc>
          <w:tcPr>
            <w:tcW w:w="675" w:type="dxa"/>
            <w:shd w:val="clear" w:color="auto" w:fill="auto"/>
          </w:tcPr>
          <w:p w14:paraId="6C7B7D72" w14:textId="77777777" w:rsidR="00D10294" w:rsidRPr="00ED0FB0" w:rsidRDefault="00D14D35" w:rsidP="00531C82">
            <w:pPr>
              <w:jc w:val="both"/>
            </w:pPr>
            <w:r w:rsidRPr="00ED0FB0">
              <w:t>10</w:t>
            </w:r>
            <w:r w:rsidR="00D10294" w:rsidRPr="00ED0FB0">
              <w:t>.</w:t>
            </w:r>
          </w:p>
        </w:tc>
        <w:tc>
          <w:tcPr>
            <w:tcW w:w="3544" w:type="dxa"/>
            <w:shd w:val="clear" w:color="auto" w:fill="auto"/>
          </w:tcPr>
          <w:p w14:paraId="588864B1" w14:textId="77777777" w:rsidR="00D10294" w:rsidRPr="00ED0FB0" w:rsidRDefault="000F1894" w:rsidP="00531C82">
            <w:pPr>
              <w:jc w:val="both"/>
            </w:pPr>
            <w:r w:rsidRPr="00ED0FB0">
              <w:t>Juriskonsults</w:t>
            </w:r>
          </w:p>
        </w:tc>
        <w:tc>
          <w:tcPr>
            <w:tcW w:w="1559" w:type="dxa"/>
            <w:shd w:val="clear" w:color="auto" w:fill="auto"/>
          </w:tcPr>
          <w:p w14:paraId="038BB1E5" w14:textId="77777777" w:rsidR="00D10294" w:rsidRPr="00ED0FB0" w:rsidRDefault="00031EA6" w:rsidP="007D0A59">
            <w:pPr>
              <w:jc w:val="center"/>
            </w:pPr>
            <w:r w:rsidRPr="00ED0FB0">
              <w:t>6</w:t>
            </w:r>
          </w:p>
        </w:tc>
        <w:tc>
          <w:tcPr>
            <w:tcW w:w="1843" w:type="dxa"/>
            <w:shd w:val="clear" w:color="auto" w:fill="auto"/>
          </w:tcPr>
          <w:p w14:paraId="21345EA2" w14:textId="77777777" w:rsidR="00D10294" w:rsidRPr="00ED0FB0" w:rsidRDefault="00031EA6" w:rsidP="007D0A59">
            <w:pPr>
              <w:jc w:val="center"/>
            </w:pPr>
            <w:r w:rsidRPr="00ED0FB0">
              <w:t>293</w:t>
            </w:r>
          </w:p>
        </w:tc>
        <w:tc>
          <w:tcPr>
            <w:tcW w:w="1843" w:type="dxa"/>
            <w:shd w:val="clear" w:color="auto" w:fill="auto"/>
          </w:tcPr>
          <w:p w14:paraId="711F286B" w14:textId="77777777" w:rsidR="00D10294" w:rsidRPr="00ED0FB0" w:rsidRDefault="00031EA6" w:rsidP="007D0A59">
            <w:pPr>
              <w:jc w:val="center"/>
            </w:pPr>
            <w:r w:rsidRPr="00ED0FB0">
              <w:t>1 758</w:t>
            </w:r>
          </w:p>
        </w:tc>
      </w:tr>
      <w:tr w:rsidR="00D10294" w:rsidRPr="006F3EC3" w14:paraId="15E139CF" w14:textId="77777777" w:rsidTr="009D46B2">
        <w:trPr>
          <w:jc w:val="center"/>
        </w:trPr>
        <w:tc>
          <w:tcPr>
            <w:tcW w:w="675" w:type="dxa"/>
            <w:shd w:val="clear" w:color="auto" w:fill="auto"/>
          </w:tcPr>
          <w:p w14:paraId="6A839F2B" w14:textId="77777777" w:rsidR="00D10294" w:rsidRPr="00ED0FB0" w:rsidRDefault="002626CC" w:rsidP="00D14D35">
            <w:pPr>
              <w:jc w:val="both"/>
            </w:pPr>
            <w:r w:rsidRPr="00ED0FB0">
              <w:t>1</w:t>
            </w:r>
            <w:r w:rsidR="00D14D35" w:rsidRPr="00ED0FB0">
              <w:t>1</w:t>
            </w:r>
            <w:r w:rsidR="00D10294" w:rsidRPr="00ED0FB0">
              <w:t>.</w:t>
            </w:r>
          </w:p>
        </w:tc>
        <w:tc>
          <w:tcPr>
            <w:tcW w:w="3544" w:type="dxa"/>
            <w:shd w:val="clear" w:color="auto" w:fill="auto"/>
          </w:tcPr>
          <w:p w14:paraId="567E12E1" w14:textId="77777777" w:rsidR="00D10294" w:rsidRPr="00ED0FB0" w:rsidRDefault="00E0530F" w:rsidP="00531C82">
            <w:pPr>
              <w:jc w:val="both"/>
            </w:pPr>
            <w:r w:rsidRPr="00ED0FB0">
              <w:t>Finansists</w:t>
            </w:r>
          </w:p>
        </w:tc>
        <w:tc>
          <w:tcPr>
            <w:tcW w:w="1559" w:type="dxa"/>
            <w:shd w:val="clear" w:color="auto" w:fill="auto"/>
          </w:tcPr>
          <w:p w14:paraId="3DA72EE9" w14:textId="77777777" w:rsidR="00D10294" w:rsidRPr="00ED0FB0" w:rsidRDefault="00D10294" w:rsidP="007D0A59">
            <w:pPr>
              <w:jc w:val="center"/>
            </w:pPr>
            <w:r w:rsidRPr="00ED0FB0">
              <w:t>1</w:t>
            </w:r>
          </w:p>
        </w:tc>
        <w:tc>
          <w:tcPr>
            <w:tcW w:w="1843" w:type="dxa"/>
            <w:shd w:val="clear" w:color="auto" w:fill="auto"/>
          </w:tcPr>
          <w:p w14:paraId="51BF6D12" w14:textId="77777777" w:rsidR="00D10294" w:rsidRPr="00ED0FB0" w:rsidRDefault="00E0530F" w:rsidP="007D0A59">
            <w:pPr>
              <w:jc w:val="center"/>
            </w:pPr>
            <w:r w:rsidRPr="00ED0FB0">
              <w:t>338</w:t>
            </w:r>
          </w:p>
        </w:tc>
        <w:tc>
          <w:tcPr>
            <w:tcW w:w="1843" w:type="dxa"/>
            <w:shd w:val="clear" w:color="auto" w:fill="auto"/>
          </w:tcPr>
          <w:p w14:paraId="37C82FDE" w14:textId="77777777" w:rsidR="00D10294" w:rsidRPr="00ED0FB0" w:rsidRDefault="00E0530F" w:rsidP="007D0A59">
            <w:pPr>
              <w:jc w:val="center"/>
            </w:pPr>
            <w:r w:rsidRPr="00ED0FB0">
              <w:t>338</w:t>
            </w:r>
          </w:p>
        </w:tc>
      </w:tr>
      <w:tr w:rsidR="00D10294" w:rsidRPr="006F3EC3" w14:paraId="653D287C" w14:textId="77777777" w:rsidTr="009D46B2">
        <w:trPr>
          <w:jc w:val="center"/>
        </w:trPr>
        <w:tc>
          <w:tcPr>
            <w:tcW w:w="675" w:type="dxa"/>
            <w:shd w:val="clear" w:color="auto" w:fill="auto"/>
          </w:tcPr>
          <w:p w14:paraId="7C736BB9" w14:textId="77777777" w:rsidR="00D10294" w:rsidRPr="00ED0FB0" w:rsidRDefault="002626CC" w:rsidP="00D14D35">
            <w:pPr>
              <w:jc w:val="both"/>
            </w:pPr>
            <w:r w:rsidRPr="00ED0FB0">
              <w:t>1</w:t>
            </w:r>
            <w:r w:rsidR="00D14D35" w:rsidRPr="00ED0FB0">
              <w:t>2</w:t>
            </w:r>
            <w:r w:rsidR="00D10294" w:rsidRPr="00ED0FB0">
              <w:t>.</w:t>
            </w:r>
          </w:p>
        </w:tc>
        <w:tc>
          <w:tcPr>
            <w:tcW w:w="3544" w:type="dxa"/>
            <w:shd w:val="clear" w:color="auto" w:fill="auto"/>
          </w:tcPr>
          <w:p w14:paraId="72F89AE1" w14:textId="77777777" w:rsidR="00D10294" w:rsidRPr="00ED0FB0" w:rsidRDefault="00643540" w:rsidP="00E0530F">
            <w:pPr>
              <w:jc w:val="both"/>
            </w:pPr>
            <w:r w:rsidRPr="00ED0FB0">
              <w:t>Lietvedis – uzskaitvedis</w:t>
            </w:r>
            <w:r w:rsidR="00E0530F" w:rsidRPr="00ED0FB0">
              <w:t>, lietvedis, jurista palīgs</w:t>
            </w:r>
          </w:p>
        </w:tc>
        <w:tc>
          <w:tcPr>
            <w:tcW w:w="1559" w:type="dxa"/>
            <w:shd w:val="clear" w:color="auto" w:fill="auto"/>
          </w:tcPr>
          <w:p w14:paraId="465AA18C" w14:textId="77777777" w:rsidR="00D10294" w:rsidRPr="00ED0FB0" w:rsidRDefault="00E0530F" w:rsidP="007D0A59">
            <w:pPr>
              <w:jc w:val="center"/>
            </w:pPr>
            <w:r w:rsidRPr="00ED0FB0">
              <w:t>4</w:t>
            </w:r>
          </w:p>
        </w:tc>
        <w:tc>
          <w:tcPr>
            <w:tcW w:w="1843" w:type="dxa"/>
            <w:shd w:val="clear" w:color="auto" w:fill="auto"/>
          </w:tcPr>
          <w:p w14:paraId="1DF462C9" w14:textId="77777777" w:rsidR="00D10294" w:rsidRPr="00ED0FB0" w:rsidRDefault="00E0530F" w:rsidP="007D0A59">
            <w:pPr>
              <w:jc w:val="center"/>
            </w:pPr>
            <w:r w:rsidRPr="00ED0FB0">
              <w:t>3</w:t>
            </w:r>
            <w:r w:rsidR="000F1894" w:rsidRPr="00ED0FB0">
              <w:t>20</w:t>
            </w:r>
          </w:p>
        </w:tc>
        <w:tc>
          <w:tcPr>
            <w:tcW w:w="1843" w:type="dxa"/>
            <w:shd w:val="clear" w:color="auto" w:fill="auto"/>
          </w:tcPr>
          <w:p w14:paraId="437E7437" w14:textId="77777777" w:rsidR="00D10294" w:rsidRPr="00ED0FB0" w:rsidRDefault="00E0530F" w:rsidP="007D0A59">
            <w:pPr>
              <w:jc w:val="center"/>
            </w:pPr>
            <w:r w:rsidRPr="00ED0FB0">
              <w:t>1 280</w:t>
            </w:r>
          </w:p>
        </w:tc>
      </w:tr>
      <w:tr w:rsidR="00D10294" w:rsidRPr="006F3EC3" w14:paraId="33EAE7D9" w14:textId="77777777" w:rsidTr="009D46B2">
        <w:trPr>
          <w:jc w:val="center"/>
        </w:trPr>
        <w:tc>
          <w:tcPr>
            <w:tcW w:w="675" w:type="dxa"/>
            <w:shd w:val="clear" w:color="auto" w:fill="auto"/>
          </w:tcPr>
          <w:p w14:paraId="76471A53" w14:textId="77777777" w:rsidR="00D10294" w:rsidRPr="00ED0FB0" w:rsidRDefault="005D05EC" w:rsidP="00D14D35">
            <w:pPr>
              <w:jc w:val="both"/>
            </w:pPr>
            <w:r w:rsidRPr="00ED0FB0">
              <w:t>1</w:t>
            </w:r>
            <w:r w:rsidR="00D14D35" w:rsidRPr="00ED0FB0">
              <w:t>3</w:t>
            </w:r>
            <w:r w:rsidR="00D10294" w:rsidRPr="00ED0FB0">
              <w:t>.</w:t>
            </w:r>
          </w:p>
        </w:tc>
        <w:tc>
          <w:tcPr>
            <w:tcW w:w="3544" w:type="dxa"/>
            <w:shd w:val="clear" w:color="auto" w:fill="auto"/>
          </w:tcPr>
          <w:p w14:paraId="20C9D6F8" w14:textId="77777777" w:rsidR="00D10294" w:rsidRPr="00ED0FB0" w:rsidRDefault="000F1894" w:rsidP="000F1894">
            <w:pPr>
              <w:jc w:val="both"/>
            </w:pPr>
            <w:r w:rsidRPr="00ED0FB0">
              <w:t xml:space="preserve">Lietvedis – arhivārs, sekretāre, jurista palīgs </w:t>
            </w:r>
          </w:p>
        </w:tc>
        <w:tc>
          <w:tcPr>
            <w:tcW w:w="1559" w:type="dxa"/>
            <w:shd w:val="clear" w:color="auto" w:fill="auto"/>
          </w:tcPr>
          <w:p w14:paraId="7A48A276" w14:textId="77777777" w:rsidR="00D10294" w:rsidRPr="00ED0FB0" w:rsidRDefault="000F1894" w:rsidP="007D0A59">
            <w:pPr>
              <w:jc w:val="center"/>
            </w:pPr>
            <w:r w:rsidRPr="00ED0FB0">
              <w:t>3</w:t>
            </w:r>
          </w:p>
        </w:tc>
        <w:tc>
          <w:tcPr>
            <w:tcW w:w="1843" w:type="dxa"/>
            <w:shd w:val="clear" w:color="auto" w:fill="auto"/>
          </w:tcPr>
          <w:p w14:paraId="4F8D75D0" w14:textId="77777777" w:rsidR="00D10294" w:rsidRPr="00ED0FB0" w:rsidRDefault="000F1894" w:rsidP="00D14D35">
            <w:pPr>
              <w:jc w:val="center"/>
            </w:pPr>
            <w:r w:rsidRPr="00ED0FB0">
              <w:t>2</w:t>
            </w:r>
            <w:r w:rsidR="00D14D35" w:rsidRPr="00ED0FB0">
              <w:t>7</w:t>
            </w:r>
            <w:r w:rsidRPr="00ED0FB0">
              <w:t>5</w:t>
            </w:r>
          </w:p>
        </w:tc>
        <w:tc>
          <w:tcPr>
            <w:tcW w:w="1843" w:type="dxa"/>
            <w:shd w:val="clear" w:color="auto" w:fill="auto"/>
          </w:tcPr>
          <w:p w14:paraId="00ED8A9A" w14:textId="77777777" w:rsidR="00D10294" w:rsidRPr="00ED0FB0" w:rsidRDefault="00D14D35" w:rsidP="007D0A59">
            <w:pPr>
              <w:jc w:val="center"/>
            </w:pPr>
            <w:r w:rsidRPr="00ED0FB0">
              <w:t>825</w:t>
            </w:r>
          </w:p>
        </w:tc>
      </w:tr>
      <w:tr w:rsidR="006311AE" w:rsidRPr="006F3EC3" w14:paraId="109AD291" w14:textId="77777777" w:rsidTr="009D46B2">
        <w:trPr>
          <w:jc w:val="center"/>
        </w:trPr>
        <w:tc>
          <w:tcPr>
            <w:tcW w:w="7621" w:type="dxa"/>
            <w:gridSpan w:val="4"/>
            <w:shd w:val="clear" w:color="auto" w:fill="auto"/>
          </w:tcPr>
          <w:p w14:paraId="55CD489F" w14:textId="77777777" w:rsidR="006311AE" w:rsidRPr="00ED0FB0" w:rsidRDefault="006311AE" w:rsidP="00531C82">
            <w:pPr>
              <w:jc w:val="right"/>
              <w:rPr>
                <w:b/>
              </w:rPr>
            </w:pPr>
            <w:r w:rsidRPr="00ED0FB0">
              <w:rPr>
                <w:b/>
              </w:rPr>
              <w:t>Kopā:</w:t>
            </w:r>
          </w:p>
        </w:tc>
        <w:tc>
          <w:tcPr>
            <w:tcW w:w="1843" w:type="dxa"/>
            <w:shd w:val="clear" w:color="auto" w:fill="auto"/>
          </w:tcPr>
          <w:p w14:paraId="3F67EA78" w14:textId="77777777" w:rsidR="006311AE" w:rsidRPr="00ED0FB0" w:rsidRDefault="009505A8" w:rsidP="00531C82">
            <w:pPr>
              <w:jc w:val="center"/>
              <w:rPr>
                <w:b/>
              </w:rPr>
            </w:pPr>
            <w:r w:rsidRPr="00ED0FB0">
              <w:rPr>
                <w:b/>
              </w:rPr>
              <w:t>19 480</w:t>
            </w:r>
          </w:p>
        </w:tc>
      </w:tr>
      <w:tr w:rsidR="00E85FF5" w:rsidRPr="006F3EC3" w14:paraId="0F9ECB97" w14:textId="77777777" w:rsidTr="009D46B2">
        <w:trPr>
          <w:jc w:val="center"/>
        </w:trPr>
        <w:tc>
          <w:tcPr>
            <w:tcW w:w="7621" w:type="dxa"/>
            <w:gridSpan w:val="4"/>
            <w:shd w:val="clear" w:color="auto" w:fill="auto"/>
          </w:tcPr>
          <w:p w14:paraId="1E8CB768" w14:textId="77777777" w:rsidR="00E85FF5" w:rsidRPr="00ED0FB0" w:rsidRDefault="00E85FF5" w:rsidP="00531C82">
            <w:pPr>
              <w:jc w:val="right"/>
              <w:rPr>
                <w:b/>
              </w:rPr>
            </w:pPr>
            <w:r w:rsidRPr="00ED0FB0">
              <w:rPr>
                <w:b/>
              </w:rPr>
              <w:t>VSAOI 23,59%</w:t>
            </w:r>
          </w:p>
        </w:tc>
        <w:tc>
          <w:tcPr>
            <w:tcW w:w="1843" w:type="dxa"/>
            <w:shd w:val="clear" w:color="auto" w:fill="auto"/>
          </w:tcPr>
          <w:p w14:paraId="1764C323" w14:textId="77777777" w:rsidR="00E85FF5" w:rsidRPr="00ED0FB0" w:rsidRDefault="009505A8" w:rsidP="00531C82">
            <w:pPr>
              <w:jc w:val="center"/>
              <w:rPr>
                <w:b/>
              </w:rPr>
            </w:pPr>
            <w:r w:rsidRPr="00ED0FB0">
              <w:rPr>
                <w:b/>
              </w:rPr>
              <w:t>4 595</w:t>
            </w:r>
          </w:p>
        </w:tc>
      </w:tr>
      <w:tr w:rsidR="005B23CC" w:rsidRPr="006F3EC3" w14:paraId="3A62780C" w14:textId="77777777" w:rsidTr="009D46B2">
        <w:trPr>
          <w:jc w:val="center"/>
        </w:trPr>
        <w:tc>
          <w:tcPr>
            <w:tcW w:w="7621" w:type="dxa"/>
            <w:gridSpan w:val="4"/>
            <w:shd w:val="clear" w:color="auto" w:fill="auto"/>
          </w:tcPr>
          <w:p w14:paraId="59F52A55" w14:textId="77777777" w:rsidR="005B23CC" w:rsidRPr="00ED0FB0" w:rsidRDefault="005B23CC" w:rsidP="00531C82">
            <w:pPr>
              <w:jc w:val="right"/>
              <w:rPr>
                <w:b/>
              </w:rPr>
            </w:pPr>
            <w:r w:rsidRPr="00ED0FB0">
              <w:rPr>
                <w:b/>
              </w:rPr>
              <w:t>Atlīdzība:</w:t>
            </w:r>
          </w:p>
        </w:tc>
        <w:tc>
          <w:tcPr>
            <w:tcW w:w="1843" w:type="dxa"/>
            <w:shd w:val="clear" w:color="auto" w:fill="auto"/>
          </w:tcPr>
          <w:p w14:paraId="2D65EDD9" w14:textId="77777777" w:rsidR="005B23CC" w:rsidRPr="00ED0FB0" w:rsidRDefault="005B23CC" w:rsidP="00531C82">
            <w:pPr>
              <w:jc w:val="center"/>
              <w:rPr>
                <w:b/>
              </w:rPr>
            </w:pPr>
            <w:r w:rsidRPr="00ED0FB0">
              <w:rPr>
                <w:b/>
              </w:rPr>
              <w:t>24 075</w:t>
            </w:r>
          </w:p>
        </w:tc>
      </w:tr>
    </w:tbl>
    <w:p w14:paraId="6EA43282" w14:textId="77777777" w:rsidR="00F5078C" w:rsidRPr="007D0A59" w:rsidRDefault="00F5078C" w:rsidP="007D0A59">
      <w:pPr>
        <w:ind w:firstLine="720"/>
        <w:jc w:val="both"/>
      </w:pPr>
      <w:r w:rsidRPr="007D0A59">
        <w:t xml:space="preserve">Pēdējos gados Maksātnespējas administrācija dažādos veidos ir risinājusi jautājumu par tādu atlīdzības sastāvdaļu kā nodarbināto veselības apdrošināšana – gan izmantojot iepriekšējo gadu pašu ieņēmumu no maksas pakalpojumiem atlikumu, gan izmantojot ieekonomētos (uz vakanču un nodarbināto darbnespējas rēķina) līdzekļus. Tomēr svarīgi uzsvērt, ka gada sākumā nav iespējams prognozēt, vai gada beigās būs līdzekļi nodarbināto veselības apdrošināšanai, jo šāda izdevumu pozīcija kopš krīzes laika budžeta samazinājuma 2009.gadā atšķirībā no citām valsts pārvaldes iestādēm Maksātnespējas administrācijas bāzes izdevumos nav paredzēta. </w:t>
      </w:r>
    </w:p>
    <w:p w14:paraId="2C329060" w14:textId="77777777" w:rsidR="00263C50" w:rsidRPr="007D0A59" w:rsidRDefault="00F5078C" w:rsidP="007D0A59">
      <w:pPr>
        <w:ind w:firstLine="720"/>
        <w:jc w:val="both"/>
      </w:pPr>
      <w:r w:rsidRPr="007D0A59">
        <w:t xml:space="preserve">Vienlaikus </w:t>
      </w:r>
      <w:r w:rsidRPr="007D0A59">
        <w:rPr>
          <w:color w:val="000000"/>
        </w:rPr>
        <w:t xml:space="preserve">Maksātnespējas administrācija nevar garantēt nodarbinātajiem </w:t>
      </w:r>
      <w:r w:rsidRPr="007D0A59">
        <w:rPr>
          <w:bCs/>
          <w:color w:val="000000"/>
        </w:rPr>
        <w:t xml:space="preserve">Valsts un pašvaldību institūciju amatpersonu un darbinieku atlīdzības </w:t>
      </w:r>
      <w:r w:rsidRPr="007D0A59">
        <w:rPr>
          <w:color w:val="000000"/>
        </w:rPr>
        <w:t xml:space="preserve">likumā (turpmāk – Atlīdzības likums) paredzētās sociālās garantijas  (atvaļinājuma pabalstus, briļļu iegādes izdevumus, transporta izdevumu kompensāciju, pabalstu amatpersonai, kuras apgādībā ir bērns invalīds u.c.). Maksātnespējas administrācija izmaksā pabalstu vienīgi Atlīdzības likumā noteiktajā ģimenes locekļa nāves gadījumā. </w:t>
      </w:r>
      <w:r w:rsidRPr="007D0A59">
        <w:t xml:space="preserve">Šī pabalsta izmaksas reizes pēdējos gados nav bijušas bieži (2014.gadā </w:t>
      </w:r>
      <w:r w:rsidR="0069079D">
        <w:t xml:space="preserve">– </w:t>
      </w:r>
      <w:r w:rsidRPr="007D0A59">
        <w:t>5 reizes; 2015.gadā – 3 reizes), bet arī tam budžetā nav plānoti līdzekļi un izmaksa tiek veikta uz līdzekļu ekonomijas (vakances, darbnespēja) rēķina. Tā kā gan potenciālie Maksātnespējas administrācijas nodarbinātie, gan esošie iestādes nodarbinātie veselības apdrošināšanu uzskata kā svarīgu un neatraujamu atalgojuma daļu, kā arī faktiski vienīgo papildus noteikto sociālo garantiju, kura zināmā mērā kļuvusi par pašsaprotamu, un, ņemot vērā, ka pēdējos gadus (sākot no 2013.gada) tomēr ir izdevies nodrošināt veselības apdrošināšanu, Maksātnespējas administrācijai to vajadzētu veikt arī turpmāk.</w:t>
      </w:r>
      <w:r w:rsidR="003773EF" w:rsidRPr="007D0A59">
        <w:t xml:space="preserve"> </w:t>
      </w:r>
      <w:r w:rsidRPr="007D0A59">
        <w:t xml:space="preserve">Veselības apdrošināšanai </w:t>
      </w:r>
      <w:r w:rsidR="003773EF" w:rsidRPr="007D0A59">
        <w:t>papildus nepieciešam</w:t>
      </w:r>
      <w:r w:rsidR="0069079D">
        <w:t>i</w:t>
      </w:r>
      <w:r w:rsidR="003773EF" w:rsidRPr="007D0A59">
        <w:t xml:space="preserve"> </w:t>
      </w:r>
      <w:r w:rsidR="00BE1152" w:rsidRPr="007D0A59">
        <w:t xml:space="preserve">11 099 </w:t>
      </w:r>
      <w:r w:rsidRPr="007D0A59">
        <w:rPr>
          <w:i/>
        </w:rPr>
        <w:t>euro</w:t>
      </w:r>
      <w:r w:rsidR="00237C83" w:rsidRPr="007D0A59">
        <w:t xml:space="preserve"> (52 amata vietas x 213,43 </w:t>
      </w:r>
      <w:r w:rsidR="00237C83" w:rsidRPr="007D0A59">
        <w:rPr>
          <w:i/>
        </w:rPr>
        <w:t>euro</w:t>
      </w:r>
      <w:r w:rsidR="00237C83" w:rsidRPr="007D0A59">
        <w:t>)</w:t>
      </w:r>
      <w:r w:rsidR="003773EF" w:rsidRPr="007D0A59">
        <w:t>.</w:t>
      </w:r>
      <w:r w:rsidRPr="007D0A59">
        <w:t xml:space="preserve"> </w:t>
      </w:r>
    </w:p>
    <w:p w14:paraId="2AD98320" w14:textId="77777777" w:rsidR="004D0C1E" w:rsidRPr="007D0A59" w:rsidRDefault="004D0C1E" w:rsidP="007D0A59">
      <w:pPr>
        <w:ind w:firstLine="720"/>
        <w:jc w:val="both"/>
      </w:pPr>
      <w:r w:rsidRPr="007D0A59">
        <w:t xml:space="preserve">2016.gada 30.aprīlī stājās spēkā Ministru kabineta 2016.gada 19.aprīļa noteikumi Nr.247 “Noteikumi par maksātnespējas procesa administratora darbības pārskatu un tā aizpildīšanas kārtību”. Ar minēto Ministru kabineta noteikumu spēkā stāšanos tika noteikts, ka administratora darbības pārskats Maksātnespējas administrācijai ir iesniedzams elektroniski, tādējādi pilnveidojot administratoru uzraudzības sistēmu. Lai nodrošinātu administratora darbības pārskatu elektronisko iesniegšanu, ir izveidota elektroniskā maksātnespējas uzraudzības sistēma (turpmāk – EMUS). EMUS nodrošina iespēju sekot līdzi pārskatu iesniegšanas vai neiesniegšanas faktam, pārskatos norādītajai informācijai, kā arī apkopot statistikas datus. </w:t>
      </w:r>
    </w:p>
    <w:p w14:paraId="75882AB4" w14:textId="77777777" w:rsidR="004D0C1E" w:rsidRPr="007D0A59" w:rsidRDefault="004D0C1E" w:rsidP="007D0A59">
      <w:pPr>
        <w:ind w:firstLine="720"/>
        <w:jc w:val="both"/>
      </w:pPr>
      <w:r w:rsidRPr="007D0A59">
        <w:t>Lai nodrošinātu EMUS sitēmas pilnveidošanu un uz</w:t>
      </w:r>
      <w:r w:rsidR="00D012A7" w:rsidRPr="007D0A59">
        <w:t>t</w:t>
      </w:r>
      <w:r w:rsidRPr="007D0A59">
        <w:t xml:space="preserve">urēšanu 2017.gadā, papildus nepieciešami 12 500 </w:t>
      </w:r>
      <w:r w:rsidRPr="007D0A59">
        <w:rPr>
          <w:i/>
        </w:rPr>
        <w:t xml:space="preserve">euro </w:t>
      </w:r>
      <w:r w:rsidR="0065516C" w:rsidRPr="007D0A59">
        <w:t xml:space="preserve">(pilnveidošanai) </w:t>
      </w:r>
      <w:r w:rsidRPr="007D0A59">
        <w:t xml:space="preserve">un 7 260 </w:t>
      </w:r>
      <w:r w:rsidRPr="007D0A59">
        <w:rPr>
          <w:i/>
        </w:rPr>
        <w:t>euro</w:t>
      </w:r>
      <w:r w:rsidR="0065516C" w:rsidRPr="007D0A59">
        <w:t xml:space="preserve"> (uzturēšanai par servera nomu gadā),</w:t>
      </w:r>
      <w:r w:rsidRPr="007D0A59">
        <w:t xml:space="preserve"> </w:t>
      </w:r>
      <w:r w:rsidR="0065516C" w:rsidRPr="007D0A59">
        <w:t xml:space="preserve">attiecīgi 19 760 </w:t>
      </w:r>
      <w:r w:rsidR="0065516C" w:rsidRPr="007D0A59">
        <w:rPr>
          <w:i/>
        </w:rPr>
        <w:t>euro</w:t>
      </w:r>
      <w:r w:rsidR="0065516C" w:rsidRPr="007D0A59">
        <w:t>.</w:t>
      </w:r>
      <w:r w:rsidR="0065516C" w:rsidRPr="007D0A59" w:rsidDel="002D43EF">
        <w:t xml:space="preserve"> </w:t>
      </w:r>
      <w:r w:rsidRPr="007D0A59">
        <w:t>2018.gad</w:t>
      </w:r>
      <w:r w:rsidR="002D43EF" w:rsidRPr="007D0A59">
        <w:t>ā un turpmākajos gados</w:t>
      </w:r>
      <w:r w:rsidRPr="007D0A59">
        <w:t xml:space="preserve"> sistēmas uzturēšanas nodrošināšanai nepieciešami 18 960 </w:t>
      </w:r>
      <w:r w:rsidRPr="007D0A59">
        <w:rPr>
          <w:i/>
        </w:rPr>
        <w:t>euro</w:t>
      </w:r>
      <w:r w:rsidRPr="007D0A59">
        <w:t xml:space="preserve"> gadā</w:t>
      </w:r>
      <w:r w:rsidR="0065516C" w:rsidRPr="007D0A59">
        <w:t xml:space="preserve"> – servera noma 7 260 </w:t>
      </w:r>
      <w:r w:rsidR="0065516C" w:rsidRPr="007D0A59">
        <w:rPr>
          <w:i/>
        </w:rPr>
        <w:t>euro</w:t>
      </w:r>
      <w:r w:rsidR="0065516C" w:rsidRPr="007D0A59">
        <w:t xml:space="preserve"> gadā un sistēmas uzturēšanas izmaksas 11 700 </w:t>
      </w:r>
      <w:r w:rsidR="0065516C" w:rsidRPr="007D0A59">
        <w:rPr>
          <w:i/>
        </w:rPr>
        <w:t>euro</w:t>
      </w:r>
      <w:r w:rsidR="0065516C" w:rsidRPr="007D0A59">
        <w:t xml:space="preserve"> gadā (2016. un 2017.gadā, kamēr ir spēkā sistēmas ieviešanas divu gadu garantija, sistēmas uzturēšanas izmaksas saskaņā ar līgumu nav jāmaksā, bet pēc garantijas termiņa beigām tās ir jāsāk maksāt)</w:t>
      </w:r>
      <w:r w:rsidRPr="007D0A59">
        <w:t xml:space="preserve">. Šobrīd Maksātnespējas administrācijas budžetā šādi līdzekļi nav paredzēti. Tā kā minētā sistēma ir ievērojams administratoru darbības uzraudzības instruments, tad tās darbībai nepieciešamo finansējumu varētu nodrošināt no URVN daļas. </w:t>
      </w:r>
    </w:p>
    <w:p w14:paraId="03DB318E" w14:textId="77777777" w:rsidR="004D0C1E" w:rsidRPr="007D0A59" w:rsidRDefault="004D0C1E" w:rsidP="007D0A59">
      <w:pPr>
        <w:ind w:firstLine="720"/>
        <w:jc w:val="both"/>
      </w:pPr>
      <w:r w:rsidRPr="007D0A59">
        <w:t>Maksātnespējas administrācijas dokumentu apstrādes informācijas sistēma (turpmāk – lietvedības sistēma) ir izveidota 2002.gadā un šobrīd nav savietojama ne ar vienu informācijas sistēmu, piemēram EMUS. Kā arī, ņemot vērā pēdējo gadu dokumentu apjoma pieaugumu, lietvedības sistēmas darbība bieži ir traucēta, jo</w:t>
      </w:r>
      <w:r w:rsidR="0069079D">
        <w:t>,</w:t>
      </w:r>
      <w:r w:rsidRPr="007D0A59">
        <w:t xml:space="preserve"> izstrād</w:t>
      </w:r>
      <w:r w:rsidR="0069079D">
        <w:t>ā</w:t>
      </w:r>
      <w:r w:rsidRPr="007D0A59">
        <w:t xml:space="preserve">jot attiecīgo sistēmu, tā nebija plānota tik lielam lietotāju skaitam un dokumentu daudzumam. Jaunas lietvedības sistēmas izstrādei </w:t>
      </w:r>
      <w:r w:rsidR="004F2A99" w:rsidRPr="007D0A59">
        <w:t xml:space="preserve">2017.gadā nepieciešami 38 250 </w:t>
      </w:r>
      <w:r w:rsidR="004F2A99" w:rsidRPr="007D0A59">
        <w:rPr>
          <w:i/>
        </w:rPr>
        <w:t>euro</w:t>
      </w:r>
      <w:r w:rsidR="004F2A99" w:rsidRPr="007D0A59">
        <w:t xml:space="preserve"> </w:t>
      </w:r>
      <w:r w:rsidRPr="007D0A59">
        <w:t>un 2018.gad</w:t>
      </w:r>
      <w:r w:rsidR="002D43EF" w:rsidRPr="007D0A59">
        <w:t>ā un turpmākajos gados</w:t>
      </w:r>
      <w:r w:rsidRPr="007D0A59">
        <w:t xml:space="preserve"> </w:t>
      </w:r>
      <w:r w:rsidR="004F2A99" w:rsidRPr="007D0A59">
        <w:t xml:space="preserve">lietvedības sistēmas uzturēšanai nepieciešami </w:t>
      </w:r>
      <w:r w:rsidRPr="007D0A59">
        <w:t>9</w:t>
      </w:r>
      <w:r w:rsidR="00E84DA8" w:rsidRPr="007D0A59">
        <w:t xml:space="preserve"> </w:t>
      </w:r>
      <w:r w:rsidRPr="007D0A59">
        <w:t xml:space="preserve">050 </w:t>
      </w:r>
      <w:r w:rsidRPr="007D0A59">
        <w:rPr>
          <w:i/>
        </w:rPr>
        <w:t>euro</w:t>
      </w:r>
      <w:r w:rsidRPr="007D0A59">
        <w:t xml:space="preserve"> gadā</w:t>
      </w:r>
      <w:r w:rsidR="004F2A99" w:rsidRPr="007D0A59">
        <w:t xml:space="preserve"> (servera noma </w:t>
      </w:r>
      <w:r w:rsidR="00E84DA8" w:rsidRPr="007D0A59">
        <w:t xml:space="preserve">3 000 </w:t>
      </w:r>
      <w:r w:rsidR="00E84DA8" w:rsidRPr="007D0A59">
        <w:rPr>
          <w:i/>
        </w:rPr>
        <w:t>euro</w:t>
      </w:r>
      <w:r w:rsidR="00E84DA8" w:rsidRPr="007D0A59">
        <w:t xml:space="preserve"> gadā un sistēmas uzturēšanas izmaksas 6</w:t>
      </w:r>
      <w:r w:rsidR="009D46B2" w:rsidRPr="007D0A59">
        <w:t xml:space="preserve"> </w:t>
      </w:r>
      <w:r w:rsidR="00E84DA8" w:rsidRPr="007D0A59">
        <w:t xml:space="preserve">050 </w:t>
      </w:r>
      <w:r w:rsidR="00E84DA8" w:rsidRPr="007D0A59">
        <w:rPr>
          <w:i/>
        </w:rPr>
        <w:t>euro</w:t>
      </w:r>
      <w:r w:rsidR="00E84DA8" w:rsidRPr="007D0A59">
        <w:t xml:space="preserve"> gadā)</w:t>
      </w:r>
      <w:r w:rsidRPr="007D0A59">
        <w:t>.</w:t>
      </w:r>
    </w:p>
    <w:p w14:paraId="0B08D94C" w14:textId="77777777" w:rsidR="004D0C1E" w:rsidRPr="007D0A59" w:rsidRDefault="004D0C1E" w:rsidP="007D0A59">
      <w:pPr>
        <w:ind w:firstLine="720"/>
        <w:jc w:val="both"/>
      </w:pPr>
      <w:r w:rsidRPr="007D0A59">
        <w:t xml:space="preserve">Darbinieku prasījumu izskatīšanā Maksātnespējas administrācija varētu samazināt manuālā darba apjomu, ieviešot elektronisku sistēmu. Šādas sistēmas izstrāde varētu izmaksāt apmēram 60 000 </w:t>
      </w:r>
      <w:r w:rsidRPr="007D0A59">
        <w:rPr>
          <w:i/>
        </w:rPr>
        <w:t>euro</w:t>
      </w:r>
      <w:r w:rsidRPr="007D0A59">
        <w:t>.  Ņemot vērā, ka šādas sistēmas izveide prasa ievērojamus normatīvo aktu grozījumus, kā arī laika resursu, minētās sistēmas izveide varētu sākties 2018.gadā un noslēgties 2019.gadā</w:t>
      </w:r>
      <w:r w:rsidR="0069079D">
        <w:t>,</w:t>
      </w:r>
      <w:r w:rsidRPr="007D0A59">
        <w:t xml:space="preserve"> sadalot nepieciešamo finansējumu divās daļās uz diviem gadiem.</w:t>
      </w:r>
    </w:p>
    <w:p w14:paraId="6D8501BD" w14:textId="77777777" w:rsidR="00CA339B" w:rsidRPr="007D0A59" w:rsidRDefault="004D0C1E" w:rsidP="007D0A59">
      <w:pPr>
        <w:ind w:firstLine="720"/>
        <w:jc w:val="both"/>
      </w:pPr>
      <w:r w:rsidRPr="007D0A59">
        <w:t xml:space="preserve">Ņemot vērā visu norādīto informācijas sistēmu izmaksas, Maksātnespējas administrācijai turpmākos trīs gadus katru gadu </w:t>
      </w:r>
      <w:r w:rsidR="008B4603" w:rsidRPr="007D0A59">
        <w:t xml:space="preserve">papildus </w:t>
      </w:r>
      <w:r w:rsidRPr="007D0A59">
        <w:t>nepieciešam</w:t>
      </w:r>
      <w:r w:rsidR="008B4603" w:rsidRPr="007D0A59">
        <w:t>s</w:t>
      </w:r>
      <w:r w:rsidR="00AB27E7" w:rsidRPr="007D0A59">
        <w:t xml:space="preserve"> finansējums</w:t>
      </w:r>
      <w:r w:rsidRPr="007D0A59">
        <w:t xml:space="preserve"> 58 010</w:t>
      </w:r>
      <w:r w:rsidR="0069079D">
        <w:t> </w:t>
      </w:r>
      <w:r w:rsidRPr="000121BB">
        <w:rPr>
          <w:i/>
        </w:rPr>
        <w:t>euro</w:t>
      </w:r>
      <w:r w:rsidR="008B4603" w:rsidRPr="007D0A59">
        <w:t xml:space="preserve"> apmērā</w:t>
      </w:r>
      <w:r w:rsidRPr="007D0A59">
        <w:t>.</w:t>
      </w:r>
    </w:p>
    <w:p w14:paraId="22A0944A" w14:textId="77777777" w:rsidR="00CF1758" w:rsidRPr="00ED0FB0" w:rsidRDefault="003827F7" w:rsidP="007D0A59">
      <w:pPr>
        <w:ind w:firstLine="720"/>
        <w:jc w:val="both"/>
      </w:pPr>
      <w:r w:rsidRPr="00ED0FB0">
        <w:t xml:space="preserve">Šā informatīvā </w:t>
      </w:r>
      <w:r w:rsidR="00007CEC" w:rsidRPr="00ED0FB0">
        <w:t>ziņojuma sākumā</w:t>
      </w:r>
      <w:r w:rsidRPr="00ED0FB0">
        <w:t xml:space="preserve"> minēts, ka</w:t>
      </w:r>
      <w:r w:rsidR="00007CEC" w:rsidRPr="00ED0FB0">
        <w:t xml:space="preserve"> uz nepieciešamību paaugstināt Maksātnespējas administrācijas kapacitāti un kompetenci, un tā rezultātā Maksātnespējas administrācijas darba efektivitāti, 2016.</w:t>
      </w:r>
      <w:r w:rsidR="00864DA2" w:rsidRPr="00ED0FB0">
        <w:t> </w:t>
      </w:r>
      <w:r w:rsidR="00007CEC" w:rsidRPr="00ED0FB0">
        <w:t>gada 6.</w:t>
      </w:r>
      <w:r w:rsidR="00864DA2" w:rsidRPr="00ED0FB0">
        <w:t> </w:t>
      </w:r>
      <w:r w:rsidR="00007CEC" w:rsidRPr="00ED0FB0">
        <w:t>aprīlī norādīja arī Ārvalstu investoru padome Latvijā</w:t>
      </w:r>
      <w:r w:rsidR="00FD6405" w:rsidRPr="00ED0FB0">
        <w:t>,</w:t>
      </w:r>
      <w:r w:rsidR="00007CEC" w:rsidRPr="00ED0FB0">
        <w:t xml:space="preserve"> prezentējot sadarbībā ar auditorkompānij</w:t>
      </w:r>
      <w:r w:rsidR="0069079D">
        <w:t>u</w:t>
      </w:r>
      <w:r w:rsidR="00007CEC" w:rsidRPr="00ED0FB0">
        <w:t xml:space="preserve"> Deloitte </w:t>
      </w:r>
      <w:r w:rsidR="00345BB4">
        <w:t xml:space="preserve">Latvia </w:t>
      </w:r>
      <w:r w:rsidR="00007CEC" w:rsidRPr="00ED0FB0">
        <w:t xml:space="preserve">veikto pētījumu “Ļaunprātīga maksātnespējas procesa riski Latvijā”. Maksātnespējas administrācijas kapacitātes stiprināšanai papildus nepieciešami </w:t>
      </w:r>
      <w:r w:rsidR="002309BA" w:rsidRPr="00ED0FB0">
        <w:t>3</w:t>
      </w:r>
      <w:r w:rsidR="005B768C" w:rsidRPr="00ED0FB0">
        <w:t>58</w:t>
      </w:r>
      <w:r w:rsidR="002309BA" w:rsidRPr="00ED0FB0">
        <w:t xml:space="preserve"> 0</w:t>
      </w:r>
      <w:r w:rsidR="005B768C" w:rsidRPr="00ED0FB0">
        <w:t>1</w:t>
      </w:r>
      <w:r w:rsidR="000505A7" w:rsidRPr="00ED0FB0">
        <w:t>3</w:t>
      </w:r>
      <w:r w:rsidR="00007CEC" w:rsidRPr="00ED0FB0">
        <w:t xml:space="preserve"> </w:t>
      </w:r>
      <w:r w:rsidR="00007CEC" w:rsidRPr="00ED0FB0">
        <w:rPr>
          <w:i/>
        </w:rPr>
        <w:t>euro</w:t>
      </w:r>
      <w:r w:rsidR="00007CEC" w:rsidRPr="00ED0FB0">
        <w:t xml:space="preserve"> gadā (mēnešalgu palielināšanai </w:t>
      </w:r>
      <w:r w:rsidR="00802500" w:rsidRPr="00ED0FB0">
        <w:t>233</w:t>
      </w:r>
      <w:r w:rsidR="0069079D">
        <w:t> </w:t>
      </w:r>
      <w:r w:rsidR="00802500" w:rsidRPr="00ED0FB0">
        <w:t>760</w:t>
      </w:r>
      <w:r w:rsidR="0069079D">
        <w:t> </w:t>
      </w:r>
      <w:r w:rsidR="00007CEC" w:rsidRPr="00ED0FB0">
        <w:rPr>
          <w:i/>
        </w:rPr>
        <w:t>euro</w:t>
      </w:r>
      <w:r w:rsidR="00007CEC" w:rsidRPr="00ED0FB0">
        <w:t xml:space="preserve"> + </w:t>
      </w:r>
      <w:r w:rsidR="00802500" w:rsidRPr="00ED0FB0">
        <w:t>VSAOI 23,59 procenti 55 144 euro +</w:t>
      </w:r>
      <w:r w:rsidR="00802500" w:rsidRPr="00ED0FB0">
        <w:rPr>
          <w:b/>
        </w:rPr>
        <w:t xml:space="preserve"> </w:t>
      </w:r>
      <w:r w:rsidR="00007CEC" w:rsidRPr="00ED0FB0">
        <w:t xml:space="preserve">veselības apdrošināšanai </w:t>
      </w:r>
      <w:r w:rsidR="00864DA2" w:rsidRPr="00ED0FB0">
        <w:t>11 09</w:t>
      </w:r>
      <w:r w:rsidR="000505A7" w:rsidRPr="00ED0FB0">
        <w:t>9</w:t>
      </w:r>
      <w:r w:rsidR="00007CEC" w:rsidRPr="00ED0FB0">
        <w:t xml:space="preserve"> </w:t>
      </w:r>
      <w:r w:rsidR="00007CEC" w:rsidRPr="00ED0FB0">
        <w:rPr>
          <w:i/>
        </w:rPr>
        <w:t>euro</w:t>
      </w:r>
      <w:r w:rsidR="00007CEC" w:rsidRPr="00ED0FB0">
        <w:t xml:space="preserve"> </w:t>
      </w:r>
      <w:r w:rsidR="00E30B90" w:rsidRPr="00ED0FB0">
        <w:t xml:space="preserve">+ informācijas sistēmu uzsturēšanai, attīstībai un izveidošanai 58 010 </w:t>
      </w:r>
      <w:r w:rsidR="00E30B90" w:rsidRPr="00ED0FB0">
        <w:rPr>
          <w:i/>
        </w:rPr>
        <w:t>euro</w:t>
      </w:r>
      <w:r w:rsidR="00E30B90" w:rsidRPr="00ED0FB0">
        <w:t xml:space="preserve"> =</w:t>
      </w:r>
      <w:r w:rsidR="00007CEC" w:rsidRPr="00ED0FB0">
        <w:t xml:space="preserve"> </w:t>
      </w:r>
      <w:r w:rsidR="005B768C" w:rsidRPr="00ED0FB0">
        <w:t>358 01</w:t>
      </w:r>
      <w:r w:rsidR="00E006B1" w:rsidRPr="00ED0FB0">
        <w:t>3</w:t>
      </w:r>
      <w:r w:rsidR="009C66E8" w:rsidRPr="00ED0FB0">
        <w:t xml:space="preserve"> </w:t>
      </w:r>
      <w:r w:rsidR="009C66E8" w:rsidRPr="00ED0FB0">
        <w:rPr>
          <w:i/>
        </w:rPr>
        <w:t>euro</w:t>
      </w:r>
      <w:r w:rsidR="009C66E8" w:rsidRPr="00ED0FB0">
        <w:t>)</w:t>
      </w:r>
      <w:r w:rsidR="00007CEC" w:rsidRPr="00ED0FB0">
        <w:t xml:space="preserve">, kas kopā ar iepriekš </w:t>
      </w:r>
      <w:r w:rsidR="00F5078C" w:rsidRPr="00ED0FB0">
        <w:t>i</w:t>
      </w:r>
      <w:r w:rsidR="00007CEC" w:rsidRPr="00ED0FB0">
        <w:t>nformatīvajā ziņojumā par 2016.</w:t>
      </w:r>
      <w:r w:rsidR="0069079D">
        <w:t>–</w:t>
      </w:r>
      <w:r w:rsidR="00007CEC" w:rsidRPr="00ED0FB0">
        <w:t>2018.gadu noteikt</w:t>
      </w:r>
      <w:r w:rsidR="00C3226C" w:rsidRPr="00ED0FB0">
        <w:t>o</w:t>
      </w:r>
      <w:r w:rsidR="00007CEC" w:rsidRPr="00ED0FB0">
        <w:t xml:space="preserve"> </w:t>
      </w:r>
      <w:r w:rsidR="00C3226C" w:rsidRPr="00ED0FB0">
        <w:t>(</w:t>
      </w:r>
      <w:r w:rsidR="00007CEC" w:rsidRPr="00ED0FB0">
        <w:t>12</w:t>
      </w:r>
      <w:r w:rsidR="00060106" w:rsidRPr="00ED0FB0">
        <w:t>6</w:t>
      </w:r>
      <w:r w:rsidR="00007CEC" w:rsidRPr="00ED0FB0">
        <w:t xml:space="preserve"> 525 </w:t>
      </w:r>
      <w:r w:rsidR="00007CEC" w:rsidRPr="00ED0FB0">
        <w:rPr>
          <w:i/>
        </w:rPr>
        <w:t>euro</w:t>
      </w:r>
      <w:r w:rsidR="00007CEC" w:rsidRPr="00ED0FB0">
        <w:t xml:space="preserve"> gadā</w:t>
      </w:r>
      <w:r w:rsidR="00C3226C" w:rsidRPr="00ED0FB0">
        <w:t>)</w:t>
      </w:r>
      <w:r w:rsidR="00007CEC" w:rsidRPr="00ED0FB0">
        <w:t xml:space="preserve"> prasa no URVN </w:t>
      </w:r>
      <w:r w:rsidR="005B768C" w:rsidRPr="00ED0FB0">
        <w:t>484 53</w:t>
      </w:r>
      <w:r w:rsidR="009B6468" w:rsidRPr="00ED0FB0">
        <w:t>8</w:t>
      </w:r>
      <w:r w:rsidR="00007CEC" w:rsidRPr="00ED0FB0">
        <w:t xml:space="preserve"> </w:t>
      </w:r>
      <w:r w:rsidR="00007CEC" w:rsidRPr="00ED0FB0">
        <w:rPr>
          <w:i/>
        </w:rPr>
        <w:t>euro</w:t>
      </w:r>
      <w:r w:rsidR="00007CEC" w:rsidRPr="00ED0FB0">
        <w:t xml:space="preserve"> gadā, kas ir </w:t>
      </w:r>
      <w:r w:rsidR="00F977E1" w:rsidRPr="00ED0FB0">
        <w:t>nepilni</w:t>
      </w:r>
      <w:r w:rsidR="00007CEC" w:rsidRPr="00ED0FB0">
        <w:t xml:space="preserve"> 1</w:t>
      </w:r>
      <w:r w:rsidR="005B768C" w:rsidRPr="00ED0FB0">
        <w:t>6</w:t>
      </w:r>
      <w:r w:rsidR="00F5078C" w:rsidRPr="00ED0FB0">
        <w:t xml:space="preserve"> procenti</w:t>
      </w:r>
      <w:r w:rsidR="00007CEC" w:rsidRPr="00ED0FB0">
        <w:t xml:space="preserve"> gadā no turpmākajos gados plānotajiem URVN ieņēmumiem.</w:t>
      </w:r>
    </w:p>
    <w:p w14:paraId="0565B2A1" w14:textId="77777777" w:rsidR="00C02CAA" w:rsidRPr="007D0A59" w:rsidRDefault="003827F7" w:rsidP="007D0A59">
      <w:pPr>
        <w:ind w:firstLine="720"/>
        <w:jc w:val="both"/>
      </w:pPr>
      <w:r>
        <w:t>Līdz ar to</w:t>
      </w:r>
      <w:r w:rsidR="00C02CAA" w:rsidRPr="007D0A59">
        <w:t xml:space="preserve">, </w:t>
      </w:r>
      <w:r w:rsidR="004203FD" w:rsidRPr="007D0A59">
        <w:t>sākot no</w:t>
      </w:r>
      <w:r w:rsidR="00C02CAA" w:rsidRPr="007D0A59">
        <w:t xml:space="preserve"> 201</w:t>
      </w:r>
      <w:r w:rsidR="004203FD" w:rsidRPr="007D0A59">
        <w:t>7</w:t>
      </w:r>
      <w:r w:rsidR="00C02CAA" w:rsidRPr="007D0A59">
        <w:t>.gad</w:t>
      </w:r>
      <w:r w:rsidR="004203FD" w:rsidRPr="007D0A59">
        <w:t>a</w:t>
      </w:r>
      <w:r w:rsidR="00C02CAA" w:rsidRPr="007D0A59">
        <w:t xml:space="preserve"> </w:t>
      </w:r>
      <w:r w:rsidR="004203FD" w:rsidRPr="007D0A59">
        <w:t>Maksātnespējas administrācijai ar Maksātnespējas likuma grozījumiem papildus noteikto funkciju nodrošināšanai un kapacitātes palielināšanai</w:t>
      </w:r>
      <w:r w:rsidR="0038432C" w:rsidRPr="007D0A59">
        <w:t xml:space="preserve"> kā arī informācijas sistēmu izstrādei un uzturēšanai</w:t>
      </w:r>
      <w:r w:rsidR="004203FD" w:rsidRPr="007D0A59">
        <w:t xml:space="preserve"> papildus nepieciešamais finansējums tiek plānots </w:t>
      </w:r>
      <w:r w:rsidR="00C3226C" w:rsidRPr="007D0A59">
        <w:t>no URVN ieņēmumiem</w:t>
      </w:r>
      <w:r w:rsidR="004203FD" w:rsidRPr="007D0A59">
        <w:t xml:space="preserve"> </w:t>
      </w:r>
      <w:r w:rsidR="00C02CAA" w:rsidRPr="007D0A59">
        <w:t xml:space="preserve">(skatīt </w:t>
      </w:r>
      <w:r w:rsidR="00CF43C3" w:rsidRPr="007D0A59">
        <w:t>20</w:t>
      </w:r>
      <w:r w:rsidR="00C02CAA" w:rsidRPr="007D0A59">
        <w:t>.tabulu).</w:t>
      </w:r>
    </w:p>
    <w:p w14:paraId="29827280" w14:textId="77777777" w:rsidR="00C02CAA" w:rsidRPr="003E06E7" w:rsidRDefault="00C02CAA" w:rsidP="008E54A6">
      <w:pPr>
        <w:ind w:firstLine="720"/>
        <w:jc w:val="both"/>
        <w:rPr>
          <w:sz w:val="28"/>
          <w:szCs w:val="28"/>
        </w:rPr>
      </w:pPr>
    </w:p>
    <w:p w14:paraId="0C6F7231" w14:textId="77777777" w:rsidR="00C02CAA" w:rsidRPr="00FF0C6B" w:rsidRDefault="00CF43C3" w:rsidP="009A3A4E">
      <w:pPr>
        <w:tabs>
          <w:tab w:val="left" w:pos="720"/>
        </w:tabs>
        <w:jc w:val="right"/>
      </w:pPr>
      <w:r w:rsidRPr="00FF0C6B">
        <w:t>20</w:t>
      </w:r>
      <w:r w:rsidR="00C02CAA" w:rsidRPr="00FF0C6B">
        <w:t>.tabula</w:t>
      </w:r>
    </w:p>
    <w:p w14:paraId="2A7C858A" w14:textId="77777777" w:rsidR="00C02CAA" w:rsidRPr="00FF0C6B" w:rsidRDefault="00C02CAA" w:rsidP="009A3A4E">
      <w:pPr>
        <w:tabs>
          <w:tab w:val="left" w:pos="720"/>
        </w:tabs>
        <w:jc w:val="right"/>
        <w:rPr>
          <w:b/>
        </w:rPr>
      </w:pPr>
    </w:p>
    <w:p w14:paraId="061BBA68" w14:textId="77777777" w:rsidR="00C02CAA" w:rsidRPr="003E06E7" w:rsidRDefault="00C02CAA" w:rsidP="007D0A59">
      <w:pPr>
        <w:spacing w:after="120"/>
        <w:jc w:val="center"/>
        <w:rPr>
          <w:b/>
          <w:sz w:val="28"/>
          <w:szCs w:val="28"/>
        </w:rPr>
      </w:pPr>
      <w:r w:rsidRPr="009C5A1F">
        <w:rPr>
          <w:b/>
        </w:rPr>
        <w:t>Plānotie ieņēmumi un izdevumi 201</w:t>
      </w:r>
      <w:r w:rsidR="004203FD" w:rsidRPr="009C5A1F">
        <w:rPr>
          <w:b/>
        </w:rPr>
        <w:t>7</w:t>
      </w:r>
      <w:r w:rsidRPr="009C5A1F">
        <w:rPr>
          <w:b/>
        </w:rPr>
        <w:t>.</w:t>
      </w:r>
      <w:r w:rsidR="00B67C70">
        <w:rPr>
          <w:b/>
        </w:rPr>
        <w:t>–</w:t>
      </w:r>
      <w:r w:rsidRPr="00FF0C6B">
        <w:rPr>
          <w:b/>
        </w:rPr>
        <w:t>201</w:t>
      </w:r>
      <w:r w:rsidR="004203FD" w:rsidRPr="00FF0C6B">
        <w:rPr>
          <w:b/>
        </w:rPr>
        <w:t>9</w:t>
      </w:r>
      <w:r w:rsidRPr="00FF0C6B">
        <w:rPr>
          <w:b/>
        </w:rPr>
        <w:t>.gadā apakšprogrammas „Maksātnespējas procesu pārvaldība”</w:t>
      </w:r>
      <w:r w:rsidR="00174EFD" w:rsidRPr="00FF0C6B">
        <w:rPr>
          <w:b/>
        </w:rPr>
        <w:t xml:space="preserve"> </w:t>
      </w:r>
      <w:r w:rsidRPr="009C5A1F">
        <w:rPr>
          <w:b/>
        </w:rPr>
        <w:t xml:space="preserve">papildu funkciju </w:t>
      </w:r>
      <w:r w:rsidR="00174EFD" w:rsidRPr="009C5A1F">
        <w:rPr>
          <w:b/>
        </w:rPr>
        <w:t xml:space="preserve">un kapacitātes </w:t>
      </w:r>
      <w:r w:rsidRPr="009C5A1F">
        <w:rPr>
          <w:b/>
        </w:rPr>
        <w:t>nodrošināšanai no URVN</w:t>
      </w:r>
    </w:p>
    <w:tbl>
      <w:tblPr>
        <w:tblW w:w="8449" w:type="dxa"/>
        <w:jc w:val="center"/>
        <w:tblLook w:val="0000" w:firstRow="0" w:lastRow="0" w:firstColumn="0" w:lastColumn="0" w:noHBand="0" w:noVBand="0"/>
      </w:tblPr>
      <w:tblGrid>
        <w:gridCol w:w="4780"/>
        <w:gridCol w:w="1223"/>
        <w:gridCol w:w="1223"/>
        <w:gridCol w:w="1223"/>
      </w:tblGrid>
      <w:tr w:rsidR="00C02CAA" w:rsidRPr="003E06E7" w14:paraId="36047797" w14:textId="77777777">
        <w:trPr>
          <w:trHeight w:val="645"/>
          <w:jc w:val="center"/>
        </w:trPr>
        <w:tc>
          <w:tcPr>
            <w:tcW w:w="4780" w:type="dxa"/>
            <w:tcBorders>
              <w:top w:val="single" w:sz="8" w:space="0" w:color="auto"/>
              <w:left w:val="single" w:sz="8" w:space="0" w:color="auto"/>
              <w:bottom w:val="single" w:sz="8" w:space="0" w:color="auto"/>
              <w:right w:val="single" w:sz="8" w:space="0" w:color="auto"/>
            </w:tcBorders>
            <w:noWrap/>
            <w:vAlign w:val="center"/>
          </w:tcPr>
          <w:p w14:paraId="70CACEE4" w14:textId="77777777" w:rsidR="00C02CAA" w:rsidRPr="003E06E7" w:rsidRDefault="00C02CAA" w:rsidP="003C2B2C">
            <w:pPr>
              <w:jc w:val="center"/>
              <w:rPr>
                <w:rFonts w:ascii="Arial" w:hAnsi="Arial" w:cs="Arial"/>
                <w:sz w:val="20"/>
                <w:szCs w:val="20"/>
              </w:rPr>
            </w:pPr>
          </w:p>
        </w:tc>
        <w:tc>
          <w:tcPr>
            <w:tcW w:w="1223" w:type="dxa"/>
            <w:tcBorders>
              <w:top w:val="single" w:sz="8" w:space="0" w:color="auto"/>
              <w:left w:val="nil"/>
              <w:bottom w:val="single" w:sz="8" w:space="0" w:color="auto"/>
              <w:right w:val="single" w:sz="8" w:space="0" w:color="auto"/>
            </w:tcBorders>
            <w:vAlign w:val="center"/>
          </w:tcPr>
          <w:p w14:paraId="2F6FF9FD" w14:textId="77777777" w:rsidR="00C02CAA" w:rsidRPr="003E06E7" w:rsidRDefault="00C02CAA" w:rsidP="007D0A59">
            <w:pPr>
              <w:jc w:val="center"/>
              <w:rPr>
                <w:b/>
                <w:bCs/>
              </w:rPr>
            </w:pPr>
            <w:r w:rsidRPr="003E06E7">
              <w:rPr>
                <w:b/>
                <w:bCs/>
              </w:rPr>
              <w:t>201</w:t>
            </w:r>
            <w:r w:rsidR="005730A0" w:rsidRPr="003E06E7">
              <w:rPr>
                <w:b/>
                <w:bCs/>
              </w:rPr>
              <w:t>7</w:t>
            </w:r>
            <w:r w:rsidRPr="003E06E7">
              <w:rPr>
                <w:b/>
                <w:bCs/>
              </w:rPr>
              <w:t>.gads</w:t>
            </w:r>
          </w:p>
        </w:tc>
        <w:tc>
          <w:tcPr>
            <w:tcW w:w="1223" w:type="dxa"/>
            <w:tcBorders>
              <w:top w:val="single" w:sz="8" w:space="0" w:color="auto"/>
              <w:left w:val="nil"/>
              <w:bottom w:val="single" w:sz="8" w:space="0" w:color="auto"/>
              <w:right w:val="single" w:sz="8" w:space="0" w:color="auto"/>
            </w:tcBorders>
            <w:vAlign w:val="center"/>
          </w:tcPr>
          <w:p w14:paraId="75D62DCF" w14:textId="77777777" w:rsidR="00C02CAA" w:rsidRPr="003E06E7" w:rsidRDefault="00C02CAA" w:rsidP="007D0A59">
            <w:pPr>
              <w:jc w:val="center"/>
              <w:rPr>
                <w:b/>
                <w:bCs/>
              </w:rPr>
            </w:pPr>
            <w:r w:rsidRPr="003E06E7">
              <w:rPr>
                <w:b/>
                <w:bCs/>
              </w:rPr>
              <w:t>201</w:t>
            </w:r>
            <w:r w:rsidR="005730A0" w:rsidRPr="003E06E7">
              <w:rPr>
                <w:b/>
                <w:bCs/>
              </w:rPr>
              <w:t>8</w:t>
            </w:r>
            <w:r w:rsidRPr="003E06E7">
              <w:rPr>
                <w:b/>
                <w:bCs/>
              </w:rPr>
              <w:t>.gads</w:t>
            </w:r>
          </w:p>
        </w:tc>
        <w:tc>
          <w:tcPr>
            <w:tcW w:w="1223" w:type="dxa"/>
            <w:tcBorders>
              <w:top w:val="single" w:sz="8" w:space="0" w:color="auto"/>
              <w:left w:val="nil"/>
              <w:bottom w:val="single" w:sz="8" w:space="0" w:color="auto"/>
              <w:right w:val="single" w:sz="8" w:space="0" w:color="auto"/>
            </w:tcBorders>
            <w:vAlign w:val="center"/>
          </w:tcPr>
          <w:p w14:paraId="34A8424E" w14:textId="77777777" w:rsidR="00C02CAA" w:rsidRPr="003E06E7" w:rsidRDefault="00C02CAA" w:rsidP="007D0A59">
            <w:pPr>
              <w:jc w:val="center"/>
              <w:rPr>
                <w:b/>
                <w:bCs/>
              </w:rPr>
            </w:pPr>
            <w:r w:rsidRPr="003E06E7">
              <w:rPr>
                <w:b/>
                <w:bCs/>
              </w:rPr>
              <w:t>201</w:t>
            </w:r>
            <w:r w:rsidR="005730A0" w:rsidRPr="003E06E7">
              <w:rPr>
                <w:b/>
                <w:bCs/>
              </w:rPr>
              <w:t>9</w:t>
            </w:r>
            <w:r w:rsidRPr="003E06E7">
              <w:rPr>
                <w:b/>
                <w:bCs/>
              </w:rPr>
              <w:t>.gads</w:t>
            </w:r>
          </w:p>
        </w:tc>
      </w:tr>
      <w:tr w:rsidR="000F2FCF" w:rsidRPr="00ED0FB0" w14:paraId="71157661" w14:textId="77777777">
        <w:trPr>
          <w:trHeight w:val="330"/>
          <w:jc w:val="center"/>
        </w:trPr>
        <w:tc>
          <w:tcPr>
            <w:tcW w:w="4780" w:type="dxa"/>
            <w:tcBorders>
              <w:top w:val="nil"/>
              <w:left w:val="single" w:sz="8" w:space="0" w:color="auto"/>
              <w:bottom w:val="single" w:sz="8" w:space="0" w:color="auto"/>
              <w:right w:val="single" w:sz="8" w:space="0" w:color="auto"/>
            </w:tcBorders>
          </w:tcPr>
          <w:p w14:paraId="646C99BF" w14:textId="77777777" w:rsidR="000F2FCF" w:rsidRPr="00ED0FB0" w:rsidRDefault="000F2FCF" w:rsidP="00DE23AC">
            <w:pPr>
              <w:jc w:val="both"/>
            </w:pPr>
            <w:r w:rsidRPr="00ED0FB0">
              <w:t>1.</w:t>
            </w:r>
            <w:r w:rsidR="007D0A59" w:rsidRPr="00ED0FB0">
              <w:t xml:space="preserve"> </w:t>
            </w:r>
            <w:r w:rsidRPr="00ED0FB0">
              <w:t xml:space="preserve">Ieņēmumi no URVN, </w:t>
            </w:r>
            <w:r w:rsidRPr="00ED0FB0">
              <w:rPr>
                <w:i/>
                <w:iCs/>
              </w:rPr>
              <w:t>euro</w:t>
            </w:r>
          </w:p>
        </w:tc>
        <w:tc>
          <w:tcPr>
            <w:tcW w:w="1223" w:type="dxa"/>
            <w:tcBorders>
              <w:top w:val="nil"/>
              <w:left w:val="nil"/>
              <w:bottom w:val="single" w:sz="8" w:space="0" w:color="auto"/>
              <w:right w:val="single" w:sz="8" w:space="0" w:color="auto"/>
            </w:tcBorders>
          </w:tcPr>
          <w:p w14:paraId="35530F93" w14:textId="77777777" w:rsidR="000F2FCF" w:rsidRPr="00ED0FB0" w:rsidRDefault="00DB2401" w:rsidP="000505A7">
            <w:pPr>
              <w:jc w:val="center"/>
              <w:rPr>
                <w:b/>
                <w:bCs/>
              </w:rPr>
            </w:pPr>
            <w:r w:rsidRPr="00ED0FB0">
              <w:rPr>
                <w:b/>
                <w:bCs/>
              </w:rPr>
              <w:t>484 53</w:t>
            </w:r>
            <w:r w:rsidR="000505A7" w:rsidRPr="00ED0FB0">
              <w:rPr>
                <w:b/>
                <w:bCs/>
              </w:rPr>
              <w:t>8</w:t>
            </w:r>
          </w:p>
        </w:tc>
        <w:tc>
          <w:tcPr>
            <w:tcW w:w="1223" w:type="dxa"/>
            <w:tcBorders>
              <w:top w:val="nil"/>
              <w:left w:val="nil"/>
              <w:bottom w:val="single" w:sz="8" w:space="0" w:color="auto"/>
              <w:right w:val="single" w:sz="8" w:space="0" w:color="auto"/>
            </w:tcBorders>
          </w:tcPr>
          <w:p w14:paraId="4E89566A" w14:textId="77777777" w:rsidR="000F2FCF" w:rsidRPr="00ED0FB0" w:rsidRDefault="00DB2401" w:rsidP="000505A7">
            <w:pPr>
              <w:jc w:val="center"/>
              <w:rPr>
                <w:b/>
                <w:bCs/>
              </w:rPr>
            </w:pPr>
            <w:r w:rsidRPr="00ED0FB0">
              <w:rPr>
                <w:b/>
                <w:bCs/>
              </w:rPr>
              <w:t>484 53</w:t>
            </w:r>
            <w:r w:rsidR="000505A7" w:rsidRPr="00ED0FB0">
              <w:rPr>
                <w:b/>
                <w:bCs/>
              </w:rPr>
              <w:t>8</w:t>
            </w:r>
          </w:p>
        </w:tc>
        <w:tc>
          <w:tcPr>
            <w:tcW w:w="1223" w:type="dxa"/>
            <w:tcBorders>
              <w:top w:val="nil"/>
              <w:left w:val="nil"/>
              <w:bottom w:val="single" w:sz="8" w:space="0" w:color="auto"/>
              <w:right w:val="single" w:sz="8" w:space="0" w:color="auto"/>
            </w:tcBorders>
          </w:tcPr>
          <w:p w14:paraId="05C4FC73" w14:textId="77777777" w:rsidR="000F2FCF" w:rsidRPr="00ED0FB0" w:rsidRDefault="00DB2401" w:rsidP="000505A7">
            <w:pPr>
              <w:jc w:val="center"/>
              <w:rPr>
                <w:b/>
                <w:bCs/>
              </w:rPr>
            </w:pPr>
            <w:r w:rsidRPr="00ED0FB0">
              <w:rPr>
                <w:b/>
                <w:bCs/>
              </w:rPr>
              <w:t>484 53</w:t>
            </w:r>
            <w:r w:rsidR="000505A7" w:rsidRPr="00ED0FB0">
              <w:rPr>
                <w:b/>
                <w:bCs/>
              </w:rPr>
              <w:t>8</w:t>
            </w:r>
          </w:p>
        </w:tc>
      </w:tr>
      <w:tr w:rsidR="00C02CAA" w:rsidRPr="00ED0FB0" w14:paraId="3D461F77" w14:textId="77777777">
        <w:trPr>
          <w:trHeight w:val="267"/>
          <w:jc w:val="center"/>
        </w:trPr>
        <w:tc>
          <w:tcPr>
            <w:tcW w:w="4780" w:type="dxa"/>
            <w:tcBorders>
              <w:top w:val="nil"/>
              <w:left w:val="single" w:sz="8" w:space="0" w:color="auto"/>
              <w:bottom w:val="single" w:sz="8" w:space="0" w:color="auto"/>
              <w:right w:val="single" w:sz="8" w:space="0" w:color="auto"/>
            </w:tcBorders>
          </w:tcPr>
          <w:p w14:paraId="5F6B66B1" w14:textId="77777777" w:rsidR="00C02CAA" w:rsidRPr="00ED0FB0" w:rsidRDefault="0021690B" w:rsidP="00596D67">
            <w:r w:rsidRPr="00ED0FB0">
              <w:t>2</w:t>
            </w:r>
            <w:r w:rsidR="00C02CAA" w:rsidRPr="00ED0FB0">
              <w:t>.</w:t>
            </w:r>
            <w:r w:rsidR="007D0A59" w:rsidRPr="00ED0FB0">
              <w:t xml:space="preserve"> </w:t>
            </w:r>
            <w:r w:rsidR="00C02CAA" w:rsidRPr="00ED0FB0">
              <w:t xml:space="preserve">Izdevumi atlīdzības segšanai, </w:t>
            </w:r>
            <w:r w:rsidR="00C02CAA" w:rsidRPr="00ED0FB0">
              <w:rPr>
                <w:i/>
              </w:rPr>
              <w:t>euro</w:t>
            </w:r>
            <w:r w:rsidR="00596D67" w:rsidRPr="00ED0FB0">
              <w:t xml:space="preserve"> </w:t>
            </w:r>
          </w:p>
        </w:tc>
        <w:tc>
          <w:tcPr>
            <w:tcW w:w="1223" w:type="dxa"/>
            <w:tcBorders>
              <w:top w:val="nil"/>
              <w:left w:val="nil"/>
              <w:bottom w:val="single" w:sz="8" w:space="0" w:color="auto"/>
              <w:right w:val="single" w:sz="8" w:space="0" w:color="auto"/>
            </w:tcBorders>
          </w:tcPr>
          <w:p w14:paraId="364F6D17" w14:textId="77777777" w:rsidR="00C02CAA" w:rsidRPr="00ED0FB0" w:rsidRDefault="00DB2401" w:rsidP="000505A7">
            <w:pPr>
              <w:jc w:val="center"/>
            </w:pPr>
            <w:r w:rsidRPr="00ED0FB0">
              <w:t>417 7</w:t>
            </w:r>
            <w:r w:rsidR="000505A7" w:rsidRPr="00ED0FB0">
              <w:t>60</w:t>
            </w:r>
          </w:p>
        </w:tc>
        <w:tc>
          <w:tcPr>
            <w:tcW w:w="1223" w:type="dxa"/>
            <w:tcBorders>
              <w:top w:val="nil"/>
              <w:left w:val="nil"/>
              <w:bottom w:val="single" w:sz="8" w:space="0" w:color="auto"/>
              <w:right w:val="single" w:sz="8" w:space="0" w:color="auto"/>
            </w:tcBorders>
          </w:tcPr>
          <w:p w14:paraId="2018EE90" w14:textId="77777777" w:rsidR="00C02CAA" w:rsidRPr="00ED0FB0" w:rsidRDefault="00DB2401" w:rsidP="000505A7">
            <w:pPr>
              <w:jc w:val="center"/>
            </w:pPr>
            <w:r w:rsidRPr="00ED0FB0">
              <w:t>417 7</w:t>
            </w:r>
            <w:r w:rsidR="000505A7" w:rsidRPr="00ED0FB0">
              <w:t>60</w:t>
            </w:r>
          </w:p>
        </w:tc>
        <w:tc>
          <w:tcPr>
            <w:tcW w:w="1223" w:type="dxa"/>
            <w:tcBorders>
              <w:top w:val="nil"/>
              <w:left w:val="nil"/>
              <w:bottom w:val="single" w:sz="8" w:space="0" w:color="auto"/>
              <w:right w:val="single" w:sz="8" w:space="0" w:color="auto"/>
            </w:tcBorders>
          </w:tcPr>
          <w:p w14:paraId="7784D0AB" w14:textId="77777777" w:rsidR="00C02CAA" w:rsidRPr="00ED0FB0" w:rsidRDefault="00DB2401" w:rsidP="000505A7">
            <w:pPr>
              <w:jc w:val="center"/>
            </w:pPr>
            <w:r w:rsidRPr="00ED0FB0">
              <w:t>417 7</w:t>
            </w:r>
            <w:r w:rsidR="000505A7" w:rsidRPr="00ED0FB0">
              <w:t>60</w:t>
            </w:r>
          </w:p>
        </w:tc>
      </w:tr>
      <w:tr w:rsidR="00596D67" w:rsidRPr="00ED0FB0" w14:paraId="799E86A1" w14:textId="77777777" w:rsidTr="0021171A">
        <w:trPr>
          <w:trHeight w:val="267"/>
          <w:jc w:val="center"/>
        </w:trPr>
        <w:tc>
          <w:tcPr>
            <w:tcW w:w="4780" w:type="dxa"/>
            <w:tcBorders>
              <w:top w:val="nil"/>
              <w:left w:val="single" w:sz="8" w:space="0" w:color="auto"/>
              <w:bottom w:val="single" w:sz="8" w:space="0" w:color="auto"/>
              <w:right w:val="single" w:sz="8" w:space="0" w:color="auto"/>
            </w:tcBorders>
          </w:tcPr>
          <w:p w14:paraId="4631EF13" w14:textId="77777777" w:rsidR="00596D67" w:rsidRPr="00ED0FB0" w:rsidRDefault="00596D67" w:rsidP="00596D67">
            <w:pPr>
              <w:jc w:val="right"/>
            </w:pPr>
            <w:r w:rsidRPr="00ED0FB0">
              <w:t>t.sk. atalgojumam</w:t>
            </w:r>
          </w:p>
        </w:tc>
        <w:tc>
          <w:tcPr>
            <w:tcW w:w="1223" w:type="dxa"/>
            <w:tcBorders>
              <w:top w:val="nil"/>
              <w:left w:val="nil"/>
              <w:bottom w:val="single" w:sz="8" w:space="0" w:color="auto"/>
              <w:right w:val="single" w:sz="8" w:space="0" w:color="auto"/>
            </w:tcBorders>
            <w:shd w:val="clear" w:color="auto" w:fill="auto"/>
          </w:tcPr>
          <w:p w14:paraId="04AD7363" w14:textId="77777777" w:rsidR="00596D67" w:rsidRPr="00ED0FB0" w:rsidRDefault="00DB2401" w:rsidP="007D0A59">
            <w:pPr>
              <w:jc w:val="center"/>
            </w:pPr>
            <w:r w:rsidRPr="00ED0FB0">
              <w:t>329 372</w:t>
            </w:r>
          </w:p>
        </w:tc>
        <w:tc>
          <w:tcPr>
            <w:tcW w:w="1223" w:type="dxa"/>
            <w:tcBorders>
              <w:top w:val="nil"/>
              <w:left w:val="nil"/>
              <w:bottom w:val="single" w:sz="8" w:space="0" w:color="auto"/>
              <w:right w:val="single" w:sz="8" w:space="0" w:color="auto"/>
            </w:tcBorders>
            <w:shd w:val="clear" w:color="auto" w:fill="auto"/>
          </w:tcPr>
          <w:p w14:paraId="0D305B62" w14:textId="77777777" w:rsidR="00596D67" w:rsidRPr="00ED0FB0" w:rsidRDefault="00926BA3" w:rsidP="007D0A59">
            <w:pPr>
              <w:jc w:val="center"/>
            </w:pPr>
            <w:r w:rsidRPr="00ED0FB0">
              <w:t>329 372</w:t>
            </w:r>
          </w:p>
        </w:tc>
        <w:tc>
          <w:tcPr>
            <w:tcW w:w="1223" w:type="dxa"/>
            <w:tcBorders>
              <w:top w:val="nil"/>
              <w:left w:val="nil"/>
              <w:bottom w:val="single" w:sz="8" w:space="0" w:color="auto"/>
              <w:right w:val="single" w:sz="8" w:space="0" w:color="auto"/>
            </w:tcBorders>
            <w:shd w:val="clear" w:color="auto" w:fill="auto"/>
          </w:tcPr>
          <w:p w14:paraId="132E7DD8" w14:textId="77777777" w:rsidR="00596D67" w:rsidRPr="00ED0FB0" w:rsidRDefault="00926BA3" w:rsidP="007D0A59">
            <w:pPr>
              <w:jc w:val="center"/>
            </w:pPr>
            <w:r w:rsidRPr="00ED0FB0">
              <w:t>329 372</w:t>
            </w:r>
          </w:p>
        </w:tc>
      </w:tr>
      <w:tr w:rsidR="00C02CAA" w:rsidRPr="00ED0FB0" w14:paraId="7EC8A498" w14:textId="77777777">
        <w:trPr>
          <w:trHeight w:val="330"/>
          <w:jc w:val="center"/>
        </w:trPr>
        <w:tc>
          <w:tcPr>
            <w:tcW w:w="4780" w:type="dxa"/>
            <w:tcBorders>
              <w:top w:val="nil"/>
              <w:left w:val="single" w:sz="8" w:space="0" w:color="auto"/>
              <w:bottom w:val="single" w:sz="8" w:space="0" w:color="auto"/>
              <w:right w:val="single" w:sz="8" w:space="0" w:color="auto"/>
            </w:tcBorders>
          </w:tcPr>
          <w:p w14:paraId="519FD369" w14:textId="77777777" w:rsidR="00C02CAA" w:rsidRPr="00ED0FB0" w:rsidRDefault="00432A46" w:rsidP="00DE23AC">
            <w:r w:rsidRPr="00ED0FB0">
              <w:t>3</w:t>
            </w:r>
            <w:r w:rsidR="00C02CAA" w:rsidRPr="00ED0FB0">
              <w:t>.</w:t>
            </w:r>
            <w:r w:rsidR="007D0A59" w:rsidRPr="00ED0FB0">
              <w:t xml:space="preserve"> </w:t>
            </w:r>
            <w:r w:rsidR="00C02CAA" w:rsidRPr="00ED0FB0">
              <w:t xml:space="preserve">Izdevumi precēm un pakalpojumiem, </w:t>
            </w:r>
            <w:r w:rsidR="00C02CAA" w:rsidRPr="00ED0FB0">
              <w:rPr>
                <w:i/>
              </w:rPr>
              <w:t>euro</w:t>
            </w:r>
          </w:p>
        </w:tc>
        <w:tc>
          <w:tcPr>
            <w:tcW w:w="1223" w:type="dxa"/>
            <w:tcBorders>
              <w:top w:val="nil"/>
              <w:left w:val="nil"/>
              <w:bottom w:val="single" w:sz="8" w:space="0" w:color="auto"/>
              <w:right w:val="single" w:sz="8" w:space="0" w:color="auto"/>
            </w:tcBorders>
          </w:tcPr>
          <w:p w14:paraId="7B7E45F9" w14:textId="77777777" w:rsidR="00C02CAA" w:rsidRPr="00ED0FB0" w:rsidRDefault="00A248F9" w:rsidP="007D0A59">
            <w:pPr>
              <w:jc w:val="center"/>
            </w:pPr>
            <w:r w:rsidRPr="00ED0FB0">
              <w:t>66 778</w:t>
            </w:r>
          </w:p>
        </w:tc>
        <w:tc>
          <w:tcPr>
            <w:tcW w:w="1223" w:type="dxa"/>
            <w:tcBorders>
              <w:top w:val="nil"/>
              <w:left w:val="nil"/>
              <w:bottom w:val="single" w:sz="8" w:space="0" w:color="auto"/>
              <w:right w:val="single" w:sz="8" w:space="0" w:color="auto"/>
            </w:tcBorders>
          </w:tcPr>
          <w:p w14:paraId="364F51B3" w14:textId="77777777" w:rsidR="00C02CAA" w:rsidRPr="00ED0FB0" w:rsidRDefault="00A248F9" w:rsidP="007D0A59">
            <w:pPr>
              <w:jc w:val="center"/>
            </w:pPr>
            <w:r w:rsidRPr="00ED0FB0">
              <w:t>66 778</w:t>
            </w:r>
          </w:p>
        </w:tc>
        <w:tc>
          <w:tcPr>
            <w:tcW w:w="1223" w:type="dxa"/>
            <w:tcBorders>
              <w:top w:val="nil"/>
              <w:left w:val="nil"/>
              <w:bottom w:val="single" w:sz="8" w:space="0" w:color="auto"/>
              <w:right w:val="single" w:sz="8" w:space="0" w:color="auto"/>
            </w:tcBorders>
          </w:tcPr>
          <w:p w14:paraId="1BFE1DC4" w14:textId="77777777" w:rsidR="00C02CAA" w:rsidRPr="00ED0FB0" w:rsidRDefault="00A248F9" w:rsidP="007D0A59">
            <w:pPr>
              <w:jc w:val="center"/>
            </w:pPr>
            <w:r w:rsidRPr="00ED0FB0">
              <w:t>66 778</w:t>
            </w:r>
          </w:p>
        </w:tc>
      </w:tr>
      <w:tr w:rsidR="00C02CAA" w:rsidRPr="00ED0FB0" w14:paraId="26C7B10D" w14:textId="77777777">
        <w:trPr>
          <w:trHeight w:val="329"/>
          <w:jc w:val="center"/>
        </w:trPr>
        <w:tc>
          <w:tcPr>
            <w:tcW w:w="4780" w:type="dxa"/>
            <w:tcBorders>
              <w:top w:val="nil"/>
              <w:left w:val="single" w:sz="8" w:space="0" w:color="auto"/>
              <w:bottom w:val="single" w:sz="8" w:space="0" w:color="auto"/>
              <w:right w:val="single" w:sz="8" w:space="0" w:color="auto"/>
            </w:tcBorders>
          </w:tcPr>
          <w:p w14:paraId="725F447E" w14:textId="77777777" w:rsidR="00C02CAA" w:rsidRPr="00ED0FB0" w:rsidRDefault="00432A46" w:rsidP="009C0E1B">
            <w:r w:rsidRPr="00ED0FB0">
              <w:t>4</w:t>
            </w:r>
            <w:r w:rsidR="00C02CAA" w:rsidRPr="00ED0FB0">
              <w:t xml:space="preserve">. Kārtējie izdevumi kopā, </w:t>
            </w:r>
            <w:r w:rsidR="00C02CAA" w:rsidRPr="00ED0FB0">
              <w:rPr>
                <w:i/>
              </w:rPr>
              <w:t>euro</w:t>
            </w:r>
            <w:r w:rsidR="00C02CAA" w:rsidRPr="00ED0FB0">
              <w:t xml:space="preserve"> (</w:t>
            </w:r>
            <w:r w:rsidR="009C0E1B" w:rsidRPr="00ED0FB0">
              <w:t>4</w:t>
            </w:r>
            <w:r w:rsidR="00C02CAA" w:rsidRPr="00ED0FB0">
              <w:t>.+</w:t>
            </w:r>
            <w:r w:rsidR="009C0E1B" w:rsidRPr="00ED0FB0">
              <w:t>5</w:t>
            </w:r>
            <w:r w:rsidR="00C02CAA" w:rsidRPr="00ED0FB0">
              <w:t>.)</w:t>
            </w:r>
          </w:p>
        </w:tc>
        <w:tc>
          <w:tcPr>
            <w:tcW w:w="1223" w:type="dxa"/>
            <w:tcBorders>
              <w:top w:val="nil"/>
              <w:left w:val="nil"/>
              <w:bottom w:val="single" w:sz="8" w:space="0" w:color="auto"/>
              <w:right w:val="single" w:sz="8" w:space="0" w:color="auto"/>
            </w:tcBorders>
          </w:tcPr>
          <w:p w14:paraId="4BD3778E" w14:textId="77777777" w:rsidR="00C02CAA" w:rsidRPr="00ED0FB0" w:rsidRDefault="00DB2401" w:rsidP="000505A7">
            <w:pPr>
              <w:jc w:val="center"/>
              <w:rPr>
                <w:b/>
                <w:bCs/>
              </w:rPr>
            </w:pPr>
            <w:r w:rsidRPr="00ED0FB0">
              <w:rPr>
                <w:b/>
                <w:bCs/>
              </w:rPr>
              <w:t>484 53</w:t>
            </w:r>
            <w:r w:rsidR="000505A7" w:rsidRPr="00ED0FB0">
              <w:rPr>
                <w:b/>
                <w:bCs/>
              </w:rPr>
              <w:t>8</w:t>
            </w:r>
          </w:p>
        </w:tc>
        <w:tc>
          <w:tcPr>
            <w:tcW w:w="1223" w:type="dxa"/>
            <w:tcBorders>
              <w:top w:val="nil"/>
              <w:left w:val="nil"/>
              <w:bottom w:val="single" w:sz="8" w:space="0" w:color="auto"/>
              <w:right w:val="single" w:sz="8" w:space="0" w:color="auto"/>
            </w:tcBorders>
          </w:tcPr>
          <w:p w14:paraId="0A9E5E14" w14:textId="77777777" w:rsidR="00C02CAA" w:rsidRPr="00ED0FB0" w:rsidRDefault="00DB2401" w:rsidP="000505A7">
            <w:pPr>
              <w:jc w:val="center"/>
              <w:rPr>
                <w:b/>
                <w:bCs/>
              </w:rPr>
            </w:pPr>
            <w:r w:rsidRPr="00ED0FB0">
              <w:rPr>
                <w:b/>
                <w:bCs/>
              </w:rPr>
              <w:t>484 53</w:t>
            </w:r>
            <w:r w:rsidR="000505A7" w:rsidRPr="00ED0FB0">
              <w:rPr>
                <w:b/>
                <w:bCs/>
              </w:rPr>
              <w:t>8</w:t>
            </w:r>
          </w:p>
        </w:tc>
        <w:tc>
          <w:tcPr>
            <w:tcW w:w="1223" w:type="dxa"/>
            <w:tcBorders>
              <w:top w:val="nil"/>
              <w:left w:val="nil"/>
              <w:bottom w:val="single" w:sz="8" w:space="0" w:color="auto"/>
              <w:right w:val="single" w:sz="8" w:space="0" w:color="auto"/>
            </w:tcBorders>
          </w:tcPr>
          <w:p w14:paraId="788BD06C" w14:textId="77777777" w:rsidR="00C02CAA" w:rsidRPr="00ED0FB0" w:rsidRDefault="00DB2401" w:rsidP="000505A7">
            <w:pPr>
              <w:jc w:val="center"/>
              <w:rPr>
                <w:b/>
                <w:bCs/>
              </w:rPr>
            </w:pPr>
            <w:r w:rsidRPr="00ED0FB0">
              <w:rPr>
                <w:b/>
                <w:bCs/>
              </w:rPr>
              <w:t>484 53</w:t>
            </w:r>
            <w:r w:rsidR="000505A7" w:rsidRPr="00ED0FB0">
              <w:rPr>
                <w:b/>
                <w:bCs/>
              </w:rPr>
              <w:t>8</w:t>
            </w:r>
          </w:p>
        </w:tc>
      </w:tr>
    </w:tbl>
    <w:p w14:paraId="55E01644" w14:textId="77777777" w:rsidR="00A3468A" w:rsidRPr="00ED0FB0" w:rsidRDefault="00A3468A" w:rsidP="009A173D">
      <w:pPr>
        <w:pStyle w:val="Heading1"/>
        <w:numPr>
          <w:ilvl w:val="0"/>
          <w:numId w:val="0"/>
        </w:numPr>
        <w:spacing w:before="0" w:after="0"/>
        <w:jc w:val="center"/>
        <w:rPr>
          <w:rFonts w:ascii="Times New Roman" w:hAnsi="Times New Roman" w:cs="Times New Roman"/>
          <w:sz w:val="28"/>
        </w:rPr>
      </w:pPr>
      <w:bookmarkStart w:id="81" w:name="_Toc410048288"/>
      <w:bookmarkStart w:id="82" w:name="_Toc414279034"/>
    </w:p>
    <w:p w14:paraId="10C300AE" w14:textId="77777777" w:rsidR="00DB2401" w:rsidRPr="00ED0FB0" w:rsidRDefault="00DB2401" w:rsidP="00DB2401">
      <w:pPr>
        <w:ind w:firstLine="720"/>
        <w:jc w:val="both"/>
      </w:pPr>
      <w:r w:rsidRPr="00ED0FB0">
        <w:t>Savukārt 2016.gadā papildus nepieciešamais finansējums no 1.septembra ir 96 300</w:t>
      </w:r>
      <w:r w:rsidR="00B67C70">
        <w:t> </w:t>
      </w:r>
      <w:r w:rsidRPr="00ED0FB0">
        <w:rPr>
          <w:i/>
        </w:rPr>
        <w:t>euro</w:t>
      </w:r>
      <w:r w:rsidRPr="00ED0FB0">
        <w:t>, kas kopā ar informatīvajā ziņojumā par 2016.</w:t>
      </w:r>
      <w:r w:rsidR="00B67C70">
        <w:t>–</w:t>
      </w:r>
      <w:r w:rsidRPr="00ED0FB0">
        <w:t xml:space="preserve">2018.gadu </w:t>
      </w:r>
      <w:r w:rsidR="00A6017C" w:rsidRPr="00ED0FB0">
        <w:t>apakšprogrammai “Maksātnespējas procesu pārvaldība”</w:t>
      </w:r>
      <w:r w:rsidRPr="00ED0FB0">
        <w:t xml:space="preserve"> </w:t>
      </w:r>
      <w:r w:rsidR="00A6017C" w:rsidRPr="00ED0FB0">
        <w:t xml:space="preserve">paredzētajiem līdzekļiem </w:t>
      </w:r>
      <w:r w:rsidRPr="00ED0FB0">
        <w:t xml:space="preserve">(126 525 </w:t>
      </w:r>
      <w:r w:rsidRPr="00ED0FB0">
        <w:rPr>
          <w:i/>
        </w:rPr>
        <w:t>euro</w:t>
      </w:r>
      <w:r w:rsidRPr="00ED0FB0">
        <w:t xml:space="preserve"> gadā) </w:t>
      </w:r>
      <w:r w:rsidR="00A6017C" w:rsidRPr="00ED0FB0">
        <w:t>veido</w:t>
      </w:r>
      <w:r w:rsidRPr="00ED0FB0">
        <w:t xml:space="preserve"> 222 825 </w:t>
      </w:r>
      <w:r w:rsidRPr="00ED0FB0">
        <w:rPr>
          <w:i/>
        </w:rPr>
        <w:t>euro</w:t>
      </w:r>
      <w:r w:rsidRPr="00ED0FB0">
        <w:t xml:space="preserve"> gadā, kas ir 7 </w:t>
      </w:r>
      <w:r w:rsidR="00860218" w:rsidRPr="00ED0FB0">
        <w:t>%</w:t>
      </w:r>
      <w:r w:rsidRPr="00ED0FB0">
        <w:t xml:space="preserve"> gadā no 2016.gadā plānotajiem URVN ieņēmumiem.</w:t>
      </w:r>
    </w:p>
    <w:p w14:paraId="23FDBBC0" w14:textId="77777777" w:rsidR="00DB2401" w:rsidRPr="00DB2401" w:rsidRDefault="00DB2401" w:rsidP="00DB2401"/>
    <w:p w14:paraId="5818727D" w14:textId="77777777" w:rsidR="00C02CAA" w:rsidRPr="007D0A59" w:rsidRDefault="00C02CAA" w:rsidP="007D0A59">
      <w:pPr>
        <w:pStyle w:val="Heading1"/>
        <w:numPr>
          <w:ilvl w:val="0"/>
          <w:numId w:val="0"/>
        </w:numPr>
        <w:spacing w:before="0" w:after="0"/>
        <w:ind w:firstLine="720"/>
        <w:jc w:val="both"/>
        <w:rPr>
          <w:rFonts w:ascii="Times New Roman" w:hAnsi="Times New Roman" w:cs="Times New Roman"/>
          <w:sz w:val="24"/>
          <w:szCs w:val="24"/>
        </w:rPr>
      </w:pPr>
      <w:bookmarkStart w:id="83" w:name="_Toc453263324"/>
      <w:r w:rsidRPr="007D0A59">
        <w:rPr>
          <w:rFonts w:ascii="Times New Roman" w:hAnsi="Times New Roman" w:cs="Times New Roman"/>
          <w:sz w:val="24"/>
          <w:szCs w:val="24"/>
        </w:rPr>
        <w:t>3.</w:t>
      </w:r>
      <w:r w:rsidR="00B641E8" w:rsidRPr="007D0A59">
        <w:rPr>
          <w:rFonts w:ascii="Times New Roman" w:hAnsi="Times New Roman" w:cs="Times New Roman"/>
          <w:sz w:val="24"/>
          <w:szCs w:val="24"/>
        </w:rPr>
        <w:t xml:space="preserve"> </w:t>
      </w:r>
      <w:r w:rsidRPr="007D0A59">
        <w:rPr>
          <w:rFonts w:ascii="Times New Roman" w:hAnsi="Times New Roman" w:cs="Times New Roman"/>
          <w:sz w:val="24"/>
          <w:szCs w:val="24"/>
        </w:rPr>
        <w:t>Budžeta apakšprogramma 06.04.00 „Darbinieku prasījumu garantiju fonds” 201</w:t>
      </w:r>
      <w:r w:rsidR="00242667" w:rsidRPr="007D0A59">
        <w:rPr>
          <w:rFonts w:ascii="Times New Roman" w:hAnsi="Times New Roman" w:cs="Times New Roman"/>
          <w:sz w:val="24"/>
          <w:szCs w:val="24"/>
        </w:rPr>
        <w:t>7</w:t>
      </w:r>
      <w:r w:rsidRPr="007D0A59">
        <w:rPr>
          <w:rFonts w:ascii="Times New Roman" w:hAnsi="Times New Roman" w:cs="Times New Roman"/>
          <w:sz w:val="24"/>
          <w:szCs w:val="24"/>
        </w:rPr>
        <w:t>.–201</w:t>
      </w:r>
      <w:r w:rsidR="00242667" w:rsidRPr="007D0A59">
        <w:rPr>
          <w:rFonts w:ascii="Times New Roman" w:hAnsi="Times New Roman" w:cs="Times New Roman"/>
          <w:sz w:val="24"/>
          <w:szCs w:val="24"/>
        </w:rPr>
        <w:t>9</w:t>
      </w:r>
      <w:r w:rsidRPr="007D0A59">
        <w:rPr>
          <w:rFonts w:ascii="Times New Roman" w:hAnsi="Times New Roman" w:cs="Times New Roman"/>
          <w:sz w:val="24"/>
          <w:szCs w:val="24"/>
        </w:rPr>
        <w:t>.gadā</w:t>
      </w:r>
      <w:bookmarkEnd w:id="81"/>
      <w:bookmarkEnd w:id="82"/>
      <w:bookmarkEnd w:id="83"/>
    </w:p>
    <w:p w14:paraId="3CED1906" w14:textId="77777777" w:rsidR="00C02CAA" w:rsidRPr="007D0A59" w:rsidRDefault="00C02CAA" w:rsidP="007D0A59">
      <w:pPr>
        <w:tabs>
          <w:tab w:val="left" w:pos="720"/>
        </w:tabs>
        <w:ind w:firstLine="720"/>
        <w:jc w:val="both"/>
      </w:pPr>
      <w:r w:rsidRPr="007D0A59">
        <w:t>Plānojot darbinieku prasījumu segšanai nepieciešamo finansējumu 201</w:t>
      </w:r>
      <w:r w:rsidR="000173A7" w:rsidRPr="007D0A59">
        <w:t>7</w:t>
      </w:r>
      <w:r w:rsidR="00B67C70">
        <w:t>.–</w:t>
      </w:r>
      <w:r w:rsidRPr="007D0A59">
        <w:t>201</w:t>
      </w:r>
      <w:r w:rsidR="000173A7" w:rsidRPr="007D0A59">
        <w:t>9</w:t>
      </w:r>
      <w:r w:rsidRPr="007D0A59">
        <w:t>.gadam, jāņem vērā vairāki rādītāji, proti, maksātnespējas procesu skaits, kuru darbinieku prasījumi tiek segti no darbinieku prasījumu garantiju fonda, darbinieku skaits, kuriem ir jāsedz prasījumi, prasījumu segšanas proporcija pa gadiem no procesu pasludināšanas brīža, vidējās izmaksātās summas un maksimālās izmaksājamās summas.</w:t>
      </w:r>
      <w:r w:rsidR="00AE0EEE" w:rsidRPr="007D0A59">
        <w:t xml:space="preserve"> </w:t>
      </w:r>
      <w:r w:rsidRPr="007D0A59">
        <w:t>Tāpat jāanalizē, vai ar plānotajiem URVN ieņēmumiem var nosegt plānotos izdevumus un, vai veidosies drošības garants, kas varētu būt nepieciešams situācijā, ja maksātnespējīgs kļūst uzņēmums ar lielu darbinieku skaitu</w:t>
      </w:r>
      <w:r w:rsidR="003E6D19" w:rsidRPr="007D0A59">
        <w:t xml:space="preserve"> </w:t>
      </w:r>
      <w:r w:rsidRPr="007D0A59">
        <w:t>(kam nav samaksāti tiem pienākošie maksājumi saistībā ar darbu)</w:t>
      </w:r>
      <w:r w:rsidR="006C06A3" w:rsidRPr="007D0A59">
        <w:t>,</w:t>
      </w:r>
      <w:r w:rsidRPr="007D0A59">
        <w:t xml:space="preserve"> vai ekonomiskās krīzes gadījumā.</w:t>
      </w:r>
    </w:p>
    <w:p w14:paraId="6EE5DF6E" w14:textId="77777777" w:rsidR="00C02CAA" w:rsidRPr="007D0A59" w:rsidRDefault="00C02CAA" w:rsidP="007D0A59">
      <w:pPr>
        <w:tabs>
          <w:tab w:val="left" w:pos="720"/>
        </w:tabs>
        <w:ind w:firstLine="720"/>
        <w:jc w:val="both"/>
      </w:pPr>
      <w:r w:rsidRPr="007D0A59">
        <w:t xml:space="preserve">Kā tika secināts iepriekš (skatīt </w:t>
      </w:r>
      <w:r w:rsidR="00B177A5" w:rsidRPr="007D0A59">
        <w:t>11</w:t>
      </w:r>
      <w:r w:rsidRPr="007D0A59">
        <w:t xml:space="preserve">. un </w:t>
      </w:r>
      <w:r w:rsidR="00B177A5" w:rsidRPr="007D0A59">
        <w:t>12</w:t>
      </w:r>
      <w:r w:rsidRPr="007D0A59">
        <w:t xml:space="preserve">.tabulu), no katru gadu pasludinātajiem juridiskās personas maksātnespējas procesiem daļā maksātnespējas procesu nepieciešams darbinieku prasījumus apmierināt no darbinieku prasījumu garantiju fonda (tiek iesniegts iesniegums par attiecīgā maksātnespējīgā uzņēmuma darbinieku prasījumu apmierināšanu). Apkopojot pieejamos datus par pēdējiem pieciem gadiem, iespējams rezumēt, ka vidēji apmēram </w:t>
      </w:r>
      <w:r w:rsidR="00387FC9" w:rsidRPr="007D0A59">
        <w:t>10,9</w:t>
      </w:r>
      <w:r w:rsidR="00050F19" w:rsidRPr="007D0A59">
        <w:t xml:space="preserve"> procenti</w:t>
      </w:r>
      <w:r w:rsidRPr="007D0A59">
        <w:t xml:space="preserve"> no visiem pasludinātajiem maksātnespējas procesiem darbinieku prasījumus nepieciešams apmierināt no darbinieku prasījumu garantiju fonda un iesniegšanas proporcija pa gadiem ir sadalīta šādi (skatīt 2</w:t>
      </w:r>
      <w:r w:rsidR="00485B3C" w:rsidRPr="007D0A59">
        <w:t>1</w:t>
      </w:r>
      <w:r w:rsidRPr="007D0A59">
        <w:t>.tabulu).</w:t>
      </w:r>
    </w:p>
    <w:p w14:paraId="03B98084" w14:textId="77777777" w:rsidR="00C02CAA" w:rsidRDefault="00C02CAA" w:rsidP="009A0FFA">
      <w:pPr>
        <w:tabs>
          <w:tab w:val="left" w:pos="720"/>
        </w:tabs>
        <w:ind w:firstLine="720"/>
        <w:jc w:val="right"/>
        <w:rPr>
          <w:b/>
          <w:sz w:val="28"/>
          <w:szCs w:val="28"/>
        </w:rPr>
      </w:pPr>
    </w:p>
    <w:p w14:paraId="7E83FDAC" w14:textId="77777777" w:rsidR="00C02CAA" w:rsidRPr="007D0A59" w:rsidRDefault="00C02CAA" w:rsidP="009A0FFA">
      <w:pPr>
        <w:tabs>
          <w:tab w:val="left" w:pos="720"/>
        </w:tabs>
        <w:ind w:firstLine="720"/>
        <w:jc w:val="right"/>
      </w:pPr>
      <w:r w:rsidRPr="007D0A59">
        <w:t>2</w:t>
      </w:r>
      <w:r w:rsidR="00485B3C" w:rsidRPr="007D0A59">
        <w:t>1</w:t>
      </w:r>
      <w:r w:rsidRPr="007D0A59">
        <w:t>.tabula</w:t>
      </w:r>
    </w:p>
    <w:p w14:paraId="28A7B8C1" w14:textId="77777777" w:rsidR="00C02CAA" w:rsidRPr="007D0A59" w:rsidRDefault="00C02CAA" w:rsidP="009A0FFA">
      <w:pPr>
        <w:tabs>
          <w:tab w:val="left" w:pos="720"/>
        </w:tabs>
        <w:ind w:firstLine="720"/>
        <w:jc w:val="right"/>
        <w:rPr>
          <w:b/>
        </w:rPr>
      </w:pPr>
    </w:p>
    <w:p w14:paraId="456794F6" w14:textId="77777777" w:rsidR="00C02CAA" w:rsidRPr="007D0A59" w:rsidRDefault="00C02CAA" w:rsidP="007D0A59">
      <w:pPr>
        <w:tabs>
          <w:tab w:val="left" w:pos="720"/>
        </w:tabs>
        <w:spacing w:after="120"/>
        <w:jc w:val="center"/>
      </w:pPr>
      <w:r w:rsidRPr="007D0A59">
        <w:rPr>
          <w:b/>
        </w:rPr>
        <w:t>Maksātnespējas procesu, kuros nepieciešams darbinieku prasījumus apmierināt no darbinieku prasījumu garantiju fonda, procentuālā proporcija pa gadiem pēc iesniegšanas dinamikas</w:t>
      </w:r>
    </w:p>
    <w:tbl>
      <w:tblPr>
        <w:tblW w:w="8930" w:type="dxa"/>
        <w:tblLayout w:type="fixed"/>
        <w:tblLook w:val="0000" w:firstRow="0" w:lastRow="0" w:firstColumn="0" w:lastColumn="0" w:noHBand="0" w:noVBand="0"/>
      </w:tblPr>
      <w:tblGrid>
        <w:gridCol w:w="2270"/>
        <w:gridCol w:w="1110"/>
        <w:gridCol w:w="1110"/>
        <w:gridCol w:w="1110"/>
        <w:gridCol w:w="1110"/>
        <w:gridCol w:w="1110"/>
        <w:gridCol w:w="1110"/>
      </w:tblGrid>
      <w:tr w:rsidR="00C02CAA" w:rsidRPr="00F07CAD" w14:paraId="68501711" w14:textId="77777777" w:rsidTr="007D0A59">
        <w:trPr>
          <w:trHeight w:val="485"/>
        </w:trPr>
        <w:tc>
          <w:tcPr>
            <w:tcW w:w="2270" w:type="dxa"/>
            <w:tcBorders>
              <w:top w:val="nil"/>
              <w:left w:val="nil"/>
              <w:bottom w:val="nil"/>
              <w:right w:val="nil"/>
            </w:tcBorders>
            <w:noWrap/>
            <w:vAlign w:val="center"/>
          </w:tcPr>
          <w:p w14:paraId="31CA7AD5" w14:textId="77777777" w:rsidR="00C02CAA" w:rsidRPr="00F07CAD" w:rsidRDefault="00C02CAA" w:rsidP="003C2B2C">
            <w:pPr>
              <w:jc w:val="center"/>
              <w:rPr>
                <w:b/>
              </w:rPr>
            </w:pPr>
          </w:p>
        </w:tc>
        <w:tc>
          <w:tcPr>
            <w:tcW w:w="1110" w:type="dxa"/>
            <w:tcBorders>
              <w:top w:val="single" w:sz="8" w:space="0" w:color="auto"/>
              <w:left w:val="single" w:sz="8" w:space="0" w:color="auto"/>
              <w:bottom w:val="nil"/>
              <w:right w:val="single" w:sz="8" w:space="0" w:color="auto"/>
            </w:tcBorders>
            <w:noWrap/>
            <w:vAlign w:val="center"/>
          </w:tcPr>
          <w:p w14:paraId="3FD71293" w14:textId="77777777" w:rsidR="00C02CAA" w:rsidRPr="00F07CAD" w:rsidRDefault="00C02CAA" w:rsidP="007D0A59">
            <w:pPr>
              <w:jc w:val="center"/>
              <w:rPr>
                <w:b/>
              </w:rPr>
            </w:pPr>
            <w:r w:rsidRPr="00F07CAD">
              <w:rPr>
                <w:b/>
              </w:rPr>
              <w:t>1.gadā</w:t>
            </w:r>
          </w:p>
        </w:tc>
        <w:tc>
          <w:tcPr>
            <w:tcW w:w="1110" w:type="dxa"/>
            <w:tcBorders>
              <w:top w:val="single" w:sz="8" w:space="0" w:color="auto"/>
              <w:left w:val="nil"/>
              <w:bottom w:val="nil"/>
              <w:right w:val="single" w:sz="8" w:space="0" w:color="auto"/>
            </w:tcBorders>
            <w:noWrap/>
            <w:vAlign w:val="center"/>
          </w:tcPr>
          <w:p w14:paraId="38F05909" w14:textId="77777777" w:rsidR="00C02CAA" w:rsidRPr="00F07CAD" w:rsidRDefault="00C02CAA" w:rsidP="007D0A59">
            <w:pPr>
              <w:jc w:val="center"/>
              <w:rPr>
                <w:b/>
              </w:rPr>
            </w:pPr>
            <w:r w:rsidRPr="00F07CAD">
              <w:rPr>
                <w:b/>
              </w:rPr>
              <w:t>2.gadā</w:t>
            </w:r>
          </w:p>
        </w:tc>
        <w:tc>
          <w:tcPr>
            <w:tcW w:w="1110" w:type="dxa"/>
            <w:tcBorders>
              <w:top w:val="single" w:sz="8" w:space="0" w:color="auto"/>
              <w:left w:val="nil"/>
              <w:bottom w:val="nil"/>
              <w:right w:val="single" w:sz="8" w:space="0" w:color="auto"/>
            </w:tcBorders>
            <w:noWrap/>
            <w:vAlign w:val="center"/>
          </w:tcPr>
          <w:p w14:paraId="77947A9E" w14:textId="77777777" w:rsidR="00C02CAA" w:rsidRPr="00F07CAD" w:rsidRDefault="00C02CAA" w:rsidP="007D0A59">
            <w:pPr>
              <w:jc w:val="center"/>
              <w:rPr>
                <w:b/>
              </w:rPr>
            </w:pPr>
            <w:r w:rsidRPr="00F07CAD">
              <w:rPr>
                <w:b/>
              </w:rPr>
              <w:t>3.gadā</w:t>
            </w:r>
          </w:p>
        </w:tc>
        <w:tc>
          <w:tcPr>
            <w:tcW w:w="1110" w:type="dxa"/>
            <w:tcBorders>
              <w:top w:val="single" w:sz="8" w:space="0" w:color="auto"/>
              <w:left w:val="nil"/>
              <w:bottom w:val="nil"/>
              <w:right w:val="single" w:sz="8" w:space="0" w:color="auto"/>
            </w:tcBorders>
            <w:noWrap/>
            <w:vAlign w:val="center"/>
          </w:tcPr>
          <w:p w14:paraId="16310320" w14:textId="77777777" w:rsidR="00C02CAA" w:rsidRPr="00F07CAD" w:rsidRDefault="00C02CAA" w:rsidP="007D0A59">
            <w:pPr>
              <w:jc w:val="center"/>
              <w:rPr>
                <w:b/>
              </w:rPr>
            </w:pPr>
            <w:r w:rsidRPr="00F07CAD">
              <w:rPr>
                <w:b/>
              </w:rPr>
              <w:t>4.gadā</w:t>
            </w:r>
          </w:p>
        </w:tc>
        <w:tc>
          <w:tcPr>
            <w:tcW w:w="1110" w:type="dxa"/>
            <w:tcBorders>
              <w:top w:val="single" w:sz="8" w:space="0" w:color="auto"/>
              <w:left w:val="nil"/>
              <w:bottom w:val="nil"/>
              <w:right w:val="single" w:sz="8" w:space="0" w:color="auto"/>
            </w:tcBorders>
            <w:noWrap/>
            <w:vAlign w:val="center"/>
          </w:tcPr>
          <w:p w14:paraId="7151A2B0" w14:textId="77777777" w:rsidR="00C02CAA" w:rsidRPr="00F07CAD" w:rsidRDefault="00C02CAA" w:rsidP="007D0A59">
            <w:pPr>
              <w:jc w:val="center"/>
              <w:rPr>
                <w:b/>
              </w:rPr>
            </w:pPr>
            <w:r w:rsidRPr="00F07CAD">
              <w:rPr>
                <w:b/>
              </w:rPr>
              <w:t>5.gadā</w:t>
            </w:r>
          </w:p>
        </w:tc>
        <w:tc>
          <w:tcPr>
            <w:tcW w:w="1110" w:type="dxa"/>
            <w:tcBorders>
              <w:top w:val="single" w:sz="8" w:space="0" w:color="auto"/>
              <w:left w:val="nil"/>
              <w:bottom w:val="nil"/>
              <w:right w:val="single" w:sz="8" w:space="0" w:color="auto"/>
            </w:tcBorders>
            <w:noWrap/>
            <w:vAlign w:val="center"/>
          </w:tcPr>
          <w:p w14:paraId="63DB1F63" w14:textId="77777777" w:rsidR="00C02CAA" w:rsidRPr="00F07CAD" w:rsidRDefault="00C02CAA" w:rsidP="007D0A59">
            <w:pPr>
              <w:jc w:val="center"/>
              <w:rPr>
                <w:b/>
              </w:rPr>
            </w:pPr>
            <w:r w:rsidRPr="00F07CAD">
              <w:rPr>
                <w:b/>
              </w:rPr>
              <w:t>Kopā</w:t>
            </w:r>
          </w:p>
        </w:tc>
      </w:tr>
      <w:tr w:rsidR="00C02CAA" w:rsidRPr="001E23E1" w14:paraId="6870BE20" w14:textId="77777777" w:rsidTr="007D0A59">
        <w:trPr>
          <w:trHeight w:val="692"/>
        </w:trPr>
        <w:tc>
          <w:tcPr>
            <w:tcW w:w="2270" w:type="dxa"/>
            <w:tcBorders>
              <w:top w:val="single" w:sz="8" w:space="0" w:color="auto"/>
              <w:left w:val="single" w:sz="8" w:space="0" w:color="auto"/>
              <w:bottom w:val="single" w:sz="8" w:space="0" w:color="auto"/>
              <w:right w:val="single" w:sz="8" w:space="0" w:color="auto"/>
            </w:tcBorders>
            <w:vAlign w:val="bottom"/>
          </w:tcPr>
          <w:p w14:paraId="6391DBEA" w14:textId="77777777" w:rsidR="00C02CAA" w:rsidRPr="001E23E1" w:rsidRDefault="00C02CAA" w:rsidP="00F07CAD">
            <w:pPr>
              <w:jc w:val="center"/>
            </w:pPr>
            <w:r w:rsidRPr="001E23E1">
              <w:t>% no kopējā pasludināto procesu skaita</w:t>
            </w:r>
          </w:p>
        </w:tc>
        <w:tc>
          <w:tcPr>
            <w:tcW w:w="1110" w:type="dxa"/>
            <w:tcBorders>
              <w:top w:val="single" w:sz="8" w:space="0" w:color="auto"/>
              <w:left w:val="nil"/>
              <w:bottom w:val="single" w:sz="8" w:space="0" w:color="auto"/>
              <w:right w:val="single" w:sz="8" w:space="0" w:color="auto"/>
            </w:tcBorders>
            <w:noWrap/>
            <w:vAlign w:val="center"/>
          </w:tcPr>
          <w:p w14:paraId="6DAE79B2" w14:textId="77777777" w:rsidR="00C02CAA" w:rsidRPr="001E23E1" w:rsidRDefault="003E6D19" w:rsidP="007D0A59">
            <w:pPr>
              <w:jc w:val="center"/>
            </w:pPr>
            <w:r>
              <w:t>3</w:t>
            </w:r>
            <w:r w:rsidR="00B67C70">
              <w:t>,</w:t>
            </w:r>
            <w:r>
              <w:t>9</w:t>
            </w:r>
            <w:r w:rsidR="00C02CAA" w:rsidRPr="001E23E1">
              <w:t>%</w:t>
            </w:r>
          </w:p>
        </w:tc>
        <w:tc>
          <w:tcPr>
            <w:tcW w:w="1110" w:type="dxa"/>
            <w:tcBorders>
              <w:top w:val="single" w:sz="8" w:space="0" w:color="auto"/>
              <w:left w:val="nil"/>
              <w:bottom w:val="single" w:sz="8" w:space="0" w:color="auto"/>
              <w:right w:val="single" w:sz="8" w:space="0" w:color="auto"/>
            </w:tcBorders>
            <w:noWrap/>
            <w:vAlign w:val="center"/>
          </w:tcPr>
          <w:p w14:paraId="597F8BC3" w14:textId="77777777" w:rsidR="00C02CAA" w:rsidRPr="001E23E1" w:rsidRDefault="003E6D19" w:rsidP="007D0A59">
            <w:pPr>
              <w:jc w:val="center"/>
            </w:pPr>
            <w:r>
              <w:t>6</w:t>
            </w:r>
            <w:r w:rsidR="00B67C70">
              <w:t>,</w:t>
            </w:r>
            <w:r>
              <w:t>1</w:t>
            </w:r>
            <w:r w:rsidR="00C02CAA" w:rsidRPr="001E23E1">
              <w:t>%</w:t>
            </w:r>
          </w:p>
        </w:tc>
        <w:tc>
          <w:tcPr>
            <w:tcW w:w="1110" w:type="dxa"/>
            <w:tcBorders>
              <w:top w:val="single" w:sz="8" w:space="0" w:color="auto"/>
              <w:left w:val="nil"/>
              <w:bottom w:val="single" w:sz="8" w:space="0" w:color="auto"/>
              <w:right w:val="single" w:sz="8" w:space="0" w:color="auto"/>
            </w:tcBorders>
            <w:noWrap/>
            <w:vAlign w:val="center"/>
          </w:tcPr>
          <w:p w14:paraId="0D21997A" w14:textId="77777777" w:rsidR="00C02CAA" w:rsidRPr="001E23E1" w:rsidRDefault="00C02CAA" w:rsidP="007D0A59">
            <w:pPr>
              <w:jc w:val="center"/>
            </w:pPr>
            <w:r w:rsidRPr="001E23E1">
              <w:t>0</w:t>
            </w:r>
            <w:r w:rsidR="00B67C70">
              <w:t>,</w:t>
            </w:r>
            <w:r w:rsidR="003E6D19">
              <w:t>6</w:t>
            </w:r>
            <w:r w:rsidRPr="001E23E1">
              <w:t>%</w:t>
            </w:r>
          </w:p>
        </w:tc>
        <w:tc>
          <w:tcPr>
            <w:tcW w:w="1110" w:type="dxa"/>
            <w:tcBorders>
              <w:top w:val="single" w:sz="8" w:space="0" w:color="auto"/>
              <w:left w:val="nil"/>
              <w:bottom w:val="single" w:sz="8" w:space="0" w:color="auto"/>
              <w:right w:val="single" w:sz="8" w:space="0" w:color="auto"/>
            </w:tcBorders>
            <w:noWrap/>
            <w:vAlign w:val="center"/>
          </w:tcPr>
          <w:p w14:paraId="5D09846E" w14:textId="77777777" w:rsidR="00C02CAA" w:rsidRPr="001E23E1" w:rsidRDefault="00C02CAA" w:rsidP="007D0A59">
            <w:pPr>
              <w:jc w:val="center"/>
            </w:pPr>
            <w:r w:rsidRPr="001E23E1">
              <w:t>0</w:t>
            </w:r>
            <w:r w:rsidR="00B67C70">
              <w:t>,</w:t>
            </w:r>
            <w:r w:rsidR="003E6D19">
              <w:t>2</w:t>
            </w:r>
            <w:r w:rsidRPr="001E23E1">
              <w:t>%</w:t>
            </w:r>
          </w:p>
        </w:tc>
        <w:tc>
          <w:tcPr>
            <w:tcW w:w="1110" w:type="dxa"/>
            <w:tcBorders>
              <w:top w:val="single" w:sz="8" w:space="0" w:color="auto"/>
              <w:left w:val="nil"/>
              <w:bottom w:val="single" w:sz="8" w:space="0" w:color="auto"/>
              <w:right w:val="single" w:sz="8" w:space="0" w:color="auto"/>
            </w:tcBorders>
            <w:noWrap/>
            <w:vAlign w:val="center"/>
          </w:tcPr>
          <w:p w14:paraId="512A691F" w14:textId="77777777" w:rsidR="00C02CAA" w:rsidRPr="001E23E1" w:rsidRDefault="00C02CAA" w:rsidP="007D0A59">
            <w:pPr>
              <w:jc w:val="center"/>
            </w:pPr>
            <w:r w:rsidRPr="001E23E1">
              <w:t>0</w:t>
            </w:r>
            <w:r w:rsidR="00B67C70">
              <w:t>,</w:t>
            </w:r>
            <w:r w:rsidRPr="001E23E1">
              <w:t>1%</w:t>
            </w:r>
          </w:p>
        </w:tc>
        <w:tc>
          <w:tcPr>
            <w:tcW w:w="1110" w:type="dxa"/>
            <w:tcBorders>
              <w:top w:val="single" w:sz="8" w:space="0" w:color="auto"/>
              <w:left w:val="nil"/>
              <w:bottom w:val="single" w:sz="8" w:space="0" w:color="auto"/>
              <w:right w:val="single" w:sz="8" w:space="0" w:color="auto"/>
            </w:tcBorders>
            <w:noWrap/>
            <w:vAlign w:val="center"/>
          </w:tcPr>
          <w:p w14:paraId="630F9916" w14:textId="77777777" w:rsidR="00C02CAA" w:rsidRPr="001E23E1" w:rsidRDefault="003E6D19" w:rsidP="007D0A59">
            <w:pPr>
              <w:jc w:val="center"/>
            </w:pPr>
            <w:r>
              <w:t>10</w:t>
            </w:r>
            <w:r w:rsidR="00B67C70">
              <w:t>,</w:t>
            </w:r>
            <w:r>
              <w:t>9</w:t>
            </w:r>
            <w:r w:rsidR="00C02CAA" w:rsidRPr="001E23E1">
              <w:t>%</w:t>
            </w:r>
          </w:p>
        </w:tc>
      </w:tr>
    </w:tbl>
    <w:p w14:paraId="483AC95C" w14:textId="77777777" w:rsidR="009D46B2" w:rsidRDefault="009D46B2" w:rsidP="00EB242A">
      <w:pPr>
        <w:tabs>
          <w:tab w:val="left" w:pos="720"/>
        </w:tabs>
        <w:ind w:firstLine="720"/>
        <w:jc w:val="both"/>
        <w:rPr>
          <w:sz w:val="28"/>
          <w:szCs w:val="28"/>
        </w:rPr>
      </w:pPr>
    </w:p>
    <w:p w14:paraId="124BB24E" w14:textId="77777777" w:rsidR="00C02CAA" w:rsidRDefault="00C02CAA" w:rsidP="00EB242A">
      <w:pPr>
        <w:tabs>
          <w:tab w:val="left" w:pos="720"/>
        </w:tabs>
        <w:ind w:firstLine="720"/>
        <w:jc w:val="both"/>
      </w:pPr>
      <w:r w:rsidRPr="007D0A59">
        <w:t xml:space="preserve">Piemērojot minēto likumsakarību, kā arī, ņemot vērā </w:t>
      </w:r>
      <w:r w:rsidR="00050F19" w:rsidRPr="007D0A59">
        <w:t>i</w:t>
      </w:r>
      <w:r w:rsidR="003A2251" w:rsidRPr="007D0A59">
        <w:t>nformatīvajā ziņojumā par 2016.</w:t>
      </w:r>
      <w:r w:rsidR="00B67C70">
        <w:t>–</w:t>
      </w:r>
      <w:r w:rsidR="003A2251" w:rsidRPr="007D0A59">
        <w:t>2018.gadu secināto</w:t>
      </w:r>
      <w:r w:rsidRPr="007D0A59">
        <w:t xml:space="preserve">, </w:t>
      </w:r>
      <w:r w:rsidR="003A2251" w:rsidRPr="007D0A59">
        <w:t xml:space="preserve">ka </w:t>
      </w:r>
      <w:r w:rsidRPr="007D0A59">
        <w:t xml:space="preserve">pasludināto juridiskās personas maksātnespējas procesu skaits </w:t>
      </w:r>
      <w:r w:rsidR="006F1201" w:rsidRPr="007D0A59">
        <w:t>vidēji pieaug par</w:t>
      </w:r>
      <w:r w:rsidRPr="007D0A59">
        <w:t xml:space="preserve"> 5</w:t>
      </w:r>
      <w:r w:rsidR="00B43918" w:rsidRPr="007D0A59">
        <w:t xml:space="preserve"> </w:t>
      </w:r>
      <w:r w:rsidR="00050F19" w:rsidRPr="007D0A59">
        <w:t>procentiem</w:t>
      </w:r>
      <w:r w:rsidRPr="007D0A59">
        <w:t xml:space="preserve"> gadā</w:t>
      </w:r>
      <w:r w:rsidR="00EC54EE" w:rsidRPr="007D0A59">
        <w:t xml:space="preserve"> </w:t>
      </w:r>
      <w:r w:rsidRPr="007D0A59">
        <w:t xml:space="preserve">un </w:t>
      </w:r>
      <w:r w:rsidR="006F1201" w:rsidRPr="007D0A59">
        <w:t xml:space="preserve">pēdējos piecos gados vidējais gadā pasludināto juridisko personu maksātnespējas procesu skaits ir apmēram </w:t>
      </w:r>
      <w:r w:rsidR="002873CE" w:rsidRPr="007D0A59">
        <w:t>870 procesi, kā arī</w:t>
      </w:r>
      <w:r w:rsidR="00050F19" w:rsidRPr="007D0A59">
        <w:t>,</w:t>
      </w:r>
      <w:r w:rsidR="002873CE" w:rsidRPr="007D0A59">
        <w:t xml:space="preserve"> </w:t>
      </w:r>
      <w:r w:rsidRPr="007D0A59">
        <w:t>balstoties uz iespējamām ekonomiskās situācijas svārstībām un normatīvo aktu izmaiņām, ir iespējams plānot katru gadu sedzamo procesu skaitu (skatīt 2</w:t>
      </w:r>
      <w:r w:rsidR="00485B3C" w:rsidRPr="007D0A59">
        <w:t>2</w:t>
      </w:r>
      <w:r w:rsidRPr="007D0A59">
        <w:t xml:space="preserve">.tabulu). </w:t>
      </w:r>
    </w:p>
    <w:p w14:paraId="7D0412AE" w14:textId="77777777" w:rsidR="007D0A59" w:rsidRPr="007D0A59" w:rsidRDefault="007D0A59" w:rsidP="002A3082">
      <w:pPr>
        <w:tabs>
          <w:tab w:val="left" w:pos="720"/>
        </w:tabs>
        <w:ind w:firstLine="720"/>
        <w:jc w:val="both"/>
      </w:pPr>
    </w:p>
    <w:p w14:paraId="204D8DD5" w14:textId="77777777" w:rsidR="00C02CAA" w:rsidRPr="007D0A59" w:rsidRDefault="00C02CAA" w:rsidP="00AB44FC">
      <w:pPr>
        <w:tabs>
          <w:tab w:val="left" w:pos="720"/>
        </w:tabs>
        <w:ind w:firstLine="720"/>
        <w:jc w:val="right"/>
      </w:pPr>
      <w:r w:rsidRPr="007D0A59">
        <w:t>2</w:t>
      </w:r>
      <w:r w:rsidR="00485B3C" w:rsidRPr="007D0A59">
        <w:t>2</w:t>
      </w:r>
      <w:r w:rsidRPr="007D0A59">
        <w:t>.tabula</w:t>
      </w:r>
    </w:p>
    <w:p w14:paraId="5A46D827" w14:textId="77777777" w:rsidR="00C02CAA" w:rsidRPr="007D0A59" w:rsidRDefault="00C02CAA" w:rsidP="00AB44FC">
      <w:pPr>
        <w:tabs>
          <w:tab w:val="left" w:pos="720"/>
        </w:tabs>
        <w:ind w:firstLine="720"/>
        <w:jc w:val="right"/>
        <w:rPr>
          <w:b/>
        </w:rPr>
      </w:pPr>
    </w:p>
    <w:p w14:paraId="6ADF3DB6" w14:textId="77777777" w:rsidR="00C02CAA" w:rsidRPr="001E23E1" w:rsidRDefault="00C02CAA" w:rsidP="007D0A59">
      <w:pPr>
        <w:spacing w:after="120"/>
        <w:jc w:val="center"/>
        <w:rPr>
          <w:b/>
          <w:sz w:val="28"/>
          <w:szCs w:val="28"/>
        </w:rPr>
      </w:pPr>
      <w:r w:rsidRPr="007D0A59">
        <w:rPr>
          <w:b/>
        </w:rPr>
        <w:t>Maksātnespējas procesu, kuros nepieciešams darbinieku prasījumus apmierināt no darbinieku prasījumu garantiju fonda, skaits un iesniegšanas secība laika periodā</w:t>
      </w:r>
      <w:r w:rsidR="00864838" w:rsidRPr="007D0A59">
        <w:rPr>
          <w:b/>
        </w:rPr>
        <w:t xml:space="preserve"> </w:t>
      </w:r>
      <w:r w:rsidRPr="007D0A59">
        <w:rPr>
          <w:b/>
        </w:rPr>
        <w:t>no 201</w:t>
      </w:r>
      <w:r w:rsidR="00EC54EE" w:rsidRPr="007D0A59">
        <w:rPr>
          <w:b/>
        </w:rPr>
        <w:t>7</w:t>
      </w:r>
      <w:r w:rsidRPr="007D0A59">
        <w:rPr>
          <w:b/>
        </w:rPr>
        <w:t>. līdz 201</w:t>
      </w:r>
      <w:r w:rsidR="00EC54EE" w:rsidRPr="007D0A59">
        <w:rPr>
          <w:b/>
        </w:rPr>
        <w:t>9</w:t>
      </w:r>
      <w:r w:rsidRPr="007D0A59">
        <w:rPr>
          <w:b/>
        </w:rPr>
        <w:t>.gadam</w:t>
      </w:r>
    </w:p>
    <w:tbl>
      <w:tblPr>
        <w:tblW w:w="7793" w:type="dxa"/>
        <w:tblInd w:w="675" w:type="dxa"/>
        <w:tblLook w:val="04A0" w:firstRow="1" w:lastRow="0" w:firstColumn="1" w:lastColumn="0" w:noHBand="0" w:noVBand="1"/>
      </w:tblPr>
      <w:tblGrid>
        <w:gridCol w:w="946"/>
        <w:gridCol w:w="682"/>
        <w:gridCol w:w="1742"/>
        <w:gridCol w:w="316"/>
        <w:gridCol w:w="711"/>
        <w:gridCol w:w="848"/>
        <w:gridCol w:w="850"/>
        <w:gridCol w:w="851"/>
        <w:gridCol w:w="847"/>
      </w:tblGrid>
      <w:tr w:rsidR="004F4DF4" w:rsidRPr="004F4DF4" w14:paraId="6069E2D6" w14:textId="77777777" w:rsidTr="007D0A59">
        <w:trPr>
          <w:trHeight w:val="289"/>
        </w:trPr>
        <w:tc>
          <w:tcPr>
            <w:tcW w:w="3370" w:type="dxa"/>
            <w:gridSpan w:val="3"/>
            <w:tcBorders>
              <w:top w:val="single" w:sz="4" w:space="0" w:color="auto"/>
              <w:left w:val="single" w:sz="4" w:space="0" w:color="auto"/>
              <w:bottom w:val="single" w:sz="4" w:space="0" w:color="auto"/>
              <w:right w:val="single" w:sz="4" w:space="0" w:color="auto"/>
            </w:tcBorders>
            <w:shd w:val="clear" w:color="000000" w:fill="CCFFCC"/>
            <w:vAlign w:val="bottom"/>
            <w:hideMark/>
          </w:tcPr>
          <w:p w14:paraId="114F5E64" w14:textId="77777777" w:rsidR="004F4DF4" w:rsidRPr="004F4DF4" w:rsidRDefault="004F4DF4">
            <w:pPr>
              <w:jc w:val="center"/>
              <w:rPr>
                <w:b/>
                <w:bCs/>
                <w:sz w:val="20"/>
                <w:szCs w:val="20"/>
              </w:rPr>
            </w:pPr>
            <w:r w:rsidRPr="004F4DF4">
              <w:rPr>
                <w:b/>
                <w:bCs/>
                <w:sz w:val="20"/>
                <w:szCs w:val="20"/>
              </w:rPr>
              <w:t>Segto procesu skaits attiecīgajā gadā</w:t>
            </w:r>
          </w:p>
        </w:tc>
        <w:tc>
          <w:tcPr>
            <w:tcW w:w="44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2CE4CBC4" w14:textId="77777777" w:rsidR="004F4DF4" w:rsidRPr="004F4DF4" w:rsidRDefault="004F4DF4">
            <w:pPr>
              <w:jc w:val="center"/>
              <w:rPr>
                <w:b/>
                <w:bCs/>
                <w:sz w:val="20"/>
                <w:szCs w:val="20"/>
              </w:rPr>
            </w:pPr>
            <w:r w:rsidRPr="004F4DF4">
              <w:rPr>
                <w:b/>
                <w:bCs/>
                <w:sz w:val="20"/>
                <w:szCs w:val="20"/>
              </w:rPr>
              <w:t>Segšanas gads</w:t>
            </w:r>
          </w:p>
        </w:tc>
      </w:tr>
      <w:tr w:rsidR="004F4DF4" w:rsidRPr="004F4DF4" w14:paraId="417BC59C" w14:textId="77777777" w:rsidTr="007D0A59">
        <w:trPr>
          <w:trHeight w:val="317"/>
        </w:trPr>
        <w:tc>
          <w:tcPr>
            <w:tcW w:w="162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9301444" w14:textId="77777777" w:rsidR="004F4DF4" w:rsidRPr="004F4DF4" w:rsidRDefault="004F4DF4">
            <w:pPr>
              <w:jc w:val="center"/>
              <w:rPr>
                <w:sz w:val="20"/>
                <w:szCs w:val="20"/>
              </w:rPr>
            </w:pPr>
            <w:r w:rsidRPr="004F4DF4">
              <w:rPr>
                <w:sz w:val="20"/>
                <w:szCs w:val="20"/>
              </w:rPr>
              <w:t>Gads pēc kārtas</w:t>
            </w:r>
          </w:p>
        </w:tc>
        <w:tc>
          <w:tcPr>
            <w:tcW w:w="1742" w:type="dxa"/>
            <w:tcBorders>
              <w:top w:val="nil"/>
              <w:left w:val="nil"/>
              <w:bottom w:val="single" w:sz="4" w:space="0" w:color="auto"/>
              <w:right w:val="single" w:sz="4" w:space="0" w:color="auto"/>
            </w:tcBorders>
            <w:shd w:val="clear" w:color="000000" w:fill="FFFFFF"/>
            <w:vAlign w:val="bottom"/>
            <w:hideMark/>
          </w:tcPr>
          <w:p w14:paraId="24865D74" w14:textId="77777777" w:rsidR="004F4DF4" w:rsidRPr="004F4DF4" w:rsidRDefault="004F4DF4">
            <w:pPr>
              <w:rPr>
                <w:sz w:val="20"/>
                <w:szCs w:val="20"/>
              </w:rPr>
            </w:pPr>
            <w:r w:rsidRPr="004F4DF4">
              <w:rPr>
                <w:sz w:val="20"/>
                <w:szCs w:val="20"/>
              </w:rPr>
              <w:t>% attiecīgajā gadā</w:t>
            </w:r>
          </w:p>
        </w:tc>
        <w:tc>
          <w:tcPr>
            <w:tcW w:w="1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BC026E" w14:textId="77777777" w:rsidR="004F4DF4" w:rsidRPr="004F4DF4" w:rsidRDefault="004F4DF4">
            <w:pPr>
              <w:jc w:val="center"/>
              <w:rPr>
                <w:b/>
                <w:bCs/>
                <w:sz w:val="20"/>
                <w:szCs w:val="20"/>
              </w:rPr>
            </w:pPr>
            <w:r w:rsidRPr="004F4DF4">
              <w:rPr>
                <w:b/>
                <w:bCs/>
                <w:sz w:val="20"/>
                <w:szCs w:val="20"/>
              </w:rPr>
              <w:t>2017</w:t>
            </w:r>
          </w:p>
        </w:tc>
        <w:tc>
          <w:tcPr>
            <w:tcW w:w="16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B62741" w14:textId="77777777" w:rsidR="004F4DF4" w:rsidRPr="004F4DF4" w:rsidRDefault="004F4DF4">
            <w:pPr>
              <w:jc w:val="center"/>
              <w:rPr>
                <w:b/>
                <w:bCs/>
                <w:sz w:val="20"/>
                <w:szCs w:val="20"/>
              </w:rPr>
            </w:pPr>
            <w:r w:rsidRPr="004F4DF4">
              <w:rPr>
                <w:b/>
                <w:bCs/>
                <w:sz w:val="20"/>
                <w:szCs w:val="20"/>
              </w:rPr>
              <w:t>2018</w:t>
            </w:r>
          </w:p>
        </w:tc>
        <w:tc>
          <w:tcPr>
            <w:tcW w:w="16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0CB4AA" w14:textId="77777777" w:rsidR="004F4DF4" w:rsidRPr="004F4DF4" w:rsidRDefault="004F4DF4">
            <w:pPr>
              <w:jc w:val="center"/>
              <w:rPr>
                <w:b/>
                <w:bCs/>
                <w:sz w:val="20"/>
                <w:szCs w:val="20"/>
              </w:rPr>
            </w:pPr>
            <w:r w:rsidRPr="004F4DF4">
              <w:rPr>
                <w:b/>
                <w:bCs/>
                <w:sz w:val="20"/>
                <w:szCs w:val="20"/>
              </w:rPr>
              <w:t>2019</w:t>
            </w:r>
          </w:p>
        </w:tc>
      </w:tr>
      <w:tr w:rsidR="004F4DF4" w:rsidRPr="004F4DF4" w14:paraId="08B1C495" w14:textId="77777777" w:rsidTr="007D0A59">
        <w:trPr>
          <w:trHeight w:val="289"/>
        </w:trPr>
        <w:tc>
          <w:tcPr>
            <w:tcW w:w="94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4458C212" w14:textId="77777777" w:rsidR="004F4DF4" w:rsidRPr="004F4DF4" w:rsidRDefault="004F4DF4">
            <w:pPr>
              <w:jc w:val="center"/>
              <w:rPr>
                <w:sz w:val="20"/>
                <w:szCs w:val="20"/>
              </w:rPr>
            </w:pPr>
            <w:r w:rsidRPr="004F4DF4">
              <w:rPr>
                <w:sz w:val="20"/>
                <w:szCs w:val="20"/>
              </w:rPr>
              <w:t>Maksātnespējas procesa pasludināšanas gads</w:t>
            </w:r>
          </w:p>
        </w:tc>
        <w:tc>
          <w:tcPr>
            <w:tcW w:w="682" w:type="dxa"/>
            <w:vMerge w:val="restart"/>
            <w:tcBorders>
              <w:top w:val="nil"/>
              <w:left w:val="single" w:sz="4" w:space="0" w:color="auto"/>
              <w:bottom w:val="single" w:sz="4" w:space="0" w:color="000000"/>
              <w:right w:val="single" w:sz="4" w:space="0" w:color="auto"/>
            </w:tcBorders>
            <w:shd w:val="clear" w:color="000000" w:fill="C0C0C0"/>
            <w:textDirection w:val="btLr"/>
            <w:vAlign w:val="bottom"/>
            <w:hideMark/>
          </w:tcPr>
          <w:p w14:paraId="1C1A028F" w14:textId="77777777" w:rsidR="004F4DF4" w:rsidRPr="004F4DF4" w:rsidRDefault="004F4DF4">
            <w:pPr>
              <w:jc w:val="center"/>
              <w:rPr>
                <w:sz w:val="20"/>
                <w:szCs w:val="20"/>
              </w:rPr>
            </w:pPr>
            <w:r w:rsidRPr="004F4DF4">
              <w:rPr>
                <w:sz w:val="20"/>
                <w:szCs w:val="20"/>
              </w:rPr>
              <w:t>Pasludinātie maksātnespējas procesi attiecīgajā gadā - prognoze</w:t>
            </w:r>
          </w:p>
        </w:tc>
        <w:tc>
          <w:tcPr>
            <w:tcW w:w="1742" w:type="dxa"/>
            <w:tcBorders>
              <w:top w:val="nil"/>
              <w:left w:val="nil"/>
              <w:bottom w:val="single" w:sz="4" w:space="0" w:color="auto"/>
              <w:right w:val="single" w:sz="4" w:space="0" w:color="auto"/>
            </w:tcBorders>
            <w:shd w:val="clear" w:color="000000" w:fill="FFFFFF"/>
            <w:vAlign w:val="bottom"/>
            <w:hideMark/>
          </w:tcPr>
          <w:p w14:paraId="2CE0EF82" w14:textId="77777777" w:rsidR="004F4DF4" w:rsidRPr="004F4DF4" w:rsidRDefault="004F4DF4">
            <w:pPr>
              <w:rPr>
                <w:sz w:val="20"/>
                <w:szCs w:val="20"/>
              </w:rPr>
            </w:pPr>
            <w:r w:rsidRPr="004F4DF4">
              <w:rPr>
                <w:sz w:val="20"/>
                <w:szCs w:val="20"/>
              </w:rPr>
              <w:t>2013.gads</w:t>
            </w:r>
          </w:p>
        </w:tc>
        <w:tc>
          <w:tcPr>
            <w:tcW w:w="1027" w:type="dxa"/>
            <w:gridSpan w:val="2"/>
            <w:tcBorders>
              <w:top w:val="single" w:sz="4" w:space="0" w:color="auto"/>
              <w:left w:val="nil"/>
              <w:bottom w:val="single" w:sz="4" w:space="0" w:color="auto"/>
              <w:right w:val="single" w:sz="4" w:space="0" w:color="000000"/>
            </w:tcBorders>
            <w:shd w:val="clear" w:color="000000" w:fill="CCFFCC"/>
            <w:noWrap/>
            <w:vAlign w:val="bottom"/>
            <w:hideMark/>
          </w:tcPr>
          <w:p w14:paraId="4C51139C" w14:textId="77777777" w:rsidR="004F4DF4" w:rsidRPr="004F4DF4" w:rsidRDefault="004F4DF4">
            <w:pPr>
              <w:jc w:val="center"/>
              <w:rPr>
                <w:b/>
                <w:bCs/>
                <w:sz w:val="20"/>
                <w:szCs w:val="20"/>
              </w:rPr>
            </w:pPr>
            <w:r w:rsidRPr="004F4DF4">
              <w:rPr>
                <w:b/>
                <w:bCs/>
                <w:sz w:val="20"/>
                <w:szCs w:val="20"/>
              </w:rPr>
              <w:t>1</w:t>
            </w:r>
          </w:p>
        </w:tc>
        <w:tc>
          <w:tcPr>
            <w:tcW w:w="16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D6A2927" w14:textId="77777777" w:rsidR="004F4DF4" w:rsidRPr="004F4DF4" w:rsidRDefault="004F4DF4">
            <w:pPr>
              <w:jc w:val="center"/>
              <w:rPr>
                <w:b/>
                <w:bCs/>
                <w:sz w:val="20"/>
                <w:szCs w:val="20"/>
              </w:rPr>
            </w:pPr>
            <w:r w:rsidRPr="004F4DF4">
              <w:rPr>
                <w:b/>
                <w:bCs/>
                <w:sz w:val="20"/>
                <w:szCs w:val="20"/>
              </w:rPr>
              <w:t> </w:t>
            </w:r>
          </w:p>
        </w:tc>
        <w:tc>
          <w:tcPr>
            <w:tcW w:w="16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CB9A312" w14:textId="77777777" w:rsidR="004F4DF4" w:rsidRPr="004F4DF4" w:rsidRDefault="004F4DF4">
            <w:pPr>
              <w:jc w:val="center"/>
              <w:rPr>
                <w:b/>
                <w:bCs/>
                <w:sz w:val="20"/>
                <w:szCs w:val="20"/>
              </w:rPr>
            </w:pPr>
            <w:r w:rsidRPr="004F4DF4">
              <w:rPr>
                <w:b/>
                <w:bCs/>
                <w:sz w:val="20"/>
                <w:szCs w:val="20"/>
              </w:rPr>
              <w:t> </w:t>
            </w:r>
          </w:p>
        </w:tc>
      </w:tr>
      <w:tr w:rsidR="004F4EB5" w:rsidRPr="004F4DF4" w14:paraId="1437D932"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26CF2FD8"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756B2F48"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000000" w:fill="C0C0C0"/>
            <w:vAlign w:val="bottom"/>
            <w:hideMark/>
          </w:tcPr>
          <w:p w14:paraId="2C01D7BE" w14:textId="77777777" w:rsidR="004F4DF4" w:rsidRPr="004F4DF4" w:rsidRDefault="004F4DF4">
            <w:pPr>
              <w:jc w:val="right"/>
              <w:rPr>
                <w:sz w:val="20"/>
                <w:szCs w:val="20"/>
              </w:rPr>
            </w:pPr>
            <w:r w:rsidRPr="004F4DF4">
              <w:rPr>
                <w:sz w:val="20"/>
                <w:szCs w:val="20"/>
              </w:rPr>
              <w:t>820</w:t>
            </w:r>
          </w:p>
        </w:tc>
        <w:tc>
          <w:tcPr>
            <w:tcW w:w="316" w:type="dxa"/>
            <w:tcBorders>
              <w:top w:val="nil"/>
              <w:left w:val="nil"/>
              <w:bottom w:val="single" w:sz="4" w:space="0" w:color="auto"/>
              <w:right w:val="single" w:sz="4" w:space="0" w:color="auto"/>
            </w:tcBorders>
            <w:shd w:val="clear" w:color="auto" w:fill="auto"/>
            <w:noWrap/>
            <w:vAlign w:val="bottom"/>
            <w:hideMark/>
          </w:tcPr>
          <w:p w14:paraId="5DBE4DCB" w14:textId="77777777" w:rsidR="004F4DF4" w:rsidRPr="004F4DF4" w:rsidRDefault="004F4DF4">
            <w:pPr>
              <w:jc w:val="right"/>
              <w:rPr>
                <w:sz w:val="20"/>
                <w:szCs w:val="20"/>
              </w:rPr>
            </w:pPr>
            <w:r w:rsidRPr="004F4DF4">
              <w:rPr>
                <w:sz w:val="20"/>
                <w:szCs w:val="20"/>
              </w:rPr>
              <w:t>5</w:t>
            </w:r>
          </w:p>
        </w:tc>
        <w:tc>
          <w:tcPr>
            <w:tcW w:w="711" w:type="dxa"/>
            <w:tcBorders>
              <w:top w:val="nil"/>
              <w:left w:val="nil"/>
              <w:bottom w:val="single" w:sz="4" w:space="0" w:color="auto"/>
              <w:right w:val="single" w:sz="4" w:space="0" w:color="auto"/>
            </w:tcBorders>
            <w:shd w:val="clear" w:color="auto" w:fill="auto"/>
            <w:noWrap/>
            <w:vAlign w:val="bottom"/>
            <w:hideMark/>
          </w:tcPr>
          <w:p w14:paraId="68BB404E" w14:textId="77777777" w:rsidR="004F4DF4" w:rsidRPr="004F4DF4" w:rsidRDefault="004F4DF4">
            <w:pPr>
              <w:jc w:val="right"/>
              <w:rPr>
                <w:sz w:val="20"/>
                <w:szCs w:val="20"/>
              </w:rPr>
            </w:pPr>
            <w:r w:rsidRPr="004F4DF4">
              <w:rPr>
                <w:sz w:val="20"/>
                <w:szCs w:val="20"/>
              </w:rPr>
              <w:t>0,1</w:t>
            </w:r>
          </w:p>
        </w:tc>
        <w:tc>
          <w:tcPr>
            <w:tcW w:w="1698" w:type="dxa"/>
            <w:gridSpan w:val="2"/>
            <w:vMerge/>
            <w:tcBorders>
              <w:top w:val="nil"/>
              <w:left w:val="nil"/>
              <w:bottom w:val="single" w:sz="4" w:space="0" w:color="auto"/>
              <w:right w:val="single" w:sz="4" w:space="0" w:color="auto"/>
            </w:tcBorders>
            <w:vAlign w:val="center"/>
            <w:hideMark/>
          </w:tcPr>
          <w:p w14:paraId="729EEF30" w14:textId="77777777" w:rsidR="004F4DF4" w:rsidRPr="004F4DF4" w:rsidRDefault="004F4DF4">
            <w:pPr>
              <w:rPr>
                <w:b/>
                <w:bCs/>
                <w:sz w:val="20"/>
                <w:szCs w:val="20"/>
              </w:rPr>
            </w:pPr>
          </w:p>
        </w:tc>
        <w:tc>
          <w:tcPr>
            <w:tcW w:w="1698" w:type="dxa"/>
            <w:gridSpan w:val="2"/>
            <w:vMerge/>
            <w:tcBorders>
              <w:top w:val="nil"/>
              <w:left w:val="nil"/>
              <w:bottom w:val="single" w:sz="4" w:space="0" w:color="auto"/>
              <w:right w:val="single" w:sz="4" w:space="0" w:color="auto"/>
            </w:tcBorders>
            <w:vAlign w:val="center"/>
            <w:hideMark/>
          </w:tcPr>
          <w:p w14:paraId="564AF222" w14:textId="77777777" w:rsidR="004F4DF4" w:rsidRPr="004F4DF4" w:rsidRDefault="004F4DF4">
            <w:pPr>
              <w:rPr>
                <w:b/>
                <w:bCs/>
                <w:sz w:val="20"/>
                <w:szCs w:val="20"/>
              </w:rPr>
            </w:pPr>
          </w:p>
        </w:tc>
      </w:tr>
      <w:tr w:rsidR="004F4DF4" w:rsidRPr="004F4DF4" w14:paraId="76855780"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3D941AA5"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75CF10B8"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14:paraId="23C14873" w14:textId="77777777" w:rsidR="004F4DF4" w:rsidRPr="004F4DF4" w:rsidRDefault="004F4DF4">
            <w:pPr>
              <w:rPr>
                <w:sz w:val="20"/>
                <w:szCs w:val="20"/>
              </w:rPr>
            </w:pPr>
            <w:r w:rsidRPr="004F4DF4">
              <w:rPr>
                <w:sz w:val="20"/>
                <w:szCs w:val="20"/>
              </w:rPr>
              <w:t>2014.gads</w:t>
            </w:r>
          </w:p>
        </w:tc>
        <w:tc>
          <w:tcPr>
            <w:tcW w:w="1027" w:type="dxa"/>
            <w:gridSpan w:val="2"/>
            <w:tcBorders>
              <w:top w:val="single" w:sz="4" w:space="0" w:color="auto"/>
              <w:left w:val="nil"/>
              <w:bottom w:val="single" w:sz="4" w:space="0" w:color="auto"/>
              <w:right w:val="single" w:sz="4" w:space="0" w:color="000000"/>
            </w:tcBorders>
            <w:shd w:val="clear" w:color="000000" w:fill="CCFFCC"/>
            <w:noWrap/>
            <w:vAlign w:val="bottom"/>
            <w:hideMark/>
          </w:tcPr>
          <w:p w14:paraId="490522F1" w14:textId="77777777" w:rsidR="004F4DF4" w:rsidRPr="004F4DF4" w:rsidRDefault="004F4DF4">
            <w:pPr>
              <w:jc w:val="center"/>
              <w:rPr>
                <w:b/>
                <w:bCs/>
                <w:sz w:val="20"/>
                <w:szCs w:val="20"/>
              </w:rPr>
            </w:pPr>
            <w:r w:rsidRPr="004F4DF4">
              <w:rPr>
                <w:b/>
                <w:bCs/>
                <w:sz w:val="20"/>
                <w:szCs w:val="20"/>
              </w:rPr>
              <w:t>2</w:t>
            </w:r>
          </w:p>
        </w:tc>
        <w:tc>
          <w:tcPr>
            <w:tcW w:w="1698" w:type="dxa"/>
            <w:gridSpan w:val="2"/>
            <w:tcBorders>
              <w:top w:val="single" w:sz="4" w:space="0" w:color="auto"/>
              <w:left w:val="nil"/>
              <w:bottom w:val="single" w:sz="4" w:space="0" w:color="auto"/>
              <w:right w:val="single" w:sz="4" w:space="0" w:color="000000"/>
            </w:tcBorders>
            <w:shd w:val="clear" w:color="000000" w:fill="CCFFCC"/>
            <w:noWrap/>
            <w:vAlign w:val="bottom"/>
            <w:hideMark/>
          </w:tcPr>
          <w:p w14:paraId="651A561C" w14:textId="77777777" w:rsidR="004F4DF4" w:rsidRPr="004F4DF4" w:rsidRDefault="004F4DF4">
            <w:pPr>
              <w:jc w:val="center"/>
              <w:rPr>
                <w:b/>
                <w:bCs/>
                <w:sz w:val="20"/>
                <w:szCs w:val="20"/>
              </w:rPr>
            </w:pPr>
            <w:r w:rsidRPr="004F4DF4">
              <w:rPr>
                <w:b/>
                <w:bCs/>
                <w:sz w:val="20"/>
                <w:szCs w:val="20"/>
              </w:rPr>
              <w:t>1</w:t>
            </w:r>
          </w:p>
        </w:tc>
        <w:tc>
          <w:tcPr>
            <w:tcW w:w="16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E6652DA" w14:textId="77777777" w:rsidR="004F4DF4" w:rsidRPr="004F4DF4" w:rsidRDefault="004F4DF4">
            <w:pPr>
              <w:jc w:val="center"/>
              <w:rPr>
                <w:b/>
                <w:bCs/>
                <w:sz w:val="20"/>
                <w:szCs w:val="20"/>
              </w:rPr>
            </w:pPr>
            <w:r w:rsidRPr="004F4DF4">
              <w:rPr>
                <w:b/>
                <w:bCs/>
                <w:sz w:val="20"/>
                <w:szCs w:val="20"/>
              </w:rPr>
              <w:t> </w:t>
            </w:r>
          </w:p>
        </w:tc>
      </w:tr>
      <w:tr w:rsidR="004F4DF4" w:rsidRPr="004F4DF4" w14:paraId="7B6FF2DE"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747AAF53"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21A4FDAA"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000000" w:fill="C0C0C0"/>
            <w:vAlign w:val="bottom"/>
            <w:hideMark/>
          </w:tcPr>
          <w:p w14:paraId="51A415A2" w14:textId="77777777" w:rsidR="004F4DF4" w:rsidRPr="004F4DF4" w:rsidRDefault="004F4DF4" w:rsidP="006C47DF">
            <w:pPr>
              <w:jc w:val="right"/>
              <w:rPr>
                <w:sz w:val="20"/>
                <w:szCs w:val="20"/>
              </w:rPr>
            </w:pPr>
            <w:r w:rsidRPr="004F4DF4">
              <w:rPr>
                <w:sz w:val="20"/>
                <w:szCs w:val="20"/>
              </w:rPr>
              <w:t>9</w:t>
            </w:r>
            <w:r w:rsidR="006C47DF">
              <w:rPr>
                <w:sz w:val="20"/>
                <w:szCs w:val="20"/>
              </w:rPr>
              <w:t>60</w:t>
            </w:r>
          </w:p>
        </w:tc>
        <w:tc>
          <w:tcPr>
            <w:tcW w:w="316" w:type="dxa"/>
            <w:tcBorders>
              <w:top w:val="nil"/>
              <w:left w:val="nil"/>
              <w:bottom w:val="single" w:sz="4" w:space="0" w:color="auto"/>
              <w:right w:val="single" w:sz="4" w:space="0" w:color="auto"/>
            </w:tcBorders>
            <w:shd w:val="clear" w:color="auto" w:fill="auto"/>
            <w:noWrap/>
            <w:vAlign w:val="bottom"/>
            <w:hideMark/>
          </w:tcPr>
          <w:p w14:paraId="1EDECE81" w14:textId="77777777" w:rsidR="004F4DF4" w:rsidRPr="004F4DF4" w:rsidRDefault="004F4DF4">
            <w:pPr>
              <w:jc w:val="right"/>
              <w:rPr>
                <w:sz w:val="20"/>
                <w:szCs w:val="20"/>
              </w:rPr>
            </w:pPr>
            <w:r w:rsidRPr="004F4DF4">
              <w:rPr>
                <w:sz w:val="20"/>
                <w:szCs w:val="20"/>
              </w:rPr>
              <w:t>4</w:t>
            </w:r>
          </w:p>
        </w:tc>
        <w:tc>
          <w:tcPr>
            <w:tcW w:w="711" w:type="dxa"/>
            <w:tcBorders>
              <w:top w:val="nil"/>
              <w:left w:val="nil"/>
              <w:bottom w:val="single" w:sz="4" w:space="0" w:color="auto"/>
              <w:right w:val="single" w:sz="4" w:space="0" w:color="auto"/>
            </w:tcBorders>
            <w:shd w:val="clear" w:color="auto" w:fill="auto"/>
            <w:noWrap/>
            <w:vAlign w:val="bottom"/>
            <w:hideMark/>
          </w:tcPr>
          <w:p w14:paraId="64A4FEDB" w14:textId="77777777" w:rsidR="004F4DF4" w:rsidRPr="004F4DF4" w:rsidRDefault="004F4DF4">
            <w:pPr>
              <w:jc w:val="right"/>
              <w:rPr>
                <w:sz w:val="20"/>
                <w:szCs w:val="20"/>
              </w:rPr>
            </w:pPr>
            <w:r w:rsidRPr="004F4DF4">
              <w:rPr>
                <w:sz w:val="20"/>
                <w:szCs w:val="20"/>
              </w:rPr>
              <w:t>0,2</w:t>
            </w:r>
          </w:p>
        </w:tc>
        <w:tc>
          <w:tcPr>
            <w:tcW w:w="848" w:type="dxa"/>
            <w:tcBorders>
              <w:top w:val="nil"/>
              <w:left w:val="nil"/>
              <w:bottom w:val="single" w:sz="4" w:space="0" w:color="auto"/>
              <w:right w:val="single" w:sz="4" w:space="0" w:color="auto"/>
            </w:tcBorders>
            <w:shd w:val="clear" w:color="auto" w:fill="auto"/>
            <w:noWrap/>
            <w:vAlign w:val="bottom"/>
            <w:hideMark/>
          </w:tcPr>
          <w:p w14:paraId="28D20927" w14:textId="77777777" w:rsidR="004F4DF4" w:rsidRPr="004F4DF4" w:rsidRDefault="004F4DF4">
            <w:pPr>
              <w:jc w:val="right"/>
              <w:rPr>
                <w:sz w:val="20"/>
                <w:szCs w:val="20"/>
              </w:rPr>
            </w:pPr>
            <w:r w:rsidRPr="004F4DF4">
              <w:rPr>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1CB5DEBC" w14:textId="77777777" w:rsidR="004F4DF4" w:rsidRPr="004F4DF4" w:rsidRDefault="004F4DF4">
            <w:pPr>
              <w:jc w:val="right"/>
              <w:rPr>
                <w:sz w:val="20"/>
                <w:szCs w:val="20"/>
              </w:rPr>
            </w:pPr>
            <w:r w:rsidRPr="004F4DF4">
              <w:rPr>
                <w:sz w:val="20"/>
                <w:szCs w:val="20"/>
              </w:rPr>
              <w:t>0,1</w:t>
            </w:r>
          </w:p>
        </w:tc>
        <w:tc>
          <w:tcPr>
            <w:tcW w:w="1698" w:type="dxa"/>
            <w:gridSpan w:val="2"/>
            <w:vMerge/>
            <w:tcBorders>
              <w:top w:val="nil"/>
              <w:left w:val="nil"/>
              <w:bottom w:val="single" w:sz="4" w:space="0" w:color="auto"/>
              <w:right w:val="single" w:sz="4" w:space="0" w:color="auto"/>
            </w:tcBorders>
            <w:vAlign w:val="center"/>
            <w:hideMark/>
          </w:tcPr>
          <w:p w14:paraId="082E834E" w14:textId="77777777" w:rsidR="004F4DF4" w:rsidRPr="004F4DF4" w:rsidRDefault="004F4DF4">
            <w:pPr>
              <w:rPr>
                <w:b/>
                <w:bCs/>
                <w:sz w:val="20"/>
                <w:szCs w:val="20"/>
              </w:rPr>
            </w:pPr>
          </w:p>
        </w:tc>
      </w:tr>
      <w:tr w:rsidR="004F4DF4" w:rsidRPr="004F4DF4" w14:paraId="32A6B6C4"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10C51CF2"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74F431C6"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auto" w:fill="auto"/>
            <w:noWrap/>
            <w:vAlign w:val="bottom"/>
            <w:hideMark/>
          </w:tcPr>
          <w:p w14:paraId="57266C2B" w14:textId="77777777" w:rsidR="004F4DF4" w:rsidRPr="004F4DF4" w:rsidRDefault="004F4DF4">
            <w:pPr>
              <w:rPr>
                <w:sz w:val="20"/>
                <w:szCs w:val="20"/>
              </w:rPr>
            </w:pPr>
            <w:r w:rsidRPr="004F4DF4">
              <w:rPr>
                <w:sz w:val="20"/>
                <w:szCs w:val="20"/>
              </w:rPr>
              <w:t>2015.gads</w:t>
            </w:r>
          </w:p>
        </w:tc>
        <w:tc>
          <w:tcPr>
            <w:tcW w:w="1027"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7810958B" w14:textId="77777777" w:rsidR="004F4DF4" w:rsidRPr="004F4DF4" w:rsidRDefault="004F4DF4">
            <w:pPr>
              <w:jc w:val="center"/>
              <w:rPr>
                <w:b/>
                <w:bCs/>
                <w:sz w:val="20"/>
                <w:szCs w:val="20"/>
              </w:rPr>
            </w:pPr>
            <w:r w:rsidRPr="004F4DF4">
              <w:rPr>
                <w:b/>
                <w:bCs/>
                <w:sz w:val="20"/>
                <w:szCs w:val="20"/>
              </w:rPr>
              <w:t>5</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2F45F33A" w14:textId="77777777" w:rsidR="004F4DF4" w:rsidRPr="004F4DF4" w:rsidRDefault="004F4DF4">
            <w:pPr>
              <w:jc w:val="center"/>
              <w:rPr>
                <w:b/>
                <w:bCs/>
                <w:sz w:val="20"/>
                <w:szCs w:val="20"/>
              </w:rPr>
            </w:pPr>
            <w:r w:rsidRPr="004F4DF4">
              <w:rPr>
                <w:b/>
                <w:bCs/>
                <w:sz w:val="20"/>
                <w:szCs w:val="20"/>
              </w:rPr>
              <w:t>2</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2990CA1E" w14:textId="77777777" w:rsidR="004F4DF4" w:rsidRPr="004F4DF4" w:rsidRDefault="004F4DF4">
            <w:pPr>
              <w:jc w:val="center"/>
              <w:rPr>
                <w:b/>
                <w:bCs/>
                <w:sz w:val="20"/>
                <w:szCs w:val="20"/>
              </w:rPr>
            </w:pPr>
            <w:r w:rsidRPr="004F4DF4">
              <w:rPr>
                <w:b/>
                <w:bCs/>
                <w:sz w:val="20"/>
                <w:szCs w:val="20"/>
              </w:rPr>
              <w:t>1</w:t>
            </w:r>
          </w:p>
        </w:tc>
      </w:tr>
      <w:tr w:rsidR="004F4DF4" w:rsidRPr="004F4DF4" w14:paraId="43DDDC08"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40BE5D30"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6209C810"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000000" w:fill="C0C0C0"/>
            <w:noWrap/>
            <w:vAlign w:val="bottom"/>
            <w:hideMark/>
          </w:tcPr>
          <w:p w14:paraId="2C4CEE8C" w14:textId="77777777" w:rsidR="004F4DF4" w:rsidRPr="004F4DF4" w:rsidRDefault="004F4DF4">
            <w:pPr>
              <w:jc w:val="right"/>
              <w:rPr>
                <w:sz w:val="20"/>
                <w:szCs w:val="20"/>
              </w:rPr>
            </w:pPr>
            <w:r w:rsidRPr="004F4DF4">
              <w:rPr>
                <w:sz w:val="20"/>
                <w:szCs w:val="20"/>
              </w:rPr>
              <w:t>802</w:t>
            </w:r>
          </w:p>
        </w:tc>
        <w:tc>
          <w:tcPr>
            <w:tcW w:w="316" w:type="dxa"/>
            <w:tcBorders>
              <w:top w:val="nil"/>
              <w:left w:val="nil"/>
              <w:bottom w:val="single" w:sz="4" w:space="0" w:color="auto"/>
              <w:right w:val="single" w:sz="4" w:space="0" w:color="auto"/>
            </w:tcBorders>
            <w:shd w:val="clear" w:color="000000" w:fill="FFFFFF"/>
            <w:noWrap/>
            <w:vAlign w:val="bottom"/>
            <w:hideMark/>
          </w:tcPr>
          <w:p w14:paraId="1E683772" w14:textId="77777777" w:rsidR="004F4DF4" w:rsidRPr="004F4DF4" w:rsidRDefault="004F4DF4">
            <w:pPr>
              <w:jc w:val="right"/>
              <w:rPr>
                <w:sz w:val="20"/>
                <w:szCs w:val="20"/>
              </w:rPr>
            </w:pPr>
            <w:r w:rsidRPr="004F4DF4">
              <w:rPr>
                <w:sz w:val="20"/>
                <w:szCs w:val="20"/>
              </w:rPr>
              <w:t>3</w:t>
            </w:r>
          </w:p>
        </w:tc>
        <w:tc>
          <w:tcPr>
            <w:tcW w:w="711" w:type="dxa"/>
            <w:tcBorders>
              <w:top w:val="nil"/>
              <w:left w:val="nil"/>
              <w:bottom w:val="single" w:sz="4" w:space="0" w:color="auto"/>
              <w:right w:val="single" w:sz="4" w:space="0" w:color="auto"/>
            </w:tcBorders>
            <w:shd w:val="clear" w:color="000000" w:fill="FFFFFF"/>
            <w:noWrap/>
            <w:vAlign w:val="bottom"/>
            <w:hideMark/>
          </w:tcPr>
          <w:p w14:paraId="1F23C7F0" w14:textId="77777777" w:rsidR="004F4DF4" w:rsidRPr="004F4DF4" w:rsidRDefault="004F4DF4">
            <w:pPr>
              <w:jc w:val="right"/>
              <w:rPr>
                <w:sz w:val="20"/>
                <w:szCs w:val="20"/>
              </w:rPr>
            </w:pPr>
            <w:r w:rsidRPr="004F4DF4">
              <w:rPr>
                <w:sz w:val="20"/>
                <w:szCs w:val="20"/>
              </w:rPr>
              <w:t>0,6</w:t>
            </w:r>
          </w:p>
        </w:tc>
        <w:tc>
          <w:tcPr>
            <w:tcW w:w="848" w:type="dxa"/>
            <w:tcBorders>
              <w:top w:val="nil"/>
              <w:left w:val="nil"/>
              <w:bottom w:val="single" w:sz="4" w:space="0" w:color="auto"/>
              <w:right w:val="single" w:sz="4" w:space="0" w:color="auto"/>
            </w:tcBorders>
            <w:shd w:val="clear" w:color="auto" w:fill="auto"/>
            <w:noWrap/>
            <w:vAlign w:val="bottom"/>
            <w:hideMark/>
          </w:tcPr>
          <w:p w14:paraId="3ABA0C84" w14:textId="77777777" w:rsidR="004F4DF4" w:rsidRPr="004F4DF4" w:rsidRDefault="004F4DF4">
            <w:pPr>
              <w:jc w:val="right"/>
              <w:rPr>
                <w:sz w:val="20"/>
                <w:szCs w:val="20"/>
              </w:rPr>
            </w:pPr>
            <w:r w:rsidRPr="004F4DF4">
              <w:rPr>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0E7F04FD" w14:textId="77777777" w:rsidR="004F4DF4" w:rsidRPr="004F4DF4" w:rsidRDefault="004F4DF4">
            <w:pPr>
              <w:jc w:val="right"/>
              <w:rPr>
                <w:sz w:val="20"/>
                <w:szCs w:val="20"/>
              </w:rPr>
            </w:pPr>
            <w:r w:rsidRPr="004F4DF4">
              <w:rPr>
                <w:sz w:val="20"/>
                <w:szCs w:val="20"/>
              </w:rPr>
              <w:t>0,2</w:t>
            </w:r>
          </w:p>
        </w:tc>
        <w:tc>
          <w:tcPr>
            <w:tcW w:w="851" w:type="dxa"/>
            <w:tcBorders>
              <w:top w:val="nil"/>
              <w:left w:val="nil"/>
              <w:bottom w:val="single" w:sz="4" w:space="0" w:color="auto"/>
              <w:right w:val="single" w:sz="4" w:space="0" w:color="auto"/>
            </w:tcBorders>
            <w:shd w:val="clear" w:color="auto" w:fill="auto"/>
            <w:noWrap/>
            <w:vAlign w:val="bottom"/>
            <w:hideMark/>
          </w:tcPr>
          <w:p w14:paraId="39EF1A01" w14:textId="77777777" w:rsidR="004F4DF4" w:rsidRPr="004F4DF4" w:rsidRDefault="004F4DF4">
            <w:pPr>
              <w:jc w:val="right"/>
              <w:rPr>
                <w:sz w:val="20"/>
                <w:szCs w:val="20"/>
              </w:rPr>
            </w:pPr>
            <w:r w:rsidRPr="004F4DF4">
              <w:rPr>
                <w:sz w:val="20"/>
                <w:szCs w:val="20"/>
              </w:rPr>
              <w:t>5</w:t>
            </w:r>
          </w:p>
        </w:tc>
        <w:tc>
          <w:tcPr>
            <w:tcW w:w="847" w:type="dxa"/>
            <w:tcBorders>
              <w:top w:val="nil"/>
              <w:left w:val="nil"/>
              <w:bottom w:val="single" w:sz="4" w:space="0" w:color="auto"/>
              <w:right w:val="single" w:sz="4" w:space="0" w:color="auto"/>
            </w:tcBorders>
            <w:shd w:val="clear" w:color="auto" w:fill="auto"/>
            <w:noWrap/>
            <w:vAlign w:val="bottom"/>
            <w:hideMark/>
          </w:tcPr>
          <w:p w14:paraId="24C565C4" w14:textId="77777777" w:rsidR="004F4DF4" w:rsidRPr="004F4DF4" w:rsidRDefault="004F4DF4">
            <w:pPr>
              <w:jc w:val="right"/>
              <w:rPr>
                <w:sz w:val="20"/>
                <w:szCs w:val="20"/>
              </w:rPr>
            </w:pPr>
            <w:r w:rsidRPr="004F4DF4">
              <w:rPr>
                <w:sz w:val="20"/>
                <w:szCs w:val="20"/>
              </w:rPr>
              <w:t>0,1</w:t>
            </w:r>
          </w:p>
        </w:tc>
      </w:tr>
      <w:tr w:rsidR="004F4DF4" w:rsidRPr="004F4DF4" w14:paraId="5A6A74B0"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314EF1DA"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3CA114F5"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auto" w:fill="auto"/>
            <w:noWrap/>
            <w:vAlign w:val="bottom"/>
            <w:hideMark/>
          </w:tcPr>
          <w:p w14:paraId="0AADCFE7" w14:textId="77777777" w:rsidR="004F4DF4" w:rsidRPr="004F4DF4" w:rsidRDefault="004F4DF4">
            <w:pPr>
              <w:rPr>
                <w:sz w:val="20"/>
                <w:szCs w:val="20"/>
              </w:rPr>
            </w:pPr>
            <w:r w:rsidRPr="004F4DF4">
              <w:rPr>
                <w:sz w:val="20"/>
                <w:szCs w:val="20"/>
              </w:rPr>
              <w:t>2016.gads</w:t>
            </w:r>
          </w:p>
        </w:tc>
        <w:tc>
          <w:tcPr>
            <w:tcW w:w="1027"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490D7CAD" w14:textId="77777777" w:rsidR="004F4DF4" w:rsidRPr="004F4DF4" w:rsidRDefault="004F4DF4">
            <w:pPr>
              <w:jc w:val="center"/>
              <w:rPr>
                <w:b/>
                <w:bCs/>
                <w:sz w:val="20"/>
                <w:szCs w:val="20"/>
              </w:rPr>
            </w:pPr>
            <w:r w:rsidRPr="004F4DF4">
              <w:rPr>
                <w:b/>
                <w:bCs/>
                <w:sz w:val="20"/>
                <w:szCs w:val="20"/>
              </w:rPr>
              <w:t>53</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2574D5B0" w14:textId="77777777" w:rsidR="004F4DF4" w:rsidRPr="004F4DF4" w:rsidRDefault="004F4DF4">
            <w:pPr>
              <w:jc w:val="center"/>
              <w:rPr>
                <w:b/>
                <w:bCs/>
                <w:sz w:val="20"/>
                <w:szCs w:val="20"/>
              </w:rPr>
            </w:pPr>
            <w:r w:rsidRPr="004F4DF4">
              <w:rPr>
                <w:b/>
                <w:bCs/>
                <w:sz w:val="20"/>
                <w:szCs w:val="20"/>
              </w:rPr>
              <w:t>5</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0E367671" w14:textId="77777777" w:rsidR="004F4DF4" w:rsidRPr="004F4DF4" w:rsidRDefault="004F4DF4">
            <w:pPr>
              <w:jc w:val="center"/>
              <w:rPr>
                <w:b/>
                <w:bCs/>
                <w:sz w:val="20"/>
                <w:szCs w:val="20"/>
              </w:rPr>
            </w:pPr>
            <w:r w:rsidRPr="004F4DF4">
              <w:rPr>
                <w:b/>
                <w:bCs/>
                <w:sz w:val="20"/>
                <w:szCs w:val="20"/>
              </w:rPr>
              <w:t>2</w:t>
            </w:r>
          </w:p>
        </w:tc>
      </w:tr>
      <w:tr w:rsidR="004F4DF4" w:rsidRPr="004F4DF4" w14:paraId="1FF2B88C"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410B6126"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6C9AC725"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000000" w:fill="C0C0C0"/>
            <w:noWrap/>
            <w:vAlign w:val="bottom"/>
            <w:hideMark/>
          </w:tcPr>
          <w:p w14:paraId="08D6B634" w14:textId="77777777" w:rsidR="004F4DF4" w:rsidRPr="004F4DF4" w:rsidRDefault="004F4DF4">
            <w:pPr>
              <w:jc w:val="right"/>
              <w:rPr>
                <w:sz w:val="20"/>
                <w:szCs w:val="20"/>
              </w:rPr>
            </w:pPr>
            <w:r w:rsidRPr="004F4DF4">
              <w:rPr>
                <w:sz w:val="20"/>
                <w:szCs w:val="20"/>
              </w:rPr>
              <w:t>870</w:t>
            </w:r>
          </w:p>
        </w:tc>
        <w:tc>
          <w:tcPr>
            <w:tcW w:w="316" w:type="dxa"/>
            <w:tcBorders>
              <w:top w:val="nil"/>
              <w:left w:val="nil"/>
              <w:bottom w:val="single" w:sz="4" w:space="0" w:color="auto"/>
              <w:right w:val="single" w:sz="4" w:space="0" w:color="auto"/>
            </w:tcBorders>
            <w:shd w:val="clear" w:color="000000" w:fill="FFFFFF"/>
            <w:noWrap/>
            <w:vAlign w:val="bottom"/>
            <w:hideMark/>
          </w:tcPr>
          <w:p w14:paraId="3018A1C3" w14:textId="77777777" w:rsidR="004F4DF4" w:rsidRPr="004F4DF4" w:rsidRDefault="004F4DF4">
            <w:pPr>
              <w:jc w:val="right"/>
              <w:rPr>
                <w:sz w:val="20"/>
                <w:szCs w:val="20"/>
              </w:rPr>
            </w:pPr>
            <w:r w:rsidRPr="004F4DF4">
              <w:rPr>
                <w:sz w:val="20"/>
                <w:szCs w:val="20"/>
              </w:rPr>
              <w:t>2</w:t>
            </w:r>
          </w:p>
        </w:tc>
        <w:tc>
          <w:tcPr>
            <w:tcW w:w="711" w:type="dxa"/>
            <w:tcBorders>
              <w:top w:val="nil"/>
              <w:left w:val="nil"/>
              <w:bottom w:val="single" w:sz="4" w:space="0" w:color="auto"/>
              <w:right w:val="single" w:sz="4" w:space="0" w:color="auto"/>
            </w:tcBorders>
            <w:shd w:val="clear" w:color="000000" w:fill="FFFFFF"/>
            <w:noWrap/>
            <w:vAlign w:val="bottom"/>
            <w:hideMark/>
          </w:tcPr>
          <w:p w14:paraId="3C028A82" w14:textId="77777777" w:rsidR="004F4DF4" w:rsidRPr="004F4DF4" w:rsidRDefault="004F4DF4">
            <w:pPr>
              <w:jc w:val="right"/>
              <w:rPr>
                <w:sz w:val="20"/>
                <w:szCs w:val="20"/>
              </w:rPr>
            </w:pPr>
            <w:r w:rsidRPr="004F4DF4">
              <w:rPr>
                <w:sz w:val="20"/>
                <w:szCs w:val="20"/>
              </w:rPr>
              <w:t>6,1</w:t>
            </w:r>
          </w:p>
        </w:tc>
        <w:tc>
          <w:tcPr>
            <w:tcW w:w="848" w:type="dxa"/>
            <w:tcBorders>
              <w:top w:val="nil"/>
              <w:left w:val="nil"/>
              <w:bottom w:val="single" w:sz="4" w:space="0" w:color="auto"/>
              <w:right w:val="single" w:sz="4" w:space="0" w:color="auto"/>
            </w:tcBorders>
            <w:shd w:val="clear" w:color="000000" w:fill="FFFFFF"/>
            <w:noWrap/>
            <w:vAlign w:val="bottom"/>
            <w:hideMark/>
          </w:tcPr>
          <w:p w14:paraId="488880CE" w14:textId="77777777" w:rsidR="004F4DF4" w:rsidRPr="004F4DF4" w:rsidRDefault="004F4DF4">
            <w:pPr>
              <w:jc w:val="right"/>
              <w:rPr>
                <w:sz w:val="20"/>
                <w:szCs w:val="20"/>
              </w:rPr>
            </w:pPr>
            <w:r w:rsidRPr="004F4DF4">
              <w:rPr>
                <w:sz w:val="20"/>
                <w:szCs w:val="20"/>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37C24809" w14:textId="77777777" w:rsidR="004F4DF4" w:rsidRPr="004F4DF4" w:rsidRDefault="004F4DF4">
            <w:pPr>
              <w:jc w:val="right"/>
              <w:rPr>
                <w:sz w:val="20"/>
                <w:szCs w:val="20"/>
              </w:rPr>
            </w:pPr>
            <w:r w:rsidRPr="004F4DF4">
              <w:rPr>
                <w:sz w:val="20"/>
                <w:szCs w:val="20"/>
              </w:rPr>
              <w:t>0,6</w:t>
            </w:r>
          </w:p>
        </w:tc>
        <w:tc>
          <w:tcPr>
            <w:tcW w:w="851" w:type="dxa"/>
            <w:tcBorders>
              <w:top w:val="nil"/>
              <w:left w:val="nil"/>
              <w:bottom w:val="single" w:sz="4" w:space="0" w:color="auto"/>
              <w:right w:val="single" w:sz="4" w:space="0" w:color="auto"/>
            </w:tcBorders>
            <w:shd w:val="clear" w:color="auto" w:fill="auto"/>
            <w:noWrap/>
            <w:vAlign w:val="bottom"/>
            <w:hideMark/>
          </w:tcPr>
          <w:p w14:paraId="33525C02" w14:textId="77777777" w:rsidR="004F4DF4" w:rsidRPr="004F4DF4" w:rsidRDefault="004F4DF4">
            <w:pPr>
              <w:jc w:val="right"/>
              <w:rPr>
                <w:sz w:val="20"/>
                <w:szCs w:val="20"/>
              </w:rPr>
            </w:pPr>
            <w:r w:rsidRPr="004F4DF4">
              <w:rPr>
                <w:sz w:val="20"/>
                <w:szCs w:val="20"/>
              </w:rPr>
              <w:t>4</w:t>
            </w:r>
          </w:p>
        </w:tc>
        <w:tc>
          <w:tcPr>
            <w:tcW w:w="847" w:type="dxa"/>
            <w:tcBorders>
              <w:top w:val="nil"/>
              <w:left w:val="nil"/>
              <w:bottom w:val="single" w:sz="4" w:space="0" w:color="auto"/>
              <w:right w:val="single" w:sz="4" w:space="0" w:color="auto"/>
            </w:tcBorders>
            <w:shd w:val="clear" w:color="auto" w:fill="auto"/>
            <w:noWrap/>
            <w:vAlign w:val="bottom"/>
            <w:hideMark/>
          </w:tcPr>
          <w:p w14:paraId="79A0914A" w14:textId="77777777" w:rsidR="004F4DF4" w:rsidRPr="004F4DF4" w:rsidRDefault="004F4DF4">
            <w:pPr>
              <w:jc w:val="right"/>
              <w:rPr>
                <w:sz w:val="20"/>
                <w:szCs w:val="20"/>
              </w:rPr>
            </w:pPr>
            <w:r w:rsidRPr="004F4DF4">
              <w:rPr>
                <w:sz w:val="20"/>
                <w:szCs w:val="20"/>
              </w:rPr>
              <w:t>0,2</w:t>
            </w:r>
          </w:p>
        </w:tc>
      </w:tr>
      <w:tr w:rsidR="004F4DF4" w:rsidRPr="004F4DF4" w14:paraId="4803C735"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3D9EA5A8"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0A45ECDC"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auto" w:fill="auto"/>
            <w:noWrap/>
            <w:vAlign w:val="bottom"/>
            <w:hideMark/>
          </w:tcPr>
          <w:p w14:paraId="379C6AB2" w14:textId="77777777" w:rsidR="004F4DF4" w:rsidRPr="004F4DF4" w:rsidRDefault="004F4DF4">
            <w:pPr>
              <w:rPr>
                <w:sz w:val="20"/>
                <w:szCs w:val="20"/>
              </w:rPr>
            </w:pPr>
            <w:r w:rsidRPr="004F4DF4">
              <w:rPr>
                <w:sz w:val="20"/>
                <w:szCs w:val="20"/>
              </w:rPr>
              <w:t>2017.gads</w:t>
            </w:r>
          </w:p>
        </w:tc>
        <w:tc>
          <w:tcPr>
            <w:tcW w:w="1027"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06B6000A" w14:textId="77777777" w:rsidR="004F4DF4" w:rsidRPr="004F4DF4" w:rsidRDefault="004F4DF4">
            <w:pPr>
              <w:jc w:val="center"/>
              <w:rPr>
                <w:b/>
                <w:bCs/>
                <w:sz w:val="20"/>
                <w:szCs w:val="20"/>
              </w:rPr>
            </w:pPr>
            <w:r w:rsidRPr="004F4DF4">
              <w:rPr>
                <w:b/>
                <w:bCs/>
                <w:sz w:val="20"/>
                <w:szCs w:val="20"/>
              </w:rPr>
              <w:t>36</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0F2C3D27" w14:textId="77777777" w:rsidR="004F4DF4" w:rsidRPr="004F4DF4" w:rsidRDefault="004F4DF4">
            <w:pPr>
              <w:jc w:val="center"/>
              <w:rPr>
                <w:b/>
                <w:bCs/>
                <w:sz w:val="20"/>
                <w:szCs w:val="20"/>
              </w:rPr>
            </w:pPr>
            <w:r w:rsidRPr="004F4DF4">
              <w:rPr>
                <w:b/>
                <w:bCs/>
                <w:sz w:val="20"/>
                <w:szCs w:val="20"/>
              </w:rPr>
              <w:t>56</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2F32B984" w14:textId="77777777" w:rsidR="004F4DF4" w:rsidRPr="004F4DF4" w:rsidRDefault="004F4DF4">
            <w:pPr>
              <w:jc w:val="center"/>
              <w:rPr>
                <w:b/>
                <w:bCs/>
                <w:sz w:val="20"/>
                <w:szCs w:val="20"/>
              </w:rPr>
            </w:pPr>
            <w:r w:rsidRPr="004F4DF4">
              <w:rPr>
                <w:b/>
                <w:bCs/>
                <w:sz w:val="20"/>
                <w:szCs w:val="20"/>
              </w:rPr>
              <w:t>5</w:t>
            </w:r>
          </w:p>
        </w:tc>
      </w:tr>
      <w:tr w:rsidR="004F4DF4" w:rsidRPr="004F4DF4" w14:paraId="56E8C3F8"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53FE1651"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55AB0800"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000000" w:fill="C0C0C0"/>
            <w:noWrap/>
            <w:vAlign w:val="bottom"/>
            <w:hideMark/>
          </w:tcPr>
          <w:p w14:paraId="1D5EDB64" w14:textId="77777777" w:rsidR="004F4DF4" w:rsidRPr="004F4DF4" w:rsidRDefault="004F4DF4">
            <w:pPr>
              <w:jc w:val="right"/>
              <w:rPr>
                <w:sz w:val="20"/>
                <w:szCs w:val="20"/>
              </w:rPr>
            </w:pPr>
            <w:r w:rsidRPr="004F4DF4">
              <w:rPr>
                <w:sz w:val="20"/>
                <w:szCs w:val="20"/>
              </w:rPr>
              <w:t>914</w:t>
            </w:r>
          </w:p>
        </w:tc>
        <w:tc>
          <w:tcPr>
            <w:tcW w:w="316" w:type="dxa"/>
            <w:tcBorders>
              <w:top w:val="nil"/>
              <w:left w:val="nil"/>
              <w:bottom w:val="single" w:sz="4" w:space="0" w:color="auto"/>
              <w:right w:val="single" w:sz="4" w:space="0" w:color="auto"/>
            </w:tcBorders>
            <w:shd w:val="clear" w:color="000000" w:fill="FFFFFF"/>
            <w:noWrap/>
            <w:vAlign w:val="bottom"/>
            <w:hideMark/>
          </w:tcPr>
          <w:p w14:paraId="5B135AAD" w14:textId="77777777" w:rsidR="004F4DF4" w:rsidRPr="004F4DF4" w:rsidRDefault="004F4DF4">
            <w:pPr>
              <w:jc w:val="right"/>
              <w:rPr>
                <w:sz w:val="20"/>
                <w:szCs w:val="20"/>
              </w:rPr>
            </w:pPr>
            <w:r w:rsidRPr="004F4DF4">
              <w:rPr>
                <w:sz w:val="20"/>
                <w:szCs w:val="20"/>
              </w:rPr>
              <w:t>1</w:t>
            </w:r>
          </w:p>
        </w:tc>
        <w:tc>
          <w:tcPr>
            <w:tcW w:w="711" w:type="dxa"/>
            <w:tcBorders>
              <w:top w:val="nil"/>
              <w:left w:val="nil"/>
              <w:bottom w:val="single" w:sz="4" w:space="0" w:color="auto"/>
              <w:right w:val="single" w:sz="4" w:space="0" w:color="auto"/>
            </w:tcBorders>
            <w:shd w:val="clear" w:color="000000" w:fill="FFFFFF"/>
            <w:noWrap/>
            <w:vAlign w:val="bottom"/>
            <w:hideMark/>
          </w:tcPr>
          <w:p w14:paraId="108A8667" w14:textId="77777777" w:rsidR="004F4DF4" w:rsidRPr="004F4DF4" w:rsidRDefault="004F4DF4">
            <w:pPr>
              <w:jc w:val="right"/>
              <w:rPr>
                <w:sz w:val="20"/>
                <w:szCs w:val="20"/>
              </w:rPr>
            </w:pPr>
            <w:r w:rsidRPr="004F4DF4">
              <w:rPr>
                <w:sz w:val="20"/>
                <w:szCs w:val="20"/>
              </w:rPr>
              <w:t>3,9</w:t>
            </w:r>
          </w:p>
        </w:tc>
        <w:tc>
          <w:tcPr>
            <w:tcW w:w="848" w:type="dxa"/>
            <w:tcBorders>
              <w:top w:val="nil"/>
              <w:left w:val="nil"/>
              <w:bottom w:val="single" w:sz="4" w:space="0" w:color="auto"/>
              <w:right w:val="single" w:sz="4" w:space="0" w:color="auto"/>
            </w:tcBorders>
            <w:shd w:val="clear" w:color="000000" w:fill="FFFFFF"/>
            <w:noWrap/>
            <w:vAlign w:val="bottom"/>
            <w:hideMark/>
          </w:tcPr>
          <w:p w14:paraId="2D52D1F2" w14:textId="77777777" w:rsidR="004F4DF4" w:rsidRPr="004F4DF4" w:rsidRDefault="004F4DF4">
            <w:pPr>
              <w:jc w:val="right"/>
              <w:rPr>
                <w:sz w:val="20"/>
                <w:szCs w:val="20"/>
              </w:rPr>
            </w:pPr>
            <w:r w:rsidRPr="004F4DF4">
              <w:rPr>
                <w:sz w:val="20"/>
                <w:szCs w:val="20"/>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5D4CF10D" w14:textId="77777777" w:rsidR="004F4DF4" w:rsidRPr="004F4DF4" w:rsidRDefault="004F4DF4">
            <w:pPr>
              <w:jc w:val="right"/>
              <w:rPr>
                <w:sz w:val="20"/>
                <w:szCs w:val="20"/>
              </w:rPr>
            </w:pPr>
            <w:r w:rsidRPr="004F4DF4">
              <w:rPr>
                <w:sz w:val="20"/>
                <w:szCs w:val="20"/>
              </w:rPr>
              <w:t>6,1</w:t>
            </w:r>
          </w:p>
        </w:tc>
        <w:tc>
          <w:tcPr>
            <w:tcW w:w="851" w:type="dxa"/>
            <w:tcBorders>
              <w:top w:val="nil"/>
              <w:left w:val="nil"/>
              <w:bottom w:val="single" w:sz="4" w:space="0" w:color="auto"/>
              <w:right w:val="single" w:sz="4" w:space="0" w:color="auto"/>
            </w:tcBorders>
            <w:shd w:val="clear" w:color="000000" w:fill="FFFFFF"/>
            <w:noWrap/>
            <w:vAlign w:val="bottom"/>
            <w:hideMark/>
          </w:tcPr>
          <w:p w14:paraId="6BC86C24" w14:textId="77777777" w:rsidR="004F4DF4" w:rsidRPr="004F4DF4" w:rsidRDefault="004F4DF4">
            <w:pPr>
              <w:jc w:val="right"/>
              <w:rPr>
                <w:sz w:val="20"/>
                <w:szCs w:val="20"/>
              </w:rPr>
            </w:pPr>
            <w:r w:rsidRPr="004F4DF4">
              <w:rPr>
                <w:sz w:val="20"/>
                <w:szCs w:val="20"/>
              </w:rPr>
              <w:t>3</w:t>
            </w:r>
          </w:p>
        </w:tc>
        <w:tc>
          <w:tcPr>
            <w:tcW w:w="847" w:type="dxa"/>
            <w:tcBorders>
              <w:top w:val="nil"/>
              <w:left w:val="nil"/>
              <w:bottom w:val="single" w:sz="4" w:space="0" w:color="auto"/>
              <w:right w:val="single" w:sz="4" w:space="0" w:color="auto"/>
            </w:tcBorders>
            <w:shd w:val="clear" w:color="000000" w:fill="FFFFFF"/>
            <w:noWrap/>
            <w:vAlign w:val="bottom"/>
            <w:hideMark/>
          </w:tcPr>
          <w:p w14:paraId="02E99AEA" w14:textId="77777777" w:rsidR="004F4DF4" w:rsidRPr="004F4DF4" w:rsidRDefault="004F4DF4">
            <w:pPr>
              <w:jc w:val="right"/>
              <w:rPr>
                <w:sz w:val="20"/>
                <w:szCs w:val="20"/>
              </w:rPr>
            </w:pPr>
            <w:r w:rsidRPr="004F4DF4">
              <w:rPr>
                <w:sz w:val="20"/>
                <w:szCs w:val="20"/>
              </w:rPr>
              <w:t>0,6</w:t>
            </w:r>
          </w:p>
        </w:tc>
      </w:tr>
      <w:tr w:rsidR="004F4DF4" w:rsidRPr="004F4DF4" w14:paraId="024B8C38"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3AB2ED71"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7D4BEB8D"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auto" w:fill="auto"/>
            <w:noWrap/>
            <w:vAlign w:val="bottom"/>
            <w:hideMark/>
          </w:tcPr>
          <w:p w14:paraId="649888D1" w14:textId="77777777" w:rsidR="004F4DF4" w:rsidRPr="004F4DF4" w:rsidRDefault="004F4DF4">
            <w:pPr>
              <w:rPr>
                <w:sz w:val="20"/>
                <w:szCs w:val="20"/>
              </w:rPr>
            </w:pPr>
            <w:r w:rsidRPr="004F4DF4">
              <w:rPr>
                <w:sz w:val="20"/>
                <w:szCs w:val="20"/>
              </w:rPr>
              <w:t>2018.gads</w:t>
            </w:r>
          </w:p>
        </w:tc>
        <w:tc>
          <w:tcPr>
            <w:tcW w:w="102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14:paraId="4AC598DC" w14:textId="77777777" w:rsidR="004F4DF4" w:rsidRPr="004F4DF4" w:rsidRDefault="004F4DF4">
            <w:pPr>
              <w:jc w:val="center"/>
              <w:rPr>
                <w:b/>
                <w:bCs/>
                <w:sz w:val="20"/>
                <w:szCs w:val="20"/>
              </w:rPr>
            </w:pPr>
            <w:r w:rsidRPr="004F4DF4">
              <w:rPr>
                <w:b/>
                <w:bCs/>
                <w:sz w:val="20"/>
                <w:szCs w:val="20"/>
              </w:rPr>
              <w:t> </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19860F15" w14:textId="77777777" w:rsidR="004F4DF4" w:rsidRPr="004F4DF4" w:rsidRDefault="004F4DF4">
            <w:pPr>
              <w:jc w:val="center"/>
              <w:rPr>
                <w:b/>
                <w:bCs/>
                <w:sz w:val="20"/>
                <w:szCs w:val="20"/>
              </w:rPr>
            </w:pPr>
            <w:r w:rsidRPr="004F4DF4">
              <w:rPr>
                <w:b/>
                <w:bCs/>
                <w:sz w:val="20"/>
                <w:szCs w:val="20"/>
              </w:rPr>
              <w:t>37</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46FD6654" w14:textId="77777777" w:rsidR="004F4DF4" w:rsidRPr="004F4DF4" w:rsidRDefault="004F4DF4">
            <w:pPr>
              <w:jc w:val="center"/>
              <w:rPr>
                <w:b/>
                <w:bCs/>
                <w:sz w:val="20"/>
                <w:szCs w:val="20"/>
              </w:rPr>
            </w:pPr>
            <w:r w:rsidRPr="004F4DF4">
              <w:rPr>
                <w:b/>
                <w:bCs/>
                <w:sz w:val="20"/>
                <w:szCs w:val="20"/>
              </w:rPr>
              <w:t>59</w:t>
            </w:r>
          </w:p>
        </w:tc>
      </w:tr>
      <w:tr w:rsidR="004F4DF4" w:rsidRPr="004F4DF4" w14:paraId="0729AC60"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274F02CF"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1D2B771A"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000000" w:fill="C0C0C0"/>
            <w:noWrap/>
            <w:vAlign w:val="bottom"/>
            <w:hideMark/>
          </w:tcPr>
          <w:p w14:paraId="2784D7E5" w14:textId="77777777" w:rsidR="004F4DF4" w:rsidRPr="004F4DF4" w:rsidRDefault="004F4DF4">
            <w:pPr>
              <w:jc w:val="right"/>
              <w:rPr>
                <w:sz w:val="20"/>
                <w:szCs w:val="20"/>
              </w:rPr>
            </w:pPr>
            <w:r w:rsidRPr="004F4DF4">
              <w:rPr>
                <w:sz w:val="20"/>
                <w:szCs w:val="20"/>
              </w:rPr>
              <w:t>960</w:t>
            </w:r>
          </w:p>
        </w:tc>
        <w:tc>
          <w:tcPr>
            <w:tcW w:w="1027" w:type="dxa"/>
            <w:gridSpan w:val="2"/>
            <w:vMerge/>
            <w:tcBorders>
              <w:top w:val="nil"/>
              <w:left w:val="nil"/>
              <w:bottom w:val="single" w:sz="4" w:space="0" w:color="auto"/>
              <w:right w:val="single" w:sz="4" w:space="0" w:color="auto"/>
            </w:tcBorders>
            <w:vAlign w:val="center"/>
            <w:hideMark/>
          </w:tcPr>
          <w:p w14:paraId="2E5B2F8E" w14:textId="77777777" w:rsidR="004F4DF4" w:rsidRPr="004F4DF4" w:rsidRDefault="004F4DF4">
            <w:pPr>
              <w:rPr>
                <w:b/>
                <w:bCs/>
                <w:sz w:val="20"/>
                <w:szCs w:val="20"/>
              </w:rPr>
            </w:pPr>
          </w:p>
        </w:tc>
        <w:tc>
          <w:tcPr>
            <w:tcW w:w="848" w:type="dxa"/>
            <w:tcBorders>
              <w:top w:val="nil"/>
              <w:left w:val="nil"/>
              <w:bottom w:val="single" w:sz="4" w:space="0" w:color="auto"/>
              <w:right w:val="single" w:sz="4" w:space="0" w:color="auto"/>
            </w:tcBorders>
            <w:shd w:val="clear" w:color="000000" w:fill="FFFFFF"/>
            <w:noWrap/>
            <w:vAlign w:val="bottom"/>
            <w:hideMark/>
          </w:tcPr>
          <w:p w14:paraId="7B3C195F" w14:textId="77777777" w:rsidR="004F4DF4" w:rsidRPr="004F4DF4" w:rsidRDefault="004F4DF4">
            <w:pPr>
              <w:jc w:val="right"/>
              <w:rPr>
                <w:sz w:val="20"/>
                <w:szCs w:val="20"/>
              </w:rPr>
            </w:pPr>
            <w:r w:rsidRPr="004F4DF4">
              <w:rPr>
                <w:sz w:val="20"/>
                <w:szCs w:val="20"/>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4BA659F5" w14:textId="77777777" w:rsidR="004F4DF4" w:rsidRPr="004F4DF4" w:rsidRDefault="004F4DF4">
            <w:pPr>
              <w:jc w:val="right"/>
              <w:rPr>
                <w:sz w:val="20"/>
                <w:szCs w:val="20"/>
              </w:rPr>
            </w:pPr>
            <w:r w:rsidRPr="004F4DF4">
              <w:rPr>
                <w:sz w:val="20"/>
                <w:szCs w:val="20"/>
              </w:rPr>
              <w:t>3,9</w:t>
            </w:r>
          </w:p>
        </w:tc>
        <w:tc>
          <w:tcPr>
            <w:tcW w:w="851" w:type="dxa"/>
            <w:tcBorders>
              <w:top w:val="nil"/>
              <w:left w:val="nil"/>
              <w:bottom w:val="single" w:sz="4" w:space="0" w:color="auto"/>
              <w:right w:val="single" w:sz="4" w:space="0" w:color="auto"/>
            </w:tcBorders>
            <w:shd w:val="clear" w:color="000000" w:fill="FFFFFF"/>
            <w:noWrap/>
            <w:vAlign w:val="bottom"/>
            <w:hideMark/>
          </w:tcPr>
          <w:p w14:paraId="47D5DD00" w14:textId="77777777" w:rsidR="004F4DF4" w:rsidRPr="004F4DF4" w:rsidRDefault="004F4DF4">
            <w:pPr>
              <w:jc w:val="right"/>
              <w:rPr>
                <w:sz w:val="20"/>
                <w:szCs w:val="20"/>
              </w:rPr>
            </w:pPr>
            <w:r w:rsidRPr="004F4DF4">
              <w:rPr>
                <w:sz w:val="20"/>
                <w:szCs w:val="20"/>
              </w:rPr>
              <w:t>2</w:t>
            </w:r>
          </w:p>
        </w:tc>
        <w:tc>
          <w:tcPr>
            <w:tcW w:w="847" w:type="dxa"/>
            <w:tcBorders>
              <w:top w:val="nil"/>
              <w:left w:val="nil"/>
              <w:bottom w:val="single" w:sz="4" w:space="0" w:color="auto"/>
              <w:right w:val="single" w:sz="4" w:space="0" w:color="auto"/>
            </w:tcBorders>
            <w:shd w:val="clear" w:color="000000" w:fill="FFFFFF"/>
            <w:noWrap/>
            <w:vAlign w:val="bottom"/>
            <w:hideMark/>
          </w:tcPr>
          <w:p w14:paraId="728C3066" w14:textId="77777777" w:rsidR="004F4DF4" w:rsidRPr="004F4DF4" w:rsidRDefault="004F4DF4">
            <w:pPr>
              <w:jc w:val="right"/>
              <w:rPr>
                <w:sz w:val="20"/>
                <w:szCs w:val="20"/>
              </w:rPr>
            </w:pPr>
            <w:r w:rsidRPr="004F4DF4">
              <w:rPr>
                <w:sz w:val="20"/>
                <w:szCs w:val="20"/>
              </w:rPr>
              <w:t>6,1</w:t>
            </w:r>
          </w:p>
        </w:tc>
      </w:tr>
      <w:tr w:rsidR="004F4DF4" w:rsidRPr="004F4DF4" w14:paraId="10144F34"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64C680F7"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2E4E765F"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auto" w:fill="auto"/>
            <w:noWrap/>
            <w:vAlign w:val="bottom"/>
            <w:hideMark/>
          </w:tcPr>
          <w:p w14:paraId="131FF0E8" w14:textId="77777777" w:rsidR="004F4DF4" w:rsidRPr="004F4DF4" w:rsidRDefault="004F4DF4">
            <w:pPr>
              <w:rPr>
                <w:sz w:val="20"/>
                <w:szCs w:val="20"/>
              </w:rPr>
            </w:pPr>
            <w:r w:rsidRPr="004F4DF4">
              <w:rPr>
                <w:sz w:val="20"/>
                <w:szCs w:val="20"/>
              </w:rPr>
              <w:t>2019.gads</w:t>
            </w:r>
          </w:p>
        </w:tc>
        <w:tc>
          <w:tcPr>
            <w:tcW w:w="10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B69B851" w14:textId="77777777" w:rsidR="004F4DF4" w:rsidRPr="004F4DF4" w:rsidRDefault="004F4DF4">
            <w:pPr>
              <w:jc w:val="center"/>
              <w:rPr>
                <w:sz w:val="20"/>
                <w:szCs w:val="20"/>
              </w:rPr>
            </w:pPr>
            <w:r w:rsidRPr="004F4DF4">
              <w:rPr>
                <w:sz w:val="20"/>
                <w:szCs w:val="20"/>
              </w:rPr>
              <w:t> </w:t>
            </w:r>
          </w:p>
        </w:tc>
        <w:tc>
          <w:tcPr>
            <w:tcW w:w="169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14:paraId="31D0D292" w14:textId="77777777" w:rsidR="004F4DF4" w:rsidRPr="004F4DF4" w:rsidRDefault="004F4DF4">
            <w:pPr>
              <w:jc w:val="center"/>
              <w:rPr>
                <w:b/>
                <w:bCs/>
                <w:sz w:val="20"/>
                <w:szCs w:val="20"/>
              </w:rPr>
            </w:pPr>
            <w:r w:rsidRPr="004F4DF4">
              <w:rPr>
                <w:b/>
                <w:bCs/>
                <w:sz w:val="20"/>
                <w:szCs w:val="20"/>
              </w:rPr>
              <w:t> </w:t>
            </w:r>
          </w:p>
        </w:tc>
        <w:tc>
          <w:tcPr>
            <w:tcW w:w="1698"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332AE808" w14:textId="77777777" w:rsidR="004F4DF4" w:rsidRPr="004F4DF4" w:rsidRDefault="004F4DF4">
            <w:pPr>
              <w:jc w:val="center"/>
              <w:rPr>
                <w:b/>
                <w:bCs/>
                <w:sz w:val="20"/>
                <w:szCs w:val="20"/>
              </w:rPr>
            </w:pPr>
            <w:r w:rsidRPr="004F4DF4">
              <w:rPr>
                <w:b/>
                <w:bCs/>
                <w:sz w:val="20"/>
                <w:szCs w:val="20"/>
              </w:rPr>
              <w:t>39</w:t>
            </w:r>
          </w:p>
        </w:tc>
      </w:tr>
      <w:tr w:rsidR="004F4DF4" w:rsidRPr="004F4DF4" w14:paraId="07480E7E" w14:textId="77777777" w:rsidTr="007D0A59">
        <w:trPr>
          <w:trHeight w:val="289"/>
        </w:trPr>
        <w:tc>
          <w:tcPr>
            <w:tcW w:w="946" w:type="dxa"/>
            <w:vMerge/>
            <w:tcBorders>
              <w:top w:val="nil"/>
              <w:left w:val="single" w:sz="4" w:space="0" w:color="auto"/>
              <w:bottom w:val="single" w:sz="4" w:space="0" w:color="000000"/>
              <w:right w:val="single" w:sz="4" w:space="0" w:color="auto"/>
            </w:tcBorders>
            <w:vAlign w:val="center"/>
            <w:hideMark/>
          </w:tcPr>
          <w:p w14:paraId="762F3EA0" w14:textId="77777777" w:rsidR="004F4DF4" w:rsidRPr="004F4DF4" w:rsidRDefault="004F4DF4">
            <w:pPr>
              <w:rPr>
                <w:sz w:val="20"/>
                <w:szCs w:val="20"/>
              </w:rPr>
            </w:pPr>
          </w:p>
        </w:tc>
        <w:tc>
          <w:tcPr>
            <w:tcW w:w="682" w:type="dxa"/>
            <w:vMerge/>
            <w:tcBorders>
              <w:top w:val="nil"/>
              <w:left w:val="single" w:sz="4" w:space="0" w:color="auto"/>
              <w:bottom w:val="single" w:sz="4" w:space="0" w:color="000000"/>
              <w:right w:val="single" w:sz="4" w:space="0" w:color="auto"/>
            </w:tcBorders>
            <w:vAlign w:val="center"/>
            <w:hideMark/>
          </w:tcPr>
          <w:p w14:paraId="0D827DEF" w14:textId="77777777" w:rsidR="004F4DF4" w:rsidRPr="004F4DF4" w:rsidRDefault="004F4DF4">
            <w:pPr>
              <w:rPr>
                <w:sz w:val="20"/>
                <w:szCs w:val="20"/>
              </w:rPr>
            </w:pPr>
          </w:p>
        </w:tc>
        <w:tc>
          <w:tcPr>
            <w:tcW w:w="1742" w:type="dxa"/>
            <w:tcBorders>
              <w:top w:val="nil"/>
              <w:left w:val="nil"/>
              <w:bottom w:val="single" w:sz="4" w:space="0" w:color="auto"/>
              <w:right w:val="single" w:sz="4" w:space="0" w:color="auto"/>
            </w:tcBorders>
            <w:shd w:val="clear" w:color="000000" w:fill="C0C0C0"/>
            <w:noWrap/>
            <w:vAlign w:val="bottom"/>
            <w:hideMark/>
          </w:tcPr>
          <w:p w14:paraId="6225EC66" w14:textId="77777777" w:rsidR="004F4DF4" w:rsidRPr="004F4DF4" w:rsidRDefault="004F4DF4">
            <w:pPr>
              <w:jc w:val="right"/>
              <w:rPr>
                <w:sz w:val="20"/>
                <w:szCs w:val="20"/>
              </w:rPr>
            </w:pPr>
            <w:r w:rsidRPr="004F4DF4">
              <w:rPr>
                <w:sz w:val="20"/>
                <w:szCs w:val="20"/>
              </w:rPr>
              <w:t>1 008</w:t>
            </w:r>
          </w:p>
        </w:tc>
        <w:tc>
          <w:tcPr>
            <w:tcW w:w="1027" w:type="dxa"/>
            <w:gridSpan w:val="2"/>
            <w:vMerge/>
            <w:tcBorders>
              <w:top w:val="nil"/>
              <w:left w:val="nil"/>
              <w:bottom w:val="single" w:sz="4" w:space="0" w:color="auto"/>
              <w:right w:val="single" w:sz="4" w:space="0" w:color="auto"/>
            </w:tcBorders>
            <w:vAlign w:val="center"/>
            <w:hideMark/>
          </w:tcPr>
          <w:p w14:paraId="63EAF632" w14:textId="77777777" w:rsidR="004F4DF4" w:rsidRPr="004F4DF4" w:rsidRDefault="004F4DF4">
            <w:pPr>
              <w:rPr>
                <w:sz w:val="20"/>
                <w:szCs w:val="20"/>
              </w:rPr>
            </w:pPr>
          </w:p>
        </w:tc>
        <w:tc>
          <w:tcPr>
            <w:tcW w:w="1698" w:type="dxa"/>
            <w:gridSpan w:val="2"/>
            <w:vMerge/>
            <w:tcBorders>
              <w:top w:val="nil"/>
              <w:left w:val="nil"/>
              <w:bottom w:val="single" w:sz="4" w:space="0" w:color="auto"/>
              <w:right w:val="single" w:sz="4" w:space="0" w:color="auto"/>
            </w:tcBorders>
            <w:vAlign w:val="center"/>
            <w:hideMark/>
          </w:tcPr>
          <w:p w14:paraId="47F3C0A5" w14:textId="77777777" w:rsidR="004F4DF4" w:rsidRPr="004F4DF4" w:rsidRDefault="004F4DF4">
            <w:pPr>
              <w:rPr>
                <w:b/>
                <w:bCs/>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14:paraId="6D3243AB" w14:textId="77777777" w:rsidR="004F4DF4" w:rsidRPr="004F4DF4" w:rsidRDefault="004F4DF4">
            <w:pPr>
              <w:jc w:val="right"/>
              <w:rPr>
                <w:sz w:val="20"/>
                <w:szCs w:val="20"/>
              </w:rPr>
            </w:pPr>
            <w:r w:rsidRPr="004F4DF4">
              <w:rPr>
                <w:sz w:val="20"/>
                <w:szCs w:val="20"/>
              </w:rPr>
              <w:t>1</w:t>
            </w:r>
          </w:p>
        </w:tc>
        <w:tc>
          <w:tcPr>
            <w:tcW w:w="847" w:type="dxa"/>
            <w:tcBorders>
              <w:top w:val="nil"/>
              <w:left w:val="nil"/>
              <w:bottom w:val="single" w:sz="4" w:space="0" w:color="auto"/>
              <w:right w:val="single" w:sz="4" w:space="0" w:color="auto"/>
            </w:tcBorders>
            <w:shd w:val="clear" w:color="000000" w:fill="FFFFFF"/>
            <w:noWrap/>
            <w:vAlign w:val="bottom"/>
            <w:hideMark/>
          </w:tcPr>
          <w:p w14:paraId="3C5AED22" w14:textId="77777777" w:rsidR="004F4DF4" w:rsidRPr="004F4DF4" w:rsidRDefault="004F4DF4">
            <w:pPr>
              <w:jc w:val="right"/>
              <w:rPr>
                <w:sz w:val="20"/>
                <w:szCs w:val="20"/>
              </w:rPr>
            </w:pPr>
            <w:r w:rsidRPr="004F4DF4">
              <w:rPr>
                <w:sz w:val="20"/>
                <w:szCs w:val="20"/>
              </w:rPr>
              <w:t>3,9</w:t>
            </w:r>
          </w:p>
        </w:tc>
      </w:tr>
    </w:tbl>
    <w:p w14:paraId="7260A2C8" w14:textId="77777777" w:rsidR="00EB242A" w:rsidRDefault="00EB242A" w:rsidP="007D0A59">
      <w:pPr>
        <w:tabs>
          <w:tab w:val="left" w:pos="720"/>
        </w:tabs>
        <w:ind w:firstLine="720"/>
        <w:jc w:val="both"/>
      </w:pPr>
    </w:p>
    <w:p w14:paraId="0051B68A" w14:textId="77777777" w:rsidR="005A6D3B" w:rsidRDefault="00C02CAA" w:rsidP="007D0A59">
      <w:pPr>
        <w:tabs>
          <w:tab w:val="left" w:pos="720"/>
        </w:tabs>
        <w:ind w:firstLine="720"/>
        <w:jc w:val="both"/>
      </w:pPr>
      <w:r w:rsidRPr="007D0A59">
        <w:t>Nākamais aprēķinam nepieciešamais rādītājs ir darbinieku skaits, kuru prasījumi</w:t>
      </w:r>
      <w:r w:rsidR="0036318A" w:rsidRPr="007D0A59">
        <w:t xml:space="preserve"> </w:t>
      </w:r>
      <w:r w:rsidRPr="007D0A59">
        <w:t>katru gadu ir sedzami</w:t>
      </w:r>
      <w:r w:rsidR="007831F9" w:rsidRPr="007D0A59">
        <w:t xml:space="preserve"> </w:t>
      </w:r>
      <w:r w:rsidRPr="007D0A59">
        <w:t>no darbinieku prasījumu garantiju fonda. Tā noteikšanai par pamatu varētu kalpot vidējais darbinieku skaits, kuru prasījumi ir sedzami no darbinieku prasījumu garantiju fonda, attiecībā pret uzņēmumu skaitu, kuru maksātnespējas procesos ir saņemti iesniegumi par darbinieku prasījumu apmierināšanu no darbinieku prasījumu garantiju fonda</w:t>
      </w:r>
      <w:r w:rsidR="00B43918" w:rsidRPr="007D0A59">
        <w:t>,</w:t>
      </w:r>
      <w:r w:rsidRPr="007D0A59">
        <w:t xml:space="preserve"> t.i.</w:t>
      </w:r>
      <w:r w:rsidR="00B67C70">
        <w:t>,</w:t>
      </w:r>
      <w:r w:rsidRPr="007D0A59">
        <w:t xml:space="preserve"> </w:t>
      </w:r>
      <w:r w:rsidR="00B67C70">
        <w:t>–</w:t>
      </w:r>
      <w:r w:rsidRPr="007D0A59">
        <w:t xml:space="preserve"> 1</w:t>
      </w:r>
      <w:r w:rsidR="00D869A3" w:rsidRPr="007D0A59">
        <w:t>7</w:t>
      </w:r>
      <w:r w:rsidRPr="007D0A59">
        <w:t xml:space="preserve"> darbinieki </w:t>
      </w:r>
      <w:r w:rsidR="00050F19" w:rsidRPr="007D0A59">
        <w:t>vienā uzņēmumā</w:t>
      </w:r>
      <w:r w:rsidRPr="007D0A59">
        <w:t xml:space="preserve"> (skatīt 2</w:t>
      </w:r>
      <w:r w:rsidR="009D5AC0" w:rsidRPr="007D0A59">
        <w:t>3</w:t>
      </w:r>
      <w:r w:rsidRPr="007D0A59">
        <w:t>.tabulu).</w:t>
      </w:r>
    </w:p>
    <w:p w14:paraId="59D4848D" w14:textId="77777777" w:rsidR="007D0A59" w:rsidRDefault="007D0A59" w:rsidP="007D0A59">
      <w:pPr>
        <w:tabs>
          <w:tab w:val="left" w:pos="720"/>
        </w:tabs>
        <w:ind w:firstLine="720"/>
        <w:jc w:val="both"/>
        <w:rPr>
          <w:sz w:val="28"/>
          <w:szCs w:val="28"/>
        </w:rPr>
      </w:pPr>
    </w:p>
    <w:p w14:paraId="48EE0CCF" w14:textId="77777777" w:rsidR="00C02CAA" w:rsidRPr="007D0A59" w:rsidRDefault="00C02CAA" w:rsidP="002A3082">
      <w:pPr>
        <w:tabs>
          <w:tab w:val="left" w:pos="720"/>
        </w:tabs>
        <w:ind w:firstLine="720"/>
        <w:jc w:val="right"/>
      </w:pPr>
      <w:r w:rsidRPr="007D0A59">
        <w:t>2</w:t>
      </w:r>
      <w:r w:rsidR="009D5AC0" w:rsidRPr="007D0A59">
        <w:t>3</w:t>
      </w:r>
      <w:r w:rsidRPr="007D0A59">
        <w:t>.tabula</w:t>
      </w:r>
    </w:p>
    <w:p w14:paraId="6F6E4587" w14:textId="77777777" w:rsidR="00C02CAA" w:rsidRPr="007D0A59" w:rsidRDefault="00C02CAA" w:rsidP="002A3082">
      <w:pPr>
        <w:tabs>
          <w:tab w:val="left" w:pos="720"/>
        </w:tabs>
        <w:ind w:firstLine="720"/>
        <w:jc w:val="right"/>
        <w:rPr>
          <w:b/>
        </w:rPr>
      </w:pPr>
    </w:p>
    <w:p w14:paraId="746E2E32" w14:textId="77777777" w:rsidR="00C02CAA" w:rsidRPr="007D0A59" w:rsidRDefault="00C02CAA" w:rsidP="005A6D3B">
      <w:pPr>
        <w:jc w:val="center"/>
      </w:pPr>
      <w:r w:rsidRPr="007D0A59">
        <w:rPr>
          <w:b/>
        </w:rPr>
        <w:t>Vidējais darbinieku skaits, kuru prasījumi ir segti no darbinieku prasījumu garantiju fonda, uz uzņēmumu</w:t>
      </w:r>
    </w:p>
    <w:tbl>
      <w:tblPr>
        <w:tblpPr w:leftFromText="180" w:rightFromText="180" w:vertAnchor="text" w:horzAnchor="margin" w:tblpXSpec="center" w:tblpY="242"/>
        <w:tblW w:w="6577" w:type="dxa"/>
        <w:tblLook w:val="0000" w:firstRow="0" w:lastRow="0" w:firstColumn="0" w:lastColumn="0" w:noHBand="0" w:noVBand="0"/>
      </w:tblPr>
      <w:tblGrid>
        <w:gridCol w:w="2421"/>
        <w:gridCol w:w="1403"/>
        <w:gridCol w:w="1390"/>
        <w:gridCol w:w="1363"/>
      </w:tblGrid>
      <w:tr w:rsidR="00C02CAA" w:rsidRPr="001E23E1" w14:paraId="21A800CA" w14:textId="77777777" w:rsidTr="00321BBF">
        <w:trPr>
          <w:trHeight w:val="945"/>
        </w:trPr>
        <w:tc>
          <w:tcPr>
            <w:tcW w:w="2421" w:type="dxa"/>
            <w:tcBorders>
              <w:top w:val="single" w:sz="4" w:space="0" w:color="auto"/>
              <w:left w:val="single" w:sz="4" w:space="0" w:color="auto"/>
              <w:bottom w:val="single" w:sz="4" w:space="0" w:color="auto"/>
              <w:right w:val="single" w:sz="4" w:space="0" w:color="auto"/>
            </w:tcBorders>
            <w:vAlign w:val="center"/>
          </w:tcPr>
          <w:p w14:paraId="41EF3291" w14:textId="77777777" w:rsidR="00C02CAA" w:rsidRPr="00F07CAD" w:rsidRDefault="00C02CAA" w:rsidP="005A6D3B">
            <w:pPr>
              <w:jc w:val="center"/>
              <w:rPr>
                <w:b/>
              </w:rPr>
            </w:pPr>
            <w:r w:rsidRPr="00F07CAD">
              <w:rPr>
                <w:b/>
              </w:rPr>
              <w:t>Maksātnespējas procesa pasludināšanas gads</w:t>
            </w:r>
          </w:p>
        </w:tc>
        <w:tc>
          <w:tcPr>
            <w:tcW w:w="1403" w:type="dxa"/>
            <w:tcBorders>
              <w:top w:val="single" w:sz="4" w:space="0" w:color="auto"/>
              <w:left w:val="nil"/>
              <w:bottom w:val="single" w:sz="4" w:space="0" w:color="auto"/>
              <w:right w:val="single" w:sz="4" w:space="0" w:color="auto"/>
            </w:tcBorders>
            <w:vAlign w:val="center"/>
          </w:tcPr>
          <w:p w14:paraId="1073CF01" w14:textId="77777777" w:rsidR="00C02CAA" w:rsidRPr="00F07CAD" w:rsidRDefault="00C02CAA" w:rsidP="007D0A59">
            <w:pPr>
              <w:jc w:val="center"/>
              <w:rPr>
                <w:b/>
              </w:rPr>
            </w:pPr>
            <w:r w:rsidRPr="00F07CAD">
              <w:rPr>
                <w:b/>
              </w:rPr>
              <w:t>Uzņēmumu skaits</w:t>
            </w:r>
          </w:p>
        </w:tc>
        <w:tc>
          <w:tcPr>
            <w:tcW w:w="1390" w:type="dxa"/>
            <w:tcBorders>
              <w:top w:val="single" w:sz="4" w:space="0" w:color="auto"/>
              <w:left w:val="nil"/>
              <w:bottom w:val="single" w:sz="4" w:space="0" w:color="auto"/>
              <w:right w:val="single" w:sz="4" w:space="0" w:color="auto"/>
            </w:tcBorders>
            <w:vAlign w:val="center"/>
          </w:tcPr>
          <w:p w14:paraId="45D9032C" w14:textId="77777777" w:rsidR="00C02CAA" w:rsidRPr="00F07CAD" w:rsidRDefault="00C02CAA" w:rsidP="007D0A59">
            <w:pPr>
              <w:jc w:val="center"/>
              <w:rPr>
                <w:b/>
              </w:rPr>
            </w:pPr>
            <w:r w:rsidRPr="00F07CAD">
              <w:rPr>
                <w:b/>
              </w:rPr>
              <w:t>Darbinieku skaits</w:t>
            </w:r>
          </w:p>
        </w:tc>
        <w:tc>
          <w:tcPr>
            <w:tcW w:w="1363" w:type="dxa"/>
            <w:tcBorders>
              <w:top w:val="single" w:sz="4" w:space="0" w:color="auto"/>
              <w:left w:val="nil"/>
              <w:bottom w:val="single" w:sz="4" w:space="0" w:color="auto"/>
              <w:right w:val="single" w:sz="4" w:space="0" w:color="auto"/>
            </w:tcBorders>
            <w:vAlign w:val="center"/>
          </w:tcPr>
          <w:p w14:paraId="315B9676" w14:textId="77777777" w:rsidR="00C02CAA" w:rsidRPr="00F07CAD" w:rsidRDefault="00C02CAA" w:rsidP="007D0A59">
            <w:pPr>
              <w:jc w:val="center"/>
              <w:rPr>
                <w:b/>
              </w:rPr>
            </w:pPr>
            <w:r w:rsidRPr="00F07CAD">
              <w:rPr>
                <w:b/>
              </w:rPr>
              <w:t>Vidēji cilvēki uz uzņēmumu</w:t>
            </w:r>
          </w:p>
        </w:tc>
      </w:tr>
      <w:tr w:rsidR="00C02CAA" w:rsidRPr="001E23E1" w14:paraId="174E70F7" w14:textId="77777777" w:rsidTr="00321BBF">
        <w:trPr>
          <w:trHeight w:val="315"/>
        </w:trPr>
        <w:tc>
          <w:tcPr>
            <w:tcW w:w="2421" w:type="dxa"/>
            <w:tcBorders>
              <w:top w:val="nil"/>
              <w:left w:val="single" w:sz="4" w:space="0" w:color="auto"/>
              <w:bottom w:val="single" w:sz="4" w:space="0" w:color="auto"/>
              <w:right w:val="single" w:sz="4" w:space="0" w:color="auto"/>
            </w:tcBorders>
            <w:noWrap/>
            <w:vAlign w:val="bottom"/>
          </w:tcPr>
          <w:p w14:paraId="453309A4" w14:textId="77777777" w:rsidR="00C02CAA" w:rsidRPr="00F07CAD" w:rsidRDefault="00C02CAA" w:rsidP="005A6D3B">
            <w:pPr>
              <w:rPr>
                <w:b/>
              </w:rPr>
            </w:pPr>
            <w:r w:rsidRPr="00F07CAD">
              <w:rPr>
                <w:b/>
              </w:rPr>
              <w:t>2011.gadā</w:t>
            </w:r>
          </w:p>
        </w:tc>
        <w:tc>
          <w:tcPr>
            <w:tcW w:w="1403" w:type="dxa"/>
            <w:tcBorders>
              <w:top w:val="nil"/>
              <w:left w:val="nil"/>
              <w:bottom w:val="single" w:sz="4" w:space="0" w:color="auto"/>
              <w:right w:val="single" w:sz="4" w:space="0" w:color="auto"/>
            </w:tcBorders>
            <w:noWrap/>
            <w:vAlign w:val="bottom"/>
          </w:tcPr>
          <w:p w14:paraId="5205C4A0" w14:textId="77777777" w:rsidR="00C02CAA" w:rsidRPr="001E23E1" w:rsidRDefault="00C02CAA" w:rsidP="007D0A59">
            <w:pPr>
              <w:jc w:val="center"/>
            </w:pPr>
            <w:r w:rsidRPr="001E23E1">
              <w:t>303</w:t>
            </w:r>
          </w:p>
        </w:tc>
        <w:tc>
          <w:tcPr>
            <w:tcW w:w="1390" w:type="dxa"/>
            <w:tcBorders>
              <w:top w:val="nil"/>
              <w:left w:val="nil"/>
              <w:bottom w:val="single" w:sz="4" w:space="0" w:color="auto"/>
              <w:right w:val="single" w:sz="4" w:space="0" w:color="auto"/>
            </w:tcBorders>
            <w:noWrap/>
            <w:vAlign w:val="bottom"/>
          </w:tcPr>
          <w:p w14:paraId="4255051E" w14:textId="77777777" w:rsidR="00C02CAA" w:rsidRPr="001E23E1" w:rsidRDefault="00C02CAA" w:rsidP="007D0A59">
            <w:pPr>
              <w:jc w:val="center"/>
            </w:pPr>
            <w:r w:rsidRPr="001E23E1">
              <w:t>3 870</w:t>
            </w:r>
          </w:p>
        </w:tc>
        <w:tc>
          <w:tcPr>
            <w:tcW w:w="1363" w:type="dxa"/>
            <w:tcBorders>
              <w:top w:val="nil"/>
              <w:left w:val="nil"/>
              <w:bottom w:val="single" w:sz="4" w:space="0" w:color="auto"/>
              <w:right w:val="single" w:sz="4" w:space="0" w:color="auto"/>
            </w:tcBorders>
            <w:noWrap/>
            <w:vAlign w:val="bottom"/>
          </w:tcPr>
          <w:p w14:paraId="52B22551" w14:textId="77777777" w:rsidR="00C02CAA" w:rsidRPr="001E23E1" w:rsidRDefault="00C02CAA" w:rsidP="007D0A59">
            <w:pPr>
              <w:jc w:val="center"/>
            </w:pPr>
            <w:r w:rsidRPr="001E23E1">
              <w:t>13</w:t>
            </w:r>
          </w:p>
        </w:tc>
      </w:tr>
      <w:tr w:rsidR="00C02CAA" w:rsidRPr="001E23E1" w14:paraId="6E8B6296" w14:textId="77777777" w:rsidTr="00321BBF">
        <w:trPr>
          <w:trHeight w:val="315"/>
        </w:trPr>
        <w:tc>
          <w:tcPr>
            <w:tcW w:w="2421" w:type="dxa"/>
            <w:tcBorders>
              <w:top w:val="nil"/>
              <w:left w:val="single" w:sz="4" w:space="0" w:color="auto"/>
              <w:bottom w:val="single" w:sz="4" w:space="0" w:color="auto"/>
              <w:right w:val="single" w:sz="4" w:space="0" w:color="auto"/>
            </w:tcBorders>
            <w:noWrap/>
            <w:vAlign w:val="bottom"/>
          </w:tcPr>
          <w:p w14:paraId="375073B8" w14:textId="77777777" w:rsidR="00C02CAA" w:rsidRPr="00F07CAD" w:rsidRDefault="00C02CAA" w:rsidP="005A6D3B">
            <w:pPr>
              <w:rPr>
                <w:b/>
              </w:rPr>
            </w:pPr>
            <w:r w:rsidRPr="00F07CAD">
              <w:rPr>
                <w:b/>
              </w:rPr>
              <w:t>2012.gadā</w:t>
            </w:r>
          </w:p>
        </w:tc>
        <w:tc>
          <w:tcPr>
            <w:tcW w:w="1403" w:type="dxa"/>
            <w:tcBorders>
              <w:top w:val="nil"/>
              <w:left w:val="nil"/>
              <w:bottom w:val="single" w:sz="4" w:space="0" w:color="auto"/>
              <w:right w:val="single" w:sz="4" w:space="0" w:color="auto"/>
            </w:tcBorders>
            <w:noWrap/>
            <w:vAlign w:val="bottom"/>
          </w:tcPr>
          <w:p w14:paraId="24743855" w14:textId="77777777" w:rsidR="00C02CAA" w:rsidRPr="001E23E1" w:rsidRDefault="00C02CAA" w:rsidP="007D0A59">
            <w:pPr>
              <w:jc w:val="center"/>
            </w:pPr>
            <w:r w:rsidRPr="001E23E1">
              <w:t>172</w:t>
            </w:r>
          </w:p>
        </w:tc>
        <w:tc>
          <w:tcPr>
            <w:tcW w:w="1390" w:type="dxa"/>
            <w:tcBorders>
              <w:top w:val="nil"/>
              <w:left w:val="nil"/>
              <w:bottom w:val="single" w:sz="4" w:space="0" w:color="auto"/>
              <w:right w:val="single" w:sz="4" w:space="0" w:color="auto"/>
            </w:tcBorders>
            <w:noWrap/>
            <w:vAlign w:val="bottom"/>
          </w:tcPr>
          <w:p w14:paraId="19A1CA3B" w14:textId="77777777" w:rsidR="00C02CAA" w:rsidRPr="001E23E1" w:rsidRDefault="00C02CAA" w:rsidP="007D0A59">
            <w:pPr>
              <w:jc w:val="center"/>
            </w:pPr>
            <w:r w:rsidRPr="001E23E1">
              <w:t>2 158</w:t>
            </w:r>
          </w:p>
        </w:tc>
        <w:tc>
          <w:tcPr>
            <w:tcW w:w="1363" w:type="dxa"/>
            <w:tcBorders>
              <w:top w:val="nil"/>
              <w:left w:val="nil"/>
              <w:bottom w:val="single" w:sz="4" w:space="0" w:color="auto"/>
              <w:right w:val="single" w:sz="4" w:space="0" w:color="auto"/>
            </w:tcBorders>
            <w:noWrap/>
            <w:vAlign w:val="bottom"/>
          </w:tcPr>
          <w:p w14:paraId="6ED7F97F" w14:textId="77777777" w:rsidR="00C02CAA" w:rsidRPr="001E23E1" w:rsidRDefault="00C02CAA" w:rsidP="007D0A59">
            <w:pPr>
              <w:jc w:val="center"/>
            </w:pPr>
            <w:r w:rsidRPr="001E23E1">
              <w:t>13</w:t>
            </w:r>
          </w:p>
        </w:tc>
      </w:tr>
      <w:tr w:rsidR="00C02CAA" w:rsidRPr="001E23E1" w14:paraId="74E5FDC7" w14:textId="77777777" w:rsidTr="00321BBF">
        <w:trPr>
          <w:trHeight w:val="315"/>
        </w:trPr>
        <w:tc>
          <w:tcPr>
            <w:tcW w:w="2421" w:type="dxa"/>
            <w:tcBorders>
              <w:top w:val="nil"/>
              <w:left w:val="single" w:sz="4" w:space="0" w:color="auto"/>
              <w:bottom w:val="single" w:sz="4" w:space="0" w:color="auto"/>
              <w:right w:val="single" w:sz="4" w:space="0" w:color="auto"/>
            </w:tcBorders>
            <w:noWrap/>
            <w:vAlign w:val="bottom"/>
          </w:tcPr>
          <w:p w14:paraId="74521298" w14:textId="77777777" w:rsidR="00C02CAA" w:rsidRPr="00F07CAD" w:rsidRDefault="00C02CAA" w:rsidP="005A6D3B">
            <w:pPr>
              <w:rPr>
                <w:b/>
              </w:rPr>
            </w:pPr>
            <w:r w:rsidRPr="00F07CAD">
              <w:rPr>
                <w:b/>
              </w:rPr>
              <w:t>2013.gadā</w:t>
            </w:r>
          </w:p>
        </w:tc>
        <w:tc>
          <w:tcPr>
            <w:tcW w:w="1403" w:type="dxa"/>
            <w:tcBorders>
              <w:top w:val="nil"/>
              <w:left w:val="nil"/>
              <w:bottom w:val="single" w:sz="4" w:space="0" w:color="auto"/>
              <w:right w:val="single" w:sz="4" w:space="0" w:color="auto"/>
            </w:tcBorders>
            <w:noWrap/>
            <w:vAlign w:val="bottom"/>
          </w:tcPr>
          <w:p w14:paraId="0BA04609" w14:textId="77777777" w:rsidR="00C02CAA" w:rsidRPr="001E23E1" w:rsidRDefault="00C02CAA" w:rsidP="007D0A59">
            <w:pPr>
              <w:jc w:val="center"/>
            </w:pPr>
            <w:r w:rsidRPr="001E23E1">
              <w:t>128</w:t>
            </w:r>
          </w:p>
        </w:tc>
        <w:tc>
          <w:tcPr>
            <w:tcW w:w="1390" w:type="dxa"/>
            <w:tcBorders>
              <w:top w:val="nil"/>
              <w:left w:val="nil"/>
              <w:bottom w:val="single" w:sz="4" w:space="0" w:color="auto"/>
              <w:right w:val="single" w:sz="4" w:space="0" w:color="auto"/>
            </w:tcBorders>
            <w:noWrap/>
            <w:vAlign w:val="bottom"/>
          </w:tcPr>
          <w:p w14:paraId="1EAB81A4" w14:textId="77777777" w:rsidR="00C02CAA" w:rsidRPr="001E23E1" w:rsidRDefault="00C02CAA" w:rsidP="007D0A59">
            <w:pPr>
              <w:jc w:val="center"/>
            </w:pPr>
            <w:r w:rsidRPr="001E23E1">
              <w:t>1 418</w:t>
            </w:r>
          </w:p>
        </w:tc>
        <w:tc>
          <w:tcPr>
            <w:tcW w:w="1363" w:type="dxa"/>
            <w:tcBorders>
              <w:top w:val="nil"/>
              <w:left w:val="nil"/>
              <w:bottom w:val="single" w:sz="4" w:space="0" w:color="auto"/>
              <w:right w:val="single" w:sz="4" w:space="0" w:color="auto"/>
            </w:tcBorders>
            <w:noWrap/>
            <w:vAlign w:val="bottom"/>
          </w:tcPr>
          <w:p w14:paraId="34993729" w14:textId="77777777" w:rsidR="00C02CAA" w:rsidRPr="001E23E1" w:rsidRDefault="00C02CAA" w:rsidP="007D0A59">
            <w:pPr>
              <w:jc w:val="center"/>
            </w:pPr>
            <w:r w:rsidRPr="001E23E1">
              <w:t>11</w:t>
            </w:r>
          </w:p>
        </w:tc>
      </w:tr>
      <w:tr w:rsidR="00C02CAA" w:rsidRPr="001E23E1" w14:paraId="39045500" w14:textId="77777777" w:rsidTr="00321BBF">
        <w:trPr>
          <w:trHeight w:val="315"/>
        </w:trPr>
        <w:tc>
          <w:tcPr>
            <w:tcW w:w="2421" w:type="dxa"/>
            <w:tcBorders>
              <w:top w:val="nil"/>
              <w:left w:val="single" w:sz="4" w:space="0" w:color="auto"/>
              <w:bottom w:val="single" w:sz="4" w:space="0" w:color="auto"/>
              <w:right w:val="single" w:sz="4" w:space="0" w:color="auto"/>
            </w:tcBorders>
            <w:noWrap/>
            <w:vAlign w:val="bottom"/>
          </w:tcPr>
          <w:p w14:paraId="3645ABFC" w14:textId="77777777" w:rsidR="00C02CAA" w:rsidRPr="00F07CAD" w:rsidRDefault="00C02CAA" w:rsidP="005A6D3B">
            <w:pPr>
              <w:rPr>
                <w:b/>
              </w:rPr>
            </w:pPr>
            <w:r w:rsidRPr="00F07CAD">
              <w:rPr>
                <w:b/>
              </w:rPr>
              <w:t>2014.gadā</w:t>
            </w:r>
          </w:p>
        </w:tc>
        <w:tc>
          <w:tcPr>
            <w:tcW w:w="1403" w:type="dxa"/>
            <w:tcBorders>
              <w:top w:val="nil"/>
              <w:left w:val="nil"/>
              <w:bottom w:val="single" w:sz="4" w:space="0" w:color="auto"/>
              <w:right w:val="single" w:sz="4" w:space="0" w:color="auto"/>
            </w:tcBorders>
            <w:noWrap/>
            <w:vAlign w:val="bottom"/>
          </w:tcPr>
          <w:p w14:paraId="29E3C395" w14:textId="77777777" w:rsidR="00C02CAA" w:rsidRPr="001E23E1" w:rsidRDefault="00C02CAA" w:rsidP="007D0A59">
            <w:pPr>
              <w:jc w:val="center"/>
            </w:pPr>
            <w:r w:rsidRPr="001E23E1">
              <w:t>111</w:t>
            </w:r>
          </w:p>
        </w:tc>
        <w:tc>
          <w:tcPr>
            <w:tcW w:w="1390" w:type="dxa"/>
            <w:tcBorders>
              <w:top w:val="nil"/>
              <w:left w:val="nil"/>
              <w:bottom w:val="single" w:sz="4" w:space="0" w:color="auto"/>
              <w:right w:val="single" w:sz="4" w:space="0" w:color="auto"/>
            </w:tcBorders>
            <w:noWrap/>
            <w:vAlign w:val="bottom"/>
          </w:tcPr>
          <w:p w14:paraId="21D2E739" w14:textId="77777777" w:rsidR="00C02CAA" w:rsidRPr="001E23E1" w:rsidRDefault="00C02CAA" w:rsidP="007D0A59">
            <w:pPr>
              <w:jc w:val="center"/>
            </w:pPr>
            <w:r w:rsidRPr="001E23E1">
              <w:t>3 590</w:t>
            </w:r>
          </w:p>
        </w:tc>
        <w:tc>
          <w:tcPr>
            <w:tcW w:w="1363" w:type="dxa"/>
            <w:tcBorders>
              <w:top w:val="nil"/>
              <w:left w:val="nil"/>
              <w:bottom w:val="single" w:sz="4" w:space="0" w:color="auto"/>
              <w:right w:val="single" w:sz="4" w:space="0" w:color="auto"/>
            </w:tcBorders>
            <w:noWrap/>
            <w:vAlign w:val="bottom"/>
          </w:tcPr>
          <w:p w14:paraId="32FD431C" w14:textId="77777777" w:rsidR="00C02CAA" w:rsidRPr="001E23E1" w:rsidRDefault="00C02CAA" w:rsidP="007D0A59">
            <w:pPr>
              <w:jc w:val="center"/>
            </w:pPr>
            <w:r w:rsidRPr="001E23E1">
              <w:t>32</w:t>
            </w:r>
          </w:p>
        </w:tc>
      </w:tr>
      <w:tr w:rsidR="00321BBF" w:rsidRPr="001E23E1" w14:paraId="6805C70F" w14:textId="77777777" w:rsidTr="00321BBF">
        <w:trPr>
          <w:trHeight w:val="315"/>
        </w:trPr>
        <w:tc>
          <w:tcPr>
            <w:tcW w:w="2421" w:type="dxa"/>
            <w:tcBorders>
              <w:top w:val="nil"/>
              <w:left w:val="single" w:sz="4" w:space="0" w:color="auto"/>
              <w:bottom w:val="single" w:sz="4" w:space="0" w:color="auto"/>
              <w:right w:val="single" w:sz="4" w:space="0" w:color="auto"/>
            </w:tcBorders>
            <w:noWrap/>
            <w:vAlign w:val="bottom"/>
          </w:tcPr>
          <w:p w14:paraId="763DB3F1" w14:textId="77777777" w:rsidR="00321BBF" w:rsidRPr="00F07CAD" w:rsidRDefault="00321BBF" w:rsidP="005A6D3B">
            <w:pPr>
              <w:rPr>
                <w:b/>
              </w:rPr>
            </w:pPr>
            <w:r>
              <w:rPr>
                <w:b/>
              </w:rPr>
              <w:t>2015.gads</w:t>
            </w:r>
          </w:p>
        </w:tc>
        <w:tc>
          <w:tcPr>
            <w:tcW w:w="1403" w:type="dxa"/>
            <w:tcBorders>
              <w:top w:val="nil"/>
              <w:left w:val="nil"/>
              <w:bottom w:val="single" w:sz="4" w:space="0" w:color="auto"/>
              <w:right w:val="single" w:sz="4" w:space="0" w:color="auto"/>
            </w:tcBorders>
            <w:noWrap/>
            <w:vAlign w:val="bottom"/>
          </w:tcPr>
          <w:p w14:paraId="382D27AD" w14:textId="77777777" w:rsidR="00321BBF" w:rsidRPr="001E23E1" w:rsidRDefault="00321BBF" w:rsidP="007D0A59">
            <w:pPr>
              <w:jc w:val="center"/>
            </w:pPr>
            <w:r>
              <w:t>108</w:t>
            </w:r>
          </w:p>
        </w:tc>
        <w:tc>
          <w:tcPr>
            <w:tcW w:w="1390" w:type="dxa"/>
            <w:tcBorders>
              <w:top w:val="nil"/>
              <w:left w:val="nil"/>
              <w:bottom w:val="single" w:sz="4" w:space="0" w:color="auto"/>
              <w:right w:val="single" w:sz="4" w:space="0" w:color="auto"/>
            </w:tcBorders>
            <w:noWrap/>
            <w:vAlign w:val="bottom"/>
          </w:tcPr>
          <w:p w14:paraId="3757ECE4" w14:textId="77777777" w:rsidR="00321BBF" w:rsidRPr="001E23E1" w:rsidRDefault="00321BBF" w:rsidP="007D0A59">
            <w:pPr>
              <w:jc w:val="center"/>
            </w:pPr>
            <w:r>
              <w:t>1432</w:t>
            </w:r>
          </w:p>
        </w:tc>
        <w:tc>
          <w:tcPr>
            <w:tcW w:w="1363" w:type="dxa"/>
            <w:tcBorders>
              <w:top w:val="nil"/>
              <w:left w:val="nil"/>
              <w:bottom w:val="single" w:sz="4" w:space="0" w:color="auto"/>
              <w:right w:val="single" w:sz="4" w:space="0" w:color="auto"/>
            </w:tcBorders>
            <w:noWrap/>
            <w:vAlign w:val="bottom"/>
          </w:tcPr>
          <w:p w14:paraId="4327C6E3" w14:textId="77777777" w:rsidR="00321BBF" w:rsidRPr="001E23E1" w:rsidRDefault="00321BBF" w:rsidP="007D0A59">
            <w:pPr>
              <w:jc w:val="center"/>
            </w:pPr>
            <w:r>
              <w:t>16</w:t>
            </w:r>
          </w:p>
        </w:tc>
      </w:tr>
      <w:tr w:rsidR="00C02CAA" w:rsidRPr="001E23E1" w14:paraId="4BD115C4" w14:textId="77777777" w:rsidTr="00321BBF">
        <w:trPr>
          <w:trHeight w:val="315"/>
        </w:trPr>
        <w:tc>
          <w:tcPr>
            <w:tcW w:w="2421" w:type="dxa"/>
            <w:tcBorders>
              <w:top w:val="nil"/>
              <w:left w:val="single" w:sz="4" w:space="0" w:color="auto"/>
              <w:bottom w:val="single" w:sz="4" w:space="0" w:color="auto"/>
              <w:right w:val="single" w:sz="4" w:space="0" w:color="auto"/>
            </w:tcBorders>
            <w:noWrap/>
            <w:vAlign w:val="bottom"/>
          </w:tcPr>
          <w:p w14:paraId="40B26710" w14:textId="77777777" w:rsidR="00C02CAA" w:rsidRPr="00F07CAD" w:rsidRDefault="00C02CAA" w:rsidP="005A6D3B">
            <w:pPr>
              <w:jc w:val="right"/>
              <w:rPr>
                <w:b/>
              </w:rPr>
            </w:pPr>
            <w:r w:rsidRPr="00F07CAD">
              <w:rPr>
                <w:b/>
              </w:rPr>
              <w:t>Kopā:</w:t>
            </w:r>
          </w:p>
        </w:tc>
        <w:tc>
          <w:tcPr>
            <w:tcW w:w="1403" w:type="dxa"/>
            <w:tcBorders>
              <w:top w:val="nil"/>
              <w:left w:val="nil"/>
              <w:bottom w:val="single" w:sz="4" w:space="0" w:color="auto"/>
              <w:right w:val="single" w:sz="4" w:space="0" w:color="auto"/>
            </w:tcBorders>
            <w:noWrap/>
            <w:vAlign w:val="bottom"/>
          </w:tcPr>
          <w:p w14:paraId="172897C6" w14:textId="77777777" w:rsidR="00C02CAA" w:rsidRPr="001E23E1" w:rsidRDefault="00321BBF" w:rsidP="007D0A59">
            <w:pPr>
              <w:jc w:val="center"/>
            </w:pPr>
            <w:r>
              <w:t>822</w:t>
            </w:r>
          </w:p>
        </w:tc>
        <w:tc>
          <w:tcPr>
            <w:tcW w:w="1390" w:type="dxa"/>
            <w:tcBorders>
              <w:top w:val="nil"/>
              <w:left w:val="nil"/>
              <w:bottom w:val="single" w:sz="4" w:space="0" w:color="auto"/>
              <w:right w:val="single" w:sz="4" w:space="0" w:color="auto"/>
            </w:tcBorders>
            <w:noWrap/>
            <w:vAlign w:val="bottom"/>
          </w:tcPr>
          <w:p w14:paraId="0B533AEF" w14:textId="77777777" w:rsidR="00C02CAA" w:rsidRPr="001E23E1" w:rsidRDefault="00321BBF" w:rsidP="007D0A59">
            <w:pPr>
              <w:jc w:val="center"/>
            </w:pPr>
            <w:r>
              <w:t>12 468</w:t>
            </w:r>
          </w:p>
        </w:tc>
        <w:tc>
          <w:tcPr>
            <w:tcW w:w="1363" w:type="dxa"/>
            <w:tcBorders>
              <w:top w:val="nil"/>
              <w:left w:val="nil"/>
              <w:bottom w:val="single" w:sz="4" w:space="0" w:color="auto"/>
              <w:right w:val="single" w:sz="4" w:space="0" w:color="auto"/>
            </w:tcBorders>
            <w:noWrap/>
            <w:vAlign w:val="bottom"/>
          </w:tcPr>
          <w:p w14:paraId="1308988D" w14:textId="77777777" w:rsidR="00C02CAA" w:rsidRPr="001E23E1" w:rsidRDefault="00C02CAA" w:rsidP="007D0A59">
            <w:pPr>
              <w:jc w:val="center"/>
            </w:pPr>
            <w:r w:rsidRPr="001E23E1">
              <w:t>1</w:t>
            </w:r>
            <w:r w:rsidR="00D869A3">
              <w:t>7</w:t>
            </w:r>
          </w:p>
        </w:tc>
      </w:tr>
    </w:tbl>
    <w:p w14:paraId="2F3CD10D" w14:textId="77777777" w:rsidR="005A6D3B" w:rsidRDefault="005A6D3B" w:rsidP="005A6D3B">
      <w:pPr>
        <w:tabs>
          <w:tab w:val="left" w:pos="720"/>
        </w:tabs>
        <w:ind w:firstLine="720"/>
        <w:jc w:val="both"/>
        <w:rPr>
          <w:sz w:val="28"/>
          <w:szCs w:val="28"/>
        </w:rPr>
      </w:pPr>
    </w:p>
    <w:p w14:paraId="4B2CB930" w14:textId="77777777" w:rsidR="005A6D3B" w:rsidRDefault="005A6D3B" w:rsidP="005A6D3B">
      <w:pPr>
        <w:tabs>
          <w:tab w:val="left" w:pos="720"/>
        </w:tabs>
        <w:ind w:firstLine="720"/>
        <w:jc w:val="both"/>
        <w:rPr>
          <w:sz w:val="28"/>
          <w:szCs w:val="28"/>
        </w:rPr>
      </w:pPr>
    </w:p>
    <w:p w14:paraId="0DC93BA2" w14:textId="77777777" w:rsidR="005A6D3B" w:rsidRDefault="005A6D3B" w:rsidP="005A6D3B">
      <w:pPr>
        <w:tabs>
          <w:tab w:val="left" w:pos="720"/>
        </w:tabs>
        <w:ind w:firstLine="720"/>
        <w:jc w:val="both"/>
        <w:rPr>
          <w:sz w:val="28"/>
          <w:szCs w:val="28"/>
        </w:rPr>
      </w:pPr>
    </w:p>
    <w:p w14:paraId="7C017D7B" w14:textId="77777777" w:rsidR="005A6D3B" w:rsidRDefault="005A6D3B" w:rsidP="005A6D3B">
      <w:pPr>
        <w:tabs>
          <w:tab w:val="left" w:pos="720"/>
        </w:tabs>
        <w:ind w:firstLine="720"/>
        <w:jc w:val="both"/>
        <w:rPr>
          <w:sz w:val="28"/>
          <w:szCs w:val="28"/>
        </w:rPr>
      </w:pPr>
    </w:p>
    <w:p w14:paraId="6037CA66" w14:textId="77777777" w:rsidR="005A6D3B" w:rsidRDefault="005A6D3B" w:rsidP="005A6D3B">
      <w:pPr>
        <w:tabs>
          <w:tab w:val="left" w:pos="720"/>
        </w:tabs>
        <w:ind w:firstLine="720"/>
        <w:jc w:val="both"/>
        <w:rPr>
          <w:sz w:val="28"/>
          <w:szCs w:val="28"/>
        </w:rPr>
      </w:pPr>
    </w:p>
    <w:p w14:paraId="575C887D" w14:textId="77777777" w:rsidR="005A6D3B" w:rsidRDefault="005A6D3B" w:rsidP="005A6D3B">
      <w:pPr>
        <w:tabs>
          <w:tab w:val="left" w:pos="720"/>
        </w:tabs>
        <w:ind w:firstLine="720"/>
        <w:jc w:val="both"/>
        <w:rPr>
          <w:sz w:val="28"/>
          <w:szCs w:val="28"/>
        </w:rPr>
      </w:pPr>
    </w:p>
    <w:p w14:paraId="13ED10A9" w14:textId="77777777" w:rsidR="005A6D3B" w:rsidRDefault="005A6D3B" w:rsidP="005A6D3B">
      <w:pPr>
        <w:tabs>
          <w:tab w:val="left" w:pos="720"/>
        </w:tabs>
        <w:ind w:firstLine="720"/>
        <w:jc w:val="both"/>
        <w:rPr>
          <w:sz w:val="28"/>
          <w:szCs w:val="28"/>
        </w:rPr>
      </w:pPr>
    </w:p>
    <w:p w14:paraId="08A4D06E" w14:textId="77777777" w:rsidR="005A6D3B" w:rsidRDefault="005A6D3B" w:rsidP="005A6D3B">
      <w:pPr>
        <w:tabs>
          <w:tab w:val="left" w:pos="720"/>
        </w:tabs>
        <w:ind w:firstLine="720"/>
        <w:jc w:val="both"/>
        <w:rPr>
          <w:sz w:val="28"/>
          <w:szCs w:val="28"/>
        </w:rPr>
      </w:pPr>
    </w:p>
    <w:p w14:paraId="35DCC5CE" w14:textId="77777777" w:rsidR="005A6D3B" w:rsidRDefault="005A6D3B" w:rsidP="005A6D3B">
      <w:pPr>
        <w:tabs>
          <w:tab w:val="left" w:pos="720"/>
        </w:tabs>
        <w:ind w:firstLine="720"/>
        <w:jc w:val="both"/>
        <w:rPr>
          <w:sz w:val="28"/>
          <w:szCs w:val="28"/>
        </w:rPr>
      </w:pPr>
    </w:p>
    <w:p w14:paraId="719D525D" w14:textId="77777777" w:rsidR="005A6D3B" w:rsidRDefault="005A6D3B" w:rsidP="005A6D3B">
      <w:pPr>
        <w:tabs>
          <w:tab w:val="left" w:pos="720"/>
        </w:tabs>
        <w:ind w:firstLine="720"/>
        <w:jc w:val="both"/>
        <w:rPr>
          <w:sz w:val="28"/>
          <w:szCs w:val="28"/>
        </w:rPr>
      </w:pPr>
    </w:p>
    <w:p w14:paraId="3B6DB485" w14:textId="77777777" w:rsidR="005A6D3B" w:rsidRDefault="005A6D3B" w:rsidP="005A6D3B">
      <w:pPr>
        <w:tabs>
          <w:tab w:val="left" w:pos="720"/>
        </w:tabs>
        <w:ind w:firstLine="720"/>
        <w:jc w:val="both"/>
        <w:rPr>
          <w:sz w:val="28"/>
          <w:szCs w:val="28"/>
        </w:rPr>
      </w:pPr>
    </w:p>
    <w:p w14:paraId="7AB31A2B" w14:textId="77777777" w:rsidR="00C02CAA" w:rsidRPr="007D0A59" w:rsidRDefault="00C02CAA" w:rsidP="005A6D3B">
      <w:pPr>
        <w:tabs>
          <w:tab w:val="left" w:pos="720"/>
        </w:tabs>
        <w:ind w:firstLine="720"/>
        <w:jc w:val="both"/>
      </w:pPr>
      <w:r w:rsidRPr="007D0A59">
        <w:t xml:space="preserve">Ņemot vērā vidējo darbinieku skaitu </w:t>
      </w:r>
      <w:r w:rsidR="00EC7843" w:rsidRPr="007D0A59">
        <w:t>vienā uzņēmumā</w:t>
      </w:r>
      <w:r w:rsidRPr="007D0A59">
        <w:t>,</w:t>
      </w:r>
      <w:r w:rsidR="00C12B57" w:rsidRPr="007D0A59">
        <w:t xml:space="preserve"> </w:t>
      </w:r>
      <w:r w:rsidRPr="007D0A59">
        <w:t>ir iespējams noteikt plānoto darbinieku skaitu, kuriem jāsedz darbinieku prasījumi no darbinieku prasījumu garantiju fonda, bet ir nepieciešams precizēt</w:t>
      </w:r>
      <w:r w:rsidR="00C12B57" w:rsidRPr="007D0A59">
        <w:t xml:space="preserve"> </w:t>
      </w:r>
      <w:r w:rsidRPr="007D0A59">
        <w:t>vidējo sedzamo summu uz vienu darbinieku (skatīt 2</w:t>
      </w:r>
      <w:r w:rsidR="009D5AC0" w:rsidRPr="007D0A59">
        <w:t>4</w:t>
      </w:r>
      <w:r w:rsidRPr="007D0A59">
        <w:t>.tabulu), ņemot vērā maksātnespējas procesa pasludināšanas gadu.</w:t>
      </w:r>
    </w:p>
    <w:p w14:paraId="43FFEB3E" w14:textId="77777777" w:rsidR="00C02CAA" w:rsidRDefault="00C02CAA" w:rsidP="00940E77">
      <w:pPr>
        <w:tabs>
          <w:tab w:val="left" w:pos="720"/>
        </w:tabs>
        <w:jc w:val="right"/>
        <w:rPr>
          <w:b/>
          <w:sz w:val="28"/>
          <w:szCs w:val="28"/>
        </w:rPr>
      </w:pPr>
    </w:p>
    <w:p w14:paraId="4BF07AAC" w14:textId="77777777" w:rsidR="00C02CAA" w:rsidRPr="007D0A59" w:rsidRDefault="00C02CAA" w:rsidP="00940E77">
      <w:pPr>
        <w:tabs>
          <w:tab w:val="left" w:pos="720"/>
        </w:tabs>
        <w:jc w:val="right"/>
      </w:pPr>
      <w:r w:rsidRPr="007D0A59">
        <w:t>2</w:t>
      </w:r>
      <w:r w:rsidR="009D5AC0" w:rsidRPr="007D0A59">
        <w:t>4</w:t>
      </w:r>
      <w:r w:rsidRPr="007D0A59">
        <w:t>.tabula</w:t>
      </w:r>
    </w:p>
    <w:p w14:paraId="639EE775" w14:textId="77777777" w:rsidR="00C02CAA" w:rsidRPr="007D0A59" w:rsidRDefault="00C02CAA" w:rsidP="00940E77">
      <w:pPr>
        <w:tabs>
          <w:tab w:val="left" w:pos="720"/>
        </w:tabs>
        <w:jc w:val="right"/>
        <w:rPr>
          <w:b/>
        </w:rPr>
      </w:pPr>
    </w:p>
    <w:p w14:paraId="62225E93" w14:textId="77777777" w:rsidR="00C02CAA" w:rsidRPr="007D0A59" w:rsidRDefault="00C02CAA" w:rsidP="009A173D">
      <w:pPr>
        <w:jc w:val="center"/>
        <w:rPr>
          <w:b/>
        </w:rPr>
      </w:pPr>
      <w:r w:rsidRPr="007D0A59">
        <w:rPr>
          <w:b/>
        </w:rPr>
        <w:t>Darbiniekam vidēji izmaksājamā summa atkarībā no maksātnespējas procesa pasludināšanas gada</w:t>
      </w:r>
    </w:p>
    <w:p w14:paraId="5B931CE5" w14:textId="77777777" w:rsidR="00C02CAA" w:rsidRDefault="00C02CAA" w:rsidP="009A173D">
      <w:pPr>
        <w:jc w:val="center"/>
        <w:rPr>
          <w:b/>
          <w:sz w:val="28"/>
          <w:szCs w:val="28"/>
        </w:rPr>
      </w:pPr>
    </w:p>
    <w:tbl>
      <w:tblPr>
        <w:tblW w:w="10200" w:type="dxa"/>
        <w:jc w:val="center"/>
        <w:tblLook w:val="04A0" w:firstRow="1" w:lastRow="0" w:firstColumn="1" w:lastColumn="0" w:noHBand="0" w:noVBand="1"/>
      </w:tblPr>
      <w:tblGrid>
        <w:gridCol w:w="2440"/>
        <w:gridCol w:w="1160"/>
        <w:gridCol w:w="1120"/>
        <w:gridCol w:w="1060"/>
        <w:gridCol w:w="880"/>
        <w:gridCol w:w="920"/>
        <w:gridCol w:w="940"/>
        <w:gridCol w:w="880"/>
        <w:gridCol w:w="800"/>
      </w:tblGrid>
      <w:tr w:rsidR="002D16D6" w14:paraId="5B98980A" w14:textId="77777777" w:rsidTr="007D0A59">
        <w:trPr>
          <w:trHeight w:val="51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861D2" w14:textId="77777777" w:rsidR="002D16D6" w:rsidRDefault="002D16D6">
            <w:pPr>
              <w:rPr>
                <w:sz w:val="20"/>
                <w:szCs w:val="20"/>
              </w:rPr>
            </w:pPr>
            <w:r>
              <w:rPr>
                <w:sz w:val="20"/>
                <w:szCs w:val="20"/>
              </w:rPr>
              <w:t>Maksātnespējas procesa pasludināšanas gads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35D8CF4" w14:textId="77777777" w:rsidR="002D16D6" w:rsidRDefault="002D16D6" w:rsidP="007D0A59">
            <w:pPr>
              <w:jc w:val="center"/>
              <w:rPr>
                <w:sz w:val="20"/>
                <w:szCs w:val="20"/>
              </w:rPr>
            </w:pPr>
            <w:r>
              <w:rPr>
                <w:sz w:val="20"/>
                <w:szCs w:val="20"/>
              </w:rPr>
              <w:t>2012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6F55A6A" w14:textId="77777777" w:rsidR="002D16D6" w:rsidRDefault="002D16D6" w:rsidP="007D0A59">
            <w:pPr>
              <w:jc w:val="center"/>
              <w:rPr>
                <w:sz w:val="20"/>
                <w:szCs w:val="20"/>
              </w:rPr>
            </w:pPr>
            <w:r>
              <w:rPr>
                <w:sz w:val="20"/>
                <w:szCs w:val="20"/>
              </w:rPr>
              <w:t>2013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D9A4BF4" w14:textId="77777777" w:rsidR="002D16D6" w:rsidRDefault="002D16D6" w:rsidP="007D0A59">
            <w:pPr>
              <w:jc w:val="center"/>
              <w:rPr>
                <w:sz w:val="20"/>
                <w:szCs w:val="20"/>
              </w:rPr>
            </w:pPr>
            <w:r>
              <w:rPr>
                <w:sz w:val="20"/>
                <w:szCs w:val="20"/>
              </w:rPr>
              <w:t>2014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360B95E" w14:textId="77777777" w:rsidR="002D16D6" w:rsidRDefault="002D16D6" w:rsidP="007D0A59">
            <w:pPr>
              <w:jc w:val="center"/>
              <w:rPr>
                <w:sz w:val="20"/>
                <w:szCs w:val="20"/>
              </w:rPr>
            </w:pPr>
            <w:r>
              <w:rPr>
                <w:sz w:val="20"/>
                <w:szCs w:val="20"/>
              </w:rPr>
              <w:t>2015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0B409F1" w14:textId="77777777" w:rsidR="002D16D6" w:rsidRDefault="002D16D6" w:rsidP="007D0A59">
            <w:pPr>
              <w:jc w:val="center"/>
              <w:rPr>
                <w:sz w:val="20"/>
                <w:szCs w:val="20"/>
              </w:rPr>
            </w:pPr>
            <w:r>
              <w:rPr>
                <w:sz w:val="20"/>
                <w:szCs w:val="20"/>
              </w:rPr>
              <w:t>2016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5EE1E46" w14:textId="77777777" w:rsidR="002D16D6" w:rsidRDefault="002D16D6" w:rsidP="007D0A59">
            <w:pPr>
              <w:jc w:val="center"/>
              <w:rPr>
                <w:sz w:val="20"/>
                <w:szCs w:val="20"/>
              </w:rPr>
            </w:pPr>
            <w:r>
              <w:rPr>
                <w:sz w:val="20"/>
                <w:szCs w:val="20"/>
              </w:rPr>
              <w:t>2017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B0C0DFE" w14:textId="77777777" w:rsidR="002D16D6" w:rsidRDefault="002D16D6" w:rsidP="007D0A59">
            <w:pPr>
              <w:jc w:val="center"/>
              <w:rPr>
                <w:sz w:val="20"/>
                <w:szCs w:val="20"/>
              </w:rPr>
            </w:pPr>
            <w:r>
              <w:rPr>
                <w:sz w:val="20"/>
                <w:szCs w:val="20"/>
              </w:rPr>
              <w:t>2018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8818358" w14:textId="77777777" w:rsidR="002D16D6" w:rsidRDefault="002D16D6" w:rsidP="007D0A59">
            <w:pPr>
              <w:jc w:val="center"/>
              <w:rPr>
                <w:sz w:val="20"/>
                <w:szCs w:val="20"/>
              </w:rPr>
            </w:pPr>
            <w:r>
              <w:rPr>
                <w:sz w:val="20"/>
                <w:szCs w:val="20"/>
              </w:rPr>
              <w:t>2019</w:t>
            </w:r>
          </w:p>
        </w:tc>
      </w:tr>
      <w:tr w:rsidR="002D16D6" w14:paraId="58520F05" w14:textId="77777777" w:rsidTr="007D0A59">
        <w:trPr>
          <w:trHeight w:val="510"/>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080DA602" w14:textId="77777777" w:rsidR="002D16D6" w:rsidRDefault="002D16D6">
            <w:pPr>
              <w:rPr>
                <w:sz w:val="20"/>
                <w:szCs w:val="20"/>
              </w:rPr>
            </w:pPr>
            <w:r>
              <w:rPr>
                <w:sz w:val="20"/>
                <w:szCs w:val="20"/>
              </w:rPr>
              <w:t xml:space="preserve">Vidējā summa uz cilvēku, </w:t>
            </w:r>
            <w:r>
              <w:rPr>
                <w:i/>
                <w:iCs/>
                <w:sz w:val="20"/>
                <w:szCs w:val="20"/>
              </w:rPr>
              <w:t>euro</w:t>
            </w:r>
          </w:p>
        </w:tc>
        <w:tc>
          <w:tcPr>
            <w:tcW w:w="1160" w:type="dxa"/>
            <w:tcBorders>
              <w:top w:val="nil"/>
              <w:left w:val="nil"/>
              <w:bottom w:val="single" w:sz="4" w:space="0" w:color="auto"/>
              <w:right w:val="single" w:sz="4" w:space="0" w:color="auto"/>
            </w:tcBorders>
            <w:shd w:val="clear" w:color="auto" w:fill="auto"/>
            <w:noWrap/>
            <w:vAlign w:val="center"/>
            <w:hideMark/>
          </w:tcPr>
          <w:p w14:paraId="0EA63D32" w14:textId="77777777" w:rsidR="002D16D6" w:rsidRDefault="002D16D6" w:rsidP="007D0A59">
            <w:pPr>
              <w:jc w:val="center"/>
              <w:rPr>
                <w:sz w:val="20"/>
                <w:szCs w:val="20"/>
              </w:rPr>
            </w:pPr>
            <w:r>
              <w:rPr>
                <w:sz w:val="20"/>
                <w:szCs w:val="20"/>
              </w:rPr>
              <w:t>674</w:t>
            </w:r>
          </w:p>
        </w:tc>
        <w:tc>
          <w:tcPr>
            <w:tcW w:w="1120" w:type="dxa"/>
            <w:tcBorders>
              <w:top w:val="nil"/>
              <w:left w:val="nil"/>
              <w:bottom w:val="single" w:sz="4" w:space="0" w:color="auto"/>
              <w:right w:val="single" w:sz="4" w:space="0" w:color="auto"/>
            </w:tcBorders>
            <w:shd w:val="clear" w:color="auto" w:fill="auto"/>
            <w:noWrap/>
            <w:vAlign w:val="center"/>
            <w:hideMark/>
          </w:tcPr>
          <w:p w14:paraId="1A866FEC" w14:textId="77777777" w:rsidR="002D16D6" w:rsidRDefault="002D16D6" w:rsidP="007D0A59">
            <w:pPr>
              <w:jc w:val="center"/>
              <w:rPr>
                <w:sz w:val="20"/>
                <w:szCs w:val="20"/>
              </w:rPr>
            </w:pPr>
            <w:r>
              <w:rPr>
                <w:sz w:val="20"/>
                <w:szCs w:val="20"/>
              </w:rPr>
              <w:t>740</w:t>
            </w:r>
          </w:p>
        </w:tc>
        <w:tc>
          <w:tcPr>
            <w:tcW w:w="1060" w:type="dxa"/>
            <w:tcBorders>
              <w:top w:val="nil"/>
              <w:left w:val="nil"/>
              <w:bottom w:val="single" w:sz="4" w:space="0" w:color="auto"/>
              <w:right w:val="single" w:sz="4" w:space="0" w:color="auto"/>
            </w:tcBorders>
            <w:shd w:val="clear" w:color="auto" w:fill="auto"/>
            <w:noWrap/>
            <w:vAlign w:val="center"/>
            <w:hideMark/>
          </w:tcPr>
          <w:p w14:paraId="32807286" w14:textId="77777777" w:rsidR="002D16D6" w:rsidRDefault="002D16D6" w:rsidP="007D0A59">
            <w:pPr>
              <w:jc w:val="center"/>
              <w:rPr>
                <w:sz w:val="20"/>
                <w:szCs w:val="20"/>
              </w:rPr>
            </w:pPr>
            <w:r>
              <w:rPr>
                <w:sz w:val="20"/>
                <w:szCs w:val="20"/>
              </w:rPr>
              <w:t>742</w:t>
            </w:r>
          </w:p>
        </w:tc>
        <w:tc>
          <w:tcPr>
            <w:tcW w:w="880" w:type="dxa"/>
            <w:tcBorders>
              <w:top w:val="nil"/>
              <w:left w:val="nil"/>
              <w:bottom w:val="single" w:sz="4" w:space="0" w:color="auto"/>
              <w:right w:val="single" w:sz="4" w:space="0" w:color="auto"/>
            </w:tcBorders>
            <w:shd w:val="clear" w:color="auto" w:fill="auto"/>
            <w:noWrap/>
            <w:vAlign w:val="center"/>
            <w:hideMark/>
          </w:tcPr>
          <w:p w14:paraId="04B64497" w14:textId="77777777" w:rsidR="002D16D6" w:rsidRDefault="002D16D6" w:rsidP="007D0A59">
            <w:pPr>
              <w:jc w:val="center"/>
              <w:rPr>
                <w:sz w:val="20"/>
                <w:szCs w:val="20"/>
              </w:rPr>
            </w:pPr>
            <w:r>
              <w:rPr>
                <w:sz w:val="20"/>
                <w:szCs w:val="20"/>
              </w:rPr>
              <w:t>809</w:t>
            </w:r>
          </w:p>
        </w:tc>
        <w:tc>
          <w:tcPr>
            <w:tcW w:w="920" w:type="dxa"/>
            <w:tcBorders>
              <w:top w:val="nil"/>
              <w:left w:val="nil"/>
              <w:bottom w:val="single" w:sz="4" w:space="0" w:color="auto"/>
              <w:right w:val="single" w:sz="4" w:space="0" w:color="auto"/>
            </w:tcBorders>
            <w:shd w:val="clear" w:color="auto" w:fill="auto"/>
            <w:noWrap/>
            <w:vAlign w:val="center"/>
            <w:hideMark/>
          </w:tcPr>
          <w:p w14:paraId="5F721A63" w14:textId="77777777" w:rsidR="002D16D6" w:rsidRDefault="004E6650" w:rsidP="007D0A59">
            <w:pPr>
              <w:jc w:val="center"/>
              <w:rPr>
                <w:sz w:val="20"/>
                <w:szCs w:val="20"/>
              </w:rPr>
            </w:pPr>
            <w:r>
              <w:rPr>
                <w:sz w:val="20"/>
                <w:szCs w:val="20"/>
              </w:rPr>
              <w:t>882</w:t>
            </w:r>
          </w:p>
        </w:tc>
        <w:tc>
          <w:tcPr>
            <w:tcW w:w="940" w:type="dxa"/>
            <w:tcBorders>
              <w:top w:val="nil"/>
              <w:left w:val="nil"/>
              <w:bottom w:val="single" w:sz="4" w:space="0" w:color="auto"/>
              <w:right w:val="single" w:sz="4" w:space="0" w:color="auto"/>
            </w:tcBorders>
            <w:shd w:val="clear" w:color="auto" w:fill="auto"/>
            <w:noWrap/>
            <w:vAlign w:val="center"/>
            <w:hideMark/>
          </w:tcPr>
          <w:p w14:paraId="376B3762" w14:textId="77777777" w:rsidR="002D16D6" w:rsidRDefault="004E6650" w:rsidP="007D0A59">
            <w:pPr>
              <w:jc w:val="center"/>
              <w:rPr>
                <w:sz w:val="20"/>
                <w:szCs w:val="20"/>
              </w:rPr>
            </w:pPr>
            <w:r>
              <w:rPr>
                <w:sz w:val="20"/>
                <w:szCs w:val="20"/>
              </w:rPr>
              <w:t>962</w:t>
            </w:r>
          </w:p>
        </w:tc>
        <w:tc>
          <w:tcPr>
            <w:tcW w:w="880" w:type="dxa"/>
            <w:tcBorders>
              <w:top w:val="nil"/>
              <w:left w:val="nil"/>
              <w:bottom w:val="single" w:sz="4" w:space="0" w:color="auto"/>
              <w:right w:val="single" w:sz="4" w:space="0" w:color="auto"/>
            </w:tcBorders>
            <w:shd w:val="clear" w:color="auto" w:fill="auto"/>
            <w:noWrap/>
            <w:vAlign w:val="center"/>
            <w:hideMark/>
          </w:tcPr>
          <w:p w14:paraId="27388844" w14:textId="77777777" w:rsidR="002D16D6" w:rsidRDefault="002D16D6" w:rsidP="007D0A59">
            <w:pPr>
              <w:jc w:val="center"/>
              <w:rPr>
                <w:sz w:val="20"/>
                <w:szCs w:val="20"/>
              </w:rPr>
            </w:pPr>
            <w:r>
              <w:rPr>
                <w:sz w:val="20"/>
                <w:szCs w:val="20"/>
              </w:rPr>
              <w:t>1</w:t>
            </w:r>
            <w:r w:rsidR="004E6650">
              <w:rPr>
                <w:sz w:val="20"/>
                <w:szCs w:val="20"/>
              </w:rPr>
              <w:t>049</w:t>
            </w:r>
          </w:p>
        </w:tc>
        <w:tc>
          <w:tcPr>
            <w:tcW w:w="800" w:type="dxa"/>
            <w:tcBorders>
              <w:top w:val="nil"/>
              <w:left w:val="nil"/>
              <w:bottom w:val="single" w:sz="4" w:space="0" w:color="auto"/>
              <w:right w:val="single" w:sz="4" w:space="0" w:color="auto"/>
            </w:tcBorders>
            <w:shd w:val="clear" w:color="auto" w:fill="auto"/>
            <w:noWrap/>
            <w:vAlign w:val="center"/>
            <w:hideMark/>
          </w:tcPr>
          <w:p w14:paraId="3ED04E21" w14:textId="77777777" w:rsidR="002D16D6" w:rsidRDefault="002D16D6" w:rsidP="007D0A59">
            <w:pPr>
              <w:jc w:val="center"/>
              <w:rPr>
                <w:sz w:val="20"/>
                <w:szCs w:val="20"/>
              </w:rPr>
            </w:pPr>
            <w:r>
              <w:rPr>
                <w:sz w:val="20"/>
                <w:szCs w:val="20"/>
              </w:rPr>
              <w:t>1</w:t>
            </w:r>
            <w:r w:rsidR="004E6650">
              <w:rPr>
                <w:sz w:val="20"/>
                <w:szCs w:val="20"/>
              </w:rPr>
              <w:t>143</w:t>
            </w:r>
          </w:p>
        </w:tc>
      </w:tr>
    </w:tbl>
    <w:p w14:paraId="5F171426" w14:textId="77777777" w:rsidR="002D16D6" w:rsidRPr="001E23E1" w:rsidRDefault="002D16D6" w:rsidP="009A173D">
      <w:pPr>
        <w:jc w:val="center"/>
        <w:rPr>
          <w:b/>
          <w:sz w:val="28"/>
          <w:szCs w:val="28"/>
        </w:rPr>
      </w:pPr>
    </w:p>
    <w:p w14:paraId="136CCDC6" w14:textId="77777777" w:rsidR="00C02CAA" w:rsidRPr="007D0A59" w:rsidRDefault="00AE006C" w:rsidP="007E0EEE">
      <w:pPr>
        <w:tabs>
          <w:tab w:val="left" w:pos="720"/>
        </w:tabs>
        <w:ind w:firstLine="720"/>
        <w:jc w:val="both"/>
      </w:pPr>
      <w:r w:rsidRPr="007D0A59">
        <w:t xml:space="preserve">No </w:t>
      </w:r>
      <w:r w:rsidR="00C02CAA" w:rsidRPr="007D0A59">
        <w:t>2012.gad</w:t>
      </w:r>
      <w:r w:rsidRPr="007D0A59">
        <w:t>a</w:t>
      </w:r>
      <w:r w:rsidR="00C02CAA" w:rsidRPr="007D0A59">
        <w:t xml:space="preserve"> </w:t>
      </w:r>
      <w:r w:rsidRPr="007D0A59">
        <w:t xml:space="preserve">līdz 2015.gadam katru gadu ir pieaugusi </w:t>
      </w:r>
      <w:r w:rsidR="00C02CAA" w:rsidRPr="007D0A59">
        <w:t xml:space="preserve">vidējā izmaksātā summa uz vienu darbinieku </w:t>
      </w:r>
      <w:r w:rsidRPr="007D0A59">
        <w:t>no</w:t>
      </w:r>
      <w:r w:rsidR="00C02CAA" w:rsidRPr="007D0A59">
        <w:t xml:space="preserve"> 674 </w:t>
      </w:r>
      <w:r w:rsidR="00C02CAA" w:rsidRPr="007D0A59">
        <w:rPr>
          <w:i/>
        </w:rPr>
        <w:t>euro</w:t>
      </w:r>
      <w:r w:rsidR="00C02CAA" w:rsidRPr="007D0A59">
        <w:t xml:space="preserve"> </w:t>
      </w:r>
      <w:r w:rsidRPr="007D0A59">
        <w:t>2012.gadā uz</w:t>
      </w:r>
      <w:r w:rsidR="00C02CAA" w:rsidRPr="007D0A59">
        <w:t xml:space="preserve"> </w:t>
      </w:r>
      <w:r w:rsidR="006F1660" w:rsidRPr="007D0A59">
        <w:t xml:space="preserve">809 </w:t>
      </w:r>
      <w:r w:rsidR="006F1660" w:rsidRPr="007D0A59">
        <w:rPr>
          <w:i/>
        </w:rPr>
        <w:t>euro</w:t>
      </w:r>
      <w:r w:rsidR="006F1660" w:rsidRPr="007D0A59">
        <w:t xml:space="preserve"> 2015.gadā. </w:t>
      </w:r>
      <w:r w:rsidR="004E6650" w:rsidRPr="007D0A59">
        <w:t xml:space="preserve">2015.gada pieaugums pret 2014.gadu bija 9%, </w:t>
      </w:r>
      <w:r w:rsidR="006C307F" w:rsidRPr="007D0A59">
        <w:t xml:space="preserve">kas arī tiek izmantots, lai aprēķinātu plānoto izmaksājamo vidējo summu nākamajiem gadiem. </w:t>
      </w:r>
    </w:p>
    <w:p w14:paraId="501EE1D9" w14:textId="77777777" w:rsidR="00C02CAA" w:rsidRPr="007D0A59" w:rsidRDefault="00C02CAA" w:rsidP="007E0EEE">
      <w:pPr>
        <w:tabs>
          <w:tab w:val="left" w:pos="720"/>
        </w:tabs>
        <w:ind w:firstLine="720"/>
        <w:jc w:val="both"/>
      </w:pPr>
      <w:r w:rsidRPr="007D0A59">
        <w:t>Ņemot vērā, ka ir noteikti visi nepieciešamie dati, lai veiktu darbinieku prasījumu garantiju fonda izdevumu aprēķinu 201</w:t>
      </w:r>
      <w:r w:rsidR="005413B4" w:rsidRPr="007D0A59">
        <w:t>7</w:t>
      </w:r>
      <w:r w:rsidRPr="007D0A59">
        <w:t>.</w:t>
      </w:r>
      <w:r w:rsidR="00B67C70">
        <w:t>–</w:t>
      </w:r>
      <w:r w:rsidRPr="007D0A59">
        <w:t>201</w:t>
      </w:r>
      <w:r w:rsidR="005413B4" w:rsidRPr="007D0A59">
        <w:t>9</w:t>
      </w:r>
      <w:r w:rsidRPr="007D0A59">
        <w:t>.gadam, plānotie izdevumi darbinieku prasījumu segšanai ir šādi (skatīt 2</w:t>
      </w:r>
      <w:r w:rsidR="009D5AC0" w:rsidRPr="007D0A59">
        <w:t>5</w:t>
      </w:r>
      <w:r w:rsidRPr="007D0A59">
        <w:t xml:space="preserve">.tabulu). </w:t>
      </w:r>
    </w:p>
    <w:p w14:paraId="4BCB0F28" w14:textId="77777777" w:rsidR="00C02CAA" w:rsidRDefault="00C02CAA" w:rsidP="00CE0689">
      <w:pPr>
        <w:tabs>
          <w:tab w:val="left" w:pos="720"/>
        </w:tabs>
        <w:jc w:val="right"/>
        <w:rPr>
          <w:b/>
          <w:sz w:val="28"/>
          <w:szCs w:val="28"/>
        </w:rPr>
      </w:pPr>
    </w:p>
    <w:p w14:paraId="48115CC1" w14:textId="77777777" w:rsidR="00C02CAA" w:rsidRPr="007D0A59" w:rsidRDefault="00C02CAA" w:rsidP="00CE0689">
      <w:pPr>
        <w:tabs>
          <w:tab w:val="left" w:pos="720"/>
        </w:tabs>
        <w:jc w:val="right"/>
      </w:pPr>
      <w:r w:rsidRPr="007D0A59">
        <w:t>2</w:t>
      </w:r>
      <w:r w:rsidR="009D5AC0" w:rsidRPr="007D0A59">
        <w:t>5</w:t>
      </w:r>
      <w:r w:rsidRPr="007D0A59">
        <w:t>.tabula</w:t>
      </w:r>
    </w:p>
    <w:p w14:paraId="5D202F2E" w14:textId="77777777" w:rsidR="00C02CAA" w:rsidRPr="007D0A59" w:rsidRDefault="00C02CAA" w:rsidP="00CE0689">
      <w:pPr>
        <w:tabs>
          <w:tab w:val="left" w:pos="720"/>
        </w:tabs>
        <w:jc w:val="right"/>
        <w:rPr>
          <w:b/>
        </w:rPr>
      </w:pPr>
    </w:p>
    <w:p w14:paraId="36BED419" w14:textId="77777777" w:rsidR="00C02CAA" w:rsidRPr="007D0A59" w:rsidRDefault="00C02CAA" w:rsidP="007D0A59">
      <w:pPr>
        <w:spacing w:after="120"/>
        <w:jc w:val="center"/>
        <w:rPr>
          <w:b/>
        </w:rPr>
      </w:pPr>
      <w:r w:rsidRPr="007D0A59">
        <w:rPr>
          <w:b/>
        </w:rPr>
        <w:t>Izdevumi darbinieku prasījumu segšanai</w:t>
      </w:r>
      <w:r w:rsidR="005413B4" w:rsidRPr="007D0A59">
        <w:rPr>
          <w:b/>
        </w:rPr>
        <w:t xml:space="preserve"> </w:t>
      </w:r>
      <w:r w:rsidRPr="007D0A59">
        <w:rPr>
          <w:b/>
        </w:rPr>
        <w:t>201</w:t>
      </w:r>
      <w:r w:rsidR="005413B4" w:rsidRPr="007D0A59">
        <w:rPr>
          <w:b/>
        </w:rPr>
        <w:t>7</w:t>
      </w:r>
      <w:r w:rsidRPr="007D0A59">
        <w:rPr>
          <w:b/>
        </w:rPr>
        <w:t>.-201</w:t>
      </w:r>
      <w:r w:rsidR="005413B4" w:rsidRPr="007D0A59">
        <w:rPr>
          <w:b/>
        </w:rPr>
        <w:t>9</w:t>
      </w:r>
      <w:r w:rsidRPr="007D0A59">
        <w:rPr>
          <w:b/>
        </w:rPr>
        <w:t>.gadā</w:t>
      </w:r>
    </w:p>
    <w:tbl>
      <w:tblPr>
        <w:tblW w:w="9340" w:type="dxa"/>
        <w:tblInd w:w="113" w:type="dxa"/>
        <w:tblLook w:val="04A0" w:firstRow="1" w:lastRow="0" w:firstColumn="1" w:lastColumn="0" w:noHBand="0" w:noVBand="1"/>
      </w:tblPr>
      <w:tblGrid>
        <w:gridCol w:w="960"/>
        <w:gridCol w:w="960"/>
        <w:gridCol w:w="1660"/>
        <w:gridCol w:w="695"/>
        <w:gridCol w:w="1225"/>
        <w:gridCol w:w="695"/>
        <w:gridCol w:w="1225"/>
        <w:gridCol w:w="695"/>
        <w:gridCol w:w="1225"/>
      </w:tblGrid>
      <w:tr w:rsidR="00B968BF" w14:paraId="29E9B882" w14:textId="77777777" w:rsidTr="00B968BF">
        <w:trPr>
          <w:trHeight w:val="1035"/>
        </w:trPr>
        <w:tc>
          <w:tcPr>
            <w:tcW w:w="1920" w:type="dxa"/>
            <w:gridSpan w:val="2"/>
            <w:tcBorders>
              <w:top w:val="single" w:sz="4" w:space="0" w:color="auto"/>
              <w:left w:val="single" w:sz="4" w:space="0" w:color="auto"/>
              <w:bottom w:val="single" w:sz="4" w:space="0" w:color="auto"/>
              <w:right w:val="single" w:sz="4" w:space="0" w:color="auto"/>
            </w:tcBorders>
            <w:shd w:val="clear" w:color="000000" w:fill="CC99FF"/>
            <w:vAlign w:val="bottom"/>
            <w:hideMark/>
          </w:tcPr>
          <w:p w14:paraId="51DB9B7F" w14:textId="77777777" w:rsidR="00B968BF" w:rsidRDefault="00B968BF" w:rsidP="00EB242A">
            <w:pPr>
              <w:jc w:val="center"/>
              <w:rPr>
                <w:color w:val="000000"/>
                <w:sz w:val="20"/>
                <w:szCs w:val="20"/>
              </w:rPr>
            </w:pPr>
            <w:r>
              <w:rPr>
                <w:color w:val="000000"/>
                <w:sz w:val="20"/>
                <w:szCs w:val="20"/>
              </w:rPr>
              <w:t>Darbinieku skaits attiecīgajā gadā</w:t>
            </w:r>
          </w:p>
        </w:tc>
        <w:tc>
          <w:tcPr>
            <w:tcW w:w="1660" w:type="dxa"/>
            <w:tcBorders>
              <w:top w:val="single" w:sz="4" w:space="0" w:color="auto"/>
              <w:left w:val="nil"/>
              <w:bottom w:val="single" w:sz="4" w:space="0" w:color="auto"/>
              <w:right w:val="single" w:sz="4" w:space="0" w:color="auto"/>
            </w:tcBorders>
            <w:shd w:val="clear" w:color="000000" w:fill="FFFF99"/>
            <w:vAlign w:val="bottom"/>
            <w:hideMark/>
          </w:tcPr>
          <w:p w14:paraId="70E93DDC" w14:textId="77777777" w:rsidR="00B968BF" w:rsidRDefault="00B968BF" w:rsidP="00EB242A">
            <w:pPr>
              <w:jc w:val="center"/>
              <w:rPr>
                <w:color w:val="000000"/>
                <w:sz w:val="20"/>
                <w:szCs w:val="20"/>
              </w:rPr>
            </w:pPr>
            <w:r>
              <w:rPr>
                <w:color w:val="000000"/>
                <w:sz w:val="20"/>
                <w:szCs w:val="20"/>
              </w:rPr>
              <w:t xml:space="preserve">Darbinieku prasījumu segšanai nepieciešamā summa, </w:t>
            </w:r>
            <w:r>
              <w:rPr>
                <w:i/>
                <w:iCs/>
                <w:color w:val="000000"/>
                <w:sz w:val="20"/>
                <w:szCs w:val="20"/>
              </w:rPr>
              <w:t>euro</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EF72240" w14:textId="77777777" w:rsidR="00B968BF" w:rsidRDefault="00B968BF" w:rsidP="00EB242A">
            <w:pPr>
              <w:jc w:val="center"/>
              <w:rPr>
                <w:b/>
                <w:bCs/>
                <w:color w:val="000000"/>
                <w:sz w:val="20"/>
                <w:szCs w:val="20"/>
              </w:rPr>
            </w:pPr>
            <w:r>
              <w:rPr>
                <w:b/>
                <w:bCs/>
                <w:color w:val="000000"/>
                <w:sz w:val="20"/>
                <w:szCs w:val="20"/>
              </w:rPr>
              <w:t>Segšanas gads</w:t>
            </w:r>
          </w:p>
        </w:tc>
      </w:tr>
      <w:tr w:rsidR="00B968BF" w14:paraId="5383672F" w14:textId="77777777" w:rsidTr="00B968BF">
        <w:trPr>
          <w:trHeight w:val="945"/>
        </w:trPr>
        <w:tc>
          <w:tcPr>
            <w:tcW w:w="1920" w:type="dxa"/>
            <w:gridSpan w:val="2"/>
            <w:tcBorders>
              <w:top w:val="single" w:sz="4" w:space="0" w:color="auto"/>
              <w:left w:val="single" w:sz="4" w:space="0" w:color="auto"/>
              <w:bottom w:val="single" w:sz="4" w:space="0" w:color="auto"/>
              <w:right w:val="single" w:sz="4" w:space="0" w:color="auto"/>
            </w:tcBorders>
            <w:shd w:val="clear" w:color="000000" w:fill="CCFFCC"/>
            <w:vAlign w:val="bottom"/>
            <w:hideMark/>
          </w:tcPr>
          <w:p w14:paraId="0658231B" w14:textId="77777777" w:rsidR="00B968BF" w:rsidRDefault="00B968BF" w:rsidP="00EB242A">
            <w:pPr>
              <w:jc w:val="center"/>
              <w:rPr>
                <w:color w:val="000000"/>
                <w:sz w:val="20"/>
                <w:szCs w:val="20"/>
              </w:rPr>
            </w:pPr>
            <w:r>
              <w:rPr>
                <w:color w:val="000000"/>
                <w:sz w:val="20"/>
                <w:szCs w:val="20"/>
              </w:rPr>
              <w:t>Uzņēmumu skaits</w:t>
            </w:r>
          </w:p>
        </w:tc>
        <w:tc>
          <w:tcPr>
            <w:tcW w:w="1660" w:type="dxa"/>
            <w:tcBorders>
              <w:top w:val="nil"/>
              <w:left w:val="nil"/>
              <w:bottom w:val="single" w:sz="4" w:space="0" w:color="auto"/>
              <w:right w:val="single" w:sz="4" w:space="0" w:color="auto"/>
            </w:tcBorders>
            <w:shd w:val="clear" w:color="auto" w:fill="auto"/>
            <w:vAlign w:val="bottom"/>
            <w:hideMark/>
          </w:tcPr>
          <w:p w14:paraId="7E47680B" w14:textId="77777777" w:rsidR="00B968BF" w:rsidRDefault="00B968BF" w:rsidP="00EB242A">
            <w:pPr>
              <w:jc w:val="center"/>
              <w:rPr>
                <w:color w:val="000000"/>
                <w:sz w:val="20"/>
                <w:szCs w:val="20"/>
              </w:rPr>
            </w:pPr>
            <w:r>
              <w:rPr>
                <w:color w:val="000000"/>
                <w:sz w:val="20"/>
                <w:szCs w:val="20"/>
              </w:rPr>
              <w:t>Darbinieki vidēji uz uzņēmumu</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6F78C4" w14:textId="77777777" w:rsidR="00B968BF" w:rsidRDefault="00B968BF" w:rsidP="00EB242A">
            <w:pPr>
              <w:jc w:val="center"/>
              <w:rPr>
                <w:b/>
                <w:bCs/>
                <w:color w:val="000000"/>
                <w:sz w:val="20"/>
                <w:szCs w:val="20"/>
              </w:rPr>
            </w:pPr>
            <w:r>
              <w:rPr>
                <w:b/>
                <w:bCs/>
                <w:color w:val="000000"/>
                <w:sz w:val="20"/>
                <w:szCs w:val="20"/>
              </w:rPr>
              <w:t>2017</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78B9F8" w14:textId="77777777" w:rsidR="00B968BF" w:rsidRDefault="00B968BF" w:rsidP="00EB242A">
            <w:pPr>
              <w:jc w:val="center"/>
              <w:rPr>
                <w:b/>
                <w:bCs/>
                <w:color w:val="000000"/>
                <w:sz w:val="20"/>
                <w:szCs w:val="20"/>
              </w:rPr>
            </w:pPr>
            <w:r>
              <w:rPr>
                <w:b/>
                <w:bCs/>
                <w:color w:val="000000"/>
                <w:sz w:val="20"/>
                <w:szCs w:val="20"/>
              </w:rPr>
              <w:t>2018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830C81" w14:textId="77777777" w:rsidR="00B968BF" w:rsidRDefault="00B968BF" w:rsidP="00EB242A">
            <w:pPr>
              <w:jc w:val="center"/>
              <w:rPr>
                <w:b/>
                <w:bCs/>
                <w:color w:val="000000"/>
                <w:sz w:val="20"/>
                <w:szCs w:val="20"/>
              </w:rPr>
            </w:pPr>
            <w:r>
              <w:rPr>
                <w:b/>
                <w:bCs/>
                <w:color w:val="000000"/>
                <w:sz w:val="20"/>
                <w:szCs w:val="20"/>
              </w:rPr>
              <w:t>2019</w:t>
            </w:r>
          </w:p>
        </w:tc>
      </w:tr>
      <w:tr w:rsidR="00B968BF" w14:paraId="21C5A65D" w14:textId="77777777" w:rsidTr="00B968BF">
        <w:trPr>
          <w:trHeight w:val="315"/>
        </w:trPr>
        <w:tc>
          <w:tcPr>
            <w:tcW w:w="960" w:type="dxa"/>
            <w:vMerge w:val="restart"/>
            <w:tcBorders>
              <w:top w:val="nil"/>
              <w:left w:val="single" w:sz="4" w:space="0" w:color="auto"/>
              <w:bottom w:val="single" w:sz="4" w:space="0" w:color="000000"/>
              <w:right w:val="nil"/>
            </w:tcBorders>
            <w:shd w:val="clear" w:color="auto" w:fill="auto"/>
            <w:textDirection w:val="btLr"/>
            <w:vAlign w:val="bottom"/>
            <w:hideMark/>
          </w:tcPr>
          <w:p w14:paraId="731A6A5C" w14:textId="77777777" w:rsidR="00B968BF" w:rsidRDefault="00B968BF" w:rsidP="00EB242A">
            <w:pPr>
              <w:jc w:val="center"/>
              <w:rPr>
                <w:color w:val="000000"/>
                <w:sz w:val="20"/>
                <w:szCs w:val="20"/>
              </w:rPr>
            </w:pPr>
            <w:r>
              <w:rPr>
                <w:color w:val="000000"/>
                <w:sz w:val="20"/>
                <w:szCs w:val="20"/>
              </w:rPr>
              <w:t>Maksātnespējas procesa pasludināšanas gads</w:t>
            </w:r>
          </w:p>
        </w:tc>
        <w:tc>
          <w:tcPr>
            <w:tcW w:w="960" w:type="dxa"/>
            <w:vMerge w:val="restart"/>
            <w:tcBorders>
              <w:top w:val="nil"/>
              <w:left w:val="nil"/>
              <w:bottom w:val="single" w:sz="4" w:space="0" w:color="000000"/>
              <w:right w:val="single" w:sz="4" w:space="0" w:color="auto"/>
            </w:tcBorders>
            <w:shd w:val="clear" w:color="000000" w:fill="C0C0C0"/>
            <w:textDirection w:val="btLr"/>
            <w:vAlign w:val="bottom"/>
            <w:hideMark/>
          </w:tcPr>
          <w:p w14:paraId="576F4807" w14:textId="77777777" w:rsidR="00B968BF" w:rsidRDefault="00B968BF" w:rsidP="00EB242A">
            <w:pPr>
              <w:jc w:val="center"/>
              <w:rPr>
                <w:color w:val="000000"/>
                <w:sz w:val="20"/>
                <w:szCs w:val="20"/>
              </w:rPr>
            </w:pPr>
            <w:r>
              <w:rPr>
                <w:color w:val="000000"/>
                <w:sz w:val="20"/>
                <w:szCs w:val="20"/>
              </w:rPr>
              <w:t>Vidējā vienam darbiniekam segtā summa attiecīgajā gadā</w:t>
            </w:r>
          </w:p>
        </w:tc>
        <w:tc>
          <w:tcPr>
            <w:tcW w:w="1660" w:type="dxa"/>
            <w:tcBorders>
              <w:top w:val="nil"/>
              <w:left w:val="nil"/>
              <w:bottom w:val="single" w:sz="4" w:space="0" w:color="auto"/>
              <w:right w:val="single" w:sz="4" w:space="0" w:color="auto"/>
            </w:tcBorders>
            <w:shd w:val="clear" w:color="auto" w:fill="auto"/>
            <w:vAlign w:val="bottom"/>
            <w:hideMark/>
          </w:tcPr>
          <w:p w14:paraId="632B1114" w14:textId="77777777" w:rsidR="00B968BF" w:rsidRDefault="00B968BF" w:rsidP="00EB242A">
            <w:pPr>
              <w:jc w:val="center"/>
              <w:rPr>
                <w:color w:val="000000"/>
                <w:sz w:val="20"/>
                <w:szCs w:val="20"/>
              </w:rPr>
            </w:pPr>
            <w:r>
              <w:rPr>
                <w:color w:val="000000"/>
                <w:sz w:val="20"/>
                <w:szCs w:val="20"/>
              </w:rPr>
              <w:t>2013.gads</w:t>
            </w:r>
          </w:p>
        </w:tc>
        <w:tc>
          <w:tcPr>
            <w:tcW w:w="695" w:type="dxa"/>
            <w:tcBorders>
              <w:top w:val="nil"/>
              <w:left w:val="nil"/>
              <w:bottom w:val="single" w:sz="4" w:space="0" w:color="auto"/>
              <w:right w:val="single" w:sz="4" w:space="0" w:color="auto"/>
            </w:tcBorders>
            <w:shd w:val="clear" w:color="000000" w:fill="CC99FF"/>
            <w:noWrap/>
            <w:vAlign w:val="bottom"/>
            <w:hideMark/>
          </w:tcPr>
          <w:p w14:paraId="063B129F" w14:textId="77777777" w:rsidR="00B968BF" w:rsidRDefault="00B968BF" w:rsidP="00EB242A">
            <w:pPr>
              <w:jc w:val="center"/>
              <w:rPr>
                <w:b/>
                <w:bCs/>
                <w:color w:val="000000"/>
                <w:sz w:val="20"/>
                <w:szCs w:val="20"/>
              </w:rPr>
            </w:pPr>
            <w:r>
              <w:rPr>
                <w:b/>
                <w:bCs/>
                <w:color w:val="000000"/>
                <w:sz w:val="20"/>
                <w:szCs w:val="20"/>
              </w:rPr>
              <w:t>17</w:t>
            </w:r>
          </w:p>
        </w:tc>
        <w:tc>
          <w:tcPr>
            <w:tcW w:w="1225" w:type="dxa"/>
            <w:tcBorders>
              <w:top w:val="nil"/>
              <w:left w:val="nil"/>
              <w:bottom w:val="single" w:sz="4" w:space="0" w:color="auto"/>
              <w:right w:val="single" w:sz="4" w:space="0" w:color="auto"/>
            </w:tcBorders>
            <w:shd w:val="clear" w:color="000000" w:fill="FFFF99"/>
            <w:noWrap/>
            <w:vAlign w:val="bottom"/>
            <w:hideMark/>
          </w:tcPr>
          <w:p w14:paraId="234615E3" w14:textId="77777777" w:rsidR="00B968BF" w:rsidRDefault="00B968BF" w:rsidP="00EB242A">
            <w:pPr>
              <w:jc w:val="center"/>
              <w:rPr>
                <w:b/>
                <w:bCs/>
                <w:color w:val="000000"/>
                <w:sz w:val="20"/>
                <w:szCs w:val="20"/>
              </w:rPr>
            </w:pPr>
            <w:r>
              <w:rPr>
                <w:b/>
                <w:bCs/>
                <w:color w:val="000000"/>
                <w:sz w:val="20"/>
                <w:szCs w:val="20"/>
              </w:rPr>
              <w:t>12 580</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2C25AD0" w14:textId="77777777" w:rsidR="00B968BF" w:rsidRDefault="00B968BF" w:rsidP="00EB242A">
            <w:pPr>
              <w:jc w:val="center"/>
              <w:rPr>
                <w:b/>
                <w:bCs/>
                <w:color w:val="000000"/>
                <w:sz w:val="20"/>
                <w:szCs w:val="20"/>
              </w:rPr>
            </w:pP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522C3FE" w14:textId="77777777" w:rsidR="00B968BF" w:rsidRDefault="00B968BF" w:rsidP="00EB242A">
            <w:pPr>
              <w:jc w:val="center"/>
              <w:rPr>
                <w:b/>
                <w:bCs/>
                <w:color w:val="000000"/>
                <w:sz w:val="20"/>
                <w:szCs w:val="20"/>
              </w:rPr>
            </w:pPr>
          </w:p>
        </w:tc>
      </w:tr>
      <w:tr w:rsidR="00B968BF" w14:paraId="27C14449"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368C1561"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371CEAAD"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C0C0C0"/>
            <w:vAlign w:val="bottom"/>
            <w:hideMark/>
          </w:tcPr>
          <w:p w14:paraId="6B63D0C7" w14:textId="77777777" w:rsidR="00B968BF" w:rsidRDefault="00B968BF" w:rsidP="00EB242A">
            <w:pPr>
              <w:jc w:val="center"/>
              <w:rPr>
                <w:color w:val="000000"/>
                <w:sz w:val="20"/>
                <w:szCs w:val="20"/>
              </w:rPr>
            </w:pPr>
            <w:r>
              <w:rPr>
                <w:color w:val="000000"/>
                <w:sz w:val="20"/>
                <w:szCs w:val="20"/>
              </w:rPr>
              <w:t>740</w:t>
            </w:r>
          </w:p>
        </w:tc>
        <w:tc>
          <w:tcPr>
            <w:tcW w:w="695" w:type="dxa"/>
            <w:tcBorders>
              <w:top w:val="nil"/>
              <w:left w:val="nil"/>
              <w:bottom w:val="single" w:sz="4" w:space="0" w:color="auto"/>
              <w:right w:val="single" w:sz="4" w:space="0" w:color="auto"/>
            </w:tcBorders>
            <w:shd w:val="clear" w:color="000000" w:fill="CCFFCC"/>
            <w:noWrap/>
            <w:vAlign w:val="bottom"/>
            <w:hideMark/>
          </w:tcPr>
          <w:p w14:paraId="6F4D4BA4" w14:textId="77777777" w:rsidR="00B968BF" w:rsidRDefault="00B968BF" w:rsidP="00EB242A">
            <w:pPr>
              <w:jc w:val="center"/>
              <w:rPr>
                <w:color w:val="000000"/>
                <w:sz w:val="20"/>
                <w:szCs w:val="20"/>
              </w:rPr>
            </w:pPr>
            <w:r>
              <w:rPr>
                <w:color w:val="000000"/>
                <w:sz w:val="20"/>
                <w:szCs w:val="20"/>
              </w:rPr>
              <w:t>1</w:t>
            </w:r>
          </w:p>
        </w:tc>
        <w:tc>
          <w:tcPr>
            <w:tcW w:w="1225" w:type="dxa"/>
            <w:tcBorders>
              <w:top w:val="nil"/>
              <w:left w:val="nil"/>
              <w:bottom w:val="single" w:sz="4" w:space="0" w:color="auto"/>
              <w:right w:val="single" w:sz="4" w:space="0" w:color="auto"/>
            </w:tcBorders>
            <w:shd w:val="clear" w:color="auto" w:fill="auto"/>
            <w:noWrap/>
            <w:vAlign w:val="bottom"/>
            <w:hideMark/>
          </w:tcPr>
          <w:p w14:paraId="035BBB68" w14:textId="77777777" w:rsidR="00B968BF" w:rsidRDefault="00B968BF" w:rsidP="00EB242A">
            <w:pPr>
              <w:jc w:val="center"/>
              <w:rPr>
                <w:color w:val="000000"/>
                <w:sz w:val="20"/>
                <w:szCs w:val="20"/>
              </w:rPr>
            </w:pPr>
            <w:r>
              <w:rPr>
                <w:color w:val="000000"/>
                <w:sz w:val="20"/>
                <w:szCs w:val="20"/>
              </w:rPr>
              <w:t>17</w:t>
            </w:r>
          </w:p>
        </w:tc>
        <w:tc>
          <w:tcPr>
            <w:tcW w:w="1920" w:type="dxa"/>
            <w:gridSpan w:val="2"/>
            <w:vMerge/>
            <w:tcBorders>
              <w:top w:val="nil"/>
              <w:left w:val="nil"/>
              <w:bottom w:val="single" w:sz="4" w:space="0" w:color="auto"/>
              <w:right w:val="single" w:sz="4" w:space="0" w:color="auto"/>
            </w:tcBorders>
            <w:vAlign w:val="center"/>
            <w:hideMark/>
          </w:tcPr>
          <w:p w14:paraId="71313CC0" w14:textId="77777777" w:rsidR="00B968BF" w:rsidRDefault="00B968BF" w:rsidP="00EB242A">
            <w:pPr>
              <w:jc w:val="center"/>
              <w:rPr>
                <w:b/>
                <w:bCs/>
                <w:color w:val="000000"/>
                <w:sz w:val="20"/>
                <w:szCs w:val="20"/>
              </w:rPr>
            </w:pPr>
          </w:p>
        </w:tc>
        <w:tc>
          <w:tcPr>
            <w:tcW w:w="1920" w:type="dxa"/>
            <w:gridSpan w:val="2"/>
            <w:vMerge/>
            <w:tcBorders>
              <w:top w:val="nil"/>
              <w:left w:val="nil"/>
              <w:bottom w:val="single" w:sz="4" w:space="0" w:color="auto"/>
              <w:right w:val="single" w:sz="4" w:space="0" w:color="auto"/>
            </w:tcBorders>
            <w:vAlign w:val="center"/>
            <w:hideMark/>
          </w:tcPr>
          <w:p w14:paraId="08F485E4" w14:textId="77777777" w:rsidR="00B968BF" w:rsidRDefault="00B968BF" w:rsidP="00EB242A">
            <w:pPr>
              <w:jc w:val="center"/>
              <w:rPr>
                <w:b/>
                <w:bCs/>
                <w:color w:val="000000"/>
                <w:sz w:val="20"/>
                <w:szCs w:val="20"/>
              </w:rPr>
            </w:pPr>
          </w:p>
        </w:tc>
      </w:tr>
      <w:tr w:rsidR="00B968BF" w14:paraId="6B63035B"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3C6570CC"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1AA51881"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vAlign w:val="bottom"/>
            <w:hideMark/>
          </w:tcPr>
          <w:p w14:paraId="4AA9D0E6" w14:textId="77777777" w:rsidR="00B968BF" w:rsidRDefault="00B968BF" w:rsidP="00EB242A">
            <w:pPr>
              <w:jc w:val="center"/>
              <w:rPr>
                <w:color w:val="000000"/>
                <w:sz w:val="20"/>
                <w:szCs w:val="20"/>
              </w:rPr>
            </w:pPr>
            <w:r>
              <w:rPr>
                <w:color w:val="000000"/>
                <w:sz w:val="20"/>
                <w:szCs w:val="20"/>
              </w:rPr>
              <w:t>2014.gads</w:t>
            </w:r>
          </w:p>
        </w:tc>
        <w:tc>
          <w:tcPr>
            <w:tcW w:w="695" w:type="dxa"/>
            <w:tcBorders>
              <w:top w:val="nil"/>
              <w:left w:val="nil"/>
              <w:bottom w:val="single" w:sz="4" w:space="0" w:color="auto"/>
              <w:right w:val="single" w:sz="4" w:space="0" w:color="auto"/>
            </w:tcBorders>
            <w:shd w:val="clear" w:color="000000" w:fill="CC99FF"/>
            <w:noWrap/>
            <w:vAlign w:val="bottom"/>
            <w:hideMark/>
          </w:tcPr>
          <w:p w14:paraId="6FBFDEB2" w14:textId="77777777" w:rsidR="00B968BF" w:rsidRDefault="00B968BF" w:rsidP="00EB242A">
            <w:pPr>
              <w:jc w:val="center"/>
              <w:rPr>
                <w:b/>
                <w:bCs/>
                <w:color w:val="000000"/>
                <w:sz w:val="20"/>
                <w:szCs w:val="20"/>
              </w:rPr>
            </w:pPr>
            <w:r>
              <w:rPr>
                <w:b/>
                <w:bCs/>
                <w:color w:val="000000"/>
                <w:sz w:val="20"/>
                <w:szCs w:val="20"/>
              </w:rPr>
              <w:t>34</w:t>
            </w:r>
          </w:p>
        </w:tc>
        <w:tc>
          <w:tcPr>
            <w:tcW w:w="1225" w:type="dxa"/>
            <w:tcBorders>
              <w:top w:val="nil"/>
              <w:left w:val="nil"/>
              <w:bottom w:val="single" w:sz="4" w:space="0" w:color="auto"/>
              <w:right w:val="single" w:sz="4" w:space="0" w:color="auto"/>
            </w:tcBorders>
            <w:shd w:val="clear" w:color="000000" w:fill="FFFF99"/>
            <w:noWrap/>
            <w:vAlign w:val="bottom"/>
            <w:hideMark/>
          </w:tcPr>
          <w:p w14:paraId="2ECF3605" w14:textId="77777777" w:rsidR="00B968BF" w:rsidRDefault="00B968BF" w:rsidP="00EB242A">
            <w:pPr>
              <w:jc w:val="center"/>
              <w:rPr>
                <w:b/>
                <w:bCs/>
                <w:color w:val="000000"/>
                <w:sz w:val="20"/>
                <w:szCs w:val="20"/>
              </w:rPr>
            </w:pPr>
            <w:r>
              <w:rPr>
                <w:b/>
                <w:bCs/>
                <w:color w:val="000000"/>
                <w:sz w:val="20"/>
                <w:szCs w:val="20"/>
              </w:rPr>
              <w:t>25 228</w:t>
            </w:r>
          </w:p>
        </w:tc>
        <w:tc>
          <w:tcPr>
            <w:tcW w:w="695" w:type="dxa"/>
            <w:tcBorders>
              <w:top w:val="nil"/>
              <w:left w:val="nil"/>
              <w:bottom w:val="single" w:sz="4" w:space="0" w:color="auto"/>
              <w:right w:val="single" w:sz="4" w:space="0" w:color="auto"/>
            </w:tcBorders>
            <w:shd w:val="clear" w:color="000000" w:fill="CC99FF"/>
            <w:noWrap/>
            <w:vAlign w:val="bottom"/>
            <w:hideMark/>
          </w:tcPr>
          <w:p w14:paraId="5E583242" w14:textId="77777777" w:rsidR="00B968BF" w:rsidRDefault="00B968BF" w:rsidP="00EB242A">
            <w:pPr>
              <w:jc w:val="center"/>
              <w:rPr>
                <w:b/>
                <w:bCs/>
                <w:color w:val="000000"/>
                <w:sz w:val="20"/>
                <w:szCs w:val="20"/>
              </w:rPr>
            </w:pPr>
            <w:r>
              <w:rPr>
                <w:b/>
                <w:bCs/>
                <w:color w:val="000000"/>
                <w:sz w:val="20"/>
                <w:szCs w:val="20"/>
              </w:rPr>
              <w:t>17</w:t>
            </w:r>
          </w:p>
        </w:tc>
        <w:tc>
          <w:tcPr>
            <w:tcW w:w="1225" w:type="dxa"/>
            <w:tcBorders>
              <w:top w:val="nil"/>
              <w:left w:val="nil"/>
              <w:bottom w:val="single" w:sz="4" w:space="0" w:color="auto"/>
              <w:right w:val="single" w:sz="4" w:space="0" w:color="auto"/>
            </w:tcBorders>
            <w:shd w:val="clear" w:color="000000" w:fill="FFFF99"/>
            <w:noWrap/>
            <w:vAlign w:val="bottom"/>
            <w:hideMark/>
          </w:tcPr>
          <w:p w14:paraId="788D0303" w14:textId="77777777" w:rsidR="00B968BF" w:rsidRDefault="00B968BF" w:rsidP="00EB242A">
            <w:pPr>
              <w:jc w:val="center"/>
              <w:rPr>
                <w:b/>
                <w:bCs/>
                <w:color w:val="000000"/>
                <w:sz w:val="20"/>
                <w:szCs w:val="20"/>
              </w:rPr>
            </w:pPr>
            <w:r>
              <w:rPr>
                <w:b/>
                <w:bCs/>
                <w:color w:val="000000"/>
                <w:sz w:val="20"/>
                <w:szCs w:val="20"/>
              </w:rPr>
              <w:t>12 614</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4B97FA7" w14:textId="77777777" w:rsidR="00B968BF" w:rsidRDefault="00B968BF" w:rsidP="00EB242A">
            <w:pPr>
              <w:jc w:val="center"/>
              <w:rPr>
                <w:b/>
                <w:bCs/>
                <w:color w:val="000000"/>
                <w:sz w:val="20"/>
                <w:szCs w:val="20"/>
              </w:rPr>
            </w:pPr>
          </w:p>
        </w:tc>
      </w:tr>
      <w:tr w:rsidR="00B968BF" w14:paraId="59EAA233"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5084A428"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0B9A742B"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C0C0C0"/>
            <w:vAlign w:val="bottom"/>
            <w:hideMark/>
          </w:tcPr>
          <w:p w14:paraId="3F673CBC" w14:textId="77777777" w:rsidR="00B968BF" w:rsidRDefault="00B968BF" w:rsidP="00EB242A">
            <w:pPr>
              <w:jc w:val="center"/>
              <w:rPr>
                <w:color w:val="000000"/>
                <w:sz w:val="20"/>
                <w:szCs w:val="20"/>
              </w:rPr>
            </w:pPr>
            <w:r>
              <w:rPr>
                <w:color w:val="000000"/>
                <w:sz w:val="20"/>
                <w:szCs w:val="20"/>
              </w:rPr>
              <w:t>742</w:t>
            </w:r>
          </w:p>
        </w:tc>
        <w:tc>
          <w:tcPr>
            <w:tcW w:w="695" w:type="dxa"/>
            <w:tcBorders>
              <w:top w:val="nil"/>
              <w:left w:val="nil"/>
              <w:bottom w:val="single" w:sz="4" w:space="0" w:color="auto"/>
              <w:right w:val="single" w:sz="4" w:space="0" w:color="auto"/>
            </w:tcBorders>
            <w:shd w:val="clear" w:color="000000" w:fill="CCFFCC"/>
            <w:noWrap/>
            <w:vAlign w:val="bottom"/>
            <w:hideMark/>
          </w:tcPr>
          <w:p w14:paraId="7691CB17" w14:textId="77777777" w:rsidR="00B968BF" w:rsidRDefault="00B968BF" w:rsidP="00EB242A">
            <w:pPr>
              <w:jc w:val="center"/>
              <w:rPr>
                <w:color w:val="000000"/>
                <w:sz w:val="20"/>
                <w:szCs w:val="20"/>
              </w:rPr>
            </w:pPr>
            <w:r>
              <w:rPr>
                <w:color w:val="000000"/>
                <w:sz w:val="20"/>
                <w:szCs w:val="20"/>
              </w:rPr>
              <w:t>2</w:t>
            </w:r>
          </w:p>
        </w:tc>
        <w:tc>
          <w:tcPr>
            <w:tcW w:w="1225" w:type="dxa"/>
            <w:tcBorders>
              <w:top w:val="nil"/>
              <w:left w:val="nil"/>
              <w:bottom w:val="single" w:sz="4" w:space="0" w:color="auto"/>
              <w:right w:val="single" w:sz="4" w:space="0" w:color="auto"/>
            </w:tcBorders>
            <w:shd w:val="clear" w:color="auto" w:fill="auto"/>
            <w:noWrap/>
            <w:vAlign w:val="bottom"/>
            <w:hideMark/>
          </w:tcPr>
          <w:p w14:paraId="5229268B" w14:textId="77777777" w:rsidR="00B968BF" w:rsidRDefault="00B968BF" w:rsidP="00EB242A">
            <w:pPr>
              <w:jc w:val="center"/>
              <w:rPr>
                <w:color w:val="000000"/>
                <w:sz w:val="20"/>
                <w:szCs w:val="20"/>
              </w:rPr>
            </w:pPr>
            <w:r>
              <w:rPr>
                <w:color w:val="000000"/>
                <w:sz w:val="20"/>
                <w:szCs w:val="20"/>
              </w:rPr>
              <w:t>17</w:t>
            </w:r>
          </w:p>
        </w:tc>
        <w:tc>
          <w:tcPr>
            <w:tcW w:w="695" w:type="dxa"/>
            <w:tcBorders>
              <w:top w:val="nil"/>
              <w:left w:val="nil"/>
              <w:bottom w:val="single" w:sz="4" w:space="0" w:color="auto"/>
              <w:right w:val="single" w:sz="4" w:space="0" w:color="auto"/>
            </w:tcBorders>
            <w:shd w:val="clear" w:color="000000" w:fill="CCFFCC"/>
            <w:noWrap/>
            <w:vAlign w:val="bottom"/>
            <w:hideMark/>
          </w:tcPr>
          <w:p w14:paraId="0FB87FA3" w14:textId="77777777" w:rsidR="00B968BF" w:rsidRDefault="00B968BF" w:rsidP="00EB242A">
            <w:pPr>
              <w:jc w:val="center"/>
              <w:rPr>
                <w:color w:val="000000"/>
                <w:sz w:val="20"/>
                <w:szCs w:val="20"/>
              </w:rPr>
            </w:pPr>
            <w:r>
              <w:rPr>
                <w:color w:val="000000"/>
                <w:sz w:val="20"/>
                <w:szCs w:val="20"/>
              </w:rPr>
              <w:t>1</w:t>
            </w:r>
          </w:p>
        </w:tc>
        <w:tc>
          <w:tcPr>
            <w:tcW w:w="1225" w:type="dxa"/>
            <w:tcBorders>
              <w:top w:val="nil"/>
              <w:left w:val="nil"/>
              <w:bottom w:val="single" w:sz="4" w:space="0" w:color="auto"/>
              <w:right w:val="single" w:sz="4" w:space="0" w:color="auto"/>
            </w:tcBorders>
            <w:shd w:val="clear" w:color="auto" w:fill="auto"/>
            <w:noWrap/>
            <w:vAlign w:val="bottom"/>
            <w:hideMark/>
          </w:tcPr>
          <w:p w14:paraId="34053B3A" w14:textId="77777777" w:rsidR="00B968BF" w:rsidRDefault="00B968BF" w:rsidP="00EB242A">
            <w:pPr>
              <w:jc w:val="center"/>
              <w:rPr>
                <w:color w:val="000000"/>
                <w:sz w:val="20"/>
                <w:szCs w:val="20"/>
              </w:rPr>
            </w:pPr>
            <w:r>
              <w:rPr>
                <w:color w:val="000000"/>
                <w:sz w:val="20"/>
                <w:szCs w:val="20"/>
              </w:rPr>
              <w:t>17</w:t>
            </w:r>
          </w:p>
        </w:tc>
        <w:tc>
          <w:tcPr>
            <w:tcW w:w="1920" w:type="dxa"/>
            <w:gridSpan w:val="2"/>
            <w:vMerge/>
            <w:tcBorders>
              <w:top w:val="nil"/>
              <w:left w:val="nil"/>
              <w:bottom w:val="single" w:sz="4" w:space="0" w:color="auto"/>
              <w:right w:val="single" w:sz="4" w:space="0" w:color="auto"/>
            </w:tcBorders>
            <w:vAlign w:val="center"/>
            <w:hideMark/>
          </w:tcPr>
          <w:p w14:paraId="47BDDD96" w14:textId="77777777" w:rsidR="00B968BF" w:rsidRDefault="00B968BF" w:rsidP="00EB242A">
            <w:pPr>
              <w:jc w:val="center"/>
              <w:rPr>
                <w:b/>
                <w:bCs/>
                <w:color w:val="000000"/>
                <w:sz w:val="20"/>
                <w:szCs w:val="20"/>
              </w:rPr>
            </w:pPr>
          </w:p>
        </w:tc>
      </w:tr>
      <w:tr w:rsidR="00B968BF" w14:paraId="12B71B1A"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195D6F26"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307DB882"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bottom"/>
            <w:hideMark/>
          </w:tcPr>
          <w:p w14:paraId="621C1370" w14:textId="77777777" w:rsidR="00B968BF" w:rsidRDefault="00B968BF" w:rsidP="00EB242A">
            <w:pPr>
              <w:jc w:val="center"/>
              <w:rPr>
                <w:color w:val="000000"/>
                <w:sz w:val="20"/>
                <w:szCs w:val="20"/>
              </w:rPr>
            </w:pPr>
            <w:r>
              <w:rPr>
                <w:color w:val="000000"/>
                <w:sz w:val="20"/>
                <w:szCs w:val="20"/>
              </w:rPr>
              <w:t>2015.gads</w:t>
            </w:r>
          </w:p>
        </w:tc>
        <w:tc>
          <w:tcPr>
            <w:tcW w:w="695" w:type="dxa"/>
            <w:tcBorders>
              <w:top w:val="nil"/>
              <w:left w:val="nil"/>
              <w:bottom w:val="single" w:sz="4" w:space="0" w:color="auto"/>
              <w:right w:val="single" w:sz="4" w:space="0" w:color="auto"/>
            </w:tcBorders>
            <w:shd w:val="clear" w:color="000000" w:fill="CC99FF"/>
            <w:noWrap/>
            <w:vAlign w:val="bottom"/>
            <w:hideMark/>
          </w:tcPr>
          <w:p w14:paraId="6A22A313" w14:textId="77777777" w:rsidR="00B968BF" w:rsidRDefault="00B968BF" w:rsidP="00EB242A">
            <w:pPr>
              <w:jc w:val="center"/>
              <w:rPr>
                <w:b/>
                <w:bCs/>
                <w:color w:val="000000"/>
                <w:sz w:val="20"/>
                <w:szCs w:val="20"/>
              </w:rPr>
            </w:pPr>
            <w:r>
              <w:rPr>
                <w:b/>
                <w:bCs/>
                <w:color w:val="000000"/>
                <w:sz w:val="20"/>
                <w:szCs w:val="20"/>
              </w:rPr>
              <w:t>85</w:t>
            </w:r>
          </w:p>
        </w:tc>
        <w:tc>
          <w:tcPr>
            <w:tcW w:w="1225" w:type="dxa"/>
            <w:tcBorders>
              <w:top w:val="nil"/>
              <w:left w:val="nil"/>
              <w:bottom w:val="single" w:sz="4" w:space="0" w:color="auto"/>
              <w:right w:val="single" w:sz="4" w:space="0" w:color="auto"/>
            </w:tcBorders>
            <w:shd w:val="clear" w:color="000000" w:fill="FFFF99"/>
            <w:noWrap/>
            <w:vAlign w:val="bottom"/>
            <w:hideMark/>
          </w:tcPr>
          <w:p w14:paraId="4DD7059D" w14:textId="77777777" w:rsidR="00B968BF" w:rsidRDefault="00B968BF" w:rsidP="00EB242A">
            <w:pPr>
              <w:jc w:val="center"/>
              <w:rPr>
                <w:b/>
                <w:bCs/>
                <w:color w:val="000000"/>
                <w:sz w:val="20"/>
                <w:szCs w:val="20"/>
              </w:rPr>
            </w:pPr>
            <w:r>
              <w:rPr>
                <w:b/>
                <w:bCs/>
                <w:color w:val="000000"/>
                <w:sz w:val="20"/>
                <w:szCs w:val="20"/>
              </w:rPr>
              <w:t>68 765</w:t>
            </w:r>
          </w:p>
        </w:tc>
        <w:tc>
          <w:tcPr>
            <w:tcW w:w="695" w:type="dxa"/>
            <w:tcBorders>
              <w:top w:val="nil"/>
              <w:left w:val="nil"/>
              <w:bottom w:val="single" w:sz="4" w:space="0" w:color="auto"/>
              <w:right w:val="single" w:sz="4" w:space="0" w:color="auto"/>
            </w:tcBorders>
            <w:shd w:val="clear" w:color="000000" w:fill="CC99FF"/>
            <w:noWrap/>
            <w:vAlign w:val="bottom"/>
            <w:hideMark/>
          </w:tcPr>
          <w:p w14:paraId="4CFF3F96" w14:textId="77777777" w:rsidR="00B968BF" w:rsidRDefault="00B968BF" w:rsidP="00EB242A">
            <w:pPr>
              <w:jc w:val="center"/>
              <w:rPr>
                <w:b/>
                <w:bCs/>
                <w:color w:val="000000"/>
                <w:sz w:val="20"/>
                <w:szCs w:val="20"/>
              </w:rPr>
            </w:pPr>
            <w:r>
              <w:rPr>
                <w:b/>
                <w:bCs/>
                <w:color w:val="000000"/>
                <w:sz w:val="20"/>
                <w:szCs w:val="20"/>
              </w:rPr>
              <w:t>34</w:t>
            </w:r>
          </w:p>
        </w:tc>
        <w:tc>
          <w:tcPr>
            <w:tcW w:w="1225" w:type="dxa"/>
            <w:tcBorders>
              <w:top w:val="nil"/>
              <w:left w:val="nil"/>
              <w:bottom w:val="single" w:sz="4" w:space="0" w:color="auto"/>
              <w:right w:val="single" w:sz="4" w:space="0" w:color="auto"/>
            </w:tcBorders>
            <w:shd w:val="clear" w:color="000000" w:fill="FFFF99"/>
            <w:noWrap/>
            <w:vAlign w:val="bottom"/>
            <w:hideMark/>
          </w:tcPr>
          <w:p w14:paraId="77373861" w14:textId="77777777" w:rsidR="00B968BF" w:rsidRDefault="00B968BF" w:rsidP="00EB242A">
            <w:pPr>
              <w:jc w:val="center"/>
              <w:rPr>
                <w:b/>
                <w:bCs/>
                <w:color w:val="000000"/>
                <w:sz w:val="20"/>
                <w:szCs w:val="20"/>
              </w:rPr>
            </w:pPr>
            <w:r>
              <w:rPr>
                <w:b/>
                <w:bCs/>
                <w:color w:val="000000"/>
                <w:sz w:val="20"/>
                <w:szCs w:val="20"/>
              </w:rPr>
              <w:t>27 506</w:t>
            </w:r>
          </w:p>
        </w:tc>
        <w:tc>
          <w:tcPr>
            <w:tcW w:w="695" w:type="dxa"/>
            <w:tcBorders>
              <w:top w:val="nil"/>
              <w:left w:val="nil"/>
              <w:bottom w:val="single" w:sz="4" w:space="0" w:color="auto"/>
              <w:right w:val="single" w:sz="4" w:space="0" w:color="auto"/>
            </w:tcBorders>
            <w:shd w:val="clear" w:color="000000" w:fill="CC99FF"/>
            <w:noWrap/>
            <w:vAlign w:val="bottom"/>
            <w:hideMark/>
          </w:tcPr>
          <w:p w14:paraId="1C7AC7BE" w14:textId="77777777" w:rsidR="00B968BF" w:rsidRDefault="00B968BF" w:rsidP="00EB242A">
            <w:pPr>
              <w:jc w:val="center"/>
              <w:rPr>
                <w:b/>
                <w:bCs/>
                <w:color w:val="000000"/>
                <w:sz w:val="20"/>
                <w:szCs w:val="20"/>
              </w:rPr>
            </w:pPr>
            <w:r>
              <w:rPr>
                <w:b/>
                <w:bCs/>
                <w:color w:val="000000"/>
                <w:sz w:val="20"/>
                <w:szCs w:val="20"/>
              </w:rPr>
              <w:t>17</w:t>
            </w:r>
          </w:p>
        </w:tc>
        <w:tc>
          <w:tcPr>
            <w:tcW w:w="1225" w:type="dxa"/>
            <w:tcBorders>
              <w:top w:val="nil"/>
              <w:left w:val="nil"/>
              <w:bottom w:val="single" w:sz="4" w:space="0" w:color="auto"/>
              <w:right w:val="single" w:sz="4" w:space="0" w:color="auto"/>
            </w:tcBorders>
            <w:shd w:val="clear" w:color="000000" w:fill="FFFF99"/>
            <w:noWrap/>
            <w:vAlign w:val="bottom"/>
            <w:hideMark/>
          </w:tcPr>
          <w:p w14:paraId="2D4D8A15" w14:textId="77777777" w:rsidR="00B968BF" w:rsidRDefault="00B968BF" w:rsidP="00EB242A">
            <w:pPr>
              <w:jc w:val="center"/>
              <w:rPr>
                <w:b/>
                <w:bCs/>
                <w:color w:val="000000"/>
                <w:sz w:val="20"/>
                <w:szCs w:val="20"/>
              </w:rPr>
            </w:pPr>
            <w:r>
              <w:rPr>
                <w:b/>
                <w:bCs/>
                <w:color w:val="000000"/>
                <w:sz w:val="20"/>
                <w:szCs w:val="20"/>
              </w:rPr>
              <w:t>13 753</w:t>
            </w:r>
          </w:p>
        </w:tc>
      </w:tr>
      <w:tr w:rsidR="00B968BF" w14:paraId="7CCFFF8E"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15977543"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6E7A4362"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C0C0C0"/>
            <w:noWrap/>
            <w:vAlign w:val="bottom"/>
            <w:hideMark/>
          </w:tcPr>
          <w:p w14:paraId="637801B5" w14:textId="77777777" w:rsidR="00B968BF" w:rsidRDefault="00B968BF" w:rsidP="00EB242A">
            <w:pPr>
              <w:jc w:val="center"/>
              <w:rPr>
                <w:color w:val="000000"/>
                <w:sz w:val="20"/>
                <w:szCs w:val="20"/>
              </w:rPr>
            </w:pPr>
            <w:r>
              <w:rPr>
                <w:color w:val="000000"/>
                <w:sz w:val="20"/>
                <w:szCs w:val="20"/>
              </w:rPr>
              <w:t>809</w:t>
            </w:r>
          </w:p>
        </w:tc>
        <w:tc>
          <w:tcPr>
            <w:tcW w:w="695" w:type="dxa"/>
            <w:tcBorders>
              <w:top w:val="nil"/>
              <w:left w:val="nil"/>
              <w:bottom w:val="single" w:sz="4" w:space="0" w:color="auto"/>
              <w:right w:val="single" w:sz="4" w:space="0" w:color="auto"/>
            </w:tcBorders>
            <w:shd w:val="clear" w:color="000000" w:fill="CCFFCC"/>
            <w:noWrap/>
            <w:vAlign w:val="bottom"/>
            <w:hideMark/>
          </w:tcPr>
          <w:p w14:paraId="0DE66761" w14:textId="77777777" w:rsidR="00B968BF" w:rsidRDefault="00B968BF" w:rsidP="00EB242A">
            <w:pPr>
              <w:jc w:val="center"/>
              <w:rPr>
                <w:color w:val="000000"/>
                <w:sz w:val="20"/>
                <w:szCs w:val="20"/>
              </w:rPr>
            </w:pPr>
            <w:r>
              <w:rPr>
                <w:color w:val="000000"/>
                <w:sz w:val="20"/>
                <w:szCs w:val="20"/>
              </w:rPr>
              <w:t>5</w:t>
            </w:r>
          </w:p>
        </w:tc>
        <w:tc>
          <w:tcPr>
            <w:tcW w:w="1225" w:type="dxa"/>
            <w:tcBorders>
              <w:top w:val="nil"/>
              <w:left w:val="nil"/>
              <w:bottom w:val="single" w:sz="4" w:space="0" w:color="auto"/>
              <w:right w:val="single" w:sz="4" w:space="0" w:color="auto"/>
            </w:tcBorders>
            <w:shd w:val="clear" w:color="auto" w:fill="auto"/>
            <w:noWrap/>
            <w:vAlign w:val="bottom"/>
            <w:hideMark/>
          </w:tcPr>
          <w:p w14:paraId="5B18B9EC" w14:textId="77777777" w:rsidR="00B968BF" w:rsidRDefault="00B968BF" w:rsidP="00EB242A">
            <w:pPr>
              <w:jc w:val="center"/>
              <w:rPr>
                <w:color w:val="000000"/>
                <w:sz w:val="20"/>
                <w:szCs w:val="20"/>
              </w:rPr>
            </w:pPr>
            <w:r>
              <w:rPr>
                <w:color w:val="000000"/>
                <w:sz w:val="20"/>
                <w:szCs w:val="20"/>
              </w:rPr>
              <w:t>17</w:t>
            </w:r>
          </w:p>
        </w:tc>
        <w:tc>
          <w:tcPr>
            <w:tcW w:w="695" w:type="dxa"/>
            <w:tcBorders>
              <w:top w:val="nil"/>
              <w:left w:val="nil"/>
              <w:bottom w:val="single" w:sz="4" w:space="0" w:color="auto"/>
              <w:right w:val="single" w:sz="4" w:space="0" w:color="auto"/>
            </w:tcBorders>
            <w:shd w:val="clear" w:color="000000" w:fill="CCFFCC"/>
            <w:noWrap/>
            <w:vAlign w:val="bottom"/>
            <w:hideMark/>
          </w:tcPr>
          <w:p w14:paraId="5EA169B9" w14:textId="77777777" w:rsidR="00B968BF" w:rsidRDefault="00B968BF" w:rsidP="00EB242A">
            <w:pPr>
              <w:jc w:val="center"/>
              <w:rPr>
                <w:color w:val="000000"/>
                <w:sz w:val="20"/>
                <w:szCs w:val="20"/>
              </w:rPr>
            </w:pPr>
            <w:r>
              <w:rPr>
                <w:color w:val="000000"/>
                <w:sz w:val="20"/>
                <w:szCs w:val="20"/>
              </w:rPr>
              <w:t>2</w:t>
            </w:r>
          </w:p>
        </w:tc>
        <w:tc>
          <w:tcPr>
            <w:tcW w:w="1225" w:type="dxa"/>
            <w:tcBorders>
              <w:top w:val="nil"/>
              <w:left w:val="nil"/>
              <w:bottom w:val="single" w:sz="4" w:space="0" w:color="auto"/>
              <w:right w:val="single" w:sz="4" w:space="0" w:color="auto"/>
            </w:tcBorders>
            <w:shd w:val="clear" w:color="auto" w:fill="auto"/>
            <w:noWrap/>
            <w:vAlign w:val="bottom"/>
            <w:hideMark/>
          </w:tcPr>
          <w:p w14:paraId="7161D9FC" w14:textId="77777777" w:rsidR="00B968BF" w:rsidRDefault="00B968BF" w:rsidP="00EB242A">
            <w:pPr>
              <w:jc w:val="center"/>
              <w:rPr>
                <w:color w:val="000000"/>
                <w:sz w:val="20"/>
                <w:szCs w:val="20"/>
              </w:rPr>
            </w:pPr>
            <w:r>
              <w:rPr>
                <w:color w:val="000000"/>
                <w:sz w:val="20"/>
                <w:szCs w:val="20"/>
              </w:rPr>
              <w:t>17</w:t>
            </w:r>
          </w:p>
        </w:tc>
        <w:tc>
          <w:tcPr>
            <w:tcW w:w="695" w:type="dxa"/>
            <w:tcBorders>
              <w:top w:val="nil"/>
              <w:left w:val="nil"/>
              <w:bottom w:val="single" w:sz="4" w:space="0" w:color="auto"/>
              <w:right w:val="single" w:sz="4" w:space="0" w:color="auto"/>
            </w:tcBorders>
            <w:shd w:val="clear" w:color="000000" w:fill="CCFFCC"/>
            <w:noWrap/>
            <w:vAlign w:val="bottom"/>
            <w:hideMark/>
          </w:tcPr>
          <w:p w14:paraId="51F49B72" w14:textId="77777777" w:rsidR="00B968BF" w:rsidRDefault="00B968BF" w:rsidP="00EB242A">
            <w:pPr>
              <w:jc w:val="center"/>
              <w:rPr>
                <w:color w:val="000000"/>
                <w:sz w:val="20"/>
                <w:szCs w:val="20"/>
              </w:rPr>
            </w:pPr>
            <w:r>
              <w:rPr>
                <w:color w:val="000000"/>
                <w:sz w:val="20"/>
                <w:szCs w:val="20"/>
              </w:rPr>
              <w:t>1</w:t>
            </w:r>
          </w:p>
        </w:tc>
        <w:tc>
          <w:tcPr>
            <w:tcW w:w="1225" w:type="dxa"/>
            <w:tcBorders>
              <w:top w:val="nil"/>
              <w:left w:val="nil"/>
              <w:bottom w:val="single" w:sz="4" w:space="0" w:color="auto"/>
              <w:right w:val="single" w:sz="4" w:space="0" w:color="auto"/>
            </w:tcBorders>
            <w:shd w:val="clear" w:color="auto" w:fill="auto"/>
            <w:noWrap/>
            <w:vAlign w:val="bottom"/>
            <w:hideMark/>
          </w:tcPr>
          <w:p w14:paraId="2FFC4AD8" w14:textId="77777777" w:rsidR="00B968BF" w:rsidRDefault="00B968BF" w:rsidP="00EB242A">
            <w:pPr>
              <w:jc w:val="center"/>
              <w:rPr>
                <w:color w:val="000000"/>
                <w:sz w:val="20"/>
                <w:szCs w:val="20"/>
              </w:rPr>
            </w:pPr>
            <w:r>
              <w:rPr>
                <w:color w:val="000000"/>
                <w:sz w:val="20"/>
                <w:szCs w:val="20"/>
              </w:rPr>
              <w:t>17</w:t>
            </w:r>
          </w:p>
        </w:tc>
      </w:tr>
      <w:tr w:rsidR="00B968BF" w14:paraId="1CA0D8D9"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528BE88A"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5C64DD02"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bottom"/>
            <w:hideMark/>
          </w:tcPr>
          <w:p w14:paraId="247F7EA1" w14:textId="77777777" w:rsidR="00B968BF" w:rsidRDefault="00B968BF" w:rsidP="00EB242A">
            <w:pPr>
              <w:jc w:val="center"/>
              <w:rPr>
                <w:color w:val="000000"/>
                <w:sz w:val="20"/>
                <w:szCs w:val="20"/>
              </w:rPr>
            </w:pPr>
            <w:r>
              <w:rPr>
                <w:color w:val="000000"/>
                <w:sz w:val="20"/>
                <w:szCs w:val="20"/>
              </w:rPr>
              <w:t>2016.gads</w:t>
            </w:r>
          </w:p>
        </w:tc>
        <w:tc>
          <w:tcPr>
            <w:tcW w:w="695" w:type="dxa"/>
            <w:tcBorders>
              <w:top w:val="nil"/>
              <w:left w:val="nil"/>
              <w:bottom w:val="single" w:sz="4" w:space="0" w:color="auto"/>
              <w:right w:val="single" w:sz="4" w:space="0" w:color="auto"/>
            </w:tcBorders>
            <w:shd w:val="clear" w:color="000000" w:fill="CC99FF"/>
            <w:noWrap/>
            <w:vAlign w:val="bottom"/>
            <w:hideMark/>
          </w:tcPr>
          <w:p w14:paraId="4A29A55A" w14:textId="77777777" w:rsidR="00B968BF" w:rsidRDefault="00B968BF" w:rsidP="00EB242A">
            <w:pPr>
              <w:jc w:val="center"/>
              <w:rPr>
                <w:b/>
                <w:bCs/>
                <w:color w:val="000000"/>
                <w:sz w:val="20"/>
                <w:szCs w:val="20"/>
              </w:rPr>
            </w:pPr>
            <w:r>
              <w:rPr>
                <w:b/>
                <w:bCs/>
                <w:color w:val="000000"/>
                <w:sz w:val="20"/>
                <w:szCs w:val="20"/>
              </w:rPr>
              <w:t>901</w:t>
            </w:r>
          </w:p>
        </w:tc>
        <w:tc>
          <w:tcPr>
            <w:tcW w:w="1225" w:type="dxa"/>
            <w:tcBorders>
              <w:top w:val="nil"/>
              <w:left w:val="nil"/>
              <w:bottom w:val="single" w:sz="4" w:space="0" w:color="auto"/>
              <w:right w:val="single" w:sz="4" w:space="0" w:color="auto"/>
            </w:tcBorders>
            <w:shd w:val="clear" w:color="000000" w:fill="FFFF99"/>
            <w:noWrap/>
            <w:vAlign w:val="bottom"/>
            <w:hideMark/>
          </w:tcPr>
          <w:p w14:paraId="3AB956BF" w14:textId="77777777" w:rsidR="00B968BF" w:rsidRDefault="00B968BF" w:rsidP="00EB242A">
            <w:pPr>
              <w:jc w:val="center"/>
              <w:rPr>
                <w:b/>
                <w:bCs/>
                <w:color w:val="000000"/>
                <w:sz w:val="20"/>
                <w:szCs w:val="20"/>
              </w:rPr>
            </w:pPr>
            <w:r>
              <w:rPr>
                <w:b/>
                <w:bCs/>
                <w:color w:val="000000"/>
                <w:sz w:val="20"/>
                <w:szCs w:val="20"/>
              </w:rPr>
              <w:t>794 682</w:t>
            </w:r>
          </w:p>
        </w:tc>
        <w:tc>
          <w:tcPr>
            <w:tcW w:w="695" w:type="dxa"/>
            <w:tcBorders>
              <w:top w:val="nil"/>
              <w:left w:val="nil"/>
              <w:bottom w:val="single" w:sz="4" w:space="0" w:color="auto"/>
              <w:right w:val="single" w:sz="4" w:space="0" w:color="auto"/>
            </w:tcBorders>
            <w:shd w:val="clear" w:color="000000" w:fill="CC99FF"/>
            <w:noWrap/>
            <w:vAlign w:val="bottom"/>
            <w:hideMark/>
          </w:tcPr>
          <w:p w14:paraId="7341AA2F" w14:textId="77777777" w:rsidR="00B968BF" w:rsidRDefault="00B968BF" w:rsidP="00EB242A">
            <w:pPr>
              <w:jc w:val="center"/>
              <w:rPr>
                <w:b/>
                <w:bCs/>
                <w:color w:val="000000"/>
                <w:sz w:val="20"/>
                <w:szCs w:val="20"/>
              </w:rPr>
            </w:pPr>
            <w:r>
              <w:rPr>
                <w:b/>
                <w:bCs/>
                <w:color w:val="000000"/>
                <w:sz w:val="20"/>
                <w:szCs w:val="20"/>
              </w:rPr>
              <w:t>85</w:t>
            </w:r>
          </w:p>
        </w:tc>
        <w:tc>
          <w:tcPr>
            <w:tcW w:w="1225" w:type="dxa"/>
            <w:tcBorders>
              <w:top w:val="nil"/>
              <w:left w:val="nil"/>
              <w:bottom w:val="single" w:sz="4" w:space="0" w:color="auto"/>
              <w:right w:val="single" w:sz="4" w:space="0" w:color="auto"/>
            </w:tcBorders>
            <w:shd w:val="clear" w:color="000000" w:fill="FFFF99"/>
            <w:noWrap/>
            <w:vAlign w:val="bottom"/>
            <w:hideMark/>
          </w:tcPr>
          <w:p w14:paraId="392AD43F" w14:textId="77777777" w:rsidR="00B968BF" w:rsidRDefault="00B968BF" w:rsidP="00EB242A">
            <w:pPr>
              <w:jc w:val="center"/>
              <w:rPr>
                <w:b/>
                <w:bCs/>
                <w:color w:val="000000"/>
                <w:sz w:val="20"/>
                <w:szCs w:val="20"/>
              </w:rPr>
            </w:pPr>
            <w:r>
              <w:rPr>
                <w:b/>
                <w:bCs/>
                <w:color w:val="000000"/>
                <w:sz w:val="20"/>
                <w:szCs w:val="20"/>
              </w:rPr>
              <w:t>74 970</w:t>
            </w:r>
          </w:p>
        </w:tc>
        <w:tc>
          <w:tcPr>
            <w:tcW w:w="695" w:type="dxa"/>
            <w:tcBorders>
              <w:top w:val="nil"/>
              <w:left w:val="nil"/>
              <w:bottom w:val="single" w:sz="4" w:space="0" w:color="auto"/>
              <w:right w:val="single" w:sz="4" w:space="0" w:color="auto"/>
            </w:tcBorders>
            <w:shd w:val="clear" w:color="000000" w:fill="CC99FF"/>
            <w:noWrap/>
            <w:vAlign w:val="bottom"/>
            <w:hideMark/>
          </w:tcPr>
          <w:p w14:paraId="3B1D4270" w14:textId="77777777" w:rsidR="00B968BF" w:rsidRDefault="00B968BF" w:rsidP="00EB242A">
            <w:pPr>
              <w:jc w:val="center"/>
              <w:rPr>
                <w:b/>
                <w:bCs/>
                <w:color w:val="000000"/>
                <w:sz w:val="20"/>
                <w:szCs w:val="20"/>
              </w:rPr>
            </w:pPr>
            <w:r>
              <w:rPr>
                <w:b/>
                <w:bCs/>
                <w:color w:val="000000"/>
                <w:sz w:val="20"/>
                <w:szCs w:val="20"/>
              </w:rPr>
              <w:t>34</w:t>
            </w:r>
          </w:p>
        </w:tc>
        <w:tc>
          <w:tcPr>
            <w:tcW w:w="1225" w:type="dxa"/>
            <w:tcBorders>
              <w:top w:val="nil"/>
              <w:left w:val="nil"/>
              <w:bottom w:val="single" w:sz="4" w:space="0" w:color="auto"/>
              <w:right w:val="single" w:sz="4" w:space="0" w:color="auto"/>
            </w:tcBorders>
            <w:shd w:val="clear" w:color="000000" w:fill="FFFF99"/>
            <w:noWrap/>
            <w:vAlign w:val="bottom"/>
            <w:hideMark/>
          </w:tcPr>
          <w:p w14:paraId="6C8A9C73" w14:textId="77777777" w:rsidR="00B968BF" w:rsidRDefault="00B968BF" w:rsidP="00EB242A">
            <w:pPr>
              <w:jc w:val="center"/>
              <w:rPr>
                <w:b/>
                <w:bCs/>
                <w:color w:val="000000"/>
                <w:sz w:val="20"/>
                <w:szCs w:val="20"/>
              </w:rPr>
            </w:pPr>
            <w:r>
              <w:rPr>
                <w:b/>
                <w:bCs/>
                <w:color w:val="000000"/>
                <w:sz w:val="20"/>
                <w:szCs w:val="20"/>
              </w:rPr>
              <w:t>29 988</w:t>
            </w:r>
          </w:p>
        </w:tc>
      </w:tr>
      <w:tr w:rsidR="00B968BF" w14:paraId="36354305"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61ABB40D"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132751E8"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C0C0C0"/>
            <w:noWrap/>
            <w:vAlign w:val="bottom"/>
            <w:hideMark/>
          </w:tcPr>
          <w:p w14:paraId="667DFC6F" w14:textId="77777777" w:rsidR="00B968BF" w:rsidRDefault="00B968BF" w:rsidP="00EB242A">
            <w:pPr>
              <w:jc w:val="center"/>
              <w:rPr>
                <w:color w:val="000000"/>
                <w:sz w:val="20"/>
                <w:szCs w:val="20"/>
              </w:rPr>
            </w:pPr>
            <w:r>
              <w:rPr>
                <w:color w:val="000000"/>
                <w:sz w:val="20"/>
                <w:szCs w:val="20"/>
              </w:rPr>
              <w:t>882</w:t>
            </w:r>
          </w:p>
        </w:tc>
        <w:tc>
          <w:tcPr>
            <w:tcW w:w="695" w:type="dxa"/>
            <w:tcBorders>
              <w:top w:val="nil"/>
              <w:left w:val="nil"/>
              <w:bottom w:val="single" w:sz="4" w:space="0" w:color="auto"/>
              <w:right w:val="single" w:sz="4" w:space="0" w:color="auto"/>
            </w:tcBorders>
            <w:shd w:val="clear" w:color="000000" w:fill="CCFFCC"/>
            <w:noWrap/>
            <w:vAlign w:val="bottom"/>
            <w:hideMark/>
          </w:tcPr>
          <w:p w14:paraId="0A4A0F49" w14:textId="77777777" w:rsidR="00B968BF" w:rsidRDefault="00B968BF" w:rsidP="00EB242A">
            <w:pPr>
              <w:jc w:val="center"/>
              <w:rPr>
                <w:color w:val="000000"/>
                <w:sz w:val="20"/>
                <w:szCs w:val="20"/>
              </w:rPr>
            </w:pPr>
            <w:r>
              <w:rPr>
                <w:color w:val="000000"/>
                <w:sz w:val="20"/>
                <w:szCs w:val="20"/>
              </w:rPr>
              <w:t>53</w:t>
            </w:r>
          </w:p>
        </w:tc>
        <w:tc>
          <w:tcPr>
            <w:tcW w:w="1225" w:type="dxa"/>
            <w:tcBorders>
              <w:top w:val="nil"/>
              <w:left w:val="nil"/>
              <w:bottom w:val="single" w:sz="4" w:space="0" w:color="auto"/>
              <w:right w:val="single" w:sz="4" w:space="0" w:color="auto"/>
            </w:tcBorders>
            <w:shd w:val="clear" w:color="auto" w:fill="auto"/>
            <w:noWrap/>
            <w:vAlign w:val="bottom"/>
            <w:hideMark/>
          </w:tcPr>
          <w:p w14:paraId="563918A5" w14:textId="77777777" w:rsidR="00B968BF" w:rsidRDefault="00B968BF" w:rsidP="00EB242A">
            <w:pPr>
              <w:jc w:val="center"/>
              <w:rPr>
                <w:color w:val="000000"/>
                <w:sz w:val="20"/>
                <w:szCs w:val="20"/>
              </w:rPr>
            </w:pPr>
            <w:r>
              <w:rPr>
                <w:color w:val="000000"/>
                <w:sz w:val="20"/>
                <w:szCs w:val="20"/>
              </w:rPr>
              <w:t>17</w:t>
            </w:r>
          </w:p>
        </w:tc>
        <w:tc>
          <w:tcPr>
            <w:tcW w:w="695" w:type="dxa"/>
            <w:tcBorders>
              <w:top w:val="nil"/>
              <w:left w:val="nil"/>
              <w:bottom w:val="single" w:sz="4" w:space="0" w:color="auto"/>
              <w:right w:val="single" w:sz="4" w:space="0" w:color="auto"/>
            </w:tcBorders>
            <w:shd w:val="clear" w:color="000000" w:fill="CCFFCC"/>
            <w:noWrap/>
            <w:vAlign w:val="bottom"/>
            <w:hideMark/>
          </w:tcPr>
          <w:p w14:paraId="67734376" w14:textId="77777777" w:rsidR="00B968BF" w:rsidRDefault="00B968BF" w:rsidP="00EB242A">
            <w:pPr>
              <w:jc w:val="center"/>
              <w:rPr>
                <w:color w:val="000000"/>
                <w:sz w:val="20"/>
                <w:szCs w:val="20"/>
              </w:rPr>
            </w:pPr>
            <w:r>
              <w:rPr>
                <w:color w:val="000000"/>
                <w:sz w:val="20"/>
                <w:szCs w:val="20"/>
              </w:rPr>
              <w:t>5</w:t>
            </w:r>
          </w:p>
        </w:tc>
        <w:tc>
          <w:tcPr>
            <w:tcW w:w="1225" w:type="dxa"/>
            <w:tcBorders>
              <w:top w:val="nil"/>
              <w:left w:val="nil"/>
              <w:bottom w:val="single" w:sz="4" w:space="0" w:color="auto"/>
              <w:right w:val="single" w:sz="4" w:space="0" w:color="auto"/>
            </w:tcBorders>
            <w:shd w:val="clear" w:color="auto" w:fill="auto"/>
            <w:noWrap/>
            <w:vAlign w:val="bottom"/>
            <w:hideMark/>
          </w:tcPr>
          <w:p w14:paraId="4BEFF7AF" w14:textId="77777777" w:rsidR="00B968BF" w:rsidRDefault="00B968BF" w:rsidP="00EB242A">
            <w:pPr>
              <w:jc w:val="center"/>
              <w:rPr>
                <w:color w:val="000000"/>
                <w:sz w:val="20"/>
                <w:szCs w:val="20"/>
              </w:rPr>
            </w:pPr>
            <w:r>
              <w:rPr>
                <w:color w:val="000000"/>
                <w:sz w:val="20"/>
                <w:szCs w:val="20"/>
              </w:rPr>
              <w:t>17</w:t>
            </w:r>
          </w:p>
        </w:tc>
        <w:tc>
          <w:tcPr>
            <w:tcW w:w="695" w:type="dxa"/>
            <w:tcBorders>
              <w:top w:val="nil"/>
              <w:left w:val="nil"/>
              <w:bottom w:val="single" w:sz="4" w:space="0" w:color="auto"/>
              <w:right w:val="single" w:sz="4" w:space="0" w:color="auto"/>
            </w:tcBorders>
            <w:shd w:val="clear" w:color="000000" w:fill="CCFFCC"/>
            <w:noWrap/>
            <w:vAlign w:val="bottom"/>
            <w:hideMark/>
          </w:tcPr>
          <w:p w14:paraId="4FFDCB0A" w14:textId="77777777" w:rsidR="00B968BF" w:rsidRDefault="00B968BF" w:rsidP="00EB242A">
            <w:pPr>
              <w:jc w:val="center"/>
              <w:rPr>
                <w:color w:val="000000"/>
                <w:sz w:val="20"/>
                <w:szCs w:val="20"/>
              </w:rPr>
            </w:pPr>
            <w:r>
              <w:rPr>
                <w:color w:val="000000"/>
                <w:sz w:val="20"/>
                <w:szCs w:val="20"/>
              </w:rPr>
              <w:t>2</w:t>
            </w:r>
          </w:p>
        </w:tc>
        <w:tc>
          <w:tcPr>
            <w:tcW w:w="1225" w:type="dxa"/>
            <w:tcBorders>
              <w:top w:val="nil"/>
              <w:left w:val="nil"/>
              <w:bottom w:val="single" w:sz="4" w:space="0" w:color="auto"/>
              <w:right w:val="single" w:sz="4" w:space="0" w:color="auto"/>
            </w:tcBorders>
            <w:shd w:val="clear" w:color="auto" w:fill="auto"/>
            <w:noWrap/>
            <w:vAlign w:val="bottom"/>
            <w:hideMark/>
          </w:tcPr>
          <w:p w14:paraId="56633000" w14:textId="77777777" w:rsidR="00B968BF" w:rsidRDefault="00B968BF" w:rsidP="00EB242A">
            <w:pPr>
              <w:jc w:val="center"/>
              <w:rPr>
                <w:color w:val="000000"/>
                <w:sz w:val="20"/>
                <w:szCs w:val="20"/>
              </w:rPr>
            </w:pPr>
            <w:r>
              <w:rPr>
                <w:color w:val="000000"/>
                <w:sz w:val="20"/>
                <w:szCs w:val="20"/>
              </w:rPr>
              <w:t>17</w:t>
            </w:r>
          </w:p>
        </w:tc>
      </w:tr>
      <w:tr w:rsidR="00B968BF" w14:paraId="46FD0576"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3458FA8C"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54909DA2"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bottom"/>
            <w:hideMark/>
          </w:tcPr>
          <w:p w14:paraId="4AFC2259" w14:textId="77777777" w:rsidR="00B968BF" w:rsidRDefault="00B968BF" w:rsidP="00EB242A">
            <w:pPr>
              <w:jc w:val="center"/>
              <w:rPr>
                <w:color w:val="000000"/>
                <w:sz w:val="20"/>
                <w:szCs w:val="20"/>
              </w:rPr>
            </w:pPr>
            <w:r>
              <w:rPr>
                <w:color w:val="000000"/>
                <w:sz w:val="20"/>
                <w:szCs w:val="20"/>
              </w:rPr>
              <w:t>2017.gads</w:t>
            </w:r>
          </w:p>
        </w:tc>
        <w:tc>
          <w:tcPr>
            <w:tcW w:w="695" w:type="dxa"/>
            <w:tcBorders>
              <w:top w:val="nil"/>
              <w:left w:val="nil"/>
              <w:bottom w:val="single" w:sz="4" w:space="0" w:color="auto"/>
              <w:right w:val="single" w:sz="4" w:space="0" w:color="auto"/>
            </w:tcBorders>
            <w:shd w:val="clear" w:color="000000" w:fill="CC99FF"/>
            <w:noWrap/>
            <w:vAlign w:val="bottom"/>
            <w:hideMark/>
          </w:tcPr>
          <w:p w14:paraId="45BE89A6" w14:textId="77777777" w:rsidR="00B968BF" w:rsidRDefault="00B968BF" w:rsidP="00EB242A">
            <w:pPr>
              <w:jc w:val="center"/>
              <w:rPr>
                <w:b/>
                <w:bCs/>
                <w:color w:val="000000"/>
                <w:sz w:val="20"/>
                <w:szCs w:val="20"/>
              </w:rPr>
            </w:pPr>
            <w:r>
              <w:rPr>
                <w:b/>
                <w:bCs/>
                <w:color w:val="000000"/>
                <w:sz w:val="20"/>
                <w:szCs w:val="20"/>
              </w:rPr>
              <w:t>612</w:t>
            </w:r>
          </w:p>
        </w:tc>
        <w:tc>
          <w:tcPr>
            <w:tcW w:w="1225" w:type="dxa"/>
            <w:tcBorders>
              <w:top w:val="nil"/>
              <w:left w:val="nil"/>
              <w:bottom w:val="single" w:sz="4" w:space="0" w:color="auto"/>
              <w:right w:val="single" w:sz="4" w:space="0" w:color="auto"/>
            </w:tcBorders>
            <w:shd w:val="clear" w:color="000000" w:fill="FFFF99"/>
            <w:noWrap/>
            <w:vAlign w:val="bottom"/>
            <w:hideMark/>
          </w:tcPr>
          <w:p w14:paraId="39B36C90" w14:textId="77777777" w:rsidR="00B968BF" w:rsidRDefault="00B968BF" w:rsidP="00EB242A">
            <w:pPr>
              <w:jc w:val="center"/>
              <w:rPr>
                <w:b/>
                <w:bCs/>
                <w:color w:val="000000"/>
                <w:sz w:val="20"/>
                <w:szCs w:val="20"/>
              </w:rPr>
            </w:pPr>
            <w:r>
              <w:rPr>
                <w:b/>
                <w:bCs/>
                <w:color w:val="000000"/>
                <w:sz w:val="20"/>
                <w:szCs w:val="20"/>
              </w:rPr>
              <w:t>588 744</w:t>
            </w:r>
          </w:p>
        </w:tc>
        <w:tc>
          <w:tcPr>
            <w:tcW w:w="695" w:type="dxa"/>
            <w:tcBorders>
              <w:top w:val="nil"/>
              <w:left w:val="nil"/>
              <w:bottom w:val="single" w:sz="4" w:space="0" w:color="auto"/>
              <w:right w:val="single" w:sz="4" w:space="0" w:color="auto"/>
            </w:tcBorders>
            <w:shd w:val="clear" w:color="000000" w:fill="CC99FF"/>
            <w:noWrap/>
            <w:vAlign w:val="bottom"/>
            <w:hideMark/>
          </w:tcPr>
          <w:p w14:paraId="3358A030" w14:textId="77777777" w:rsidR="00B968BF" w:rsidRDefault="00B968BF" w:rsidP="00EB242A">
            <w:pPr>
              <w:jc w:val="center"/>
              <w:rPr>
                <w:b/>
                <w:bCs/>
                <w:color w:val="000000"/>
                <w:sz w:val="20"/>
                <w:szCs w:val="20"/>
              </w:rPr>
            </w:pPr>
            <w:r>
              <w:rPr>
                <w:b/>
                <w:bCs/>
                <w:color w:val="000000"/>
                <w:sz w:val="20"/>
                <w:szCs w:val="20"/>
              </w:rPr>
              <w:t>952</w:t>
            </w:r>
          </w:p>
        </w:tc>
        <w:tc>
          <w:tcPr>
            <w:tcW w:w="1225" w:type="dxa"/>
            <w:tcBorders>
              <w:top w:val="nil"/>
              <w:left w:val="nil"/>
              <w:bottom w:val="single" w:sz="4" w:space="0" w:color="auto"/>
              <w:right w:val="single" w:sz="4" w:space="0" w:color="auto"/>
            </w:tcBorders>
            <w:shd w:val="clear" w:color="000000" w:fill="FFFF99"/>
            <w:noWrap/>
            <w:vAlign w:val="bottom"/>
            <w:hideMark/>
          </w:tcPr>
          <w:p w14:paraId="6A061D0A" w14:textId="77777777" w:rsidR="00B968BF" w:rsidRDefault="00B968BF" w:rsidP="00EB242A">
            <w:pPr>
              <w:jc w:val="center"/>
              <w:rPr>
                <w:b/>
                <w:bCs/>
                <w:color w:val="000000"/>
                <w:sz w:val="20"/>
                <w:szCs w:val="20"/>
              </w:rPr>
            </w:pPr>
            <w:r>
              <w:rPr>
                <w:b/>
                <w:bCs/>
                <w:color w:val="000000"/>
                <w:sz w:val="20"/>
                <w:szCs w:val="20"/>
              </w:rPr>
              <w:t>915 824</w:t>
            </w:r>
          </w:p>
        </w:tc>
        <w:tc>
          <w:tcPr>
            <w:tcW w:w="695" w:type="dxa"/>
            <w:tcBorders>
              <w:top w:val="nil"/>
              <w:left w:val="nil"/>
              <w:bottom w:val="single" w:sz="4" w:space="0" w:color="auto"/>
              <w:right w:val="single" w:sz="4" w:space="0" w:color="auto"/>
            </w:tcBorders>
            <w:shd w:val="clear" w:color="000000" w:fill="CC99FF"/>
            <w:noWrap/>
            <w:vAlign w:val="bottom"/>
            <w:hideMark/>
          </w:tcPr>
          <w:p w14:paraId="0794ED0A" w14:textId="77777777" w:rsidR="00B968BF" w:rsidRDefault="00B968BF" w:rsidP="00EB242A">
            <w:pPr>
              <w:jc w:val="center"/>
              <w:rPr>
                <w:b/>
                <w:bCs/>
                <w:color w:val="000000"/>
                <w:sz w:val="20"/>
                <w:szCs w:val="20"/>
              </w:rPr>
            </w:pPr>
            <w:r>
              <w:rPr>
                <w:b/>
                <w:bCs/>
                <w:color w:val="000000"/>
                <w:sz w:val="20"/>
                <w:szCs w:val="20"/>
              </w:rPr>
              <w:t>85</w:t>
            </w:r>
          </w:p>
        </w:tc>
        <w:tc>
          <w:tcPr>
            <w:tcW w:w="1225" w:type="dxa"/>
            <w:tcBorders>
              <w:top w:val="nil"/>
              <w:left w:val="nil"/>
              <w:bottom w:val="single" w:sz="4" w:space="0" w:color="auto"/>
              <w:right w:val="single" w:sz="4" w:space="0" w:color="auto"/>
            </w:tcBorders>
            <w:shd w:val="clear" w:color="000000" w:fill="FFFF99"/>
            <w:noWrap/>
            <w:vAlign w:val="bottom"/>
            <w:hideMark/>
          </w:tcPr>
          <w:p w14:paraId="77565B64" w14:textId="77777777" w:rsidR="00B968BF" w:rsidRDefault="00B968BF" w:rsidP="00EB242A">
            <w:pPr>
              <w:jc w:val="center"/>
              <w:rPr>
                <w:b/>
                <w:bCs/>
                <w:color w:val="000000"/>
                <w:sz w:val="20"/>
                <w:szCs w:val="20"/>
              </w:rPr>
            </w:pPr>
            <w:r>
              <w:rPr>
                <w:b/>
                <w:bCs/>
                <w:color w:val="000000"/>
                <w:sz w:val="20"/>
                <w:szCs w:val="20"/>
              </w:rPr>
              <w:t>81 770</w:t>
            </w:r>
          </w:p>
        </w:tc>
      </w:tr>
      <w:tr w:rsidR="00B968BF" w14:paraId="33B6E6EB"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73C75CB3"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423C4141"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C0C0C0"/>
            <w:noWrap/>
            <w:vAlign w:val="bottom"/>
            <w:hideMark/>
          </w:tcPr>
          <w:p w14:paraId="1CA028C4" w14:textId="77777777" w:rsidR="00B968BF" w:rsidRDefault="00B968BF" w:rsidP="00EB242A">
            <w:pPr>
              <w:jc w:val="center"/>
              <w:rPr>
                <w:color w:val="000000"/>
                <w:sz w:val="20"/>
                <w:szCs w:val="20"/>
              </w:rPr>
            </w:pPr>
            <w:r>
              <w:rPr>
                <w:color w:val="000000"/>
                <w:sz w:val="20"/>
                <w:szCs w:val="20"/>
              </w:rPr>
              <w:t>962</w:t>
            </w:r>
          </w:p>
        </w:tc>
        <w:tc>
          <w:tcPr>
            <w:tcW w:w="695" w:type="dxa"/>
            <w:tcBorders>
              <w:top w:val="nil"/>
              <w:left w:val="nil"/>
              <w:bottom w:val="single" w:sz="4" w:space="0" w:color="auto"/>
              <w:right w:val="single" w:sz="4" w:space="0" w:color="auto"/>
            </w:tcBorders>
            <w:shd w:val="clear" w:color="000000" w:fill="CCFFCC"/>
            <w:noWrap/>
            <w:vAlign w:val="bottom"/>
            <w:hideMark/>
          </w:tcPr>
          <w:p w14:paraId="4748ABFD" w14:textId="77777777" w:rsidR="00B968BF" w:rsidRDefault="00B968BF" w:rsidP="00EB242A">
            <w:pPr>
              <w:jc w:val="center"/>
              <w:rPr>
                <w:color w:val="000000"/>
                <w:sz w:val="20"/>
                <w:szCs w:val="20"/>
              </w:rPr>
            </w:pPr>
            <w:r>
              <w:rPr>
                <w:color w:val="000000"/>
                <w:sz w:val="20"/>
                <w:szCs w:val="20"/>
              </w:rPr>
              <w:t>36</w:t>
            </w:r>
          </w:p>
        </w:tc>
        <w:tc>
          <w:tcPr>
            <w:tcW w:w="1225" w:type="dxa"/>
            <w:tcBorders>
              <w:top w:val="nil"/>
              <w:left w:val="nil"/>
              <w:bottom w:val="single" w:sz="4" w:space="0" w:color="auto"/>
              <w:right w:val="single" w:sz="4" w:space="0" w:color="auto"/>
            </w:tcBorders>
            <w:shd w:val="clear" w:color="auto" w:fill="auto"/>
            <w:noWrap/>
            <w:vAlign w:val="bottom"/>
            <w:hideMark/>
          </w:tcPr>
          <w:p w14:paraId="49FAD902" w14:textId="77777777" w:rsidR="00B968BF" w:rsidRDefault="00B968BF" w:rsidP="00EB242A">
            <w:pPr>
              <w:jc w:val="center"/>
              <w:rPr>
                <w:color w:val="000000"/>
                <w:sz w:val="20"/>
                <w:szCs w:val="20"/>
              </w:rPr>
            </w:pPr>
            <w:r>
              <w:rPr>
                <w:color w:val="000000"/>
                <w:sz w:val="20"/>
                <w:szCs w:val="20"/>
              </w:rPr>
              <w:t>17</w:t>
            </w:r>
          </w:p>
        </w:tc>
        <w:tc>
          <w:tcPr>
            <w:tcW w:w="695" w:type="dxa"/>
            <w:tcBorders>
              <w:top w:val="nil"/>
              <w:left w:val="nil"/>
              <w:bottom w:val="single" w:sz="4" w:space="0" w:color="auto"/>
              <w:right w:val="single" w:sz="4" w:space="0" w:color="auto"/>
            </w:tcBorders>
            <w:shd w:val="clear" w:color="000000" w:fill="CCFFCC"/>
            <w:noWrap/>
            <w:vAlign w:val="bottom"/>
            <w:hideMark/>
          </w:tcPr>
          <w:p w14:paraId="3764023C" w14:textId="77777777" w:rsidR="00B968BF" w:rsidRDefault="00B968BF" w:rsidP="00EB242A">
            <w:pPr>
              <w:jc w:val="center"/>
              <w:rPr>
                <w:color w:val="000000"/>
                <w:sz w:val="20"/>
                <w:szCs w:val="20"/>
              </w:rPr>
            </w:pPr>
            <w:r>
              <w:rPr>
                <w:color w:val="000000"/>
                <w:sz w:val="20"/>
                <w:szCs w:val="20"/>
              </w:rPr>
              <w:t>56</w:t>
            </w:r>
          </w:p>
        </w:tc>
        <w:tc>
          <w:tcPr>
            <w:tcW w:w="1225" w:type="dxa"/>
            <w:tcBorders>
              <w:top w:val="nil"/>
              <w:left w:val="nil"/>
              <w:bottom w:val="single" w:sz="4" w:space="0" w:color="auto"/>
              <w:right w:val="single" w:sz="4" w:space="0" w:color="auto"/>
            </w:tcBorders>
            <w:shd w:val="clear" w:color="auto" w:fill="auto"/>
            <w:noWrap/>
            <w:vAlign w:val="bottom"/>
            <w:hideMark/>
          </w:tcPr>
          <w:p w14:paraId="12B68FD7" w14:textId="77777777" w:rsidR="00B968BF" w:rsidRDefault="00B968BF" w:rsidP="00EB242A">
            <w:pPr>
              <w:jc w:val="center"/>
              <w:rPr>
                <w:color w:val="000000"/>
                <w:sz w:val="20"/>
                <w:szCs w:val="20"/>
              </w:rPr>
            </w:pPr>
            <w:r>
              <w:rPr>
                <w:color w:val="000000"/>
                <w:sz w:val="20"/>
                <w:szCs w:val="20"/>
              </w:rPr>
              <w:t>17</w:t>
            </w:r>
          </w:p>
        </w:tc>
        <w:tc>
          <w:tcPr>
            <w:tcW w:w="695" w:type="dxa"/>
            <w:tcBorders>
              <w:top w:val="nil"/>
              <w:left w:val="nil"/>
              <w:bottom w:val="single" w:sz="4" w:space="0" w:color="auto"/>
              <w:right w:val="single" w:sz="4" w:space="0" w:color="auto"/>
            </w:tcBorders>
            <w:shd w:val="clear" w:color="000000" w:fill="CCFFCC"/>
            <w:noWrap/>
            <w:vAlign w:val="bottom"/>
            <w:hideMark/>
          </w:tcPr>
          <w:p w14:paraId="00B8EEFF" w14:textId="77777777" w:rsidR="00B968BF" w:rsidRDefault="00B968BF" w:rsidP="00EB242A">
            <w:pPr>
              <w:jc w:val="center"/>
              <w:rPr>
                <w:color w:val="000000"/>
                <w:sz w:val="20"/>
                <w:szCs w:val="20"/>
              </w:rPr>
            </w:pPr>
            <w:r>
              <w:rPr>
                <w:color w:val="000000"/>
                <w:sz w:val="20"/>
                <w:szCs w:val="20"/>
              </w:rPr>
              <w:t>5</w:t>
            </w:r>
          </w:p>
        </w:tc>
        <w:tc>
          <w:tcPr>
            <w:tcW w:w="1225" w:type="dxa"/>
            <w:tcBorders>
              <w:top w:val="nil"/>
              <w:left w:val="nil"/>
              <w:bottom w:val="single" w:sz="4" w:space="0" w:color="auto"/>
              <w:right w:val="single" w:sz="4" w:space="0" w:color="auto"/>
            </w:tcBorders>
            <w:shd w:val="clear" w:color="auto" w:fill="auto"/>
            <w:noWrap/>
            <w:vAlign w:val="bottom"/>
            <w:hideMark/>
          </w:tcPr>
          <w:p w14:paraId="51B54F7A" w14:textId="77777777" w:rsidR="00B968BF" w:rsidRDefault="00B968BF" w:rsidP="00EB242A">
            <w:pPr>
              <w:jc w:val="center"/>
              <w:rPr>
                <w:color w:val="000000"/>
                <w:sz w:val="20"/>
                <w:szCs w:val="20"/>
              </w:rPr>
            </w:pPr>
            <w:r>
              <w:rPr>
                <w:color w:val="000000"/>
                <w:sz w:val="20"/>
                <w:szCs w:val="20"/>
              </w:rPr>
              <w:t>17</w:t>
            </w:r>
          </w:p>
        </w:tc>
      </w:tr>
      <w:tr w:rsidR="00B968BF" w14:paraId="6779656F"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0AC5A462"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5B40035D"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bottom"/>
            <w:hideMark/>
          </w:tcPr>
          <w:p w14:paraId="41CDF6BA" w14:textId="77777777" w:rsidR="00B968BF" w:rsidRDefault="00B968BF" w:rsidP="00EB242A">
            <w:pPr>
              <w:jc w:val="center"/>
              <w:rPr>
                <w:color w:val="000000"/>
                <w:sz w:val="20"/>
                <w:szCs w:val="20"/>
              </w:rPr>
            </w:pPr>
            <w:r>
              <w:rPr>
                <w:color w:val="000000"/>
                <w:sz w:val="20"/>
                <w:szCs w:val="20"/>
              </w:rPr>
              <w:t>2018.gads</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57F25A6" w14:textId="77777777" w:rsidR="00B968BF" w:rsidRDefault="00B968BF" w:rsidP="00EB242A">
            <w:pPr>
              <w:jc w:val="center"/>
              <w:rPr>
                <w:b/>
                <w:bCs/>
                <w:color w:val="000000"/>
                <w:sz w:val="20"/>
                <w:szCs w:val="20"/>
              </w:rPr>
            </w:pPr>
          </w:p>
        </w:tc>
        <w:tc>
          <w:tcPr>
            <w:tcW w:w="695" w:type="dxa"/>
            <w:tcBorders>
              <w:top w:val="nil"/>
              <w:left w:val="nil"/>
              <w:bottom w:val="single" w:sz="4" w:space="0" w:color="auto"/>
              <w:right w:val="single" w:sz="4" w:space="0" w:color="auto"/>
            </w:tcBorders>
            <w:shd w:val="clear" w:color="000000" w:fill="CC99FF"/>
            <w:noWrap/>
            <w:vAlign w:val="bottom"/>
            <w:hideMark/>
          </w:tcPr>
          <w:p w14:paraId="49D4103F" w14:textId="77777777" w:rsidR="00B968BF" w:rsidRDefault="00B968BF" w:rsidP="00EB242A">
            <w:pPr>
              <w:jc w:val="center"/>
              <w:rPr>
                <w:b/>
                <w:bCs/>
                <w:color w:val="000000"/>
                <w:sz w:val="20"/>
                <w:szCs w:val="20"/>
              </w:rPr>
            </w:pPr>
            <w:r>
              <w:rPr>
                <w:b/>
                <w:bCs/>
                <w:color w:val="000000"/>
                <w:sz w:val="20"/>
                <w:szCs w:val="20"/>
              </w:rPr>
              <w:t>629</w:t>
            </w:r>
          </w:p>
        </w:tc>
        <w:tc>
          <w:tcPr>
            <w:tcW w:w="1225" w:type="dxa"/>
            <w:tcBorders>
              <w:top w:val="nil"/>
              <w:left w:val="nil"/>
              <w:bottom w:val="single" w:sz="4" w:space="0" w:color="auto"/>
              <w:right w:val="single" w:sz="4" w:space="0" w:color="auto"/>
            </w:tcBorders>
            <w:shd w:val="clear" w:color="000000" w:fill="FFFF99"/>
            <w:noWrap/>
            <w:vAlign w:val="bottom"/>
            <w:hideMark/>
          </w:tcPr>
          <w:p w14:paraId="67800A8A" w14:textId="77777777" w:rsidR="00B968BF" w:rsidRDefault="00B968BF" w:rsidP="00EB242A">
            <w:pPr>
              <w:jc w:val="center"/>
              <w:rPr>
                <w:b/>
                <w:bCs/>
                <w:color w:val="000000"/>
                <w:sz w:val="20"/>
                <w:szCs w:val="20"/>
              </w:rPr>
            </w:pPr>
            <w:r>
              <w:rPr>
                <w:b/>
                <w:bCs/>
                <w:color w:val="000000"/>
                <w:sz w:val="20"/>
                <w:szCs w:val="20"/>
              </w:rPr>
              <w:t>659 821</w:t>
            </w:r>
          </w:p>
        </w:tc>
        <w:tc>
          <w:tcPr>
            <w:tcW w:w="695" w:type="dxa"/>
            <w:tcBorders>
              <w:top w:val="nil"/>
              <w:left w:val="nil"/>
              <w:bottom w:val="single" w:sz="4" w:space="0" w:color="auto"/>
              <w:right w:val="single" w:sz="4" w:space="0" w:color="auto"/>
            </w:tcBorders>
            <w:shd w:val="clear" w:color="000000" w:fill="CC99FF"/>
            <w:noWrap/>
            <w:vAlign w:val="bottom"/>
            <w:hideMark/>
          </w:tcPr>
          <w:p w14:paraId="36213F2D" w14:textId="77777777" w:rsidR="00B968BF" w:rsidRDefault="00B968BF" w:rsidP="00EB242A">
            <w:pPr>
              <w:jc w:val="center"/>
              <w:rPr>
                <w:b/>
                <w:bCs/>
                <w:color w:val="000000"/>
                <w:sz w:val="20"/>
                <w:szCs w:val="20"/>
              </w:rPr>
            </w:pPr>
            <w:r>
              <w:rPr>
                <w:b/>
                <w:bCs/>
                <w:color w:val="000000"/>
                <w:sz w:val="20"/>
                <w:szCs w:val="20"/>
              </w:rPr>
              <w:t>1003</w:t>
            </w:r>
          </w:p>
        </w:tc>
        <w:tc>
          <w:tcPr>
            <w:tcW w:w="1225" w:type="dxa"/>
            <w:tcBorders>
              <w:top w:val="nil"/>
              <w:left w:val="nil"/>
              <w:bottom w:val="single" w:sz="4" w:space="0" w:color="auto"/>
              <w:right w:val="single" w:sz="4" w:space="0" w:color="auto"/>
            </w:tcBorders>
            <w:shd w:val="clear" w:color="000000" w:fill="FFFF99"/>
            <w:noWrap/>
            <w:vAlign w:val="bottom"/>
            <w:hideMark/>
          </w:tcPr>
          <w:p w14:paraId="34818288" w14:textId="77777777" w:rsidR="00B968BF" w:rsidRDefault="00B968BF" w:rsidP="00EB242A">
            <w:pPr>
              <w:jc w:val="center"/>
              <w:rPr>
                <w:b/>
                <w:bCs/>
                <w:color w:val="000000"/>
                <w:sz w:val="20"/>
                <w:szCs w:val="20"/>
              </w:rPr>
            </w:pPr>
            <w:r>
              <w:rPr>
                <w:b/>
                <w:bCs/>
                <w:color w:val="000000"/>
                <w:sz w:val="20"/>
                <w:szCs w:val="20"/>
              </w:rPr>
              <w:t>1 052 147</w:t>
            </w:r>
          </w:p>
        </w:tc>
      </w:tr>
      <w:tr w:rsidR="00B968BF" w14:paraId="43D57420"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37353ED9"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10B8D769"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C0C0C0"/>
            <w:noWrap/>
            <w:vAlign w:val="bottom"/>
            <w:hideMark/>
          </w:tcPr>
          <w:p w14:paraId="1E2CA30D" w14:textId="77777777" w:rsidR="00B968BF" w:rsidRDefault="00B968BF" w:rsidP="00EB242A">
            <w:pPr>
              <w:jc w:val="center"/>
              <w:rPr>
                <w:color w:val="000000"/>
                <w:sz w:val="20"/>
                <w:szCs w:val="20"/>
              </w:rPr>
            </w:pPr>
            <w:r>
              <w:rPr>
                <w:color w:val="000000"/>
                <w:sz w:val="20"/>
                <w:szCs w:val="20"/>
              </w:rPr>
              <w:t>1049</w:t>
            </w:r>
          </w:p>
        </w:tc>
        <w:tc>
          <w:tcPr>
            <w:tcW w:w="1920" w:type="dxa"/>
            <w:gridSpan w:val="2"/>
            <w:vMerge/>
            <w:tcBorders>
              <w:top w:val="nil"/>
              <w:left w:val="nil"/>
              <w:bottom w:val="single" w:sz="4" w:space="0" w:color="auto"/>
              <w:right w:val="single" w:sz="4" w:space="0" w:color="auto"/>
            </w:tcBorders>
            <w:vAlign w:val="center"/>
            <w:hideMark/>
          </w:tcPr>
          <w:p w14:paraId="3177DD46" w14:textId="77777777" w:rsidR="00B968BF" w:rsidRDefault="00B968BF" w:rsidP="00EB242A">
            <w:pPr>
              <w:jc w:val="center"/>
              <w:rPr>
                <w:b/>
                <w:bCs/>
                <w:color w:val="000000"/>
                <w:sz w:val="20"/>
                <w:szCs w:val="20"/>
              </w:rPr>
            </w:pPr>
          </w:p>
        </w:tc>
        <w:tc>
          <w:tcPr>
            <w:tcW w:w="695" w:type="dxa"/>
            <w:tcBorders>
              <w:top w:val="nil"/>
              <w:left w:val="nil"/>
              <w:bottom w:val="single" w:sz="4" w:space="0" w:color="auto"/>
              <w:right w:val="single" w:sz="4" w:space="0" w:color="auto"/>
            </w:tcBorders>
            <w:shd w:val="clear" w:color="000000" w:fill="CCFFCC"/>
            <w:noWrap/>
            <w:vAlign w:val="bottom"/>
            <w:hideMark/>
          </w:tcPr>
          <w:p w14:paraId="5E709F11" w14:textId="77777777" w:rsidR="00B968BF" w:rsidRDefault="00B968BF" w:rsidP="00EB242A">
            <w:pPr>
              <w:jc w:val="center"/>
              <w:rPr>
                <w:color w:val="000000"/>
                <w:sz w:val="20"/>
                <w:szCs w:val="20"/>
              </w:rPr>
            </w:pPr>
            <w:r>
              <w:rPr>
                <w:color w:val="000000"/>
                <w:sz w:val="20"/>
                <w:szCs w:val="20"/>
              </w:rPr>
              <w:t>37</w:t>
            </w:r>
          </w:p>
        </w:tc>
        <w:tc>
          <w:tcPr>
            <w:tcW w:w="1225" w:type="dxa"/>
            <w:tcBorders>
              <w:top w:val="nil"/>
              <w:left w:val="nil"/>
              <w:bottom w:val="single" w:sz="4" w:space="0" w:color="auto"/>
              <w:right w:val="single" w:sz="4" w:space="0" w:color="auto"/>
            </w:tcBorders>
            <w:shd w:val="clear" w:color="auto" w:fill="auto"/>
            <w:noWrap/>
            <w:vAlign w:val="bottom"/>
            <w:hideMark/>
          </w:tcPr>
          <w:p w14:paraId="21934ACF" w14:textId="77777777" w:rsidR="00B968BF" w:rsidRDefault="00B968BF" w:rsidP="00EB242A">
            <w:pPr>
              <w:jc w:val="center"/>
              <w:rPr>
                <w:color w:val="000000"/>
                <w:sz w:val="20"/>
                <w:szCs w:val="20"/>
              </w:rPr>
            </w:pPr>
            <w:r>
              <w:rPr>
                <w:color w:val="000000"/>
                <w:sz w:val="20"/>
                <w:szCs w:val="20"/>
              </w:rPr>
              <w:t>17</w:t>
            </w:r>
          </w:p>
        </w:tc>
        <w:tc>
          <w:tcPr>
            <w:tcW w:w="695" w:type="dxa"/>
            <w:tcBorders>
              <w:top w:val="nil"/>
              <w:left w:val="nil"/>
              <w:bottom w:val="single" w:sz="4" w:space="0" w:color="auto"/>
              <w:right w:val="single" w:sz="4" w:space="0" w:color="auto"/>
            </w:tcBorders>
            <w:shd w:val="clear" w:color="000000" w:fill="CCFFCC"/>
            <w:noWrap/>
            <w:vAlign w:val="bottom"/>
            <w:hideMark/>
          </w:tcPr>
          <w:p w14:paraId="2AA9B5CD" w14:textId="77777777" w:rsidR="00B968BF" w:rsidRDefault="00B968BF" w:rsidP="00EB242A">
            <w:pPr>
              <w:jc w:val="center"/>
              <w:rPr>
                <w:color w:val="000000"/>
                <w:sz w:val="20"/>
                <w:szCs w:val="20"/>
              </w:rPr>
            </w:pPr>
            <w:r>
              <w:rPr>
                <w:color w:val="000000"/>
                <w:sz w:val="20"/>
                <w:szCs w:val="20"/>
              </w:rPr>
              <w:t>59</w:t>
            </w:r>
          </w:p>
        </w:tc>
        <w:tc>
          <w:tcPr>
            <w:tcW w:w="1225" w:type="dxa"/>
            <w:tcBorders>
              <w:top w:val="nil"/>
              <w:left w:val="nil"/>
              <w:bottom w:val="single" w:sz="4" w:space="0" w:color="auto"/>
              <w:right w:val="single" w:sz="4" w:space="0" w:color="auto"/>
            </w:tcBorders>
            <w:shd w:val="clear" w:color="auto" w:fill="auto"/>
            <w:noWrap/>
            <w:vAlign w:val="bottom"/>
            <w:hideMark/>
          </w:tcPr>
          <w:p w14:paraId="4BB041B4" w14:textId="77777777" w:rsidR="00B968BF" w:rsidRDefault="00B968BF" w:rsidP="00EB242A">
            <w:pPr>
              <w:jc w:val="center"/>
              <w:rPr>
                <w:color w:val="000000"/>
                <w:sz w:val="20"/>
                <w:szCs w:val="20"/>
              </w:rPr>
            </w:pPr>
            <w:r>
              <w:rPr>
                <w:color w:val="000000"/>
                <w:sz w:val="20"/>
                <w:szCs w:val="20"/>
              </w:rPr>
              <w:t>17</w:t>
            </w:r>
          </w:p>
        </w:tc>
      </w:tr>
      <w:tr w:rsidR="00B968BF" w14:paraId="1960E972"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6ED4D261"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7597BC82"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bottom"/>
            <w:hideMark/>
          </w:tcPr>
          <w:p w14:paraId="5927CF5F" w14:textId="77777777" w:rsidR="00B968BF" w:rsidRDefault="00B968BF" w:rsidP="00EB242A">
            <w:pPr>
              <w:jc w:val="center"/>
              <w:rPr>
                <w:color w:val="000000"/>
                <w:sz w:val="20"/>
                <w:szCs w:val="20"/>
              </w:rPr>
            </w:pPr>
            <w:r>
              <w:rPr>
                <w:color w:val="000000"/>
                <w:sz w:val="20"/>
                <w:szCs w:val="20"/>
              </w:rPr>
              <w:t>2019.gads</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74B4AFF" w14:textId="77777777" w:rsidR="00B968BF" w:rsidRDefault="00B968BF" w:rsidP="00EB242A">
            <w:pPr>
              <w:jc w:val="center"/>
              <w:rPr>
                <w:color w:val="000000"/>
                <w:sz w:val="20"/>
                <w:szCs w:val="20"/>
              </w:rPr>
            </w:pP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E891085" w14:textId="77777777" w:rsidR="00B968BF" w:rsidRDefault="00B968BF" w:rsidP="00EB242A">
            <w:pPr>
              <w:jc w:val="center"/>
              <w:rPr>
                <w:b/>
                <w:bCs/>
                <w:color w:val="000000"/>
                <w:sz w:val="20"/>
                <w:szCs w:val="20"/>
              </w:rPr>
            </w:pPr>
          </w:p>
        </w:tc>
        <w:tc>
          <w:tcPr>
            <w:tcW w:w="695" w:type="dxa"/>
            <w:tcBorders>
              <w:top w:val="nil"/>
              <w:left w:val="nil"/>
              <w:bottom w:val="single" w:sz="4" w:space="0" w:color="auto"/>
              <w:right w:val="single" w:sz="4" w:space="0" w:color="auto"/>
            </w:tcBorders>
            <w:shd w:val="clear" w:color="000000" w:fill="CC99FF"/>
            <w:noWrap/>
            <w:vAlign w:val="bottom"/>
            <w:hideMark/>
          </w:tcPr>
          <w:p w14:paraId="7B4BB021" w14:textId="77777777" w:rsidR="00B968BF" w:rsidRDefault="00B968BF" w:rsidP="00EB242A">
            <w:pPr>
              <w:jc w:val="center"/>
              <w:rPr>
                <w:b/>
                <w:bCs/>
                <w:color w:val="000000"/>
                <w:sz w:val="20"/>
                <w:szCs w:val="20"/>
              </w:rPr>
            </w:pPr>
            <w:r>
              <w:rPr>
                <w:b/>
                <w:bCs/>
                <w:color w:val="000000"/>
                <w:sz w:val="20"/>
                <w:szCs w:val="20"/>
              </w:rPr>
              <w:t>663</w:t>
            </w:r>
          </w:p>
        </w:tc>
        <w:tc>
          <w:tcPr>
            <w:tcW w:w="1225" w:type="dxa"/>
            <w:tcBorders>
              <w:top w:val="nil"/>
              <w:left w:val="nil"/>
              <w:bottom w:val="single" w:sz="4" w:space="0" w:color="auto"/>
              <w:right w:val="single" w:sz="4" w:space="0" w:color="auto"/>
            </w:tcBorders>
            <w:shd w:val="clear" w:color="000000" w:fill="FFFF99"/>
            <w:noWrap/>
            <w:vAlign w:val="bottom"/>
            <w:hideMark/>
          </w:tcPr>
          <w:p w14:paraId="21B0DED2" w14:textId="77777777" w:rsidR="00B968BF" w:rsidRDefault="00B968BF" w:rsidP="00EB242A">
            <w:pPr>
              <w:jc w:val="center"/>
              <w:rPr>
                <w:b/>
                <w:bCs/>
                <w:color w:val="000000"/>
                <w:sz w:val="20"/>
                <w:szCs w:val="20"/>
              </w:rPr>
            </w:pPr>
            <w:r>
              <w:rPr>
                <w:b/>
                <w:bCs/>
                <w:color w:val="000000"/>
                <w:sz w:val="20"/>
                <w:szCs w:val="20"/>
              </w:rPr>
              <w:t>757 809</w:t>
            </w:r>
          </w:p>
        </w:tc>
      </w:tr>
      <w:tr w:rsidR="00B968BF" w14:paraId="2D488C96" w14:textId="77777777" w:rsidTr="00B968BF">
        <w:trPr>
          <w:trHeight w:val="315"/>
        </w:trPr>
        <w:tc>
          <w:tcPr>
            <w:tcW w:w="960" w:type="dxa"/>
            <w:vMerge/>
            <w:tcBorders>
              <w:top w:val="nil"/>
              <w:left w:val="single" w:sz="4" w:space="0" w:color="auto"/>
              <w:bottom w:val="single" w:sz="4" w:space="0" w:color="000000"/>
              <w:right w:val="nil"/>
            </w:tcBorders>
            <w:vAlign w:val="center"/>
            <w:hideMark/>
          </w:tcPr>
          <w:p w14:paraId="35E87502" w14:textId="77777777" w:rsidR="00B968BF" w:rsidRDefault="00B968BF" w:rsidP="00EB242A">
            <w:pPr>
              <w:jc w:val="center"/>
              <w:rPr>
                <w:color w:val="000000"/>
                <w:sz w:val="20"/>
                <w:szCs w:val="20"/>
              </w:rPr>
            </w:pPr>
          </w:p>
        </w:tc>
        <w:tc>
          <w:tcPr>
            <w:tcW w:w="960" w:type="dxa"/>
            <w:vMerge/>
            <w:tcBorders>
              <w:top w:val="nil"/>
              <w:left w:val="nil"/>
              <w:bottom w:val="single" w:sz="4" w:space="0" w:color="000000"/>
              <w:right w:val="single" w:sz="4" w:space="0" w:color="auto"/>
            </w:tcBorders>
            <w:vAlign w:val="center"/>
            <w:hideMark/>
          </w:tcPr>
          <w:p w14:paraId="31DDA937" w14:textId="77777777" w:rsidR="00B968BF" w:rsidRDefault="00B968BF" w:rsidP="00EB242A">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C0C0C0"/>
            <w:noWrap/>
            <w:vAlign w:val="bottom"/>
            <w:hideMark/>
          </w:tcPr>
          <w:p w14:paraId="1FB17481" w14:textId="77777777" w:rsidR="00B968BF" w:rsidRDefault="00B968BF" w:rsidP="00EB242A">
            <w:pPr>
              <w:jc w:val="center"/>
              <w:rPr>
                <w:color w:val="000000"/>
                <w:sz w:val="20"/>
                <w:szCs w:val="20"/>
              </w:rPr>
            </w:pPr>
            <w:r>
              <w:rPr>
                <w:color w:val="000000"/>
                <w:sz w:val="20"/>
                <w:szCs w:val="20"/>
              </w:rPr>
              <w:t>1143</w:t>
            </w:r>
          </w:p>
        </w:tc>
        <w:tc>
          <w:tcPr>
            <w:tcW w:w="1920" w:type="dxa"/>
            <w:gridSpan w:val="2"/>
            <w:vMerge/>
            <w:tcBorders>
              <w:top w:val="nil"/>
              <w:left w:val="nil"/>
              <w:bottom w:val="single" w:sz="4" w:space="0" w:color="auto"/>
              <w:right w:val="single" w:sz="4" w:space="0" w:color="auto"/>
            </w:tcBorders>
            <w:vAlign w:val="center"/>
            <w:hideMark/>
          </w:tcPr>
          <w:p w14:paraId="75CF4450" w14:textId="77777777" w:rsidR="00B968BF" w:rsidRDefault="00B968BF" w:rsidP="00EB242A">
            <w:pPr>
              <w:jc w:val="center"/>
              <w:rPr>
                <w:color w:val="000000"/>
                <w:sz w:val="20"/>
                <w:szCs w:val="20"/>
              </w:rPr>
            </w:pPr>
          </w:p>
        </w:tc>
        <w:tc>
          <w:tcPr>
            <w:tcW w:w="1920" w:type="dxa"/>
            <w:gridSpan w:val="2"/>
            <w:vMerge/>
            <w:tcBorders>
              <w:top w:val="nil"/>
              <w:left w:val="nil"/>
              <w:bottom w:val="single" w:sz="4" w:space="0" w:color="auto"/>
              <w:right w:val="single" w:sz="4" w:space="0" w:color="auto"/>
            </w:tcBorders>
            <w:vAlign w:val="center"/>
            <w:hideMark/>
          </w:tcPr>
          <w:p w14:paraId="2B7CADE5" w14:textId="77777777" w:rsidR="00B968BF" w:rsidRDefault="00B968BF" w:rsidP="00EB242A">
            <w:pPr>
              <w:jc w:val="center"/>
              <w:rPr>
                <w:b/>
                <w:bCs/>
                <w:color w:val="000000"/>
                <w:sz w:val="20"/>
                <w:szCs w:val="20"/>
              </w:rPr>
            </w:pPr>
          </w:p>
        </w:tc>
        <w:tc>
          <w:tcPr>
            <w:tcW w:w="695" w:type="dxa"/>
            <w:tcBorders>
              <w:top w:val="nil"/>
              <w:left w:val="nil"/>
              <w:bottom w:val="single" w:sz="4" w:space="0" w:color="auto"/>
              <w:right w:val="single" w:sz="4" w:space="0" w:color="auto"/>
            </w:tcBorders>
            <w:shd w:val="clear" w:color="000000" w:fill="CCFFCC"/>
            <w:noWrap/>
            <w:vAlign w:val="bottom"/>
            <w:hideMark/>
          </w:tcPr>
          <w:p w14:paraId="6927F558" w14:textId="77777777" w:rsidR="00B968BF" w:rsidRDefault="00B968BF" w:rsidP="00EB242A">
            <w:pPr>
              <w:jc w:val="center"/>
              <w:rPr>
                <w:color w:val="000000"/>
                <w:sz w:val="20"/>
                <w:szCs w:val="20"/>
              </w:rPr>
            </w:pPr>
            <w:r>
              <w:rPr>
                <w:color w:val="000000"/>
                <w:sz w:val="20"/>
                <w:szCs w:val="20"/>
              </w:rPr>
              <w:t>39</w:t>
            </w:r>
          </w:p>
        </w:tc>
        <w:tc>
          <w:tcPr>
            <w:tcW w:w="1225" w:type="dxa"/>
            <w:tcBorders>
              <w:top w:val="nil"/>
              <w:left w:val="nil"/>
              <w:bottom w:val="single" w:sz="4" w:space="0" w:color="auto"/>
              <w:right w:val="single" w:sz="4" w:space="0" w:color="auto"/>
            </w:tcBorders>
            <w:shd w:val="clear" w:color="auto" w:fill="auto"/>
            <w:noWrap/>
            <w:vAlign w:val="bottom"/>
            <w:hideMark/>
          </w:tcPr>
          <w:p w14:paraId="3CFC11ED" w14:textId="77777777" w:rsidR="00B968BF" w:rsidRDefault="00B968BF" w:rsidP="00EB242A">
            <w:pPr>
              <w:jc w:val="center"/>
              <w:rPr>
                <w:color w:val="000000"/>
                <w:sz w:val="20"/>
                <w:szCs w:val="20"/>
              </w:rPr>
            </w:pPr>
            <w:r>
              <w:rPr>
                <w:color w:val="000000"/>
                <w:sz w:val="20"/>
                <w:szCs w:val="20"/>
              </w:rPr>
              <w:t>17</w:t>
            </w:r>
          </w:p>
        </w:tc>
      </w:tr>
      <w:tr w:rsidR="00B968BF" w14:paraId="169CB51F" w14:textId="77777777" w:rsidTr="00B968BF">
        <w:trPr>
          <w:trHeight w:val="255"/>
        </w:trPr>
        <w:tc>
          <w:tcPr>
            <w:tcW w:w="35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2803" w14:textId="77777777" w:rsidR="00B968BF" w:rsidRDefault="00B968BF" w:rsidP="00EB242A">
            <w:pPr>
              <w:jc w:val="center"/>
              <w:rPr>
                <w:color w:val="000000"/>
                <w:sz w:val="20"/>
                <w:szCs w:val="20"/>
              </w:rPr>
            </w:pPr>
            <w:r>
              <w:rPr>
                <w:color w:val="000000"/>
                <w:sz w:val="20"/>
                <w:szCs w:val="20"/>
              </w:rPr>
              <w:t>Kopā</w:t>
            </w:r>
          </w:p>
        </w:tc>
        <w:tc>
          <w:tcPr>
            <w:tcW w:w="695" w:type="dxa"/>
            <w:tcBorders>
              <w:top w:val="nil"/>
              <w:left w:val="nil"/>
              <w:bottom w:val="single" w:sz="4" w:space="0" w:color="auto"/>
              <w:right w:val="single" w:sz="4" w:space="0" w:color="auto"/>
            </w:tcBorders>
            <w:shd w:val="clear" w:color="000000" w:fill="CC99FF"/>
            <w:noWrap/>
            <w:vAlign w:val="bottom"/>
            <w:hideMark/>
          </w:tcPr>
          <w:p w14:paraId="4579ECE8" w14:textId="77777777" w:rsidR="00B968BF" w:rsidRDefault="00B968BF" w:rsidP="00EB242A">
            <w:pPr>
              <w:jc w:val="center"/>
              <w:rPr>
                <w:b/>
                <w:bCs/>
                <w:color w:val="000000"/>
                <w:sz w:val="20"/>
                <w:szCs w:val="20"/>
              </w:rPr>
            </w:pPr>
            <w:r>
              <w:rPr>
                <w:b/>
                <w:bCs/>
                <w:color w:val="000000"/>
                <w:sz w:val="20"/>
                <w:szCs w:val="20"/>
              </w:rPr>
              <w:t>1 649</w:t>
            </w:r>
          </w:p>
        </w:tc>
        <w:tc>
          <w:tcPr>
            <w:tcW w:w="1225" w:type="dxa"/>
            <w:tcBorders>
              <w:top w:val="nil"/>
              <w:left w:val="nil"/>
              <w:bottom w:val="single" w:sz="4" w:space="0" w:color="auto"/>
              <w:right w:val="single" w:sz="4" w:space="0" w:color="auto"/>
            </w:tcBorders>
            <w:shd w:val="clear" w:color="000000" w:fill="FFFF99"/>
            <w:noWrap/>
            <w:vAlign w:val="bottom"/>
            <w:hideMark/>
          </w:tcPr>
          <w:p w14:paraId="718256BF" w14:textId="77777777" w:rsidR="00B968BF" w:rsidRDefault="00B968BF" w:rsidP="00EB242A">
            <w:pPr>
              <w:jc w:val="center"/>
              <w:rPr>
                <w:b/>
                <w:bCs/>
                <w:color w:val="000000"/>
                <w:sz w:val="20"/>
                <w:szCs w:val="20"/>
              </w:rPr>
            </w:pPr>
            <w:r>
              <w:rPr>
                <w:b/>
                <w:bCs/>
                <w:color w:val="000000"/>
                <w:sz w:val="20"/>
                <w:szCs w:val="20"/>
              </w:rPr>
              <w:t>1 489 999</w:t>
            </w:r>
          </w:p>
        </w:tc>
        <w:tc>
          <w:tcPr>
            <w:tcW w:w="695" w:type="dxa"/>
            <w:tcBorders>
              <w:top w:val="nil"/>
              <w:left w:val="nil"/>
              <w:bottom w:val="single" w:sz="4" w:space="0" w:color="auto"/>
              <w:right w:val="single" w:sz="4" w:space="0" w:color="auto"/>
            </w:tcBorders>
            <w:shd w:val="clear" w:color="000000" w:fill="CC99FF"/>
            <w:noWrap/>
            <w:vAlign w:val="bottom"/>
            <w:hideMark/>
          </w:tcPr>
          <w:p w14:paraId="3046CEC1" w14:textId="77777777" w:rsidR="00B968BF" w:rsidRDefault="00B968BF" w:rsidP="00EB242A">
            <w:pPr>
              <w:jc w:val="center"/>
              <w:rPr>
                <w:b/>
                <w:bCs/>
                <w:color w:val="000000"/>
                <w:sz w:val="20"/>
                <w:szCs w:val="20"/>
              </w:rPr>
            </w:pPr>
            <w:r>
              <w:rPr>
                <w:b/>
                <w:bCs/>
                <w:color w:val="000000"/>
                <w:sz w:val="20"/>
                <w:szCs w:val="20"/>
              </w:rPr>
              <w:t>1 717</w:t>
            </w:r>
          </w:p>
        </w:tc>
        <w:tc>
          <w:tcPr>
            <w:tcW w:w="1225" w:type="dxa"/>
            <w:tcBorders>
              <w:top w:val="nil"/>
              <w:left w:val="nil"/>
              <w:bottom w:val="single" w:sz="4" w:space="0" w:color="auto"/>
              <w:right w:val="single" w:sz="4" w:space="0" w:color="auto"/>
            </w:tcBorders>
            <w:shd w:val="clear" w:color="000000" w:fill="FFFF99"/>
            <w:noWrap/>
            <w:vAlign w:val="bottom"/>
            <w:hideMark/>
          </w:tcPr>
          <w:p w14:paraId="27769536" w14:textId="77777777" w:rsidR="00B968BF" w:rsidRDefault="00B968BF" w:rsidP="00EB242A">
            <w:pPr>
              <w:jc w:val="center"/>
              <w:rPr>
                <w:b/>
                <w:bCs/>
                <w:color w:val="000000"/>
                <w:sz w:val="20"/>
                <w:szCs w:val="20"/>
              </w:rPr>
            </w:pPr>
            <w:r>
              <w:rPr>
                <w:b/>
                <w:bCs/>
                <w:color w:val="000000"/>
                <w:sz w:val="20"/>
                <w:szCs w:val="20"/>
              </w:rPr>
              <w:t>1 690 735</w:t>
            </w:r>
          </w:p>
        </w:tc>
        <w:tc>
          <w:tcPr>
            <w:tcW w:w="695" w:type="dxa"/>
            <w:tcBorders>
              <w:top w:val="nil"/>
              <w:left w:val="nil"/>
              <w:bottom w:val="single" w:sz="4" w:space="0" w:color="auto"/>
              <w:right w:val="single" w:sz="4" w:space="0" w:color="auto"/>
            </w:tcBorders>
            <w:shd w:val="clear" w:color="000000" w:fill="CC99FF"/>
            <w:noWrap/>
            <w:vAlign w:val="bottom"/>
            <w:hideMark/>
          </w:tcPr>
          <w:p w14:paraId="0B46FCF5" w14:textId="77777777" w:rsidR="00B968BF" w:rsidRDefault="00B968BF" w:rsidP="00EB242A">
            <w:pPr>
              <w:jc w:val="center"/>
              <w:rPr>
                <w:b/>
                <w:bCs/>
                <w:color w:val="000000"/>
                <w:sz w:val="20"/>
                <w:szCs w:val="20"/>
              </w:rPr>
            </w:pPr>
            <w:r>
              <w:rPr>
                <w:b/>
                <w:bCs/>
                <w:color w:val="000000"/>
                <w:sz w:val="20"/>
                <w:szCs w:val="20"/>
              </w:rPr>
              <w:t>1 802</w:t>
            </w:r>
          </w:p>
        </w:tc>
        <w:tc>
          <w:tcPr>
            <w:tcW w:w="1225" w:type="dxa"/>
            <w:tcBorders>
              <w:top w:val="nil"/>
              <w:left w:val="nil"/>
              <w:bottom w:val="single" w:sz="4" w:space="0" w:color="auto"/>
              <w:right w:val="single" w:sz="4" w:space="0" w:color="auto"/>
            </w:tcBorders>
            <w:shd w:val="clear" w:color="000000" w:fill="FFFF99"/>
            <w:noWrap/>
            <w:vAlign w:val="bottom"/>
            <w:hideMark/>
          </w:tcPr>
          <w:p w14:paraId="3D62E94B" w14:textId="77777777" w:rsidR="00B968BF" w:rsidRDefault="00B968BF" w:rsidP="00EB242A">
            <w:pPr>
              <w:jc w:val="center"/>
              <w:rPr>
                <w:b/>
                <w:bCs/>
                <w:color w:val="000000"/>
                <w:sz w:val="20"/>
                <w:szCs w:val="20"/>
              </w:rPr>
            </w:pPr>
            <w:r>
              <w:rPr>
                <w:b/>
                <w:bCs/>
                <w:color w:val="000000"/>
                <w:sz w:val="20"/>
                <w:szCs w:val="20"/>
              </w:rPr>
              <w:t>1 935 467</w:t>
            </w:r>
          </w:p>
        </w:tc>
      </w:tr>
      <w:tr w:rsidR="00B968BF" w14:paraId="0A9B6F23" w14:textId="77777777" w:rsidTr="00B968BF">
        <w:trPr>
          <w:trHeight w:val="255"/>
        </w:trPr>
        <w:tc>
          <w:tcPr>
            <w:tcW w:w="3580" w:type="dxa"/>
            <w:gridSpan w:val="3"/>
            <w:vMerge/>
            <w:tcBorders>
              <w:top w:val="single" w:sz="4" w:space="0" w:color="auto"/>
              <w:left w:val="single" w:sz="4" w:space="0" w:color="auto"/>
              <w:bottom w:val="single" w:sz="4" w:space="0" w:color="auto"/>
              <w:right w:val="single" w:sz="4" w:space="0" w:color="auto"/>
            </w:tcBorders>
            <w:vAlign w:val="center"/>
            <w:hideMark/>
          </w:tcPr>
          <w:p w14:paraId="14DD15B2" w14:textId="77777777" w:rsidR="00B968BF" w:rsidRDefault="00B968BF" w:rsidP="00EB242A">
            <w:pPr>
              <w:jc w:val="center"/>
              <w:rPr>
                <w:color w:val="000000"/>
                <w:sz w:val="20"/>
                <w:szCs w:val="20"/>
              </w:rPr>
            </w:pPr>
          </w:p>
        </w:tc>
        <w:tc>
          <w:tcPr>
            <w:tcW w:w="695" w:type="dxa"/>
            <w:tcBorders>
              <w:top w:val="nil"/>
              <w:left w:val="nil"/>
              <w:bottom w:val="single" w:sz="4" w:space="0" w:color="auto"/>
              <w:right w:val="single" w:sz="4" w:space="0" w:color="auto"/>
            </w:tcBorders>
            <w:shd w:val="clear" w:color="000000" w:fill="CCFFCC"/>
            <w:noWrap/>
            <w:vAlign w:val="bottom"/>
            <w:hideMark/>
          </w:tcPr>
          <w:p w14:paraId="00960052" w14:textId="77777777" w:rsidR="00B968BF" w:rsidRDefault="00B968BF" w:rsidP="00EB242A">
            <w:pPr>
              <w:jc w:val="center"/>
              <w:rPr>
                <w:color w:val="000000"/>
                <w:sz w:val="20"/>
                <w:szCs w:val="20"/>
              </w:rPr>
            </w:pPr>
            <w:r>
              <w:rPr>
                <w:color w:val="000000"/>
                <w:sz w:val="20"/>
                <w:szCs w:val="20"/>
              </w:rPr>
              <w:t>97</w:t>
            </w:r>
          </w:p>
        </w:tc>
        <w:tc>
          <w:tcPr>
            <w:tcW w:w="1225" w:type="dxa"/>
            <w:tcBorders>
              <w:top w:val="nil"/>
              <w:left w:val="nil"/>
              <w:bottom w:val="nil"/>
              <w:right w:val="nil"/>
            </w:tcBorders>
            <w:shd w:val="clear" w:color="auto" w:fill="auto"/>
            <w:noWrap/>
            <w:vAlign w:val="bottom"/>
            <w:hideMark/>
          </w:tcPr>
          <w:p w14:paraId="1596F52D" w14:textId="77777777" w:rsidR="00B968BF" w:rsidRDefault="00B968BF" w:rsidP="00EB242A">
            <w:pPr>
              <w:jc w:val="center"/>
              <w:rPr>
                <w:color w:val="000000"/>
                <w:sz w:val="20"/>
                <w:szCs w:val="20"/>
              </w:rPr>
            </w:pPr>
          </w:p>
        </w:tc>
        <w:tc>
          <w:tcPr>
            <w:tcW w:w="695" w:type="dxa"/>
            <w:tcBorders>
              <w:top w:val="nil"/>
              <w:left w:val="single" w:sz="4" w:space="0" w:color="auto"/>
              <w:bottom w:val="single" w:sz="4" w:space="0" w:color="auto"/>
              <w:right w:val="single" w:sz="4" w:space="0" w:color="auto"/>
            </w:tcBorders>
            <w:shd w:val="clear" w:color="000000" w:fill="CCFFCC"/>
            <w:noWrap/>
            <w:vAlign w:val="bottom"/>
            <w:hideMark/>
          </w:tcPr>
          <w:p w14:paraId="5B487958" w14:textId="77777777" w:rsidR="00B968BF" w:rsidRDefault="00B968BF" w:rsidP="00EB242A">
            <w:pPr>
              <w:jc w:val="center"/>
              <w:rPr>
                <w:color w:val="000000"/>
                <w:sz w:val="20"/>
                <w:szCs w:val="20"/>
              </w:rPr>
            </w:pPr>
            <w:r>
              <w:rPr>
                <w:color w:val="000000"/>
                <w:sz w:val="20"/>
                <w:szCs w:val="20"/>
              </w:rPr>
              <w:t>101</w:t>
            </w:r>
          </w:p>
        </w:tc>
        <w:tc>
          <w:tcPr>
            <w:tcW w:w="1225" w:type="dxa"/>
            <w:tcBorders>
              <w:top w:val="nil"/>
              <w:left w:val="nil"/>
              <w:bottom w:val="nil"/>
              <w:right w:val="nil"/>
            </w:tcBorders>
            <w:shd w:val="clear" w:color="auto" w:fill="auto"/>
            <w:noWrap/>
            <w:vAlign w:val="bottom"/>
            <w:hideMark/>
          </w:tcPr>
          <w:p w14:paraId="0663FA94" w14:textId="77777777" w:rsidR="00B968BF" w:rsidRDefault="00B968BF" w:rsidP="00EB242A">
            <w:pPr>
              <w:jc w:val="center"/>
              <w:rPr>
                <w:color w:val="000000"/>
                <w:sz w:val="20"/>
                <w:szCs w:val="20"/>
              </w:rPr>
            </w:pPr>
          </w:p>
        </w:tc>
        <w:tc>
          <w:tcPr>
            <w:tcW w:w="695" w:type="dxa"/>
            <w:tcBorders>
              <w:top w:val="nil"/>
              <w:left w:val="single" w:sz="4" w:space="0" w:color="auto"/>
              <w:bottom w:val="single" w:sz="4" w:space="0" w:color="auto"/>
              <w:right w:val="single" w:sz="4" w:space="0" w:color="auto"/>
            </w:tcBorders>
            <w:shd w:val="clear" w:color="000000" w:fill="CCFFCC"/>
            <w:noWrap/>
            <w:vAlign w:val="bottom"/>
            <w:hideMark/>
          </w:tcPr>
          <w:p w14:paraId="4490B437" w14:textId="77777777" w:rsidR="00B968BF" w:rsidRDefault="00B968BF" w:rsidP="00EB242A">
            <w:pPr>
              <w:jc w:val="center"/>
              <w:rPr>
                <w:color w:val="000000"/>
                <w:sz w:val="20"/>
                <w:szCs w:val="20"/>
              </w:rPr>
            </w:pPr>
            <w:r>
              <w:rPr>
                <w:color w:val="000000"/>
                <w:sz w:val="20"/>
                <w:szCs w:val="20"/>
              </w:rPr>
              <w:t>106</w:t>
            </w:r>
          </w:p>
        </w:tc>
        <w:tc>
          <w:tcPr>
            <w:tcW w:w="1225" w:type="dxa"/>
            <w:tcBorders>
              <w:top w:val="nil"/>
              <w:left w:val="nil"/>
              <w:bottom w:val="nil"/>
              <w:right w:val="nil"/>
            </w:tcBorders>
            <w:shd w:val="clear" w:color="auto" w:fill="auto"/>
            <w:noWrap/>
            <w:vAlign w:val="bottom"/>
            <w:hideMark/>
          </w:tcPr>
          <w:p w14:paraId="7E5E8183" w14:textId="77777777" w:rsidR="00B968BF" w:rsidRDefault="00B968BF" w:rsidP="00EB242A">
            <w:pPr>
              <w:jc w:val="center"/>
              <w:rPr>
                <w:color w:val="000000"/>
                <w:sz w:val="20"/>
                <w:szCs w:val="20"/>
              </w:rPr>
            </w:pPr>
          </w:p>
        </w:tc>
      </w:tr>
    </w:tbl>
    <w:p w14:paraId="08033E9A" w14:textId="77777777" w:rsidR="00A1484A" w:rsidRDefault="00A1484A" w:rsidP="002B078E">
      <w:pPr>
        <w:ind w:firstLine="720"/>
        <w:jc w:val="both"/>
        <w:rPr>
          <w:sz w:val="28"/>
          <w:szCs w:val="28"/>
        </w:rPr>
      </w:pPr>
    </w:p>
    <w:p w14:paraId="7F8545DA" w14:textId="77777777" w:rsidR="00EB242A" w:rsidRDefault="00C02CAA" w:rsidP="00EB242A">
      <w:pPr>
        <w:ind w:firstLine="720"/>
        <w:jc w:val="both"/>
      </w:pPr>
      <w:r w:rsidRPr="007D0A59">
        <w:t>Saskaņā ar 2</w:t>
      </w:r>
      <w:r w:rsidR="009D5AC0" w:rsidRPr="007D0A59">
        <w:t>5</w:t>
      </w:r>
      <w:r w:rsidRPr="007D0A59">
        <w:t xml:space="preserve">.tabulā norādītajiem datiem par plānoto darbinieku, kuriem darbinieku prasījumi būs jāsedz no darbinieku prasījumu garantiju fonda, skaitu, iespējams plānot administratoru atlīdzību par darbinieku prasījumu </w:t>
      </w:r>
      <w:r w:rsidR="00A5427D" w:rsidRPr="007D0A59">
        <w:t>segšanu</w:t>
      </w:r>
      <w:r w:rsidRPr="007D0A59">
        <w:t xml:space="preserve"> (skatīt 2</w:t>
      </w:r>
      <w:r w:rsidR="009D5AC0" w:rsidRPr="007D0A59">
        <w:t>6</w:t>
      </w:r>
      <w:r w:rsidRPr="007D0A59">
        <w:t>.tabulu).</w:t>
      </w:r>
    </w:p>
    <w:p w14:paraId="36D5A6F8" w14:textId="77777777" w:rsidR="00EB242A" w:rsidRDefault="00EB242A" w:rsidP="00EB242A">
      <w:pPr>
        <w:ind w:firstLine="720"/>
        <w:jc w:val="both"/>
      </w:pPr>
    </w:p>
    <w:p w14:paraId="3D734BCA" w14:textId="77777777" w:rsidR="00C02CAA" w:rsidRPr="007D0A59" w:rsidRDefault="00C02CAA" w:rsidP="00EB242A">
      <w:pPr>
        <w:ind w:firstLine="720"/>
        <w:jc w:val="right"/>
      </w:pPr>
      <w:r w:rsidRPr="007D0A59">
        <w:t>2</w:t>
      </w:r>
      <w:r w:rsidR="009D5AC0" w:rsidRPr="007D0A59">
        <w:t>6</w:t>
      </w:r>
      <w:r w:rsidRPr="007D0A59">
        <w:t>.tabula</w:t>
      </w:r>
    </w:p>
    <w:p w14:paraId="0B2F5A1B" w14:textId="77777777" w:rsidR="00C02CAA" w:rsidRPr="007D0A59" w:rsidRDefault="00C02CAA" w:rsidP="009A173D">
      <w:pPr>
        <w:tabs>
          <w:tab w:val="left" w:pos="720"/>
        </w:tabs>
        <w:jc w:val="right"/>
        <w:rPr>
          <w:b/>
        </w:rPr>
      </w:pPr>
    </w:p>
    <w:p w14:paraId="32A0697E" w14:textId="77777777" w:rsidR="00C02CAA" w:rsidRPr="007D0A59" w:rsidRDefault="00C02CAA" w:rsidP="009A173D">
      <w:pPr>
        <w:tabs>
          <w:tab w:val="left" w:pos="720"/>
        </w:tabs>
        <w:jc w:val="center"/>
        <w:rPr>
          <w:b/>
        </w:rPr>
      </w:pPr>
      <w:r w:rsidRPr="007D0A59">
        <w:rPr>
          <w:b/>
        </w:rPr>
        <w:t xml:space="preserve">Administratora atlīdzība par darbinieku prasījumu </w:t>
      </w:r>
      <w:r w:rsidR="00CF1114" w:rsidRPr="007D0A59">
        <w:rPr>
          <w:b/>
        </w:rPr>
        <w:t>apmierināšanu</w:t>
      </w:r>
      <w:r w:rsidRPr="007D0A59">
        <w:rPr>
          <w:b/>
        </w:rPr>
        <w:t xml:space="preserve"> 201</w:t>
      </w:r>
      <w:r w:rsidR="002A7A64" w:rsidRPr="007D0A59">
        <w:rPr>
          <w:b/>
        </w:rPr>
        <w:t>7</w:t>
      </w:r>
      <w:r w:rsidRPr="007D0A59">
        <w:rPr>
          <w:b/>
        </w:rPr>
        <w:t>.-201</w:t>
      </w:r>
      <w:r w:rsidR="002A7A64" w:rsidRPr="007D0A59">
        <w:rPr>
          <w:b/>
        </w:rPr>
        <w:t>9</w:t>
      </w:r>
      <w:r w:rsidRPr="007D0A59">
        <w:rPr>
          <w:b/>
        </w:rPr>
        <w:t>.gadā</w:t>
      </w:r>
    </w:p>
    <w:p w14:paraId="4EFBDCA4" w14:textId="77777777" w:rsidR="00C02CAA" w:rsidRPr="007D0A59" w:rsidRDefault="00C02CAA" w:rsidP="00944405">
      <w:pPr>
        <w:tabs>
          <w:tab w:val="left" w:pos="720"/>
        </w:tabs>
        <w:jc w:val="center"/>
        <w:rPr>
          <w:b/>
        </w:rPr>
      </w:pPr>
    </w:p>
    <w:tbl>
      <w:tblPr>
        <w:tblW w:w="8468" w:type="dxa"/>
        <w:jc w:val="center"/>
        <w:tblLook w:val="0000" w:firstRow="0" w:lastRow="0" w:firstColumn="0" w:lastColumn="0" w:noHBand="0" w:noVBand="0"/>
      </w:tblPr>
      <w:tblGrid>
        <w:gridCol w:w="4148"/>
        <w:gridCol w:w="1440"/>
        <w:gridCol w:w="1440"/>
        <w:gridCol w:w="1440"/>
      </w:tblGrid>
      <w:tr w:rsidR="00C02CAA" w:rsidRPr="007D0A59" w14:paraId="00085877" w14:textId="77777777">
        <w:trPr>
          <w:trHeight w:val="630"/>
          <w:jc w:val="center"/>
        </w:trPr>
        <w:tc>
          <w:tcPr>
            <w:tcW w:w="4148" w:type="dxa"/>
            <w:tcBorders>
              <w:top w:val="single" w:sz="4" w:space="0" w:color="auto"/>
              <w:left w:val="single" w:sz="4" w:space="0" w:color="auto"/>
              <w:bottom w:val="single" w:sz="4" w:space="0" w:color="auto"/>
              <w:right w:val="single" w:sz="4" w:space="0" w:color="auto"/>
            </w:tcBorders>
            <w:shd w:val="clear" w:color="auto" w:fill="FFFFFF"/>
          </w:tcPr>
          <w:p w14:paraId="2F4C5F90" w14:textId="77777777" w:rsidR="00C02CAA" w:rsidRPr="007D0A59" w:rsidRDefault="00C02CAA">
            <w:pPr>
              <w:jc w:val="both"/>
              <w:rPr>
                <w:b/>
                <w:bCs/>
              </w:rPr>
            </w:pPr>
            <w:r w:rsidRPr="007D0A59">
              <w:rPr>
                <w:b/>
                <w:bCs/>
              </w:rPr>
              <w:t> </w:t>
            </w:r>
          </w:p>
        </w:tc>
        <w:tc>
          <w:tcPr>
            <w:tcW w:w="1440" w:type="dxa"/>
            <w:tcBorders>
              <w:top w:val="single" w:sz="4" w:space="0" w:color="auto"/>
              <w:left w:val="nil"/>
              <w:bottom w:val="single" w:sz="4" w:space="0" w:color="auto"/>
              <w:right w:val="single" w:sz="4" w:space="0" w:color="auto"/>
            </w:tcBorders>
            <w:shd w:val="clear" w:color="auto" w:fill="FFFFFF"/>
          </w:tcPr>
          <w:p w14:paraId="1FFAE4F1" w14:textId="77777777" w:rsidR="00C02CAA" w:rsidRPr="007D0A59" w:rsidRDefault="00C02CAA" w:rsidP="007D0A59">
            <w:pPr>
              <w:jc w:val="center"/>
              <w:rPr>
                <w:b/>
                <w:bCs/>
              </w:rPr>
            </w:pPr>
            <w:r w:rsidRPr="007D0A59">
              <w:rPr>
                <w:b/>
                <w:bCs/>
              </w:rPr>
              <w:t>201</w:t>
            </w:r>
            <w:r w:rsidR="003D7201" w:rsidRPr="007D0A59">
              <w:rPr>
                <w:b/>
                <w:bCs/>
              </w:rPr>
              <w:t>7</w:t>
            </w:r>
            <w:r w:rsidRPr="007D0A59">
              <w:rPr>
                <w:b/>
                <w:bCs/>
              </w:rPr>
              <w:t>.gads</w:t>
            </w:r>
          </w:p>
        </w:tc>
        <w:tc>
          <w:tcPr>
            <w:tcW w:w="1440" w:type="dxa"/>
            <w:tcBorders>
              <w:top w:val="single" w:sz="4" w:space="0" w:color="auto"/>
              <w:left w:val="nil"/>
              <w:bottom w:val="single" w:sz="4" w:space="0" w:color="auto"/>
              <w:right w:val="single" w:sz="4" w:space="0" w:color="auto"/>
            </w:tcBorders>
            <w:shd w:val="clear" w:color="auto" w:fill="FFFFFF"/>
          </w:tcPr>
          <w:p w14:paraId="772DABEB" w14:textId="77777777" w:rsidR="00C02CAA" w:rsidRPr="007D0A59" w:rsidRDefault="00C02CAA" w:rsidP="007D0A59">
            <w:pPr>
              <w:jc w:val="center"/>
              <w:rPr>
                <w:b/>
                <w:bCs/>
              </w:rPr>
            </w:pPr>
            <w:r w:rsidRPr="007D0A59">
              <w:rPr>
                <w:b/>
                <w:bCs/>
              </w:rPr>
              <w:t>201</w:t>
            </w:r>
            <w:r w:rsidR="003D7201" w:rsidRPr="007D0A59">
              <w:rPr>
                <w:b/>
                <w:bCs/>
              </w:rPr>
              <w:t>8</w:t>
            </w:r>
            <w:r w:rsidRPr="007D0A59">
              <w:rPr>
                <w:b/>
                <w:bCs/>
              </w:rPr>
              <w:t>.gads</w:t>
            </w:r>
          </w:p>
        </w:tc>
        <w:tc>
          <w:tcPr>
            <w:tcW w:w="1440" w:type="dxa"/>
            <w:tcBorders>
              <w:top w:val="single" w:sz="4" w:space="0" w:color="auto"/>
              <w:left w:val="nil"/>
              <w:bottom w:val="single" w:sz="4" w:space="0" w:color="auto"/>
              <w:right w:val="single" w:sz="4" w:space="0" w:color="auto"/>
            </w:tcBorders>
            <w:shd w:val="clear" w:color="auto" w:fill="FFFFFF"/>
          </w:tcPr>
          <w:p w14:paraId="2E294351" w14:textId="77777777" w:rsidR="00C02CAA" w:rsidRPr="007D0A59" w:rsidRDefault="00C02CAA" w:rsidP="007D0A59">
            <w:pPr>
              <w:jc w:val="center"/>
              <w:rPr>
                <w:b/>
                <w:bCs/>
              </w:rPr>
            </w:pPr>
            <w:r w:rsidRPr="007D0A59">
              <w:rPr>
                <w:b/>
                <w:bCs/>
              </w:rPr>
              <w:t>201</w:t>
            </w:r>
            <w:r w:rsidR="003D7201" w:rsidRPr="007D0A59">
              <w:rPr>
                <w:b/>
                <w:bCs/>
              </w:rPr>
              <w:t>9</w:t>
            </w:r>
            <w:r w:rsidRPr="007D0A59">
              <w:rPr>
                <w:b/>
                <w:bCs/>
              </w:rPr>
              <w:t>.gads</w:t>
            </w:r>
          </w:p>
        </w:tc>
      </w:tr>
      <w:tr w:rsidR="00C02CAA" w:rsidRPr="007D0A59" w14:paraId="4999D2D2" w14:textId="77777777">
        <w:trPr>
          <w:trHeight w:val="818"/>
          <w:jc w:val="center"/>
        </w:trPr>
        <w:tc>
          <w:tcPr>
            <w:tcW w:w="4148" w:type="dxa"/>
            <w:tcBorders>
              <w:top w:val="nil"/>
              <w:left w:val="single" w:sz="4" w:space="0" w:color="auto"/>
              <w:bottom w:val="single" w:sz="4" w:space="0" w:color="auto"/>
              <w:right w:val="single" w:sz="4" w:space="0" w:color="auto"/>
            </w:tcBorders>
          </w:tcPr>
          <w:p w14:paraId="5B367F22" w14:textId="77777777" w:rsidR="00C02CAA" w:rsidRPr="007D0A59" w:rsidRDefault="00C02CAA" w:rsidP="00D906A1">
            <w:pPr>
              <w:jc w:val="both"/>
            </w:pPr>
            <w:r w:rsidRPr="007D0A59">
              <w:t xml:space="preserve">Maksātnespējas procesa administratora atlīdzība par </w:t>
            </w:r>
            <w:r w:rsidR="00D906A1" w:rsidRPr="007D0A59">
              <w:t>viena</w:t>
            </w:r>
            <w:r w:rsidRPr="007D0A59">
              <w:t xml:space="preserve"> darbiniek</w:t>
            </w:r>
            <w:r w:rsidR="00BE1C3D" w:rsidRPr="007D0A59">
              <w:t>a</w:t>
            </w:r>
            <w:r w:rsidRPr="007D0A59">
              <w:t xml:space="preserve"> prasījum</w:t>
            </w:r>
            <w:r w:rsidR="00BE1C3D" w:rsidRPr="007D0A59">
              <w:t xml:space="preserve">u </w:t>
            </w:r>
            <w:r w:rsidR="00D906A1" w:rsidRPr="007D0A59">
              <w:t>segšanu</w:t>
            </w:r>
            <w:r w:rsidRPr="007D0A59">
              <w:t xml:space="preserve">, </w:t>
            </w:r>
            <w:r w:rsidRPr="007D0A59">
              <w:rPr>
                <w:i/>
              </w:rPr>
              <w:t>euro</w:t>
            </w:r>
          </w:p>
        </w:tc>
        <w:tc>
          <w:tcPr>
            <w:tcW w:w="1440" w:type="dxa"/>
            <w:tcBorders>
              <w:top w:val="nil"/>
              <w:left w:val="nil"/>
              <w:bottom w:val="single" w:sz="4" w:space="0" w:color="auto"/>
              <w:right w:val="single" w:sz="4" w:space="0" w:color="auto"/>
            </w:tcBorders>
          </w:tcPr>
          <w:p w14:paraId="54B81424" w14:textId="77777777" w:rsidR="00C02CAA" w:rsidRPr="007D0A59" w:rsidRDefault="00C02CAA" w:rsidP="007D0A59">
            <w:pPr>
              <w:jc w:val="center"/>
            </w:pPr>
            <w:r w:rsidRPr="007D0A59">
              <w:t>6</w:t>
            </w:r>
            <w:r w:rsidR="00B67C70">
              <w:t>,</w:t>
            </w:r>
            <w:r w:rsidRPr="007D0A59">
              <w:t>4</w:t>
            </w:r>
          </w:p>
        </w:tc>
        <w:tc>
          <w:tcPr>
            <w:tcW w:w="1440" w:type="dxa"/>
            <w:tcBorders>
              <w:top w:val="nil"/>
              <w:left w:val="nil"/>
              <w:bottom w:val="single" w:sz="4" w:space="0" w:color="auto"/>
              <w:right w:val="single" w:sz="4" w:space="0" w:color="auto"/>
            </w:tcBorders>
          </w:tcPr>
          <w:p w14:paraId="34E999EC" w14:textId="77777777" w:rsidR="00C02CAA" w:rsidRPr="007D0A59" w:rsidRDefault="00C02CAA" w:rsidP="007D0A59">
            <w:pPr>
              <w:jc w:val="center"/>
            </w:pPr>
            <w:r w:rsidRPr="007D0A59">
              <w:t>6</w:t>
            </w:r>
            <w:r w:rsidR="00B67C70">
              <w:t>,</w:t>
            </w:r>
            <w:r w:rsidRPr="007D0A59">
              <w:t>4</w:t>
            </w:r>
          </w:p>
        </w:tc>
        <w:tc>
          <w:tcPr>
            <w:tcW w:w="1440" w:type="dxa"/>
            <w:tcBorders>
              <w:top w:val="nil"/>
              <w:left w:val="nil"/>
              <w:bottom w:val="single" w:sz="4" w:space="0" w:color="auto"/>
              <w:right w:val="single" w:sz="4" w:space="0" w:color="auto"/>
            </w:tcBorders>
          </w:tcPr>
          <w:p w14:paraId="00C2BB58" w14:textId="77777777" w:rsidR="00C02CAA" w:rsidRPr="007D0A59" w:rsidRDefault="00C02CAA" w:rsidP="007D0A59">
            <w:pPr>
              <w:jc w:val="center"/>
            </w:pPr>
            <w:r w:rsidRPr="007D0A59">
              <w:t>6</w:t>
            </w:r>
            <w:r w:rsidR="00B67C70">
              <w:t>,</w:t>
            </w:r>
            <w:r w:rsidRPr="007D0A59">
              <w:t>4</w:t>
            </w:r>
          </w:p>
        </w:tc>
      </w:tr>
      <w:tr w:rsidR="00C02CAA" w:rsidRPr="007D0A59" w14:paraId="5566BE19" w14:textId="77777777">
        <w:trPr>
          <w:trHeight w:val="315"/>
          <w:jc w:val="center"/>
        </w:trPr>
        <w:tc>
          <w:tcPr>
            <w:tcW w:w="4148" w:type="dxa"/>
            <w:tcBorders>
              <w:top w:val="nil"/>
              <w:left w:val="single" w:sz="4" w:space="0" w:color="auto"/>
              <w:bottom w:val="single" w:sz="4" w:space="0" w:color="auto"/>
              <w:right w:val="single" w:sz="4" w:space="0" w:color="auto"/>
            </w:tcBorders>
            <w:noWrap/>
            <w:vAlign w:val="bottom"/>
          </w:tcPr>
          <w:p w14:paraId="2D399071" w14:textId="77777777" w:rsidR="00C02CAA" w:rsidRPr="007D0A59" w:rsidRDefault="00C02CAA">
            <w:r w:rsidRPr="007D0A59">
              <w:t>Plānotais darbinieku skaits</w:t>
            </w:r>
          </w:p>
        </w:tc>
        <w:tc>
          <w:tcPr>
            <w:tcW w:w="1440" w:type="dxa"/>
            <w:tcBorders>
              <w:top w:val="nil"/>
              <w:left w:val="nil"/>
              <w:bottom w:val="single" w:sz="4" w:space="0" w:color="auto"/>
              <w:right w:val="single" w:sz="4" w:space="0" w:color="auto"/>
            </w:tcBorders>
            <w:noWrap/>
          </w:tcPr>
          <w:p w14:paraId="14670F4D" w14:textId="77777777" w:rsidR="00C02CAA" w:rsidRPr="007D0A59" w:rsidRDefault="00C02CAA" w:rsidP="007D0A59">
            <w:pPr>
              <w:jc w:val="center"/>
            </w:pPr>
            <w:r w:rsidRPr="007D0A59">
              <w:t xml:space="preserve">1 </w:t>
            </w:r>
            <w:r w:rsidR="00DB3974" w:rsidRPr="007D0A59">
              <w:t>6</w:t>
            </w:r>
            <w:r w:rsidR="00427C98" w:rsidRPr="007D0A59">
              <w:t>49</w:t>
            </w:r>
          </w:p>
        </w:tc>
        <w:tc>
          <w:tcPr>
            <w:tcW w:w="1440" w:type="dxa"/>
            <w:tcBorders>
              <w:top w:val="nil"/>
              <w:left w:val="nil"/>
              <w:bottom w:val="single" w:sz="4" w:space="0" w:color="auto"/>
              <w:right w:val="single" w:sz="4" w:space="0" w:color="auto"/>
            </w:tcBorders>
            <w:noWrap/>
          </w:tcPr>
          <w:p w14:paraId="50C2C50E" w14:textId="77777777" w:rsidR="00C02CAA" w:rsidRPr="007D0A59" w:rsidRDefault="00C02CAA" w:rsidP="007D0A59">
            <w:pPr>
              <w:jc w:val="center"/>
            </w:pPr>
            <w:r w:rsidRPr="007D0A59">
              <w:t xml:space="preserve">1 </w:t>
            </w:r>
            <w:r w:rsidR="00DB3974" w:rsidRPr="007D0A59">
              <w:t>7</w:t>
            </w:r>
            <w:r w:rsidR="00427C98" w:rsidRPr="007D0A59">
              <w:t>17</w:t>
            </w:r>
          </w:p>
        </w:tc>
        <w:tc>
          <w:tcPr>
            <w:tcW w:w="1440" w:type="dxa"/>
            <w:tcBorders>
              <w:top w:val="nil"/>
              <w:left w:val="nil"/>
              <w:bottom w:val="single" w:sz="4" w:space="0" w:color="auto"/>
              <w:right w:val="single" w:sz="4" w:space="0" w:color="auto"/>
            </w:tcBorders>
            <w:noWrap/>
          </w:tcPr>
          <w:p w14:paraId="5B0E79E2" w14:textId="77777777" w:rsidR="00C02CAA" w:rsidRPr="007D0A59" w:rsidRDefault="00DB3974" w:rsidP="007D0A59">
            <w:pPr>
              <w:jc w:val="center"/>
            </w:pPr>
            <w:r w:rsidRPr="007D0A59">
              <w:t xml:space="preserve">1 </w:t>
            </w:r>
            <w:r w:rsidR="00427C98" w:rsidRPr="007D0A59">
              <w:t>802</w:t>
            </w:r>
          </w:p>
        </w:tc>
      </w:tr>
      <w:tr w:rsidR="00C02CAA" w:rsidRPr="007D0A59" w14:paraId="54B2E5B2" w14:textId="77777777">
        <w:trPr>
          <w:trHeight w:val="916"/>
          <w:jc w:val="center"/>
        </w:trPr>
        <w:tc>
          <w:tcPr>
            <w:tcW w:w="4148" w:type="dxa"/>
            <w:tcBorders>
              <w:top w:val="nil"/>
              <w:left w:val="single" w:sz="4" w:space="0" w:color="auto"/>
              <w:bottom w:val="single" w:sz="4" w:space="0" w:color="auto"/>
              <w:right w:val="single" w:sz="4" w:space="0" w:color="auto"/>
            </w:tcBorders>
          </w:tcPr>
          <w:p w14:paraId="6197AD9B" w14:textId="77777777" w:rsidR="00C02CAA" w:rsidRPr="007D0A59" w:rsidRDefault="00C02CAA" w:rsidP="00D906A1">
            <w:pPr>
              <w:jc w:val="both"/>
            </w:pPr>
            <w:r w:rsidRPr="007D0A59">
              <w:t xml:space="preserve">Maksātnespējas procesa administratora atlīdzība par darbinieku prasījumu </w:t>
            </w:r>
            <w:r w:rsidR="00D906A1" w:rsidRPr="007D0A59">
              <w:t>segšanu</w:t>
            </w:r>
            <w:r w:rsidRPr="007D0A59">
              <w:t xml:space="preserve">, kopā, </w:t>
            </w:r>
            <w:r w:rsidRPr="007D0A59">
              <w:rPr>
                <w:i/>
              </w:rPr>
              <w:t>euro</w:t>
            </w:r>
          </w:p>
        </w:tc>
        <w:tc>
          <w:tcPr>
            <w:tcW w:w="1440" w:type="dxa"/>
            <w:tcBorders>
              <w:top w:val="nil"/>
              <w:left w:val="nil"/>
              <w:bottom w:val="single" w:sz="4" w:space="0" w:color="auto"/>
              <w:right w:val="single" w:sz="4" w:space="0" w:color="auto"/>
            </w:tcBorders>
            <w:noWrap/>
          </w:tcPr>
          <w:p w14:paraId="12EBFC10" w14:textId="77777777" w:rsidR="00C02CAA" w:rsidRPr="007D0A59" w:rsidRDefault="00DB3974" w:rsidP="007D0A59">
            <w:pPr>
              <w:jc w:val="center"/>
              <w:rPr>
                <w:b/>
              </w:rPr>
            </w:pPr>
            <w:r w:rsidRPr="007D0A59">
              <w:rPr>
                <w:b/>
              </w:rPr>
              <w:t xml:space="preserve">10 </w:t>
            </w:r>
            <w:r w:rsidR="00E72BC8" w:rsidRPr="007D0A59">
              <w:rPr>
                <w:b/>
              </w:rPr>
              <w:t>554</w:t>
            </w:r>
          </w:p>
        </w:tc>
        <w:tc>
          <w:tcPr>
            <w:tcW w:w="1440" w:type="dxa"/>
            <w:tcBorders>
              <w:top w:val="nil"/>
              <w:left w:val="nil"/>
              <w:bottom w:val="single" w:sz="4" w:space="0" w:color="auto"/>
              <w:right w:val="single" w:sz="4" w:space="0" w:color="auto"/>
            </w:tcBorders>
            <w:noWrap/>
          </w:tcPr>
          <w:p w14:paraId="0231A2BF" w14:textId="77777777" w:rsidR="00C02CAA" w:rsidRPr="007D0A59" w:rsidRDefault="00DB3974" w:rsidP="007D0A59">
            <w:pPr>
              <w:jc w:val="center"/>
              <w:rPr>
                <w:b/>
              </w:rPr>
            </w:pPr>
            <w:r w:rsidRPr="007D0A59">
              <w:rPr>
                <w:b/>
              </w:rPr>
              <w:t xml:space="preserve">10 </w:t>
            </w:r>
            <w:r w:rsidR="00E72BC8" w:rsidRPr="007D0A59">
              <w:rPr>
                <w:b/>
              </w:rPr>
              <w:t>989</w:t>
            </w:r>
          </w:p>
        </w:tc>
        <w:tc>
          <w:tcPr>
            <w:tcW w:w="1440" w:type="dxa"/>
            <w:tcBorders>
              <w:top w:val="nil"/>
              <w:left w:val="nil"/>
              <w:bottom w:val="single" w:sz="4" w:space="0" w:color="auto"/>
              <w:right w:val="single" w:sz="4" w:space="0" w:color="auto"/>
            </w:tcBorders>
            <w:noWrap/>
          </w:tcPr>
          <w:p w14:paraId="453D1DF4" w14:textId="77777777" w:rsidR="00C02CAA" w:rsidRPr="007D0A59" w:rsidRDefault="00DB3974" w:rsidP="007D0A59">
            <w:pPr>
              <w:jc w:val="center"/>
              <w:rPr>
                <w:b/>
              </w:rPr>
            </w:pPr>
            <w:r w:rsidRPr="007D0A59">
              <w:rPr>
                <w:b/>
              </w:rPr>
              <w:t xml:space="preserve">11 </w:t>
            </w:r>
            <w:r w:rsidR="00E72BC8" w:rsidRPr="007D0A59">
              <w:rPr>
                <w:b/>
              </w:rPr>
              <w:t>533</w:t>
            </w:r>
          </w:p>
        </w:tc>
      </w:tr>
    </w:tbl>
    <w:p w14:paraId="6E22B627" w14:textId="77777777" w:rsidR="00C02CAA" w:rsidRPr="001E23E1" w:rsidRDefault="00C02CAA" w:rsidP="008146B6">
      <w:pPr>
        <w:ind w:firstLine="720"/>
        <w:jc w:val="both"/>
        <w:rPr>
          <w:sz w:val="28"/>
          <w:szCs w:val="28"/>
        </w:rPr>
      </w:pPr>
    </w:p>
    <w:p w14:paraId="44B2E3DD" w14:textId="77777777" w:rsidR="00C02CAA" w:rsidRPr="007D0A59" w:rsidRDefault="00C02CAA" w:rsidP="009A173D">
      <w:pPr>
        <w:ind w:firstLine="720"/>
        <w:jc w:val="both"/>
      </w:pPr>
      <w:r w:rsidRPr="007D0A59">
        <w:t>Saskaņā ar 2</w:t>
      </w:r>
      <w:r w:rsidR="00A42A5F" w:rsidRPr="007D0A59">
        <w:t>7</w:t>
      </w:r>
      <w:r w:rsidRPr="007D0A59">
        <w:t xml:space="preserve">.tabulā norādīto vidēji gadā darbinieku prasījumu garantiju fondā tiek atgūti un Maksātnespējas administrācijas budžetā ieskaitīti </w:t>
      </w:r>
      <w:r w:rsidR="006D40B2" w:rsidRPr="007D0A59">
        <w:t>166 535</w:t>
      </w:r>
      <w:r w:rsidRPr="007D0A59">
        <w:t xml:space="preserve"> </w:t>
      </w:r>
      <w:r w:rsidRPr="007D0A59">
        <w:rPr>
          <w:i/>
        </w:rPr>
        <w:t>euro</w:t>
      </w:r>
      <w:r w:rsidRPr="007D0A59">
        <w:t>.</w:t>
      </w:r>
    </w:p>
    <w:p w14:paraId="1DDC6C21" w14:textId="77777777" w:rsidR="007D0A59" w:rsidRDefault="007D0A59" w:rsidP="009A173D">
      <w:pPr>
        <w:ind w:firstLine="720"/>
        <w:jc w:val="right"/>
        <w:rPr>
          <w:sz w:val="28"/>
          <w:szCs w:val="28"/>
        </w:rPr>
      </w:pPr>
    </w:p>
    <w:p w14:paraId="2C2CF579" w14:textId="77777777" w:rsidR="00C02CAA" w:rsidRPr="007D0A59" w:rsidRDefault="00C02CAA" w:rsidP="009A173D">
      <w:pPr>
        <w:ind w:firstLine="720"/>
        <w:jc w:val="right"/>
      </w:pPr>
      <w:r w:rsidRPr="007D0A59">
        <w:t>2</w:t>
      </w:r>
      <w:r w:rsidR="00A42A5F" w:rsidRPr="007D0A59">
        <w:t>7</w:t>
      </w:r>
      <w:r w:rsidRPr="007D0A59">
        <w:t>.tabula</w:t>
      </w:r>
    </w:p>
    <w:p w14:paraId="53D1E15F" w14:textId="77777777" w:rsidR="00C02CAA" w:rsidRPr="007D0A59" w:rsidRDefault="00C02CAA" w:rsidP="009A173D">
      <w:pPr>
        <w:ind w:firstLine="720"/>
        <w:jc w:val="right"/>
        <w:rPr>
          <w:b/>
        </w:rPr>
      </w:pPr>
    </w:p>
    <w:p w14:paraId="35BFDF1E" w14:textId="77777777" w:rsidR="00C02CAA" w:rsidRPr="007D0A59" w:rsidRDefault="00C02CAA" w:rsidP="009A173D">
      <w:pPr>
        <w:tabs>
          <w:tab w:val="left" w:pos="720"/>
        </w:tabs>
        <w:ind w:firstLine="720"/>
        <w:jc w:val="center"/>
        <w:rPr>
          <w:b/>
        </w:rPr>
      </w:pPr>
      <w:r w:rsidRPr="007D0A59">
        <w:rPr>
          <w:b/>
        </w:rPr>
        <w:t>Atgūtie līdzekļi 201</w:t>
      </w:r>
      <w:r w:rsidR="00E91C5A" w:rsidRPr="007D0A59">
        <w:rPr>
          <w:b/>
        </w:rPr>
        <w:t>1</w:t>
      </w:r>
      <w:r w:rsidRPr="007D0A59">
        <w:rPr>
          <w:b/>
        </w:rPr>
        <w:t>.–201</w:t>
      </w:r>
      <w:r w:rsidR="00E91C5A" w:rsidRPr="007D0A59">
        <w:rPr>
          <w:b/>
        </w:rPr>
        <w:t>5</w:t>
      </w:r>
      <w:r w:rsidRPr="007D0A59">
        <w:rPr>
          <w:b/>
        </w:rPr>
        <w:t>.gadā darbinieku prasījumu garantiju fondā</w:t>
      </w:r>
    </w:p>
    <w:p w14:paraId="1CDF4111" w14:textId="77777777" w:rsidR="00C02CAA" w:rsidRPr="001E23E1" w:rsidRDefault="00C02CAA" w:rsidP="00AA5846">
      <w:pPr>
        <w:pStyle w:val="naisf"/>
        <w:spacing w:before="0" w:after="0"/>
        <w:rPr>
          <w:i/>
          <w:sz w:val="18"/>
          <w:szCs w:val="18"/>
        </w:rPr>
      </w:pPr>
    </w:p>
    <w:tbl>
      <w:tblPr>
        <w:tblW w:w="9039" w:type="dxa"/>
        <w:jc w:val="center"/>
        <w:tblLayout w:type="fixed"/>
        <w:tblLook w:val="0000" w:firstRow="0" w:lastRow="0" w:firstColumn="0" w:lastColumn="0" w:noHBand="0" w:noVBand="0"/>
      </w:tblPr>
      <w:tblGrid>
        <w:gridCol w:w="1808"/>
        <w:gridCol w:w="1110"/>
        <w:gridCol w:w="1110"/>
        <w:gridCol w:w="1170"/>
        <w:gridCol w:w="1050"/>
        <w:gridCol w:w="1257"/>
        <w:gridCol w:w="1534"/>
      </w:tblGrid>
      <w:tr w:rsidR="00FA09DC" w:rsidRPr="001E23E1" w14:paraId="72705E42" w14:textId="77777777" w:rsidTr="007D0A59">
        <w:trPr>
          <w:trHeight w:val="255"/>
          <w:jc w:val="center"/>
        </w:trPr>
        <w:tc>
          <w:tcPr>
            <w:tcW w:w="1808" w:type="dxa"/>
            <w:tcBorders>
              <w:top w:val="single" w:sz="4" w:space="0" w:color="auto"/>
              <w:left w:val="single" w:sz="4" w:space="0" w:color="auto"/>
              <w:bottom w:val="single" w:sz="4" w:space="0" w:color="auto"/>
              <w:right w:val="single" w:sz="4" w:space="0" w:color="auto"/>
            </w:tcBorders>
            <w:noWrap/>
            <w:vAlign w:val="bottom"/>
          </w:tcPr>
          <w:p w14:paraId="3BCFE15F" w14:textId="77777777" w:rsidR="00FA09DC" w:rsidRPr="001E23E1" w:rsidRDefault="00FA09DC" w:rsidP="00753CE7">
            <w:pPr>
              <w:pStyle w:val="naisf"/>
              <w:spacing w:before="0" w:after="0"/>
              <w:ind w:firstLine="0"/>
            </w:pPr>
            <w:r w:rsidRPr="001E23E1">
              <w:t> </w:t>
            </w:r>
          </w:p>
        </w:tc>
        <w:tc>
          <w:tcPr>
            <w:tcW w:w="1110" w:type="dxa"/>
            <w:tcBorders>
              <w:top w:val="single" w:sz="4" w:space="0" w:color="auto"/>
              <w:left w:val="nil"/>
              <w:bottom w:val="single" w:sz="4" w:space="0" w:color="auto"/>
              <w:right w:val="single" w:sz="4" w:space="0" w:color="auto"/>
            </w:tcBorders>
            <w:noWrap/>
            <w:vAlign w:val="center"/>
          </w:tcPr>
          <w:p w14:paraId="3105DC32" w14:textId="77777777" w:rsidR="00FA09DC" w:rsidRPr="00F07CAD" w:rsidRDefault="00FA09DC" w:rsidP="00F07CAD">
            <w:pPr>
              <w:pStyle w:val="naisf"/>
              <w:spacing w:before="0" w:after="0"/>
              <w:ind w:firstLine="0"/>
              <w:jc w:val="center"/>
              <w:rPr>
                <w:b/>
              </w:rPr>
            </w:pPr>
            <w:r w:rsidRPr="00F07CAD">
              <w:rPr>
                <w:b/>
              </w:rPr>
              <w:t>2011</w:t>
            </w:r>
          </w:p>
        </w:tc>
        <w:tc>
          <w:tcPr>
            <w:tcW w:w="1110" w:type="dxa"/>
            <w:tcBorders>
              <w:top w:val="single" w:sz="4" w:space="0" w:color="auto"/>
              <w:left w:val="nil"/>
              <w:bottom w:val="single" w:sz="4" w:space="0" w:color="auto"/>
              <w:right w:val="single" w:sz="4" w:space="0" w:color="auto"/>
            </w:tcBorders>
            <w:noWrap/>
            <w:vAlign w:val="center"/>
          </w:tcPr>
          <w:p w14:paraId="48DD261B" w14:textId="77777777" w:rsidR="00FA09DC" w:rsidRPr="00F07CAD" w:rsidRDefault="00FA09DC" w:rsidP="00F07CAD">
            <w:pPr>
              <w:pStyle w:val="naisf"/>
              <w:spacing w:before="0" w:after="0"/>
              <w:ind w:firstLine="0"/>
              <w:jc w:val="center"/>
              <w:rPr>
                <w:b/>
              </w:rPr>
            </w:pPr>
            <w:r w:rsidRPr="00F07CAD">
              <w:rPr>
                <w:b/>
              </w:rPr>
              <w:t>2012</w:t>
            </w:r>
          </w:p>
        </w:tc>
        <w:tc>
          <w:tcPr>
            <w:tcW w:w="1170" w:type="dxa"/>
            <w:tcBorders>
              <w:top w:val="single" w:sz="4" w:space="0" w:color="auto"/>
              <w:left w:val="nil"/>
              <w:bottom w:val="single" w:sz="4" w:space="0" w:color="auto"/>
              <w:right w:val="single" w:sz="4" w:space="0" w:color="auto"/>
            </w:tcBorders>
            <w:noWrap/>
            <w:vAlign w:val="center"/>
          </w:tcPr>
          <w:p w14:paraId="670BBFA2" w14:textId="77777777" w:rsidR="00FA09DC" w:rsidRPr="00F07CAD" w:rsidRDefault="00FA09DC" w:rsidP="00F07CAD">
            <w:pPr>
              <w:pStyle w:val="naisf"/>
              <w:spacing w:before="0" w:after="0"/>
              <w:ind w:firstLine="0"/>
              <w:jc w:val="center"/>
              <w:rPr>
                <w:b/>
              </w:rPr>
            </w:pPr>
            <w:r w:rsidRPr="00F07CAD">
              <w:rPr>
                <w:b/>
              </w:rPr>
              <w:t>2013</w:t>
            </w:r>
          </w:p>
        </w:tc>
        <w:tc>
          <w:tcPr>
            <w:tcW w:w="1050" w:type="dxa"/>
            <w:tcBorders>
              <w:top w:val="single" w:sz="4" w:space="0" w:color="auto"/>
              <w:left w:val="nil"/>
              <w:bottom w:val="single" w:sz="4" w:space="0" w:color="auto"/>
              <w:right w:val="single" w:sz="4" w:space="0" w:color="auto"/>
            </w:tcBorders>
            <w:noWrap/>
            <w:vAlign w:val="center"/>
          </w:tcPr>
          <w:p w14:paraId="48C3A449" w14:textId="77777777" w:rsidR="00FA09DC" w:rsidRPr="00F07CAD" w:rsidRDefault="00FA09DC" w:rsidP="00F07CAD">
            <w:pPr>
              <w:pStyle w:val="naisf"/>
              <w:spacing w:before="0" w:after="0"/>
              <w:ind w:firstLine="0"/>
              <w:jc w:val="center"/>
              <w:rPr>
                <w:b/>
              </w:rPr>
            </w:pPr>
            <w:r w:rsidRPr="00F07CAD">
              <w:rPr>
                <w:b/>
              </w:rPr>
              <w:t>2014</w:t>
            </w:r>
          </w:p>
        </w:tc>
        <w:tc>
          <w:tcPr>
            <w:tcW w:w="1257" w:type="dxa"/>
            <w:tcBorders>
              <w:top w:val="single" w:sz="4" w:space="0" w:color="auto"/>
              <w:left w:val="nil"/>
              <w:bottom w:val="single" w:sz="4" w:space="0" w:color="auto"/>
              <w:right w:val="single" w:sz="4" w:space="0" w:color="auto"/>
            </w:tcBorders>
            <w:vAlign w:val="center"/>
          </w:tcPr>
          <w:p w14:paraId="148256B8" w14:textId="77777777" w:rsidR="00FA09DC" w:rsidRPr="00F07CAD" w:rsidRDefault="00FA09DC" w:rsidP="00F07CAD">
            <w:pPr>
              <w:pStyle w:val="naisf"/>
              <w:spacing w:before="0" w:after="0"/>
              <w:ind w:firstLine="0"/>
              <w:jc w:val="center"/>
              <w:rPr>
                <w:b/>
              </w:rPr>
            </w:pPr>
            <w:r>
              <w:rPr>
                <w:b/>
              </w:rPr>
              <w:t>2015</w:t>
            </w:r>
          </w:p>
        </w:tc>
        <w:tc>
          <w:tcPr>
            <w:tcW w:w="1534" w:type="dxa"/>
            <w:tcBorders>
              <w:top w:val="single" w:sz="4" w:space="0" w:color="auto"/>
              <w:left w:val="single" w:sz="4" w:space="0" w:color="auto"/>
              <w:bottom w:val="single" w:sz="4" w:space="0" w:color="auto"/>
              <w:right w:val="single" w:sz="4" w:space="0" w:color="auto"/>
            </w:tcBorders>
            <w:noWrap/>
            <w:vAlign w:val="center"/>
          </w:tcPr>
          <w:p w14:paraId="67458E48" w14:textId="77777777" w:rsidR="00FA09DC" w:rsidRPr="00F07CAD" w:rsidRDefault="00FA09DC" w:rsidP="00F07CAD">
            <w:pPr>
              <w:pStyle w:val="naisf"/>
              <w:spacing w:before="0" w:after="0"/>
              <w:ind w:firstLine="0"/>
              <w:jc w:val="center"/>
              <w:rPr>
                <w:b/>
              </w:rPr>
            </w:pPr>
            <w:r w:rsidRPr="00F07CAD">
              <w:rPr>
                <w:b/>
              </w:rPr>
              <w:t>Vidēji</w:t>
            </w:r>
          </w:p>
        </w:tc>
      </w:tr>
      <w:tr w:rsidR="00FA09DC" w:rsidRPr="001E23E1" w14:paraId="28015C41" w14:textId="77777777" w:rsidTr="007D0A59">
        <w:trPr>
          <w:trHeight w:val="255"/>
          <w:jc w:val="center"/>
        </w:trPr>
        <w:tc>
          <w:tcPr>
            <w:tcW w:w="1808" w:type="dxa"/>
            <w:tcBorders>
              <w:top w:val="nil"/>
              <w:left w:val="single" w:sz="4" w:space="0" w:color="auto"/>
              <w:bottom w:val="single" w:sz="4" w:space="0" w:color="auto"/>
              <w:right w:val="single" w:sz="4" w:space="0" w:color="auto"/>
            </w:tcBorders>
            <w:noWrap/>
            <w:vAlign w:val="bottom"/>
          </w:tcPr>
          <w:p w14:paraId="5BDCFEB7" w14:textId="77777777" w:rsidR="00FA09DC" w:rsidRPr="001E23E1" w:rsidRDefault="00FA09DC" w:rsidP="00753CE7">
            <w:pPr>
              <w:pStyle w:val="naisf"/>
              <w:spacing w:before="0" w:after="0"/>
              <w:ind w:firstLine="0"/>
            </w:pPr>
            <w:r w:rsidRPr="001E23E1">
              <w:t>Atgūtie līdzekļi</w:t>
            </w:r>
            <w:r>
              <w:t xml:space="preserve">, </w:t>
            </w:r>
            <w:r w:rsidRPr="00F809CD">
              <w:rPr>
                <w:i/>
              </w:rPr>
              <w:t>euro</w:t>
            </w:r>
          </w:p>
        </w:tc>
        <w:tc>
          <w:tcPr>
            <w:tcW w:w="1110" w:type="dxa"/>
            <w:tcBorders>
              <w:top w:val="nil"/>
              <w:left w:val="nil"/>
              <w:bottom w:val="single" w:sz="4" w:space="0" w:color="auto"/>
              <w:right w:val="single" w:sz="4" w:space="0" w:color="auto"/>
            </w:tcBorders>
            <w:noWrap/>
            <w:vAlign w:val="center"/>
          </w:tcPr>
          <w:p w14:paraId="48248C52" w14:textId="77777777" w:rsidR="00FA09DC" w:rsidRPr="001E23E1" w:rsidRDefault="00FA09DC" w:rsidP="00F07CAD">
            <w:pPr>
              <w:pStyle w:val="naisf"/>
              <w:spacing w:before="0" w:after="0"/>
              <w:ind w:firstLine="0"/>
              <w:jc w:val="right"/>
            </w:pPr>
            <w:r w:rsidRPr="001E23E1">
              <w:t>150 151</w:t>
            </w:r>
          </w:p>
        </w:tc>
        <w:tc>
          <w:tcPr>
            <w:tcW w:w="1110" w:type="dxa"/>
            <w:tcBorders>
              <w:top w:val="nil"/>
              <w:left w:val="nil"/>
              <w:bottom w:val="single" w:sz="4" w:space="0" w:color="auto"/>
              <w:right w:val="single" w:sz="4" w:space="0" w:color="auto"/>
            </w:tcBorders>
            <w:noWrap/>
            <w:vAlign w:val="center"/>
          </w:tcPr>
          <w:p w14:paraId="3D27F776" w14:textId="77777777" w:rsidR="00FA09DC" w:rsidRPr="001E23E1" w:rsidRDefault="00FA09DC" w:rsidP="00F07CAD">
            <w:pPr>
              <w:pStyle w:val="naisf"/>
              <w:spacing w:before="0" w:after="0"/>
              <w:ind w:firstLine="0"/>
              <w:jc w:val="right"/>
            </w:pPr>
            <w:r w:rsidRPr="001E23E1">
              <w:t>192 667</w:t>
            </w:r>
          </w:p>
        </w:tc>
        <w:tc>
          <w:tcPr>
            <w:tcW w:w="1170" w:type="dxa"/>
            <w:tcBorders>
              <w:top w:val="nil"/>
              <w:left w:val="nil"/>
              <w:bottom w:val="single" w:sz="4" w:space="0" w:color="auto"/>
              <w:right w:val="single" w:sz="4" w:space="0" w:color="auto"/>
            </w:tcBorders>
            <w:noWrap/>
            <w:vAlign w:val="center"/>
          </w:tcPr>
          <w:p w14:paraId="414D4342" w14:textId="77777777" w:rsidR="00FA09DC" w:rsidRPr="001E23E1" w:rsidRDefault="00FA09DC" w:rsidP="00F07CAD">
            <w:pPr>
              <w:pStyle w:val="naisf"/>
              <w:spacing w:before="0" w:after="0"/>
              <w:ind w:firstLine="0"/>
              <w:jc w:val="right"/>
            </w:pPr>
            <w:r w:rsidRPr="001E23E1">
              <w:t>137 145*</w:t>
            </w:r>
          </w:p>
        </w:tc>
        <w:tc>
          <w:tcPr>
            <w:tcW w:w="1050" w:type="dxa"/>
            <w:tcBorders>
              <w:top w:val="nil"/>
              <w:left w:val="nil"/>
              <w:bottom w:val="single" w:sz="4" w:space="0" w:color="auto"/>
              <w:right w:val="single" w:sz="4" w:space="0" w:color="auto"/>
            </w:tcBorders>
            <w:noWrap/>
            <w:vAlign w:val="center"/>
          </w:tcPr>
          <w:p w14:paraId="4C1A0934" w14:textId="77777777" w:rsidR="00FA09DC" w:rsidRPr="001E23E1" w:rsidRDefault="00FA09DC" w:rsidP="00F07CAD">
            <w:pPr>
              <w:pStyle w:val="naisf"/>
              <w:spacing w:before="0" w:after="0"/>
              <w:ind w:firstLine="0"/>
              <w:jc w:val="right"/>
            </w:pPr>
            <w:r w:rsidRPr="001E23E1">
              <w:t>160 772</w:t>
            </w:r>
          </w:p>
        </w:tc>
        <w:tc>
          <w:tcPr>
            <w:tcW w:w="1257" w:type="dxa"/>
            <w:tcBorders>
              <w:top w:val="single" w:sz="4" w:space="0" w:color="auto"/>
              <w:left w:val="nil"/>
              <w:bottom w:val="single" w:sz="4" w:space="0" w:color="auto"/>
              <w:right w:val="single" w:sz="4" w:space="0" w:color="auto"/>
            </w:tcBorders>
            <w:vAlign w:val="center"/>
          </w:tcPr>
          <w:p w14:paraId="1DDFDBA5" w14:textId="77777777" w:rsidR="00FA09DC" w:rsidRPr="001E23E1" w:rsidRDefault="00FA09DC" w:rsidP="00F07CAD">
            <w:pPr>
              <w:pStyle w:val="naisf"/>
              <w:spacing w:before="0" w:after="0"/>
              <w:ind w:firstLine="0"/>
              <w:jc w:val="right"/>
            </w:pPr>
            <w:r>
              <w:t>191 938**</w:t>
            </w:r>
          </w:p>
        </w:tc>
        <w:tc>
          <w:tcPr>
            <w:tcW w:w="1534" w:type="dxa"/>
            <w:tcBorders>
              <w:top w:val="nil"/>
              <w:left w:val="single" w:sz="4" w:space="0" w:color="auto"/>
              <w:bottom w:val="single" w:sz="4" w:space="0" w:color="auto"/>
              <w:right w:val="single" w:sz="4" w:space="0" w:color="auto"/>
            </w:tcBorders>
            <w:noWrap/>
            <w:vAlign w:val="center"/>
          </w:tcPr>
          <w:p w14:paraId="2FFA14EC" w14:textId="77777777" w:rsidR="00FA09DC" w:rsidRPr="001E23E1" w:rsidRDefault="00FA09DC" w:rsidP="00F07CAD">
            <w:pPr>
              <w:pStyle w:val="naisf"/>
              <w:spacing w:before="0" w:after="0"/>
              <w:ind w:firstLine="0"/>
              <w:jc w:val="right"/>
            </w:pPr>
            <w:r>
              <w:t>166</w:t>
            </w:r>
            <w:r w:rsidR="0066395E">
              <w:t> </w:t>
            </w:r>
            <w:r>
              <w:t>535</w:t>
            </w:r>
            <w:r w:rsidR="0066395E">
              <w:t>***</w:t>
            </w:r>
          </w:p>
        </w:tc>
      </w:tr>
    </w:tbl>
    <w:p w14:paraId="573CFE22" w14:textId="77777777" w:rsidR="005A6D3B" w:rsidRDefault="005A6D3B" w:rsidP="00AA5846">
      <w:pPr>
        <w:pStyle w:val="naisf"/>
        <w:spacing w:before="0" w:after="0"/>
        <w:rPr>
          <w:i/>
          <w:sz w:val="18"/>
          <w:szCs w:val="18"/>
        </w:rPr>
      </w:pPr>
    </w:p>
    <w:p w14:paraId="59EE33FE" w14:textId="77777777" w:rsidR="00C02CAA" w:rsidRPr="007D0A59" w:rsidRDefault="00C02CAA" w:rsidP="00AA5846">
      <w:pPr>
        <w:pStyle w:val="naisf"/>
        <w:spacing w:before="0" w:after="0"/>
        <w:rPr>
          <w:i/>
          <w:sz w:val="20"/>
          <w:szCs w:val="20"/>
        </w:rPr>
      </w:pPr>
      <w:r w:rsidRPr="007D0A59">
        <w:rPr>
          <w:i/>
          <w:sz w:val="20"/>
          <w:szCs w:val="20"/>
        </w:rPr>
        <w:t xml:space="preserve">*2013.gadā kopējie atgūtie līdzekļi darbinieku prasījumu garantiju fondā ir 775 533 euro. Starpība starp tabulā norādīto summu un kopējiem atgūtajiem līdzekļiem ir 638 388 euro un veidojas no atgūtajiem līdzekļiem no </w:t>
      </w:r>
      <w:r w:rsidR="00FA09DC" w:rsidRPr="007D0A59">
        <w:rPr>
          <w:i/>
          <w:sz w:val="20"/>
          <w:szCs w:val="20"/>
        </w:rPr>
        <w:t>M</w:t>
      </w:r>
      <w:r w:rsidRPr="007D0A59">
        <w:rPr>
          <w:i/>
          <w:sz w:val="20"/>
          <w:szCs w:val="20"/>
        </w:rPr>
        <w:t xml:space="preserve">SIA „Nelss”. Tā kā šie atgūtie līdzekļi no </w:t>
      </w:r>
      <w:r w:rsidR="00B67C70">
        <w:rPr>
          <w:i/>
          <w:sz w:val="20"/>
          <w:szCs w:val="20"/>
        </w:rPr>
        <w:t>M</w:t>
      </w:r>
      <w:r w:rsidRPr="007D0A59">
        <w:rPr>
          <w:i/>
          <w:sz w:val="20"/>
          <w:szCs w:val="20"/>
        </w:rPr>
        <w:t xml:space="preserve">SIA „Nelss” ir </w:t>
      </w:r>
      <w:r w:rsidR="00FA09DC" w:rsidRPr="007D0A59">
        <w:rPr>
          <w:i/>
          <w:sz w:val="20"/>
          <w:szCs w:val="20"/>
        </w:rPr>
        <w:t xml:space="preserve">otri </w:t>
      </w:r>
      <w:r w:rsidRPr="007D0A59">
        <w:rPr>
          <w:i/>
          <w:sz w:val="20"/>
          <w:szCs w:val="20"/>
        </w:rPr>
        <w:t>lielākie visā Maksātnespējas administrācijas vēsturē un neveido tendenci, šī summa netiks iekļauta vidējās atgūtās kopsummas aprēķinā.</w:t>
      </w:r>
    </w:p>
    <w:p w14:paraId="224D88B8" w14:textId="77777777" w:rsidR="00FA09DC" w:rsidRPr="007D0A59" w:rsidRDefault="00FA09DC" w:rsidP="00AA5846">
      <w:pPr>
        <w:pStyle w:val="naisf"/>
        <w:spacing w:before="0" w:after="0"/>
        <w:rPr>
          <w:i/>
          <w:sz w:val="20"/>
          <w:szCs w:val="20"/>
        </w:rPr>
      </w:pPr>
      <w:r w:rsidRPr="007D0A59">
        <w:rPr>
          <w:i/>
          <w:sz w:val="20"/>
          <w:szCs w:val="20"/>
        </w:rPr>
        <w:t>**2015.gadā kopējie atgūtie līdzekļi darbinieku prasījumu garantiju fondā ir 1 440 552 euro. Starpība starp tabulā norādīto summu un kopējiem atgūtajiem līdzekļiem ir 1 248 614 euro un veidojas no atgūtajiem līdzekļiem no MAS „Liepājas metalurgs”. Tā kā šie atgūtie līdzekļi no MAS „Liepājas metalurgs” ir lielākie visā Maksātnespējas administrācijas vēsturē un neveido tendenci, šī summa netiks iekļauta vidējās atgūtās kopsummas aprēķinā.</w:t>
      </w:r>
    </w:p>
    <w:p w14:paraId="1382AE79" w14:textId="77777777" w:rsidR="0066395E" w:rsidRPr="007D0A59" w:rsidRDefault="0066395E" w:rsidP="00AA5846">
      <w:pPr>
        <w:pStyle w:val="naisf"/>
        <w:spacing w:before="0" w:after="0"/>
        <w:rPr>
          <w:i/>
          <w:sz w:val="20"/>
          <w:szCs w:val="20"/>
        </w:rPr>
      </w:pPr>
      <w:r w:rsidRPr="007D0A59">
        <w:rPr>
          <w:i/>
          <w:sz w:val="20"/>
          <w:szCs w:val="20"/>
        </w:rPr>
        <w:t>***vidējā aprēķinātā summa, plānojot atgūto līdzekļu apjomu turpmākajiem gadiem, tiek noapaļota uz 165 000 euro</w:t>
      </w:r>
    </w:p>
    <w:p w14:paraId="176C1134" w14:textId="77777777" w:rsidR="00C02CAA" w:rsidRPr="007D0A59" w:rsidRDefault="00C02CAA" w:rsidP="00292DBD">
      <w:pPr>
        <w:pStyle w:val="naisf"/>
        <w:spacing w:before="0" w:after="0"/>
        <w:ind w:left="360" w:firstLine="0"/>
        <w:rPr>
          <w:i/>
          <w:sz w:val="20"/>
          <w:szCs w:val="20"/>
        </w:rPr>
      </w:pPr>
    </w:p>
    <w:p w14:paraId="27DCC90A" w14:textId="77777777" w:rsidR="00C02CAA" w:rsidRPr="007D0A59" w:rsidRDefault="00C02CAA" w:rsidP="00ED3E5E">
      <w:pPr>
        <w:jc w:val="both"/>
      </w:pPr>
      <w:r w:rsidRPr="001E23E1">
        <w:rPr>
          <w:b/>
          <w:sz w:val="28"/>
          <w:szCs w:val="28"/>
        </w:rPr>
        <w:tab/>
      </w:r>
      <w:r w:rsidRPr="007D0A59">
        <w:t>Lai apmierinātu darbinieku prasījumus, Valsts kase katru mēnesi līdz 15.</w:t>
      </w:r>
      <w:r w:rsidR="00B67C70">
        <w:t xml:space="preserve"> </w:t>
      </w:r>
      <w:r w:rsidRPr="007D0A59">
        <w:t xml:space="preserve">un 25. datumam, kā arī saimnieciskā gada pēdējā dienā, nepārsniedzot likumā par valsts budžetu kārtējam gadam un finansēšanas plānā attiecīgajā periodā no saimnieciskā gada sākuma paredzēto pašu ieņēmumu apjomu, no URVN ieņēmumiem ieskaitāmo valsts nodevas daļu ieskaita valsts pamatbudžeta apakšprogrammas 06.04.00 </w:t>
      </w:r>
      <w:r w:rsidR="00FF1BEA" w:rsidRPr="000121BB">
        <w:rPr>
          <w:noProof/>
          <w:szCs w:val="20"/>
        </w:rPr>
        <w:t>„</w:t>
      </w:r>
      <w:r w:rsidRPr="007D0A59">
        <w:t>Darbinieku prasījumu garantiju fonds</w:t>
      </w:r>
      <w:r w:rsidR="00FF1BEA">
        <w:t>”</w:t>
      </w:r>
      <w:r w:rsidR="00FF1BEA" w:rsidRPr="007D0A59">
        <w:t xml:space="preserve"> </w:t>
      </w:r>
      <w:r w:rsidRPr="007D0A59">
        <w:t>kontā pašu ieņēmumos. Attiecīgi katra kalendārā gada pirmajās darba dienās līdz 15.janvārim nav pieejami līdzekļi darbinieku prasījumu segšanai par lēmumiem, kuri ir pieņemti attiecīgā gada sākumā.</w:t>
      </w:r>
    </w:p>
    <w:p w14:paraId="5C19539B" w14:textId="77777777" w:rsidR="00C02CAA" w:rsidRPr="007D0A59" w:rsidRDefault="00C02CAA" w:rsidP="00971072">
      <w:pPr>
        <w:ind w:firstLine="720"/>
        <w:jc w:val="both"/>
      </w:pPr>
      <w:r w:rsidRPr="007D0A59">
        <w:t>Ņemot vērā apstākli, ka Maksātnespējas administrācija ir atbildīga par pēc iespējas ātrāku darbiniek</w:t>
      </w:r>
      <w:r w:rsidR="00FF1BEA">
        <w:t>u</w:t>
      </w:r>
      <w:r w:rsidRPr="007D0A59">
        <w:t xml:space="preserve"> prasījumu apmierināšanu, kas sevī ietver arī faktisku piešķirto līdzekļu izmaksu, un dažkārt ir situācijas, kad lēmumu nav iespējams pieņemt mēneša laikā (ārējās vides faktors – maksātnespējīgā uzņēmuma dokumentācijas kvalitāte, Valsts ieņēmumu dienestā deklarētās summas u.c. apstākļi), tad jo sevišķi svarīgi ir brīdī, kad lēmums ir pieņemts un darbiniekam ir tiesības saņemt naudu pēc iespējas ātrāk, to nekavēt ārēju apstākļu dēļ – šajā gadījumā URVN ieskaitīšanas attiecīgajā kontā noteiktās kārtības dēļ.</w:t>
      </w:r>
    </w:p>
    <w:p w14:paraId="52A94C61" w14:textId="77777777" w:rsidR="00C02CAA" w:rsidRPr="007D0A59" w:rsidRDefault="00C02CAA" w:rsidP="00971072">
      <w:pPr>
        <w:ind w:firstLine="720"/>
        <w:jc w:val="both"/>
      </w:pPr>
      <w:r w:rsidRPr="007D0A59">
        <w:t>Kā norādīts iepriekš, darbinieku prasījumu garantiju fonda atlikumā uz 201</w:t>
      </w:r>
      <w:r w:rsidR="00E924A5" w:rsidRPr="007D0A59">
        <w:t>5</w:t>
      </w:r>
      <w:r w:rsidRPr="007D0A59">
        <w:t xml:space="preserve">.gada 31.decembri ir uzkrāti </w:t>
      </w:r>
      <w:r w:rsidR="00E924A5" w:rsidRPr="007D0A59">
        <w:t>7 314 740</w:t>
      </w:r>
      <w:r w:rsidRPr="007D0A59">
        <w:t xml:space="preserve"> </w:t>
      </w:r>
      <w:r w:rsidRPr="007D0A59">
        <w:rPr>
          <w:i/>
        </w:rPr>
        <w:t>euro</w:t>
      </w:r>
      <w:r w:rsidRPr="007D0A59">
        <w:t xml:space="preserve">, kurus saskaņā ar </w:t>
      </w:r>
      <w:r w:rsidR="00345BB4">
        <w:t xml:space="preserve">Darbinieku aizsardzības likuma </w:t>
      </w:r>
      <w:r w:rsidR="00345BB4" w:rsidRPr="007D0A59">
        <w:t xml:space="preserve"> </w:t>
      </w:r>
      <w:r w:rsidRPr="007D0A59">
        <w:t>regulējumu ir iespējams izmantot nākamajos saimnieciskajos gados darbinieku prasījumu segšanai. Apkopojot informāciju par trīs gadu (2012., 2013. un 2015. gadu, neskaitot 2014.gadu, jo tad tika izskatīti AS „Liepājas metalurgs”</w:t>
      </w:r>
      <w:r w:rsidR="00E924A5" w:rsidRPr="007D0A59">
        <w:t xml:space="preserve"> </w:t>
      </w:r>
      <w:r w:rsidRPr="007D0A59">
        <w:t>darbinieku prasījumi un tas nav ikdienišķs rādītājs) janvāra izmaksām,</w:t>
      </w:r>
      <w:r w:rsidR="00E924A5" w:rsidRPr="007D0A59">
        <w:t xml:space="preserve"> </w:t>
      </w:r>
      <w:r w:rsidRPr="007D0A59">
        <w:t>ir secinā</w:t>
      </w:r>
      <w:r w:rsidR="00F64356" w:rsidRPr="007D0A59">
        <w:t>t</w:t>
      </w:r>
      <w:r w:rsidRPr="007D0A59">
        <w:t>s, ka katra gada sākumā no iepriekšējo gadu atlikuma ir jāpiešķir 35 000</w:t>
      </w:r>
      <w:r w:rsidR="00FF1BEA">
        <w:t> </w:t>
      </w:r>
      <w:r w:rsidRPr="007D0A59">
        <w:rPr>
          <w:i/>
        </w:rPr>
        <w:t>euro</w:t>
      </w:r>
      <w:r w:rsidRPr="007D0A59">
        <w:t xml:space="preserve"> gada sākuma lēmumu apmaksai, kas pieņemti līdz pirmās URVN daļas ieskaitīšanai attiecīgās apakšprogrammas kontā.</w:t>
      </w:r>
    </w:p>
    <w:p w14:paraId="43E414BB" w14:textId="77777777" w:rsidR="00C02CAA" w:rsidRDefault="00C02CAA" w:rsidP="00F3194A">
      <w:pPr>
        <w:ind w:firstLine="720"/>
        <w:jc w:val="both"/>
      </w:pPr>
      <w:r w:rsidRPr="007D0A59">
        <w:t>Apkopojot šajā nodaļā sniegto informāciju, plānotais ieņēmumu</w:t>
      </w:r>
      <w:r w:rsidR="009878C8" w:rsidRPr="007D0A59">
        <w:t xml:space="preserve"> un</w:t>
      </w:r>
      <w:r w:rsidRPr="007D0A59">
        <w:t xml:space="preserve"> izdevumu,</w:t>
      </w:r>
      <w:r w:rsidR="003817E6" w:rsidRPr="007D0A59">
        <w:t xml:space="preserve"> </w:t>
      </w:r>
      <w:r w:rsidRPr="007D0A59">
        <w:t>kuri jāsedz no URVN ieņēmumiem, un atlikuma apmērs 201</w:t>
      </w:r>
      <w:r w:rsidR="003817E6" w:rsidRPr="007D0A59">
        <w:t>7</w:t>
      </w:r>
      <w:r w:rsidRPr="007D0A59">
        <w:t>.</w:t>
      </w:r>
      <w:r w:rsidR="00FF1BEA">
        <w:t>–</w:t>
      </w:r>
      <w:r w:rsidRPr="007D0A59">
        <w:t>201</w:t>
      </w:r>
      <w:r w:rsidR="003817E6" w:rsidRPr="007D0A59">
        <w:t>9</w:t>
      </w:r>
      <w:r w:rsidRPr="007D0A59">
        <w:t>.gadā</w:t>
      </w:r>
      <w:r w:rsidR="003817E6" w:rsidRPr="007D0A59">
        <w:t xml:space="preserve"> </w:t>
      </w:r>
      <w:r w:rsidR="009878C8" w:rsidRPr="007D0A59">
        <w:t>norādīts</w:t>
      </w:r>
      <w:r w:rsidRPr="007D0A59">
        <w:t xml:space="preserve"> 2</w:t>
      </w:r>
      <w:r w:rsidR="00A42A5F" w:rsidRPr="007D0A59">
        <w:t>8</w:t>
      </w:r>
      <w:r w:rsidRPr="007D0A59">
        <w:t>.tabul</w:t>
      </w:r>
      <w:r w:rsidR="009878C8" w:rsidRPr="007D0A59">
        <w:t>ā</w:t>
      </w:r>
      <w:r w:rsidR="00F648A6" w:rsidRPr="007D0A59">
        <w:t xml:space="preserve"> un plānotais ieņēmumu un izdevumu apmērs apakšprogrammai </w:t>
      </w:r>
      <w:r w:rsidR="00FF1BEA" w:rsidRPr="000121BB">
        <w:rPr>
          <w:noProof/>
          <w:szCs w:val="20"/>
        </w:rPr>
        <w:t>„</w:t>
      </w:r>
      <w:r w:rsidR="00F648A6" w:rsidRPr="007D0A59">
        <w:t>Darbinieku prasījumu garantiju fonds” 2017.</w:t>
      </w:r>
      <w:r w:rsidR="00FF1BEA">
        <w:t>–</w:t>
      </w:r>
      <w:r w:rsidR="00F648A6" w:rsidRPr="007D0A59">
        <w:t xml:space="preserve">2019.gadā </w:t>
      </w:r>
      <w:r w:rsidR="009878C8" w:rsidRPr="007D0A59">
        <w:t>norādīts</w:t>
      </w:r>
      <w:r w:rsidR="00F648A6" w:rsidRPr="007D0A59">
        <w:t xml:space="preserve"> 2</w:t>
      </w:r>
      <w:r w:rsidR="00A42A5F" w:rsidRPr="007D0A59">
        <w:t>9</w:t>
      </w:r>
      <w:r w:rsidR="00F648A6" w:rsidRPr="007D0A59">
        <w:t>.tabul</w:t>
      </w:r>
      <w:r w:rsidR="009878C8" w:rsidRPr="007D0A59">
        <w:t>ā.</w:t>
      </w:r>
    </w:p>
    <w:p w14:paraId="1FFC2E91" w14:textId="77777777" w:rsidR="007D0A59" w:rsidRDefault="007D0A59" w:rsidP="00F3194A">
      <w:pPr>
        <w:ind w:firstLine="720"/>
        <w:jc w:val="both"/>
      </w:pPr>
    </w:p>
    <w:p w14:paraId="289321FB" w14:textId="77777777" w:rsidR="007D0A59" w:rsidRPr="007D0A59" w:rsidRDefault="007D0A59" w:rsidP="00F3194A">
      <w:pPr>
        <w:ind w:firstLine="720"/>
        <w:jc w:val="both"/>
      </w:pPr>
    </w:p>
    <w:p w14:paraId="2F8B6197" w14:textId="77777777" w:rsidR="00C02CAA" w:rsidRPr="007D0A59" w:rsidRDefault="00C02CAA" w:rsidP="007D2D3B">
      <w:pPr>
        <w:ind w:firstLine="720"/>
        <w:jc w:val="right"/>
      </w:pPr>
      <w:r w:rsidRPr="007D0A59">
        <w:t>2</w:t>
      </w:r>
      <w:r w:rsidR="00A42A5F" w:rsidRPr="007D0A59">
        <w:t>8</w:t>
      </w:r>
      <w:r w:rsidRPr="007D0A59">
        <w:t>.tabula</w:t>
      </w:r>
    </w:p>
    <w:p w14:paraId="112BBBAB" w14:textId="77777777" w:rsidR="00C02CAA" w:rsidRPr="007D0A59" w:rsidRDefault="00C02CAA" w:rsidP="007D2D3B">
      <w:pPr>
        <w:ind w:firstLine="720"/>
        <w:jc w:val="right"/>
        <w:rPr>
          <w:b/>
        </w:rPr>
      </w:pPr>
    </w:p>
    <w:p w14:paraId="55CB527B" w14:textId="77777777" w:rsidR="00C02CAA" w:rsidRPr="007D0A59" w:rsidRDefault="00C02CAA" w:rsidP="007D0A59">
      <w:pPr>
        <w:jc w:val="center"/>
        <w:rPr>
          <w:b/>
        </w:rPr>
      </w:pPr>
      <w:r w:rsidRPr="007D0A59">
        <w:rPr>
          <w:b/>
        </w:rPr>
        <w:t>Plānotie URVN ieņēmumi, atgūtie līdzekļi, izdevumi un atlikums 201</w:t>
      </w:r>
      <w:r w:rsidR="003817E6" w:rsidRPr="007D0A59">
        <w:rPr>
          <w:b/>
        </w:rPr>
        <w:t>7</w:t>
      </w:r>
      <w:r w:rsidRPr="007D0A59">
        <w:rPr>
          <w:b/>
        </w:rPr>
        <w:t>.</w:t>
      </w:r>
      <w:r w:rsidR="00FF1BEA">
        <w:rPr>
          <w:b/>
        </w:rPr>
        <w:t>–</w:t>
      </w:r>
      <w:r w:rsidRPr="007D0A59">
        <w:rPr>
          <w:b/>
        </w:rPr>
        <w:t>201</w:t>
      </w:r>
      <w:r w:rsidR="003817E6" w:rsidRPr="007D0A59">
        <w:rPr>
          <w:b/>
        </w:rPr>
        <w:t>9</w:t>
      </w:r>
      <w:r w:rsidRPr="007D0A59">
        <w:rPr>
          <w:b/>
        </w:rPr>
        <w:t>.gadā</w:t>
      </w:r>
    </w:p>
    <w:p w14:paraId="74281DD5" w14:textId="77777777" w:rsidR="00C02CAA" w:rsidRPr="001E23E1" w:rsidRDefault="00C02CAA" w:rsidP="00334B52">
      <w:pPr>
        <w:ind w:firstLine="720"/>
        <w:jc w:val="center"/>
        <w:rPr>
          <w:b/>
          <w:sz w:val="28"/>
          <w:szCs w:val="28"/>
        </w:rPr>
      </w:pPr>
    </w:p>
    <w:tbl>
      <w:tblPr>
        <w:tblW w:w="8900" w:type="dxa"/>
        <w:tblInd w:w="113" w:type="dxa"/>
        <w:tblLook w:val="04A0" w:firstRow="1" w:lastRow="0" w:firstColumn="1" w:lastColumn="0" w:noHBand="0" w:noVBand="1"/>
      </w:tblPr>
      <w:tblGrid>
        <w:gridCol w:w="4760"/>
        <w:gridCol w:w="1380"/>
        <w:gridCol w:w="1380"/>
        <w:gridCol w:w="1380"/>
      </w:tblGrid>
      <w:tr w:rsidR="0072191A" w:rsidRPr="0072191A" w14:paraId="28C14A23" w14:textId="77777777" w:rsidTr="00F86EDF">
        <w:trPr>
          <w:trHeight w:val="31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D7CD3" w14:textId="77777777" w:rsidR="00F86EDF" w:rsidRPr="0072191A" w:rsidRDefault="00F86EDF">
            <w:pPr>
              <w:rPr>
                <w:rFonts w:ascii="Arial" w:hAnsi="Arial" w:cs="Arial"/>
                <w:color w:val="FF0000"/>
                <w:sz w:val="20"/>
                <w:szCs w:val="20"/>
              </w:rPr>
            </w:pPr>
            <w:r w:rsidRPr="0072191A">
              <w:rPr>
                <w:rFonts w:ascii="Arial" w:hAnsi="Arial" w:cs="Arial"/>
                <w:color w:val="FF0000"/>
                <w:sz w:val="20"/>
                <w:szCs w:val="20"/>
              </w:rPr>
              <w:t> </w:t>
            </w:r>
          </w:p>
        </w:tc>
        <w:tc>
          <w:tcPr>
            <w:tcW w:w="1380" w:type="dxa"/>
            <w:tcBorders>
              <w:top w:val="single" w:sz="4" w:space="0" w:color="auto"/>
              <w:left w:val="nil"/>
              <w:bottom w:val="single" w:sz="4" w:space="0" w:color="auto"/>
              <w:right w:val="single" w:sz="4" w:space="0" w:color="auto"/>
            </w:tcBorders>
            <w:shd w:val="clear" w:color="auto" w:fill="auto"/>
            <w:hideMark/>
          </w:tcPr>
          <w:p w14:paraId="1A7A7BA7" w14:textId="77777777" w:rsidR="00F86EDF" w:rsidRPr="00ED0FB0" w:rsidRDefault="00F86EDF">
            <w:pPr>
              <w:jc w:val="both"/>
              <w:rPr>
                <w:b/>
                <w:bCs/>
              </w:rPr>
            </w:pPr>
            <w:r w:rsidRPr="00ED0FB0">
              <w:rPr>
                <w:b/>
                <w:bCs/>
              </w:rPr>
              <w:t>2017.gads</w:t>
            </w:r>
          </w:p>
        </w:tc>
        <w:tc>
          <w:tcPr>
            <w:tcW w:w="1380" w:type="dxa"/>
            <w:tcBorders>
              <w:top w:val="single" w:sz="4" w:space="0" w:color="auto"/>
              <w:left w:val="nil"/>
              <w:bottom w:val="single" w:sz="4" w:space="0" w:color="auto"/>
              <w:right w:val="single" w:sz="4" w:space="0" w:color="auto"/>
            </w:tcBorders>
            <w:shd w:val="clear" w:color="auto" w:fill="auto"/>
            <w:hideMark/>
          </w:tcPr>
          <w:p w14:paraId="67E676B4" w14:textId="77777777" w:rsidR="00F86EDF" w:rsidRPr="00ED0FB0" w:rsidRDefault="00F86EDF">
            <w:pPr>
              <w:jc w:val="both"/>
              <w:rPr>
                <w:b/>
                <w:bCs/>
              </w:rPr>
            </w:pPr>
            <w:r w:rsidRPr="00ED0FB0">
              <w:rPr>
                <w:b/>
                <w:bCs/>
              </w:rPr>
              <w:t>2018.gads</w:t>
            </w:r>
          </w:p>
        </w:tc>
        <w:tc>
          <w:tcPr>
            <w:tcW w:w="1380" w:type="dxa"/>
            <w:tcBorders>
              <w:top w:val="single" w:sz="4" w:space="0" w:color="auto"/>
              <w:left w:val="nil"/>
              <w:bottom w:val="single" w:sz="4" w:space="0" w:color="auto"/>
              <w:right w:val="single" w:sz="4" w:space="0" w:color="auto"/>
            </w:tcBorders>
            <w:shd w:val="clear" w:color="auto" w:fill="auto"/>
            <w:hideMark/>
          </w:tcPr>
          <w:p w14:paraId="0F64CAB5" w14:textId="77777777" w:rsidR="00F86EDF" w:rsidRPr="00ED0FB0" w:rsidRDefault="00F86EDF">
            <w:pPr>
              <w:jc w:val="both"/>
              <w:rPr>
                <w:b/>
                <w:bCs/>
              </w:rPr>
            </w:pPr>
            <w:r w:rsidRPr="00ED0FB0">
              <w:rPr>
                <w:b/>
                <w:bCs/>
              </w:rPr>
              <w:t>2019.gads</w:t>
            </w:r>
          </w:p>
        </w:tc>
      </w:tr>
      <w:tr w:rsidR="0072191A" w:rsidRPr="0072191A" w14:paraId="0BDE7B87" w14:textId="77777777" w:rsidTr="00F86EDF">
        <w:trPr>
          <w:trHeight w:val="630"/>
        </w:trPr>
        <w:tc>
          <w:tcPr>
            <w:tcW w:w="4760" w:type="dxa"/>
            <w:tcBorders>
              <w:top w:val="nil"/>
              <w:left w:val="single" w:sz="4" w:space="0" w:color="auto"/>
              <w:bottom w:val="single" w:sz="4" w:space="0" w:color="auto"/>
              <w:right w:val="single" w:sz="4" w:space="0" w:color="auto"/>
            </w:tcBorders>
            <w:shd w:val="clear" w:color="auto" w:fill="auto"/>
            <w:hideMark/>
          </w:tcPr>
          <w:p w14:paraId="1A45E607" w14:textId="77777777" w:rsidR="00F86EDF" w:rsidRPr="00ED0FB0" w:rsidRDefault="00F86EDF">
            <w:pPr>
              <w:jc w:val="both"/>
            </w:pPr>
            <w:r w:rsidRPr="00ED0FB0">
              <w:t xml:space="preserve">1.Uzņēmējdarbības riska valsts nodevas ieņēmumi (likme 0.36 </w:t>
            </w:r>
            <w:r w:rsidRPr="00ED0FB0">
              <w:rPr>
                <w:i/>
                <w:iCs/>
              </w:rPr>
              <w:t>euro</w:t>
            </w:r>
            <w:r w:rsidRPr="00ED0FB0">
              <w:t xml:space="preserve"> mēnesī), </w:t>
            </w:r>
            <w:r w:rsidRPr="00ED0FB0">
              <w:rPr>
                <w:i/>
                <w:iCs/>
              </w:rPr>
              <w:t>euro</w:t>
            </w:r>
            <w:r w:rsidRPr="000121BB">
              <w:rPr>
                <w:iCs/>
              </w:rPr>
              <w:t>,</w:t>
            </w:r>
            <w:r w:rsidRPr="00ED0FB0">
              <w:rPr>
                <w:i/>
                <w:iCs/>
              </w:rPr>
              <w:t xml:space="preserve"> </w:t>
            </w:r>
            <w:r w:rsidRPr="00ED0FB0">
              <w:t>t.sk.</w:t>
            </w:r>
          </w:p>
        </w:tc>
        <w:tc>
          <w:tcPr>
            <w:tcW w:w="1380" w:type="dxa"/>
            <w:tcBorders>
              <w:top w:val="nil"/>
              <w:left w:val="nil"/>
              <w:bottom w:val="single" w:sz="4" w:space="0" w:color="auto"/>
              <w:right w:val="single" w:sz="4" w:space="0" w:color="auto"/>
            </w:tcBorders>
            <w:shd w:val="clear" w:color="auto" w:fill="auto"/>
            <w:hideMark/>
          </w:tcPr>
          <w:p w14:paraId="06964EB2" w14:textId="77777777" w:rsidR="00F86EDF" w:rsidRPr="00ED0FB0" w:rsidRDefault="00F86EDF" w:rsidP="003815A0">
            <w:pPr>
              <w:jc w:val="center"/>
              <w:rPr>
                <w:b/>
              </w:rPr>
            </w:pPr>
            <w:r w:rsidRPr="00ED0FB0">
              <w:t>3 044 93</w:t>
            </w:r>
            <w:r w:rsidR="003815A0" w:rsidRPr="00ED0FB0">
              <w:t>5</w:t>
            </w:r>
          </w:p>
        </w:tc>
        <w:tc>
          <w:tcPr>
            <w:tcW w:w="1380" w:type="dxa"/>
            <w:tcBorders>
              <w:top w:val="nil"/>
              <w:left w:val="nil"/>
              <w:bottom w:val="single" w:sz="4" w:space="0" w:color="auto"/>
              <w:right w:val="single" w:sz="4" w:space="0" w:color="auto"/>
            </w:tcBorders>
            <w:shd w:val="clear" w:color="auto" w:fill="auto"/>
            <w:hideMark/>
          </w:tcPr>
          <w:p w14:paraId="4F55C653" w14:textId="77777777" w:rsidR="00F86EDF" w:rsidRPr="00ED0FB0" w:rsidRDefault="00F86EDF">
            <w:pPr>
              <w:jc w:val="center"/>
            </w:pPr>
            <w:r w:rsidRPr="00ED0FB0">
              <w:t>3 047 980</w:t>
            </w:r>
          </w:p>
        </w:tc>
        <w:tc>
          <w:tcPr>
            <w:tcW w:w="1380" w:type="dxa"/>
            <w:tcBorders>
              <w:top w:val="nil"/>
              <w:left w:val="nil"/>
              <w:bottom w:val="single" w:sz="4" w:space="0" w:color="auto"/>
              <w:right w:val="single" w:sz="4" w:space="0" w:color="auto"/>
            </w:tcBorders>
            <w:shd w:val="clear" w:color="auto" w:fill="auto"/>
            <w:hideMark/>
          </w:tcPr>
          <w:p w14:paraId="28A638D1" w14:textId="77777777" w:rsidR="00F86EDF" w:rsidRPr="00ED0FB0" w:rsidRDefault="00F86EDF">
            <w:pPr>
              <w:jc w:val="center"/>
            </w:pPr>
            <w:r w:rsidRPr="00ED0FB0">
              <w:t>3 051 026</w:t>
            </w:r>
          </w:p>
        </w:tc>
      </w:tr>
      <w:tr w:rsidR="0072191A" w:rsidRPr="0072191A" w14:paraId="68AD8BA3" w14:textId="77777777" w:rsidTr="00F86EDF">
        <w:trPr>
          <w:trHeight w:val="315"/>
        </w:trPr>
        <w:tc>
          <w:tcPr>
            <w:tcW w:w="4760" w:type="dxa"/>
            <w:tcBorders>
              <w:top w:val="nil"/>
              <w:left w:val="single" w:sz="4" w:space="0" w:color="auto"/>
              <w:bottom w:val="single" w:sz="4" w:space="0" w:color="auto"/>
              <w:right w:val="single" w:sz="4" w:space="0" w:color="auto"/>
            </w:tcBorders>
            <w:shd w:val="clear" w:color="auto" w:fill="auto"/>
            <w:hideMark/>
          </w:tcPr>
          <w:p w14:paraId="71359619" w14:textId="77777777" w:rsidR="00F86EDF" w:rsidRPr="00ED0FB0" w:rsidRDefault="00F86EDF">
            <w:pPr>
              <w:jc w:val="right"/>
            </w:pPr>
            <w:r w:rsidRPr="00ED0FB0">
              <w:t>1.1. Maksātnespējas procesu pārvaldība</w:t>
            </w:r>
          </w:p>
        </w:tc>
        <w:tc>
          <w:tcPr>
            <w:tcW w:w="1380" w:type="dxa"/>
            <w:tcBorders>
              <w:top w:val="nil"/>
              <w:left w:val="nil"/>
              <w:bottom w:val="single" w:sz="4" w:space="0" w:color="auto"/>
              <w:right w:val="single" w:sz="4" w:space="0" w:color="auto"/>
            </w:tcBorders>
            <w:shd w:val="clear" w:color="auto" w:fill="auto"/>
            <w:hideMark/>
          </w:tcPr>
          <w:p w14:paraId="2FCC35CB" w14:textId="77777777" w:rsidR="00F86EDF" w:rsidRPr="00ED0FB0" w:rsidRDefault="00F86EDF" w:rsidP="001740C9">
            <w:pPr>
              <w:jc w:val="center"/>
            </w:pPr>
            <w:r w:rsidRPr="00ED0FB0">
              <w:t>484 53</w:t>
            </w:r>
            <w:r w:rsidR="001740C9" w:rsidRPr="00ED0FB0">
              <w:t>8</w:t>
            </w:r>
          </w:p>
        </w:tc>
        <w:tc>
          <w:tcPr>
            <w:tcW w:w="1380" w:type="dxa"/>
            <w:tcBorders>
              <w:top w:val="nil"/>
              <w:left w:val="nil"/>
              <w:bottom w:val="single" w:sz="4" w:space="0" w:color="auto"/>
              <w:right w:val="single" w:sz="4" w:space="0" w:color="auto"/>
            </w:tcBorders>
            <w:shd w:val="clear" w:color="auto" w:fill="auto"/>
            <w:hideMark/>
          </w:tcPr>
          <w:p w14:paraId="48387833" w14:textId="77777777" w:rsidR="00F86EDF" w:rsidRPr="00ED0FB0" w:rsidRDefault="00F86EDF" w:rsidP="001740C9">
            <w:pPr>
              <w:jc w:val="center"/>
            </w:pPr>
            <w:r w:rsidRPr="00ED0FB0">
              <w:t>484 53</w:t>
            </w:r>
            <w:r w:rsidR="001740C9" w:rsidRPr="00ED0FB0">
              <w:t>8</w:t>
            </w:r>
          </w:p>
        </w:tc>
        <w:tc>
          <w:tcPr>
            <w:tcW w:w="1380" w:type="dxa"/>
            <w:tcBorders>
              <w:top w:val="nil"/>
              <w:left w:val="nil"/>
              <w:bottom w:val="single" w:sz="4" w:space="0" w:color="auto"/>
              <w:right w:val="single" w:sz="4" w:space="0" w:color="auto"/>
            </w:tcBorders>
            <w:shd w:val="clear" w:color="auto" w:fill="auto"/>
            <w:hideMark/>
          </w:tcPr>
          <w:p w14:paraId="396812FF" w14:textId="77777777" w:rsidR="00F86EDF" w:rsidRPr="00ED0FB0" w:rsidRDefault="00F86EDF" w:rsidP="001740C9">
            <w:pPr>
              <w:jc w:val="center"/>
            </w:pPr>
            <w:r w:rsidRPr="00ED0FB0">
              <w:t>484 53</w:t>
            </w:r>
            <w:r w:rsidR="001740C9" w:rsidRPr="00ED0FB0">
              <w:t>8</w:t>
            </w:r>
          </w:p>
        </w:tc>
      </w:tr>
      <w:tr w:rsidR="0072191A" w:rsidRPr="0072191A" w14:paraId="3D59D08D" w14:textId="77777777" w:rsidTr="00F86EDF">
        <w:trPr>
          <w:trHeight w:val="315"/>
        </w:trPr>
        <w:tc>
          <w:tcPr>
            <w:tcW w:w="4760" w:type="dxa"/>
            <w:tcBorders>
              <w:top w:val="nil"/>
              <w:left w:val="single" w:sz="4" w:space="0" w:color="auto"/>
              <w:bottom w:val="single" w:sz="4" w:space="0" w:color="auto"/>
              <w:right w:val="single" w:sz="4" w:space="0" w:color="auto"/>
            </w:tcBorders>
            <w:shd w:val="clear" w:color="auto" w:fill="auto"/>
            <w:hideMark/>
          </w:tcPr>
          <w:p w14:paraId="64D2E599" w14:textId="77777777" w:rsidR="00F86EDF" w:rsidRPr="00ED0FB0" w:rsidRDefault="00F86EDF">
            <w:pPr>
              <w:jc w:val="right"/>
            </w:pPr>
            <w:r w:rsidRPr="00ED0FB0">
              <w:t>1.2. Darbinieku prasījumu garantiju fonds</w:t>
            </w:r>
          </w:p>
        </w:tc>
        <w:tc>
          <w:tcPr>
            <w:tcW w:w="1380" w:type="dxa"/>
            <w:tcBorders>
              <w:top w:val="nil"/>
              <w:left w:val="nil"/>
              <w:bottom w:val="single" w:sz="4" w:space="0" w:color="auto"/>
              <w:right w:val="single" w:sz="4" w:space="0" w:color="auto"/>
            </w:tcBorders>
            <w:shd w:val="clear" w:color="auto" w:fill="auto"/>
            <w:hideMark/>
          </w:tcPr>
          <w:p w14:paraId="09BF0251" w14:textId="77777777" w:rsidR="00F86EDF" w:rsidRPr="00ED0FB0" w:rsidRDefault="00F86EDF" w:rsidP="001740C9">
            <w:pPr>
              <w:jc w:val="center"/>
            </w:pPr>
            <w:r w:rsidRPr="00ED0FB0">
              <w:t>2 560 39</w:t>
            </w:r>
            <w:r w:rsidR="001740C9" w:rsidRPr="00ED0FB0">
              <w:t>7</w:t>
            </w:r>
          </w:p>
        </w:tc>
        <w:tc>
          <w:tcPr>
            <w:tcW w:w="1380" w:type="dxa"/>
            <w:tcBorders>
              <w:top w:val="nil"/>
              <w:left w:val="nil"/>
              <w:bottom w:val="single" w:sz="4" w:space="0" w:color="auto"/>
              <w:right w:val="single" w:sz="4" w:space="0" w:color="auto"/>
            </w:tcBorders>
            <w:shd w:val="clear" w:color="auto" w:fill="auto"/>
            <w:hideMark/>
          </w:tcPr>
          <w:p w14:paraId="7FC887D5" w14:textId="77777777" w:rsidR="00F86EDF" w:rsidRPr="00ED0FB0" w:rsidRDefault="00F86EDF" w:rsidP="001740C9">
            <w:pPr>
              <w:jc w:val="center"/>
            </w:pPr>
            <w:r w:rsidRPr="00ED0FB0">
              <w:t>2 563 44</w:t>
            </w:r>
            <w:r w:rsidR="001740C9" w:rsidRPr="00ED0FB0">
              <w:t>2</w:t>
            </w:r>
          </w:p>
        </w:tc>
        <w:tc>
          <w:tcPr>
            <w:tcW w:w="1380" w:type="dxa"/>
            <w:tcBorders>
              <w:top w:val="nil"/>
              <w:left w:val="nil"/>
              <w:bottom w:val="single" w:sz="4" w:space="0" w:color="auto"/>
              <w:right w:val="single" w:sz="4" w:space="0" w:color="auto"/>
            </w:tcBorders>
            <w:shd w:val="clear" w:color="auto" w:fill="auto"/>
            <w:hideMark/>
          </w:tcPr>
          <w:p w14:paraId="4B0FEF3D" w14:textId="77777777" w:rsidR="00F86EDF" w:rsidRPr="00ED0FB0" w:rsidRDefault="00F86EDF" w:rsidP="001740C9">
            <w:pPr>
              <w:jc w:val="center"/>
            </w:pPr>
            <w:r w:rsidRPr="00ED0FB0">
              <w:t>2 566 48</w:t>
            </w:r>
            <w:r w:rsidR="001740C9" w:rsidRPr="00ED0FB0">
              <w:t>8</w:t>
            </w:r>
          </w:p>
        </w:tc>
      </w:tr>
      <w:tr w:rsidR="0072191A" w:rsidRPr="0072191A" w14:paraId="7A98E090" w14:textId="77777777" w:rsidTr="00F86EDF">
        <w:trPr>
          <w:trHeight w:val="630"/>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9A27F73" w14:textId="77777777" w:rsidR="00F86EDF" w:rsidRPr="00ED0FB0" w:rsidRDefault="00F86EDF">
            <w:r w:rsidRPr="00ED0FB0">
              <w:t xml:space="preserve">2. Atgūtie līdzekļi, </w:t>
            </w:r>
            <w:r w:rsidRPr="00ED0FB0">
              <w:rPr>
                <w:i/>
                <w:iCs/>
              </w:rPr>
              <w:t>euro</w:t>
            </w:r>
            <w:r w:rsidRPr="00ED0FB0">
              <w:t xml:space="preserve"> darbinieku prasījumu garantiju fondā</w:t>
            </w:r>
          </w:p>
        </w:tc>
        <w:tc>
          <w:tcPr>
            <w:tcW w:w="1380" w:type="dxa"/>
            <w:tcBorders>
              <w:top w:val="nil"/>
              <w:left w:val="nil"/>
              <w:bottom w:val="single" w:sz="4" w:space="0" w:color="auto"/>
              <w:right w:val="single" w:sz="4" w:space="0" w:color="auto"/>
            </w:tcBorders>
            <w:shd w:val="clear" w:color="auto" w:fill="auto"/>
            <w:noWrap/>
            <w:vAlign w:val="bottom"/>
            <w:hideMark/>
          </w:tcPr>
          <w:p w14:paraId="2A002A88" w14:textId="77777777" w:rsidR="00F86EDF" w:rsidRPr="00ED0FB0" w:rsidRDefault="00F86EDF">
            <w:pPr>
              <w:jc w:val="center"/>
            </w:pPr>
            <w:r w:rsidRPr="00ED0FB0">
              <w:t>165 000</w:t>
            </w:r>
          </w:p>
        </w:tc>
        <w:tc>
          <w:tcPr>
            <w:tcW w:w="1380" w:type="dxa"/>
            <w:tcBorders>
              <w:top w:val="nil"/>
              <w:left w:val="nil"/>
              <w:bottom w:val="single" w:sz="4" w:space="0" w:color="auto"/>
              <w:right w:val="single" w:sz="4" w:space="0" w:color="auto"/>
            </w:tcBorders>
            <w:shd w:val="clear" w:color="auto" w:fill="auto"/>
            <w:noWrap/>
            <w:vAlign w:val="bottom"/>
            <w:hideMark/>
          </w:tcPr>
          <w:p w14:paraId="636C6F62" w14:textId="77777777" w:rsidR="00F86EDF" w:rsidRPr="00ED0FB0" w:rsidRDefault="00F86EDF">
            <w:pPr>
              <w:jc w:val="center"/>
            </w:pPr>
            <w:r w:rsidRPr="00ED0FB0">
              <w:t>165 000</w:t>
            </w:r>
          </w:p>
        </w:tc>
        <w:tc>
          <w:tcPr>
            <w:tcW w:w="1380" w:type="dxa"/>
            <w:tcBorders>
              <w:top w:val="nil"/>
              <w:left w:val="nil"/>
              <w:bottom w:val="single" w:sz="4" w:space="0" w:color="auto"/>
              <w:right w:val="single" w:sz="4" w:space="0" w:color="auto"/>
            </w:tcBorders>
            <w:shd w:val="clear" w:color="auto" w:fill="auto"/>
            <w:noWrap/>
            <w:vAlign w:val="bottom"/>
            <w:hideMark/>
          </w:tcPr>
          <w:p w14:paraId="51F9E37C" w14:textId="77777777" w:rsidR="00F86EDF" w:rsidRPr="00ED0FB0" w:rsidRDefault="00F86EDF">
            <w:pPr>
              <w:jc w:val="center"/>
            </w:pPr>
            <w:r w:rsidRPr="00ED0FB0">
              <w:t>165 000</w:t>
            </w:r>
          </w:p>
        </w:tc>
      </w:tr>
      <w:tr w:rsidR="0072191A" w:rsidRPr="0072191A" w14:paraId="77F53E00" w14:textId="77777777" w:rsidTr="00F86EDF">
        <w:trPr>
          <w:trHeight w:val="31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55EBF051" w14:textId="77777777" w:rsidR="00F86EDF" w:rsidRPr="00ED0FB0" w:rsidRDefault="00F86EDF">
            <w:r w:rsidRPr="00ED0FB0">
              <w:t xml:space="preserve">3. Kopā ieņēmumi, </w:t>
            </w:r>
            <w:r w:rsidRPr="00ED0FB0">
              <w:rPr>
                <w:i/>
                <w:iCs/>
              </w:rPr>
              <w:t>euro</w:t>
            </w:r>
          </w:p>
        </w:tc>
        <w:tc>
          <w:tcPr>
            <w:tcW w:w="1380" w:type="dxa"/>
            <w:tcBorders>
              <w:top w:val="nil"/>
              <w:left w:val="nil"/>
              <w:bottom w:val="single" w:sz="4" w:space="0" w:color="auto"/>
              <w:right w:val="single" w:sz="4" w:space="0" w:color="auto"/>
            </w:tcBorders>
            <w:shd w:val="clear" w:color="auto" w:fill="auto"/>
            <w:noWrap/>
            <w:vAlign w:val="bottom"/>
            <w:hideMark/>
          </w:tcPr>
          <w:p w14:paraId="576F44F1" w14:textId="77777777" w:rsidR="00F86EDF" w:rsidRPr="00ED0FB0" w:rsidRDefault="00F86EDF" w:rsidP="003815A0">
            <w:pPr>
              <w:jc w:val="right"/>
              <w:rPr>
                <w:b/>
                <w:bCs/>
              </w:rPr>
            </w:pPr>
            <w:r w:rsidRPr="00ED0FB0">
              <w:rPr>
                <w:b/>
                <w:bCs/>
              </w:rPr>
              <w:t>3 209 93</w:t>
            </w:r>
            <w:r w:rsidR="003815A0" w:rsidRPr="00ED0FB0">
              <w:rPr>
                <w:b/>
                <w:bCs/>
              </w:rPr>
              <w:t>5</w:t>
            </w:r>
          </w:p>
        </w:tc>
        <w:tc>
          <w:tcPr>
            <w:tcW w:w="1380" w:type="dxa"/>
            <w:tcBorders>
              <w:top w:val="nil"/>
              <w:left w:val="nil"/>
              <w:bottom w:val="single" w:sz="4" w:space="0" w:color="auto"/>
              <w:right w:val="single" w:sz="4" w:space="0" w:color="auto"/>
            </w:tcBorders>
            <w:shd w:val="clear" w:color="auto" w:fill="auto"/>
            <w:noWrap/>
            <w:vAlign w:val="bottom"/>
            <w:hideMark/>
          </w:tcPr>
          <w:p w14:paraId="62B4B282" w14:textId="77777777" w:rsidR="00F86EDF" w:rsidRPr="00ED0FB0" w:rsidRDefault="00F86EDF">
            <w:pPr>
              <w:jc w:val="right"/>
              <w:rPr>
                <w:b/>
                <w:bCs/>
              </w:rPr>
            </w:pPr>
            <w:r w:rsidRPr="00ED0FB0">
              <w:rPr>
                <w:b/>
                <w:bCs/>
              </w:rPr>
              <w:t>3 212 980</w:t>
            </w:r>
          </w:p>
        </w:tc>
        <w:tc>
          <w:tcPr>
            <w:tcW w:w="1380" w:type="dxa"/>
            <w:tcBorders>
              <w:top w:val="nil"/>
              <w:left w:val="nil"/>
              <w:bottom w:val="single" w:sz="4" w:space="0" w:color="auto"/>
              <w:right w:val="single" w:sz="4" w:space="0" w:color="auto"/>
            </w:tcBorders>
            <w:shd w:val="clear" w:color="auto" w:fill="auto"/>
            <w:noWrap/>
            <w:vAlign w:val="bottom"/>
            <w:hideMark/>
          </w:tcPr>
          <w:p w14:paraId="493100B7" w14:textId="77777777" w:rsidR="00F86EDF" w:rsidRPr="00ED0FB0" w:rsidRDefault="00F86EDF">
            <w:pPr>
              <w:jc w:val="right"/>
              <w:rPr>
                <w:b/>
                <w:bCs/>
              </w:rPr>
            </w:pPr>
            <w:r w:rsidRPr="00ED0FB0">
              <w:rPr>
                <w:b/>
                <w:bCs/>
              </w:rPr>
              <w:t>3 216 026</w:t>
            </w:r>
          </w:p>
        </w:tc>
      </w:tr>
      <w:tr w:rsidR="0072191A" w:rsidRPr="0072191A" w14:paraId="47C39482" w14:textId="77777777" w:rsidTr="00F86EDF">
        <w:trPr>
          <w:trHeight w:val="630"/>
        </w:trPr>
        <w:tc>
          <w:tcPr>
            <w:tcW w:w="4760" w:type="dxa"/>
            <w:tcBorders>
              <w:top w:val="nil"/>
              <w:left w:val="single" w:sz="4" w:space="0" w:color="auto"/>
              <w:bottom w:val="single" w:sz="4" w:space="0" w:color="auto"/>
              <w:right w:val="single" w:sz="4" w:space="0" w:color="auto"/>
            </w:tcBorders>
            <w:shd w:val="clear" w:color="auto" w:fill="auto"/>
            <w:hideMark/>
          </w:tcPr>
          <w:p w14:paraId="165877D2" w14:textId="77777777" w:rsidR="00F86EDF" w:rsidRPr="00ED0FB0" w:rsidRDefault="00F86EDF">
            <w:pPr>
              <w:jc w:val="both"/>
            </w:pPr>
            <w:r w:rsidRPr="00ED0FB0">
              <w:t xml:space="preserve">4.Darbinieku prasījumu garantiju fonds, </w:t>
            </w:r>
            <w:r w:rsidRPr="00ED0FB0">
              <w:rPr>
                <w:i/>
                <w:iCs/>
              </w:rPr>
              <w:t>euro</w:t>
            </w:r>
            <w:r w:rsidRPr="00ED0FB0">
              <w:t xml:space="preserve"> (izdevumi)</w:t>
            </w:r>
          </w:p>
        </w:tc>
        <w:tc>
          <w:tcPr>
            <w:tcW w:w="1380" w:type="dxa"/>
            <w:tcBorders>
              <w:top w:val="nil"/>
              <w:left w:val="nil"/>
              <w:bottom w:val="single" w:sz="4" w:space="0" w:color="auto"/>
              <w:right w:val="single" w:sz="4" w:space="0" w:color="auto"/>
            </w:tcBorders>
            <w:shd w:val="clear" w:color="auto" w:fill="auto"/>
            <w:hideMark/>
          </w:tcPr>
          <w:p w14:paraId="5AF96377" w14:textId="77777777" w:rsidR="00F86EDF" w:rsidRPr="00ED0FB0" w:rsidRDefault="00F86EDF">
            <w:pPr>
              <w:jc w:val="center"/>
            </w:pPr>
            <w:r w:rsidRPr="00ED0FB0">
              <w:t>1 489 999</w:t>
            </w:r>
          </w:p>
        </w:tc>
        <w:tc>
          <w:tcPr>
            <w:tcW w:w="1380" w:type="dxa"/>
            <w:tcBorders>
              <w:top w:val="nil"/>
              <w:left w:val="nil"/>
              <w:bottom w:val="single" w:sz="4" w:space="0" w:color="auto"/>
              <w:right w:val="single" w:sz="4" w:space="0" w:color="auto"/>
            </w:tcBorders>
            <w:shd w:val="clear" w:color="auto" w:fill="auto"/>
            <w:hideMark/>
          </w:tcPr>
          <w:p w14:paraId="2C69C491" w14:textId="77777777" w:rsidR="00F86EDF" w:rsidRPr="00ED0FB0" w:rsidRDefault="00F86EDF">
            <w:pPr>
              <w:jc w:val="center"/>
            </w:pPr>
            <w:r w:rsidRPr="00ED0FB0">
              <w:t>1 690 735</w:t>
            </w:r>
          </w:p>
        </w:tc>
        <w:tc>
          <w:tcPr>
            <w:tcW w:w="1380" w:type="dxa"/>
            <w:tcBorders>
              <w:top w:val="nil"/>
              <w:left w:val="nil"/>
              <w:bottom w:val="single" w:sz="4" w:space="0" w:color="auto"/>
              <w:right w:val="single" w:sz="4" w:space="0" w:color="auto"/>
            </w:tcBorders>
            <w:shd w:val="clear" w:color="auto" w:fill="auto"/>
            <w:hideMark/>
          </w:tcPr>
          <w:p w14:paraId="70A6BD93" w14:textId="77777777" w:rsidR="00F86EDF" w:rsidRPr="00ED0FB0" w:rsidRDefault="00F86EDF">
            <w:pPr>
              <w:jc w:val="center"/>
            </w:pPr>
            <w:r w:rsidRPr="00ED0FB0">
              <w:t>1 935 467</w:t>
            </w:r>
          </w:p>
        </w:tc>
      </w:tr>
      <w:tr w:rsidR="0072191A" w:rsidRPr="0072191A" w14:paraId="59C64696" w14:textId="77777777" w:rsidTr="00F86EDF">
        <w:trPr>
          <w:trHeight w:val="630"/>
        </w:trPr>
        <w:tc>
          <w:tcPr>
            <w:tcW w:w="4760" w:type="dxa"/>
            <w:tcBorders>
              <w:top w:val="nil"/>
              <w:left w:val="single" w:sz="4" w:space="0" w:color="auto"/>
              <w:bottom w:val="single" w:sz="4" w:space="0" w:color="auto"/>
              <w:right w:val="single" w:sz="4" w:space="0" w:color="auto"/>
            </w:tcBorders>
            <w:shd w:val="clear" w:color="auto" w:fill="auto"/>
            <w:hideMark/>
          </w:tcPr>
          <w:p w14:paraId="35250C7B" w14:textId="77777777" w:rsidR="00F86EDF" w:rsidRPr="00ED0FB0" w:rsidRDefault="00F86EDF">
            <w:r w:rsidRPr="00ED0FB0">
              <w:t xml:space="preserve">5.Administratora atlīdzība par darbinieku prasījumu iesniegšanu, </w:t>
            </w:r>
            <w:r w:rsidRPr="00ED0FB0">
              <w:rPr>
                <w:i/>
                <w:iCs/>
              </w:rPr>
              <w:t>euro</w:t>
            </w:r>
          </w:p>
        </w:tc>
        <w:tc>
          <w:tcPr>
            <w:tcW w:w="1380" w:type="dxa"/>
            <w:tcBorders>
              <w:top w:val="nil"/>
              <w:left w:val="nil"/>
              <w:bottom w:val="single" w:sz="4" w:space="0" w:color="auto"/>
              <w:right w:val="single" w:sz="4" w:space="0" w:color="auto"/>
            </w:tcBorders>
            <w:shd w:val="clear" w:color="auto" w:fill="auto"/>
            <w:hideMark/>
          </w:tcPr>
          <w:p w14:paraId="695C8892" w14:textId="77777777" w:rsidR="00F86EDF" w:rsidRPr="00ED0FB0" w:rsidRDefault="00F86EDF">
            <w:pPr>
              <w:jc w:val="center"/>
            </w:pPr>
            <w:r w:rsidRPr="00ED0FB0">
              <w:t>10 554</w:t>
            </w:r>
          </w:p>
        </w:tc>
        <w:tc>
          <w:tcPr>
            <w:tcW w:w="1380" w:type="dxa"/>
            <w:tcBorders>
              <w:top w:val="nil"/>
              <w:left w:val="nil"/>
              <w:bottom w:val="single" w:sz="4" w:space="0" w:color="auto"/>
              <w:right w:val="single" w:sz="4" w:space="0" w:color="auto"/>
            </w:tcBorders>
            <w:shd w:val="clear" w:color="auto" w:fill="auto"/>
            <w:hideMark/>
          </w:tcPr>
          <w:p w14:paraId="1DF04A98" w14:textId="77777777" w:rsidR="00F86EDF" w:rsidRPr="00ED0FB0" w:rsidRDefault="00F86EDF">
            <w:pPr>
              <w:jc w:val="center"/>
            </w:pPr>
            <w:r w:rsidRPr="00ED0FB0">
              <w:t>10 989</w:t>
            </w:r>
          </w:p>
        </w:tc>
        <w:tc>
          <w:tcPr>
            <w:tcW w:w="1380" w:type="dxa"/>
            <w:tcBorders>
              <w:top w:val="nil"/>
              <w:left w:val="nil"/>
              <w:bottom w:val="single" w:sz="4" w:space="0" w:color="auto"/>
              <w:right w:val="single" w:sz="4" w:space="0" w:color="auto"/>
            </w:tcBorders>
            <w:shd w:val="clear" w:color="auto" w:fill="auto"/>
            <w:hideMark/>
          </w:tcPr>
          <w:p w14:paraId="266A5EDF" w14:textId="77777777" w:rsidR="00F86EDF" w:rsidRPr="00ED0FB0" w:rsidRDefault="00F86EDF">
            <w:pPr>
              <w:jc w:val="center"/>
            </w:pPr>
            <w:r w:rsidRPr="00ED0FB0">
              <w:t>11 533</w:t>
            </w:r>
          </w:p>
        </w:tc>
      </w:tr>
      <w:tr w:rsidR="0072191A" w:rsidRPr="0072191A" w14:paraId="495A7A1B" w14:textId="77777777" w:rsidTr="00F86EDF">
        <w:trPr>
          <w:trHeight w:val="630"/>
        </w:trPr>
        <w:tc>
          <w:tcPr>
            <w:tcW w:w="4760" w:type="dxa"/>
            <w:tcBorders>
              <w:top w:val="nil"/>
              <w:left w:val="single" w:sz="4" w:space="0" w:color="auto"/>
              <w:bottom w:val="single" w:sz="4" w:space="0" w:color="auto"/>
              <w:right w:val="single" w:sz="4" w:space="0" w:color="auto"/>
            </w:tcBorders>
            <w:shd w:val="clear" w:color="auto" w:fill="auto"/>
            <w:hideMark/>
          </w:tcPr>
          <w:p w14:paraId="268EBD76" w14:textId="77777777" w:rsidR="00F86EDF" w:rsidRPr="00ED0FB0" w:rsidRDefault="00F86EDF">
            <w:r w:rsidRPr="00ED0FB0">
              <w:t xml:space="preserve">6. Maksātnespējas procesu pārvaldība, </w:t>
            </w:r>
            <w:r w:rsidRPr="00ED0FB0">
              <w:rPr>
                <w:i/>
                <w:iCs/>
              </w:rPr>
              <w:t>euro</w:t>
            </w:r>
            <w:r w:rsidRPr="00ED0FB0">
              <w:t xml:space="preserve"> (izdevumi)</w:t>
            </w:r>
          </w:p>
        </w:tc>
        <w:tc>
          <w:tcPr>
            <w:tcW w:w="1380" w:type="dxa"/>
            <w:tcBorders>
              <w:top w:val="nil"/>
              <w:left w:val="nil"/>
              <w:bottom w:val="single" w:sz="4" w:space="0" w:color="auto"/>
              <w:right w:val="single" w:sz="4" w:space="0" w:color="auto"/>
            </w:tcBorders>
            <w:shd w:val="clear" w:color="auto" w:fill="auto"/>
            <w:hideMark/>
          </w:tcPr>
          <w:p w14:paraId="4D0730F5" w14:textId="77777777" w:rsidR="00F86EDF" w:rsidRPr="00ED0FB0" w:rsidRDefault="00F86EDF" w:rsidP="00661CD0">
            <w:pPr>
              <w:jc w:val="center"/>
            </w:pPr>
            <w:r w:rsidRPr="00ED0FB0">
              <w:t>484 53</w:t>
            </w:r>
            <w:r w:rsidR="00661CD0" w:rsidRPr="00ED0FB0">
              <w:t>8</w:t>
            </w:r>
          </w:p>
        </w:tc>
        <w:tc>
          <w:tcPr>
            <w:tcW w:w="1380" w:type="dxa"/>
            <w:tcBorders>
              <w:top w:val="nil"/>
              <w:left w:val="nil"/>
              <w:bottom w:val="single" w:sz="4" w:space="0" w:color="auto"/>
              <w:right w:val="single" w:sz="4" w:space="0" w:color="auto"/>
            </w:tcBorders>
            <w:shd w:val="clear" w:color="auto" w:fill="auto"/>
            <w:hideMark/>
          </w:tcPr>
          <w:p w14:paraId="27EDFFB9" w14:textId="77777777" w:rsidR="00F86EDF" w:rsidRPr="00ED0FB0" w:rsidRDefault="00F86EDF" w:rsidP="00661CD0">
            <w:pPr>
              <w:jc w:val="center"/>
            </w:pPr>
            <w:r w:rsidRPr="00ED0FB0">
              <w:t>484 53</w:t>
            </w:r>
            <w:r w:rsidR="00661CD0" w:rsidRPr="00ED0FB0">
              <w:t>8</w:t>
            </w:r>
          </w:p>
        </w:tc>
        <w:tc>
          <w:tcPr>
            <w:tcW w:w="1380" w:type="dxa"/>
            <w:tcBorders>
              <w:top w:val="nil"/>
              <w:left w:val="nil"/>
              <w:bottom w:val="single" w:sz="4" w:space="0" w:color="auto"/>
              <w:right w:val="single" w:sz="4" w:space="0" w:color="auto"/>
            </w:tcBorders>
            <w:shd w:val="clear" w:color="auto" w:fill="auto"/>
            <w:hideMark/>
          </w:tcPr>
          <w:p w14:paraId="70781214" w14:textId="77777777" w:rsidR="00F86EDF" w:rsidRPr="00ED0FB0" w:rsidRDefault="00F86EDF" w:rsidP="00661CD0">
            <w:pPr>
              <w:jc w:val="center"/>
            </w:pPr>
            <w:r w:rsidRPr="00ED0FB0">
              <w:t>484 53</w:t>
            </w:r>
            <w:r w:rsidR="00661CD0" w:rsidRPr="00ED0FB0">
              <w:t>8</w:t>
            </w:r>
          </w:p>
        </w:tc>
      </w:tr>
      <w:tr w:rsidR="0072191A" w:rsidRPr="0072191A" w14:paraId="3E0F7404" w14:textId="77777777" w:rsidTr="00F86EDF">
        <w:trPr>
          <w:trHeight w:val="31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2F0B4CEE" w14:textId="77777777" w:rsidR="00F86EDF" w:rsidRPr="00ED0FB0" w:rsidRDefault="00F86EDF">
            <w:r w:rsidRPr="00ED0FB0">
              <w:t xml:space="preserve">7. Kopā izdevumi, </w:t>
            </w:r>
            <w:r w:rsidRPr="00ED0FB0">
              <w:rPr>
                <w:i/>
                <w:iCs/>
              </w:rPr>
              <w:t>euro</w:t>
            </w:r>
          </w:p>
        </w:tc>
        <w:tc>
          <w:tcPr>
            <w:tcW w:w="1380" w:type="dxa"/>
            <w:tcBorders>
              <w:top w:val="nil"/>
              <w:left w:val="nil"/>
              <w:bottom w:val="single" w:sz="4" w:space="0" w:color="auto"/>
              <w:right w:val="single" w:sz="4" w:space="0" w:color="auto"/>
            </w:tcBorders>
            <w:shd w:val="clear" w:color="auto" w:fill="auto"/>
            <w:noWrap/>
            <w:vAlign w:val="bottom"/>
            <w:hideMark/>
          </w:tcPr>
          <w:p w14:paraId="5F93083F" w14:textId="77777777" w:rsidR="00F86EDF" w:rsidRPr="00ED0FB0" w:rsidRDefault="00F86EDF" w:rsidP="00661CD0">
            <w:pPr>
              <w:jc w:val="center"/>
              <w:rPr>
                <w:b/>
                <w:bCs/>
              </w:rPr>
            </w:pPr>
            <w:r w:rsidRPr="00ED0FB0">
              <w:rPr>
                <w:b/>
                <w:bCs/>
              </w:rPr>
              <w:t>1 985 09</w:t>
            </w:r>
            <w:r w:rsidR="00661CD0" w:rsidRPr="00ED0FB0">
              <w:rPr>
                <w:b/>
                <w:bCs/>
              </w:rPr>
              <w:t>1</w:t>
            </w:r>
          </w:p>
        </w:tc>
        <w:tc>
          <w:tcPr>
            <w:tcW w:w="1380" w:type="dxa"/>
            <w:tcBorders>
              <w:top w:val="nil"/>
              <w:left w:val="nil"/>
              <w:bottom w:val="single" w:sz="4" w:space="0" w:color="auto"/>
              <w:right w:val="single" w:sz="4" w:space="0" w:color="auto"/>
            </w:tcBorders>
            <w:shd w:val="clear" w:color="auto" w:fill="auto"/>
            <w:noWrap/>
            <w:vAlign w:val="bottom"/>
            <w:hideMark/>
          </w:tcPr>
          <w:p w14:paraId="26B04529" w14:textId="77777777" w:rsidR="00F86EDF" w:rsidRPr="00ED0FB0" w:rsidRDefault="00F86EDF" w:rsidP="00661CD0">
            <w:pPr>
              <w:jc w:val="center"/>
              <w:rPr>
                <w:b/>
                <w:bCs/>
              </w:rPr>
            </w:pPr>
            <w:r w:rsidRPr="00ED0FB0">
              <w:rPr>
                <w:b/>
                <w:bCs/>
              </w:rPr>
              <w:t>2 186 26</w:t>
            </w:r>
            <w:r w:rsidR="00661CD0" w:rsidRPr="00ED0FB0">
              <w:rPr>
                <w:b/>
                <w:bCs/>
              </w:rPr>
              <w:t>2</w:t>
            </w:r>
          </w:p>
        </w:tc>
        <w:tc>
          <w:tcPr>
            <w:tcW w:w="1380" w:type="dxa"/>
            <w:tcBorders>
              <w:top w:val="nil"/>
              <w:left w:val="nil"/>
              <w:bottom w:val="single" w:sz="4" w:space="0" w:color="auto"/>
              <w:right w:val="single" w:sz="4" w:space="0" w:color="auto"/>
            </w:tcBorders>
            <w:shd w:val="clear" w:color="auto" w:fill="auto"/>
            <w:noWrap/>
            <w:vAlign w:val="bottom"/>
            <w:hideMark/>
          </w:tcPr>
          <w:p w14:paraId="5359FB6D" w14:textId="77777777" w:rsidR="00F86EDF" w:rsidRPr="00ED0FB0" w:rsidRDefault="00F86EDF" w:rsidP="00661CD0">
            <w:pPr>
              <w:jc w:val="center"/>
              <w:rPr>
                <w:b/>
                <w:bCs/>
              </w:rPr>
            </w:pPr>
            <w:r w:rsidRPr="00ED0FB0">
              <w:rPr>
                <w:b/>
                <w:bCs/>
              </w:rPr>
              <w:t>2 431 53</w:t>
            </w:r>
            <w:r w:rsidR="00661CD0" w:rsidRPr="00ED0FB0">
              <w:rPr>
                <w:b/>
                <w:bCs/>
              </w:rPr>
              <w:t>8</w:t>
            </w:r>
          </w:p>
        </w:tc>
      </w:tr>
      <w:tr w:rsidR="0072191A" w:rsidRPr="0072191A" w14:paraId="1C6251A4" w14:textId="77777777" w:rsidTr="00F86EDF">
        <w:trPr>
          <w:trHeight w:val="630"/>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1E29B1C" w14:textId="77777777" w:rsidR="00F86EDF" w:rsidRPr="00ED0FB0" w:rsidRDefault="00F86EDF">
            <w:r w:rsidRPr="00ED0FB0">
              <w:t xml:space="preserve">8. Iepriekšējo gadu atlikums janvāra sākuma prasījumu segšanai, </w:t>
            </w:r>
            <w:r w:rsidRPr="00ED0FB0">
              <w:rPr>
                <w:i/>
                <w:iCs/>
              </w:rPr>
              <w:t>euro</w:t>
            </w:r>
          </w:p>
        </w:tc>
        <w:tc>
          <w:tcPr>
            <w:tcW w:w="1380" w:type="dxa"/>
            <w:tcBorders>
              <w:top w:val="nil"/>
              <w:left w:val="nil"/>
              <w:bottom w:val="single" w:sz="4" w:space="0" w:color="auto"/>
              <w:right w:val="single" w:sz="4" w:space="0" w:color="auto"/>
            </w:tcBorders>
            <w:shd w:val="clear" w:color="auto" w:fill="auto"/>
            <w:noWrap/>
            <w:vAlign w:val="bottom"/>
            <w:hideMark/>
          </w:tcPr>
          <w:p w14:paraId="1D658353" w14:textId="77777777" w:rsidR="00F86EDF" w:rsidRPr="00ED0FB0" w:rsidRDefault="00F86EDF">
            <w:pPr>
              <w:jc w:val="center"/>
            </w:pPr>
            <w:r w:rsidRPr="00ED0FB0">
              <w:t>35 000</w:t>
            </w:r>
          </w:p>
        </w:tc>
        <w:tc>
          <w:tcPr>
            <w:tcW w:w="1380" w:type="dxa"/>
            <w:tcBorders>
              <w:top w:val="nil"/>
              <w:left w:val="nil"/>
              <w:bottom w:val="single" w:sz="4" w:space="0" w:color="auto"/>
              <w:right w:val="single" w:sz="4" w:space="0" w:color="auto"/>
            </w:tcBorders>
            <w:shd w:val="clear" w:color="auto" w:fill="auto"/>
            <w:noWrap/>
            <w:vAlign w:val="bottom"/>
            <w:hideMark/>
          </w:tcPr>
          <w:p w14:paraId="5A6BCE42" w14:textId="77777777" w:rsidR="00F86EDF" w:rsidRPr="00ED0FB0" w:rsidRDefault="00F86EDF">
            <w:pPr>
              <w:jc w:val="center"/>
            </w:pPr>
            <w:r w:rsidRPr="00ED0FB0">
              <w:t>35 000</w:t>
            </w:r>
          </w:p>
        </w:tc>
        <w:tc>
          <w:tcPr>
            <w:tcW w:w="1380" w:type="dxa"/>
            <w:tcBorders>
              <w:top w:val="nil"/>
              <w:left w:val="nil"/>
              <w:bottom w:val="single" w:sz="4" w:space="0" w:color="auto"/>
              <w:right w:val="single" w:sz="4" w:space="0" w:color="auto"/>
            </w:tcBorders>
            <w:shd w:val="clear" w:color="auto" w:fill="auto"/>
            <w:noWrap/>
            <w:vAlign w:val="bottom"/>
            <w:hideMark/>
          </w:tcPr>
          <w:p w14:paraId="74D4A246" w14:textId="77777777" w:rsidR="00F86EDF" w:rsidRPr="00ED0FB0" w:rsidRDefault="00F86EDF">
            <w:pPr>
              <w:jc w:val="center"/>
            </w:pPr>
            <w:r w:rsidRPr="00ED0FB0">
              <w:t>35 000</w:t>
            </w:r>
          </w:p>
        </w:tc>
      </w:tr>
      <w:tr w:rsidR="0072191A" w:rsidRPr="0072191A" w14:paraId="78FC7534" w14:textId="77777777" w:rsidTr="00F86EDF">
        <w:trPr>
          <w:trHeight w:val="630"/>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2E2BDF3" w14:textId="77777777" w:rsidR="00F86EDF" w:rsidRPr="00ED0FB0" w:rsidRDefault="00F86EDF">
            <w:r w:rsidRPr="00ED0FB0">
              <w:t>9. Atlikums - darbinieku prasījumu garantiju fonda uzkrājuma veidošanai (3.</w:t>
            </w:r>
            <w:r w:rsidR="00FF1BEA">
              <w:t xml:space="preserve"> – </w:t>
            </w:r>
            <w:r w:rsidRPr="00ED0FB0">
              <w:t>7.)</w:t>
            </w:r>
          </w:p>
        </w:tc>
        <w:tc>
          <w:tcPr>
            <w:tcW w:w="1380" w:type="dxa"/>
            <w:tcBorders>
              <w:top w:val="nil"/>
              <w:left w:val="nil"/>
              <w:bottom w:val="single" w:sz="4" w:space="0" w:color="auto"/>
              <w:right w:val="single" w:sz="4" w:space="0" w:color="auto"/>
            </w:tcBorders>
            <w:shd w:val="clear" w:color="auto" w:fill="auto"/>
            <w:noWrap/>
            <w:vAlign w:val="bottom"/>
            <w:hideMark/>
          </w:tcPr>
          <w:p w14:paraId="4F9DBDB0" w14:textId="77777777" w:rsidR="00F86EDF" w:rsidRPr="00ED0FB0" w:rsidRDefault="00F86EDF" w:rsidP="00661CD0">
            <w:pPr>
              <w:jc w:val="center"/>
            </w:pPr>
            <w:r w:rsidRPr="00ED0FB0">
              <w:t>1 224 84</w:t>
            </w:r>
            <w:r w:rsidR="00661CD0" w:rsidRPr="00ED0FB0">
              <w:t>4</w:t>
            </w:r>
          </w:p>
        </w:tc>
        <w:tc>
          <w:tcPr>
            <w:tcW w:w="1380" w:type="dxa"/>
            <w:tcBorders>
              <w:top w:val="nil"/>
              <w:left w:val="nil"/>
              <w:bottom w:val="single" w:sz="4" w:space="0" w:color="auto"/>
              <w:right w:val="single" w:sz="4" w:space="0" w:color="auto"/>
            </w:tcBorders>
            <w:shd w:val="clear" w:color="auto" w:fill="auto"/>
            <w:noWrap/>
            <w:vAlign w:val="bottom"/>
            <w:hideMark/>
          </w:tcPr>
          <w:p w14:paraId="7182DB6F" w14:textId="77777777" w:rsidR="00F86EDF" w:rsidRPr="00ED0FB0" w:rsidRDefault="00F86EDF" w:rsidP="00661CD0">
            <w:pPr>
              <w:jc w:val="center"/>
            </w:pPr>
            <w:r w:rsidRPr="00ED0FB0">
              <w:t>1 026 71</w:t>
            </w:r>
            <w:r w:rsidR="00661CD0" w:rsidRPr="00ED0FB0">
              <w:t>8</w:t>
            </w:r>
          </w:p>
        </w:tc>
        <w:tc>
          <w:tcPr>
            <w:tcW w:w="1380" w:type="dxa"/>
            <w:tcBorders>
              <w:top w:val="nil"/>
              <w:left w:val="nil"/>
              <w:bottom w:val="single" w:sz="4" w:space="0" w:color="auto"/>
              <w:right w:val="single" w:sz="4" w:space="0" w:color="auto"/>
            </w:tcBorders>
            <w:shd w:val="clear" w:color="auto" w:fill="auto"/>
            <w:noWrap/>
            <w:vAlign w:val="bottom"/>
            <w:hideMark/>
          </w:tcPr>
          <w:p w14:paraId="442921A4" w14:textId="77777777" w:rsidR="00F86EDF" w:rsidRPr="00ED0FB0" w:rsidRDefault="00F86EDF" w:rsidP="00661CD0">
            <w:pPr>
              <w:jc w:val="center"/>
            </w:pPr>
            <w:r w:rsidRPr="00ED0FB0">
              <w:t>784 48</w:t>
            </w:r>
            <w:r w:rsidR="00661CD0" w:rsidRPr="00ED0FB0">
              <w:t>8</w:t>
            </w:r>
          </w:p>
        </w:tc>
      </w:tr>
    </w:tbl>
    <w:p w14:paraId="082949EC" w14:textId="77777777" w:rsidR="005A6D3B" w:rsidRPr="005A6D3B" w:rsidRDefault="005A6D3B" w:rsidP="00F648A6">
      <w:pPr>
        <w:tabs>
          <w:tab w:val="left" w:pos="720"/>
        </w:tabs>
        <w:jc w:val="right"/>
        <w:rPr>
          <w:sz w:val="28"/>
          <w:szCs w:val="28"/>
        </w:rPr>
      </w:pPr>
    </w:p>
    <w:p w14:paraId="3305AA4B" w14:textId="77777777" w:rsidR="00F648A6" w:rsidRPr="007D0A59" w:rsidRDefault="00F648A6" w:rsidP="00F648A6">
      <w:pPr>
        <w:tabs>
          <w:tab w:val="left" w:pos="720"/>
        </w:tabs>
        <w:jc w:val="right"/>
      </w:pPr>
      <w:r w:rsidRPr="007D0A59">
        <w:t>2</w:t>
      </w:r>
      <w:r w:rsidR="00A42A5F" w:rsidRPr="007D0A59">
        <w:t>9</w:t>
      </w:r>
      <w:r w:rsidRPr="007D0A59">
        <w:t>.tabula</w:t>
      </w:r>
    </w:p>
    <w:p w14:paraId="7B62C4A0" w14:textId="77777777" w:rsidR="00F648A6" w:rsidRPr="007D0A59" w:rsidRDefault="00F648A6" w:rsidP="00F648A6">
      <w:pPr>
        <w:tabs>
          <w:tab w:val="left" w:pos="720"/>
        </w:tabs>
        <w:jc w:val="right"/>
      </w:pPr>
    </w:p>
    <w:p w14:paraId="171E35F9" w14:textId="77777777" w:rsidR="00F648A6" w:rsidRPr="007D0A59" w:rsidRDefault="00F648A6" w:rsidP="005A6D3B">
      <w:pPr>
        <w:jc w:val="center"/>
        <w:rPr>
          <w:b/>
        </w:rPr>
      </w:pPr>
      <w:r w:rsidRPr="007D0A59">
        <w:rPr>
          <w:b/>
        </w:rPr>
        <w:t>Plānotie ieņēmumi un izdevumi 2017.</w:t>
      </w:r>
      <w:r w:rsidR="00FF1BEA">
        <w:rPr>
          <w:b/>
        </w:rPr>
        <w:t>–</w:t>
      </w:r>
      <w:r w:rsidRPr="007D0A59">
        <w:rPr>
          <w:b/>
        </w:rPr>
        <w:t>2019.gadā apakšprogrammai „Darbinieku prasījumu garantiju fonds”</w:t>
      </w:r>
    </w:p>
    <w:p w14:paraId="7D095111" w14:textId="77777777" w:rsidR="00F648A6" w:rsidRPr="001E23E1" w:rsidRDefault="00F648A6" w:rsidP="00F648A6">
      <w:pPr>
        <w:ind w:firstLine="720"/>
        <w:jc w:val="center"/>
        <w:rPr>
          <w:b/>
          <w:sz w:val="28"/>
          <w:szCs w:val="28"/>
        </w:rPr>
      </w:pPr>
    </w:p>
    <w:tbl>
      <w:tblPr>
        <w:tblW w:w="8460" w:type="dxa"/>
        <w:jc w:val="center"/>
        <w:tblLook w:val="04A0" w:firstRow="1" w:lastRow="0" w:firstColumn="1" w:lastColumn="0" w:noHBand="0" w:noVBand="1"/>
      </w:tblPr>
      <w:tblGrid>
        <w:gridCol w:w="4020"/>
        <w:gridCol w:w="1520"/>
        <w:gridCol w:w="1480"/>
        <w:gridCol w:w="1440"/>
      </w:tblGrid>
      <w:tr w:rsidR="00AD61FF" w:rsidRPr="00AD61FF" w14:paraId="47B8A11C" w14:textId="77777777" w:rsidTr="00860218">
        <w:trPr>
          <w:trHeight w:val="330"/>
          <w:jc w:val="center"/>
        </w:trPr>
        <w:tc>
          <w:tcPr>
            <w:tcW w:w="4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8018B" w14:textId="77777777" w:rsidR="00AD61FF" w:rsidRPr="00AD61FF" w:rsidRDefault="00AD61FF">
            <w:pPr>
              <w:rPr>
                <w:rFonts w:ascii="Arial" w:hAnsi="Arial" w:cs="Arial"/>
                <w:color w:val="FF0000"/>
                <w:sz w:val="20"/>
                <w:szCs w:val="20"/>
              </w:rPr>
            </w:pPr>
            <w:r w:rsidRPr="00AD61FF">
              <w:rPr>
                <w:rFonts w:ascii="Arial" w:hAnsi="Arial" w:cs="Arial"/>
                <w:color w:val="FF0000"/>
                <w:sz w:val="20"/>
                <w:szCs w:val="20"/>
              </w:rPr>
              <w:t> </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3BE021D0" w14:textId="77777777" w:rsidR="00AD61FF" w:rsidRPr="00ED0FB0" w:rsidRDefault="00AD61FF">
            <w:pPr>
              <w:jc w:val="both"/>
              <w:rPr>
                <w:b/>
                <w:bCs/>
              </w:rPr>
            </w:pPr>
            <w:r w:rsidRPr="00ED0FB0">
              <w:rPr>
                <w:b/>
                <w:bCs/>
              </w:rPr>
              <w:t>2017.gads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207E0D1E" w14:textId="77777777" w:rsidR="00AD61FF" w:rsidRPr="00ED0FB0" w:rsidRDefault="00AD61FF">
            <w:pPr>
              <w:jc w:val="both"/>
              <w:rPr>
                <w:b/>
                <w:bCs/>
              </w:rPr>
            </w:pPr>
            <w:r w:rsidRPr="00ED0FB0">
              <w:rPr>
                <w:b/>
                <w:bCs/>
              </w:rPr>
              <w:t>2018.gads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CA0899" w14:textId="77777777" w:rsidR="00AD61FF" w:rsidRPr="00ED0FB0" w:rsidRDefault="00AD61FF">
            <w:pPr>
              <w:jc w:val="both"/>
              <w:rPr>
                <w:b/>
                <w:bCs/>
              </w:rPr>
            </w:pPr>
            <w:r w:rsidRPr="00ED0FB0">
              <w:rPr>
                <w:b/>
                <w:bCs/>
              </w:rPr>
              <w:t>2019.gads</w:t>
            </w:r>
          </w:p>
        </w:tc>
      </w:tr>
      <w:tr w:rsidR="00AD61FF" w:rsidRPr="00AD61FF" w14:paraId="0745C0DD" w14:textId="77777777" w:rsidTr="00860218">
        <w:trPr>
          <w:trHeight w:val="825"/>
          <w:jc w:val="center"/>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11098C9C" w14:textId="77777777" w:rsidR="00AD61FF" w:rsidRPr="00ED0FB0" w:rsidRDefault="00AD61FF">
            <w:pPr>
              <w:jc w:val="both"/>
            </w:pPr>
            <w:r w:rsidRPr="00ED0FB0">
              <w:t>1.</w:t>
            </w:r>
            <w:r w:rsidR="00ED0FB0" w:rsidRPr="00ED0FB0">
              <w:t xml:space="preserve"> </w:t>
            </w:r>
            <w:r w:rsidRPr="00ED0FB0">
              <w:t xml:space="preserve">Uzņēmējdarbības riska valsts nodevas ieņēmumi, </w:t>
            </w:r>
            <w:r w:rsidRPr="00ED0FB0">
              <w:rPr>
                <w:i/>
                <w:iCs/>
              </w:rPr>
              <w:t>euro</w:t>
            </w:r>
          </w:p>
        </w:tc>
        <w:tc>
          <w:tcPr>
            <w:tcW w:w="1520" w:type="dxa"/>
            <w:tcBorders>
              <w:top w:val="nil"/>
              <w:left w:val="nil"/>
              <w:bottom w:val="single" w:sz="8" w:space="0" w:color="auto"/>
              <w:right w:val="single" w:sz="8" w:space="0" w:color="auto"/>
            </w:tcBorders>
            <w:shd w:val="clear" w:color="auto" w:fill="auto"/>
            <w:vAlign w:val="center"/>
            <w:hideMark/>
          </w:tcPr>
          <w:p w14:paraId="3664038E" w14:textId="77777777" w:rsidR="00AD61FF" w:rsidRPr="00ED0FB0" w:rsidRDefault="00AD61FF" w:rsidP="001740C9">
            <w:pPr>
              <w:jc w:val="right"/>
            </w:pPr>
            <w:r w:rsidRPr="00ED0FB0">
              <w:t>2 560 39</w:t>
            </w:r>
            <w:r w:rsidR="001740C9" w:rsidRPr="00ED0FB0">
              <w:rPr>
                <w:b/>
              </w:rPr>
              <w:t>7</w:t>
            </w:r>
          </w:p>
        </w:tc>
        <w:tc>
          <w:tcPr>
            <w:tcW w:w="1480" w:type="dxa"/>
            <w:tcBorders>
              <w:top w:val="nil"/>
              <w:left w:val="nil"/>
              <w:bottom w:val="single" w:sz="8" w:space="0" w:color="auto"/>
              <w:right w:val="single" w:sz="8" w:space="0" w:color="auto"/>
            </w:tcBorders>
            <w:shd w:val="clear" w:color="auto" w:fill="auto"/>
            <w:vAlign w:val="center"/>
            <w:hideMark/>
          </w:tcPr>
          <w:p w14:paraId="35E931FB" w14:textId="77777777" w:rsidR="00AD61FF" w:rsidRPr="00ED0FB0" w:rsidRDefault="00AD61FF" w:rsidP="001740C9">
            <w:pPr>
              <w:jc w:val="right"/>
            </w:pPr>
            <w:r w:rsidRPr="00ED0FB0">
              <w:t>2 563 44</w:t>
            </w:r>
            <w:r w:rsidR="001740C9" w:rsidRPr="00ED0FB0">
              <w:t>2</w:t>
            </w:r>
          </w:p>
        </w:tc>
        <w:tc>
          <w:tcPr>
            <w:tcW w:w="1440" w:type="dxa"/>
            <w:tcBorders>
              <w:top w:val="nil"/>
              <w:left w:val="nil"/>
              <w:bottom w:val="single" w:sz="8" w:space="0" w:color="auto"/>
              <w:right w:val="single" w:sz="8" w:space="0" w:color="auto"/>
            </w:tcBorders>
            <w:shd w:val="clear" w:color="auto" w:fill="auto"/>
            <w:vAlign w:val="center"/>
            <w:hideMark/>
          </w:tcPr>
          <w:p w14:paraId="4E2F4A64" w14:textId="77777777" w:rsidR="00AD61FF" w:rsidRPr="00ED0FB0" w:rsidRDefault="00AD61FF" w:rsidP="001740C9">
            <w:pPr>
              <w:jc w:val="right"/>
            </w:pPr>
            <w:r w:rsidRPr="00ED0FB0">
              <w:t>2 566 48</w:t>
            </w:r>
            <w:r w:rsidR="001740C9" w:rsidRPr="00ED0FB0">
              <w:t>8</w:t>
            </w:r>
          </w:p>
        </w:tc>
      </w:tr>
      <w:tr w:rsidR="00AD61FF" w:rsidRPr="00AD61FF" w14:paraId="32B759F6" w14:textId="77777777" w:rsidTr="00860218">
        <w:trPr>
          <w:trHeight w:val="585"/>
          <w:jc w:val="center"/>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1A048C4B" w14:textId="77777777" w:rsidR="00AD61FF" w:rsidRPr="00ED0FB0" w:rsidRDefault="00AD61FF">
            <w:pPr>
              <w:jc w:val="both"/>
            </w:pPr>
            <w:r w:rsidRPr="00ED0FB0">
              <w:t xml:space="preserve">2. Ieņēmumi no atgūtajiem līdzekļiem, </w:t>
            </w:r>
            <w:r w:rsidRPr="00ED0FB0">
              <w:rPr>
                <w:i/>
                <w:iCs/>
              </w:rPr>
              <w:t>euro</w:t>
            </w:r>
          </w:p>
        </w:tc>
        <w:tc>
          <w:tcPr>
            <w:tcW w:w="1520" w:type="dxa"/>
            <w:tcBorders>
              <w:top w:val="nil"/>
              <w:left w:val="nil"/>
              <w:bottom w:val="single" w:sz="8" w:space="0" w:color="auto"/>
              <w:right w:val="single" w:sz="8" w:space="0" w:color="auto"/>
            </w:tcBorders>
            <w:shd w:val="clear" w:color="auto" w:fill="auto"/>
            <w:vAlign w:val="center"/>
            <w:hideMark/>
          </w:tcPr>
          <w:p w14:paraId="3B86E0F4" w14:textId="77777777" w:rsidR="00AD61FF" w:rsidRPr="00ED0FB0" w:rsidRDefault="00AD61FF">
            <w:pPr>
              <w:jc w:val="right"/>
            </w:pPr>
            <w:r w:rsidRPr="00ED0FB0">
              <w:t>165 000</w:t>
            </w:r>
          </w:p>
        </w:tc>
        <w:tc>
          <w:tcPr>
            <w:tcW w:w="1480" w:type="dxa"/>
            <w:tcBorders>
              <w:top w:val="nil"/>
              <w:left w:val="nil"/>
              <w:bottom w:val="single" w:sz="8" w:space="0" w:color="auto"/>
              <w:right w:val="single" w:sz="8" w:space="0" w:color="auto"/>
            </w:tcBorders>
            <w:shd w:val="clear" w:color="auto" w:fill="auto"/>
            <w:vAlign w:val="center"/>
            <w:hideMark/>
          </w:tcPr>
          <w:p w14:paraId="4070C3F6" w14:textId="77777777" w:rsidR="00AD61FF" w:rsidRPr="00ED0FB0" w:rsidRDefault="00AD61FF">
            <w:pPr>
              <w:jc w:val="right"/>
            </w:pPr>
            <w:r w:rsidRPr="00ED0FB0">
              <w:t>165 000</w:t>
            </w:r>
          </w:p>
        </w:tc>
        <w:tc>
          <w:tcPr>
            <w:tcW w:w="1440" w:type="dxa"/>
            <w:tcBorders>
              <w:top w:val="nil"/>
              <w:left w:val="nil"/>
              <w:bottom w:val="single" w:sz="8" w:space="0" w:color="auto"/>
              <w:right w:val="single" w:sz="8" w:space="0" w:color="auto"/>
            </w:tcBorders>
            <w:shd w:val="clear" w:color="auto" w:fill="auto"/>
            <w:vAlign w:val="center"/>
            <w:hideMark/>
          </w:tcPr>
          <w:p w14:paraId="411A8D9B" w14:textId="77777777" w:rsidR="00AD61FF" w:rsidRPr="00ED0FB0" w:rsidRDefault="00AD61FF">
            <w:pPr>
              <w:jc w:val="right"/>
            </w:pPr>
            <w:r w:rsidRPr="00ED0FB0">
              <w:t>165 000</w:t>
            </w:r>
          </w:p>
        </w:tc>
      </w:tr>
      <w:tr w:rsidR="00AD61FF" w:rsidRPr="00AD61FF" w14:paraId="5FDBDA0E" w14:textId="77777777" w:rsidTr="00860218">
        <w:trPr>
          <w:trHeight w:val="450"/>
          <w:jc w:val="center"/>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3F03065D" w14:textId="77777777" w:rsidR="00AD61FF" w:rsidRPr="00ED0FB0" w:rsidRDefault="00AD61FF">
            <w:pPr>
              <w:jc w:val="both"/>
              <w:rPr>
                <w:b/>
                <w:bCs/>
              </w:rPr>
            </w:pPr>
            <w:r w:rsidRPr="00ED0FB0">
              <w:rPr>
                <w:b/>
                <w:bCs/>
              </w:rPr>
              <w:t xml:space="preserve">3. Kopā ieņēmumi, </w:t>
            </w:r>
            <w:r w:rsidRPr="00ED0FB0">
              <w:rPr>
                <w:b/>
                <w:bCs/>
                <w:i/>
                <w:iCs/>
              </w:rPr>
              <w:t>euro</w:t>
            </w:r>
          </w:p>
        </w:tc>
        <w:tc>
          <w:tcPr>
            <w:tcW w:w="1520" w:type="dxa"/>
            <w:tcBorders>
              <w:top w:val="nil"/>
              <w:left w:val="nil"/>
              <w:bottom w:val="single" w:sz="8" w:space="0" w:color="auto"/>
              <w:right w:val="single" w:sz="8" w:space="0" w:color="auto"/>
            </w:tcBorders>
            <w:shd w:val="clear" w:color="auto" w:fill="auto"/>
            <w:vAlign w:val="center"/>
            <w:hideMark/>
          </w:tcPr>
          <w:p w14:paraId="7217E903" w14:textId="77777777" w:rsidR="00AD61FF" w:rsidRPr="00ED0FB0" w:rsidRDefault="00AD61FF" w:rsidP="001740C9">
            <w:pPr>
              <w:jc w:val="right"/>
              <w:rPr>
                <w:b/>
                <w:bCs/>
              </w:rPr>
            </w:pPr>
            <w:r w:rsidRPr="00ED0FB0">
              <w:rPr>
                <w:b/>
                <w:bCs/>
              </w:rPr>
              <w:t>2 725 39</w:t>
            </w:r>
            <w:r w:rsidR="001740C9" w:rsidRPr="00ED0FB0">
              <w:rPr>
                <w:b/>
                <w:bCs/>
              </w:rPr>
              <w:t>7</w:t>
            </w:r>
          </w:p>
        </w:tc>
        <w:tc>
          <w:tcPr>
            <w:tcW w:w="1480" w:type="dxa"/>
            <w:tcBorders>
              <w:top w:val="nil"/>
              <w:left w:val="nil"/>
              <w:bottom w:val="single" w:sz="8" w:space="0" w:color="auto"/>
              <w:right w:val="single" w:sz="8" w:space="0" w:color="auto"/>
            </w:tcBorders>
            <w:shd w:val="clear" w:color="auto" w:fill="auto"/>
            <w:vAlign w:val="center"/>
            <w:hideMark/>
          </w:tcPr>
          <w:p w14:paraId="1A530005" w14:textId="77777777" w:rsidR="00AD61FF" w:rsidRPr="00ED0FB0" w:rsidRDefault="00AD61FF" w:rsidP="001740C9">
            <w:pPr>
              <w:jc w:val="right"/>
              <w:rPr>
                <w:b/>
                <w:bCs/>
              </w:rPr>
            </w:pPr>
            <w:r w:rsidRPr="00ED0FB0">
              <w:rPr>
                <w:b/>
                <w:bCs/>
              </w:rPr>
              <w:t>2 728 44</w:t>
            </w:r>
            <w:r w:rsidR="001740C9" w:rsidRPr="00ED0FB0">
              <w:rPr>
                <w:b/>
                <w:bCs/>
              </w:rPr>
              <w:t>2</w:t>
            </w:r>
          </w:p>
        </w:tc>
        <w:tc>
          <w:tcPr>
            <w:tcW w:w="1440" w:type="dxa"/>
            <w:tcBorders>
              <w:top w:val="nil"/>
              <w:left w:val="nil"/>
              <w:bottom w:val="single" w:sz="8" w:space="0" w:color="auto"/>
              <w:right w:val="single" w:sz="8" w:space="0" w:color="auto"/>
            </w:tcBorders>
            <w:shd w:val="clear" w:color="auto" w:fill="auto"/>
            <w:vAlign w:val="center"/>
            <w:hideMark/>
          </w:tcPr>
          <w:p w14:paraId="7D3470E4" w14:textId="77777777" w:rsidR="00AD61FF" w:rsidRPr="00ED0FB0" w:rsidRDefault="00AD61FF" w:rsidP="001740C9">
            <w:pPr>
              <w:jc w:val="right"/>
              <w:rPr>
                <w:b/>
                <w:bCs/>
              </w:rPr>
            </w:pPr>
            <w:r w:rsidRPr="00ED0FB0">
              <w:rPr>
                <w:b/>
                <w:bCs/>
              </w:rPr>
              <w:t>2 731 48</w:t>
            </w:r>
            <w:r w:rsidR="001740C9" w:rsidRPr="00ED0FB0">
              <w:rPr>
                <w:b/>
                <w:bCs/>
              </w:rPr>
              <w:t>8</w:t>
            </w:r>
          </w:p>
        </w:tc>
      </w:tr>
      <w:tr w:rsidR="00AD61FF" w:rsidRPr="00AD61FF" w14:paraId="583FE45D" w14:textId="77777777" w:rsidTr="00860218">
        <w:trPr>
          <w:trHeight w:val="675"/>
          <w:jc w:val="center"/>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1049356A" w14:textId="77777777" w:rsidR="00AD61FF" w:rsidRPr="00ED0FB0" w:rsidRDefault="00AD61FF">
            <w:pPr>
              <w:jc w:val="both"/>
            </w:pPr>
            <w:r w:rsidRPr="00ED0FB0">
              <w:t>4.</w:t>
            </w:r>
            <w:r w:rsidR="00ED0FB0" w:rsidRPr="00ED0FB0">
              <w:t xml:space="preserve"> </w:t>
            </w:r>
            <w:r w:rsidRPr="00ED0FB0">
              <w:t xml:space="preserve">Darbinieku prasījumu segšana, </w:t>
            </w:r>
            <w:r w:rsidRPr="00ED0FB0">
              <w:rPr>
                <w:i/>
                <w:iCs/>
              </w:rPr>
              <w:t>euro</w:t>
            </w:r>
            <w:r w:rsidRPr="00ED0FB0">
              <w:t xml:space="preserve"> (izdevumi), t.sk.:</w:t>
            </w:r>
          </w:p>
        </w:tc>
        <w:tc>
          <w:tcPr>
            <w:tcW w:w="1520" w:type="dxa"/>
            <w:tcBorders>
              <w:top w:val="nil"/>
              <w:left w:val="nil"/>
              <w:bottom w:val="single" w:sz="8" w:space="0" w:color="auto"/>
              <w:right w:val="single" w:sz="8" w:space="0" w:color="auto"/>
            </w:tcBorders>
            <w:shd w:val="clear" w:color="auto" w:fill="auto"/>
            <w:vAlign w:val="center"/>
            <w:hideMark/>
          </w:tcPr>
          <w:p w14:paraId="6392CD51" w14:textId="77777777" w:rsidR="00AD61FF" w:rsidRPr="00ED0FB0" w:rsidRDefault="00AD61FF" w:rsidP="00661CD0">
            <w:pPr>
              <w:jc w:val="center"/>
            </w:pPr>
            <w:r w:rsidRPr="00ED0FB0">
              <w:t>1 489 99</w:t>
            </w:r>
            <w:r w:rsidR="00661CD0" w:rsidRPr="00ED0FB0">
              <w:t>9</w:t>
            </w:r>
          </w:p>
        </w:tc>
        <w:tc>
          <w:tcPr>
            <w:tcW w:w="1480" w:type="dxa"/>
            <w:tcBorders>
              <w:top w:val="nil"/>
              <w:left w:val="nil"/>
              <w:bottom w:val="single" w:sz="8" w:space="0" w:color="auto"/>
              <w:right w:val="single" w:sz="8" w:space="0" w:color="auto"/>
            </w:tcBorders>
            <w:shd w:val="clear" w:color="auto" w:fill="auto"/>
            <w:vAlign w:val="center"/>
            <w:hideMark/>
          </w:tcPr>
          <w:p w14:paraId="11DB83E8" w14:textId="77777777" w:rsidR="00AD61FF" w:rsidRPr="00ED0FB0" w:rsidRDefault="00AD61FF">
            <w:pPr>
              <w:jc w:val="center"/>
            </w:pPr>
            <w:r w:rsidRPr="00ED0FB0">
              <w:t>1 690 735</w:t>
            </w:r>
          </w:p>
        </w:tc>
        <w:tc>
          <w:tcPr>
            <w:tcW w:w="1440" w:type="dxa"/>
            <w:tcBorders>
              <w:top w:val="nil"/>
              <w:left w:val="nil"/>
              <w:bottom w:val="single" w:sz="8" w:space="0" w:color="auto"/>
              <w:right w:val="single" w:sz="8" w:space="0" w:color="auto"/>
            </w:tcBorders>
            <w:shd w:val="clear" w:color="auto" w:fill="auto"/>
            <w:vAlign w:val="center"/>
            <w:hideMark/>
          </w:tcPr>
          <w:p w14:paraId="2D6008D7" w14:textId="77777777" w:rsidR="00AD61FF" w:rsidRPr="00ED0FB0" w:rsidRDefault="00AD61FF">
            <w:pPr>
              <w:jc w:val="center"/>
            </w:pPr>
            <w:r w:rsidRPr="00ED0FB0">
              <w:t>1 935 467</w:t>
            </w:r>
          </w:p>
        </w:tc>
      </w:tr>
      <w:tr w:rsidR="00AD61FF" w:rsidRPr="00AD61FF" w14:paraId="6D94E3FD" w14:textId="77777777" w:rsidTr="00860218">
        <w:trPr>
          <w:trHeight w:val="960"/>
          <w:jc w:val="center"/>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2628AFD5" w14:textId="77777777" w:rsidR="00AD61FF" w:rsidRPr="00ED0FB0" w:rsidRDefault="00AD61FF">
            <w:pPr>
              <w:jc w:val="right"/>
            </w:pPr>
            <w:r w:rsidRPr="00ED0FB0">
              <w:t>4.1. no uzņēmējdarbības riska valsts nodevas ieņēmumiem un atgūtajiem līdzekļiem</w:t>
            </w:r>
          </w:p>
        </w:tc>
        <w:tc>
          <w:tcPr>
            <w:tcW w:w="1520" w:type="dxa"/>
            <w:tcBorders>
              <w:top w:val="nil"/>
              <w:left w:val="nil"/>
              <w:bottom w:val="single" w:sz="8" w:space="0" w:color="auto"/>
              <w:right w:val="single" w:sz="8" w:space="0" w:color="auto"/>
            </w:tcBorders>
            <w:shd w:val="clear" w:color="auto" w:fill="auto"/>
            <w:vAlign w:val="center"/>
            <w:hideMark/>
          </w:tcPr>
          <w:p w14:paraId="01EE5560" w14:textId="77777777" w:rsidR="00AD61FF" w:rsidRPr="00ED0FB0" w:rsidRDefault="00AD61FF" w:rsidP="00661CD0">
            <w:pPr>
              <w:jc w:val="center"/>
            </w:pPr>
            <w:r w:rsidRPr="00ED0FB0">
              <w:t>1 454 99</w:t>
            </w:r>
            <w:r w:rsidR="00661CD0" w:rsidRPr="00ED0FB0">
              <w:t>9</w:t>
            </w:r>
          </w:p>
        </w:tc>
        <w:tc>
          <w:tcPr>
            <w:tcW w:w="1480" w:type="dxa"/>
            <w:tcBorders>
              <w:top w:val="nil"/>
              <w:left w:val="nil"/>
              <w:bottom w:val="single" w:sz="8" w:space="0" w:color="auto"/>
              <w:right w:val="single" w:sz="8" w:space="0" w:color="auto"/>
            </w:tcBorders>
            <w:shd w:val="clear" w:color="auto" w:fill="auto"/>
            <w:vAlign w:val="center"/>
            <w:hideMark/>
          </w:tcPr>
          <w:p w14:paraId="2F4DF2EE" w14:textId="77777777" w:rsidR="00AD61FF" w:rsidRPr="00ED0FB0" w:rsidRDefault="00AD61FF">
            <w:pPr>
              <w:jc w:val="center"/>
            </w:pPr>
            <w:r w:rsidRPr="00ED0FB0">
              <w:t>1 655 735</w:t>
            </w:r>
          </w:p>
        </w:tc>
        <w:tc>
          <w:tcPr>
            <w:tcW w:w="1440" w:type="dxa"/>
            <w:tcBorders>
              <w:top w:val="nil"/>
              <w:left w:val="nil"/>
              <w:bottom w:val="single" w:sz="8" w:space="0" w:color="auto"/>
              <w:right w:val="single" w:sz="8" w:space="0" w:color="auto"/>
            </w:tcBorders>
            <w:shd w:val="clear" w:color="auto" w:fill="auto"/>
            <w:vAlign w:val="center"/>
            <w:hideMark/>
          </w:tcPr>
          <w:p w14:paraId="5C6D7100" w14:textId="77777777" w:rsidR="00AD61FF" w:rsidRPr="00ED0FB0" w:rsidRDefault="00AD61FF">
            <w:pPr>
              <w:jc w:val="center"/>
            </w:pPr>
            <w:r w:rsidRPr="00ED0FB0">
              <w:t>1 900 467</w:t>
            </w:r>
          </w:p>
        </w:tc>
      </w:tr>
      <w:tr w:rsidR="00AD61FF" w:rsidRPr="00AD61FF" w14:paraId="67AF9F9A" w14:textId="77777777" w:rsidTr="00860218">
        <w:trPr>
          <w:trHeight w:val="735"/>
          <w:jc w:val="center"/>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03FB5CB2" w14:textId="77777777" w:rsidR="00AD61FF" w:rsidRPr="00ED0FB0" w:rsidRDefault="00AD61FF">
            <w:pPr>
              <w:jc w:val="right"/>
            </w:pPr>
            <w:r w:rsidRPr="00ED0FB0">
              <w:t xml:space="preserve">4.2. no iepriekšējo gadu atlikuma janvāra sākuma prasījumu segšanai, </w:t>
            </w:r>
            <w:r w:rsidRPr="00ED0FB0">
              <w:rPr>
                <w:i/>
                <w:iCs/>
              </w:rPr>
              <w:t>euro</w:t>
            </w:r>
          </w:p>
        </w:tc>
        <w:tc>
          <w:tcPr>
            <w:tcW w:w="1520" w:type="dxa"/>
            <w:tcBorders>
              <w:top w:val="nil"/>
              <w:left w:val="nil"/>
              <w:bottom w:val="single" w:sz="8" w:space="0" w:color="auto"/>
              <w:right w:val="single" w:sz="8" w:space="0" w:color="auto"/>
            </w:tcBorders>
            <w:shd w:val="clear" w:color="auto" w:fill="auto"/>
            <w:vAlign w:val="center"/>
            <w:hideMark/>
          </w:tcPr>
          <w:p w14:paraId="5D1FCED6" w14:textId="77777777" w:rsidR="00AD61FF" w:rsidRPr="00ED0FB0" w:rsidRDefault="00AD61FF">
            <w:pPr>
              <w:jc w:val="center"/>
            </w:pPr>
            <w:r w:rsidRPr="00ED0FB0">
              <w:t>35 000</w:t>
            </w:r>
          </w:p>
        </w:tc>
        <w:tc>
          <w:tcPr>
            <w:tcW w:w="1480" w:type="dxa"/>
            <w:tcBorders>
              <w:top w:val="nil"/>
              <w:left w:val="nil"/>
              <w:bottom w:val="single" w:sz="8" w:space="0" w:color="auto"/>
              <w:right w:val="single" w:sz="8" w:space="0" w:color="auto"/>
            </w:tcBorders>
            <w:shd w:val="clear" w:color="auto" w:fill="auto"/>
            <w:vAlign w:val="center"/>
            <w:hideMark/>
          </w:tcPr>
          <w:p w14:paraId="284ECE19" w14:textId="77777777" w:rsidR="00AD61FF" w:rsidRPr="00ED0FB0" w:rsidRDefault="00AD61FF">
            <w:pPr>
              <w:jc w:val="center"/>
            </w:pPr>
            <w:r w:rsidRPr="00ED0FB0">
              <w:t>35 000</w:t>
            </w:r>
          </w:p>
        </w:tc>
        <w:tc>
          <w:tcPr>
            <w:tcW w:w="1440" w:type="dxa"/>
            <w:tcBorders>
              <w:top w:val="nil"/>
              <w:left w:val="nil"/>
              <w:bottom w:val="single" w:sz="8" w:space="0" w:color="auto"/>
              <w:right w:val="single" w:sz="8" w:space="0" w:color="auto"/>
            </w:tcBorders>
            <w:shd w:val="clear" w:color="auto" w:fill="auto"/>
            <w:vAlign w:val="center"/>
            <w:hideMark/>
          </w:tcPr>
          <w:p w14:paraId="72454D33" w14:textId="77777777" w:rsidR="00AD61FF" w:rsidRPr="00ED0FB0" w:rsidRDefault="00AD61FF">
            <w:pPr>
              <w:jc w:val="center"/>
            </w:pPr>
            <w:r w:rsidRPr="00ED0FB0">
              <w:t>35 000</w:t>
            </w:r>
          </w:p>
        </w:tc>
      </w:tr>
      <w:tr w:rsidR="00AD61FF" w:rsidRPr="00AD61FF" w14:paraId="14DCE34B" w14:textId="77777777" w:rsidTr="00860218">
        <w:trPr>
          <w:trHeight w:val="750"/>
          <w:jc w:val="center"/>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578ABD5F" w14:textId="77777777" w:rsidR="00AD61FF" w:rsidRPr="00ED0FB0" w:rsidRDefault="00AD61FF">
            <w:r w:rsidRPr="00ED0FB0">
              <w:t>5.</w:t>
            </w:r>
            <w:r w:rsidR="00ED0FB0" w:rsidRPr="00ED0FB0">
              <w:t xml:space="preserve"> </w:t>
            </w:r>
            <w:r w:rsidRPr="00ED0FB0">
              <w:t xml:space="preserve">Administratora atlīdzība par darbinieku prasījumu iesniegšanu, </w:t>
            </w:r>
            <w:r w:rsidRPr="00ED0FB0">
              <w:rPr>
                <w:i/>
                <w:iCs/>
              </w:rPr>
              <w:t>euro</w:t>
            </w:r>
          </w:p>
        </w:tc>
        <w:tc>
          <w:tcPr>
            <w:tcW w:w="1520" w:type="dxa"/>
            <w:tcBorders>
              <w:top w:val="nil"/>
              <w:left w:val="nil"/>
              <w:bottom w:val="single" w:sz="8" w:space="0" w:color="auto"/>
              <w:right w:val="single" w:sz="8" w:space="0" w:color="auto"/>
            </w:tcBorders>
            <w:shd w:val="clear" w:color="auto" w:fill="auto"/>
            <w:vAlign w:val="center"/>
            <w:hideMark/>
          </w:tcPr>
          <w:p w14:paraId="008FCAF8" w14:textId="77777777" w:rsidR="00AD61FF" w:rsidRPr="00ED0FB0" w:rsidRDefault="00AD61FF">
            <w:pPr>
              <w:jc w:val="center"/>
            </w:pPr>
            <w:r w:rsidRPr="00ED0FB0">
              <w:t>10 554</w:t>
            </w:r>
          </w:p>
        </w:tc>
        <w:tc>
          <w:tcPr>
            <w:tcW w:w="1480" w:type="dxa"/>
            <w:tcBorders>
              <w:top w:val="nil"/>
              <w:left w:val="nil"/>
              <w:bottom w:val="single" w:sz="8" w:space="0" w:color="auto"/>
              <w:right w:val="single" w:sz="8" w:space="0" w:color="auto"/>
            </w:tcBorders>
            <w:shd w:val="clear" w:color="auto" w:fill="auto"/>
            <w:vAlign w:val="center"/>
            <w:hideMark/>
          </w:tcPr>
          <w:p w14:paraId="276A3D53" w14:textId="77777777" w:rsidR="00AD61FF" w:rsidRPr="00ED0FB0" w:rsidRDefault="00AD61FF">
            <w:pPr>
              <w:jc w:val="center"/>
            </w:pPr>
            <w:r w:rsidRPr="00ED0FB0">
              <w:t>10 989</w:t>
            </w:r>
          </w:p>
        </w:tc>
        <w:tc>
          <w:tcPr>
            <w:tcW w:w="1440" w:type="dxa"/>
            <w:tcBorders>
              <w:top w:val="nil"/>
              <w:left w:val="nil"/>
              <w:bottom w:val="single" w:sz="8" w:space="0" w:color="auto"/>
              <w:right w:val="single" w:sz="8" w:space="0" w:color="auto"/>
            </w:tcBorders>
            <w:shd w:val="clear" w:color="auto" w:fill="auto"/>
            <w:vAlign w:val="center"/>
            <w:hideMark/>
          </w:tcPr>
          <w:p w14:paraId="31BF5998" w14:textId="77777777" w:rsidR="00AD61FF" w:rsidRPr="00ED0FB0" w:rsidRDefault="00AD61FF">
            <w:pPr>
              <w:jc w:val="center"/>
            </w:pPr>
            <w:r w:rsidRPr="00ED0FB0">
              <w:t>11 533</w:t>
            </w:r>
          </w:p>
        </w:tc>
      </w:tr>
      <w:tr w:rsidR="00AD61FF" w:rsidRPr="00AD61FF" w14:paraId="4D29EBAA" w14:textId="77777777" w:rsidTr="00860218">
        <w:trPr>
          <w:trHeight w:val="330"/>
          <w:jc w:val="center"/>
        </w:trPr>
        <w:tc>
          <w:tcPr>
            <w:tcW w:w="4020" w:type="dxa"/>
            <w:tcBorders>
              <w:top w:val="nil"/>
              <w:left w:val="single" w:sz="8" w:space="0" w:color="auto"/>
              <w:bottom w:val="single" w:sz="8" w:space="0" w:color="auto"/>
              <w:right w:val="single" w:sz="8" w:space="0" w:color="auto"/>
            </w:tcBorders>
            <w:shd w:val="clear" w:color="auto" w:fill="auto"/>
            <w:noWrap/>
            <w:vAlign w:val="center"/>
            <w:hideMark/>
          </w:tcPr>
          <w:p w14:paraId="79085F84" w14:textId="77777777" w:rsidR="00AD61FF" w:rsidRPr="00ED0FB0" w:rsidRDefault="00AD61FF">
            <w:pPr>
              <w:rPr>
                <w:b/>
                <w:bCs/>
              </w:rPr>
            </w:pPr>
            <w:r w:rsidRPr="00ED0FB0">
              <w:rPr>
                <w:b/>
                <w:bCs/>
              </w:rPr>
              <w:t xml:space="preserve">6. Kopā izdevumi, </w:t>
            </w:r>
            <w:r w:rsidRPr="00ED0FB0">
              <w:rPr>
                <w:b/>
                <w:bCs/>
                <w:i/>
                <w:iCs/>
              </w:rPr>
              <w:t>euro</w:t>
            </w:r>
            <w:r w:rsidRPr="00ED0FB0">
              <w:rPr>
                <w:b/>
                <w:bCs/>
              </w:rPr>
              <w:t xml:space="preserve"> (4.+5.)</w:t>
            </w:r>
          </w:p>
        </w:tc>
        <w:tc>
          <w:tcPr>
            <w:tcW w:w="1520" w:type="dxa"/>
            <w:tcBorders>
              <w:top w:val="nil"/>
              <w:left w:val="nil"/>
              <w:bottom w:val="single" w:sz="8" w:space="0" w:color="auto"/>
              <w:right w:val="single" w:sz="8" w:space="0" w:color="auto"/>
            </w:tcBorders>
            <w:shd w:val="clear" w:color="auto" w:fill="auto"/>
            <w:noWrap/>
            <w:vAlign w:val="center"/>
            <w:hideMark/>
          </w:tcPr>
          <w:p w14:paraId="5145340A" w14:textId="77777777" w:rsidR="00AD61FF" w:rsidRPr="00ED0FB0" w:rsidRDefault="00AD61FF" w:rsidP="001740C9">
            <w:pPr>
              <w:jc w:val="right"/>
              <w:rPr>
                <w:b/>
                <w:bCs/>
              </w:rPr>
            </w:pPr>
            <w:r w:rsidRPr="00ED0FB0">
              <w:rPr>
                <w:b/>
                <w:bCs/>
              </w:rPr>
              <w:t>1 500 55</w:t>
            </w:r>
            <w:r w:rsidR="001740C9" w:rsidRPr="00ED0FB0">
              <w:rPr>
                <w:b/>
                <w:bCs/>
              </w:rPr>
              <w:t>3</w:t>
            </w:r>
          </w:p>
        </w:tc>
        <w:tc>
          <w:tcPr>
            <w:tcW w:w="1480" w:type="dxa"/>
            <w:tcBorders>
              <w:top w:val="nil"/>
              <w:left w:val="nil"/>
              <w:bottom w:val="single" w:sz="8" w:space="0" w:color="auto"/>
              <w:right w:val="single" w:sz="8" w:space="0" w:color="auto"/>
            </w:tcBorders>
            <w:shd w:val="clear" w:color="auto" w:fill="auto"/>
            <w:noWrap/>
            <w:vAlign w:val="center"/>
            <w:hideMark/>
          </w:tcPr>
          <w:p w14:paraId="66EA4736" w14:textId="77777777" w:rsidR="00AD61FF" w:rsidRPr="00ED0FB0" w:rsidRDefault="00AD61FF">
            <w:pPr>
              <w:jc w:val="right"/>
              <w:rPr>
                <w:b/>
                <w:bCs/>
              </w:rPr>
            </w:pPr>
            <w:r w:rsidRPr="00ED0FB0">
              <w:rPr>
                <w:b/>
                <w:bCs/>
              </w:rPr>
              <w:t>1 701 724</w:t>
            </w:r>
          </w:p>
        </w:tc>
        <w:tc>
          <w:tcPr>
            <w:tcW w:w="1440" w:type="dxa"/>
            <w:tcBorders>
              <w:top w:val="nil"/>
              <w:left w:val="nil"/>
              <w:bottom w:val="single" w:sz="8" w:space="0" w:color="auto"/>
              <w:right w:val="single" w:sz="8" w:space="0" w:color="auto"/>
            </w:tcBorders>
            <w:shd w:val="clear" w:color="auto" w:fill="auto"/>
            <w:noWrap/>
            <w:vAlign w:val="center"/>
            <w:hideMark/>
          </w:tcPr>
          <w:p w14:paraId="44BACBD1" w14:textId="77777777" w:rsidR="00AD61FF" w:rsidRPr="00ED0FB0" w:rsidRDefault="00AD61FF">
            <w:pPr>
              <w:jc w:val="right"/>
              <w:rPr>
                <w:b/>
                <w:bCs/>
              </w:rPr>
            </w:pPr>
            <w:r w:rsidRPr="00ED0FB0">
              <w:rPr>
                <w:b/>
                <w:bCs/>
              </w:rPr>
              <w:t>1 947 000</w:t>
            </w:r>
          </w:p>
        </w:tc>
      </w:tr>
      <w:tr w:rsidR="00AD61FF" w:rsidRPr="00AD61FF" w14:paraId="4F955F69" w14:textId="77777777" w:rsidTr="00860218">
        <w:trPr>
          <w:trHeight w:val="900"/>
          <w:jc w:val="center"/>
        </w:trPr>
        <w:tc>
          <w:tcPr>
            <w:tcW w:w="4020" w:type="dxa"/>
            <w:tcBorders>
              <w:top w:val="nil"/>
              <w:left w:val="single" w:sz="8" w:space="0" w:color="auto"/>
              <w:bottom w:val="single" w:sz="8" w:space="0" w:color="auto"/>
              <w:right w:val="single" w:sz="8" w:space="0" w:color="auto"/>
            </w:tcBorders>
            <w:shd w:val="clear" w:color="auto" w:fill="auto"/>
            <w:vAlign w:val="center"/>
            <w:hideMark/>
          </w:tcPr>
          <w:p w14:paraId="5C42B152" w14:textId="77777777" w:rsidR="00AD61FF" w:rsidRPr="00ED0FB0" w:rsidRDefault="00AD61FF">
            <w:r w:rsidRPr="00ED0FB0">
              <w:t xml:space="preserve">7. Atlikums </w:t>
            </w:r>
            <w:r w:rsidR="00FF1BEA">
              <w:t>–</w:t>
            </w:r>
            <w:r w:rsidRPr="00ED0FB0">
              <w:t xml:space="preserve"> darbinieku prasījumu garantiju fonda uzkrājuma veidošanai (3.</w:t>
            </w:r>
            <w:r w:rsidR="00FF1BEA">
              <w:t xml:space="preserve"> – </w:t>
            </w:r>
            <w:r w:rsidRPr="00ED0FB0">
              <w:t>6.)</w:t>
            </w:r>
          </w:p>
        </w:tc>
        <w:tc>
          <w:tcPr>
            <w:tcW w:w="1520" w:type="dxa"/>
            <w:tcBorders>
              <w:top w:val="nil"/>
              <w:left w:val="nil"/>
              <w:bottom w:val="single" w:sz="8" w:space="0" w:color="auto"/>
              <w:right w:val="single" w:sz="8" w:space="0" w:color="auto"/>
            </w:tcBorders>
            <w:shd w:val="clear" w:color="auto" w:fill="auto"/>
            <w:noWrap/>
            <w:vAlign w:val="center"/>
            <w:hideMark/>
          </w:tcPr>
          <w:p w14:paraId="05998B75" w14:textId="77777777" w:rsidR="00AD61FF" w:rsidRPr="00ED0FB0" w:rsidRDefault="00AD61FF" w:rsidP="001740C9">
            <w:pPr>
              <w:jc w:val="center"/>
            </w:pPr>
            <w:r w:rsidRPr="00ED0FB0">
              <w:t>1 224 84</w:t>
            </w:r>
            <w:r w:rsidR="001740C9" w:rsidRPr="00ED0FB0">
              <w:t>4</w:t>
            </w:r>
          </w:p>
        </w:tc>
        <w:tc>
          <w:tcPr>
            <w:tcW w:w="1480" w:type="dxa"/>
            <w:tcBorders>
              <w:top w:val="nil"/>
              <w:left w:val="nil"/>
              <w:bottom w:val="single" w:sz="8" w:space="0" w:color="auto"/>
              <w:right w:val="single" w:sz="8" w:space="0" w:color="auto"/>
            </w:tcBorders>
            <w:shd w:val="clear" w:color="auto" w:fill="auto"/>
            <w:noWrap/>
            <w:vAlign w:val="center"/>
            <w:hideMark/>
          </w:tcPr>
          <w:p w14:paraId="6E87B3DC" w14:textId="77777777" w:rsidR="00AD61FF" w:rsidRPr="00ED0FB0" w:rsidRDefault="00AD61FF" w:rsidP="001740C9">
            <w:pPr>
              <w:jc w:val="center"/>
            </w:pPr>
            <w:r w:rsidRPr="00ED0FB0">
              <w:t>1 026 71</w:t>
            </w:r>
            <w:r w:rsidR="001740C9" w:rsidRPr="00ED0FB0">
              <w:t>8</w:t>
            </w:r>
          </w:p>
        </w:tc>
        <w:tc>
          <w:tcPr>
            <w:tcW w:w="1440" w:type="dxa"/>
            <w:tcBorders>
              <w:top w:val="nil"/>
              <w:left w:val="nil"/>
              <w:bottom w:val="single" w:sz="8" w:space="0" w:color="auto"/>
              <w:right w:val="single" w:sz="8" w:space="0" w:color="auto"/>
            </w:tcBorders>
            <w:shd w:val="clear" w:color="auto" w:fill="auto"/>
            <w:noWrap/>
            <w:vAlign w:val="center"/>
            <w:hideMark/>
          </w:tcPr>
          <w:p w14:paraId="670BED24" w14:textId="77777777" w:rsidR="00AD61FF" w:rsidRPr="00ED0FB0" w:rsidRDefault="00AD61FF" w:rsidP="001740C9">
            <w:pPr>
              <w:jc w:val="center"/>
            </w:pPr>
            <w:r w:rsidRPr="00ED0FB0">
              <w:t>784 48</w:t>
            </w:r>
            <w:r w:rsidR="001740C9" w:rsidRPr="00ED0FB0">
              <w:t>8</w:t>
            </w:r>
          </w:p>
        </w:tc>
      </w:tr>
    </w:tbl>
    <w:p w14:paraId="307A171D" w14:textId="77777777" w:rsidR="00C02CAA" w:rsidRPr="005A6D3B" w:rsidRDefault="00C02CAA" w:rsidP="00334B52">
      <w:pPr>
        <w:ind w:firstLine="720"/>
        <w:jc w:val="center"/>
        <w:rPr>
          <w:sz w:val="28"/>
          <w:szCs w:val="28"/>
        </w:rPr>
      </w:pPr>
    </w:p>
    <w:p w14:paraId="56D57073" w14:textId="77777777" w:rsidR="00C02CAA" w:rsidRPr="00291B52" w:rsidRDefault="00C02CAA" w:rsidP="00291B52">
      <w:pPr>
        <w:ind w:firstLine="720"/>
        <w:jc w:val="both"/>
      </w:pPr>
      <w:r w:rsidRPr="00291B52">
        <w:t>URVN apmērs 201</w:t>
      </w:r>
      <w:r w:rsidR="008940C0" w:rsidRPr="00291B52">
        <w:t>7</w:t>
      </w:r>
      <w:r w:rsidRPr="00291B52">
        <w:t>.</w:t>
      </w:r>
      <w:r w:rsidR="00FF1BEA">
        <w:t>–</w:t>
      </w:r>
      <w:r w:rsidRPr="00291B52">
        <w:t>201</w:t>
      </w:r>
      <w:r w:rsidR="008940C0" w:rsidRPr="00291B52">
        <w:t>9</w:t>
      </w:r>
      <w:r w:rsidRPr="00291B52">
        <w:t>.gadā</w:t>
      </w:r>
      <w:r w:rsidR="008940C0" w:rsidRPr="00291B52">
        <w:t xml:space="preserve"> </w:t>
      </w:r>
      <w:r w:rsidRPr="00291B52">
        <w:t>tiek plānots</w:t>
      </w:r>
      <w:r w:rsidR="008940C0" w:rsidRPr="00291B52">
        <w:t xml:space="preserve"> </w:t>
      </w:r>
      <w:r w:rsidRPr="00291B52">
        <w:t>nemainīgs 0,36</w:t>
      </w:r>
      <w:r w:rsidR="00DD76C5" w:rsidRPr="00291B52">
        <w:t xml:space="preserve"> </w:t>
      </w:r>
      <w:r w:rsidRPr="00291B52">
        <w:rPr>
          <w:i/>
        </w:rPr>
        <w:t>euro</w:t>
      </w:r>
      <w:r w:rsidRPr="00291B52">
        <w:t xml:space="preserve"> mēnesī, ko aprēķina par katru darbinieku, ar kuru nodibinātas darba tiesiskās attiecības. Kā redzams no 2</w:t>
      </w:r>
      <w:r w:rsidR="00BE02D4" w:rsidRPr="00291B52">
        <w:t>8</w:t>
      </w:r>
      <w:r w:rsidRPr="00291B52">
        <w:t>.tabulā</w:t>
      </w:r>
      <w:r w:rsidR="008940C0" w:rsidRPr="00291B52">
        <w:t xml:space="preserve"> </w:t>
      </w:r>
      <w:r w:rsidRPr="00291B52">
        <w:t>apkopotās informācijas, šāds URVN apmērs turpmākajos gados ļaus pilnībā nosegt plānotos izdevumus, kas tiek finansēti no šīs nodevas, un katru gadu veidosies darbinieku prasījumu garantiju fonda atlikuma uzkrājums, kuru varēs izmantot turpmākajos gados.</w:t>
      </w:r>
      <w:r w:rsidR="008940C0" w:rsidRPr="00291B52">
        <w:t xml:space="preserve"> </w:t>
      </w:r>
      <w:r w:rsidRPr="00291B52">
        <w:t xml:space="preserve">Uzkrājums nepieciešams situācijās, kad valsti skar ekonomiskā krīze, kuras rezultātā pieaug darbinieku, kuru darba devējs ir kļuvis maksātnespējīgs, skaits, </w:t>
      </w:r>
      <w:r w:rsidR="00FF1BEA">
        <w:t>–</w:t>
      </w:r>
      <w:r w:rsidRPr="00291B52">
        <w:t xml:space="preserve"> tādā situācijā darbinieku prasījumu garantiju fonda līdzekļi ir pietiekami, lai nosegtu šādus prasījumus.</w:t>
      </w:r>
      <w:r w:rsidR="008940C0" w:rsidRPr="00291B52">
        <w:t xml:space="preserve"> </w:t>
      </w:r>
      <w:r w:rsidRPr="00291B52">
        <w:t>Tāpat uzkrājums var būt nepieciešams, ja maksātnespējīgs kļūst uzņēmums ar lielu (virs 500) nodarbināto skaitu. Respektīvi, darbinieku prasījumu garantiju fonda finansējums ir jānosaka un jāadministrē tā, lai tajā visu laiku būtu pietiekami līdzekļ</w:t>
      </w:r>
      <w:r w:rsidR="00203E32" w:rsidRPr="00291B52">
        <w:t>u</w:t>
      </w:r>
      <w:r w:rsidRPr="00291B52">
        <w:t xml:space="preserve"> kārtējo darbinieku prasījumu segšanai</w:t>
      </w:r>
      <w:r w:rsidR="008940C0" w:rsidRPr="00291B52">
        <w:t xml:space="preserve"> </w:t>
      </w:r>
      <w:r w:rsidRPr="00291B52">
        <w:t>un veidotos vai saglabātos uzkrājums, kurš attiecīgajos ekonomikas krīzes posmos palīdzētu vismaz daļēji kompensēt maksātnespējas rezultātā radušos zaudējumus darbiniekiem.</w:t>
      </w:r>
    </w:p>
    <w:p w14:paraId="5547DF77" w14:textId="77777777" w:rsidR="00C02CAA" w:rsidRPr="00291B52" w:rsidRDefault="00D675E8" w:rsidP="00291B52">
      <w:pPr>
        <w:ind w:firstLine="720"/>
        <w:jc w:val="both"/>
      </w:pPr>
      <w:r w:rsidRPr="00291B52">
        <w:t>Tas, ka šādam uzkrājumam ir liela nozīme, pierādījās vairākkārt, piemēram, periodā no 2009.</w:t>
      </w:r>
      <w:r w:rsidR="00F64356" w:rsidRPr="00291B52">
        <w:t xml:space="preserve"> </w:t>
      </w:r>
      <w:r w:rsidR="00FF1BEA">
        <w:t xml:space="preserve">līdz </w:t>
      </w:r>
      <w:r w:rsidRPr="00291B52">
        <w:t>2011.gadam atlikuma uzkrājum</w:t>
      </w:r>
      <w:r w:rsidR="00F64356" w:rsidRPr="00291B52">
        <w:t>a</w:t>
      </w:r>
      <w:r w:rsidRPr="00291B52">
        <w:t xml:space="preserve"> pieejam</w:t>
      </w:r>
      <w:r w:rsidR="00F64356" w:rsidRPr="00291B52">
        <w:t>ības dēļ</w:t>
      </w:r>
      <w:r w:rsidRPr="00291B52">
        <w:t xml:space="preserve"> bija iespējams nosegt pieaugošo darbinieku prasījumu apjomu. Savukārt līdz 2011.gada beigām darbinieku prasījumu garantiju fondā atlikuma uzkrājums 624 601 </w:t>
      </w:r>
      <w:r w:rsidRPr="00291B52">
        <w:rPr>
          <w:i/>
        </w:rPr>
        <w:t>euro</w:t>
      </w:r>
      <w:r w:rsidRPr="00291B52">
        <w:t xml:space="preserve"> izveidojās, jo normalizējās (izlīdzinājās, salīdzinot ar iepriekšējiem gadiem) darbinieku prasījumu iesniegšana, kā arī samazinājās vidējā izmaksājamā summa vienam darbiniekam. Turpmākajos gados arī veidojās atlikuma uzkrājums – 2012.gada beigās – 1 731 426 </w:t>
      </w:r>
      <w:r w:rsidRPr="00291B52">
        <w:rPr>
          <w:i/>
        </w:rPr>
        <w:t>euro</w:t>
      </w:r>
      <w:r w:rsidRPr="00291B52">
        <w:t xml:space="preserve">, 2013.gadā – 4 037 211 </w:t>
      </w:r>
      <w:r w:rsidRPr="00291B52">
        <w:rPr>
          <w:i/>
        </w:rPr>
        <w:t>euro</w:t>
      </w:r>
      <w:r w:rsidRPr="00291B52">
        <w:t xml:space="preserve">, 2014.gadā – 4 261 369 </w:t>
      </w:r>
      <w:r w:rsidRPr="00291B52">
        <w:rPr>
          <w:i/>
        </w:rPr>
        <w:t xml:space="preserve">euro, </w:t>
      </w:r>
      <w:r w:rsidRPr="00291B52">
        <w:t>2015.gadā – 7 314 740</w:t>
      </w:r>
      <w:r w:rsidRPr="00291B52">
        <w:rPr>
          <w:i/>
        </w:rPr>
        <w:t xml:space="preserve"> euro</w:t>
      </w:r>
      <w:r w:rsidRPr="00291B52">
        <w:t>.</w:t>
      </w:r>
    </w:p>
    <w:p w14:paraId="4154C374" w14:textId="77777777" w:rsidR="00C02CAA" w:rsidRPr="00291B52" w:rsidRDefault="00C02CAA" w:rsidP="00291B52">
      <w:pPr>
        <w:ind w:firstLine="720"/>
        <w:jc w:val="both"/>
      </w:pPr>
      <w:r w:rsidRPr="00291B52">
        <w:t xml:space="preserve">Papildus norādāms, ka Satversmes tiesas </w:t>
      </w:r>
      <w:r w:rsidR="007504F6" w:rsidRPr="00291B52">
        <w:t xml:space="preserve">2011.gada 10.jūnija </w:t>
      </w:r>
      <w:r w:rsidRPr="00291B52">
        <w:t>spriedum</w:t>
      </w:r>
      <w:r w:rsidR="007504F6" w:rsidRPr="00291B52">
        <w:t>a lietā Nr.2010-69-01</w:t>
      </w:r>
      <w:r w:rsidRPr="00291B52">
        <w:t xml:space="preserve"> norādīts, ka likumdevējam jāapsver iespēja noteikt tādu URVN, kas spētu nodrošināt darbinieku prasījumu garantiju fonda funkcionēšanu ilgtermiņā bez valsts budžeta līdzekļu piesaistīšanas.</w:t>
      </w:r>
      <w:r w:rsidR="004B7E50" w:rsidRPr="00291B52">
        <w:t xml:space="preserve"> </w:t>
      </w:r>
      <w:r w:rsidRPr="00291B52">
        <w:t>Izvairīties no valsts budžeta līdzekļu piesaistīšanas iespējams, atlikumu uzkrājot un to noturot zināmā noteiktā līmenī ilgtermiņā vairāku gadu garumā</w:t>
      </w:r>
      <w:r w:rsidR="004B7E50" w:rsidRPr="00291B52">
        <w:t>.</w:t>
      </w:r>
    </w:p>
    <w:p w14:paraId="6BDB1034" w14:textId="77777777" w:rsidR="00C02CAA" w:rsidRPr="00291B52" w:rsidRDefault="00C02CAA" w:rsidP="00291B52">
      <w:pPr>
        <w:ind w:firstLine="720"/>
        <w:jc w:val="both"/>
      </w:pPr>
    </w:p>
    <w:p w14:paraId="4E099DA4" w14:textId="77777777" w:rsidR="00C02CAA" w:rsidRPr="00291B52" w:rsidRDefault="00C02CAA" w:rsidP="00291B52">
      <w:pPr>
        <w:pStyle w:val="Heading1"/>
        <w:numPr>
          <w:ilvl w:val="0"/>
          <w:numId w:val="0"/>
        </w:numPr>
        <w:spacing w:before="0" w:after="0"/>
        <w:ind w:firstLine="720"/>
        <w:jc w:val="both"/>
        <w:rPr>
          <w:rFonts w:ascii="Times New Roman" w:hAnsi="Times New Roman" w:cs="Times New Roman"/>
          <w:sz w:val="24"/>
          <w:szCs w:val="24"/>
        </w:rPr>
      </w:pPr>
      <w:bookmarkStart w:id="84" w:name="_Toc410048289"/>
      <w:bookmarkStart w:id="85" w:name="_Toc414279035"/>
      <w:bookmarkStart w:id="86" w:name="_Toc453263325"/>
      <w:r w:rsidRPr="00291B52">
        <w:rPr>
          <w:rFonts w:ascii="Times New Roman" w:hAnsi="Times New Roman"/>
          <w:iCs/>
          <w:sz w:val="24"/>
          <w:szCs w:val="24"/>
        </w:rPr>
        <w:t>II.Turpmākā rīcība ar URVN</w:t>
      </w:r>
      <w:r w:rsidR="0025500F" w:rsidRPr="00291B52">
        <w:rPr>
          <w:rFonts w:ascii="Times New Roman" w:hAnsi="Times New Roman"/>
          <w:iCs/>
          <w:sz w:val="24"/>
          <w:szCs w:val="24"/>
        </w:rPr>
        <w:t xml:space="preserve"> </w:t>
      </w:r>
      <w:bookmarkEnd w:id="84"/>
      <w:bookmarkEnd w:id="85"/>
      <w:r w:rsidR="006572F2" w:rsidRPr="00291B52">
        <w:rPr>
          <w:rFonts w:ascii="Times New Roman" w:hAnsi="Times New Roman" w:cs="Times New Roman"/>
          <w:sz w:val="24"/>
          <w:szCs w:val="24"/>
        </w:rPr>
        <w:t>plānošanu</w:t>
      </w:r>
      <w:bookmarkEnd w:id="86"/>
    </w:p>
    <w:p w14:paraId="61F17511" w14:textId="77777777" w:rsidR="00EB5DDA" w:rsidRPr="00291B52" w:rsidRDefault="00EB5DDA" w:rsidP="00291B52">
      <w:pPr>
        <w:tabs>
          <w:tab w:val="left" w:pos="720"/>
        </w:tabs>
        <w:ind w:firstLine="720"/>
        <w:jc w:val="both"/>
      </w:pPr>
      <w:r w:rsidRPr="00291B52">
        <w:t>Ņemot vērā, ka URVN apmērs nav mainījies vienpadsmit gadus kopš 2006.gada, kad tas tika noteikts 0</w:t>
      </w:r>
      <w:r w:rsidR="00FF1BEA">
        <w:t>,</w:t>
      </w:r>
      <w:r w:rsidRPr="00291B52">
        <w:t xml:space="preserve">36 </w:t>
      </w:r>
      <w:r w:rsidRPr="00291B52">
        <w:rPr>
          <w:i/>
        </w:rPr>
        <w:t>euro</w:t>
      </w:r>
      <w:r w:rsidRPr="00291B52">
        <w:t xml:space="preserve"> mēnesī par katru darbinieku, ar kuru nodibinātas darba tiesiskās attiecības, konstatējams, ka URVN apmērs 0</w:t>
      </w:r>
      <w:r w:rsidR="00FF1BEA">
        <w:t>,</w:t>
      </w:r>
      <w:r w:rsidRPr="00291B52">
        <w:t xml:space="preserve">36 </w:t>
      </w:r>
      <w:r w:rsidRPr="00291B52">
        <w:rPr>
          <w:i/>
        </w:rPr>
        <w:t>euro</w:t>
      </w:r>
      <w:r w:rsidRPr="00291B52">
        <w:t xml:space="preserve"> mēnesī ir optimāls Latvijas uzņēmējdarbības norisei (maksātnespējas process kā viens no uzņēmējdarbības izbeigšanās veidiem) un nodrošina URVN izveidošanas mērķu sasniegšanu un šobrīd ir pietiekams visu nepieciešamo funkciju finansēšanai. Veidojot turpmāko URVN attīstības politiku, kā svarīgākais URVN apmēra rādītājs būtu jānosaka noteikta apjoma atlikuma uzkrājums, kā arī URVN ieņēmumu sadalījums noteikto funkciju finansēšanai.</w:t>
      </w:r>
    </w:p>
    <w:p w14:paraId="0724FAE0" w14:textId="77777777" w:rsidR="00C02CAA" w:rsidRPr="00291B52" w:rsidRDefault="00EB5DDA" w:rsidP="00291B52">
      <w:pPr>
        <w:tabs>
          <w:tab w:val="left" w:pos="720"/>
        </w:tabs>
        <w:ind w:firstLine="720"/>
        <w:jc w:val="both"/>
      </w:pPr>
      <w:r w:rsidRPr="00291B52">
        <w:t xml:space="preserve">Analizējot informāciju par darbinieku prasījumu segšanu pa gadiem, konstatējams, ka 2009.gada krīzes skarto maksātnespējīgo uzņēmumu darbinieku prasījumu segšanai bija nepieciešami vairāk kā 4,3 miljoni </w:t>
      </w:r>
      <w:r w:rsidRPr="00291B52">
        <w:rPr>
          <w:i/>
        </w:rPr>
        <w:t>euro</w:t>
      </w:r>
      <w:r w:rsidRPr="00291B52">
        <w:t xml:space="preserve">. </w:t>
      </w:r>
      <w:r w:rsidR="00A270AD" w:rsidRPr="00291B52">
        <w:t>Savukārt</w:t>
      </w:r>
      <w:r w:rsidRPr="00291B52">
        <w:t xml:space="preserve"> vislielākie viena gada faktiskie izdevumi ir bijuši 2010.gadā – vairāk kā 4 miljoni </w:t>
      </w:r>
      <w:r w:rsidRPr="00291B52">
        <w:rPr>
          <w:i/>
        </w:rPr>
        <w:t>euro</w:t>
      </w:r>
      <w:r w:rsidRPr="00291B52">
        <w:t xml:space="preserve">. Tātad vienam gadam nepieciešamā summa darbinieku prasījumu segšanai var sasniegt 4,5 miljonus </w:t>
      </w:r>
      <w:r w:rsidRPr="00291B52">
        <w:rPr>
          <w:i/>
        </w:rPr>
        <w:t>euro</w:t>
      </w:r>
      <w:r w:rsidRPr="00291B52">
        <w:t>, kas ir nepieciešamā atlikuma uzkrājuma pamata rādītājs.</w:t>
      </w:r>
    </w:p>
    <w:p w14:paraId="30B913DB" w14:textId="77777777" w:rsidR="00C02CAA" w:rsidRPr="00291B52" w:rsidRDefault="00C02CAA" w:rsidP="00291B52">
      <w:pPr>
        <w:ind w:firstLine="720"/>
        <w:jc w:val="both"/>
      </w:pPr>
      <w:r w:rsidRPr="00291B52">
        <w:t xml:space="preserve">Jāņem vērā arī fakts, ka krīze atstāj ilgstošu iedarbību uz uzņēmējdarbības vidi. Krīzes rezultātā samazinās to darbinieku skaits, par kuriem tiek maksāta URVN, tādējādi samazinot kopējos ieņēmumus no URVN, kā to apliecina </w:t>
      </w:r>
      <w:r w:rsidR="00B177A5" w:rsidRPr="00291B52">
        <w:t>13</w:t>
      </w:r>
      <w:r w:rsidRPr="00291B52">
        <w:t>.tabulā redzamā informācija, taču palielin</w:t>
      </w:r>
      <w:r w:rsidR="0047328C" w:rsidRPr="00291B52">
        <w:t>ās</w:t>
      </w:r>
      <w:r w:rsidRPr="00291B52">
        <w:t xml:space="preserve"> maksātnespējīgo komersantu </w:t>
      </w:r>
      <w:r w:rsidR="00FF1BEA">
        <w:t>–</w:t>
      </w:r>
      <w:r w:rsidRPr="00291B52">
        <w:t xml:space="preserve"> darba devēju skait</w:t>
      </w:r>
      <w:r w:rsidR="0047328C" w:rsidRPr="00291B52">
        <w:t>s</w:t>
      </w:r>
      <w:r w:rsidRPr="00291B52">
        <w:t xml:space="preserve"> un izdevum</w:t>
      </w:r>
      <w:r w:rsidR="0047328C" w:rsidRPr="00291B52">
        <w:t>i</w:t>
      </w:r>
      <w:r w:rsidRPr="00291B52">
        <w:t>.</w:t>
      </w:r>
    </w:p>
    <w:p w14:paraId="473B800A" w14:textId="77777777" w:rsidR="00C02CAA" w:rsidRDefault="00C02CAA" w:rsidP="00291B52">
      <w:pPr>
        <w:tabs>
          <w:tab w:val="left" w:pos="720"/>
        </w:tabs>
        <w:ind w:firstLine="720"/>
        <w:jc w:val="both"/>
      </w:pPr>
      <w:r w:rsidRPr="00291B52">
        <w:t>Tādēļ</w:t>
      </w:r>
      <w:r w:rsidR="003C5292" w:rsidRPr="00291B52">
        <w:t xml:space="preserve"> </w:t>
      </w:r>
      <w:r w:rsidRPr="00291B52">
        <w:t xml:space="preserve">ir jāatstāj spēkā nosacījums, ka visi URVN ieņēmumi, kas tiek iekasēti lielākā apjomā nekā plānots, tiek novirzīti, lai palielinātu atlikuma uzkrājumu </w:t>
      </w:r>
      <w:r w:rsidR="00FF1BEA">
        <w:t>–</w:t>
      </w:r>
      <w:r w:rsidRPr="00291B52">
        <w:t xml:space="preserve"> darbinieku prasījumu garantiju fonda stabilizēšanai. </w:t>
      </w:r>
      <w:r w:rsidR="00BE02D4" w:rsidRPr="00291B52">
        <w:t>30</w:t>
      </w:r>
      <w:r w:rsidRPr="00291B52">
        <w:t>.tabulā atspoguļota gan faktiskā situācija līdz 201</w:t>
      </w:r>
      <w:r w:rsidR="003C5292" w:rsidRPr="00291B52">
        <w:t>5</w:t>
      </w:r>
      <w:r w:rsidRPr="00291B52">
        <w:t>.gadam, gan plānotā situācija līdz 201</w:t>
      </w:r>
      <w:r w:rsidR="003C5292" w:rsidRPr="00291B52">
        <w:t>9</w:t>
      </w:r>
      <w:r w:rsidRPr="00291B52">
        <w:t xml:space="preserve">.gadam. </w:t>
      </w:r>
    </w:p>
    <w:p w14:paraId="50ABE469" w14:textId="77777777" w:rsidR="00291B52" w:rsidRPr="00291B52" w:rsidRDefault="00291B52" w:rsidP="00291B52">
      <w:pPr>
        <w:tabs>
          <w:tab w:val="left" w:pos="720"/>
        </w:tabs>
        <w:ind w:firstLine="720"/>
        <w:jc w:val="both"/>
      </w:pPr>
    </w:p>
    <w:p w14:paraId="6D6675BF" w14:textId="77777777" w:rsidR="00C02CAA" w:rsidRPr="00291B52" w:rsidRDefault="00BE02D4" w:rsidP="004B78B8">
      <w:pPr>
        <w:tabs>
          <w:tab w:val="left" w:pos="720"/>
        </w:tabs>
        <w:jc w:val="right"/>
      </w:pPr>
      <w:r w:rsidRPr="00291B52">
        <w:t>30</w:t>
      </w:r>
      <w:r w:rsidR="00C02CAA" w:rsidRPr="00291B52">
        <w:t>.tabula</w:t>
      </w:r>
    </w:p>
    <w:p w14:paraId="0EC005EB" w14:textId="77777777" w:rsidR="00C02CAA" w:rsidRPr="00291B52" w:rsidRDefault="00C02CAA" w:rsidP="004B78B8">
      <w:pPr>
        <w:tabs>
          <w:tab w:val="left" w:pos="720"/>
        </w:tabs>
        <w:jc w:val="right"/>
        <w:rPr>
          <w:b/>
        </w:rPr>
      </w:pPr>
    </w:p>
    <w:p w14:paraId="77AFC0A4" w14:textId="77777777" w:rsidR="00C02CAA" w:rsidRPr="001E23E1" w:rsidRDefault="00C02CAA" w:rsidP="00291B52">
      <w:pPr>
        <w:tabs>
          <w:tab w:val="left" w:pos="720"/>
        </w:tabs>
        <w:spacing w:after="120"/>
        <w:jc w:val="center"/>
        <w:rPr>
          <w:b/>
          <w:sz w:val="28"/>
          <w:szCs w:val="28"/>
        </w:rPr>
      </w:pPr>
      <w:r w:rsidRPr="00291B52">
        <w:rPr>
          <w:b/>
        </w:rPr>
        <w:t>Faktisko un plānoto URVN</w:t>
      </w:r>
      <w:r w:rsidR="003C5292" w:rsidRPr="00291B52">
        <w:rPr>
          <w:b/>
        </w:rPr>
        <w:t xml:space="preserve"> </w:t>
      </w:r>
      <w:r w:rsidRPr="00291B52">
        <w:rPr>
          <w:b/>
        </w:rPr>
        <w:t>un atgūto līdzekļu ieņēmumu un izdevumu kopsavilkums no 201</w:t>
      </w:r>
      <w:r w:rsidR="00B40411" w:rsidRPr="00291B52">
        <w:rPr>
          <w:b/>
        </w:rPr>
        <w:t>2</w:t>
      </w:r>
      <w:r w:rsidRPr="00291B52">
        <w:rPr>
          <w:b/>
        </w:rPr>
        <w:t>. līdz 201</w:t>
      </w:r>
      <w:r w:rsidR="003C5292" w:rsidRPr="00291B52">
        <w:rPr>
          <w:b/>
        </w:rPr>
        <w:t>9</w:t>
      </w:r>
      <w:r w:rsidRPr="00291B52">
        <w:rPr>
          <w:b/>
        </w:rPr>
        <w:t>.gadam</w:t>
      </w:r>
      <w:r w:rsidR="005D43A6" w:rsidRPr="00291B52">
        <w:rPr>
          <w:b/>
        </w:rPr>
        <w:t>*</w:t>
      </w:r>
    </w:p>
    <w:tbl>
      <w:tblPr>
        <w:tblW w:w="9356" w:type="dxa"/>
        <w:jc w:val="center"/>
        <w:tblLayout w:type="fixed"/>
        <w:tblCellMar>
          <w:left w:w="0" w:type="dxa"/>
          <w:right w:w="0" w:type="dxa"/>
        </w:tblCellMar>
        <w:tblLook w:val="0000" w:firstRow="0" w:lastRow="0" w:firstColumn="0" w:lastColumn="0" w:noHBand="0" w:noVBand="0"/>
      </w:tblPr>
      <w:tblGrid>
        <w:gridCol w:w="316"/>
        <w:gridCol w:w="1244"/>
        <w:gridCol w:w="992"/>
        <w:gridCol w:w="992"/>
        <w:gridCol w:w="992"/>
        <w:gridCol w:w="993"/>
        <w:gridCol w:w="992"/>
        <w:gridCol w:w="850"/>
        <w:gridCol w:w="993"/>
        <w:gridCol w:w="992"/>
      </w:tblGrid>
      <w:tr w:rsidR="00C02CAA" w:rsidRPr="00ED0FB0" w14:paraId="4FC3A542" w14:textId="77777777" w:rsidTr="005A6D3B">
        <w:trPr>
          <w:trHeight w:val="270"/>
          <w:jc w:val="center"/>
        </w:trPr>
        <w:tc>
          <w:tcPr>
            <w:tcW w:w="1560" w:type="dxa"/>
            <w:gridSpan w:val="2"/>
            <w:vMerge w:val="restart"/>
            <w:tcBorders>
              <w:top w:val="single" w:sz="8" w:space="0" w:color="auto"/>
              <w:left w:val="single" w:sz="8" w:space="0" w:color="auto"/>
              <w:bottom w:val="single" w:sz="8" w:space="0" w:color="000000"/>
              <w:right w:val="single" w:sz="8" w:space="0" w:color="000000"/>
            </w:tcBorders>
            <w:noWrap/>
            <w:vAlign w:val="bottom"/>
          </w:tcPr>
          <w:p w14:paraId="2C7E3D3B" w14:textId="77777777" w:rsidR="00C02CAA" w:rsidRPr="00ED0FB0" w:rsidRDefault="00C02CAA" w:rsidP="000866A2">
            <w:pPr>
              <w:jc w:val="center"/>
              <w:rPr>
                <w:b/>
                <w:sz w:val="20"/>
                <w:szCs w:val="20"/>
              </w:rPr>
            </w:pPr>
            <w:r w:rsidRPr="00ED0FB0">
              <w:rPr>
                <w:b/>
                <w:sz w:val="20"/>
                <w:szCs w:val="20"/>
              </w:rPr>
              <w:t> </w:t>
            </w:r>
          </w:p>
        </w:tc>
        <w:tc>
          <w:tcPr>
            <w:tcW w:w="3969" w:type="dxa"/>
            <w:gridSpan w:val="4"/>
            <w:tcBorders>
              <w:top w:val="single" w:sz="8" w:space="0" w:color="auto"/>
              <w:left w:val="nil"/>
              <w:bottom w:val="single" w:sz="8" w:space="0" w:color="auto"/>
              <w:right w:val="single" w:sz="8" w:space="0" w:color="000000"/>
            </w:tcBorders>
            <w:noWrap/>
            <w:vAlign w:val="bottom"/>
          </w:tcPr>
          <w:p w14:paraId="01FFB869" w14:textId="77777777" w:rsidR="00C02CAA" w:rsidRPr="00ED0FB0" w:rsidRDefault="00C02CAA" w:rsidP="000866A2">
            <w:pPr>
              <w:jc w:val="center"/>
              <w:rPr>
                <w:b/>
                <w:sz w:val="20"/>
                <w:szCs w:val="20"/>
              </w:rPr>
            </w:pPr>
            <w:r w:rsidRPr="00ED0FB0">
              <w:rPr>
                <w:b/>
                <w:sz w:val="20"/>
                <w:szCs w:val="20"/>
              </w:rPr>
              <w:t>Fakts, e</w:t>
            </w:r>
            <w:r w:rsidRPr="00ED0FB0">
              <w:rPr>
                <w:b/>
                <w:i/>
                <w:iCs/>
                <w:sz w:val="20"/>
                <w:szCs w:val="20"/>
              </w:rPr>
              <w:t>uro</w:t>
            </w:r>
          </w:p>
        </w:tc>
        <w:tc>
          <w:tcPr>
            <w:tcW w:w="3827" w:type="dxa"/>
            <w:gridSpan w:val="4"/>
            <w:tcBorders>
              <w:top w:val="single" w:sz="8" w:space="0" w:color="auto"/>
              <w:left w:val="nil"/>
              <w:bottom w:val="single" w:sz="8" w:space="0" w:color="auto"/>
              <w:right w:val="single" w:sz="8" w:space="0" w:color="000000"/>
            </w:tcBorders>
            <w:noWrap/>
            <w:vAlign w:val="bottom"/>
          </w:tcPr>
          <w:p w14:paraId="4A523B8E" w14:textId="77777777" w:rsidR="00C02CAA" w:rsidRPr="00ED0FB0" w:rsidRDefault="00C02CAA" w:rsidP="000866A2">
            <w:pPr>
              <w:jc w:val="center"/>
              <w:rPr>
                <w:b/>
                <w:sz w:val="20"/>
                <w:szCs w:val="20"/>
              </w:rPr>
            </w:pPr>
            <w:r w:rsidRPr="00ED0FB0">
              <w:rPr>
                <w:b/>
                <w:sz w:val="20"/>
                <w:szCs w:val="20"/>
              </w:rPr>
              <w:t>Plāns, e</w:t>
            </w:r>
            <w:r w:rsidRPr="00ED0FB0">
              <w:rPr>
                <w:b/>
                <w:i/>
                <w:iCs/>
                <w:sz w:val="20"/>
                <w:szCs w:val="20"/>
              </w:rPr>
              <w:t>uro</w:t>
            </w:r>
          </w:p>
        </w:tc>
      </w:tr>
      <w:tr w:rsidR="00C02CAA" w:rsidRPr="00ED0FB0" w14:paraId="6F169C5B" w14:textId="77777777" w:rsidTr="005A6D3B">
        <w:trPr>
          <w:trHeight w:val="270"/>
          <w:jc w:val="center"/>
        </w:trPr>
        <w:tc>
          <w:tcPr>
            <w:tcW w:w="1560" w:type="dxa"/>
            <w:gridSpan w:val="2"/>
            <w:vMerge/>
            <w:tcBorders>
              <w:top w:val="single" w:sz="8" w:space="0" w:color="auto"/>
              <w:left w:val="single" w:sz="8" w:space="0" w:color="auto"/>
              <w:bottom w:val="single" w:sz="8" w:space="0" w:color="000000"/>
              <w:right w:val="single" w:sz="8" w:space="0" w:color="000000"/>
            </w:tcBorders>
            <w:vAlign w:val="center"/>
          </w:tcPr>
          <w:p w14:paraId="1FA7AA52" w14:textId="77777777" w:rsidR="00C02CAA" w:rsidRPr="00ED0FB0" w:rsidRDefault="00C02CAA" w:rsidP="000866A2">
            <w:pPr>
              <w:rPr>
                <w:b/>
                <w:sz w:val="20"/>
                <w:szCs w:val="20"/>
              </w:rPr>
            </w:pPr>
          </w:p>
        </w:tc>
        <w:tc>
          <w:tcPr>
            <w:tcW w:w="992" w:type="dxa"/>
            <w:tcBorders>
              <w:top w:val="nil"/>
              <w:left w:val="nil"/>
              <w:bottom w:val="single" w:sz="8" w:space="0" w:color="auto"/>
              <w:right w:val="single" w:sz="8" w:space="0" w:color="auto"/>
            </w:tcBorders>
            <w:noWrap/>
            <w:vAlign w:val="bottom"/>
          </w:tcPr>
          <w:p w14:paraId="7E3DE15B" w14:textId="77777777" w:rsidR="00C02CAA" w:rsidRPr="00ED0FB0" w:rsidRDefault="00C02CAA" w:rsidP="00164901">
            <w:pPr>
              <w:jc w:val="center"/>
              <w:rPr>
                <w:b/>
                <w:sz w:val="20"/>
                <w:szCs w:val="20"/>
              </w:rPr>
            </w:pPr>
            <w:r w:rsidRPr="00ED0FB0">
              <w:rPr>
                <w:b/>
                <w:sz w:val="20"/>
                <w:szCs w:val="20"/>
              </w:rPr>
              <w:t>201</w:t>
            </w:r>
            <w:r w:rsidR="00164901" w:rsidRPr="00ED0FB0">
              <w:rPr>
                <w:b/>
                <w:sz w:val="20"/>
                <w:szCs w:val="20"/>
              </w:rPr>
              <w:t>2</w:t>
            </w:r>
          </w:p>
        </w:tc>
        <w:tc>
          <w:tcPr>
            <w:tcW w:w="992" w:type="dxa"/>
            <w:tcBorders>
              <w:top w:val="nil"/>
              <w:left w:val="nil"/>
              <w:bottom w:val="single" w:sz="8" w:space="0" w:color="auto"/>
              <w:right w:val="single" w:sz="8" w:space="0" w:color="auto"/>
            </w:tcBorders>
            <w:noWrap/>
            <w:vAlign w:val="bottom"/>
          </w:tcPr>
          <w:p w14:paraId="26FB4A89" w14:textId="77777777" w:rsidR="00C02CAA" w:rsidRPr="00ED0FB0" w:rsidRDefault="00C02CAA" w:rsidP="00164901">
            <w:pPr>
              <w:jc w:val="center"/>
              <w:rPr>
                <w:b/>
                <w:sz w:val="20"/>
                <w:szCs w:val="20"/>
              </w:rPr>
            </w:pPr>
            <w:r w:rsidRPr="00ED0FB0">
              <w:rPr>
                <w:b/>
                <w:sz w:val="20"/>
                <w:szCs w:val="20"/>
              </w:rPr>
              <w:t>201</w:t>
            </w:r>
            <w:r w:rsidR="00164901" w:rsidRPr="00ED0FB0">
              <w:rPr>
                <w:b/>
                <w:sz w:val="20"/>
                <w:szCs w:val="20"/>
              </w:rPr>
              <w:t>3</w:t>
            </w:r>
          </w:p>
        </w:tc>
        <w:tc>
          <w:tcPr>
            <w:tcW w:w="992" w:type="dxa"/>
            <w:tcBorders>
              <w:top w:val="nil"/>
              <w:left w:val="nil"/>
              <w:bottom w:val="single" w:sz="8" w:space="0" w:color="auto"/>
              <w:right w:val="single" w:sz="8" w:space="0" w:color="auto"/>
            </w:tcBorders>
            <w:noWrap/>
            <w:vAlign w:val="bottom"/>
          </w:tcPr>
          <w:p w14:paraId="11672198" w14:textId="77777777" w:rsidR="00C02CAA" w:rsidRPr="00ED0FB0" w:rsidRDefault="00C02CAA" w:rsidP="00164901">
            <w:pPr>
              <w:jc w:val="center"/>
              <w:rPr>
                <w:b/>
                <w:sz w:val="20"/>
                <w:szCs w:val="20"/>
              </w:rPr>
            </w:pPr>
            <w:r w:rsidRPr="00ED0FB0">
              <w:rPr>
                <w:b/>
                <w:sz w:val="20"/>
                <w:szCs w:val="20"/>
              </w:rPr>
              <w:t>201</w:t>
            </w:r>
            <w:r w:rsidR="00164901" w:rsidRPr="00ED0FB0">
              <w:rPr>
                <w:b/>
                <w:sz w:val="20"/>
                <w:szCs w:val="20"/>
              </w:rPr>
              <w:t>4</w:t>
            </w:r>
          </w:p>
        </w:tc>
        <w:tc>
          <w:tcPr>
            <w:tcW w:w="993" w:type="dxa"/>
            <w:tcBorders>
              <w:top w:val="nil"/>
              <w:left w:val="nil"/>
              <w:bottom w:val="single" w:sz="8" w:space="0" w:color="auto"/>
              <w:right w:val="single" w:sz="8" w:space="0" w:color="auto"/>
            </w:tcBorders>
            <w:noWrap/>
            <w:vAlign w:val="bottom"/>
          </w:tcPr>
          <w:p w14:paraId="3C80840F" w14:textId="77777777" w:rsidR="00C02CAA" w:rsidRPr="00ED0FB0" w:rsidRDefault="00C02CAA" w:rsidP="00164901">
            <w:pPr>
              <w:jc w:val="center"/>
              <w:rPr>
                <w:b/>
                <w:sz w:val="20"/>
                <w:szCs w:val="20"/>
              </w:rPr>
            </w:pPr>
            <w:r w:rsidRPr="00ED0FB0">
              <w:rPr>
                <w:b/>
                <w:sz w:val="20"/>
                <w:szCs w:val="20"/>
              </w:rPr>
              <w:t>201</w:t>
            </w:r>
            <w:r w:rsidR="00164901" w:rsidRPr="00ED0FB0">
              <w:rPr>
                <w:b/>
                <w:sz w:val="20"/>
                <w:szCs w:val="20"/>
              </w:rPr>
              <w:t>5</w:t>
            </w:r>
          </w:p>
        </w:tc>
        <w:tc>
          <w:tcPr>
            <w:tcW w:w="992" w:type="dxa"/>
            <w:tcBorders>
              <w:top w:val="nil"/>
              <w:left w:val="nil"/>
              <w:bottom w:val="single" w:sz="8" w:space="0" w:color="auto"/>
              <w:right w:val="single" w:sz="8" w:space="0" w:color="auto"/>
            </w:tcBorders>
            <w:noWrap/>
            <w:vAlign w:val="bottom"/>
          </w:tcPr>
          <w:p w14:paraId="29570400" w14:textId="77777777" w:rsidR="00C02CAA" w:rsidRPr="00ED0FB0" w:rsidRDefault="00C02CAA" w:rsidP="00E96824">
            <w:pPr>
              <w:jc w:val="center"/>
              <w:rPr>
                <w:b/>
                <w:sz w:val="20"/>
                <w:szCs w:val="20"/>
              </w:rPr>
            </w:pPr>
            <w:r w:rsidRPr="00ED0FB0">
              <w:rPr>
                <w:b/>
                <w:sz w:val="20"/>
                <w:szCs w:val="20"/>
              </w:rPr>
              <w:t>201</w:t>
            </w:r>
            <w:r w:rsidR="00E96824" w:rsidRPr="00ED0FB0">
              <w:rPr>
                <w:b/>
                <w:sz w:val="20"/>
                <w:szCs w:val="20"/>
              </w:rPr>
              <w:t>6</w:t>
            </w:r>
          </w:p>
        </w:tc>
        <w:tc>
          <w:tcPr>
            <w:tcW w:w="850" w:type="dxa"/>
            <w:tcBorders>
              <w:top w:val="nil"/>
              <w:left w:val="nil"/>
              <w:bottom w:val="single" w:sz="8" w:space="0" w:color="auto"/>
              <w:right w:val="single" w:sz="8" w:space="0" w:color="auto"/>
            </w:tcBorders>
            <w:noWrap/>
            <w:vAlign w:val="bottom"/>
          </w:tcPr>
          <w:p w14:paraId="0A413198" w14:textId="77777777" w:rsidR="00C02CAA" w:rsidRPr="00ED0FB0" w:rsidRDefault="00C02CAA" w:rsidP="00E96824">
            <w:pPr>
              <w:jc w:val="center"/>
              <w:rPr>
                <w:b/>
                <w:sz w:val="20"/>
                <w:szCs w:val="20"/>
              </w:rPr>
            </w:pPr>
            <w:r w:rsidRPr="00ED0FB0">
              <w:rPr>
                <w:b/>
                <w:sz w:val="20"/>
                <w:szCs w:val="20"/>
              </w:rPr>
              <w:t>201</w:t>
            </w:r>
            <w:r w:rsidR="00E96824" w:rsidRPr="00ED0FB0">
              <w:rPr>
                <w:b/>
                <w:sz w:val="20"/>
                <w:szCs w:val="20"/>
              </w:rPr>
              <w:t>7</w:t>
            </w:r>
          </w:p>
        </w:tc>
        <w:tc>
          <w:tcPr>
            <w:tcW w:w="993" w:type="dxa"/>
            <w:tcBorders>
              <w:top w:val="nil"/>
              <w:left w:val="nil"/>
              <w:bottom w:val="single" w:sz="8" w:space="0" w:color="auto"/>
              <w:right w:val="single" w:sz="8" w:space="0" w:color="auto"/>
            </w:tcBorders>
            <w:noWrap/>
            <w:vAlign w:val="bottom"/>
          </w:tcPr>
          <w:p w14:paraId="0218538A" w14:textId="77777777" w:rsidR="00C02CAA" w:rsidRPr="00ED0FB0" w:rsidRDefault="00C02CAA" w:rsidP="00E96824">
            <w:pPr>
              <w:jc w:val="center"/>
              <w:rPr>
                <w:b/>
                <w:sz w:val="20"/>
                <w:szCs w:val="20"/>
              </w:rPr>
            </w:pPr>
            <w:r w:rsidRPr="00ED0FB0">
              <w:rPr>
                <w:b/>
                <w:sz w:val="20"/>
                <w:szCs w:val="20"/>
              </w:rPr>
              <w:t>201</w:t>
            </w:r>
            <w:r w:rsidR="00E96824" w:rsidRPr="00ED0FB0">
              <w:rPr>
                <w:b/>
                <w:sz w:val="20"/>
                <w:szCs w:val="20"/>
              </w:rPr>
              <w:t>8</w:t>
            </w:r>
          </w:p>
        </w:tc>
        <w:tc>
          <w:tcPr>
            <w:tcW w:w="992" w:type="dxa"/>
            <w:tcBorders>
              <w:top w:val="nil"/>
              <w:left w:val="nil"/>
              <w:bottom w:val="single" w:sz="8" w:space="0" w:color="auto"/>
              <w:right w:val="single" w:sz="8" w:space="0" w:color="auto"/>
            </w:tcBorders>
            <w:noWrap/>
            <w:vAlign w:val="bottom"/>
          </w:tcPr>
          <w:p w14:paraId="7A4974E6" w14:textId="77777777" w:rsidR="00C02CAA" w:rsidRPr="00ED0FB0" w:rsidRDefault="00C02CAA" w:rsidP="00E96824">
            <w:pPr>
              <w:jc w:val="center"/>
              <w:rPr>
                <w:b/>
                <w:sz w:val="20"/>
                <w:szCs w:val="20"/>
              </w:rPr>
            </w:pPr>
            <w:r w:rsidRPr="00ED0FB0">
              <w:rPr>
                <w:b/>
                <w:sz w:val="20"/>
                <w:szCs w:val="20"/>
              </w:rPr>
              <w:t>201</w:t>
            </w:r>
            <w:r w:rsidR="00E96824" w:rsidRPr="00ED0FB0">
              <w:rPr>
                <w:b/>
                <w:sz w:val="20"/>
                <w:szCs w:val="20"/>
              </w:rPr>
              <w:t>9</w:t>
            </w:r>
          </w:p>
        </w:tc>
      </w:tr>
      <w:tr w:rsidR="00BF575D" w:rsidRPr="00ED0FB0" w14:paraId="33D18AF3" w14:textId="77777777" w:rsidTr="005A6D3B">
        <w:trPr>
          <w:trHeight w:val="270"/>
          <w:jc w:val="center"/>
        </w:trPr>
        <w:tc>
          <w:tcPr>
            <w:tcW w:w="316" w:type="dxa"/>
            <w:tcBorders>
              <w:top w:val="nil"/>
              <w:left w:val="single" w:sz="8" w:space="0" w:color="auto"/>
              <w:bottom w:val="single" w:sz="8" w:space="0" w:color="auto"/>
              <w:right w:val="single" w:sz="8" w:space="0" w:color="auto"/>
            </w:tcBorders>
            <w:noWrap/>
          </w:tcPr>
          <w:p w14:paraId="5179491E" w14:textId="77777777" w:rsidR="00BF575D" w:rsidRPr="00ED0FB0" w:rsidRDefault="00BF575D" w:rsidP="00BF575D">
            <w:pPr>
              <w:jc w:val="center"/>
              <w:rPr>
                <w:sz w:val="20"/>
                <w:szCs w:val="20"/>
              </w:rPr>
            </w:pPr>
            <w:r w:rsidRPr="00ED0FB0">
              <w:rPr>
                <w:sz w:val="20"/>
                <w:szCs w:val="20"/>
              </w:rPr>
              <w:t>1</w:t>
            </w:r>
          </w:p>
        </w:tc>
        <w:tc>
          <w:tcPr>
            <w:tcW w:w="1244" w:type="dxa"/>
            <w:tcBorders>
              <w:top w:val="nil"/>
              <w:left w:val="nil"/>
              <w:bottom w:val="single" w:sz="8" w:space="0" w:color="auto"/>
              <w:right w:val="single" w:sz="8" w:space="0" w:color="auto"/>
            </w:tcBorders>
            <w:noWrap/>
          </w:tcPr>
          <w:p w14:paraId="34F6D9B1" w14:textId="77777777" w:rsidR="00BF575D" w:rsidRPr="00ED0FB0" w:rsidRDefault="00BF575D" w:rsidP="00BF575D">
            <w:pPr>
              <w:rPr>
                <w:sz w:val="20"/>
                <w:szCs w:val="20"/>
              </w:rPr>
            </w:pPr>
            <w:r w:rsidRPr="00ED0FB0">
              <w:rPr>
                <w:sz w:val="20"/>
                <w:szCs w:val="20"/>
              </w:rPr>
              <w:t xml:space="preserve">Atlikums uz </w:t>
            </w:r>
          </w:p>
          <w:p w14:paraId="7D0A3450" w14:textId="77777777" w:rsidR="00BF575D" w:rsidRPr="00ED0FB0" w:rsidRDefault="00BF575D" w:rsidP="00BF575D">
            <w:pPr>
              <w:rPr>
                <w:sz w:val="20"/>
                <w:szCs w:val="20"/>
              </w:rPr>
            </w:pPr>
            <w:r w:rsidRPr="00ED0FB0">
              <w:rPr>
                <w:sz w:val="20"/>
                <w:szCs w:val="20"/>
              </w:rPr>
              <w:t>1.janvāri</w:t>
            </w:r>
          </w:p>
        </w:tc>
        <w:tc>
          <w:tcPr>
            <w:tcW w:w="992" w:type="dxa"/>
            <w:tcBorders>
              <w:top w:val="nil"/>
              <w:left w:val="nil"/>
              <w:bottom w:val="single" w:sz="8" w:space="0" w:color="auto"/>
              <w:right w:val="single" w:sz="8" w:space="0" w:color="auto"/>
            </w:tcBorders>
            <w:noWrap/>
          </w:tcPr>
          <w:p w14:paraId="0B85D92D" w14:textId="77777777" w:rsidR="00BF575D" w:rsidRPr="00ED0FB0" w:rsidRDefault="00BF575D" w:rsidP="00BF575D">
            <w:pPr>
              <w:jc w:val="right"/>
              <w:rPr>
                <w:sz w:val="20"/>
                <w:szCs w:val="20"/>
              </w:rPr>
            </w:pPr>
            <w:r w:rsidRPr="00ED0FB0">
              <w:rPr>
                <w:sz w:val="20"/>
                <w:szCs w:val="20"/>
              </w:rPr>
              <w:t>777 836</w:t>
            </w:r>
          </w:p>
        </w:tc>
        <w:tc>
          <w:tcPr>
            <w:tcW w:w="992" w:type="dxa"/>
            <w:tcBorders>
              <w:top w:val="nil"/>
              <w:left w:val="nil"/>
              <w:bottom w:val="single" w:sz="8" w:space="0" w:color="auto"/>
              <w:right w:val="single" w:sz="8" w:space="0" w:color="auto"/>
            </w:tcBorders>
            <w:noWrap/>
          </w:tcPr>
          <w:p w14:paraId="28E94D6B" w14:textId="77777777" w:rsidR="00BF575D" w:rsidRPr="00ED0FB0" w:rsidRDefault="00BF575D" w:rsidP="00BF575D">
            <w:pPr>
              <w:jc w:val="right"/>
              <w:rPr>
                <w:sz w:val="20"/>
                <w:szCs w:val="20"/>
              </w:rPr>
            </w:pPr>
            <w:r w:rsidRPr="00ED0FB0">
              <w:rPr>
                <w:sz w:val="20"/>
                <w:szCs w:val="20"/>
              </w:rPr>
              <w:t>2 080 646</w:t>
            </w:r>
          </w:p>
        </w:tc>
        <w:tc>
          <w:tcPr>
            <w:tcW w:w="992" w:type="dxa"/>
            <w:tcBorders>
              <w:top w:val="nil"/>
              <w:left w:val="nil"/>
              <w:bottom w:val="single" w:sz="8" w:space="0" w:color="auto"/>
              <w:right w:val="single" w:sz="8" w:space="0" w:color="auto"/>
            </w:tcBorders>
            <w:noWrap/>
          </w:tcPr>
          <w:p w14:paraId="194BD2F2" w14:textId="77777777" w:rsidR="00BF575D" w:rsidRPr="00ED0FB0" w:rsidRDefault="00BF575D" w:rsidP="00BF575D">
            <w:pPr>
              <w:jc w:val="right"/>
              <w:rPr>
                <w:sz w:val="20"/>
                <w:szCs w:val="20"/>
              </w:rPr>
            </w:pPr>
            <w:r w:rsidRPr="00ED0FB0">
              <w:rPr>
                <w:sz w:val="20"/>
                <w:szCs w:val="20"/>
              </w:rPr>
              <w:t>4 648 809</w:t>
            </w:r>
          </w:p>
        </w:tc>
        <w:tc>
          <w:tcPr>
            <w:tcW w:w="993" w:type="dxa"/>
            <w:tcBorders>
              <w:top w:val="nil"/>
              <w:left w:val="nil"/>
              <w:bottom w:val="single" w:sz="8" w:space="0" w:color="auto"/>
              <w:right w:val="single" w:sz="8" w:space="0" w:color="auto"/>
            </w:tcBorders>
          </w:tcPr>
          <w:p w14:paraId="0CE855EC" w14:textId="77777777" w:rsidR="00BF575D" w:rsidRPr="00ED0FB0" w:rsidRDefault="00BF575D" w:rsidP="00BF575D">
            <w:pPr>
              <w:jc w:val="right"/>
              <w:rPr>
                <w:sz w:val="20"/>
                <w:szCs w:val="20"/>
              </w:rPr>
            </w:pPr>
            <w:r w:rsidRPr="00ED0FB0">
              <w:rPr>
                <w:sz w:val="20"/>
                <w:szCs w:val="20"/>
              </w:rPr>
              <w:t>5 090 611</w:t>
            </w:r>
          </w:p>
        </w:tc>
        <w:tc>
          <w:tcPr>
            <w:tcW w:w="992" w:type="dxa"/>
            <w:tcBorders>
              <w:top w:val="nil"/>
              <w:left w:val="nil"/>
              <w:bottom w:val="single" w:sz="8" w:space="0" w:color="auto"/>
              <w:right w:val="single" w:sz="8" w:space="0" w:color="auto"/>
            </w:tcBorders>
            <w:noWrap/>
          </w:tcPr>
          <w:p w14:paraId="48350791" w14:textId="77777777" w:rsidR="00BF575D" w:rsidRPr="00ED0FB0" w:rsidRDefault="00626FA2" w:rsidP="00BF575D">
            <w:pPr>
              <w:jc w:val="right"/>
              <w:rPr>
                <w:sz w:val="20"/>
                <w:szCs w:val="20"/>
              </w:rPr>
            </w:pPr>
            <w:r w:rsidRPr="00ED0FB0">
              <w:rPr>
                <w:sz w:val="20"/>
                <w:szCs w:val="20"/>
              </w:rPr>
              <w:t>8 212 728</w:t>
            </w:r>
          </w:p>
        </w:tc>
        <w:tc>
          <w:tcPr>
            <w:tcW w:w="850" w:type="dxa"/>
            <w:tcBorders>
              <w:top w:val="nil"/>
              <w:left w:val="nil"/>
              <w:bottom w:val="single" w:sz="8" w:space="0" w:color="auto"/>
              <w:right w:val="single" w:sz="8" w:space="0" w:color="auto"/>
            </w:tcBorders>
            <w:noWrap/>
          </w:tcPr>
          <w:p w14:paraId="35700E6F" w14:textId="77777777" w:rsidR="00BF575D" w:rsidRPr="00ED0FB0" w:rsidRDefault="00626FA2" w:rsidP="00F926E6">
            <w:pPr>
              <w:jc w:val="right"/>
              <w:rPr>
                <w:sz w:val="20"/>
                <w:szCs w:val="20"/>
              </w:rPr>
            </w:pPr>
            <w:r w:rsidRPr="00ED0FB0">
              <w:rPr>
                <w:sz w:val="20"/>
                <w:szCs w:val="20"/>
              </w:rPr>
              <w:t>9 60</w:t>
            </w:r>
            <w:r w:rsidR="00F926E6" w:rsidRPr="00ED0FB0">
              <w:rPr>
                <w:sz w:val="20"/>
                <w:szCs w:val="20"/>
              </w:rPr>
              <w:t>4</w:t>
            </w:r>
            <w:r w:rsidRPr="00ED0FB0">
              <w:rPr>
                <w:sz w:val="20"/>
                <w:szCs w:val="20"/>
              </w:rPr>
              <w:t xml:space="preserve"> </w:t>
            </w:r>
            <w:r w:rsidR="00F926E6" w:rsidRPr="00ED0FB0">
              <w:rPr>
                <w:sz w:val="20"/>
                <w:szCs w:val="20"/>
              </w:rPr>
              <w:t>275</w:t>
            </w:r>
          </w:p>
        </w:tc>
        <w:tc>
          <w:tcPr>
            <w:tcW w:w="993" w:type="dxa"/>
            <w:tcBorders>
              <w:top w:val="nil"/>
              <w:left w:val="nil"/>
              <w:bottom w:val="single" w:sz="8" w:space="0" w:color="auto"/>
              <w:right w:val="single" w:sz="8" w:space="0" w:color="auto"/>
            </w:tcBorders>
            <w:noWrap/>
          </w:tcPr>
          <w:p w14:paraId="26E67A1D" w14:textId="77777777" w:rsidR="00BF575D" w:rsidRPr="00ED0FB0" w:rsidRDefault="00626FA2" w:rsidP="00195230">
            <w:pPr>
              <w:jc w:val="right"/>
              <w:rPr>
                <w:sz w:val="20"/>
                <w:szCs w:val="20"/>
              </w:rPr>
            </w:pPr>
            <w:r w:rsidRPr="00ED0FB0">
              <w:rPr>
                <w:sz w:val="20"/>
                <w:szCs w:val="20"/>
              </w:rPr>
              <w:t>10</w:t>
            </w:r>
            <w:r w:rsidR="009F1581" w:rsidRPr="00ED0FB0">
              <w:rPr>
                <w:sz w:val="20"/>
                <w:szCs w:val="20"/>
              </w:rPr>
              <w:t> 802 07</w:t>
            </w:r>
            <w:r w:rsidR="00195230" w:rsidRPr="00ED0FB0">
              <w:rPr>
                <w:sz w:val="20"/>
                <w:szCs w:val="20"/>
              </w:rPr>
              <w:t>4</w:t>
            </w:r>
          </w:p>
        </w:tc>
        <w:tc>
          <w:tcPr>
            <w:tcW w:w="992" w:type="dxa"/>
            <w:tcBorders>
              <w:top w:val="nil"/>
              <w:left w:val="nil"/>
              <w:bottom w:val="single" w:sz="8" w:space="0" w:color="auto"/>
              <w:right w:val="single" w:sz="8" w:space="0" w:color="auto"/>
            </w:tcBorders>
            <w:noWrap/>
          </w:tcPr>
          <w:p w14:paraId="72E77071" w14:textId="77777777" w:rsidR="00BF575D" w:rsidRPr="00ED0FB0" w:rsidRDefault="009F1581" w:rsidP="00195230">
            <w:pPr>
              <w:jc w:val="right"/>
              <w:rPr>
                <w:sz w:val="20"/>
                <w:szCs w:val="20"/>
              </w:rPr>
            </w:pPr>
            <w:r w:rsidRPr="00ED0FB0">
              <w:rPr>
                <w:sz w:val="20"/>
                <w:szCs w:val="20"/>
              </w:rPr>
              <w:t>11 808 66</w:t>
            </w:r>
            <w:r w:rsidR="00195230" w:rsidRPr="00ED0FB0">
              <w:rPr>
                <w:sz w:val="20"/>
                <w:szCs w:val="20"/>
              </w:rPr>
              <w:t>6</w:t>
            </w:r>
          </w:p>
        </w:tc>
      </w:tr>
      <w:tr w:rsidR="00626FA2" w:rsidRPr="00ED0FB0" w14:paraId="4449C5C4" w14:textId="77777777" w:rsidTr="005A6D3B">
        <w:trPr>
          <w:trHeight w:val="270"/>
          <w:jc w:val="center"/>
        </w:trPr>
        <w:tc>
          <w:tcPr>
            <w:tcW w:w="316" w:type="dxa"/>
            <w:tcBorders>
              <w:top w:val="nil"/>
              <w:left w:val="single" w:sz="8" w:space="0" w:color="auto"/>
              <w:bottom w:val="single" w:sz="8" w:space="0" w:color="auto"/>
              <w:right w:val="single" w:sz="8" w:space="0" w:color="auto"/>
            </w:tcBorders>
            <w:noWrap/>
          </w:tcPr>
          <w:p w14:paraId="08CC5556" w14:textId="77777777" w:rsidR="00626FA2" w:rsidRPr="00ED0FB0" w:rsidRDefault="00626FA2" w:rsidP="00626FA2">
            <w:pPr>
              <w:jc w:val="center"/>
              <w:rPr>
                <w:sz w:val="20"/>
                <w:szCs w:val="20"/>
              </w:rPr>
            </w:pPr>
            <w:r w:rsidRPr="00ED0FB0">
              <w:rPr>
                <w:sz w:val="20"/>
                <w:szCs w:val="20"/>
              </w:rPr>
              <w:t>2</w:t>
            </w:r>
          </w:p>
        </w:tc>
        <w:tc>
          <w:tcPr>
            <w:tcW w:w="1244" w:type="dxa"/>
            <w:tcBorders>
              <w:top w:val="nil"/>
              <w:left w:val="nil"/>
              <w:bottom w:val="single" w:sz="8" w:space="0" w:color="auto"/>
              <w:right w:val="single" w:sz="8" w:space="0" w:color="auto"/>
            </w:tcBorders>
            <w:noWrap/>
          </w:tcPr>
          <w:p w14:paraId="21F27B8B" w14:textId="77777777" w:rsidR="00626FA2" w:rsidRPr="00ED0FB0" w:rsidRDefault="00626FA2" w:rsidP="00626FA2">
            <w:pPr>
              <w:rPr>
                <w:sz w:val="20"/>
                <w:szCs w:val="20"/>
              </w:rPr>
            </w:pPr>
            <w:r w:rsidRPr="00ED0FB0">
              <w:rPr>
                <w:sz w:val="20"/>
                <w:szCs w:val="20"/>
              </w:rPr>
              <w:t>Ieņēmumi</w:t>
            </w:r>
          </w:p>
        </w:tc>
        <w:tc>
          <w:tcPr>
            <w:tcW w:w="992" w:type="dxa"/>
            <w:tcBorders>
              <w:top w:val="nil"/>
              <w:left w:val="nil"/>
              <w:bottom w:val="single" w:sz="8" w:space="0" w:color="auto"/>
              <w:right w:val="single" w:sz="8" w:space="0" w:color="auto"/>
            </w:tcBorders>
            <w:noWrap/>
          </w:tcPr>
          <w:p w14:paraId="6E7A38EB" w14:textId="77777777" w:rsidR="00626FA2" w:rsidRPr="00ED0FB0" w:rsidRDefault="00626FA2" w:rsidP="00626FA2">
            <w:pPr>
              <w:jc w:val="right"/>
              <w:rPr>
                <w:sz w:val="20"/>
                <w:szCs w:val="20"/>
              </w:rPr>
            </w:pPr>
            <w:r w:rsidRPr="00ED0FB0">
              <w:rPr>
                <w:sz w:val="20"/>
                <w:szCs w:val="20"/>
              </w:rPr>
              <w:t>3 093 918</w:t>
            </w:r>
          </w:p>
        </w:tc>
        <w:tc>
          <w:tcPr>
            <w:tcW w:w="992" w:type="dxa"/>
            <w:tcBorders>
              <w:top w:val="nil"/>
              <w:left w:val="nil"/>
              <w:bottom w:val="single" w:sz="8" w:space="0" w:color="auto"/>
              <w:right w:val="single" w:sz="8" w:space="0" w:color="auto"/>
            </w:tcBorders>
            <w:noWrap/>
          </w:tcPr>
          <w:p w14:paraId="61E67CC4" w14:textId="77777777" w:rsidR="00626FA2" w:rsidRPr="00ED0FB0" w:rsidRDefault="00626FA2" w:rsidP="00626FA2">
            <w:pPr>
              <w:jc w:val="right"/>
              <w:rPr>
                <w:sz w:val="20"/>
                <w:szCs w:val="20"/>
              </w:rPr>
            </w:pPr>
            <w:r w:rsidRPr="00ED0FB0">
              <w:rPr>
                <w:sz w:val="20"/>
                <w:szCs w:val="20"/>
              </w:rPr>
              <w:t>3 810 059</w:t>
            </w:r>
          </w:p>
        </w:tc>
        <w:tc>
          <w:tcPr>
            <w:tcW w:w="992" w:type="dxa"/>
            <w:tcBorders>
              <w:top w:val="nil"/>
              <w:left w:val="nil"/>
              <w:bottom w:val="single" w:sz="8" w:space="0" w:color="auto"/>
              <w:right w:val="single" w:sz="8" w:space="0" w:color="auto"/>
            </w:tcBorders>
            <w:noWrap/>
          </w:tcPr>
          <w:p w14:paraId="624D4C89" w14:textId="77777777" w:rsidR="00626FA2" w:rsidRPr="00ED0FB0" w:rsidRDefault="00626FA2" w:rsidP="00626FA2">
            <w:pPr>
              <w:jc w:val="right"/>
              <w:rPr>
                <w:sz w:val="20"/>
                <w:szCs w:val="20"/>
              </w:rPr>
            </w:pPr>
            <w:r w:rsidRPr="00ED0FB0">
              <w:rPr>
                <w:sz w:val="20"/>
                <w:szCs w:val="20"/>
              </w:rPr>
              <w:t>3 219 424</w:t>
            </w:r>
          </w:p>
        </w:tc>
        <w:tc>
          <w:tcPr>
            <w:tcW w:w="993" w:type="dxa"/>
            <w:tcBorders>
              <w:top w:val="nil"/>
              <w:left w:val="nil"/>
              <w:bottom w:val="single" w:sz="8" w:space="0" w:color="auto"/>
              <w:right w:val="single" w:sz="8" w:space="0" w:color="auto"/>
            </w:tcBorders>
            <w:noWrap/>
          </w:tcPr>
          <w:p w14:paraId="4A7DFBBC" w14:textId="77777777" w:rsidR="00626FA2" w:rsidRPr="00ED0FB0" w:rsidRDefault="005131F2" w:rsidP="00626FA2">
            <w:pPr>
              <w:jc w:val="right"/>
              <w:rPr>
                <w:sz w:val="20"/>
                <w:szCs w:val="20"/>
              </w:rPr>
            </w:pPr>
            <w:r w:rsidRPr="00ED0FB0">
              <w:rPr>
                <w:sz w:val="20"/>
                <w:szCs w:val="20"/>
              </w:rPr>
              <w:t>4 489 509</w:t>
            </w:r>
          </w:p>
        </w:tc>
        <w:tc>
          <w:tcPr>
            <w:tcW w:w="992" w:type="dxa"/>
            <w:tcBorders>
              <w:top w:val="nil"/>
              <w:left w:val="nil"/>
              <w:bottom w:val="single" w:sz="8" w:space="0" w:color="auto"/>
              <w:right w:val="single" w:sz="8" w:space="0" w:color="auto"/>
            </w:tcBorders>
            <w:noWrap/>
          </w:tcPr>
          <w:p w14:paraId="5E2F3E93" w14:textId="77777777" w:rsidR="00626FA2" w:rsidRPr="00ED0FB0" w:rsidRDefault="005131F2" w:rsidP="00BE02D4">
            <w:pPr>
              <w:jc w:val="right"/>
              <w:rPr>
                <w:sz w:val="20"/>
                <w:szCs w:val="20"/>
              </w:rPr>
            </w:pPr>
            <w:r w:rsidRPr="00ED0FB0">
              <w:rPr>
                <w:sz w:val="20"/>
                <w:szCs w:val="20"/>
              </w:rPr>
              <w:t>3</w:t>
            </w:r>
            <w:r w:rsidR="00BE02D4" w:rsidRPr="00ED0FB0">
              <w:rPr>
                <w:sz w:val="20"/>
                <w:szCs w:val="20"/>
              </w:rPr>
              <w:t> 320 259</w:t>
            </w:r>
          </w:p>
        </w:tc>
        <w:tc>
          <w:tcPr>
            <w:tcW w:w="850" w:type="dxa"/>
            <w:tcBorders>
              <w:top w:val="nil"/>
              <w:left w:val="nil"/>
              <w:bottom w:val="single" w:sz="8" w:space="0" w:color="auto"/>
              <w:right w:val="single" w:sz="8" w:space="0" w:color="auto"/>
            </w:tcBorders>
            <w:noWrap/>
          </w:tcPr>
          <w:p w14:paraId="55808117" w14:textId="77777777" w:rsidR="00626FA2" w:rsidRPr="00ED0FB0" w:rsidRDefault="005131F2" w:rsidP="003815A0">
            <w:pPr>
              <w:jc w:val="right"/>
              <w:rPr>
                <w:sz w:val="20"/>
                <w:szCs w:val="20"/>
              </w:rPr>
            </w:pPr>
            <w:r w:rsidRPr="00ED0FB0">
              <w:rPr>
                <w:sz w:val="20"/>
                <w:szCs w:val="20"/>
              </w:rPr>
              <w:t>3 211 43</w:t>
            </w:r>
            <w:r w:rsidR="003815A0" w:rsidRPr="00ED0FB0">
              <w:rPr>
                <w:sz w:val="20"/>
                <w:szCs w:val="20"/>
              </w:rPr>
              <w:t>5</w:t>
            </w:r>
          </w:p>
        </w:tc>
        <w:tc>
          <w:tcPr>
            <w:tcW w:w="993" w:type="dxa"/>
            <w:tcBorders>
              <w:top w:val="nil"/>
              <w:left w:val="nil"/>
              <w:bottom w:val="single" w:sz="8" w:space="0" w:color="auto"/>
              <w:right w:val="single" w:sz="8" w:space="0" w:color="auto"/>
            </w:tcBorders>
            <w:noWrap/>
          </w:tcPr>
          <w:p w14:paraId="3DE53A94" w14:textId="77777777" w:rsidR="00626FA2" w:rsidRPr="00ED0FB0" w:rsidRDefault="005131F2" w:rsidP="00626FA2">
            <w:pPr>
              <w:jc w:val="right"/>
              <w:rPr>
                <w:sz w:val="20"/>
                <w:szCs w:val="20"/>
              </w:rPr>
            </w:pPr>
            <w:r w:rsidRPr="00ED0FB0">
              <w:rPr>
                <w:sz w:val="20"/>
                <w:szCs w:val="20"/>
              </w:rPr>
              <w:t>3</w:t>
            </w:r>
            <w:r w:rsidR="00BE02D4" w:rsidRPr="00ED0FB0">
              <w:rPr>
                <w:sz w:val="20"/>
                <w:szCs w:val="20"/>
              </w:rPr>
              <w:t xml:space="preserve"> </w:t>
            </w:r>
            <w:r w:rsidRPr="00ED0FB0">
              <w:rPr>
                <w:sz w:val="20"/>
                <w:szCs w:val="20"/>
              </w:rPr>
              <w:t>213 980</w:t>
            </w:r>
          </w:p>
        </w:tc>
        <w:tc>
          <w:tcPr>
            <w:tcW w:w="992" w:type="dxa"/>
            <w:tcBorders>
              <w:top w:val="nil"/>
              <w:left w:val="nil"/>
              <w:bottom w:val="single" w:sz="8" w:space="0" w:color="auto"/>
              <w:right w:val="single" w:sz="8" w:space="0" w:color="auto"/>
            </w:tcBorders>
            <w:noWrap/>
          </w:tcPr>
          <w:p w14:paraId="1E0516D6" w14:textId="77777777" w:rsidR="00626FA2" w:rsidRPr="00ED0FB0" w:rsidRDefault="005131F2" w:rsidP="00626FA2">
            <w:pPr>
              <w:jc w:val="right"/>
              <w:rPr>
                <w:sz w:val="20"/>
                <w:szCs w:val="20"/>
              </w:rPr>
            </w:pPr>
            <w:r w:rsidRPr="00ED0FB0">
              <w:rPr>
                <w:sz w:val="20"/>
                <w:szCs w:val="20"/>
              </w:rPr>
              <w:t>3 216 526</w:t>
            </w:r>
          </w:p>
        </w:tc>
      </w:tr>
      <w:tr w:rsidR="000F2DE4" w:rsidRPr="00ED0FB0" w14:paraId="1DCAFF3C" w14:textId="77777777" w:rsidTr="005A6D3B">
        <w:trPr>
          <w:trHeight w:val="270"/>
          <w:jc w:val="center"/>
        </w:trPr>
        <w:tc>
          <w:tcPr>
            <w:tcW w:w="316" w:type="dxa"/>
            <w:tcBorders>
              <w:top w:val="nil"/>
              <w:left w:val="single" w:sz="8" w:space="0" w:color="auto"/>
              <w:bottom w:val="single" w:sz="8" w:space="0" w:color="auto"/>
              <w:right w:val="single" w:sz="8" w:space="0" w:color="auto"/>
            </w:tcBorders>
            <w:noWrap/>
          </w:tcPr>
          <w:p w14:paraId="5D34C89E" w14:textId="77777777" w:rsidR="000F2DE4" w:rsidRPr="00ED0FB0" w:rsidRDefault="000F2DE4" w:rsidP="000F2DE4">
            <w:pPr>
              <w:jc w:val="center"/>
              <w:rPr>
                <w:sz w:val="20"/>
                <w:szCs w:val="20"/>
              </w:rPr>
            </w:pPr>
            <w:r w:rsidRPr="00ED0FB0">
              <w:rPr>
                <w:sz w:val="20"/>
                <w:szCs w:val="20"/>
              </w:rPr>
              <w:t>3</w:t>
            </w:r>
          </w:p>
        </w:tc>
        <w:tc>
          <w:tcPr>
            <w:tcW w:w="1244" w:type="dxa"/>
            <w:tcBorders>
              <w:top w:val="nil"/>
              <w:left w:val="nil"/>
              <w:bottom w:val="single" w:sz="8" w:space="0" w:color="auto"/>
              <w:right w:val="single" w:sz="8" w:space="0" w:color="auto"/>
            </w:tcBorders>
            <w:noWrap/>
          </w:tcPr>
          <w:p w14:paraId="4D013C20" w14:textId="77777777" w:rsidR="000F2DE4" w:rsidRPr="00ED0FB0" w:rsidRDefault="000F2DE4" w:rsidP="000F2DE4">
            <w:pPr>
              <w:rPr>
                <w:sz w:val="20"/>
                <w:szCs w:val="20"/>
              </w:rPr>
            </w:pPr>
            <w:r w:rsidRPr="00ED0FB0">
              <w:rPr>
                <w:sz w:val="20"/>
                <w:szCs w:val="20"/>
              </w:rPr>
              <w:t>Izdevumi</w:t>
            </w:r>
          </w:p>
        </w:tc>
        <w:tc>
          <w:tcPr>
            <w:tcW w:w="992" w:type="dxa"/>
            <w:tcBorders>
              <w:top w:val="nil"/>
              <w:left w:val="nil"/>
              <w:bottom w:val="single" w:sz="8" w:space="0" w:color="auto"/>
              <w:right w:val="single" w:sz="8" w:space="0" w:color="auto"/>
            </w:tcBorders>
            <w:noWrap/>
          </w:tcPr>
          <w:p w14:paraId="436C7297" w14:textId="77777777" w:rsidR="000F2DE4" w:rsidRPr="00ED0FB0" w:rsidRDefault="000F2DE4" w:rsidP="000F2DE4">
            <w:pPr>
              <w:jc w:val="right"/>
              <w:rPr>
                <w:sz w:val="20"/>
                <w:szCs w:val="20"/>
              </w:rPr>
            </w:pPr>
            <w:r w:rsidRPr="00ED0FB0">
              <w:rPr>
                <w:sz w:val="20"/>
                <w:szCs w:val="20"/>
              </w:rPr>
              <w:t>1 791 108</w:t>
            </w:r>
          </w:p>
        </w:tc>
        <w:tc>
          <w:tcPr>
            <w:tcW w:w="992" w:type="dxa"/>
            <w:tcBorders>
              <w:top w:val="nil"/>
              <w:left w:val="nil"/>
              <w:bottom w:val="single" w:sz="8" w:space="0" w:color="auto"/>
              <w:right w:val="single" w:sz="8" w:space="0" w:color="auto"/>
            </w:tcBorders>
            <w:noWrap/>
          </w:tcPr>
          <w:p w14:paraId="3274D1F7" w14:textId="77777777" w:rsidR="000F2DE4" w:rsidRPr="00ED0FB0" w:rsidRDefault="000F2DE4" w:rsidP="000F2DE4">
            <w:pPr>
              <w:jc w:val="right"/>
              <w:rPr>
                <w:sz w:val="20"/>
                <w:szCs w:val="20"/>
              </w:rPr>
            </w:pPr>
            <w:r w:rsidRPr="00ED0FB0">
              <w:rPr>
                <w:sz w:val="20"/>
                <w:szCs w:val="20"/>
              </w:rPr>
              <w:t>1 241 896</w:t>
            </w:r>
          </w:p>
        </w:tc>
        <w:tc>
          <w:tcPr>
            <w:tcW w:w="992" w:type="dxa"/>
            <w:tcBorders>
              <w:top w:val="nil"/>
              <w:left w:val="nil"/>
              <w:bottom w:val="single" w:sz="8" w:space="0" w:color="auto"/>
              <w:right w:val="single" w:sz="8" w:space="0" w:color="auto"/>
            </w:tcBorders>
            <w:noWrap/>
          </w:tcPr>
          <w:p w14:paraId="46A7B2AB" w14:textId="77777777" w:rsidR="000F2DE4" w:rsidRPr="00ED0FB0" w:rsidRDefault="000F2DE4" w:rsidP="000F2DE4">
            <w:pPr>
              <w:jc w:val="right"/>
              <w:rPr>
                <w:sz w:val="20"/>
                <w:szCs w:val="20"/>
              </w:rPr>
            </w:pPr>
            <w:r w:rsidRPr="00ED0FB0">
              <w:rPr>
                <w:sz w:val="20"/>
                <w:szCs w:val="20"/>
              </w:rPr>
              <w:t>2 777 622</w:t>
            </w:r>
          </w:p>
        </w:tc>
        <w:tc>
          <w:tcPr>
            <w:tcW w:w="993" w:type="dxa"/>
            <w:tcBorders>
              <w:top w:val="nil"/>
              <w:left w:val="nil"/>
              <w:bottom w:val="single" w:sz="8" w:space="0" w:color="auto"/>
              <w:right w:val="single" w:sz="8" w:space="0" w:color="auto"/>
            </w:tcBorders>
            <w:noWrap/>
          </w:tcPr>
          <w:p w14:paraId="2A7E1DF8" w14:textId="77777777" w:rsidR="000F2DE4" w:rsidRPr="00ED0FB0" w:rsidRDefault="000F2DE4" w:rsidP="000F2DE4">
            <w:pPr>
              <w:jc w:val="right"/>
              <w:rPr>
                <w:sz w:val="20"/>
                <w:szCs w:val="20"/>
              </w:rPr>
            </w:pPr>
            <w:r w:rsidRPr="00ED0FB0">
              <w:rPr>
                <w:sz w:val="20"/>
                <w:szCs w:val="20"/>
              </w:rPr>
              <w:t>1 367 392</w:t>
            </w:r>
          </w:p>
        </w:tc>
        <w:tc>
          <w:tcPr>
            <w:tcW w:w="992" w:type="dxa"/>
            <w:tcBorders>
              <w:top w:val="nil"/>
              <w:left w:val="nil"/>
              <w:bottom w:val="single" w:sz="8" w:space="0" w:color="auto"/>
              <w:right w:val="single" w:sz="8" w:space="0" w:color="auto"/>
            </w:tcBorders>
            <w:noWrap/>
          </w:tcPr>
          <w:p w14:paraId="43507063" w14:textId="77777777" w:rsidR="000F2DE4" w:rsidRPr="00ED0FB0" w:rsidRDefault="00F70197" w:rsidP="000F2DE4">
            <w:pPr>
              <w:jc w:val="right"/>
              <w:rPr>
                <w:sz w:val="20"/>
                <w:szCs w:val="20"/>
              </w:rPr>
            </w:pPr>
            <w:r w:rsidRPr="00ED0FB0">
              <w:rPr>
                <w:sz w:val="20"/>
                <w:szCs w:val="20"/>
              </w:rPr>
              <w:t>1 928 712</w:t>
            </w:r>
          </w:p>
        </w:tc>
        <w:tc>
          <w:tcPr>
            <w:tcW w:w="850" w:type="dxa"/>
            <w:tcBorders>
              <w:top w:val="nil"/>
              <w:left w:val="nil"/>
              <w:bottom w:val="single" w:sz="8" w:space="0" w:color="auto"/>
              <w:right w:val="single" w:sz="8" w:space="0" w:color="auto"/>
            </w:tcBorders>
            <w:noWrap/>
          </w:tcPr>
          <w:p w14:paraId="7FF44FC4" w14:textId="77777777" w:rsidR="000F2DE4" w:rsidRPr="00ED0FB0" w:rsidRDefault="009F1581" w:rsidP="00195230">
            <w:pPr>
              <w:jc w:val="right"/>
              <w:rPr>
                <w:sz w:val="20"/>
                <w:szCs w:val="20"/>
              </w:rPr>
            </w:pPr>
            <w:r w:rsidRPr="00ED0FB0">
              <w:rPr>
                <w:sz w:val="20"/>
                <w:szCs w:val="20"/>
              </w:rPr>
              <w:t>2 013 63</w:t>
            </w:r>
            <w:r w:rsidR="00195230" w:rsidRPr="00ED0FB0">
              <w:rPr>
                <w:sz w:val="20"/>
                <w:szCs w:val="20"/>
              </w:rPr>
              <w:t>6</w:t>
            </w:r>
          </w:p>
        </w:tc>
        <w:tc>
          <w:tcPr>
            <w:tcW w:w="993" w:type="dxa"/>
            <w:tcBorders>
              <w:top w:val="nil"/>
              <w:left w:val="nil"/>
              <w:bottom w:val="single" w:sz="8" w:space="0" w:color="auto"/>
              <w:right w:val="single" w:sz="8" w:space="0" w:color="auto"/>
            </w:tcBorders>
            <w:noWrap/>
          </w:tcPr>
          <w:p w14:paraId="5AA50F2F" w14:textId="77777777" w:rsidR="000F2DE4" w:rsidRPr="00ED0FB0" w:rsidRDefault="00213E6F" w:rsidP="00195230">
            <w:pPr>
              <w:jc w:val="right"/>
              <w:rPr>
                <w:sz w:val="20"/>
                <w:szCs w:val="20"/>
              </w:rPr>
            </w:pPr>
            <w:r w:rsidRPr="00ED0FB0">
              <w:rPr>
                <w:sz w:val="20"/>
                <w:szCs w:val="20"/>
              </w:rPr>
              <w:t>2</w:t>
            </w:r>
            <w:r w:rsidR="009F1581" w:rsidRPr="00ED0FB0">
              <w:rPr>
                <w:sz w:val="20"/>
                <w:szCs w:val="20"/>
              </w:rPr>
              <w:t> 207 38</w:t>
            </w:r>
            <w:r w:rsidR="00195230" w:rsidRPr="00ED0FB0">
              <w:rPr>
                <w:sz w:val="20"/>
                <w:szCs w:val="20"/>
              </w:rPr>
              <w:t>8</w:t>
            </w:r>
          </w:p>
        </w:tc>
        <w:tc>
          <w:tcPr>
            <w:tcW w:w="992" w:type="dxa"/>
            <w:tcBorders>
              <w:top w:val="nil"/>
              <w:left w:val="nil"/>
              <w:bottom w:val="single" w:sz="8" w:space="0" w:color="auto"/>
              <w:right w:val="single" w:sz="8" w:space="0" w:color="auto"/>
            </w:tcBorders>
            <w:noWrap/>
          </w:tcPr>
          <w:p w14:paraId="09445705" w14:textId="77777777" w:rsidR="000F2DE4" w:rsidRPr="00ED0FB0" w:rsidRDefault="009F1581" w:rsidP="00195230">
            <w:pPr>
              <w:jc w:val="right"/>
              <w:rPr>
                <w:sz w:val="20"/>
                <w:szCs w:val="20"/>
              </w:rPr>
            </w:pPr>
            <w:r w:rsidRPr="00ED0FB0">
              <w:rPr>
                <w:sz w:val="20"/>
                <w:szCs w:val="20"/>
              </w:rPr>
              <w:t>2 448 0</w:t>
            </w:r>
            <w:r w:rsidR="00195230" w:rsidRPr="00ED0FB0">
              <w:rPr>
                <w:sz w:val="20"/>
                <w:szCs w:val="20"/>
              </w:rPr>
              <w:t>90</w:t>
            </w:r>
          </w:p>
        </w:tc>
      </w:tr>
      <w:tr w:rsidR="00075884" w:rsidRPr="00ED0FB0" w14:paraId="1FA7A2DA" w14:textId="77777777" w:rsidTr="005A6D3B">
        <w:trPr>
          <w:trHeight w:val="525"/>
          <w:jc w:val="center"/>
        </w:trPr>
        <w:tc>
          <w:tcPr>
            <w:tcW w:w="316" w:type="dxa"/>
            <w:tcBorders>
              <w:top w:val="nil"/>
              <w:left w:val="single" w:sz="8" w:space="0" w:color="auto"/>
              <w:bottom w:val="single" w:sz="8" w:space="0" w:color="auto"/>
              <w:right w:val="single" w:sz="8" w:space="0" w:color="auto"/>
            </w:tcBorders>
            <w:noWrap/>
          </w:tcPr>
          <w:p w14:paraId="0FAE5EEA" w14:textId="77777777" w:rsidR="00075884" w:rsidRPr="00ED0FB0" w:rsidRDefault="00075884" w:rsidP="00075884">
            <w:pPr>
              <w:jc w:val="center"/>
              <w:rPr>
                <w:sz w:val="20"/>
                <w:szCs w:val="20"/>
              </w:rPr>
            </w:pPr>
            <w:r w:rsidRPr="00ED0FB0">
              <w:rPr>
                <w:sz w:val="20"/>
                <w:szCs w:val="20"/>
              </w:rPr>
              <w:t>4</w:t>
            </w:r>
          </w:p>
        </w:tc>
        <w:tc>
          <w:tcPr>
            <w:tcW w:w="1244" w:type="dxa"/>
            <w:tcBorders>
              <w:top w:val="nil"/>
              <w:left w:val="nil"/>
              <w:bottom w:val="single" w:sz="8" w:space="0" w:color="auto"/>
              <w:right w:val="single" w:sz="8" w:space="0" w:color="auto"/>
            </w:tcBorders>
          </w:tcPr>
          <w:p w14:paraId="2F7C00BD" w14:textId="77777777" w:rsidR="00075884" w:rsidRPr="00ED0FB0" w:rsidRDefault="00075884" w:rsidP="00075884">
            <w:pPr>
              <w:rPr>
                <w:sz w:val="20"/>
                <w:szCs w:val="20"/>
              </w:rPr>
            </w:pPr>
            <w:r w:rsidRPr="00ED0FB0">
              <w:rPr>
                <w:sz w:val="20"/>
                <w:szCs w:val="20"/>
              </w:rPr>
              <w:t>Darbinieku</w:t>
            </w:r>
          </w:p>
          <w:p w14:paraId="4335224F" w14:textId="77777777" w:rsidR="00075884" w:rsidRPr="00ED0FB0" w:rsidRDefault="00075884" w:rsidP="00075884">
            <w:pPr>
              <w:rPr>
                <w:sz w:val="20"/>
                <w:szCs w:val="20"/>
              </w:rPr>
            </w:pPr>
            <w:r w:rsidRPr="00ED0FB0">
              <w:rPr>
                <w:sz w:val="20"/>
                <w:szCs w:val="20"/>
              </w:rPr>
              <w:t xml:space="preserve">skaits, kam </w:t>
            </w:r>
          </w:p>
          <w:p w14:paraId="68720DC2" w14:textId="77777777" w:rsidR="00075884" w:rsidRPr="00ED0FB0" w:rsidRDefault="00075884" w:rsidP="00075884">
            <w:pPr>
              <w:rPr>
                <w:sz w:val="20"/>
                <w:szCs w:val="20"/>
              </w:rPr>
            </w:pPr>
            <w:r w:rsidRPr="00ED0FB0">
              <w:rPr>
                <w:sz w:val="20"/>
                <w:szCs w:val="20"/>
              </w:rPr>
              <w:t xml:space="preserve">segti prasījumi </w:t>
            </w:r>
          </w:p>
          <w:p w14:paraId="7A86BC3E" w14:textId="77777777" w:rsidR="00075884" w:rsidRPr="00ED0FB0" w:rsidRDefault="00075884" w:rsidP="00075884">
            <w:pPr>
              <w:rPr>
                <w:sz w:val="20"/>
                <w:szCs w:val="20"/>
              </w:rPr>
            </w:pPr>
            <w:r w:rsidRPr="00ED0FB0">
              <w:rPr>
                <w:sz w:val="20"/>
                <w:szCs w:val="20"/>
              </w:rPr>
              <w:t>no darbinieku prasījumu</w:t>
            </w:r>
          </w:p>
          <w:p w14:paraId="1DF07E87" w14:textId="77777777" w:rsidR="00075884" w:rsidRPr="00ED0FB0" w:rsidRDefault="00075884" w:rsidP="00075884">
            <w:pPr>
              <w:rPr>
                <w:sz w:val="20"/>
                <w:szCs w:val="20"/>
              </w:rPr>
            </w:pPr>
            <w:r w:rsidRPr="00ED0FB0">
              <w:rPr>
                <w:sz w:val="20"/>
                <w:szCs w:val="20"/>
              </w:rPr>
              <w:t>garantiju fonda</w:t>
            </w:r>
          </w:p>
        </w:tc>
        <w:tc>
          <w:tcPr>
            <w:tcW w:w="992" w:type="dxa"/>
            <w:tcBorders>
              <w:top w:val="nil"/>
              <w:left w:val="nil"/>
              <w:bottom w:val="single" w:sz="8" w:space="0" w:color="auto"/>
              <w:right w:val="single" w:sz="8" w:space="0" w:color="auto"/>
            </w:tcBorders>
            <w:noWrap/>
          </w:tcPr>
          <w:p w14:paraId="2E32B904" w14:textId="77777777" w:rsidR="00075884" w:rsidRPr="00ED0FB0" w:rsidRDefault="00075884" w:rsidP="00075884">
            <w:pPr>
              <w:jc w:val="right"/>
              <w:rPr>
                <w:sz w:val="20"/>
                <w:szCs w:val="20"/>
              </w:rPr>
            </w:pPr>
            <w:r w:rsidRPr="00ED0FB0">
              <w:rPr>
                <w:sz w:val="20"/>
                <w:szCs w:val="20"/>
              </w:rPr>
              <w:t>2 158</w:t>
            </w:r>
          </w:p>
        </w:tc>
        <w:tc>
          <w:tcPr>
            <w:tcW w:w="992" w:type="dxa"/>
            <w:tcBorders>
              <w:top w:val="nil"/>
              <w:left w:val="nil"/>
              <w:bottom w:val="single" w:sz="8" w:space="0" w:color="auto"/>
              <w:right w:val="single" w:sz="8" w:space="0" w:color="auto"/>
            </w:tcBorders>
            <w:noWrap/>
          </w:tcPr>
          <w:p w14:paraId="6AF09C3A" w14:textId="77777777" w:rsidR="00075884" w:rsidRPr="00ED0FB0" w:rsidRDefault="00075884" w:rsidP="00075884">
            <w:pPr>
              <w:jc w:val="right"/>
              <w:rPr>
                <w:sz w:val="20"/>
                <w:szCs w:val="20"/>
              </w:rPr>
            </w:pPr>
            <w:r w:rsidRPr="00ED0FB0">
              <w:rPr>
                <w:sz w:val="20"/>
                <w:szCs w:val="20"/>
              </w:rPr>
              <w:t>1 418</w:t>
            </w:r>
          </w:p>
        </w:tc>
        <w:tc>
          <w:tcPr>
            <w:tcW w:w="992" w:type="dxa"/>
            <w:tcBorders>
              <w:top w:val="nil"/>
              <w:left w:val="nil"/>
              <w:bottom w:val="single" w:sz="8" w:space="0" w:color="auto"/>
              <w:right w:val="single" w:sz="8" w:space="0" w:color="auto"/>
            </w:tcBorders>
            <w:noWrap/>
          </w:tcPr>
          <w:p w14:paraId="2BA64BBE" w14:textId="77777777" w:rsidR="00075884" w:rsidRPr="00ED0FB0" w:rsidRDefault="00075884" w:rsidP="00075884">
            <w:pPr>
              <w:jc w:val="right"/>
              <w:rPr>
                <w:sz w:val="20"/>
                <w:szCs w:val="20"/>
              </w:rPr>
            </w:pPr>
            <w:r w:rsidRPr="00ED0FB0">
              <w:rPr>
                <w:sz w:val="20"/>
                <w:szCs w:val="20"/>
              </w:rPr>
              <w:t>3 590</w:t>
            </w:r>
          </w:p>
        </w:tc>
        <w:tc>
          <w:tcPr>
            <w:tcW w:w="993" w:type="dxa"/>
            <w:tcBorders>
              <w:top w:val="nil"/>
              <w:left w:val="nil"/>
              <w:bottom w:val="single" w:sz="8" w:space="0" w:color="auto"/>
              <w:right w:val="single" w:sz="8" w:space="0" w:color="auto"/>
            </w:tcBorders>
            <w:noWrap/>
          </w:tcPr>
          <w:p w14:paraId="25B47671" w14:textId="77777777" w:rsidR="00075884" w:rsidRPr="00ED0FB0" w:rsidRDefault="00075884" w:rsidP="00075884">
            <w:pPr>
              <w:jc w:val="right"/>
              <w:rPr>
                <w:sz w:val="20"/>
                <w:szCs w:val="20"/>
              </w:rPr>
            </w:pPr>
            <w:r w:rsidRPr="00ED0FB0">
              <w:rPr>
                <w:sz w:val="20"/>
                <w:szCs w:val="20"/>
              </w:rPr>
              <w:t>1 432</w:t>
            </w:r>
          </w:p>
        </w:tc>
        <w:tc>
          <w:tcPr>
            <w:tcW w:w="992" w:type="dxa"/>
            <w:tcBorders>
              <w:top w:val="nil"/>
              <w:left w:val="nil"/>
              <w:bottom w:val="single" w:sz="8" w:space="0" w:color="auto"/>
              <w:right w:val="single" w:sz="8" w:space="0" w:color="auto"/>
            </w:tcBorders>
            <w:noWrap/>
          </w:tcPr>
          <w:p w14:paraId="17308C4B" w14:textId="77777777" w:rsidR="00075884" w:rsidRPr="00ED0FB0" w:rsidRDefault="00075884" w:rsidP="00075884">
            <w:pPr>
              <w:jc w:val="right"/>
              <w:rPr>
                <w:sz w:val="20"/>
                <w:szCs w:val="20"/>
              </w:rPr>
            </w:pPr>
            <w:r w:rsidRPr="00ED0FB0">
              <w:rPr>
                <w:sz w:val="20"/>
                <w:szCs w:val="20"/>
              </w:rPr>
              <w:t>1 808</w:t>
            </w:r>
          </w:p>
        </w:tc>
        <w:tc>
          <w:tcPr>
            <w:tcW w:w="850" w:type="dxa"/>
            <w:tcBorders>
              <w:top w:val="nil"/>
              <w:left w:val="nil"/>
              <w:bottom w:val="single" w:sz="8" w:space="0" w:color="auto"/>
              <w:right w:val="single" w:sz="8" w:space="0" w:color="auto"/>
            </w:tcBorders>
            <w:noWrap/>
          </w:tcPr>
          <w:p w14:paraId="3C82D869" w14:textId="77777777" w:rsidR="00075884" w:rsidRPr="00ED0FB0" w:rsidRDefault="00075884" w:rsidP="00F47695">
            <w:pPr>
              <w:jc w:val="right"/>
              <w:rPr>
                <w:sz w:val="20"/>
                <w:szCs w:val="20"/>
              </w:rPr>
            </w:pPr>
            <w:r w:rsidRPr="00ED0FB0">
              <w:rPr>
                <w:sz w:val="20"/>
                <w:szCs w:val="20"/>
              </w:rPr>
              <w:t>1 6</w:t>
            </w:r>
            <w:r w:rsidR="00F47695" w:rsidRPr="00ED0FB0">
              <w:rPr>
                <w:sz w:val="20"/>
                <w:szCs w:val="20"/>
              </w:rPr>
              <w:t>49</w:t>
            </w:r>
          </w:p>
        </w:tc>
        <w:tc>
          <w:tcPr>
            <w:tcW w:w="993" w:type="dxa"/>
            <w:tcBorders>
              <w:top w:val="nil"/>
              <w:left w:val="nil"/>
              <w:bottom w:val="single" w:sz="8" w:space="0" w:color="auto"/>
              <w:right w:val="single" w:sz="8" w:space="0" w:color="auto"/>
            </w:tcBorders>
            <w:noWrap/>
          </w:tcPr>
          <w:p w14:paraId="02B512B5" w14:textId="77777777" w:rsidR="00075884" w:rsidRPr="00ED0FB0" w:rsidRDefault="00075884" w:rsidP="00F47695">
            <w:pPr>
              <w:jc w:val="right"/>
              <w:rPr>
                <w:sz w:val="20"/>
                <w:szCs w:val="20"/>
              </w:rPr>
            </w:pPr>
            <w:r w:rsidRPr="00ED0FB0">
              <w:rPr>
                <w:sz w:val="20"/>
                <w:szCs w:val="20"/>
              </w:rPr>
              <w:t xml:space="preserve"> 1 7</w:t>
            </w:r>
            <w:r w:rsidR="00F47695" w:rsidRPr="00ED0FB0">
              <w:rPr>
                <w:sz w:val="20"/>
                <w:szCs w:val="20"/>
              </w:rPr>
              <w:t>17</w:t>
            </w:r>
          </w:p>
        </w:tc>
        <w:tc>
          <w:tcPr>
            <w:tcW w:w="992" w:type="dxa"/>
            <w:tcBorders>
              <w:top w:val="nil"/>
              <w:left w:val="nil"/>
              <w:bottom w:val="single" w:sz="8" w:space="0" w:color="auto"/>
              <w:right w:val="single" w:sz="8" w:space="0" w:color="auto"/>
            </w:tcBorders>
            <w:noWrap/>
          </w:tcPr>
          <w:p w14:paraId="779B6611" w14:textId="77777777" w:rsidR="00075884" w:rsidRPr="00ED0FB0" w:rsidRDefault="00075884" w:rsidP="00F47695">
            <w:pPr>
              <w:jc w:val="right"/>
              <w:rPr>
                <w:sz w:val="20"/>
                <w:szCs w:val="20"/>
              </w:rPr>
            </w:pPr>
            <w:r w:rsidRPr="00ED0FB0">
              <w:rPr>
                <w:sz w:val="20"/>
                <w:szCs w:val="20"/>
              </w:rPr>
              <w:t xml:space="preserve">1 </w:t>
            </w:r>
            <w:r w:rsidR="00F47695" w:rsidRPr="00ED0FB0">
              <w:rPr>
                <w:sz w:val="20"/>
                <w:szCs w:val="20"/>
              </w:rPr>
              <w:t>802</w:t>
            </w:r>
          </w:p>
        </w:tc>
      </w:tr>
    </w:tbl>
    <w:p w14:paraId="7D1F355F" w14:textId="77777777" w:rsidR="005A6D3B" w:rsidRPr="00ED0FB0" w:rsidRDefault="005A6D3B" w:rsidP="005D43A6">
      <w:pPr>
        <w:jc w:val="both"/>
        <w:rPr>
          <w:i/>
          <w:sz w:val="18"/>
          <w:szCs w:val="18"/>
        </w:rPr>
      </w:pPr>
    </w:p>
    <w:p w14:paraId="314F75D9" w14:textId="77777777" w:rsidR="000F6195" w:rsidRPr="00291B52" w:rsidRDefault="005D43A6" w:rsidP="005D43A6">
      <w:pPr>
        <w:jc w:val="both"/>
        <w:rPr>
          <w:i/>
          <w:sz w:val="20"/>
          <w:szCs w:val="20"/>
        </w:rPr>
      </w:pPr>
      <w:r w:rsidRPr="00291B52">
        <w:rPr>
          <w:i/>
          <w:sz w:val="20"/>
          <w:szCs w:val="20"/>
        </w:rPr>
        <w:t>*</w:t>
      </w:r>
      <w:r w:rsidR="00291B52">
        <w:rPr>
          <w:i/>
          <w:sz w:val="20"/>
          <w:szCs w:val="20"/>
        </w:rPr>
        <w:t xml:space="preserve"> P</w:t>
      </w:r>
      <w:r w:rsidR="000F6195" w:rsidRPr="00291B52">
        <w:rPr>
          <w:i/>
          <w:sz w:val="20"/>
          <w:szCs w:val="20"/>
        </w:rPr>
        <w:t>l</w:t>
      </w:r>
      <w:r w:rsidRPr="00291B52">
        <w:rPr>
          <w:i/>
          <w:sz w:val="20"/>
          <w:szCs w:val="20"/>
        </w:rPr>
        <w:t>ā</w:t>
      </w:r>
      <w:r w:rsidR="000F6195" w:rsidRPr="00291B52">
        <w:rPr>
          <w:i/>
          <w:sz w:val="20"/>
          <w:szCs w:val="20"/>
        </w:rPr>
        <w:t>notie ie</w:t>
      </w:r>
      <w:r w:rsidRPr="00291B52">
        <w:rPr>
          <w:i/>
          <w:sz w:val="20"/>
          <w:szCs w:val="20"/>
        </w:rPr>
        <w:t>ņē</w:t>
      </w:r>
      <w:r w:rsidR="000F6195" w:rsidRPr="00291B52">
        <w:rPr>
          <w:i/>
          <w:sz w:val="20"/>
          <w:szCs w:val="20"/>
        </w:rPr>
        <w:t>mumi no 2017. l</w:t>
      </w:r>
      <w:r w:rsidRPr="00291B52">
        <w:rPr>
          <w:i/>
          <w:sz w:val="20"/>
          <w:szCs w:val="20"/>
        </w:rPr>
        <w:t>ī</w:t>
      </w:r>
      <w:r w:rsidR="000F6195" w:rsidRPr="00291B52">
        <w:rPr>
          <w:i/>
          <w:sz w:val="20"/>
          <w:szCs w:val="20"/>
        </w:rPr>
        <w:t>dz 2019.gadam veidojas no 16.tabul</w:t>
      </w:r>
      <w:r w:rsidRPr="00291B52">
        <w:rPr>
          <w:i/>
          <w:sz w:val="20"/>
          <w:szCs w:val="20"/>
        </w:rPr>
        <w:t>ā</w:t>
      </w:r>
      <w:r w:rsidR="000F6195" w:rsidRPr="00291B52">
        <w:rPr>
          <w:i/>
          <w:sz w:val="20"/>
          <w:szCs w:val="20"/>
        </w:rPr>
        <w:t xml:space="preserve"> atspogu</w:t>
      </w:r>
      <w:r w:rsidRPr="00291B52">
        <w:rPr>
          <w:i/>
          <w:sz w:val="20"/>
          <w:szCs w:val="20"/>
        </w:rPr>
        <w:t>ļ</w:t>
      </w:r>
      <w:r w:rsidR="000F6195" w:rsidRPr="00291B52">
        <w:rPr>
          <w:i/>
          <w:sz w:val="20"/>
          <w:szCs w:val="20"/>
        </w:rPr>
        <w:t>otajiem URVN ie</w:t>
      </w:r>
      <w:r w:rsidRPr="00291B52">
        <w:rPr>
          <w:i/>
          <w:sz w:val="20"/>
          <w:szCs w:val="20"/>
        </w:rPr>
        <w:t>ņē</w:t>
      </w:r>
      <w:r w:rsidR="000F6195" w:rsidRPr="00291B52">
        <w:rPr>
          <w:i/>
          <w:sz w:val="20"/>
          <w:szCs w:val="20"/>
        </w:rPr>
        <w:t>mumiem un 18. un 2</w:t>
      </w:r>
      <w:r w:rsidR="005B6B3E" w:rsidRPr="00291B52">
        <w:rPr>
          <w:i/>
          <w:sz w:val="20"/>
          <w:szCs w:val="20"/>
        </w:rPr>
        <w:t>8</w:t>
      </w:r>
      <w:r w:rsidR="000F6195" w:rsidRPr="00291B52">
        <w:rPr>
          <w:i/>
          <w:sz w:val="20"/>
          <w:szCs w:val="20"/>
        </w:rPr>
        <w:t>.tabul</w:t>
      </w:r>
      <w:r w:rsidRPr="00291B52">
        <w:rPr>
          <w:i/>
          <w:sz w:val="20"/>
          <w:szCs w:val="20"/>
        </w:rPr>
        <w:t>ā</w:t>
      </w:r>
      <w:r w:rsidR="000F6195" w:rsidRPr="00291B52">
        <w:rPr>
          <w:i/>
          <w:sz w:val="20"/>
          <w:szCs w:val="20"/>
        </w:rPr>
        <w:t xml:space="preserve"> atspogu</w:t>
      </w:r>
      <w:r w:rsidR="000E0ECC" w:rsidRPr="00291B52">
        <w:rPr>
          <w:i/>
          <w:sz w:val="20"/>
          <w:szCs w:val="20"/>
        </w:rPr>
        <w:t>ļ</w:t>
      </w:r>
      <w:r w:rsidR="000F6195" w:rsidRPr="00291B52">
        <w:rPr>
          <w:i/>
          <w:sz w:val="20"/>
          <w:szCs w:val="20"/>
        </w:rPr>
        <w:t>otajiem pl</w:t>
      </w:r>
      <w:r w:rsidR="000E0ECC" w:rsidRPr="00291B52">
        <w:rPr>
          <w:i/>
          <w:sz w:val="20"/>
          <w:szCs w:val="20"/>
        </w:rPr>
        <w:t>ā</w:t>
      </w:r>
      <w:r w:rsidR="000F6195" w:rsidRPr="00291B52">
        <w:rPr>
          <w:i/>
          <w:sz w:val="20"/>
          <w:szCs w:val="20"/>
        </w:rPr>
        <w:t>notajiem ie</w:t>
      </w:r>
      <w:r w:rsidR="000E0ECC" w:rsidRPr="00291B52">
        <w:rPr>
          <w:i/>
          <w:sz w:val="20"/>
          <w:szCs w:val="20"/>
        </w:rPr>
        <w:t>ņē</w:t>
      </w:r>
      <w:r w:rsidR="000F6195" w:rsidRPr="00291B52">
        <w:rPr>
          <w:i/>
          <w:sz w:val="20"/>
          <w:szCs w:val="20"/>
        </w:rPr>
        <w:t>mumiem no atg</w:t>
      </w:r>
      <w:r w:rsidR="000E0ECC" w:rsidRPr="00291B52">
        <w:rPr>
          <w:i/>
          <w:sz w:val="20"/>
          <w:szCs w:val="20"/>
        </w:rPr>
        <w:t>ū</w:t>
      </w:r>
      <w:r w:rsidR="000F6195" w:rsidRPr="00291B52">
        <w:rPr>
          <w:i/>
          <w:sz w:val="20"/>
          <w:szCs w:val="20"/>
        </w:rPr>
        <w:t>tajiem l</w:t>
      </w:r>
      <w:r w:rsidR="000E0ECC" w:rsidRPr="00291B52">
        <w:rPr>
          <w:i/>
          <w:sz w:val="20"/>
          <w:szCs w:val="20"/>
        </w:rPr>
        <w:t>ī</w:t>
      </w:r>
      <w:r w:rsidR="000F6195" w:rsidRPr="00291B52">
        <w:rPr>
          <w:i/>
          <w:sz w:val="20"/>
          <w:szCs w:val="20"/>
        </w:rPr>
        <w:t>dzek</w:t>
      </w:r>
      <w:r w:rsidR="000E0ECC" w:rsidRPr="00291B52">
        <w:rPr>
          <w:i/>
          <w:sz w:val="20"/>
          <w:szCs w:val="20"/>
        </w:rPr>
        <w:t>ļ</w:t>
      </w:r>
      <w:r w:rsidR="000F6195" w:rsidRPr="00291B52">
        <w:rPr>
          <w:i/>
          <w:sz w:val="20"/>
          <w:szCs w:val="20"/>
        </w:rPr>
        <w:t>iem. Pl</w:t>
      </w:r>
      <w:r w:rsidR="00E053FE" w:rsidRPr="00291B52">
        <w:rPr>
          <w:i/>
          <w:sz w:val="20"/>
          <w:szCs w:val="20"/>
        </w:rPr>
        <w:t>ā</w:t>
      </w:r>
      <w:r w:rsidR="000F6195" w:rsidRPr="00291B52">
        <w:rPr>
          <w:i/>
          <w:sz w:val="20"/>
          <w:szCs w:val="20"/>
        </w:rPr>
        <w:t>notie izdevumi veidojas no 18.tabul</w:t>
      </w:r>
      <w:r w:rsidR="00E053FE" w:rsidRPr="00291B52">
        <w:rPr>
          <w:i/>
          <w:sz w:val="20"/>
          <w:szCs w:val="20"/>
        </w:rPr>
        <w:t>ā</w:t>
      </w:r>
      <w:r w:rsidR="000F6195" w:rsidRPr="00291B52">
        <w:rPr>
          <w:i/>
          <w:sz w:val="20"/>
          <w:szCs w:val="20"/>
        </w:rPr>
        <w:t xml:space="preserve"> atspogu</w:t>
      </w:r>
      <w:r w:rsidR="00E053FE" w:rsidRPr="00291B52">
        <w:rPr>
          <w:i/>
          <w:sz w:val="20"/>
          <w:szCs w:val="20"/>
        </w:rPr>
        <w:t>ļ</w:t>
      </w:r>
      <w:r w:rsidR="000F6195" w:rsidRPr="00291B52">
        <w:rPr>
          <w:i/>
          <w:sz w:val="20"/>
          <w:szCs w:val="20"/>
        </w:rPr>
        <w:t>otajiem maks</w:t>
      </w:r>
      <w:r w:rsidR="00E053FE" w:rsidRPr="00291B52">
        <w:rPr>
          <w:i/>
          <w:sz w:val="20"/>
          <w:szCs w:val="20"/>
        </w:rPr>
        <w:t>ā</w:t>
      </w:r>
      <w:r w:rsidR="000F6195" w:rsidRPr="00291B52">
        <w:rPr>
          <w:i/>
          <w:sz w:val="20"/>
          <w:szCs w:val="20"/>
        </w:rPr>
        <w:t>tnesp</w:t>
      </w:r>
      <w:r w:rsidR="00E053FE" w:rsidRPr="00291B52">
        <w:rPr>
          <w:i/>
          <w:sz w:val="20"/>
          <w:szCs w:val="20"/>
        </w:rPr>
        <w:t>ē</w:t>
      </w:r>
      <w:r w:rsidR="000F6195" w:rsidRPr="00291B52">
        <w:rPr>
          <w:i/>
          <w:sz w:val="20"/>
          <w:szCs w:val="20"/>
        </w:rPr>
        <w:t>jas procesa izmaksu izdevumiem un 2</w:t>
      </w:r>
      <w:r w:rsidR="00BE02D4" w:rsidRPr="00291B52">
        <w:rPr>
          <w:i/>
          <w:sz w:val="20"/>
          <w:szCs w:val="20"/>
        </w:rPr>
        <w:t>8</w:t>
      </w:r>
      <w:r w:rsidR="000F6195" w:rsidRPr="00291B52">
        <w:rPr>
          <w:i/>
          <w:sz w:val="20"/>
          <w:szCs w:val="20"/>
        </w:rPr>
        <w:t>.tabul</w:t>
      </w:r>
      <w:r w:rsidR="00E053FE" w:rsidRPr="00291B52">
        <w:rPr>
          <w:i/>
          <w:sz w:val="20"/>
          <w:szCs w:val="20"/>
        </w:rPr>
        <w:t>ā</w:t>
      </w:r>
      <w:r w:rsidR="000F6195" w:rsidRPr="00291B52">
        <w:rPr>
          <w:i/>
          <w:sz w:val="20"/>
          <w:szCs w:val="20"/>
        </w:rPr>
        <w:t xml:space="preserve"> atspogu</w:t>
      </w:r>
      <w:r w:rsidR="00E053FE" w:rsidRPr="00291B52">
        <w:rPr>
          <w:i/>
          <w:sz w:val="20"/>
          <w:szCs w:val="20"/>
        </w:rPr>
        <w:t>ļ</w:t>
      </w:r>
      <w:r w:rsidR="000F6195" w:rsidRPr="00291B52">
        <w:rPr>
          <w:i/>
          <w:sz w:val="20"/>
          <w:szCs w:val="20"/>
        </w:rPr>
        <w:t>otajiem izdevumiem kop</w:t>
      </w:r>
      <w:r w:rsidR="00E053FE" w:rsidRPr="00291B52">
        <w:rPr>
          <w:i/>
          <w:sz w:val="20"/>
          <w:szCs w:val="20"/>
        </w:rPr>
        <w:t>ā</w:t>
      </w:r>
      <w:r w:rsidR="000F6195" w:rsidRPr="00291B52">
        <w:rPr>
          <w:i/>
          <w:sz w:val="20"/>
          <w:szCs w:val="20"/>
        </w:rPr>
        <w:t>.</w:t>
      </w:r>
    </w:p>
    <w:p w14:paraId="5068D4E1" w14:textId="77777777" w:rsidR="000F6195" w:rsidRPr="00291B52" w:rsidRDefault="000F6195" w:rsidP="00F07CAD">
      <w:pPr>
        <w:ind w:firstLine="720"/>
        <w:jc w:val="both"/>
        <w:rPr>
          <w:sz w:val="20"/>
          <w:szCs w:val="20"/>
        </w:rPr>
      </w:pPr>
    </w:p>
    <w:p w14:paraId="60BBADC7" w14:textId="77777777" w:rsidR="00CA67E2" w:rsidRPr="00291B52" w:rsidRDefault="00C02CAA" w:rsidP="00291B52">
      <w:pPr>
        <w:ind w:firstLine="720"/>
        <w:jc w:val="both"/>
      </w:pPr>
      <w:r w:rsidRPr="00291B52">
        <w:t>Ņemot vērā to, ka nākamajos gados ir plānota ievērojama uzkrājuma veidošanās,</w:t>
      </w:r>
      <w:r w:rsidR="0072002D" w:rsidRPr="00291B52">
        <w:t xml:space="preserve"> Maksātnespējas administrācija </w:t>
      </w:r>
      <w:r w:rsidR="00604195" w:rsidRPr="00291B52">
        <w:t xml:space="preserve">jau no 2015.gada apkopo informāciju </w:t>
      </w:r>
      <w:r w:rsidRPr="00291B52">
        <w:t xml:space="preserve"> </w:t>
      </w:r>
      <w:r w:rsidR="00604195" w:rsidRPr="00291B52">
        <w:t xml:space="preserve">par summām, kas būtu jāizmaksā darbiniekiem viņu prasījumu segšanai, ja izmaksājamās summas nebūtu piesaistītas minimālajai algai, bet būtu jāizmaksā darba devēja parāda apmērā saskaņā ar normatīvajiem aktiem. </w:t>
      </w:r>
      <w:r w:rsidR="00D75698" w:rsidRPr="00291B52">
        <w:t>Saskaņā ar Maksātnespējas administrācijas apkopoto informāciju 2015.gadā būtu nepieciešami par 63</w:t>
      </w:r>
      <w:r w:rsidR="00B93663">
        <w:t>,</w:t>
      </w:r>
      <w:r w:rsidR="00D75698" w:rsidRPr="00291B52">
        <w:t>6</w:t>
      </w:r>
      <w:r w:rsidR="00F64356" w:rsidRPr="00291B52">
        <w:t xml:space="preserve"> procentiem</w:t>
      </w:r>
      <w:r w:rsidR="00D75698" w:rsidRPr="00291B52">
        <w:t xml:space="preserve"> vairāk finanšu līdzekļi, ja nebūtu spēkā nekāds summas ierobežojums. 2015.gadā segti darbinieku prasījumi (bez administratora atlīdzības 6</w:t>
      </w:r>
      <w:r w:rsidR="00B93663">
        <w:t>,</w:t>
      </w:r>
      <w:r w:rsidR="00D75698" w:rsidRPr="00291B52">
        <w:t xml:space="preserve">40 </w:t>
      </w:r>
      <w:r w:rsidR="00D75698" w:rsidRPr="00291B52">
        <w:rPr>
          <w:i/>
        </w:rPr>
        <w:t>euro</w:t>
      </w:r>
      <w:r w:rsidR="00D75698" w:rsidRPr="00291B52">
        <w:t xml:space="preserve"> par darbinieku, kas gadā sastādīja 2 010 </w:t>
      </w:r>
      <w:r w:rsidR="00D75698" w:rsidRPr="00291B52">
        <w:rPr>
          <w:i/>
        </w:rPr>
        <w:t>euro</w:t>
      </w:r>
      <w:r w:rsidR="00D75698" w:rsidRPr="00291B52">
        <w:t xml:space="preserve">) </w:t>
      </w:r>
      <w:r w:rsidR="00154A60" w:rsidRPr="00291B52">
        <w:t xml:space="preserve">1 157 077 </w:t>
      </w:r>
      <w:r w:rsidR="00154A60" w:rsidRPr="00291B52">
        <w:rPr>
          <w:i/>
        </w:rPr>
        <w:t>euro</w:t>
      </w:r>
      <w:r w:rsidR="00154A60" w:rsidRPr="00291B52">
        <w:t xml:space="preserve"> apmērā, bez ierobežojuma</w:t>
      </w:r>
      <w:r w:rsidR="000869CD" w:rsidRPr="00291B52">
        <w:t xml:space="preserve"> nepieciešamā </w:t>
      </w:r>
      <w:r w:rsidR="006616DF" w:rsidRPr="00291B52">
        <w:t xml:space="preserve">darbinieku </w:t>
      </w:r>
      <w:r w:rsidR="000869CD" w:rsidRPr="00291B52">
        <w:t xml:space="preserve">prasījumu segšanas summa būtu par 735 498 </w:t>
      </w:r>
      <w:r w:rsidR="000869CD" w:rsidRPr="00291B52">
        <w:rPr>
          <w:i/>
        </w:rPr>
        <w:t>euro</w:t>
      </w:r>
      <w:r w:rsidR="000869CD" w:rsidRPr="00291B52">
        <w:t xml:space="preserve"> lielāka, </w:t>
      </w:r>
      <w:r w:rsidR="007C1B41" w:rsidRPr="00291B52">
        <w:t>proti,</w:t>
      </w:r>
      <w:r w:rsidR="000869CD" w:rsidRPr="00291B52">
        <w:t xml:space="preserve"> 1 897 873 </w:t>
      </w:r>
      <w:r w:rsidR="000869CD" w:rsidRPr="00291B52">
        <w:rPr>
          <w:i/>
        </w:rPr>
        <w:t>euro</w:t>
      </w:r>
      <w:r w:rsidR="00154A60" w:rsidRPr="00291B52">
        <w:t xml:space="preserve">. </w:t>
      </w:r>
    </w:p>
    <w:p w14:paraId="1B0696AB" w14:textId="77777777" w:rsidR="00661398" w:rsidRPr="00291B52" w:rsidRDefault="00661398" w:rsidP="00291B52">
      <w:pPr>
        <w:ind w:firstLine="720"/>
        <w:jc w:val="both"/>
      </w:pPr>
      <w:r w:rsidRPr="00291B52">
        <w:t>Minētā informācija tiks uzkrāta arī nākamajos gados. Papildus no 2016.gada Maksātnespējas administrācija uzkrāj un apkopo informāciju par minimālās algas saņēmējiem no darbinieku prasījumu garantiju fonda, jo saskaņā ar normatīvo regulējumu kopš 2012.gada no darbinieku prasījumu garantiju fonda izmaksājamo summu aprēķinam izmanto unificētas formulas, kas atvieglo darbinieku prasījumu iesniegšanu administratoram, kā arī ļauj paātrināt iesnieguma izskatīšanu Maksātnespējas administrācijā.</w:t>
      </w:r>
    </w:p>
    <w:p w14:paraId="66CEDCC2" w14:textId="77777777" w:rsidR="00661398" w:rsidRPr="00291B52" w:rsidRDefault="00661398" w:rsidP="00291B52">
      <w:pPr>
        <w:ind w:firstLine="720"/>
        <w:jc w:val="both"/>
      </w:pPr>
      <w:r w:rsidRPr="00291B52">
        <w:t xml:space="preserve">Maksātnespējas administrācija līdz 2016.gada beigām izvērtēs iespēju vienkāršot darbinieku prasījumu aprēķināšanas un piešķiršanas procedūras, ievērojot </w:t>
      </w:r>
      <w:r w:rsidR="00862700" w:rsidRPr="00862700">
        <w:t xml:space="preserve">Eiropas Parlamenta un Padomes 2008.gada 22.oktobra </w:t>
      </w:r>
      <w:r w:rsidR="00862700">
        <w:t>d</w:t>
      </w:r>
      <w:r w:rsidR="00862700" w:rsidRPr="00862700">
        <w:t>irektīv</w:t>
      </w:r>
      <w:r w:rsidR="00862700">
        <w:t>ā</w:t>
      </w:r>
      <w:r w:rsidR="00862700" w:rsidRPr="00862700">
        <w:t xml:space="preserve"> 2008/94/EK par darba ņēmēju aizsardzību to darba devēja maksātnespējas gadījumā</w:t>
      </w:r>
      <w:r w:rsidRPr="00291B52">
        <w:t xml:space="preserve"> valstij uzliktos nosacījumus darbinieku aizsardzībai darba devēja maksātnespējas gadījumā un </w:t>
      </w:r>
      <w:r w:rsidR="00B93663">
        <w:t xml:space="preserve">Latvijas Republikas </w:t>
      </w:r>
      <w:r w:rsidRPr="00291B52">
        <w:t>Satversmi. Ņemot vērā izvērtējumu</w:t>
      </w:r>
      <w:r w:rsidR="00B93663">
        <w:t>,</w:t>
      </w:r>
      <w:r w:rsidRPr="00291B52">
        <w:t xml:space="preserve"> tiks sniegti priekšlikumi normatīvā regulējuma izmaiņām, lai varētu vienkāršot darbinieku prasījumu aprēķināšanas un piešķiršanas kārtību un iespējams palielināt darbiniekiem izmaksājamās summas viņu darba devēja maksātnespējas gadījumā (piemēram, piesaistot aprēķinus divām minimālajām algām vai vidējai algai tautsaimniecībā u.c.).</w:t>
      </w:r>
    </w:p>
    <w:p w14:paraId="28F7F8FC" w14:textId="77777777" w:rsidR="00A47BAD" w:rsidRDefault="00661398" w:rsidP="00A47BAD">
      <w:pPr>
        <w:ind w:firstLine="720"/>
        <w:jc w:val="both"/>
      </w:pPr>
      <w:r w:rsidRPr="00E41347">
        <w:t>Informatīvajā ziņojumā paredzēto risinājumu īstenošanai, plānotajos pamatbudžeta bāzes izdevumos</w:t>
      </w:r>
      <w:r w:rsidR="00A47BAD" w:rsidRPr="00E41347">
        <w:t xml:space="preserve"> 2016.gadā (skatīt 31.tabulu) un</w:t>
      </w:r>
      <w:r w:rsidRPr="00E41347">
        <w:t xml:space="preserve"> 2017.</w:t>
      </w:r>
      <w:r w:rsidR="00B93663" w:rsidRPr="00E41347">
        <w:t>–</w:t>
      </w:r>
      <w:r w:rsidRPr="00E41347">
        <w:t>2019.gad</w:t>
      </w:r>
      <w:r w:rsidR="00EF76B4" w:rsidRPr="00E41347">
        <w:t>ā (skatīt 32.tabulu)</w:t>
      </w:r>
      <w:r w:rsidRPr="00E41347">
        <w:t xml:space="preserve"> ir jāveic precizējumi apakšprogrammā 06.04.00</w:t>
      </w:r>
      <w:r w:rsidR="00AF67FE" w:rsidRPr="00E41347">
        <w:t xml:space="preserve"> “</w:t>
      </w:r>
      <w:r w:rsidRPr="00E41347">
        <w:t>Darbinieku prasījumu garantiju fonds”, 06.05.00 “Maksātnespējas procesa izmaksas” un 06.03.00 “Maksātnespējas procesu pārvaldība”.</w:t>
      </w:r>
    </w:p>
    <w:p w14:paraId="4C17B4B6" w14:textId="77777777" w:rsidR="00AF67FE" w:rsidRDefault="00AF67FE" w:rsidP="00A47BAD">
      <w:pPr>
        <w:ind w:firstLine="720"/>
        <w:jc w:val="both"/>
      </w:pPr>
    </w:p>
    <w:p w14:paraId="447C89CD" w14:textId="77777777" w:rsidR="006D7E51" w:rsidRDefault="006D7E51" w:rsidP="00EF76B4">
      <w:pPr>
        <w:ind w:firstLine="720"/>
        <w:jc w:val="right"/>
      </w:pPr>
      <w:r>
        <w:t>31.tabula</w:t>
      </w:r>
    </w:p>
    <w:p w14:paraId="78BF5596" w14:textId="77777777" w:rsidR="006D7E51" w:rsidRDefault="006D7E51" w:rsidP="00EF76B4">
      <w:pPr>
        <w:ind w:firstLine="720"/>
        <w:jc w:val="right"/>
      </w:pPr>
    </w:p>
    <w:p w14:paraId="5F434CB5" w14:textId="77777777" w:rsidR="006D7E51" w:rsidRDefault="006D7E51" w:rsidP="00EF76B4">
      <w:pPr>
        <w:jc w:val="center"/>
        <w:rPr>
          <w:b/>
        </w:rPr>
      </w:pPr>
      <w:r w:rsidRPr="00291B52">
        <w:rPr>
          <w:b/>
        </w:rPr>
        <w:t xml:space="preserve">Plānotais pamatbudžeta bāzes izdevumu finansējums un tajā nepieciešamās izmaiņas </w:t>
      </w:r>
      <w:r>
        <w:rPr>
          <w:b/>
        </w:rPr>
        <w:t>2016</w:t>
      </w:r>
      <w:r w:rsidRPr="00291B52">
        <w:rPr>
          <w:b/>
        </w:rPr>
        <w:t>.gadā</w:t>
      </w:r>
    </w:p>
    <w:p w14:paraId="33E2A747" w14:textId="77777777" w:rsidR="006D7E51" w:rsidRDefault="006D7E51" w:rsidP="00EF76B4">
      <w:pPr>
        <w:ind w:firstLine="720"/>
        <w:jc w:val="center"/>
        <w:rPr>
          <w:b/>
        </w:rPr>
      </w:pPr>
    </w:p>
    <w:tbl>
      <w:tblPr>
        <w:tblW w:w="8753" w:type="dxa"/>
        <w:tblLook w:val="04A0" w:firstRow="1" w:lastRow="0" w:firstColumn="1" w:lastColumn="0" w:noHBand="0" w:noVBand="1"/>
      </w:tblPr>
      <w:tblGrid>
        <w:gridCol w:w="1287"/>
        <w:gridCol w:w="3683"/>
        <w:gridCol w:w="1269"/>
        <w:gridCol w:w="1243"/>
        <w:gridCol w:w="1271"/>
      </w:tblGrid>
      <w:tr w:rsidR="00531112" w14:paraId="2598488C" w14:textId="77777777" w:rsidTr="00531112">
        <w:trPr>
          <w:trHeight w:val="280"/>
        </w:trPr>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9381B5F" w14:textId="77777777" w:rsidR="00531112" w:rsidRDefault="00531112">
            <w:pPr>
              <w:jc w:val="center"/>
              <w:rPr>
                <w:sz w:val="20"/>
                <w:szCs w:val="20"/>
              </w:rPr>
            </w:pPr>
            <w:r>
              <w:rPr>
                <w:sz w:val="20"/>
                <w:szCs w:val="20"/>
              </w:rPr>
              <w:t> </w:t>
            </w:r>
          </w:p>
        </w:tc>
        <w:tc>
          <w:tcPr>
            <w:tcW w:w="36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7ED76B" w14:textId="77777777" w:rsidR="00531112" w:rsidRDefault="00531112">
            <w:pPr>
              <w:jc w:val="center"/>
              <w:rPr>
                <w:sz w:val="20"/>
                <w:szCs w:val="20"/>
              </w:rPr>
            </w:pPr>
            <w:r>
              <w:rPr>
                <w:sz w:val="20"/>
                <w:szCs w:val="20"/>
              </w:rPr>
              <w:t> </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1AD76C" w14:textId="77777777" w:rsidR="00531112" w:rsidRDefault="00531112">
            <w:pPr>
              <w:jc w:val="center"/>
              <w:rPr>
                <w:color w:val="000000"/>
                <w:sz w:val="20"/>
                <w:szCs w:val="20"/>
              </w:rPr>
            </w:pPr>
            <w:r>
              <w:rPr>
                <w:color w:val="000000"/>
                <w:sz w:val="20"/>
                <w:szCs w:val="20"/>
              </w:rPr>
              <w:t>2016.gada plāns  uz 13.07.2016.</w:t>
            </w:r>
          </w:p>
        </w:tc>
        <w:tc>
          <w:tcPr>
            <w:tcW w:w="1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722E1" w14:textId="77777777" w:rsidR="00531112" w:rsidRDefault="00531112">
            <w:pPr>
              <w:jc w:val="center"/>
              <w:rPr>
                <w:color w:val="000000"/>
                <w:sz w:val="20"/>
                <w:szCs w:val="20"/>
              </w:rPr>
            </w:pPr>
            <w:r>
              <w:rPr>
                <w:color w:val="000000"/>
                <w:sz w:val="20"/>
                <w:szCs w:val="20"/>
              </w:rPr>
              <w:t>izmaiņas (+, -)</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91C0A5" w14:textId="77777777" w:rsidR="00531112" w:rsidRDefault="00531112">
            <w:pPr>
              <w:jc w:val="center"/>
              <w:rPr>
                <w:color w:val="000000"/>
                <w:sz w:val="20"/>
                <w:szCs w:val="20"/>
              </w:rPr>
            </w:pPr>
            <w:r>
              <w:rPr>
                <w:color w:val="000000"/>
                <w:sz w:val="20"/>
                <w:szCs w:val="20"/>
              </w:rPr>
              <w:t xml:space="preserve">Pprecizētais 2016.gada plāns </w:t>
            </w:r>
          </w:p>
        </w:tc>
      </w:tr>
      <w:tr w:rsidR="00531112" w14:paraId="37275BE3" w14:textId="77777777" w:rsidTr="00531112">
        <w:trPr>
          <w:trHeight w:val="238"/>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5E23DBBA" w14:textId="77777777" w:rsidR="00531112" w:rsidRDefault="00531112">
            <w:pPr>
              <w:rPr>
                <w:sz w:val="20"/>
                <w:szCs w:val="20"/>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14:paraId="20B1699B" w14:textId="77777777" w:rsidR="00531112" w:rsidRDefault="00531112">
            <w:pPr>
              <w:rPr>
                <w:sz w:val="20"/>
                <w:szCs w:val="20"/>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512D1C86" w14:textId="77777777" w:rsidR="00531112" w:rsidRDefault="00531112">
            <w:pPr>
              <w:rPr>
                <w:color w:val="000000"/>
                <w:sz w:val="20"/>
                <w:szCs w:val="20"/>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14:paraId="4AAC29E1" w14:textId="77777777" w:rsidR="00531112" w:rsidRDefault="00531112">
            <w:pPr>
              <w:rPr>
                <w:color w:val="00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14:paraId="49CF777A" w14:textId="77777777" w:rsidR="00531112" w:rsidRDefault="00531112">
            <w:pPr>
              <w:rPr>
                <w:color w:val="000000"/>
                <w:sz w:val="20"/>
                <w:szCs w:val="20"/>
              </w:rPr>
            </w:pPr>
          </w:p>
        </w:tc>
      </w:tr>
      <w:tr w:rsidR="00531112" w14:paraId="7048AE9F" w14:textId="77777777" w:rsidTr="00531112">
        <w:trPr>
          <w:trHeight w:val="333"/>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7BFCE1C3" w14:textId="77777777" w:rsidR="00531112" w:rsidRDefault="00531112">
            <w:pPr>
              <w:rPr>
                <w:sz w:val="20"/>
                <w:szCs w:val="20"/>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14:paraId="2F6DEEED" w14:textId="77777777" w:rsidR="00531112" w:rsidRDefault="00531112">
            <w:pPr>
              <w:rPr>
                <w:sz w:val="20"/>
                <w:szCs w:val="20"/>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2773C1F5" w14:textId="77777777" w:rsidR="00531112" w:rsidRDefault="00531112">
            <w:pPr>
              <w:rPr>
                <w:color w:val="000000"/>
                <w:sz w:val="20"/>
                <w:szCs w:val="20"/>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14:paraId="1EE48EE6" w14:textId="77777777" w:rsidR="00531112" w:rsidRDefault="00531112">
            <w:pPr>
              <w:rPr>
                <w:color w:val="00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14:paraId="414ADE8D" w14:textId="77777777" w:rsidR="00531112" w:rsidRDefault="00531112">
            <w:pPr>
              <w:rPr>
                <w:color w:val="000000"/>
                <w:sz w:val="20"/>
                <w:szCs w:val="20"/>
              </w:rPr>
            </w:pPr>
          </w:p>
        </w:tc>
      </w:tr>
      <w:tr w:rsidR="00531112" w14:paraId="1F647623" w14:textId="77777777" w:rsidTr="00531112">
        <w:trPr>
          <w:trHeight w:val="238"/>
        </w:trPr>
        <w:tc>
          <w:tcPr>
            <w:tcW w:w="1287" w:type="dxa"/>
            <w:tcBorders>
              <w:top w:val="nil"/>
              <w:left w:val="single" w:sz="4" w:space="0" w:color="auto"/>
              <w:bottom w:val="nil"/>
              <w:right w:val="single" w:sz="4" w:space="0" w:color="auto"/>
            </w:tcBorders>
            <w:shd w:val="clear" w:color="auto" w:fill="auto"/>
            <w:noWrap/>
            <w:vAlign w:val="center"/>
            <w:hideMark/>
          </w:tcPr>
          <w:p w14:paraId="2F5FFD14" w14:textId="77777777" w:rsidR="00531112" w:rsidRDefault="00531112">
            <w:pPr>
              <w:jc w:val="center"/>
              <w:rPr>
                <w:color w:val="000000"/>
                <w:sz w:val="20"/>
                <w:szCs w:val="20"/>
              </w:rPr>
            </w:pPr>
            <w:r>
              <w:rPr>
                <w:color w:val="000000"/>
                <w:sz w:val="20"/>
                <w:szCs w:val="20"/>
              </w:rPr>
              <w:t>1</w:t>
            </w:r>
          </w:p>
        </w:tc>
        <w:tc>
          <w:tcPr>
            <w:tcW w:w="3683" w:type="dxa"/>
            <w:tcBorders>
              <w:top w:val="nil"/>
              <w:left w:val="nil"/>
              <w:bottom w:val="nil"/>
              <w:right w:val="single" w:sz="4" w:space="0" w:color="auto"/>
            </w:tcBorders>
            <w:shd w:val="clear" w:color="auto" w:fill="auto"/>
            <w:vAlign w:val="center"/>
            <w:hideMark/>
          </w:tcPr>
          <w:p w14:paraId="107CB0B9" w14:textId="77777777" w:rsidR="00531112" w:rsidRDefault="00531112">
            <w:pPr>
              <w:jc w:val="center"/>
              <w:rPr>
                <w:color w:val="000000"/>
                <w:sz w:val="20"/>
                <w:szCs w:val="20"/>
              </w:rPr>
            </w:pPr>
            <w:r>
              <w:rPr>
                <w:color w:val="000000"/>
                <w:sz w:val="20"/>
                <w:szCs w:val="20"/>
              </w:rPr>
              <w:t>2</w:t>
            </w:r>
          </w:p>
        </w:tc>
        <w:tc>
          <w:tcPr>
            <w:tcW w:w="1269" w:type="dxa"/>
            <w:tcBorders>
              <w:top w:val="nil"/>
              <w:left w:val="nil"/>
              <w:bottom w:val="nil"/>
              <w:right w:val="single" w:sz="4" w:space="0" w:color="auto"/>
            </w:tcBorders>
            <w:shd w:val="clear" w:color="auto" w:fill="auto"/>
            <w:noWrap/>
            <w:vAlign w:val="center"/>
            <w:hideMark/>
          </w:tcPr>
          <w:p w14:paraId="1A94757D" w14:textId="77777777" w:rsidR="00531112" w:rsidRDefault="00531112">
            <w:pPr>
              <w:jc w:val="center"/>
              <w:rPr>
                <w:color w:val="000000"/>
                <w:sz w:val="20"/>
                <w:szCs w:val="20"/>
              </w:rPr>
            </w:pPr>
            <w:r>
              <w:rPr>
                <w:color w:val="000000"/>
                <w:sz w:val="20"/>
                <w:szCs w:val="20"/>
              </w:rPr>
              <w:t>3</w:t>
            </w:r>
          </w:p>
        </w:tc>
        <w:tc>
          <w:tcPr>
            <w:tcW w:w="1243" w:type="dxa"/>
            <w:tcBorders>
              <w:top w:val="nil"/>
              <w:left w:val="nil"/>
              <w:bottom w:val="nil"/>
              <w:right w:val="single" w:sz="4" w:space="0" w:color="auto"/>
            </w:tcBorders>
            <w:shd w:val="clear" w:color="auto" w:fill="auto"/>
            <w:noWrap/>
            <w:vAlign w:val="center"/>
            <w:hideMark/>
          </w:tcPr>
          <w:p w14:paraId="4C6BEC70" w14:textId="77777777" w:rsidR="00531112" w:rsidRDefault="00531112">
            <w:pPr>
              <w:jc w:val="center"/>
              <w:rPr>
                <w:color w:val="000000"/>
                <w:sz w:val="20"/>
                <w:szCs w:val="20"/>
              </w:rPr>
            </w:pPr>
            <w:r>
              <w:rPr>
                <w:color w:val="000000"/>
                <w:sz w:val="20"/>
                <w:szCs w:val="20"/>
              </w:rPr>
              <w:t>4</w:t>
            </w:r>
          </w:p>
        </w:tc>
        <w:tc>
          <w:tcPr>
            <w:tcW w:w="1271" w:type="dxa"/>
            <w:tcBorders>
              <w:top w:val="nil"/>
              <w:left w:val="nil"/>
              <w:bottom w:val="nil"/>
              <w:right w:val="single" w:sz="4" w:space="0" w:color="auto"/>
            </w:tcBorders>
            <w:shd w:val="clear" w:color="auto" w:fill="auto"/>
            <w:noWrap/>
            <w:vAlign w:val="center"/>
            <w:hideMark/>
          </w:tcPr>
          <w:p w14:paraId="635A6F15" w14:textId="77777777" w:rsidR="00531112" w:rsidRDefault="00531112">
            <w:pPr>
              <w:jc w:val="center"/>
              <w:rPr>
                <w:color w:val="000000"/>
                <w:sz w:val="20"/>
                <w:szCs w:val="20"/>
              </w:rPr>
            </w:pPr>
            <w:r>
              <w:rPr>
                <w:color w:val="000000"/>
                <w:sz w:val="20"/>
                <w:szCs w:val="20"/>
              </w:rPr>
              <w:t>5</w:t>
            </w:r>
          </w:p>
        </w:tc>
      </w:tr>
      <w:tr w:rsidR="00531112" w14:paraId="04209995" w14:textId="77777777" w:rsidTr="00531112">
        <w:trPr>
          <w:trHeight w:val="238"/>
        </w:trPr>
        <w:tc>
          <w:tcPr>
            <w:tcW w:w="1287" w:type="dxa"/>
            <w:tcBorders>
              <w:top w:val="single" w:sz="4" w:space="0" w:color="BFBFBF"/>
              <w:left w:val="single" w:sz="4" w:space="0" w:color="auto"/>
              <w:bottom w:val="single" w:sz="4" w:space="0" w:color="BFBFBF"/>
              <w:right w:val="single" w:sz="4" w:space="0" w:color="auto"/>
            </w:tcBorders>
            <w:shd w:val="clear" w:color="000000" w:fill="FFFF00"/>
            <w:noWrap/>
            <w:vAlign w:val="bottom"/>
            <w:hideMark/>
          </w:tcPr>
          <w:p w14:paraId="6C14D9B4" w14:textId="77777777" w:rsidR="00531112" w:rsidRDefault="00531112">
            <w:pPr>
              <w:rPr>
                <w:b/>
                <w:bCs/>
                <w:sz w:val="20"/>
                <w:szCs w:val="20"/>
              </w:rPr>
            </w:pPr>
            <w:r>
              <w:rPr>
                <w:b/>
                <w:bCs/>
                <w:sz w:val="20"/>
                <w:szCs w:val="20"/>
              </w:rPr>
              <w:t>06.03.00</w:t>
            </w:r>
          </w:p>
        </w:tc>
        <w:tc>
          <w:tcPr>
            <w:tcW w:w="3683" w:type="dxa"/>
            <w:tcBorders>
              <w:top w:val="single" w:sz="4" w:space="0" w:color="BFBFBF"/>
              <w:left w:val="nil"/>
              <w:bottom w:val="single" w:sz="4" w:space="0" w:color="BFBFBF"/>
              <w:right w:val="single" w:sz="4" w:space="0" w:color="auto"/>
            </w:tcBorders>
            <w:shd w:val="clear" w:color="000000" w:fill="FFFF00"/>
            <w:vAlign w:val="bottom"/>
            <w:hideMark/>
          </w:tcPr>
          <w:p w14:paraId="76F0C90C" w14:textId="77777777" w:rsidR="00531112" w:rsidRDefault="00531112">
            <w:pPr>
              <w:rPr>
                <w:b/>
                <w:bCs/>
                <w:sz w:val="20"/>
                <w:szCs w:val="20"/>
              </w:rPr>
            </w:pPr>
            <w:r>
              <w:rPr>
                <w:b/>
                <w:bCs/>
                <w:sz w:val="20"/>
                <w:szCs w:val="20"/>
              </w:rPr>
              <w:t>Maksātnespējas procesa pārvaldība</w:t>
            </w:r>
          </w:p>
        </w:tc>
        <w:tc>
          <w:tcPr>
            <w:tcW w:w="1269" w:type="dxa"/>
            <w:tcBorders>
              <w:top w:val="single" w:sz="4" w:space="0" w:color="BFBFBF"/>
              <w:left w:val="nil"/>
              <w:bottom w:val="single" w:sz="4" w:space="0" w:color="BFBFBF"/>
              <w:right w:val="single" w:sz="4" w:space="0" w:color="auto"/>
            </w:tcBorders>
            <w:shd w:val="clear" w:color="000000" w:fill="FFFF00"/>
            <w:noWrap/>
            <w:vAlign w:val="bottom"/>
            <w:hideMark/>
          </w:tcPr>
          <w:p w14:paraId="0E5DB88A" w14:textId="77777777" w:rsidR="00531112" w:rsidRDefault="00531112">
            <w:pPr>
              <w:rPr>
                <w:sz w:val="20"/>
                <w:szCs w:val="20"/>
              </w:rPr>
            </w:pPr>
            <w:r>
              <w:rPr>
                <w:sz w:val="20"/>
                <w:szCs w:val="20"/>
              </w:rPr>
              <w:t> </w:t>
            </w:r>
          </w:p>
        </w:tc>
        <w:tc>
          <w:tcPr>
            <w:tcW w:w="1243" w:type="dxa"/>
            <w:tcBorders>
              <w:top w:val="single" w:sz="4" w:space="0" w:color="BFBFBF"/>
              <w:left w:val="nil"/>
              <w:bottom w:val="single" w:sz="4" w:space="0" w:color="BFBFBF"/>
              <w:right w:val="single" w:sz="4" w:space="0" w:color="auto"/>
            </w:tcBorders>
            <w:shd w:val="clear" w:color="000000" w:fill="FFFF00"/>
            <w:noWrap/>
            <w:vAlign w:val="bottom"/>
            <w:hideMark/>
          </w:tcPr>
          <w:p w14:paraId="3C7D3E41" w14:textId="77777777" w:rsidR="00531112" w:rsidRDefault="00531112">
            <w:pPr>
              <w:rPr>
                <w:sz w:val="20"/>
                <w:szCs w:val="20"/>
              </w:rPr>
            </w:pPr>
            <w:r>
              <w:rPr>
                <w:sz w:val="20"/>
                <w:szCs w:val="20"/>
              </w:rPr>
              <w:t> </w:t>
            </w:r>
          </w:p>
        </w:tc>
        <w:tc>
          <w:tcPr>
            <w:tcW w:w="1271" w:type="dxa"/>
            <w:tcBorders>
              <w:top w:val="single" w:sz="4" w:space="0" w:color="BFBFBF"/>
              <w:left w:val="nil"/>
              <w:bottom w:val="single" w:sz="4" w:space="0" w:color="BFBFBF"/>
              <w:right w:val="single" w:sz="4" w:space="0" w:color="auto"/>
            </w:tcBorders>
            <w:shd w:val="clear" w:color="000000" w:fill="FFFF00"/>
            <w:noWrap/>
            <w:vAlign w:val="bottom"/>
            <w:hideMark/>
          </w:tcPr>
          <w:p w14:paraId="2BCA1F54" w14:textId="77777777" w:rsidR="00531112" w:rsidRDefault="00531112">
            <w:pPr>
              <w:rPr>
                <w:sz w:val="20"/>
                <w:szCs w:val="20"/>
              </w:rPr>
            </w:pPr>
            <w:r>
              <w:rPr>
                <w:sz w:val="20"/>
                <w:szCs w:val="20"/>
              </w:rPr>
              <w:t> </w:t>
            </w:r>
          </w:p>
        </w:tc>
      </w:tr>
      <w:tr w:rsidR="00531112" w14:paraId="766F9733"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71B0A837" w14:textId="77777777" w:rsidR="00531112" w:rsidRDefault="00531112">
            <w:pPr>
              <w:rPr>
                <w:sz w:val="20"/>
                <w:szCs w:val="20"/>
              </w:rPr>
            </w:pPr>
            <w:r>
              <w:rPr>
                <w:sz w:val="20"/>
                <w:szCs w:val="20"/>
              </w:rPr>
              <w:t> </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14:paraId="213243F0" w14:textId="77777777" w:rsidR="00531112" w:rsidRDefault="00531112">
            <w:pPr>
              <w:rPr>
                <w:sz w:val="20"/>
                <w:szCs w:val="20"/>
              </w:rPr>
            </w:pPr>
            <w:r>
              <w:rPr>
                <w:sz w:val="20"/>
                <w:szCs w:val="20"/>
              </w:rPr>
              <w:t>Resursi izdevumu segšanai</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20650EB4" w14:textId="77777777" w:rsidR="00531112" w:rsidRDefault="00531112">
            <w:pPr>
              <w:jc w:val="right"/>
              <w:rPr>
                <w:sz w:val="20"/>
                <w:szCs w:val="20"/>
              </w:rPr>
            </w:pPr>
            <w:r>
              <w:rPr>
                <w:sz w:val="20"/>
                <w:szCs w:val="20"/>
              </w:rPr>
              <w:t>846 706</w:t>
            </w:r>
          </w:p>
        </w:tc>
        <w:tc>
          <w:tcPr>
            <w:tcW w:w="1243" w:type="dxa"/>
            <w:tcBorders>
              <w:top w:val="nil"/>
              <w:left w:val="nil"/>
              <w:bottom w:val="single" w:sz="4" w:space="0" w:color="BFBFBF"/>
              <w:right w:val="single" w:sz="4" w:space="0" w:color="auto"/>
            </w:tcBorders>
            <w:shd w:val="clear" w:color="auto" w:fill="auto"/>
            <w:noWrap/>
            <w:vAlign w:val="center"/>
            <w:hideMark/>
          </w:tcPr>
          <w:p w14:paraId="5FF1D1ED"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5B0F5653" w14:textId="77777777" w:rsidR="00531112" w:rsidRDefault="00531112">
            <w:pPr>
              <w:jc w:val="right"/>
              <w:rPr>
                <w:color w:val="000000"/>
                <w:sz w:val="20"/>
                <w:szCs w:val="20"/>
              </w:rPr>
            </w:pPr>
            <w:r>
              <w:rPr>
                <w:color w:val="000000"/>
                <w:sz w:val="20"/>
                <w:szCs w:val="20"/>
              </w:rPr>
              <w:t>943 006</w:t>
            </w:r>
          </w:p>
        </w:tc>
      </w:tr>
      <w:tr w:rsidR="00531112" w14:paraId="0A40E6C7" w14:textId="77777777" w:rsidTr="00531112">
        <w:trPr>
          <w:trHeight w:val="477"/>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320872B1"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0924D130" w14:textId="77777777" w:rsidR="00531112" w:rsidRDefault="00531112">
            <w:pPr>
              <w:rPr>
                <w:sz w:val="20"/>
                <w:szCs w:val="20"/>
              </w:rPr>
            </w:pPr>
            <w:r>
              <w:rPr>
                <w:sz w:val="20"/>
                <w:szCs w:val="20"/>
              </w:rPr>
              <w:t>Ieņēmumi no maksas pakalpojumiem un citi pašu ieņēmumi – kopā, t.sk.</w:t>
            </w:r>
          </w:p>
        </w:tc>
        <w:tc>
          <w:tcPr>
            <w:tcW w:w="1269" w:type="dxa"/>
            <w:tcBorders>
              <w:top w:val="nil"/>
              <w:left w:val="nil"/>
              <w:bottom w:val="single" w:sz="4" w:space="0" w:color="auto"/>
              <w:right w:val="single" w:sz="4" w:space="0" w:color="auto"/>
            </w:tcBorders>
            <w:shd w:val="clear" w:color="auto" w:fill="auto"/>
            <w:noWrap/>
            <w:vAlign w:val="bottom"/>
            <w:hideMark/>
          </w:tcPr>
          <w:p w14:paraId="6479CC97" w14:textId="77777777" w:rsidR="00531112" w:rsidRDefault="00531112">
            <w:pPr>
              <w:jc w:val="right"/>
              <w:rPr>
                <w:sz w:val="20"/>
                <w:szCs w:val="20"/>
              </w:rPr>
            </w:pPr>
            <w:r>
              <w:rPr>
                <w:sz w:val="20"/>
                <w:szCs w:val="20"/>
              </w:rPr>
              <w:t>141 465</w:t>
            </w:r>
          </w:p>
        </w:tc>
        <w:tc>
          <w:tcPr>
            <w:tcW w:w="1243" w:type="dxa"/>
            <w:tcBorders>
              <w:top w:val="nil"/>
              <w:left w:val="nil"/>
              <w:bottom w:val="single" w:sz="4" w:space="0" w:color="BFBFBF"/>
              <w:right w:val="single" w:sz="4" w:space="0" w:color="auto"/>
            </w:tcBorders>
            <w:shd w:val="clear" w:color="auto" w:fill="auto"/>
            <w:noWrap/>
            <w:vAlign w:val="center"/>
            <w:hideMark/>
          </w:tcPr>
          <w:p w14:paraId="2FAAB8DD"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4382C15D" w14:textId="77777777" w:rsidR="00531112" w:rsidRDefault="00531112">
            <w:pPr>
              <w:jc w:val="right"/>
              <w:rPr>
                <w:color w:val="000000"/>
                <w:sz w:val="20"/>
                <w:szCs w:val="20"/>
              </w:rPr>
            </w:pPr>
            <w:r>
              <w:rPr>
                <w:color w:val="000000"/>
                <w:sz w:val="20"/>
                <w:szCs w:val="20"/>
              </w:rPr>
              <w:t>237 765</w:t>
            </w:r>
          </w:p>
        </w:tc>
      </w:tr>
      <w:tr w:rsidR="00531112" w14:paraId="32215E62"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000000" w:fill="F8CBAD"/>
            <w:noWrap/>
            <w:vAlign w:val="center"/>
            <w:hideMark/>
          </w:tcPr>
          <w:p w14:paraId="76E21989" w14:textId="77777777" w:rsidR="00531112" w:rsidRDefault="00531112">
            <w:pPr>
              <w:ind w:firstLineChars="100" w:firstLine="200"/>
              <w:jc w:val="right"/>
              <w:rPr>
                <w:sz w:val="20"/>
                <w:szCs w:val="20"/>
              </w:rPr>
            </w:pPr>
            <w:r>
              <w:rPr>
                <w:sz w:val="20"/>
                <w:szCs w:val="20"/>
              </w:rPr>
              <w:t> </w:t>
            </w:r>
          </w:p>
        </w:tc>
        <w:tc>
          <w:tcPr>
            <w:tcW w:w="3683" w:type="dxa"/>
            <w:tcBorders>
              <w:top w:val="single" w:sz="4" w:space="0" w:color="BFBFBF"/>
              <w:left w:val="nil"/>
              <w:bottom w:val="single" w:sz="4" w:space="0" w:color="BFBFBF"/>
              <w:right w:val="single" w:sz="4" w:space="0" w:color="auto"/>
            </w:tcBorders>
            <w:shd w:val="clear" w:color="000000" w:fill="F8CBAD"/>
            <w:vAlign w:val="center"/>
            <w:hideMark/>
          </w:tcPr>
          <w:p w14:paraId="5AFA9447" w14:textId="77777777" w:rsidR="00531112" w:rsidRDefault="00531112">
            <w:pPr>
              <w:jc w:val="right"/>
              <w:rPr>
                <w:sz w:val="20"/>
                <w:szCs w:val="20"/>
              </w:rPr>
            </w:pPr>
            <w:r>
              <w:rPr>
                <w:sz w:val="20"/>
                <w:szCs w:val="20"/>
              </w:rPr>
              <w:t>Ieņēmumi no uzņēmējdarbības riska valsts nodevas</w:t>
            </w:r>
          </w:p>
        </w:tc>
        <w:tc>
          <w:tcPr>
            <w:tcW w:w="1269" w:type="dxa"/>
            <w:tcBorders>
              <w:top w:val="single" w:sz="4" w:space="0" w:color="BFBFBF"/>
              <w:left w:val="nil"/>
              <w:bottom w:val="single" w:sz="4" w:space="0" w:color="BFBFBF"/>
              <w:right w:val="single" w:sz="4" w:space="0" w:color="auto"/>
            </w:tcBorders>
            <w:shd w:val="clear" w:color="000000" w:fill="F8CBAD"/>
            <w:noWrap/>
            <w:vAlign w:val="center"/>
            <w:hideMark/>
          </w:tcPr>
          <w:p w14:paraId="5A175D34" w14:textId="77777777" w:rsidR="00531112" w:rsidRDefault="00531112">
            <w:pPr>
              <w:jc w:val="right"/>
              <w:rPr>
                <w:color w:val="000000"/>
                <w:sz w:val="20"/>
                <w:szCs w:val="20"/>
              </w:rPr>
            </w:pPr>
            <w:r>
              <w:rPr>
                <w:color w:val="000000"/>
                <w:sz w:val="20"/>
                <w:szCs w:val="20"/>
              </w:rPr>
              <w:t>126 525</w:t>
            </w:r>
          </w:p>
        </w:tc>
        <w:tc>
          <w:tcPr>
            <w:tcW w:w="1243" w:type="dxa"/>
            <w:tcBorders>
              <w:top w:val="nil"/>
              <w:left w:val="nil"/>
              <w:bottom w:val="single" w:sz="4" w:space="0" w:color="BFBFBF"/>
              <w:right w:val="single" w:sz="4" w:space="0" w:color="auto"/>
            </w:tcBorders>
            <w:shd w:val="clear" w:color="000000" w:fill="F8CBAD"/>
            <w:noWrap/>
            <w:vAlign w:val="center"/>
            <w:hideMark/>
          </w:tcPr>
          <w:p w14:paraId="4D5F85EE"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000000" w:fill="F8CBAD"/>
            <w:noWrap/>
            <w:vAlign w:val="center"/>
            <w:hideMark/>
          </w:tcPr>
          <w:p w14:paraId="64A1E6D5" w14:textId="77777777" w:rsidR="00531112" w:rsidRDefault="00531112">
            <w:pPr>
              <w:jc w:val="right"/>
              <w:rPr>
                <w:color w:val="000000"/>
                <w:sz w:val="20"/>
                <w:szCs w:val="20"/>
              </w:rPr>
            </w:pPr>
            <w:r>
              <w:rPr>
                <w:color w:val="000000"/>
                <w:sz w:val="20"/>
                <w:szCs w:val="20"/>
              </w:rPr>
              <w:t>222 825</w:t>
            </w:r>
          </w:p>
        </w:tc>
      </w:tr>
      <w:tr w:rsidR="00531112" w14:paraId="23DD7FBB"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000000" w:fill="F8CBAD"/>
            <w:noWrap/>
            <w:vAlign w:val="center"/>
            <w:hideMark/>
          </w:tcPr>
          <w:p w14:paraId="452EA9BF"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BFBFBF"/>
              <w:right w:val="single" w:sz="4" w:space="0" w:color="auto"/>
            </w:tcBorders>
            <w:shd w:val="clear" w:color="000000" w:fill="F8CBAD"/>
            <w:vAlign w:val="center"/>
            <w:hideMark/>
          </w:tcPr>
          <w:p w14:paraId="2A32DD8E" w14:textId="77777777" w:rsidR="00531112" w:rsidRDefault="00531112">
            <w:pPr>
              <w:jc w:val="right"/>
              <w:rPr>
                <w:sz w:val="20"/>
                <w:szCs w:val="20"/>
              </w:rPr>
            </w:pPr>
            <w:r>
              <w:rPr>
                <w:sz w:val="20"/>
                <w:szCs w:val="20"/>
              </w:rPr>
              <w:t>Citi ieņēmumi</w:t>
            </w:r>
          </w:p>
        </w:tc>
        <w:tc>
          <w:tcPr>
            <w:tcW w:w="1269" w:type="dxa"/>
            <w:tcBorders>
              <w:top w:val="nil"/>
              <w:left w:val="nil"/>
              <w:bottom w:val="single" w:sz="4" w:space="0" w:color="BFBFBF"/>
              <w:right w:val="single" w:sz="4" w:space="0" w:color="auto"/>
            </w:tcBorders>
            <w:shd w:val="clear" w:color="000000" w:fill="F8CBAD"/>
            <w:noWrap/>
            <w:vAlign w:val="center"/>
            <w:hideMark/>
          </w:tcPr>
          <w:p w14:paraId="7C6A49E7" w14:textId="77777777" w:rsidR="00531112" w:rsidRDefault="00531112">
            <w:pPr>
              <w:jc w:val="right"/>
              <w:rPr>
                <w:color w:val="000000"/>
                <w:sz w:val="20"/>
                <w:szCs w:val="20"/>
              </w:rPr>
            </w:pPr>
            <w:r>
              <w:rPr>
                <w:color w:val="000000"/>
                <w:sz w:val="20"/>
                <w:szCs w:val="20"/>
              </w:rPr>
              <w:t>14 940</w:t>
            </w:r>
          </w:p>
        </w:tc>
        <w:tc>
          <w:tcPr>
            <w:tcW w:w="1243" w:type="dxa"/>
            <w:tcBorders>
              <w:top w:val="nil"/>
              <w:left w:val="nil"/>
              <w:bottom w:val="single" w:sz="4" w:space="0" w:color="BFBFBF"/>
              <w:right w:val="single" w:sz="4" w:space="0" w:color="auto"/>
            </w:tcBorders>
            <w:shd w:val="clear" w:color="000000" w:fill="F8CBAD"/>
            <w:noWrap/>
            <w:vAlign w:val="center"/>
            <w:hideMark/>
          </w:tcPr>
          <w:p w14:paraId="14A22166"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000000" w:fill="F8CBAD"/>
            <w:noWrap/>
            <w:vAlign w:val="center"/>
            <w:hideMark/>
          </w:tcPr>
          <w:p w14:paraId="2AE810E9" w14:textId="77777777" w:rsidR="00531112" w:rsidRDefault="00531112">
            <w:pPr>
              <w:jc w:val="right"/>
              <w:rPr>
                <w:color w:val="000000"/>
                <w:sz w:val="20"/>
                <w:szCs w:val="20"/>
              </w:rPr>
            </w:pPr>
            <w:r>
              <w:rPr>
                <w:color w:val="000000"/>
                <w:sz w:val="20"/>
                <w:szCs w:val="20"/>
              </w:rPr>
              <w:t>14 940</w:t>
            </w:r>
          </w:p>
        </w:tc>
      </w:tr>
      <w:tr w:rsidR="00531112" w14:paraId="6A59C775"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0379EE8C" w14:textId="77777777" w:rsidR="00531112" w:rsidRDefault="00531112">
            <w:pPr>
              <w:ind w:firstLineChars="100" w:firstLine="200"/>
              <w:rPr>
                <w:sz w:val="20"/>
                <w:szCs w:val="20"/>
              </w:rPr>
            </w:pPr>
            <w:r>
              <w:rPr>
                <w:sz w:val="20"/>
                <w:szCs w:val="20"/>
              </w:rPr>
              <w:t> </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14:paraId="77C11A84" w14:textId="77777777" w:rsidR="00531112" w:rsidRDefault="00531112">
            <w:pPr>
              <w:rPr>
                <w:sz w:val="20"/>
                <w:szCs w:val="20"/>
              </w:rPr>
            </w:pPr>
            <w:r>
              <w:rPr>
                <w:sz w:val="20"/>
                <w:szCs w:val="20"/>
              </w:rPr>
              <w:t>Dotācija no vispārējiem ieņēmumiem</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462339DB" w14:textId="77777777" w:rsidR="00531112" w:rsidRDefault="00531112">
            <w:pPr>
              <w:jc w:val="right"/>
              <w:rPr>
                <w:sz w:val="20"/>
                <w:szCs w:val="20"/>
              </w:rPr>
            </w:pPr>
            <w:r>
              <w:rPr>
                <w:sz w:val="20"/>
                <w:szCs w:val="20"/>
              </w:rPr>
              <w:t>705 241</w:t>
            </w:r>
          </w:p>
        </w:tc>
        <w:tc>
          <w:tcPr>
            <w:tcW w:w="1243" w:type="dxa"/>
            <w:tcBorders>
              <w:top w:val="nil"/>
              <w:left w:val="nil"/>
              <w:bottom w:val="single" w:sz="4" w:space="0" w:color="BFBFBF"/>
              <w:right w:val="single" w:sz="4" w:space="0" w:color="auto"/>
            </w:tcBorders>
            <w:shd w:val="clear" w:color="auto" w:fill="auto"/>
            <w:noWrap/>
            <w:vAlign w:val="center"/>
            <w:hideMark/>
          </w:tcPr>
          <w:p w14:paraId="506F62CB"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5C2DF696" w14:textId="77777777" w:rsidR="00531112" w:rsidRDefault="00531112">
            <w:pPr>
              <w:jc w:val="right"/>
              <w:rPr>
                <w:color w:val="000000"/>
                <w:sz w:val="20"/>
                <w:szCs w:val="20"/>
              </w:rPr>
            </w:pPr>
            <w:r>
              <w:rPr>
                <w:color w:val="000000"/>
                <w:sz w:val="20"/>
                <w:szCs w:val="20"/>
              </w:rPr>
              <w:t>705 241</w:t>
            </w:r>
          </w:p>
        </w:tc>
      </w:tr>
      <w:tr w:rsidR="00531112" w14:paraId="667F2E1A" w14:textId="77777777" w:rsidTr="00531112">
        <w:trPr>
          <w:trHeight w:val="477"/>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1145D416" w14:textId="77777777" w:rsidR="00531112" w:rsidRDefault="00531112">
            <w:pPr>
              <w:ind w:firstLineChars="200" w:firstLine="4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3EE5F7C8" w14:textId="77777777" w:rsidR="00531112" w:rsidRDefault="00531112">
            <w:pPr>
              <w:rPr>
                <w:sz w:val="20"/>
                <w:szCs w:val="20"/>
              </w:rPr>
            </w:pPr>
            <w:r>
              <w:rPr>
                <w:sz w:val="20"/>
                <w:szCs w:val="20"/>
              </w:rPr>
              <w:t>Vispārējā kārtībā sadalāmā dotācija no vispārējiem ieņēmumiem</w:t>
            </w:r>
          </w:p>
        </w:tc>
        <w:tc>
          <w:tcPr>
            <w:tcW w:w="1269" w:type="dxa"/>
            <w:tcBorders>
              <w:top w:val="nil"/>
              <w:left w:val="nil"/>
              <w:bottom w:val="single" w:sz="4" w:space="0" w:color="auto"/>
              <w:right w:val="single" w:sz="4" w:space="0" w:color="auto"/>
            </w:tcBorders>
            <w:shd w:val="clear" w:color="auto" w:fill="auto"/>
            <w:noWrap/>
            <w:vAlign w:val="bottom"/>
            <w:hideMark/>
          </w:tcPr>
          <w:p w14:paraId="175F7871" w14:textId="77777777" w:rsidR="00531112" w:rsidRDefault="00531112">
            <w:pPr>
              <w:jc w:val="right"/>
              <w:rPr>
                <w:sz w:val="20"/>
                <w:szCs w:val="20"/>
              </w:rPr>
            </w:pPr>
            <w:r>
              <w:rPr>
                <w:sz w:val="20"/>
                <w:szCs w:val="20"/>
              </w:rPr>
              <w:t>705 241</w:t>
            </w:r>
          </w:p>
        </w:tc>
        <w:tc>
          <w:tcPr>
            <w:tcW w:w="1243" w:type="dxa"/>
            <w:tcBorders>
              <w:top w:val="nil"/>
              <w:left w:val="nil"/>
              <w:bottom w:val="single" w:sz="4" w:space="0" w:color="BFBFBF"/>
              <w:right w:val="single" w:sz="4" w:space="0" w:color="auto"/>
            </w:tcBorders>
            <w:shd w:val="clear" w:color="auto" w:fill="auto"/>
            <w:noWrap/>
            <w:vAlign w:val="center"/>
            <w:hideMark/>
          </w:tcPr>
          <w:p w14:paraId="449C5726"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3CC82D50" w14:textId="77777777" w:rsidR="00531112" w:rsidRDefault="00531112">
            <w:pPr>
              <w:jc w:val="right"/>
              <w:rPr>
                <w:color w:val="000000"/>
                <w:sz w:val="20"/>
                <w:szCs w:val="20"/>
              </w:rPr>
            </w:pPr>
            <w:r>
              <w:rPr>
                <w:color w:val="000000"/>
                <w:sz w:val="20"/>
                <w:szCs w:val="20"/>
              </w:rPr>
              <w:t>705 241</w:t>
            </w:r>
          </w:p>
        </w:tc>
      </w:tr>
      <w:tr w:rsidR="00531112" w14:paraId="723B623F"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381885B2" w14:textId="77777777" w:rsidR="00531112" w:rsidRDefault="00531112">
            <w:pPr>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1FCDC6DF" w14:textId="77777777" w:rsidR="00531112" w:rsidRDefault="00531112">
            <w:pPr>
              <w:rPr>
                <w:sz w:val="20"/>
                <w:szCs w:val="20"/>
              </w:rPr>
            </w:pPr>
            <w:r>
              <w:rPr>
                <w:sz w:val="20"/>
                <w:szCs w:val="20"/>
              </w:rPr>
              <w:t>Izdevumi – kopā</w:t>
            </w:r>
          </w:p>
        </w:tc>
        <w:tc>
          <w:tcPr>
            <w:tcW w:w="1269" w:type="dxa"/>
            <w:tcBorders>
              <w:top w:val="nil"/>
              <w:left w:val="nil"/>
              <w:bottom w:val="single" w:sz="4" w:space="0" w:color="auto"/>
              <w:right w:val="single" w:sz="4" w:space="0" w:color="auto"/>
            </w:tcBorders>
            <w:shd w:val="clear" w:color="auto" w:fill="auto"/>
            <w:noWrap/>
            <w:vAlign w:val="bottom"/>
            <w:hideMark/>
          </w:tcPr>
          <w:p w14:paraId="34531E3F" w14:textId="77777777" w:rsidR="00531112" w:rsidRDefault="00531112">
            <w:pPr>
              <w:jc w:val="right"/>
              <w:rPr>
                <w:sz w:val="20"/>
                <w:szCs w:val="20"/>
              </w:rPr>
            </w:pPr>
            <w:r>
              <w:rPr>
                <w:sz w:val="20"/>
                <w:szCs w:val="20"/>
              </w:rPr>
              <w:t>846 706</w:t>
            </w:r>
          </w:p>
        </w:tc>
        <w:tc>
          <w:tcPr>
            <w:tcW w:w="1243" w:type="dxa"/>
            <w:tcBorders>
              <w:top w:val="nil"/>
              <w:left w:val="nil"/>
              <w:bottom w:val="single" w:sz="4" w:space="0" w:color="BFBFBF"/>
              <w:right w:val="single" w:sz="4" w:space="0" w:color="auto"/>
            </w:tcBorders>
            <w:shd w:val="clear" w:color="auto" w:fill="auto"/>
            <w:noWrap/>
            <w:vAlign w:val="center"/>
            <w:hideMark/>
          </w:tcPr>
          <w:p w14:paraId="73BC2A6E"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14B4AC1C" w14:textId="77777777" w:rsidR="00531112" w:rsidRDefault="00531112">
            <w:pPr>
              <w:jc w:val="right"/>
              <w:rPr>
                <w:color w:val="000000"/>
                <w:sz w:val="20"/>
                <w:szCs w:val="20"/>
              </w:rPr>
            </w:pPr>
            <w:r>
              <w:rPr>
                <w:color w:val="000000"/>
                <w:sz w:val="20"/>
                <w:szCs w:val="20"/>
              </w:rPr>
              <w:t>943 006</w:t>
            </w:r>
          </w:p>
        </w:tc>
      </w:tr>
      <w:tr w:rsidR="00531112" w14:paraId="7F6871B4"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6B34EDF1"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6899157C" w14:textId="77777777" w:rsidR="00531112" w:rsidRDefault="00531112">
            <w:pPr>
              <w:rPr>
                <w:sz w:val="20"/>
                <w:szCs w:val="20"/>
              </w:rPr>
            </w:pPr>
            <w:r>
              <w:rPr>
                <w:sz w:val="20"/>
                <w:szCs w:val="20"/>
              </w:rPr>
              <w:t>Uzturēšanas izdevumi</w:t>
            </w:r>
          </w:p>
        </w:tc>
        <w:tc>
          <w:tcPr>
            <w:tcW w:w="1269" w:type="dxa"/>
            <w:tcBorders>
              <w:top w:val="nil"/>
              <w:left w:val="nil"/>
              <w:bottom w:val="single" w:sz="4" w:space="0" w:color="auto"/>
              <w:right w:val="single" w:sz="4" w:space="0" w:color="auto"/>
            </w:tcBorders>
            <w:shd w:val="clear" w:color="auto" w:fill="auto"/>
            <w:noWrap/>
            <w:vAlign w:val="bottom"/>
            <w:hideMark/>
          </w:tcPr>
          <w:p w14:paraId="53DA1548" w14:textId="77777777" w:rsidR="00531112" w:rsidRDefault="00531112">
            <w:pPr>
              <w:jc w:val="right"/>
              <w:rPr>
                <w:sz w:val="20"/>
                <w:szCs w:val="20"/>
              </w:rPr>
            </w:pPr>
            <w:r>
              <w:rPr>
                <w:sz w:val="20"/>
                <w:szCs w:val="20"/>
              </w:rPr>
              <w:t>840 756</w:t>
            </w:r>
          </w:p>
        </w:tc>
        <w:tc>
          <w:tcPr>
            <w:tcW w:w="1243" w:type="dxa"/>
            <w:tcBorders>
              <w:top w:val="nil"/>
              <w:left w:val="nil"/>
              <w:bottom w:val="single" w:sz="4" w:space="0" w:color="BFBFBF"/>
              <w:right w:val="single" w:sz="4" w:space="0" w:color="auto"/>
            </w:tcBorders>
            <w:shd w:val="clear" w:color="auto" w:fill="auto"/>
            <w:noWrap/>
            <w:vAlign w:val="center"/>
            <w:hideMark/>
          </w:tcPr>
          <w:p w14:paraId="706F3FD3"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76F0653B" w14:textId="77777777" w:rsidR="00531112" w:rsidRDefault="00531112">
            <w:pPr>
              <w:jc w:val="right"/>
              <w:rPr>
                <w:color w:val="000000"/>
                <w:sz w:val="20"/>
                <w:szCs w:val="20"/>
              </w:rPr>
            </w:pPr>
            <w:r>
              <w:rPr>
                <w:color w:val="000000"/>
                <w:sz w:val="20"/>
                <w:szCs w:val="20"/>
              </w:rPr>
              <w:t>937 056</w:t>
            </w:r>
          </w:p>
        </w:tc>
      </w:tr>
      <w:tr w:rsidR="00531112" w14:paraId="1CF53B2D"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64DF0E89" w14:textId="77777777" w:rsidR="00531112" w:rsidRDefault="00531112">
            <w:pPr>
              <w:ind w:firstLineChars="200" w:firstLine="4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5C3D7941" w14:textId="77777777" w:rsidR="00531112" w:rsidRDefault="00531112">
            <w:pPr>
              <w:rPr>
                <w:sz w:val="20"/>
                <w:szCs w:val="20"/>
              </w:rPr>
            </w:pPr>
            <w:r>
              <w:rPr>
                <w:sz w:val="20"/>
                <w:szCs w:val="20"/>
              </w:rPr>
              <w:t>Kārtējie izdevumi</w:t>
            </w:r>
          </w:p>
        </w:tc>
        <w:tc>
          <w:tcPr>
            <w:tcW w:w="1269" w:type="dxa"/>
            <w:tcBorders>
              <w:top w:val="nil"/>
              <w:left w:val="nil"/>
              <w:bottom w:val="single" w:sz="4" w:space="0" w:color="auto"/>
              <w:right w:val="single" w:sz="4" w:space="0" w:color="auto"/>
            </w:tcBorders>
            <w:shd w:val="clear" w:color="auto" w:fill="auto"/>
            <w:noWrap/>
            <w:vAlign w:val="bottom"/>
            <w:hideMark/>
          </w:tcPr>
          <w:p w14:paraId="3D61AA80" w14:textId="77777777" w:rsidR="00531112" w:rsidRDefault="00531112">
            <w:pPr>
              <w:jc w:val="right"/>
              <w:rPr>
                <w:sz w:val="20"/>
                <w:szCs w:val="20"/>
              </w:rPr>
            </w:pPr>
            <w:r>
              <w:rPr>
                <w:sz w:val="20"/>
                <w:szCs w:val="20"/>
              </w:rPr>
              <w:t>840 756</w:t>
            </w:r>
          </w:p>
        </w:tc>
        <w:tc>
          <w:tcPr>
            <w:tcW w:w="1243" w:type="dxa"/>
            <w:tcBorders>
              <w:top w:val="nil"/>
              <w:left w:val="nil"/>
              <w:bottom w:val="single" w:sz="4" w:space="0" w:color="BFBFBF"/>
              <w:right w:val="single" w:sz="4" w:space="0" w:color="auto"/>
            </w:tcBorders>
            <w:shd w:val="clear" w:color="auto" w:fill="auto"/>
            <w:noWrap/>
            <w:vAlign w:val="center"/>
            <w:hideMark/>
          </w:tcPr>
          <w:p w14:paraId="66D6BBF3"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56F5561B" w14:textId="77777777" w:rsidR="00531112" w:rsidRDefault="00531112">
            <w:pPr>
              <w:jc w:val="right"/>
              <w:rPr>
                <w:color w:val="000000"/>
                <w:sz w:val="20"/>
                <w:szCs w:val="20"/>
              </w:rPr>
            </w:pPr>
            <w:r>
              <w:rPr>
                <w:color w:val="000000"/>
                <w:sz w:val="20"/>
                <w:szCs w:val="20"/>
              </w:rPr>
              <w:t>937 056</w:t>
            </w:r>
          </w:p>
        </w:tc>
      </w:tr>
      <w:tr w:rsidR="00531112" w14:paraId="716C13F4"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06EC005F" w14:textId="77777777" w:rsidR="00531112" w:rsidRDefault="00531112">
            <w:pPr>
              <w:ind w:firstLineChars="300" w:firstLine="6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26D6F9E1" w14:textId="77777777" w:rsidR="00531112" w:rsidRDefault="00531112">
            <w:pPr>
              <w:rPr>
                <w:sz w:val="20"/>
                <w:szCs w:val="20"/>
              </w:rPr>
            </w:pPr>
            <w:r>
              <w:rPr>
                <w:sz w:val="20"/>
                <w:szCs w:val="20"/>
              </w:rPr>
              <w:t>Atlīdzība</w:t>
            </w:r>
          </w:p>
        </w:tc>
        <w:tc>
          <w:tcPr>
            <w:tcW w:w="1269" w:type="dxa"/>
            <w:tcBorders>
              <w:top w:val="nil"/>
              <w:left w:val="nil"/>
              <w:bottom w:val="single" w:sz="4" w:space="0" w:color="auto"/>
              <w:right w:val="single" w:sz="4" w:space="0" w:color="auto"/>
            </w:tcBorders>
            <w:shd w:val="clear" w:color="auto" w:fill="auto"/>
            <w:noWrap/>
            <w:vAlign w:val="bottom"/>
            <w:hideMark/>
          </w:tcPr>
          <w:p w14:paraId="203CFD83" w14:textId="77777777" w:rsidR="00531112" w:rsidRDefault="00531112">
            <w:pPr>
              <w:jc w:val="right"/>
              <w:rPr>
                <w:sz w:val="20"/>
                <w:szCs w:val="20"/>
              </w:rPr>
            </w:pPr>
            <w:r>
              <w:rPr>
                <w:sz w:val="20"/>
                <w:szCs w:val="20"/>
              </w:rPr>
              <w:t>713 399</w:t>
            </w:r>
          </w:p>
        </w:tc>
        <w:tc>
          <w:tcPr>
            <w:tcW w:w="1243" w:type="dxa"/>
            <w:tcBorders>
              <w:top w:val="nil"/>
              <w:left w:val="nil"/>
              <w:bottom w:val="single" w:sz="4" w:space="0" w:color="BFBFBF"/>
              <w:right w:val="single" w:sz="4" w:space="0" w:color="auto"/>
            </w:tcBorders>
            <w:shd w:val="clear" w:color="auto" w:fill="auto"/>
            <w:noWrap/>
            <w:vAlign w:val="center"/>
            <w:hideMark/>
          </w:tcPr>
          <w:p w14:paraId="5ED65D16"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60BDEE4E" w14:textId="77777777" w:rsidR="00531112" w:rsidRDefault="00531112">
            <w:pPr>
              <w:jc w:val="right"/>
              <w:rPr>
                <w:color w:val="000000"/>
                <w:sz w:val="20"/>
                <w:szCs w:val="20"/>
              </w:rPr>
            </w:pPr>
            <w:r>
              <w:rPr>
                <w:color w:val="000000"/>
                <w:sz w:val="20"/>
                <w:szCs w:val="20"/>
              </w:rPr>
              <w:t>809 699</w:t>
            </w:r>
          </w:p>
        </w:tc>
      </w:tr>
      <w:tr w:rsidR="00531112" w14:paraId="6D8C7427"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5A466DE0" w14:textId="77777777" w:rsidR="00531112" w:rsidRDefault="00531112">
            <w:pPr>
              <w:ind w:firstLineChars="400" w:firstLine="8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5AF21C7D" w14:textId="77777777" w:rsidR="00531112" w:rsidRDefault="00531112">
            <w:pPr>
              <w:rPr>
                <w:sz w:val="20"/>
                <w:szCs w:val="20"/>
              </w:rPr>
            </w:pPr>
            <w:r>
              <w:rPr>
                <w:sz w:val="20"/>
                <w:szCs w:val="20"/>
              </w:rPr>
              <w:t>Atalgojums</w:t>
            </w:r>
          </w:p>
        </w:tc>
        <w:tc>
          <w:tcPr>
            <w:tcW w:w="1269" w:type="dxa"/>
            <w:tcBorders>
              <w:top w:val="nil"/>
              <w:left w:val="nil"/>
              <w:bottom w:val="single" w:sz="4" w:space="0" w:color="auto"/>
              <w:right w:val="single" w:sz="4" w:space="0" w:color="auto"/>
            </w:tcBorders>
            <w:shd w:val="clear" w:color="auto" w:fill="auto"/>
            <w:noWrap/>
            <w:vAlign w:val="bottom"/>
            <w:hideMark/>
          </w:tcPr>
          <w:p w14:paraId="153BD9C1" w14:textId="77777777" w:rsidR="00531112" w:rsidRDefault="00531112">
            <w:pPr>
              <w:jc w:val="right"/>
              <w:rPr>
                <w:sz w:val="20"/>
                <w:szCs w:val="20"/>
              </w:rPr>
            </w:pPr>
            <w:r>
              <w:rPr>
                <w:sz w:val="20"/>
                <w:szCs w:val="20"/>
              </w:rPr>
              <w:t>558 823</w:t>
            </w:r>
          </w:p>
        </w:tc>
        <w:tc>
          <w:tcPr>
            <w:tcW w:w="1243" w:type="dxa"/>
            <w:tcBorders>
              <w:top w:val="nil"/>
              <w:left w:val="nil"/>
              <w:bottom w:val="single" w:sz="4" w:space="0" w:color="BFBFBF"/>
              <w:right w:val="single" w:sz="4" w:space="0" w:color="auto"/>
            </w:tcBorders>
            <w:shd w:val="clear" w:color="auto" w:fill="auto"/>
            <w:noWrap/>
            <w:vAlign w:val="center"/>
            <w:hideMark/>
          </w:tcPr>
          <w:p w14:paraId="341D7BA2" w14:textId="77777777" w:rsidR="00531112" w:rsidRDefault="00531112">
            <w:pPr>
              <w:jc w:val="right"/>
              <w:rPr>
                <w:color w:val="000000"/>
                <w:sz w:val="20"/>
                <w:szCs w:val="20"/>
              </w:rPr>
            </w:pPr>
            <w:r>
              <w:rPr>
                <w:color w:val="000000"/>
                <w:sz w:val="20"/>
                <w:szCs w:val="20"/>
              </w:rPr>
              <w:t>77 920</w:t>
            </w:r>
          </w:p>
        </w:tc>
        <w:tc>
          <w:tcPr>
            <w:tcW w:w="1271" w:type="dxa"/>
            <w:tcBorders>
              <w:top w:val="nil"/>
              <w:left w:val="nil"/>
              <w:bottom w:val="single" w:sz="4" w:space="0" w:color="BFBFBF"/>
              <w:right w:val="single" w:sz="4" w:space="0" w:color="auto"/>
            </w:tcBorders>
            <w:shd w:val="clear" w:color="auto" w:fill="auto"/>
            <w:noWrap/>
            <w:vAlign w:val="center"/>
            <w:hideMark/>
          </w:tcPr>
          <w:p w14:paraId="6A1CCA5E" w14:textId="77777777" w:rsidR="00531112" w:rsidRDefault="00531112">
            <w:pPr>
              <w:jc w:val="right"/>
              <w:rPr>
                <w:color w:val="000000"/>
                <w:sz w:val="20"/>
                <w:szCs w:val="20"/>
              </w:rPr>
            </w:pPr>
            <w:r>
              <w:rPr>
                <w:color w:val="000000"/>
                <w:sz w:val="20"/>
                <w:szCs w:val="20"/>
              </w:rPr>
              <w:t>636 743</w:t>
            </w:r>
          </w:p>
        </w:tc>
      </w:tr>
      <w:tr w:rsidR="00531112" w14:paraId="3C5A62E8"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4050ED9C" w14:textId="77777777" w:rsidR="00531112" w:rsidRDefault="00531112">
            <w:pPr>
              <w:ind w:firstLineChars="300" w:firstLine="6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7BB853CF" w14:textId="77777777" w:rsidR="00531112" w:rsidRDefault="00531112">
            <w:pPr>
              <w:rPr>
                <w:sz w:val="20"/>
                <w:szCs w:val="20"/>
              </w:rPr>
            </w:pPr>
            <w:r>
              <w:rPr>
                <w:sz w:val="20"/>
                <w:szCs w:val="20"/>
              </w:rPr>
              <w:t>Preces un pakalpojumi</w:t>
            </w:r>
          </w:p>
        </w:tc>
        <w:tc>
          <w:tcPr>
            <w:tcW w:w="1269" w:type="dxa"/>
            <w:tcBorders>
              <w:top w:val="nil"/>
              <w:left w:val="nil"/>
              <w:bottom w:val="single" w:sz="4" w:space="0" w:color="auto"/>
              <w:right w:val="single" w:sz="4" w:space="0" w:color="auto"/>
            </w:tcBorders>
            <w:shd w:val="clear" w:color="auto" w:fill="auto"/>
            <w:noWrap/>
            <w:vAlign w:val="bottom"/>
            <w:hideMark/>
          </w:tcPr>
          <w:p w14:paraId="697419BE" w14:textId="77777777" w:rsidR="00531112" w:rsidRDefault="00531112">
            <w:pPr>
              <w:jc w:val="right"/>
              <w:rPr>
                <w:sz w:val="20"/>
                <w:szCs w:val="20"/>
              </w:rPr>
            </w:pPr>
            <w:r>
              <w:rPr>
                <w:sz w:val="20"/>
                <w:szCs w:val="20"/>
              </w:rPr>
              <w:t>127 357</w:t>
            </w:r>
          </w:p>
        </w:tc>
        <w:tc>
          <w:tcPr>
            <w:tcW w:w="1243" w:type="dxa"/>
            <w:tcBorders>
              <w:top w:val="nil"/>
              <w:left w:val="nil"/>
              <w:bottom w:val="single" w:sz="4" w:space="0" w:color="BFBFBF"/>
              <w:right w:val="single" w:sz="4" w:space="0" w:color="auto"/>
            </w:tcBorders>
            <w:shd w:val="clear" w:color="auto" w:fill="auto"/>
            <w:noWrap/>
            <w:vAlign w:val="center"/>
            <w:hideMark/>
          </w:tcPr>
          <w:p w14:paraId="260C7D72"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483535B6" w14:textId="77777777" w:rsidR="00531112" w:rsidRDefault="00531112">
            <w:pPr>
              <w:jc w:val="right"/>
              <w:rPr>
                <w:color w:val="000000"/>
                <w:sz w:val="20"/>
                <w:szCs w:val="20"/>
              </w:rPr>
            </w:pPr>
            <w:r>
              <w:rPr>
                <w:color w:val="000000"/>
                <w:sz w:val="20"/>
                <w:szCs w:val="20"/>
              </w:rPr>
              <w:t>127 357</w:t>
            </w:r>
          </w:p>
        </w:tc>
      </w:tr>
      <w:tr w:rsidR="00531112" w14:paraId="1E1E6465"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7291254F"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45514F65" w14:textId="77777777" w:rsidR="00531112" w:rsidRDefault="00531112">
            <w:pPr>
              <w:rPr>
                <w:sz w:val="20"/>
                <w:szCs w:val="20"/>
              </w:rPr>
            </w:pPr>
            <w:r>
              <w:rPr>
                <w:sz w:val="20"/>
                <w:szCs w:val="20"/>
              </w:rPr>
              <w:t>Kapitālie izdevumi</w:t>
            </w:r>
          </w:p>
        </w:tc>
        <w:tc>
          <w:tcPr>
            <w:tcW w:w="1269" w:type="dxa"/>
            <w:tcBorders>
              <w:top w:val="nil"/>
              <w:left w:val="nil"/>
              <w:bottom w:val="single" w:sz="4" w:space="0" w:color="auto"/>
              <w:right w:val="single" w:sz="4" w:space="0" w:color="auto"/>
            </w:tcBorders>
            <w:shd w:val="clear" w:color="auto" w:fill="auto"/>
            <w:noWrap/>
            <w:vAlign w:val="bottom"/>
            <w:hideMark/>
          </w:tcPr>
          <w:p w14:paraId="5B5FADBB" w14:textId="77777777" w:rsidR="00531112" w:rsidRDefault="00531112">
            <w:pPr>
              <w:jc w:val="right"/>
              <w:rPr>
                <w:sz w:val="20"/>
                <w:szCs w:val="20"/>
              </w:rPr>
            </w:pPr>
            <w:r>
              <w:rPr>
                <w:sz w:val="20"/>
                <w:szCs w:val="20"/>
              </w:rPr>
              <w:t>5 950</w:t>
            </w:r>
          </w:p>
        </w:tc>
        <w:tc>
          <w:tcPr>
            <w:tcW w:w="1243" w:type="dxa"/>
            <w:tcBorders>
              <w:top w:val="nil"/>
              <w:left w:val="nil"/>
              <w:bottom w:val="single" w:sz="4" w:space="0" w:color="BFBFBF"/>
              <w:right w:val="single" w:sz="4" w:space="0" w:color="auto"/>
            </w:tcBorders>
            <w:shd w:val="clear" w:color="auto" w:fill="auto"/>
            <w:noWrap/>
            <w:vAlign w:val="center"/>
            <w:hideMark/>
          </w:tcPr>
          <w:p w14:paraId="0098C930"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006AD949" w14:textId="77777777" w:rsidR="00531112" w:rsidRDefault="00531112">
            <w:pPr>
              <w:jc w:val="right"/>
              <w:rPr>
                <w:color w:val="000000"/>
                <w:sz w:val="20"/>
                <w:szCs w:val="20"/>
              </w:rPr>
            </w:pPr>
            <w:r>
              <w:rPr>
                <w:color w:val="000000"/>
                <w:sz w:val="20"/>
                <w:szCs w:val="20"/>
              </w:rPr>
              <w:t>5 950</w:t>
            </w:r>
          </w:p>
        </w:tc>
      </w:tr>
      <w:tr w:rsidR="00531112" w14:paraId="77984195"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0EFE2F60" w14:textId="77777777" w:rsidR="00531112" w:rsidRDefault="00531112">
            <w:pPr>
              <w:ind w:firstLineChars="200" w:firstLine="4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486C354D" w14:textId="77777777" w:rsidR="00531112" w:rsidRDefault="00531112">
            <w:pPr>
              <w:rPr>
                <w:sz w:val="20"/>
                <w:szCs w:val="20"/>
              </w:rPr>
            </w:pPr>
            <w:r>
              <w:rPr>
                <w:sz w:val="20"/>
                <w:szCs w:val="20"/>
              </w:rPr>
              <w:t>Pamatkapitāla veidošana</w:t>
            </w:r>
          </w:p>
        </w:tc>
        <w:tc>
          <w:tcPr>
            <w:tcW w:w="1269" w:type="dxa"/>
            <w:tcBorders>
              <w:top w:val="nil"/>
              <w:left w:val="nil"/>
              <w:bottom w:val="single" w:sz="4" w:space="0" w:color="auto"/>
              <w:right w:val="single" w:sz="4" w:space="0" w:color="auto"/>
            </w:tcBorders>
            <w:shd w:val="clear" w:color="auto" w:fill="auto"/>
            <w:noWrap/>
            <w:vAlign w:val="bottom"/>
            <w:hideMark/>
          </w:tcPr>
          <w:p w14:paraId="7A45AEBD" w14:textId="77777777" w:rsidR="00531112" w:rsidRDefault="00531112">
            <w:pPr>
              <w:jc w:val="right"/>
              <w:rPr>
                <w:sz w:val="20"/>
                <w:szCs w:val="20"/>
              </w:rPr>
            </w:pPr>
            <w:r>
              <w:rPr>
                <w:sz w:val="20"/>
                <w:szCs w:val="20"/>
              </w:rPr>
              <w:t>5 950</w:t>
            </w:r>
          </w:p>
        </w:tc>
        <w:tc>
          <w:tcPr>
            <w:tcW w:w="1243" w:type="dxa"/>
            <w:tcBorders>
              <w:top w:val="nil"/>
              <w:left w:val="nil"/>
              <w:bottom w:val="single" w:sz="4" w:space="0" w:color="BFBFBF"/>
              <w:right w:val="single" w:sz="4" w:space="0" w:color="auto"/>
            </w:tcBorders>
            <w:shd w:val="clear" w:color="auto" w:fill="auto"/>
            <w:noWrap/>
            <w:vAlign w:val="center"/>
            <w:hideMark/>
          </w:tcPr>
          <w:p w14:paraId="5E4D700F"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5BD0E2C3" w14:textId="77777777" w:rsidR="00531112" w:rsidRDefault="00531112">
            <w:pPr>
              <w:jc w:val="right"/>
              <w:rPr>
                <w:color w:val="000000"/>
                <w:sz w:val="20"/>
                <w:szCs w:val="20"/>
              </w:rPr>
            </w:pPr>
            <w:r>
              <w:rPr>
                <w:color w:val="000000"/>
                <w:sz w:val="20"/>
                <w:szCs w:val="20"/>
              </w:rPr>
              <w:t>5 950</w:t>
            </w:r>
          </w:p>
        </w:tc>
      </w:tr>
      <w:tr w:rsidR="00531112" w14:paraId="06A107B4"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000000" w:fill="FFFF00"/>
            <w:noWrap/>
            <w:vAlign w:val="bottom"/>
            <w:hideMark/>
          </w:tcPr>
          <w:p w14:paraId="2718DCCD" w14:textId="77777777" w:rsidR="00531112" w:rsidRDefault="00531112">
            <w:pPr>
              <w:rPr>
                <w:b/>
                <w:bCs/>
                <w:sz w:val="20"/>
                <w:szCs w:val="20"/>
              </w:rPr>
            </w:pPr>
            <w:r>
              <w:rPr>
                <w:b/>
                <w:bCs/>
                <w:sz w:val="20"/>
                <w:szCs w:val="20"/>
              </w:rPr>
              <w:t>06.04.00</w:t>
            </w:r>
          </w:p>
        </w:tc>
        <w:tc>
          <w:tcPr>
            <w:tcW w:w="3683" w:type="dxa"/>
            <w:tcBorders>
              <w:top w:val="single" w:sz="4" w:space="0" w:color="BFBFBF"/>
              <w:left w:val="nil"/>
              <w:bottom w:val="single" w:sz="4" w:space="0" w:color="BFBFBF"/>
              <w:right w:val="single" w:sz="4" w:space="0" w:color="auto"/>
            </w:tcBorders>
            <w:shd w:val="clear" w:color="000000" w:fill="FFFF00"/>
            <w:vAlign w:val="bottom"/>
            <w:hideMark/>
          </w:tcPr>
          <w:p w14:paraId="7FDB7F0F" w14:textId="77777777" w:rsidR="00531112" w:rsidRDefault="00531112">
            <w:pPr>
              <w:rPr>
                <w:b/>
                <w:bCs/>
                <w:sz w:val="20"/>
                <w:szCs w:val="20"/>
              </w:rPr>
            </w:pPr>
            <w:r>
              <w:rPr>
                <w:b/>
                <w:bCs/>
                <w:sz w:val="20"/>
                <w:szCs w:val="20"/>
              </w:rPr>
              <w:t>Darbinieku prasījumu garantiju fonds</w:t>
            </w:r>
          </w:p>
        </w:tc>
        <w:tc>
          <w:tcPr>
            <w:tcW w:w="1269" w:type="dxa"/>
            <w:tcBorders>
              <w:top w:val="single" w:sz="4" w:space="0" w:color="BFBFBF"/>
              <w:left w:val="nil"/>
              <w:bottom w:val="single" w:sz="4" w:space="0" w:color="BFBFBF"/>
              <w:right w:val="single" w:sz="4" w:space="0" w:color="auto"/>
            </w:tcBorders>
            <w:shd w:val="clear" w:color="000000" w:fill="FFFF00"/>
            <w:noWrap/>
            <w:vAlign w:val="bottom"/>
            <w:hideMark/>
          </w:tcPr>
          <w:p w14:paraId="22A65371" w14:textId="77777777" w:rsidR="00531112" w:rsidRDefault="00531112">
            <w:pPr>
              <w:rPr>
                <w:sz w:val="20"/>
                <w:szCs w:val="20"/>
              </w:rPr>
            </w:pPr>
            <w:r>
              <w:rPr>
                <w:sz w:val="20"/>
                <w:szCs w:val="20"/>
              </w:rPr>
              <w:t> </w:t>
            </w:r>
          </w:p>
        </w:tc>
        <w:tc>
          <w:tcPr>
            <w:tcW w:w="1243" w:type="dxa"/>
            <w:tcBorders>
              <w:top w:val="nil"/>
              <w:left w:val="nil"/>
              <w:bottom w:val="single" w:sz="4" w:space="0" w:color="BFBFBF"/>
              <w:right w:val="single" w:sz="4" w:space="0" w:color="auto"/>
            </w:tcBorders>
            <w:shd w:val="clear" w:color="000000" w:fill="FFFF00"/>
            <w:noWrap/>
            <w:vAlign w:val="bottom"/>
            <w:hideMark/>
          </w:tcPr>
          <w:p w14:paraId="61DBEC97" w14:textId="77777777" w:rsidR="00531112" w:rsidRDefault="00531112">
            <w:pPr>
              <w:rPr>
                <w:sz w:val="20"/>
                <w:szCs w:val="20"/>
              </w:rPr>
            </w:pPr>
            <w:r>
              <w:rPr>
                <w:sz w:val="20"/>
                <w:szCs w:val="20"/>
              </w:rPr>
              <w:t> </w:t>
            </w:r>
          </w:p>
        </w:tc>
        <w:tc>
          <w:tcPr>
            <w:tcW w:w="1271" w:type="dxa"/>
            <w:tcBorders>
              <w:top w:val="nil"/>
              <w:left w:val="nil"/>
              <w:bottom w:val="single" w:sz="4" w:space="0" w:color="BFBFBF"/>
              <w:right w:val="single" w:sz="4" w:space="0" w:color="auto"/>
            </w:tcBorders>
            <w:shd w:val="clear" w:color="000000" w:fill="FFFF00"/>
            <w:noWrap/>
            <w:vAlign w:val="bottom"/>
            <w:hideMark/>
          </w:tcPr>
          <w:p w14:paraId="4D105531" w14:textId="77777777" w:rsidR="00531112" w:rsidRDefault="00531112">
            <w:pPr>
              <w:rPr>
                <w:sz w:val="20"/>
                <w:szCs w:val="20"/>
              </w:rPr>
            </w:pPr>
            <w:r>
              <w:rPr>
                <w:sz w:val="20"/>
                <w:szCs w:val="20"/>
              </w:rPr>
              <w:t> </w:t>
            </w:r>
          </w:p>
        </w:tc>
      </w:tr>
      <w:tr w:rsidR="00531112" w14:paraId="5E146394"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6AB14221" w14:textId="77777777" w:rsidR="00531112" w:rsidRDefault="00531112">
            <w:pPr>
              <w:rPr>
                <w:sz w:val="20"/>
                <w:szCs w:val="20"/>
              </w:rPr>
            </w:pPr>
            <w:r>
              <w:rPr>
                <w:sz w:val="20"/>
                <w:szCs w:val="20"/>
              </w:rPr>
              <w:t> </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14:paraId="2D42DF9B" w14:textId="77777777" w:rsidR="00531112" w:rsidRDefault="00531112">
            <w:pPr>
              <w:rPr>
                <w:sz w:val="20"/>
                <w:szCs w:val="20"/>
              </w:rPr>
            </w:pPr>
            <w:r>
              <w:rPr>
                <w:sz w:val="20"/>
                <w:szCs w:val="20"/>
              </w:rPr>
              <w:t>Resursi izdevumu segšanai</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7988FB32" w14:textId="77777777" w:rsidR="00531112" w:rsidRDefault="00531112">
            <w:pPr>
              <w:ind w:firstLineChars="100" w:firstLine="200"/>
              <w:jc w:val="right"/>
              <w:rPr>
                <w:color w:val="000000"/>
                <w:sz w:val="20"/>
                <w:szCs w:val="20"/>
              </w:rPr>
            </w:pPr>
            <w:r>
              <w:rPr>
                <w:color w:val="000000"/>
                <w:sz w:val="20"/>
                <w:szCs w:val="20"/>
              </w:rPr>
              <w:t>3 189 734</w:t>
            </w:r>
          </w:p>
        </w:tc>
        <w:tc>
          <w:tcPr>
            <w:tcW w:w="1243" w:type="dxa"/>
            <w:tcBorders>
              <w:top w:val="nil"/>
              <w:left w:val="nil"/>
              <w:bottom w:val="single" w:sz="4" w:space="0" w:color="BFBFBF"/>
              <w:right w:val="single" w:sz="4" w:space="0" w:color="auto"/>
            </w:tcBorders>
            <w:shd w:val="clear" w:color="auto" w:fill="auto"/>
            <w:noWrap/>
            <w:vAlign w:val="center"/>
            <w:hideMark/>
          </w:tcPr>
          <w:p w14:paraId="1719AEB8"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4F507E91" w14:textId="77777777" w:rsidR="00531112" w:rsidRDefault="00531112">
            <w:pPr>
              <w:jc w:val="right"/>
              <w:rPr>
                <w:color w:val="000000"/>
                <w:sz w:val="20"/>
                <w:szCs w:val="20"/>
              </w:rPr>
            </w:pPr>
            <w:r>
              <w:rPr>
                <w:color w:val="000000"/>
                <w:sz w:val="20"/>
                <w:szCs w:val="20"/>
              </w:rPr>
              <w:t>3 093 434</w:t>
            </w:r>
          </w:p>
        </w:tc>
      </w:tr>
      <w:tr w:rsidR="00531112" w14:paraId="37073B96" w14:textId="77777777" w:rsidTr="00531112">
        <w:trPr>
          <w:trHeight w:val="477"/>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4F3D1BFA"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76671F48" w14:textId="77777777" w:rsidR="00531112" w:rsidRDefault="00531112">
            <w:pPr>
              <w:rPr>
                <w:sz w:val="20"/>
                <w:szCs w:val="20"/>
              </w:rPr>
            </w:pPr>
            <w:r>
              <w:rPr>
                <w:sz w:val="20"/>
                <w:szCs w:val="20"/>
              </w:rPr>
              <w:t>Ieņēmumi no maksas pakalpojumiem un citi pašu ieņēmumi – kopā, t.sk.</w:t>
            </w:r>
          </w:p>
        </w:tc>
        <w:tc>
          <w:tcPr>
            <w:tcW w:w="1269" w:type="dxa"/>
            <w:tcBorders>
              <w:top w:val="nil"/>
              <w:left w:val="nil"/>
              <w:bottom w:val="single" w:sz="4" w:space="0" w:color="auto"/>
              <w:right w:val="single" w:sz="4" w:space="0" w:color="auto"/>
            </w:tcBorders>
            <w:shd w:val="clear" w:color="auto" w:fill="auto"/>
            <w:vAlign w:val="bottom"/>
            <w:hideMark/>
          </w:tcPr>
          <w:p w14:paraId="6D2808B6" w14:textId="77777777" w:rsidR="00531112" w:rsidRDefault="00531112">
            <w:pPr>
              <w:ind w:firstLineChars="100" w:firstLine="200"/>
              <w:jc w:val="right"/>
              <w:rPr>
                <w:color w:val="000000"/>
                <w:sz w:val="20"/>
                <w:szCs w:val="20"/>
              </w:rPr>
            </w:pPr>
            <w:r>
              <w:rPr>
                <w:color w:val="000000"/>
                <w:sz w:val="20"/>
                <w:szCs w:val="20"/>
              </w:rPr>
              <w:t>3 189 734</w:t>
            </w:r>
          </w:p>
        </w:tc>
        <w:tc>
          <w:tcPr>
            <w:tcW w:w="1243" w:type="dxa"/>
            <w:tcBorders>
              <w:top w:val="nil"/>
              <w:left w:val="nil"/>
              <w:bottom w:val="single" w:sz="4" w:space="0" w:color="BFBFBF"/>
              <w:right w:val="single" w:sz="4" w:space="0" w:color="auto"/>
            </w:tcBorders>
            <w:shd w:val="clear" w:color="auto" w:fill="auto"/>
            <w:noWrap/>
            <w:vAlign w:val="center"/>
            <w:hideMark/>
          </w:tcPr>
          <w:p w14:paraId="33E31C30"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2ABD30D6" w14:textId="77777777" w:rsidR="00531112" w:rsidRDefault="00531112">
            <w:pPr>
              <w:jc w:val="right"/>
              <w:rPr>
                <w:color w:val="000000"/>
                <w:sz w:val="20"/>
                <w:szCs w:val="20"/>
              </w:rPr>
            </w:pPr>
            <w:r>
              <w:rPr>
                <w:color w:val="000000"/>
                <w:sz w:val="20"/>
                <w:szCs w:val="20"/>
              </w:rPr>
              <w:t>3 093 434</w:t>
            </w:r>
          </w:p>
        </w:tc>
      </w:tr>
      <w:tr w:rsidR="00531112" w14:paraId="0AC087D9"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000000" w:fill="F8CBAD"/>
            <w:noWrap/>
            <w:vAlign w:val="center"/>
            <w:hideMark/>
          </w:tcPr>
          <w:p w14:paraId="2B85CC06" w14:textId="77777777" w:rsidR="00531112" w:rsidRDefault="00531112">
            <w:pPr>
              <w:ind w:firstLineChars="100" w:firstLine="200"/>
              <w:rPr>
                <w:sz w:val="20"/>
                <w:szCs w:val="20"/>
              </w:rPr>
            </w:pPr>
            <w:r>
              <w:rPr>
                <w:sz w:val="20"/>
                <w:szCs w:val="20"/>
              </w:rPr>
              <w:t> </w:t>
            </w:r>
          </w:p>
        </w:tc>
        <w:tc>
          <w:tcPr>
            <w:tcW w:w="3683" w:type="dxa"/>
            <w:tcBorders>
              <w:top w:val="single" w:sz="4" w:space="0" w:color="BFBFBF"/>
              <w:left w:val="nil"/>
              <w:bottom w:val="single" w:sz="4" w:space="0" w:color="BFBFBF"/>
              <w:right w:val="single" w:sz="4" w:space="0" w:color="auto"/>
            </w:tcBorders>
            <w:shd w:val="clear" w:color="000000" w:fill="F8CBAD"/>
            <w:vAlign w:val="center"/>
            <w:hideMark/>
          </w:tcPr>
          <w:p w14:paraId="46F0D68D" w14:textId="77777777" w:rsidR="00531112" w:rsidRDefault="00531112">
            <w:pPr>
              <w:jc w:val="right"/>
              <w:rPr>
                <w:sz w:val="20"/>
                <w:szCs w:val="20"/>
              </w:rPr>
            </w:pPr>
            <w:r>
              <w:rPr>
                <w:sz w:val="20"/>
                <w:szCs w:val="20"/>
              </w:rPr>
              <w:t>Ieņēmumi no uzņēmējdarbības riska valsts nodevas</w:t>
            </w:r>
          </w:p>
        </w:tc>
        <w:tc>
          <w:tcPr>
            <w:tcW w:w="1269" w:type="dxa"/>
            <w:tcBorders>
              <w:top w:val="single" w:sz="4" w:space="0" w:color="BFBFBF"/>
              <w:left w:val="nil"/>
              <w:bottom w:val="single" w:sz="4" w:space="0" w:color="BFBFBF"/>
              <w:right w:val="single" w:sz="4" w:space="0" w:color="auto"/>
            </w:tcBorders>
            <w:shd w:val="clear" w:color="000000" w:fill="F8CBAD"/>
            <w:noWrap/>
            <w:vAlign w:val="center"/>
            <w:hideMark/>
          </w:tcPr>
          <w:p w14:paraId="2063A6EE" w14:textId="77777777" w:rsidR="00531112" w:rsidRDefault="00531112">
            <w:pPr>
              <w:jc w:val="right"/>
              <w:rPr>
                <w:color w:val="000000"/>
                <w:sz w:val="20"/>
                <w:szCs w:val="20"/>
              </w:rPr>
            </w:pPr>
            <w:r>
              <w:rPr>
                <w:color w:val="000000"/>
                <w:sz w:val="20"/>
                <w:szCs w:val="20"/>
              </w:rPr>
              <w:t>3 047 734</w:t>
            </w:r>
          </w:p>
        </w:tc>
        <w:tc>
          <w:tcPr>
            <w:tcW w:w="1243" w:type="dxa"/>
            <w:tcBorders>
              <w:top w:val="nil"/>
              <w:left w:val="nil"/>
              <w:bottom w:val="single" w:sz="4" w:space="0" w:color="BFBFBF"/>
              <w:right w:val="single" w:sz="4" w:space="0" w:color="auto"/>
            </w:tcBorders>
            <w:shd w:val="clear" w:color="000000" w:fill="F8CBAD"/>
            <w:noWrap/>
            <w:vAlign w:val="center"/>
            <w:hideMark/>
          </w:tcPr>
          <w:p w14:paraId="2A07CBC8"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000000" w:fill="F8CBAD"/>
            <w:noWrap/>
            <w:vAlign w:val="center"/>
            <w:hideMark/>
          </w:tcPr>
          <w:p w14:paraId="082190E6" w14:textId="77777777" w:rsidR="00531112" w:rsidRDefault="00531112">
            <w:pPr>
              <w:jc w:val="right"/>
              <w:rPr>
                <w:color w:val="000000"/>
                <w:sz w:val="20"/>
                <w:szCs w:val="20"/>
              </w:rPr>
            </w:pPr>
            <w:r>
              <w:rPr>
                <w:color w:val="000000"/>
                <w:sz w:val="20"/>
                <w:szCs w:val="20"/>
              </w:rPr>
              <w:t>2 951 434</w:t>
            </w:r>
          </w:p>
        </w:tc>
      </w:tr>
      <w:tr w:rsidR="00531112" w14:paraId="0CE0507C"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000000" w:fill="F8CBAD"/>
            <w:noWrap/>
            <w:vAlign w:val="center"/>
            <w:hideMark/>
          </w:tcPr>
          <w:p w14:paraId="17283D77"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BFBFBF"/>
              <w:right w:val="single" w:sz="4" w:space="0" w:color="auto"/>
            </w:tcBorders>
            <w:shd w:val="clear" w:color="000000" w:fill="F8CBAD"/>
            <w:vAlign w:val="center"/>
            <w:hideMark/>
          </w:tcPr>
          <w:p w14:paraId="7DCAC974" w14:textId="77777777" w:rsidR="00531112" w:rsidRDefault="00531112">
            <w:pPr>
              <w:jc w:val="right"/>
              <w:rPr>
                <w:sz w:val="20"/>
                <w:szCs w:val="20"/>
              </w:rPr>
            </w:pPr>
            <w:r>
              <w:rPr>
                <w:sz w:val="20"/>
                <w:szCs w:val="20"/>
              </w:rPr>
              <w:t>Atgūtie līdzekļi</w:t>
            </w:r>
          </w:p>
        </w:tc>
        <w:tc>
          <w:tcPr>
            <w:tcW w:w="1269" w:type="dxa"/>
            <w:tcBorders>
              <w:top w:val="nil"/>
              <w:left w:val="nil"/>
              <w:bottom w:val="single" w:sz="4" w:space="0" w:color="BFBFBF"/>
              <w:right w:val="single" w:sz="4" w:space="0" w:color="auto"/>
            </w:tcBorders>
            <w:shd w:val="clear" w:color="000000" w:fill="F8CBAD"/>
            <w:noWrap/>
            <w:vAlign w:val="center"/>
            <w:hideMark/>
          </w:tcPr>
          <w:p w14:paraId="679F756D" w14:textId="77777777" w:rsidR="00531112" w:rsidRDefault="00531112">
            <w:pPr>
              <w:jc w:val="right"/>
              <w:rPr>
                <w:color w:val="000000"/>
                <w:sz w:val="20"/>
                <w:szCs w:val="20"/>
              </w:rPr>
            </w:pPr>
            <w:r>
              <w:rPr>
                <w:color w:val="000000"/>
                <w:sz w:val="20"/>
                <w:szCs w:val="20"/>
              </w:rPr>
              <w:t>142 000</w:t>
            </w:r>
          </w:p>
        </w:tc>
        <w:tc>
          <w:tcPr>
            <w:tcW w:w="1243" w:type="dxa"/>
            <w:tcBorders>
              <w:top w:val="nil"/>
              <w:left w:val="nil"/>
              <w:bottom w:val="single" w:sz="4" w:space="0" w:color="BFBFBF"/>
              <w:right w:val="single" w:sz="4" w:space="0" w:color="auto"/>
            </w:tcBorders>
            <w:shd w:val="clear" w:color="000000" w:fill="F8CBAD"/>
            <w:noWrap/>
            <w:vAlign w:val="center"/>
            <w:hideMark/>
          </w:tcPr>
          <w:p w14:paraId="6B68D466"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000000" w:fill="F8CBAD"/>
            <w:noWrap/>
            <w:vAlign w:val="center"/>
            <w:hideMark/>
          </w:tcPr>
          <w:p w14:paraId="2FA94C49" w14:textId="77777777" w:rsidR="00531112" w:rsidRDefault="00531112">
            <w:pPr>
              <w:jc w:val="right"/>
              <w:rPr>
                <w:color w:val="000000"/>
                <w:sz w:val="20"/>
                <w:szCs w:val="20"/>
              </w:rPr>
            </w:pPr>
            <w:r>
              <w:rPr>
                <w:color w:val="000000"/>
                <w:sz w:val="20"/>
                <w:szCs w:val="20"/>
              </w:rPr>
              <w:t>142 000</w:t>
            </w:r>
          </w:p>
        </w:tc>
      </w:tr>
      <w:tr w:rsidR="00531112" w14:paraId="5B089A47"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147C4EDC" w14:textId="77777777" w:rsidR="00531112" w:rsidRDefault="00531112">
            <w:pPr>
              <w:rPr>
                <w:sz w:val="20"/>
                <w:szCs w:val="20"/>
              </w:rPr>
            </w:pPr>
            <w:r>
              <w:rPr>
                <w:sz w:val="20"/>
                <w:szCs w:val="20"/>
              </w:rPr>
              <w:t> </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14:paraId="7FEA0F08" w14:textId="77777777" w:rsidR="00531112" w:rsidRDefault="00531112">
            <w:pPr>
              <w:rPr>
                <w:sz w:val="20"/>
                <w:szCs w:val="20"/>
              </w:rPr>
            </w:pPr>
            <w:r>
              <w:rPr>
                <w:sz w:val="20"/>
                <w:szCs w:val="20"/>
              </w:rPr>
              <w:t>Izdevumi – kopā</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514FA030" w14:textId="77777777" w:rsidR="00531112" w:rsidRDefault="00531112">
            <w:pPr>
              <w:ind w:firstLineChars="100" w:firstLine="200"/>
              <w:jc w:val="right"/>
              <w:rPr>
                <w:color w:val="000000"/>
                <w:sz w:val="20"/>
                <w:szCs w:val="20"/>
              </w:rPr>
            </w:pPr>
            <w:r>
              <w:rPr>
                <w:color w:val="000000"/>
                <w:sz w:val="20"/>
                <w:szCs w:val="20"/>
              </w:rPr>
              <w:t>1 704 467</w:t>
            </w:r>
          </w:p>
        </w:tc>
        <w:tc>
          <w:tcPr>
            <w:tcW w:w="1243" w:type="dxa"/>
            <w:tcBorders>
              <w:top w:val="nil"/>
              <w:left w:val="nil"/>
              <w:bottom w:val="single" w:sz="4" w:space="0" w:color="BFBFBF"/>
              <w:right w:val="single" w:sz="4" w:space="0" w:color="auto"/>
            </w:tcBorders>
            <w:shd w:val="clear" w:color="000000" w:fill="FFFFFF"/>
            <w:noWrap/>
            <w:vAlign w:val="center"/>
            <w:hideMark/>
          </w:tcPr>
          <w:p w14:paraId="76C13C0F"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6E29F77E" w14:textId="77777777" w:rsidR="00531112" w:rsidRDefault="00531112">
            <w:pPr>
              <w:jc w:val="right"/>
              <w:rPr>
                <w:color w:val="000000"/>
                <w:sz w:val="20"/>
                <w:szCs w:val="20"/>
              </w:rPr>
            </w:pPr>
            <w:r>
              <w:rPr>
                <w:color w:val="000000"/>
                <w:sz w:val="20"/>
                <w:szCs w:val="20"/>
              </w:rPr>
              <w:t>1 608 167</w:t>
            </w:r>
          </w:p>
        </w:tc>
      </w:tr>
      <w:tr w:rsidR="00531112" w14:paraId="552B5A69"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74137938"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2A1E5AF9" w14:textId="77777777" w:rsidR="00531112" w:rsidRDefault="00531112">
            <w:pPr>
              <w:rPr>
                <w:sz w:val="20"/>
                <w:szCs w:val="20"/>
              </w:rPr>
            </w:pPr>
            <w:r>
              <w:rPr>
                <w:sz w:val="20"/>
                <w:szCs w:val="20"/>
              </w:rPr>
              <w:t>Uzturēšanas izdevumi</w:t>
            </w:r>
          </w:p>
        </w:tc>
        <w:tc>
          <w:tcPr>
            <w:tcW w:w="1269" w:type="dxa"/>
            <w:tcBorders>
              <w:top w:val="nil"/>
              <w:left w:val="nil"/>
              <w:bottom w:val="single" w:sz="4" w:space="0" w:color="auto"/>
              <w:right w:val="single" w:sz="4" w:space="0" w:color="auto"/>
            </w:tcBorders>
            <w:shd w:val="clear" w:color="auto" w:fill="auto"/>
            <w:vAlign w:val="bottom"/>
            <w:hideMark/>
          </w:tcPr>
          <w:p w14:paraId="6994BF39" w14:textId="77777777" w:rsidR="00531112" w:rsidRDefault="00531112">
            <w:pPr>
              <w:ind w:firstLineChars="100" w:firstLine="200"/>
              <w:jc w:val="right"/>
              <w:rPr>
                <w:color w:val="000000"/>
                <w:sz w:val="20"/>
                <w:szCs w:val="20"/>
              </w:rPr>
            </w:pPr>
            <w:r>
              <w:rPr>
                <w:color w:val="000000"/>
                <w:sz w:val="20"/>
                <w:szCs w:val="20"/>
              </w:rPr>
              <w:t>1 704 467</w:t>
            </w:r>
          </w:p>
        </w:tc>
        <w:tc>
          <w:tcPr>
            <w:tcW w:w="1243" w:type="dxa"/>
            <w:tcBorders>
              <w:top w:val="nil"/>
              <w:left w:val="nil"/>
              <w:bottom w:val="single" w:sz="4" w:space="0" w:color="BFBFBF"/>
              <w:right w:val="single" w:sz="4" w:space="0" w:color="auto"/>
            </w:tcBorders>
            <w:shd w:val="clear" w:color="000000" w:fill="FFFFFF"/>
            <w:noWrap/>
            <w:vAlign w:val="center"/>
            <w:hideMark/>
          </w:tcPr>
          <w:p w14:paraId="0A78D377"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585522F8" w14:textId="77777777" w:rsidR="00531112" w:rsidRDefault="00531112">
            <w:pPr>
              <w:jc w:val="right"/>
              <w:rPr>
                <w:color w:val="000000"/>
                <w:sz w:val="20"/>
                <w:szCs w:val="20"/>
              </w:rPr>
            </w:pPr>
            <w:r>
              <w:rPr>
                <w:color w:val="000000"/>
                <w:sz w:val="20"/>
                <w:szCs w:val="20"/>
              </w:rPr>
              <w:t>1 608 167</w:t>
            </w:r>
          </w:p>
        </w:tc>
      </w:tr>
      <w:tr w:rsidR="00531112" w14:paraId="6855BDBB"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7B385192" w14:textId="77777777" w:rsidR="00531112" w:rsidRDefault="00531112">
            <w:pPr>
              <w:ind w:firstLineChars="200" w:firstLine="4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3A9E4FAA" w14:textId="77777777" w:rsidR="00531112" w:rsidRDefault="00531112">
            <w:pPr>
              <w:rPr>
                <w:sz w:val="20"/>
                <w:szCs w:val="20"/>
              </w:rPr>
            </w:pPr>
            <w:r>
              <w:rPr>
                <w:sz w:val="20"/>
                <w:szCs w:val="20"/>
              </w:rPr>
              <w:t>Kārtējie izdevumi</w:t>
            </w:r>
          </w:p>
        </w:tc>
        <w:tc>
          <w:tcPr>
            <w:tcW w:w="1269" w:type="dxa"/>
            <w:tcBorders>
              <w:top w:val="nil"/>
              <w:left w:val="nil"/>
              <w:bottom w:val="single" w:sz="4" w:space="0" w:color="auto"/>
              <w:right w:val="single" w:sz="4" w:space="0" w:color="auto"/>
            </w:tcBorders>
            <w:shd w:val="clear" w:color="auto" w:fill="auto"/>
            <w:vAlign w:val="bottom"/>
            <w:hideMark/>
          </w:tcPr>
          <w:p w14:paraId="66630FE3" w14:textId="77777777" w:rsidR="00531112" w:rsidRDefault="00531112">
            <w:pPr>
              <w:ind w:firstLineChars="100" w:firstLine="200"/>
              <w:jc w:val="right"/>
              <w:rPr>
                <w:color w:val="000000"/>
                <w:sz w:val="20"/>
                <w:szCs w:val="20"/>
              </w:rPr>
            </w:pPr>
            <w:r>
              <w:rPr>
                <w:color w:val="000000"/>
                <w:sz w:val="20"/>
                <w:szCs w:val="20"/>
              </w:rPr>
              <w:t>770 634</w:t>
            </w:r>
          </w:p>
        </w:tc>
        <w:tc>
          <w:tcPr>
            <w:tcW w:w="1243" w:type="dxa"/>
            <w:tcBorders>
              <w:top w:val="nil"/>
              <w:left w:val="nil"/>
              <w:bottom w:val="single" w:sz="4" w:space="0" w:color="BFBFBF"/>
              <w:right w:val="single" w:sz="4" w:space="0" w:color="auto"/>
            </w:tcBorders>
            <w:shd w:val="clear" w:color="000000" w:fill="FFFFFF"/>
            <w:noWrap/>
            <w:vAlign w:val="center"/>
            <w:hideMark/>
          </w:tcPr>
          <w:p w14:paraId="01655D39"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28B5FA72" w14:textId="77777777" w:rsidR="00531112" w:rsidRDefault="00531112">
            <w:pPr>
              <w:jc w:val="right"/>
              <w:rPr>
                <w:color w:val="000000"/>
                <w:sz w:val="20"/>
                <w:szCs w:val="20"/>
              </w:rPr>
            </w:pPr>
            <w:r>
              <w:rPr>
                <w:color w:val="000000"/>
                <w:sz w:val="20"/>
                <w:szCs w:val="20"/>
              </w:rPr>
              <w:t>674 334</w:t>
            </w:r>
          </w:p>
        </w:tc>
      </w:tr>
      <w:tr w:rsidR="00531112" w14:paraId="0FCEFA29"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3C5C9DDE" w14:textId="77777777" w:rsidR="00531112" w:rsidRDefault="00531112">
            <w:pPr>
              <w:ind w:firstLineChars="300" w:firstLine="6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4821113C" w14:textId="77777777" w:rsidR="00531112" w:rsidRDefault="00531112">
            <w:pPr>
              <w:rPr>
                <w:sz w:val="20"/>
                <w:szCs w:val="20"/>
              </w:rPr>
            </w:pPr>
            <w:r>
              <w:rPr>
                <w:sz w:val="20"/>
                <w:szCs w:val="20"/>
              </w:rPr>
              <w:t>Preces un pakalpojumi</w:t>
            </w:r>
          </w:p>
        </w:tc>
        <w:tc>
          <w:tcPr>
            <w:tcW w:w="1269" w:type="dxa"/>
            <w:tcBorders>
              <w:top w:val="nil"/>
              <w:left w:val="nil"/>
              <w:bottom w:val="single" w:sz="4" w:space="0" w:color="auto"/>
              <w:right w:val="single" w:sz="4" w:space="0" w:color="auto"/>
            </w:tcBorders>
            <w:shd w:val="clear" w:color="auto" w:fill="auto"/>
            <w:vAlign w:val="bottom"/>
            <w:hideMark/>
          </w:tcPr>
          <w:p w14:paraId="379EFE7E" w14:textId="77777777" w:rsidR="00531112" w:rsidRDefault="00531112">
            <w:pPr>
              <w:ind w:firstLineChars="100" w:firstLine="200"/>
              <w:jc w:val="right"/>
              <w:rPr>
                <w:color w:val="000000"/>
                <w:sz w:val="20"/>
                <w:szCs w:val="20"/>
              </w:rPr>
            </w:pPr>
            <w:r>
              <w:rPr>
                <w:color w:val="000000"/>
                <w:sz w:val="20"/>
                <w:szCs w:val="20"/>
              </w:rPr>
              <w:t>770 634</w:t>
            </w:r>
          </w:p>
        </w:tc>
        <w:tc>
          <w:tcPr>
            <w:tcW w:w="1243" w:type="dxa"/>
            <w:tcBorders>
              <w:top w:val="nil"/>
              <w:left w:val="nil"/>
              <w:bottom w:val="single" w:sz="4" w:space="0" w:color="BFBFBF"/>
              <w:right w:val="single" w:sz="4" w:space="0" w:color="auto"/>
            </w:tcBorders>
            <w:shd w:val="clear" w:color="000000" w:fill="FFFFFF"/>
            <w:noWrap/>
            <w:vAlign w:val="center"/>
            <w:hideMark/>
          </w:tcPr>
          <w:p w14:paraId="6995FD7D" w14:textId="77777777" w:rsidR="00531112" w:rsidRDefault="00531112">
            <w:pPr>
              <w:jc w:val="right"/>
              <w:rPr>
                <w:color w:val="000000"/>
                <w:sz w:val="20"/>
                <w:szCs w:val="20"/>
              </w:rPr>
            </w:pPr>
            <w:r>
              <w:rPr>
                <w:color w:val="000000"/>
                <w:sz w:val="20"/>
                <w:szCs w:val="20"/>
              </w:rPr>
              <w:t>-96 300</w:t>
            </w:r>
          </w:p>
        </w:tc>
        <w:tc>
          <w:tcPr>
            <w:tcW w:w="1271" w:type="dxa"/>
            <w:tcBorders>
              <w:top w:val="nil"/>
              <w:left w:val="nil"/>
              <w:bottom w:val="single" w:sz="4" w:space="0" w:color="BFBFBF"/>
              <w:right w:val="single" w:sz="4" w:space="0" w:color="auto"/>
            </w:tcBorders>
            <w:shd w:val="clear" w:color="auto" w:fill="auto"/>
            <w:noWrap/>
            <w:vAlign w:val="center"/>
            <w:hideMark/>
          </w:tcPr>
          <w:p w14:paraId="3A2A9CD2" w14:textId="77777777" w:rsidR="00531112" w:rsidRDefault="00531112">
            <w:pPr>
              <w:jc w:val="right"/>
              <w:rPr>
                <w:color w:val="000000"/>
                <w:sz w:val="20"/>
                <w:szCs w:val="20"/>
              </w:rPr>
            </w:pPr>
            <w:r>
              <w:rPr>
                <w:color w:val="000000"/>
                <w:sz w:val="20"/>
                <w:szCs w:val="20"/>
              </w:rPr>
              <w:t>674 334</w:t>
            </w:r>
          </w:p>
        </w:tc>
      </w:tr>
      <w:tr w:rsidR="00531112" w14:paraId="2BA44B2D"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125FB084" w14:textId="77777777" w:rsidR="00531112" w:rsidRDefault="00531112">
            <w:pPr>
              <w:ind w:firstLineChars="200" w:firstLine="4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7C038593" w14:textId="77777777" w:rsidR="00531112" w:rsidRDefault="00531112">
            <w:pPr>
              <w:rPr>
                <w:sz w:val="20"/>
                <w:szCs w:val="20"/>
              </w:rPr>
            </w:pPr>
            <w:r>
              <w:rPr>
                <w:sz w:val="20"/>
                <w:szCs w:val="20"/>
              </w:rPr>
              <w:t>Subsīdijas, dotācijas un sociālie pabalsti</w:t>
            </w:r>
          </w:p>
        </w:tc>
        <w:tc>
          <w:tcPr>
            <w:tcW w:w="1269" w:type="dxa"/>
            <w:tcBorders>
              <w:top w:val="nil"/>
              <w:left w:val="nil"/>
              <w:bottom w:val="single" w:sz="4" w:space="0" w:color="auto"/>
              <w:right w:val="single" w:sz="4" w:space="0" w:color="auto"/>
            </w:tcBorders>
            <w:shd w:val="clear" w:color="auto" w:fill="auto"/>
            <w:vAlign w:val="bottom"/>
            <w:hideMark/>
          </w:tcPr>
          <w:p w14:paraId="2E285F80" w14:textId="77777777" w:rsidR="00531112" w:rsidRDefault="00531112">
            <w:pPr>
              <w:ind w:firstLineChars="100" w:firstLine="200"/>
              <w:jc w:val="right"/>
              <w:rPr>
                <w:color w:val="000000"/>
                <w:sz w:val="20"/>
                <w:szCs w:val="20"/>
              </w:rPr>
            </w:pPr>
            <w:r>
              <w:rPr>
                <w:color w:val="000000"/>
                <w:sz w:val="20"/>
                <w:szCs w:val="20"/>
              </w:rPr>
              <w:t>933 833</w:t>
            </w:r>
          </w:p>
        </w:tc>
        <w:tc>
          <w:tcPr>
            <w:tcW w:w="1243" w:type="dxa"/>
            <w:tcBorders>
              <w:top w:val="nil"/>
              <w:left w:val="nil"/>
              <w:bottom w:val="single" w:sz="4" w:space="0" w:color="BFBFBF"/>
              <w:right w:val="single" w:sz="4" w:space="0" w:color="auto"/>
            </w:tcBorders>
            <w:shd w:val="clear" w:color="000000" w:fill="FFFFFF"/>
            <w:noWrap/>
            <w:vAlign w:val="center"/>
            <w:hideMark/>
          </w:tcPr>
          <w:p w14:paraId="5DE47828"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20E27B63" w14:textId="77777777" w:rsidR="00531112" w:rsidRDefault="00531112">
            <w:pPr>
              <w:jc w:val="right"/>
              <w:rPr>
                <w:color w:val="000000"/>
                <w:sz w:val="20"/>
                <w:szCs w:val="20"/>
              </w:rPr>
            </w:pPr>
            <w:r>
              <w:rPr>
                <w:color w:val="000000"/>
                <w:sz w:val="20"/>
                <w:szCs w:val="20"/>
              </w:rPr>
              <w:t>933 833</w:t>
            </w:r>
          </w:p>
        </w:tc>
      </w:tr>
      <w:tr w:rsidR="00531112" w14:paraId="6DB101E4"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58E4B864" w14:textId="77777777" w:rsidR="00531112" w:rsidRDefault="00531112">
            <w:pPr>
              <w:ind w:firstLineChars="300" w:firstLine="6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5982B343" w14:textId="77777777" w:rsidR="00531112" w:rsidRDefault="00531112">
            <w:pPr>
              <w:rPr>
                <w:sz w:val="20"/>
                <w:szCs w:val="20"/>
              </w:rPr>
            </w:pPr>
            <w:r>
              <w:rPr>
                <w:sz w:val="20"/>
                <w:szCs w:val="20"/>
              </w:rPr>
              <w:t>Subsīdijas un dotācijas</w:t>
            </w:r>
          </w:p>
        </w:tc>
        <w:tc>
          <w:tcPr>
            <w:tcW w:w="1269" w:type="dxa"/>
            <w:tcBorders>
              <w:top w:val="nil"/>
              <w:left w:val="nil"/>
              <w:bottom w:val="single" w:sz="4" w:space="0" w:color="auto"/>
              <w:right w:val="single" w:sz="4" w:space="0" w:color="auto"/>
            </w:tcBorders>
            <w:shd w:val="clear" w:color="auto" w:fill="auto"/>
            <w:vAlign w:val="bottom"/>
            <w:hideMark/>
          </w:tcPr>
          <w:p w14:paraId="0623F081" w14:textId="77777777" w:rsidR="00531112" w:rsidRDefault="00531112">
            <w:pPr>
              <w:ind w:firstLineChars="100" w:firstLine="200"/>
              <w:jc w:val="right"/>
              <w:rPr>
                <w:color w:val="000000"/>
                <w:sz w:val="20"/>
                <w:szCs w:val="20"/>
              </w:rPr>
            </w:pPr>
            <w:r>
              <w:rPr>
                <w:color w:val="000000"/>
                <w:sz w:val="20"/>
                <w:szCs w:val="20"/>
              </w:rPr>
              <w:t>11 571</w:t>
            </w:r>
          </w:p>
        </w:tc>
        <w:tc>
          <w:tcPr>
            <w:tcW w:w="1243" w:type="dxa"/>
            <w:tcBorders>
              <w:top w:val="nil"/>
              <w:left w:val="nil"/>
              <w:bottom w:val="single" w:sz="4" w:space="0" w:color="BFBFBF"/>
              <w:right w:val="single" w:sz="4" w:space="0" w:color="auto"/>
            </w:tcBorders>
            <w:shd w:val="clear" w:color="000000" w:fill="FFFFFF"/>
            <w:noWrap/>
            <w:vAlign w:val="center"/>
            <w:hideMark/>
          </w:tcPr>
          <w:p w14:paraId="2BCE2C34"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1F82883B" w14:textId="77777777" w:rsidR="00531112" w:rsidRDefault="00531112">
            <w:pPr>
              <w:jc w:val="right"/>
              <w:rPr>
                <w:color w:val="000000"/>
                <w:sz w:val="20"/>
                <w:szCs w:val="20"/>
              </w:rPr>
            </w:pPr>
            <w:r>
              <w:rPr>
                <w:color w:val="000000"/>
                <w:sz w:val="20"/>
                <w:szCs w:val="20"/>
              </w:rPr>
              <w:t>11 571</w:t>
            </w:r>
          </w:p>
        </w:tc>
      </w:tr>
      <w:tr w:rsidR="00531112" w14:paraId="3BFFBE80"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3AA28C74" w14:textId="77777777" w:rsidR="00531112" w:rsidRDefault="00531112">
            <w:pPr>
              <w:ind w:firstLineChars="300" w:firstLine="6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08F3051A" w14:textId="77777777" w:rsidR="00531112" w:rsidRDefault="00531112">
            <w:pPr>
              <w:rPr>
                <w:sz w:val="20"/>
                <w:szCs w:val="20"/>
              </w:rPr>
            </w:pPr>
            <w:r>
              <w:rPr>
                <w:sz w:val="20"/>
                <w:szCs w:val="20"/>
              </w:rPr>
              <w:t>Sociālie pabalsti</w:t>
            </w:r>
          </w:p>
        </w:tc>
        <w:tc>
          <w:tcPr>
            <w:tcW w:w="1269" w:type="dxa"/>
            <w:tcBorders>
              <w:top w:val="nil"/>
              <w:left w:val="nil"/>
              <w:bottom w:val="single" w:sz="4" w:space="0" w:color="auto"/>
              <w:right w:val="single" w:sz="4" w:space="0" w:color="auto"/>
            </w:tcBorders>
            <w:shd w:val="clear" w:color="auto" w:fill="auto"/>
            <w:vAlign w:val="bottom"/>
            <w:hideMark/>
          </w:tcPr>
          <w:p w14:paraId="6E176A71" w14:textId="77777777" w:rsidR="00531112" w:rsidRDefault="00531112">
            <w:pPr>
              <w:ind w:firstLineChars="100" w:firstLine="200"/>
              <w:jc w:val="right"/>
              <w:rPr>
                <w:color w:val="000000"/>
                <w:sz w:val="20"/>
                <w:szCs w:val="20"/>
              </w:rPr>
            </w:pPr>
            <w:r>
              <w:rPr>
                <w:color w:val="000000"/>
                <w:sz w:val="20"/>
                <w:szCs w:val="20"/>
              </w:rPr>
              <w:t>922 262</w:t>
            </w:r>
          </w:p>
        </w:tc>
        <w:tc>
          <w:tcPr>
            <w:tcW w:w="1243" w:type="dxa"/>
            <w:tcBorders>
              <w:top w:val="nil"/>
              <w:left w:val="nil"/>
              <w:bottom w:val="single" w:sz="4" w:space="0" w:color="BFBFBF"/>
              <w:right w:val="single" w:sz="4" w:space="0" w:color="auto"/>
            </w:tcBorders>
            <w:shd w:val="clear" w:color="000000" w:fill="FFFFFF"/>
            <w:noWrap/>
            <w:vAlign w:val="center"/>
            <w:hideMark/>
          </w:tcPr>
          <w:p w14:paraId="135B7381"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366AD87B" w14:textId="77777777" w:rsidR="00531112" w:rsidRDefault="00531112">
            <w:pPr>
              <w:jc w:val="right"/>
              <w:rPr>
                <w:color w:val="000000"/>
                <w:sz w:val="20"/>
                <w:szCs w:val="20"/>
              </w:rPr>
            </w:pPr>
            <w:r>
              <w:rPr>
                <w:color w:val="000000"/>
                <w:sz w:val="20"/>
                <w:szCs w:val="20"/>
              </w:rPr>
              <w:t>922 262</w:t>
            </w:r>
          </w:p>
        </w:tc>
      </w:tr>
      <w:tr w:rsidR="00531112" w14:paraId="26A7712A"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5D3C09D8" w14:textId="77777777" w:rsidR="00531112" w:rsidRDefault="00531112">
            <w:pPr>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63527909" w14:textId="77777777" w:rsidR="00531112" w:rsidRDefault="00531112">
            <w:pPr>
              <w:rPr>
                <w:sz w:val="20"/>
                <w:szCs w:val="20"/>
              </w:rPr>
            </w:pPr>
            <w:r>
              <w:rPr>
                <w:sz w:val="20"/>
                <w:szCs w:val="20"/>
              </w:rPr>
              <w:t>Finansiālā bilance</w:t>
            </w:r>
          </w:p>
        </w:tc>
        <w:tc>
          <w:tcPr>
            <w:tcW w:w="1269" w:type="dxa"/>
            <w:tcBorders>
              <w:top w:val="nil"/>
              <w:left w:val="nil"/>
              <w:bottom w:val="single" w:sz="4" w:space="0" w:color="auto"/>
              <w:right w:val="single" w:sz="4" w:space="0" w:color="auto"/>
            </w:tcBorders>
            <w:shd w:val="clear" w:color="auto" w:fill="auto"/>
            <w:vAlign w:val="bottom"/>
            <w:hideMark/>
          </w:tcPr>
          <w:p w14:paraId="6DFA38BD" w14:textId="77777777" w:rsidR="00531112" w:rsidRDefault="00531112">
            <w:pPr>
              <w:ind w:firstLineChars="100" w:firstLine="200"/>
              <w:jc w:val="right"/>
              <w:rPr>
                <w:color w:val="000000"/>
                <w:sz w:val="20"/>
                <w:szCs w:val="20"/>
              </w:rPr>
            </w:pPr>
            <w:r>
              <w:rPr>
                <w:color w:val="000000"/>
                <w:sz w:val="20"/>
                <w:szCs w:val="20"/>
              </w:rPr>
              <w:t>1 485 267</w:t>
            </w:r>
          </w:p>
        </w:tc>
        <w:tc>
          <w:tcPr>
            <w:tcW w:w="1243" w:type="dxa"/>
            <w:tcBorders>
              <w:top w:val="nil"/>
              <w:left w:val="nil"/>
              <w:bottom w:val="single" w:sz="4" w:space="0" w:color="BFBFBF"/>
              <w:right w:val="single" w:sz="4" w:space="0" w:color="auto"/>
            </w:tcBorders>
            <w:shd w:val="clear" w:color="000000" w:fill="FFFFFF"/>
            <w:noWrap/>
            <w:vAlign w:val="center"/>
            <w:hideMark/>
          </w:tcPr>
          <w:p w14:paraId="335FAF22"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78CE8A95" w14:textId="77777777" w:rsidR="00531112" w:rsidRDefault="00531112">
            <w:pPr>
              <w:jc w:val="right"/>
              <w:rPr>
                <w:color w:val="000000"/>
                <w:sz w:val="20"/>
                <w:szCs w:val="20"/>
              </w:rPr>
            </w:pPr>
            <w:r>
              <w:rPr>
                <w:color w:val="000000"/>
                <w:sz w:val="20"/>
                <w:szCs w:val="20"/>
              </w:rPr>
              <w:t>1 485 267</w:t>
            </w:r>
          </w:p>
        </w:tc>
      </w:tr>
      <w:tr w:rsidR="00531112" w14:paraId="3BE76FFC"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00AD15A1" w14:textId="77777777" w:rsidR="00531112" w:rsidRDefault="00531112">
            <w:pPr>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0B236BE7" w14:textId="77777777" w:rsidR="00531112" w:rsidRDefault="00531112">
            <w:pPr>
              <w:rPr>
                <w:sz w:val="20"/>
                <w:szCs w:val="20"/>
              </w:rPr>
            </w:pPr>
            <w:r>
              <w:rPr>
                <w:sz w:val="20"/>
                <w:szCs w:val="20"/>
              </w:rPr>
              <w:t>Finansēšana</w:t>
            </w:r>
          </w:p>
        </w:tc>
        <w:tc>
          <w:tcPr>
            <w:tcW w:w="1269" w:type="dxa"/>
            <w:tcBorders>
              <w:top w:val="nil"/>
              <w:left w:val="nil"/>
              <w:bottom w:val="single" w:sz="4" w:space="0" w:color="auto"/>
              <w:right w:val="single" w:sz="4" w:space="0" w:color="auto"/>
            </w:tcBorders>
            <w:shd w:val="clear" w:color="auto" w:fill="auto"/>
            <w:vAlign w:val="bottom"/>
            <w:hideMark/>
          </w:tcPr>
          <w:p w14:paraId="68EF290D" w14:textId="77777777" w:rsidR="00531112" w:rsidRDefault="00531112">
            <w:pPr>
              <w:ind w:firstLineChars="100" w:firstLine="200"/>
              <w:jc w:val="right"/>
              <w:rPr>
                <w:color w:val="000000"/>
                <w:sz w:val="20"/>
                <w:szCs w:val="20"/>
              </w:rPr>
            </w:pPr>
            <w:r>
              <w:rPr>
                <w:color w:val="000000"/>
                <w:sz w:val="20"/>
                <w:szCs w:val="20"/>
              </w:rPr>
              <w:t>-1 485 267</w:t>
            </w:r>
          </w:p>
        </w:tc>
        <w:tc>
          <w:tcPr>
            <w:tcW w:w="1243" w:type="dxa"/>
            <w:tcBorders>
              <w:top w:val="nil"/>
              <w:left w:val="nil"/>
              <w:bottom w:val="single" w:sz="4" w:space="0" w:color="BFBFBF"/>
              <w:right w:val="single" w:sz="4" w:space="0" w:color="auto"/>
            </w:tcBorders>
            <w:shd w:val="clear" w:color="000000" w:fill="FFFFFF"/>
            <w:noWrap/>
            <w:vAlign w:val="center"/>
            <w:hideMark/>
          </w:tcPr>
          <w:p w14:paraId="3A06BC8A"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2F7BD001" w14:textId="77777777" w:rsidR="00531112" w:rsidRDefault="00531112">
            <w:pPr>
              <w:jc w:val="right"/>
              <w:rPr>
                <w:color w:val="000000"/>
                <w:sz w:val="20"/>
                <w:szCs w:val="20"/>
              </w:rPr>
            </w:pPr>
            <w:r>
              <w:rPr>
                <w:color w:val="000000"/>
                <w:sz w:val="20"/>
                <w:szCs w:val="20"/>
              </w:rPr>
              <w:t>-1 485 267</w:t>
            </w:r>
          </w:p>
        </w:tc>
      </w:tr>
      <w:tr w:rsidR="00531112" w14:paraId="48C39AE8"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38BFE42C"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34A14CB8" w14:textId="77777777" w:rsidR="00531112" w:rsidRDefault="00531112">
            <w:pPr>
              <w:rPr>
                <w:sz w:val="20"/>
                <w:szCs w:val="20"/>
              </w:rPr>
            </w:pPr>
            <w:r>
              <w:rPr>
                <w:sz w:val="20"/>
                <w:szCs w:val="20"/>
              </w:rPr>
              <w:t>Naudas līdzekļi</w:t>
            </w:r>
          </w:p>
        </w:tc>
        <w:tc>
          <w:tcPr>
            <w:tcW w:w="1269" w:type="dxa"/>
            <w:tcBorders>
              <w:top w:val="nil"/>
              <w:left w:val="nil"/>
              <w:bottom w:val="single" w:sz="4" w:space="0" w:color="auto"/>
              <w:right w:val="single" w:sz="4" w:space="0" w:color="auto"/>
            </w:tcBorders>
            <w:shd w:val="clear" w:color="auto" w:fill="auto"/>
            <w:vAlign w:val="bottom"/>
            <w:hideMark/>
          </w:tcPr>
          <w:p w14:paraId="2B08F56E" w14:textId="77777777" w:rsidR="00531112" w:rsidRDefault="00531112">
            <w:pPr>
              <w:ind w:firstLineChars="100" w:firstLine="200"/>
              <w:jc w:val="right"/>
              <w:rPr>
                <w:color w:val="000000"/>
                <w:sz w:val="20"/>
                <w:szCs w:val="20"/>
              </w:rPr>
            </w:pPr>
            <w:r>
              <w:rPr>
                <w:color w:val="000000"/>
                <w:sz w:val="20"/>
                <w:szCs w:val="20"/>
              </w:rPr>
              <w:t>-1 485 267</w:t>
            </w:r>
          </w:p>
        </w:tc>
        <w:tc>
          <w:tcPr>
            <w:tcW w:w="1243" w:type="dxa"/>
            <w:tcBorders>
              <w:top w:val="nil"/>
              <w:left w:val="nil"/>
              <w:bottom w:val="single" w:sz="4" w:space="0" w:color="BFBFBF"/>
              <w:right w:val="single" w:sz="4" w:space="0" w:color="auto"/>
            </w:tcBorders>
            <w:shd w:val="clear" w:color="000000" w:fill="FFFFFF"/>
            <w:noWrap/>
            <w:vAlign w:val="center"/>
            <w:hideMark/>
          </w:tcPr>
          <w:p w14:paraId="11BC347C"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7C36435F" w14:textId="77777777" w:rsidR="00531112" w:rsidRDefault="00531112">
            <w:pPr>
              <w:jc w:val="right"/>
              <w:rPr>
                <w:color w:val="000000"/>
                <w:sz w:val="20"/>
                <w:szCs w:val="20"/>
              </w:rPr>
            </w:pPr>
            <w:r>
              <w:rPr>
                <w:color w:val="000000"/>
                <w:sz w:val="20"/>
                <w:szCs w:val="20"/>
              </w:rPr>
              <w:t>-1 485 267</w:t>
            </w:r>
          </w:p>
        </w:tc>
      </w:tr>
      <w:tr w:rsidR="00531112" w14:paraId="1F78E0BE" w14:textId="77777777" w:rsidTr="00531112">
        <w:trPr>
          <w:trHeight w:val="716"/>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131A98D1" w14:textId="77777777" w:rsidR="00531112" w:rsidRDefault="00531112">
            <w:pPr>
              <w:ind w:firstLineChars="200" w:firstLine="4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7E6537EE" w14:textId="77777777" w:rsidR="00531112" w:rsidRDefault="00531112">
            <w:pPr>
              <w:rPr>
                <w:sz w:val="20"/>
                <w:szCs w:val="20"/>
              </w:rPr>
            </w:pPr>
            <w:r>
              <w:rPr>
                <w:sz w:val="20"/>
                <w:szCs w:val="20"/>
              </w:rPr>
              <w:t>Maksas pakalpojumu un citu pašu ieņēmumu naudas līdzekļu atlikumu izmaiņas palielinājums (-) vai samazinājums (+)</w:t>
            </w:r>
          </w:p>
        </w:tc>
        <w:tc>
          <w:tcPr>
            <w:tcW w:w="1269" w:type="dxa"/>
            <w:tcBorders>
              <w:top w:val="nil"/>
              <w:left w:val="nil"/>
              <w:bottom w:val="single" w:sz="4" w:space="0" w:color="auto"/>
              <w:right w:val="single" w:sz="4" w:space="0" w:color="auto"/>
            </w:tcBorders>
            <w:shd w:val="clear" w:color="auto" w:fill="auto"/>
            <w:vAlign w:val="bottom"/>
            <w:hideMark/>
          </w:tcPr>
          <w:p w14:paraId="0C1F9389" w14:textId="77777777" w:rsidR="00531112" w:rsidRDefault="00531112">
            <w:pPr>
              <w:ind w:firstLineChars="100" w:firstLine="200"/>
              <w:jc w:val="right"/>
              <w:rPr>
                <w:color w:val="000000"/>
                <w:sz w:val="20"/>
                <w:szCs w:val="20"/>
              </w:rPr>
            </w:pPr>
            <w:r>
              <w:rPr>
                <w:color w:val="000000"/>
                <w:sz w:val="20"/>
                <w:szCs w:val="20"/>
              </w:rPr>
              <w:t>-1 485 267</w:t>
            </w:r>
          </w:p>
        </w:tc>
        <w:tc>
          <w:tcPr>
            <w:tcW w:w="1243" w:type="dxa"/>
            <w:tcBorders>
              <w:top w:val="nil"/>
              <w:left w:val="nil"/>
              <w:bottom w:val="single" w:sz="4" w:space="0" w:color="BFBFBF"/>
              <w:right w:val="single" w:sz="4" w:space="0" w:color="auto"/>
            </w:tcBorders>
            <w:shd w:val="clear" w:color="000000" w:fill="FFFFFF"/>
            <w:noWrap/>
            <w:vAlign w:val="center"/>
            <w:hideMark/>
          </w:tcPr>
          <w:p w14:paraId="326B9BCD"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6544E7AE" w14:textId="77777777" w:rsidR="00531112" w:rsidRDefault="00531112">
            <w:pPr>
              <w:jc w:val="right"/>
              <w:rPr>
                <w:color w:val="000000"/>
                <w:sz w:val="20"/>
                <w:szCs w:val="20"/>
              </w:rPr>
            </w:pPr>
            <w:r>
              <w:rPr>
                <w:color w:val="000000"/>
                <w:sz w:val="20"/>
                <w:szCs w:val="20"/>
              </w:rPr>
              <w:t>-1 485 267</w:t>
            </w:r>
          </w:p>
        </w:tc>
      </w:tr>
      <w:tr w:rsidR="00531112" w14:paraId="519F13A2"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000000" w:fill="FFFF00"/>
            <w:noWrap/>
            <w:vAlign w:val="bottom"/>
            <w:hideMark/>
          </w:tcPr>
          <w:p w14:paraId="7B52AD64" w14:textId="77777777" w:rsidR="00531112" w:rsidRDefault="00531112">
            <w:pPr>
              <w:rPr>
                <w:b/>
                <w:bCs/>
                <w:sz w:val="20"/>
                <w:szCs w:val="20"/>
              </w:rPr>
            </w:pPr>
            <w:r>
              <w:rPr>
                <w:b/>
                <w:bCs/>
                <w:sz w:val="20"/>
                <w:szCs w:val="20"/>
              </w:rPr>
              <w:t>06.05.00</w:t>
            </w:r>
          </w:p>
        </w:tc>
        <w:tc>
          <w:tcPr>
            <w:tcW w:w="3683" w:type="dxa"/>
            <w:tcBorders>
              <w:top w:val="single" w:sz="4" w:space="0" w:color="BFBFBF"/>
              <w:left w:val="nil"/>
              <w:bottom w:val="single" w:sz="4" w:space="0" w:color="BFBFBF"/>
              <w:right w:val="single" w:sz="4" w:space="0" w:color="auto"/>
            </w:tcBorders>
            <w:shd w:val="clear" w:color="000000" w:fill="FFFF00"/>
            <w:vAlign w:val="bottom"/>
            <w:hideMark/>
          </w:tcPr>
          <w:p w14:paraId="2DD2C366" w14:textId="77777777" w:rsidR="00531112" w:rsidRDefault="00531112">
            <w:pPr>
              <w:rPr>
                <w:b/>
                <w:bCs/>
                <w:sz w:val="20"/>
                <w:szCs w:val="20"/>
              </w:rPr>
            </w:pPr>
            <w:r>
              <w:rPr>
                <w:b/>
                <w:bCs/>
                <w:sz w:val="20"/>
                <w:szCs w:val="20"/>
              </w:rPr>
              <w:t>Maksātnespējas procesa izmaksas</w:t>
            </w:r>
          </w:p>
        </w:tc>
        <w:tc>
          <w:tcPr>
            <w:tcW w:w="1269" w:type="dxa"/>
            <w:tcBorders>
              <w:top w:val="single" w:sz="4" w:space="0" w:color="BFBFBF"/>
              <w:left w:val="nil"/>
              <w:bottom w:val="single" w:sz="4" w:space="0" w:color="BFBFBF"/>
              <w:right w:val="single" w:sz="4" w:space="0" w:color="auto"/>
            </w:tcBorders>
            <w:shd w:val="clear" w:color="000000" w:fill="FFFF00"/>
            <w:noWrap/>
            <w:vAlign w:val="bottom"/>
            <w:hideMark/>
          </w:tcPr>
          <w:p w14:paraId="099EF374" w14:textId="77777777" w:rsidR="00531112" w:rsidRDefault="00531112">
            <w:pPr>
              <w:rPr>
                <w:sz w:val="20"/>
                <w:szCs w:val="20"/>
              </w:rPr>
            </w:pPr>
            <w:r>
              <w:rPr>
                <w:sz w:val="20"/>
                <w:szCs w:val="20"/>
              </w:rPr>
              <w:t> </w:t>
            </w:r>
          </w:p>
        </w:tc>
        <w:tc>
          <w:tcPr>
            <w:tcW w:w="1243" w:type="dxa"/>
            <w:tcBorders>
              <w:top w:val="nil"/>
              <w:left w:val="nil"/>
              <w:bottom w:val="single" w:sz="4" w:space="0" w:color="BFBFBF"/>
              <w:right w:val="single" w:sz="4" w:space="0" w:color="auto"/>
            </w:tcBorders>
            <w:shd w:val="clear" w:color="000000" w:fill="FFFF00"/>
            <w:noWrap/>
            <w:vAlign w:val="bottom"/>
            <w:hideMark/>
          </w:tcPr>
          <w:p w14:paraId="31EE62FD" w14:textId="77777777" w:rsidR="00531112" w:rsidRDefault="00531112">
            <w:pPr>
              <w:rPr>
                <w:sz w:val="20"/>
                <w:szCs w:val="20"/>
              </w:rPr>
            </w:pPr>
            <w:r>
              <w:rPr>
                <w:sz w:val="20"/>
                <w:szCs w:val="20"/>
              </w:rPr>
              <w:t> </w:t>
            </w:r>
          </w:p>
        </w:tc>
        <w:tc>
          <w:tcPr>
            <w:tcW w:w="1271" w:type="dxa"/>
            <w:tcBorders>
              <w:top w:val="nil"/>
              <w:left w:val="nil"/>
              <w:bottom w:val="single" w:sz="4" w:space="0" w:color="BFBFBF"/>
              <w:right w:val="single" w:sz="4" w:space="0" w:color="auto"/>
            </w:tcBorders>
            <w:shd w:val="clear" w:color="000000" w:fill="FFFF00"/>
            <w:noWrap/>
            <w:vAlign w:val="bottom"/>
            <w:hideMark/>
          </w:tcPr>
          <w:p w14:paraId="21584014" w14:textId="77777777" w:rsidR="00531112" w:rsidRDefault="00531112">
            <w:pPr>
              <w:rPr>
                <w:sz w:val="20"/>
                <w:szCs w:val="20"/>
              </w:rPr>
            </w:pPr>
            <w:r>
              <w:rPr>
                <w:sz w:val="20"/>
                <w:szCs w:val="20"/>
              </w:rPr>
              <w:t> </w:t>
            </w:r>
          </w:p>
        </w:tc>
      </w:tr>
      <w:tr w:rsidR="00531112" w14:paraId="5EDEA09B"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5EC11BEB" w14:textId="77777777" w:rsidR="00531112" w:rsidRDefault="00531112">
            <w:pPr>
              <w:rPr>
                <w:sz w:val="20"/>
                <w:szCs w:val="20"/>
              </w:rPr>
            </w:pPr>
            <w:r>
              <w:rPr>
                <w:sz w:val="20"/>
                <w:szCs w:val="20"/>
              </w:rPr>
              <w:t> </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14:paraId="3159000E" w14:textId="77777777" w:rsidR="00531112" w:rsidRDefault="00531112">
            <w:pPr>
              <w:rPr>
                <w:sz w:val="20"/>
                <w:szCs w:val="20"/>
              </w:rPr>
            </w:pPr>
            <w:r>
              <w:rPr>
                <w:sz w:val="20"/>
                <w:szCs w:val="20"/>
              </w:rPr>
              <w:t>Resursi izdevumu segšanai</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3E63F253" w14:textId="77777777" w:rsidR="00531112" w:rsidRDefault="00531112">
            <w:pPr>
              <w:ind w:firstLineChars="100" w:firstLine="200"/>
              <w:jc w:val="right"/>
              <w:rPr>
                <w:color w:val="000000"/>
                <w:sz w:val="20"/>
                <w:szCs w:val="20"/>
              </w:rPr>
            </w:pPr>
            <w:r>
              <w:rPr>
                <w:color w:val="000000"/>
                <w:sz w:val="20"/>
                <w:szCs w:val="20"/>
              </w:rPr>
              <w:t>4 000</w:t>
            </w:r>
          </w:p>
        </w:tc>
        <w:tc>
          <w:tcPr>
            <w:tcW w:w="1243" w:type="dxa"/>
            <w:tcBorders>
              <w:top w:val="nil"/>
              <w:left w:val="nil"/>
              <w:bottom w:val="single" w:sz="4" w:space="0" w:color="BFBFBF"/>
              <w:right w:val="single" w:sz="4" w:space="0" w:color="auto"/>
            </w:tcBorders>
            <w:shd w:val="clear" w:color="auto" w:fill="auto"/>
            <w:noWrap/>
            <w:vAlign w:val="center"/>
            <w:hideMark/>
          </w:tcPr>
          <w:p w14:paraId="1B5440CF"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0A46F2D6" w14:textId="77777777" w:rsidR="00531112" w:rsidRDefault="00531112">
            <w:pPr>
              <w:jc w:val="right"/>
              <w:rPr>
                <w:color w:val="000000"/>
                <w:sz w:val="20"/>
                <w:szCs w:val="20"/>
              </w:rPr>
            </w:pPr>
            <w:r>
              <w:rPr>
                <w:color w:val="000000"/>
                <w:sz w:val="20"/>
                <w:szCs w:val="20"/>
              </w:rPr>
              <w:t>4 000</w:t>
            </w:r>
          </w:p>
        </w:tc>
      </w:tr>
      <w:tr w:rsidR="00531112" w14:paraId="45394698" w14:textId="77777777" w:rsidTr="00531112">
        <w:trPr>
          <w:trHeight w:val="477"/>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1DC4423D"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0D2DCF2B" w14:textId="77777777" w:rsidR="00531112" w:rsidRDefault="00531112">
            <w:pPr>
              <w:rPr>
                <w:sz w:val="20"/>
                <w:szCs w:val="20"/>
              </w:rPr>
            </w:pPr>
            <w:r>
              <w:rPr>
                <w:sz w:val="20"/>
                <w:szCs w:val="20"/>
              </w:rPr>
              <w:t>Ieņēmumi no maksas pakalpojumiem un citi pašu ieņēmumi – kopā, t.sk.</w:t>
            </w:r>
          </w:p>
        </w:tc>
        <w:tc>
          <w:tcPr>
            <w:tcW w:w="1269" w:type="dxa"/>
            <w:tcBorders>
              <w:top w:val="nil"/>
              <w:left w:val="nil"/>
              <w:bottom w:val="single" w:sz="4" w:space="0" w:color="auto"/>
              <w:right w:val="single" w:sz="4" w:space="0" w:color="auto"/>
            </w:tcBorders>
            <w:shd w:val="clear" w:color="auto" w:fill="auto"/>
            <w:vAlign w:val="bottom"/>
            <w:hideMark/>
          </w:tcPr>
          <w:p w14:paraId="31715028" w14:textId="77777777" w:rsidR="00531112" w:rsidRDefault="00531112">
            <w:pPr>
              <w:ind w:firstLineChars="100" w:firstLine="200"/>
              <w:jc w:val="right"/>
              <w:rPr>
                <w:color w:val="000000"/>
                <w:sz w:val="20"/>
                <w:szCs w:val="20"/>
              </w:rPr>
            </w:pPr>
            <w:r>
              <w:rPr>
                <w:color w:val="000000"/>
                <w:sz w:val="20"/>
                <w:szCs w:val="20"/>
              </w:rPr>
              <w:t>4 000</w:t>
            </w:r>
          </w:p>
        </w:tc>
        <w:tc>
          <w:tcPr>
            <w:tcW w:w="1243" w:type="dxa"/>
            <w:tcBorders>
              <w:top w:val="nil"/>
              <w:left w:val="nil"/>
              <w:bottom w:val="single" w:sz="4" w:space="0" w:color="BFBFBF"/>
              <w:right w:val="single" w:sz="4" w:space="0" w:color="auto"/>
            </w:tcBorders>
            <w:shd w:val="clear" w:color="auto" w:fill="auto"/>
            <w:noWrap/>
            <w:vAlign w:val="center"/>
            <w:hideMark/>
          </w:tcPr>
          <w:p w14:paraId="631CD676"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645C5517" w14:textId="77777777" w:rsidR="00531112" w:rsidRDefault="00531112">
            <w:pPr>
              <w:jc w:val="right"/>
              <w:rPr>
                <w:color w:val="000000"/>
                <w:sz w:val="20"/>
                <w:szCs w:val="20"/>
              </w:rPr>
            </w:pPr>
            <w:r>
              <w:rPr>
                <w:color w:val="000000"/>
                <w:sz w:val="20"/>
                <w:szCs w:val="20"/>
              </w:rPr>
              <w:t>4 000</w:t>
            </w:r>
          </w:p>
        </w:tc>
      </w:tr>
      <w:tr w:rsidR="00531112" w14:paraId="3295867E"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000000" w:fill="F8CBAD"/>
            <w:noWrap/>
            <w:vAlign w:val="center"/>
            <w:hideMark/>
          </w:tcPr>
          <w:p w14:paraId="41561CFF" w14:textId="77777777" w:rsidR="00531112" w:rsidRDefault="00531112">
            <w:pPr>
              <w:ind w:firstLineChars="100" w:firstLine="200"/>
              <w:rPr>
                <w:sz w:val="20"/>
                <w:szCs w:val="20"/>
              </w:rPr>
            </w:pPr>
            <w:r>
              <w:rPr>
                <w:sz w:val="20"/>
                <w:szCs w:val="20"/>
              </w:rPr>
              <w:t> </w:t>
            </w:r>
          </w:p>
        </w:tc>
        <w:tc>
          <w:tcPr>
            <w:tcW w:w="3683" w:type="dxa"/>
            <w:tcBorders>
              <w:top w:val="single" w:sz="4" w:space="0" w:color="BFBFBF"/>
              <w:left w:val="nil"/>
              <w:bottom w:val="single" w:sz="4" w:space="0" w:color="BFBFBF"/>
              <w:right w:val="single" w:sz="4" w:space="0" w:color="auto"/>
            </w:tcBorders>
            <w:shd w:val="clear" w:color="000000" w:fill="F8CBAD"/>
            <w:vAlign w:val="center"/>
            <w:hideMark/>
          </w:tcPr>
          <w:p w14:paraId="1FA32C12" w14:textId="77777777" w:rsidR="00531112" w:rsidRDefault="00531112">
            <w:pPr>
              <w:jc w:val="right"/>
              <w:rPr>
                <w:sz w:val="20"/>
                <w:szCs w:val="20"/>
              </w:rPr>
            </w:pPr>
            <w:r>
              <w:rPr>
                <w:sz w:val="20"/>
                <w:szCs w:val="20"/>
              </w:rPr>
              <w:t>Atgūtie līdzekļi</w:t>
            </w:r>
          </w:p>
        </w:tc>
        <w:tc>
          <w:tcPr>
            <w:tcW w:w="1269" w:type="dxa"/>
            <w:tcBorders>
              <w:top w:val="single" w:sz="4" w:space="0" w:color="BFBFBF"/>
              <w:left w:val="nil"/>
              <w:bottom w:val="single" w:sz="4" w:space="0" w:color="BFBFBF"/>
              <w:right w:val="single" w:sz="4" w:space="0" w:color="auto"/>
            </w:tcBorders>
            <w:shd w:val="clear" w:color="000000" w:fill="F8CBAD"/>
            <w:noWrap/>
            <w:vAlign w:val="center"/>
            <w:hideMark/>
          </w:tcPr>
          <w:p w14:paraId="51DE6250" w14:textId="77777777" w:rsidR="00531112" w:rsidRDefault="00531112">
            <w:pPr>
              <w:jc w:val="right"/>
              <w:rPr>
                <w:color w:val="000000"/>
                <w:sz w:val="20"/>
                <w:szCs w:val="20"/>
              </w:rPr>
            </w:pPr>
            <w:r>
              <w:rPr>
                <w:color w:val="000000"/>
                <w:sz w:val="20"/>
                <w:szCs w:val="20"/>
              </w:rPr>
              <w:t>4 000</w:t>
            </w:r>
          </w:p>
        </w:tc>
        <w:tc>
          <w:tcPr>
            <w:tcW w:w="1243" w:type="dxa"/>
            <w:tcBorders>
              <w:top w:val="nil"/>
              <w:left w:val="nil"/>
              <w:bottom w:val="single" w:sz="4" w:space="0" w:color="BFBFBF"/>
              <w:right w:val="single" w:sz="4" w:space="0" w:color="auto"/>
            </w:tcBorders>
            <w:shd w:val="clear" w:color="000000" w:fill="F8CBAD"/>
            <w:noWrap/>
            <w:vAlign w:val="center"/>
            <w:hideMark/>
          </w:tcPr>
          <w:p w14:paraId="5B6E849B"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000000" w:fill="F8CBAD"/>
            <w:noWrap/>
            <w:vAlign w:val="center"/>
            <w:hideMark/>
          </w:tcPr>
          <w:p w14:paraId="39E21D94" w14:textId="77777777" w:rsidR="00531112" w:rsidRDefault="00531112">
            <w:pPr>
              <w:jc w:val="right"/>
              <w:rPr>
                <w:color w:val="000000"/>
                <w:sz w:val="20"/>
                <w:szCs w:val="20"/>
              </w:rPr>
            </w:pPr>
            <w:r>
              <w:rPr>
                <w:color w:val="000000"/>
                <w:sz w:val="20"/>
                <w:szCs w:val="20"/>
              </w:rPr>
              <w:t>4 000</w:t>
            </w:r>
          </w:p>
        </w:tc>
      </w:tr>
      <w:tr w:rsidR="00531112" w14:paraId="5E81C287"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2D554D71" w14:textId="77777777" w:rsidR="00531112" w:rsidRDefault="00531112">
            <w:pPr>
              <w:rPr>
                <w:sz w:val="20"/>
                <w:szCs w:val="20"/>
              </w:rPr>
            </w:pPr>
            <w:r>
              <w:rPr>
                <w:sz w:val="20"/>
                <w:szCs w:val="20"/>
              </w:rPr>
              <w:t> </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14:paraId="3C88AE56" w14:textId="77777777" w:rsidR="00531112" w:rsidRDefault="00531112">
            <w:pPr>
              <w:rPr>
                <w:sz w:val="20"/>
                <w:szCs w:val="20"/>
              </w:rPr>
            </w:pPr>
            <w:r>
              <w:rPr>
                <w:sz w:val="20"/>
                <w:szCs w:val="20"/>
              </w:rPr>
              <w:t>Izdevumi – kopā</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6294DB41" w14:textId="77777777" w:rsidR="00531112" w:rsidRDefault="00531112">
            <w:pPr>
              <w:ind w:firstLineChars="100" w:firstLine="200"/>
              <w:jc w:val="right"/>
              <w:rPr>
                <w:color w:val="000000"/>
                <w:sz w:val="20"/>
                <w:szCs w:val="20"/>
              </w:rPr>
            </w:pPr>
            <w:r>
              <w:rPr>
                <w:color w:val="000000"/>
                <w:sz w:val="20"/>
                <w:szCs w:val="20"/>
              </w:rPr>
              <w:t>97 720</w:t>
            </w:r>
          </w:p>
        </w:tc>
        <w:tc>
          <w:tcPr>
            <w:tcW w:w="1243" w:type="dxa"/>
            <w:tcBorders>
              <w:top w:val="nil"/>
              <w:left w:val="nil"/>
              <w:bottom w:val="single" w:sz="4" w:space="0" w:color="BFBFBF"/>
              <w:right w:val="single" w:sz="4" w:space="0" w:color="auto"/>
            </w:tcBorders>
            <w:shd w:val="clear" w:color="auto" w:fill="auto"/>
            <w:noWrap/>
            <w:vAlign w:val="center"/>
            <w:hideMark/>
          </w:tcPr>
          <w:p w14:paraId="03AC276E"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7E716021" w14:textId="77777777" w:rsidR="00531112" w:rsidRDefault="00531112">
            <w:pPr>
              <w:jc w:val="right"/>
              <w:rPr>
                <w:color w:val="000000"/>
                <w:sz w:val="20"/>
                <w:szCs w:val="20"/>
              </w:rPr>
            </w:pPr>
            <w:r>
              <w:rPr>
                <w:color w:val="000000"/>
                <w:sz w:val="20"/>
                <w:szCs w:val="20"/>
              </w:rPr>
              <w:t>97 720</w:t>
            </w:r>
          </w:p>
        </w:tc>
      </w:tr>
      <w:tr w:rsidR="00531112" w14:paraId="35990490"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3310AEA7"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22090EF1" w14:textId="77777777" w:rsidR="00531112" w:rsidRDefault="00531112">
            <w:pPr>
              <w:rPr>
                <w:sz w:val="20"/>
                <w:szCs w:val="20"/>
              </w:rPr>
            </w:pPr>
            <w:r>
              <w:rPr>
                <w:sz w:val="20"/>
                <w:szCs w:val="20"/>
              </w:rPr>
              <w:t>Uzturēšanas izdevumi</w:t>
            </w:r>
          </w:p>
        </w:tc>
        <w:tc>
          <w:tcPr>
            <w:tcW w:w="1269" w:type="dxa"/>
            <w:tcBorders>
              <w:top w:val="nil"/>
              <w:left w:val="nil"/>
              <w:bottom w:val="single" w:sz="4" w:space="0" w:color="auto"/>
              <w:right w:val="single" w:sz="4" w:space="0" w:color="auto"/>
            </w:tcBorders>
            <w:shd w:val="clear" w:color="auto" w:fill="auto"/>
            <w:vAlign w:val="bottom"/>
            <w:hideMark/>
          </w:tcPr>
          <w:p w14:paraId="508EF7F6" w14:textId="77777777" w:rsidR="00531112" w:rsidRDefault="00531112">
            <w:pPr>
              <w:ind w:firstLineChars="100" w:firstLine="200"/>
              <w:jc w:val="right"/>
              <w:rPr>
                <w:color w:val="000000"/>
                <w:sz w:val="20"/>
                <w:szCs w:val="20"/>
              </w:rPr>
            </w:pPr>
            <w:r>
              <w:rPr>
                <w:color w:val="000000"/>
                <w:sz w:val="20"/>
                <w:szCs w:val="20"/>
              </w:rPr>
              <w:t>97 720</w:t>
            </w:r>
          </w:p>
        </w:tc>
        <w:tc>
          <w:tcPr>
            <w:tcW w:w="1243" w:type="dxa"/>
            <w:tcBorders>
              <w:top w:val="nil"/>
              <w:left w:val="nil"/>
              <w:bottom w:val="single" w:sz="4" w:space="0" w:color="BFBFBF"/>
              <w:right w:val="single" w:sz="4" w:space="0" w:color="auto"/>
            </w:tcBorders>
            <w:shd w:val="clear" w:color="auto" w:fill="auto"/>
            <w:noWrap/>
            <w:vAlign w:val="center"/>
            <w:hideMark/>
          </w:tcPr>
          <w:p w14:paraId="17CB6BFD"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71FA97A8" w14:textId="77777777" w:rsidR="00531112" w:rsidRDefault="00531112">
            <w:pPr>
              <w:jc w:val="right"/>
              <w:rPr>
                <w:color w:val="000000"/>
                <w:sz w:val="20"/>
                <w:szCs w:val="20"/>
              </w:rPr>
            </w:pPr>
            <w:r>
              <w:rPr>
                <w:color w:val="000000"/>
                <w:sz w:val="20"/>
                <w:szCs w:val="20"/>
              </w:rPr>
              <w:t>97 720</w:t>
            </w:r>
          </w:p>
        </w:tc>
      </w:tr>
      <w:tr w:rsidR="00531112" w14:paraId="5775546C"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4A50DDF5" w14:textId="77777777" w:rsidR="00531112" w:rsidRDefault="00531112">
            <w:pPr>
              <w:ind w:firstLineChars="200" w:firstLine="4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1B5FCB16" w14:textId="77777777" w:rsidR="00531112" w:rsidRDefault="00531112">
            <w:pPr>
              <w:rPr>
                <w:sz w:val="20"/>
                <w:szCs w:val="20"/>
              </w:rPr>
            </w:pPr>
            <w:r>
              <w:rPr>
                <w:sz w:val="20"/>
                <w:szCs w:val="20"/>
              </w:rPr>
              <w:t>Subsīdijas, dotācijas un sociālie pabalsti</w:t>
            </w:r>
          </w:p>
        </w:tc>
        <w:tc>
          <w:tcPr>
            <w:tcW w:w="1269" w:type="dxa"/>
            <w:tcBorders>
              <w:top w:val="nil"/>
              <w:left w:val="nil"/>
              <w:bottom w:val="single" w:sz="4" w:space="0" w:color="auto"/>
              <w:right w:val="single" w:sz="4" w:space="0" w:color="auto"/>
            </w:tcBorders>
            <w:shd w:val="clear" w:color="auto" w:fill="auto"/>
            <w:vAlign w:val="bottom"/>
            <w:hideMark/>
          </w:tcPr>
          <w:p w14:paraId="44FEBE9E" w14:textId="77777777" w:rsidR="00531112" w:rsidRDefault="00531112">
            <w:pPr>
              <w:ind w:firstLineChars="100" w:firstLine="200"/>
              <w:jc w:val="right"/>
              <w:rPr>
                <w:color w:val="000000"/>
                <w:sz w:val="20"/>
                <w:szCs w:val="20"/>
              </w:rPr>
            </w:pPr>
            <w:r>
              <w:rPr>
                <w:color w:val="000000"/>
                <w:sz w:val="20"/>
                <w:szCs w:val="20"/>
              </w:rPr>
              <w:t>97 720</w:t>
            </w:r>
          </w:p>
        </w:tc>
        <w:tc>
          <w:tcPr>
            <w:tcW w:w="1243" w:type="dxa"/>
            <w:tcBorders>
              <w:top w:val="nil"/>
              <w:left w:val="nil"/>
              <w:bottom w:val="single" w:sz="4" w:space="0" w:color="BFBFBF"/>
              <w:right w:val="single" w:sz="4" w:space="0" w:color="auto"/>
            </w:tcBorders>
            <w:shd w:val="clear" w:color="auto" w:fill="auto"/>
            <w:noWrap/>
            <w:vAlign w:val="center"/>
            <w:hideMark/>
          </w:tcPr>
          <w:p w14:paraId="7BE39301"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648B84DF" w14:textId="77777777" w:rsidR="00531112" w:rsidRDefault="00531112">
            <w:pPr>
              <w:jc w:val="right"/>
              <w:rPr>
                <w:color w:val="000000"/>
                <w:sz w:val="20"/>
                <w:szCs w:val="20"/>
              </w:rPr>
            </w:pPr>
            <w:r>
              <w:rPr>
                <w:color w:val="000000"/>
                <w:sz w:val="20"/>
                <w:szCs w:val="20"/>
              </w:rPr>
              <w:t>97 720</w:t>
            </w:r>
          </w:p>
        </w:tc>
      </w:tr>
      <w:tr w:rsidR="00531112" w14:paraId="238FCE3F"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4B34A546" w14:textId="77777777" w:rsidR="00531112" w:rsidRDefault="00531112">
            <w:pPr>
              <w:ind w:firstLineChars="300" w:firstLine="6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3DB559CD" w14:textId="77777777" w:rsidR="00531112" w:rsidRDefault="00531112">
            <w:pPr>
              <w:rPr>
                <w:sz w:val="20"/>
                <w:szCs w:val="20"/>
              </w:rPr>
            </w:pPr>
            <w:r>
              <w:rPr>
                <w:sz w:val="20"/>
                <w:szCs w:val="20"/>
              </w:rPr>
              <w:t>Subsīdijas un dotācijas</w:t>
            </w:r>
          </w:p>
        </w:tc>
        <w:tc>
          <w:tcPr>
            <w:tcW w:w="1269" w:type="dxa"/>
            <w:tcBorders>
              <w:top w:val="nil"/>
              <w:left w:val="nil"/>
              <w:bottom w:val="single" w:sz="4" w:space="0" w:color="auto"/>
              <w:right w:val="single" w:sz="4" w:space="0" w:color="auto"/>
            </w:tcBorders>
            <w:shd w:val="clear" w:color="auto" w:fill="auto"/>
            <w:vAlign w:val="bottom"/>
            <w:hideMark/>
          </w:tcPr>
          <w:p w14:paraId="7142F279" w14:textId="77777777" w:rsidR="00531112" w:rsidRDefault="00531112">
            <w:pPr>
              <w:ind w:firstLineChars="100" w:firstLine="200"/>
              <w:jc w:val="right"/>
              <w:rPr>
                <w:color w:val="000000"/>
                <w:sz w:val="20"/>
                <w:szCs w:val="20"/>
              </w:rPr>
            </w:pPr>
            <w:r>
              <w:rPr>
                <w:color w:val="000000"/>
                <w:sz w:val="20"/>
                <w:szCs w:val="20"/>
              </w:rPr>
              <w:t>97 720</w:t>
            </w:r>
          </w:p>
        </w:tc>
        <w:tc>
          <w:tcPr>
            <w:tcW w:w="1243" w:type="dxa"/>
            <w:tcBorders>
              <w:top w:val="nil"/>
              <w:left w:val="nil"/>
              <w:bottom w:val="single" w:sz="4" w:space="0" w:color="BFBFBF"/>
              <w:right w:val="single" w:sz="4" w:space="0" w:color="auto"/>
            </w:tcBorders>
            <w:shd w:val="clear" w:color="auto" w:fill="auto"/>
            <w:noWrap/>
            <w:vAlign w:val="center"/>
            <w:hideMark/>
          </w:tcPr>
          <w:p w14:paraId="305D0677"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7BCDDC77" w14:textId="77777777" w:rsidR="00531112" w:rsidRDefault="00531112">
            <w:pPr>
              <w:jc w:val="right"/>
              <w:rPr>
                <w:color w:val="000000"/>
                <w:sz w:val="20"/>
                <w:szCs w:val="20"/>
              </w:rPr>
            </w:pPr>
            <w:r>
              <w:rPr>
                <w:color w:val="000000"/>
                <w:sz w:val="20"/>
                <w:szCs w:val="20"/>
              </w:rPr>
              <w:t>97 720</w:t>
            </w:r>
          </w:p>
        </w:tc>
      </w:tr>
      <w:tr w:rsidR="00531112" w14:paraId="2C5AFC50"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5EE81B08" w14:textId="77777777" w:rsidR="00531112" w:rsidRDefault="00531112">
            <w:pPr>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0961DB13" w14:textId="77777777" w:rsidR="00531112" w:rsidRDefault="00531112">
            <w:pPr>
              <w:rPr>
                <w:sz w:val="20"/>
                <w:szCs w:val="20"/>
              </w:rPr>
            </w:pPr>
            <w:r>
              <w:rPr>
                <w:sz w:val="20"/>
                <w:szCs w:val="20"/>
              </w:rPr>
              <w:t>Finansiālā bilance</w:t>
            </w:r>
          </w:p>
        </w:tc>
        <w:tc>
          <w:tcPr>
            <w:tcW w:w="1269" w:type="dxa"/>
            <w:tcBorders>
              <w:top w:val="nil"/>
              <w:left w:val="nil"/>
              <w:bottom w:val="single" w:sz="4" w:space="0" w:color="auto"/>
              <w:right w:val="single" w:sz="4" w:space="0" w:color="auto"/>
            </w:tcBorders>
            <w:shd w:val="clear" w:color="auto" w:fill="auto"/>
            <w:vAlign w:val="bottom"/>
            <w:hideMark/>
          </w:tcPr>
          <w:p w14:paraId="0A1E213A" w14:textId="77777777" w:rsidR="00531112" w:rsidRDefault="00531112">
            <w:pPr>
              <w:ind w:firstLineChars="100" w:firstLine="200"/>
              <w:jc w:val="right"/>
              <w:rPr>
                <w:color w:val="000000"/>
                <w:sz w:val="20"/>
                <w:szCs w:val="20"/>
              </w:rPr>
            </w:pPr>
            <w:r>
              <w:rPr>
                <w:color w:val="000000"/>
                <w:sz w:val="20"/>
                <w:szCs w:val="20"/>
              </w:rPr>
              <w:t>-93 720</w:t>
            </w:r>
          </w:p>
        </w:tc>
        <w:tc>
          <w:tcPr>
            <w:tcW w:w="1243" w:type="dxa"/>
            <w:tcBorders>
              <w:top w:val="nil"/>
              <w:left w:val="nil"/>
              <w:bottom w:val="single" w:sz="4" w:space="0" w:color="BFBFBF"/>
              <w:right w:val="single" w:sz="4" w:space="0" w:color="auto"/>
            </w:tcBorders>
            <w:shd w:val="clear" w:color="auto" w:fill="auto"/>
            <w:noWrap/>
            <w:vAlign w:val="center"/>
            <w:hideMark/>
          </w:tcPr>
          <w:p w14:paraId="40ED5FD3"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6D81EC81" w14:textId="77777777" w:rsidR="00531112" w:rsidRDefault="00531112">
            <w:pPr>
              <w:jc w:val="right"/>
              <w:rPr>
                <w:color w:val="000000"/>
                <w:sz w:val="20"/>
                <w:szCs w:val="20"/>
              </w:rPr>
            </w:pPr>
            <w:r>
              <w:rPr>
                <w:color w:val="000000"/>
                <w:sz w:val="20"/>
                <w:szCs w:val="20"/>
              </w:rPr>
              <w:t>-93 720</w:t>
            </w:r>
          </w:p>
        </w:tc>
      </w:tr>
      <w:tr w:rsidR="00531112" w14:paraId="4BC3296F"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398E4ED2" w14:textId="77777777" w:rsidR="00531112" w:rsidRDefault="00531112">
            <w:pPr>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2372AC40" w14:textId="77777777" w:rsidR="00531112" w:rsidRDefault="00531112">
            <w:pPr>
              <w:rPr>
                <w:sz w:val="20"/>
                <w:szCs w:val="20"/>
              </w:rPr>
            </w:pPr>
            <w:r>
              <w:rPr>
                <w:sz w:val="20"/>
                <w:szCs w:val="20"/>
              </w:rPr>
              <w:t>Finansēšana</w:t>
            </w:r>
          </w:p>
        </w:tc>
        <w:tc>
          <w:tcPr>
            <w:tcW w:w="1269" w:type="dxa"/>
            <w:tcBorders>
              <w:top w:val="nil"/>
              <w:left w:val="nil"/>
              <w:bottom w:val="single" w:sz="4" w:space="0" w:color="auto"/>
              <w:right w:val="single" w:sz="4" w:space="0" w:color="auto"/>
            </w:tcBorders>
            <w:shd w:val="clear" w:color="auto" w:fill="auto"/>
            <w:vAlign w:val="bottom"/>
            <w:hideMark/>
          </w:tcPr>
          <w:p w14:paraId="0146E48D" w14:textId="77777777" w:rsidR="00531112" w:rsidRDefault="00531112">
            <w:pPr>
              <w:ind w:firstLineChars="100" w:firstLine="200"/>
              <w:jc w:val="right"/>
              <w:rPr>
                <w:color w:val="000000"/>
                <w:sz w:val="20"/>
                <w:szCs w:val="20"/>
              </w:rPr>
            </w:pPr>
            <w:r>
              <w:rPr>
                <w:color w:val="000000"/>
                <w:sz w:val="20"/>
                <w:szCs w:val="20"/>
              </w:rPr>
              <w:t>93 720</w:t>
            </w:r>
          </w:p>
        </w:tc>
        <w:tc>
          <w:tcPr>
            <w:tcW w:w="1243" w:type="dxa"/>
            <w:tcBorders>
              <w:top w:val="nil"/>
              <w:left w:val="nil"/>
              <w:bottom w:val="single" w:sz="4" w:space="0" w:color="BFBFBF"/>
              <w:right w:val="single" w:sz="4" w:space="0" w:color="auto"/>
            </w:tcBorders>
            <w:shd w:val="clear" w:color="auto" w:fill="auto"/>
            <w:noWrap/>
            <w:vAlign w:val="center"/>
            <w:hideMark/>
          </w:tcPr>
          <w:p w14:paraId="17BAABC6"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6F5C8765" w14:textId="77777777" w:rsidR="00531112" w:rsidRDefault="00531112">
            <w:pPr>
              <w:jc w:val="right"/>
              <w:rPr>
                <w:color w:val="000000"/>
                <w:sz w:val="20"/>
                <w:szCs w:val="20"/>
              </w:rPr>
            </w:pPr>
            <w:r>
              <w:rPr>
                <w:color w:val="000000"/>
                <w:sz w:val="20"/>
                <w:szCs w:val="20"/>
              </w:rPr>
              <w:t>93 720</w:t>
            </w:r>
          </w:p>
        </w:tc>
      </w:tr>
      <w:tr w:rsidR="00531112" w14:paraId="05BF4810" w14:textId="77777777" w:rsidTr="00531112">
        <w:trPr>
          <w:trHeight w:val="238"/>
        </w:trPr>
        <w:tc>
          <w:tcPr>
            <w:tcW w:w="1287" w:type="dxa"/>
            <w:tcBorders>
              <w:top w:val="nil"/>
              <w:left w:val="single" w:sz="4" w:space="0" w:color="auto"/>
              <w:bottom w:val="single" w:sz="4" w:space="0" w:color="BFBFBF"/>
              <w:right w:val="single" w:sz="4" w:space="0" w:color="auto"/>
            </w:tcBorders>
            <w:shd w:val="clear" w:color="auto" w:fill="auto"/>
            <w:noWrap/>
            <w:vAlign w:val="center"/>
            <w:hideMark/>
          </w:tcPr>
          <w:p w14:paraId="19197399" w14:textId="77777777" w:rsidR="00531112" w:rsidRDefault="00531112">
            <w:pPr>
              <w:ind w:firstLineChars="100" w:firstLine="2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00747A1F" w14:textId="77777777" w:rsidR="00531112" w:rsidRDefault="00531112">
            <w:pPr>
              <w:rPr>
                <w:sz w:val="20"/>
                <w:szCs w:val="20"/>
              </w:rPr>
            </w:pPr>
            <w:r>
              <w:rPr>
                <w:sz w:val="20"/>
                <w:szCs w:val="20"/>
              </w:rPr>
              <w:t>Naudas līdzekļi</w:t>
            </w:r>
          </w:p>
        </w:tc>
        <w:tc>
          <w:tcPr>
            <w:tcW w:w="1269" w:type="dxa"/>
            <w:tcBorders>
              <w:top w:val="nil"/>
              <w:left w:val="nil"/>
              <w:bottom w:val="single" w:sz="4" w:space="0" w:color="auto"/>
              <w:right w:val="single" w:sz="4" w:space="0" w:color="auto"/>
            </w:tcBorders>
            <w:shd w:val="clear" w:color="auto" w:fill="auto"/>
            <w:vAlign w:val="bottom"/>
            <w:hideMark/>
          </w:tcPr>
          <w:p w14:paraId="0F7D99F5" w14:textId="77777777" w:rsidR="00531112" w:rsidRDefault="00531112">
            <w:pPr>
              <w:ind w:firstLineChars="100" w:firstLine="200"/>
              <w:jc w:val="right"/>
              <w:rPr>
                <w:color w:val="000000"/>
                <w:sz w:val="20"/>
                <w:szCs w:val="20"/>
              </w:rPr>
            </w:pPr>
            <w:r>
              <w:rPr>
                <w:color w:val="000000"/>
                <w:sz w:val="20"/>
                <w:szCs w:val="20"/>
              </w:rPr>
              <w:t>93 720</w:t>
            </w:r>
          </w:p>
        </w:tc>
        <w:tc>
          <w:tcPr>
            <w:tcW w:w="1243" w:type="dxa"/>
            <w:tcBorders>
              <w:top w:val="nil"/>
              <w:left w:val="nil"/>
              <w:bottom w:val="single" w:sz="4" w:space="0" w:color="BFBFBF"/>
              <w:right w:val="single" w:sz="4" w:space="0" w:color="auto"/>
            </w:tcBorders>
            <w:shd w:val="clear" w:color="auto" w:fill="auto"/>
            <w:noWrap/>
            <w:vAlign w:val="center"/>
            <w:hideMark/>
          </w:tcPr>
          <w:p w14:paraId="6088034D"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5CF38843" w14:textId="77777777" w:rsidR="00531112" w:rsidRDefault="00531112">
            <w:pPr>
              <w:jc w:val="right"/>
              <w:rPr>
                <w:color w:val="000000"/>
                <w:sz w:val="20"/>
                <w:szCs w:val="20"/>
              </w:rPr>
            </w:pPr>
            <w:r>
              <w:rPr>
                <w:color w:val="000000"/>
                <w:sz w:val="20"/>
                <w:szCs w:val="20"/>
              </w:rPr>
              <w:t>93 720</w:t>
            </w:r>
          </w:p>
        </w:tc>
      </w:tr>
      <w:tr w:rsidR="00531112" w14:paraId="73D7903D" w14:textId="77777777" w:rsidTr="00531112">
        <w:trPr>
          <w:trHeight w:val="730"/>
        </w:trPr>
        <w:tc>
          <w:tcPr>
            <w:tcW w:w="1287" w:type="dxa"/>
            <w:tcBorders>
              <w:top w:val="nil"/>
              <w:left w:val="single" w:sz="4" w:space="0" w:color="auto"/>
              <w:bottom w:val="nil"/>
              <w:right w:val="single" w:sz="4" w:space="0" w:color="auto"/>
            </w:tcBorders>
            <w:shd w:val="clear" w:color="auto" w:fill="auto"/>
            <w:noWrap/>
            <w:vAlign w:val="center"/>
            <w:hideMark/>
          </w:tcPr>
          <w:p w14:paraId="163C3980" w14:textId="77777777" w:rsidR="00531112" w:rsidRDefault="00531112">
            <w:pPr>
              <w:ind w:firstLineChars="200" w:firstLine="400"/>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FFFFF"/>
            <w:vAlign w:val="center"/>
            <w:hideMark/>
          </w:tcPr>
          <w:p w14:paraId="1F769302" w14:textId="77777777" w:rsidR="00531112" w:rsidRDefault="00531112">
            <w:pPr>
              <w:rPr>
                <w:sz w:val="20"/>
                <w:szCs w:val="20"/>
              </w:rPr>
            </w:pPr>
            <w:r>
              <w:rPr>
                <w:sz w:val="20"/>
                <w:szCs w:val="20"/>
              </w:rPr>
              <w:t>Maksas pakalpojumu un citu pašu ieņēmumu naudas līdzekļu atlikumu izmaiņas palielinājums (-) vai samazinājums (+)</w:t>
            </w:r>
          </w:p>
        </w:tc>
        <w:tc>
          <w:tcPr>
            <w:tcW w:w="1269" w:type="dxa"/>
            <w:tcBorders>
              <w:top w:val="nil"/>
              <w:left w:val="nil"/>
              <w:bottom w:val="single" w:sz="4" w:space="0" w:color="auto"/>
              <w:right w:val="single" w:sz="4" w:space="0" w:color="auto"/>
            </w:tcBorders>
            <w:shd w:val="clear" w:color="auto" w:fill="auto"/>
            <w:vAlign w:val="bottom"/>
            <w:hideMark/>
          </w:tcPr>
          <w:p w14:paraId="22F26D59" w14:textId="77777777" w:rsidR="00531112" w:rsidRDefault="00531112">
            <w:pPr>
              <w:ind w:firstLineChars="100" w:firstLine="200"/>
              <w:jc w:val="right"/>
              <w:rPr>
                <w:color w:val="000000"/>
                <w:sz w:val="20"/>
                <w:szCs w:val="20"/>
              </w:rPr>
            </w:pPr>
            <w:r>
              <w:rPr>
                <w:color w:val="000000"/>
                <w:sz w:val="20"/>
                <w:szCs w:val="20"/>
              </w:rPr>
              <w:t>93 720</w:t>
            </w:r>
          </w:p>
        </w:tc>
        <w:tc>
          <w:tcPr>
            <w:tcW w:w="1243" w:type="dxa"/>
            <w:tcBorders>
              <w:top w:val="nil"/>
              <w:left w:val="nil"/>
              <w:bottom w:val="nil"/>
              <w:right w:val="single" w:sz="4" w:space="0" w:color="auto"/>
            </w:tcBorders>
            <w:shd w:val="clear" w:color="auto" w:fill="auto"/>
            <w:noWrap/>
            <w:vAlign w:val="center"/>
            <w:hideMark/>
          </w:tcPr>
          <w:p w14:paraId="4959BCF5" w14:textId="77777777" w:rsidR="00531112" w:rsidRDefault="00531112">
            <w:pPr>
              <w:jc w:val="right"/>
              <w:rPr>
                <w:color w:val="000000"/>
                <w:sz w:val="20"/>
                <w:szCs w:val="20"/>
              </w:rPr>
            </w:pPr>
            <w:r>
              <w:rPr>
                <w:color w:val="000000"/>
                <w:sz w:val="20"/>
                <w:szCs w:val="20"/>
              </w:rPr>
              <w:t> </w:t>
            </w:r>
          </w:p>
        </w:tc>
        <w:tc>
          <w:tcPr>
            <w:tcW w:w="1271" w:type="dxa"/>
            <w:tcBorders>
              <w:top w:val="nil"/>
              <w:left w:val="nil"/>
              <w:bottom w:val="single" w:sz="4" w:space="0" w:color="BFBFBF"/>
              <w:right w:val="single" w:sz="4" w:space="0" w:color="auto"/>
            </w:tcBorders>
            <w:shd w:val="clear" w:color="auto" w:fill="auto"/>
            <w:noWrap/>
            <w:vAlign w:val="center"/>
            <w:hideMark/>
          </w:tcPr>
          <w:p w14:paraId="12B2E3BD" w14:textId="77777777" w:rsidR="00531112" w:rsidRDefault="00531112">
            <w:pPr>
              <w:jc w:val="right"/>
              <w:rPr>
                <w:color w:val="000000"/>
                <w:sz w:val="20"/>
                <w:szCs w:val="20"/>
              </w:rPr>
            </w:pPr>
            <w:r>
              <w:rPr>
                <w:color w:val="000000"/>
                <w:sz w:val="20"/>
                <w:szCs w:val="20"/>
              </w:rPr>
              <w:t>93 720</w:t>
            </w:r>
          </w:p>
        </w:tc>
      </w:tr>
      <w:tr w:rsidR="00531112" w14:paraId="6DB377C0" w14:textId="77777777" w:rsidTr="00531112">
        <w:trPr>
          <w:trHeight w:val="280"/>
        </w:trPr>
        <w:tc>
          <w:tcPr>
            <w:tcW w:w="4970" w:type="dxa"/>
            <w:gridSpan w:val="2"/>
            <w:tcBorders>
              <w:top w:val="single" w:sz="8" w:space="0" w:color="auto"/>
              <w:left w:val="single" w:sz="8" w:space="0" w:color="auto"/>
              <w:bottom w:val="single" w:sz="8" w:space="0" w:color="auto"/>
              <w:right w:val="nil"/>
            </w:tcBorders>
            <w:shd w:val="clear" w:color="000000" w:fill="FFFF00"/>
            <w:noWrap/>
            <w:vAlign w:val="bottom"/>
            <w:hideMark/>
          </w:tcPr>
          <w:p w14:paraId="2FC57869" w14:textId="77777777" w:rsidR="00531112" w:rsidRDefault="00531112">
            <w:pPr>
              <w:jc w:val="center"/>
              <w:rPr>
                <w:sz w:val="20"/>
                <w:szCs w:val="20"/>
              </w:rPr>
            </w:pPr>
            <w:r>
              <w:rPr>
                <w:sz w:val="20"/>
                <w:szCs w:val="20"/>
              </w:rPr>
              <w:t xml:space="preserve">Kopā: </w:t>
            </w:r>
          </w:p>
        </w:tc>
        <w:tc>
          <w:tcPr>
            <w:tcW w:w="1269" w:type="dxa"/>
            <w:tcBorders>
              <w:top w:val="single" w:sz="8" w:space="0" w:color="auto"/>
              <w:left w:val="nil"/>
              <w:bottom w:val="single" w:sz="8" w:space="0" w:color="auto"/>
              <w:right w:val="nil"/>
            </w:tcBorders>
            <w:shd w:val="clear" w:color="000000" w:fill="FFFF00"/>
            <w:noWrap/>
            <w:vAlign w:val="bottom"/>
            <w:hideMark/>
          </w:tcPr>
          <w:p w14:paraId="45A91E8C" w14:textId="77777777" w:rsidR="00531112" w:rsidRDefault="00531112">
            <w:pPr>
              <w:rPr>
                <w:sz w:val="20"/>
                <w:szCs w:val="20"/>
              </w:rPr>
            </w:pPr>
            <w:r>
              <w:rPr>
                <w:sz w:val="20"/>
                <w:szCs w:val="20"/>
              </w:rPr>
              <w:t> </w:t>
            </w:r>
          </w:p>
        </w:tc>
        <w:tc>
          <w:tcPr>
            <w:tcW w:w="1243" w:type="dxa"/>
            <w:tcBorders>
              <w:top w:val="single" w:sz="8" w:space="0" w:color="auto"/>
              <w:left w:val="nil"/>
              <w:bottom w:val="single" w:sz="8" w:space="0" w:color="auto"/>
              <w:right w:val="nil"/>
            </w:tcBorders>
            <w:shd w:val="clear" w:color="000000" w:fill="FFFF00"/>
            <w:noWrap/>
            <w:vAlign w:val="bottom"/>
            <w:hideMark/>
          </w:tcPr>
          <w:p w14:paraId="0405C8DD" w14:textId="77777777" w:rsidR="00531112" w:rsidRDefault="00531112">
            <w:pPr>
              <w:rPr>
                <w:sz w:val="20"/>
                <w:szCs w:val="20"/>
              </w:rPr>
            </w:pPr>
            <w:r>
              <w:rPr>
                <w:sz w:val="20"/>
                <w:szCs w:val="20"/>
              </w:rPr>
              <w:t> </w:t>
            </w:r>
          </w:p>
        </w:tc>
        <w:tc>
          <w:tcPr>
            <w:tcW w:w="1271" w:type="dxa"/>
            <w:tcBorders>
              <w:top w:val="single" w:sz="8" w:space="0" w:color="auto"/>
              <w:left w:val="nil"/>
              <w:bottom w:val="single" w:sz="8" w:space="0" w:color="auto"/>
              <w:right w:val="nil"/>
            </w:tcBorders>
            <w:shd w:val="clear" w:color="000000" w:fill="FFFF00"/>
            <w:noWrap/>
            <w:vAlign w:val="bottom"/>
            <w:hideMark/>
          </w:tcPr>
          <w:p w14:paraId="6CF77E41" w14:textId="77777777" w:rsidR="00531112" w:rsidRDefault="00531112">
            <w:pPr>
              <w:rPr>
                <w:sz w:val="20"/>
                <w:szCs w:val="20"/>
              </w:rPr>
            </w:pPr>
            <w:r>
              <w:rPr>
                <w:sz w:val="20"/>
                <w:szCs w:val="20"/>
              </w:rPr>
              <w:t> </w:t>
            </w:r>
          </w:p>
        </w:tc>
      </w:tr>
      <w:tr w:rsidR="00531112" w14:paraId="746D1BD6" w14:textId="77777777" w:rsidTr="00531112">
        <w:trPr>
          <w:trHeight w:val="477"/>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1905EF92" w14:textId="77777777" w:rsidR="00531112" w:rsidRDefault="00531112">
            <w:pPr>
              <w:jc w:val="center"/>
              <w:rPr>
                <w:b/>
                <w:bCs/>
                <w:sz w:val="20"/>
                <w:szCs w:val="20"/>
              </w:rPr>
            </w:pPr>
            <w:r>
              <w:rPr>
                <w:b/>
                <w:bCs/>
                <w:sz w:val="20"/>
                <w:szCs w:val="20"/>
              </w:rPr>
              <w:t> </w:t>
            </w:r>
          </w:p>
        </w:tc>
        <w:tc>
          <w:tcPr>
            <w:tcW w:w="3683" w:type="dxa"/>
            <w:tcBorders>
              <w:top w:val="nil"/>
              <w:left w:val="nil"/>
              <w:bottom w:val="single" w:sz="4" w:space="0" w:color="auto"/>
              <w:right w:val="single" w:sz="4" w:space="0" w:color="auto"/>
            </w:tcBorders>
            <w:shd w:val="clear" w:color="auto" w:fill="auto"/>
            <w:vAlign w:val="bottom"/>
            <w:hideMark/>
          </w:tcPr>
          <w:p w14:paraId="13C48065" w14:textId="77777777" w:rsidR="00531112" w:rsidRDefault="00531112">
            <w:pPr>
              <w:rPr>
                <w:sz w:val="20"/>
                <w:szCs w:val="20"/>
              </w:rPr>
            </w:pPr>
            <w:r>
              <w:rPr>
                <w:sz w:val="20"/>
                <w:szCs w:val="20"/>
              </w:rPr>
              <w:t>Ieņēmumi no maksas pakalpojumiem un citi pašu ieņēmumi – kopā, t.sk.</w:t>
            </w:r>
          </w:p>
        </w:tc>
        <w:tc>
          <w:tcPr>
            <w:tcW w:w="1269" w:type="dxa"/>
            <w:tcBorders>
              <w:top w:val="nil"/>
              <w:left w:val="nil"/>
              <w:bottom w:val="single" w:sz="4" w:space="0" w:color="auto"/>
              <w:right w:val="single" w:sz="4" w:space="0" w:color="auto"/>
            </w:tcBorders>
            <w:shd w:val="clear" w:color="auto" w:fill="auto"/>
            <w:noWrap/>
            <w:vAlign w:val="bottom"/>
            <w:hideMark/>
          </w:tcPr>
          <w:p w14:paraId="747E59B0" w14:textId="77777777" w:rsidR="00531112" w:rsidRDefault="00531112">
            <w:pPr>
              <w:jc w:val="right"/>
              <w:rPr>
                <w:sz w:val="20"/>
                <w:szCs w:val="20"/>
              </w:rPr>
            </w:pPr>
            <w:r>
              <w:rPr>
                <w:sz w:val="20"/>
                <w:szCs w:val="20"/>
              </w:rPr>
              <w:t>3 335 199</w:t>
            </w:r>
          </w:p>
        </w:tc>
        <w:tc>
          <w:tcPr>
            <w:tcW w:w="1243" w:type="dxa"/>
            <w:tcBorders>
              <w:top w:val="nil"/>
              <w:left w:val="nil"/>
              <w:bottom w:val="single" w:sz="4" w:space="0" w:color="auto"/>
              <w:right w:val="single" w:sz="4" w:space="0" w:color="auto"/>
            </w:tcBorders>
            <w:shd w:val="clear" w:color="auto" w:fill="auto"/>
            <w:noWrap/>
            <w:vAlign w:val="bottom"/>
            <w:hideMark/>
          </w:tcPr>
          <w:p w14:paraId="2E439B37" w14:textId="77777777" w:rsidR="00531112" w:rsidRDefault="00531112">
            <w:pPr>
              <w:jc w:val="right"/>
              <w:rPr>
                <w:sz w:val="20"/>
                <w:szCs w:val="20"/>
              </w:rPr>
            </w:pPr>
            <w:r>
              <w:rPr>
                <w:sz w:val="20"/>
                <w:szCs w:val="20"/>
              </w:rPr>
              <w:t>0</w:t>
            </w:r>
          </w:p>
        </w:tc>
        <w:tc>
          <w:tcPr>
            <w:tcW w:w="1271" w:type="dxa"/>
            <w:tcBorders>
              <w:top w:val="nil"/>
              <w:left w:val="nil"/>
              <w:bottom w:val="single" w:sz="4" w:space="0" w:color="auto"/>
              <w:right w:val="single" w:sz="4" w:space="0" w:color="auto"/>
            </w:tcBorders>
            <w:shd w:val="clear" w:color="auto" w:fill="auto"/>
            <w:noWrap/>
            <w:vAlign w:val="bottom"/>
            <w:hideMark/>
          </w:tcPr>
          <w:p w14:paraId="72A66492" w14:textId="77777777" w:rsidR="00531112" w:rsidRDefault="00531112">
            <w:pPr>
              <w:jc w:val="right"/>
              <w:rPr>
                <w:color w:val="000000"/>
                <w:sz w:val="20"/>
                <w:szCs w:val="20"/>
              </w:rPr>
            </w:pPr>
            <w:r>
              <w:rPr>
                <w:color w:val="000000"/>
                <w:sz w:val="20"/>
                <w:szCs w:val="20"/>
              </w:rPr>
              <w:t>3 335 199</w:t>
            </w:r>
          </w:p>
        </w:tc>
      </w:tr>
      <w:tr w:rsidR="00531112" w14:paraId="611BFE4E" w14:textId="77777777" w:rsidTr="00531112">
        <w:trPr>
          <w:trHeight w:val="477"/>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18D1E90A" w14:textId="77777777" w:rsidR="00531112" w:rsidRDefault="00531112">
            <w:pPr>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8CBAD"/>
            <w:vAlign w:val="bottom"/>
            <w:hideMark/>
          </w:tcPr>
          <w:p w14:paraId="47E5E7B2" w14:textId="77777777" w:rsidR="00531112" w:rsidRDefault="00531112">
            <w:pPr>
              <w:jc w:val="right"/>
              <w:rPr>
                <w:sz w:val="20"/>
                <w:szCs w:val="20"/>
              </w:rPr>
            </w:pPr>
            <w:r>
              <w:rPr>
                <w:sz w:val="20"/>
                <w:szCs w:val="20"/>
              </w:rPr>
              <w:t>Ieņēmumi no uzņēmējsdarbības riska valsts nodevas</w:t>
            </w:r>
          </w:p>
        </w:tc>
        <w:tc>
          <w:tcPr>
            <w:tcW w:w="1269" w:type="dxa"/>
            <w:tcBorders>
              <w:top w:val="nil"/>
              <w:left w:val="nil"/>
              <w:bottom w:val="single" w:sz="4" w:space="0" w:color="auto"/>
              <w:right w:val="single" w:sz="4" w:space="0" w:color="auto"/>
            </w:tcBorders>
            <w:shd w:val="clear" w:color="000000" w:fill="F8CBAD"/>
            <w:noWrap/>
            <w:vAlign w:val="bottom"/>
            <w:hideMark/>
          </w:tcPr>
          <w:p w14:paraId="59F660F1" w14:textId="77777777" w:rsidR="00531112" w:rsidRDefault="00531112">
            <w:pPr>
              <w:jc w:val="right"/>
              <w:rPr>
                <w:sz w:val="20"/>
                <w:szCs w:val="20"/>
              </w:rPr>
            </w:pPr>
            <w:r>
              <w:rPr>
                <w:sz w:val="20"/>
                <w:szCs w:val="20"/>
              </w:rPr>
              <w:t>3 174 259</w:t>
            </w:r>
          </w:p>
        </w:tc>
        <w:tc>
          <w:tcPr>
            <w:tcW w:w="1243" w:type="dxa"/>
            <w:tcBorders>
              <w:top w:val="nil"/>
              <w:left w:val="nil"/>
              <w:bottom w:val="single" w:sz="4" w:space="0" w:color="auto"/>
              <w:right w:val="single" w:sz="4" w:space="0" w:color="auto"/>
            </w:tcBorders>
            <w:shd w:val="clear" w:color="000000" w:fill="F8CBAD"/>
            <w:noWrap/>
            <w:vAlign w:val="bottom"/>
            <w:hideMark/>
          </w:tcPr>
          <w:p w14:paraId="5BF1F01D" w14:textId="77777777" w:rsidR="00531112" w:rsidRDefault="00531112">
            <w:pPr>
              <w:jc w:val="right"/>
              <w:rPr>
                <w:sz w:val="20"/>
                <w:szCs w:val="20"/>
              </w:rPr>
            </w:pPr>
            <w:r>
              <w:rPr>
                <w:sz w:val="20"/>
                <w:szCs w:val="20"/>
              </w:rPr>
              <w:t>0</w:t>
            </w:r>
          </w:p>
        </w:tc>
        <w:tc>
          <w:tcPr>
            <w:tcW w:w="1271" w:type="dxa"/>
            <w:tcBorders>
              <w:top w:val="nil"/>
              <w:left w:val="nil"/>
              <w:bottom w:val="single" w:sz="4" w:space="0" w:color="auto"/>
              <w:right w:val="single" w:sz="4" w:space="0" w:color="auto"/>
            </w:tcBorders>
            <w:shd w:val="clear" w:color="000000" w:fill="F8CBAD"/>
            <w:noWrap/>
            <w:vAlign w:val="bottom"/>
            <w:hideMark/>
          </w:tcPr>
          <w:p w14:paraId="6B957E52" w14:textId="77777777" w:rsidR="00531112" w:rsidRDefault="00531112">
            <w:pPr>
              <w:jc w:val="right"/>
              <w:rPr>
                <w:color w:val="000000"/>
                <w:sz w:val="20"/>
                <w:szCs w:val="20"/>
              </w:rPr>
            </w:pPr>
            <w:r>
              <w:rPr>
                <w:color w:val="000000"/>
                <w:sz w:val="20"/>
                <w:szCs w:val="20"/>
              </w:rPr>
              <w:t>3 174 259</w:t>
            </w:r>
          </w:p>
        </w:tc>
      </w:tr>
      <w:tr w:rsidR="00531112" w14:paraId="7CCA1680" w14:textId="77777777" w:rsidTr="00531112">
        <w:trPr>
          <w:trHeight w:val="23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09F7F38B" w14:textId="77777777" w:rsidR="00531112" w:rsidRDefault="00531112">
            <w:pPr>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8CBAD"/>
            <w:vAlign w:val="bottom"/>
            <w:hideMark/>
          </w:tcPr>
          <w:p w14:paraId="0846E2FB" w14:textId="77777777" w:rsidR="00531112" w:rsidRDefault="00531112">
            <w:pPr>
              <w:jc w:val="right"/>
              <w:rPr>
                <w:sz w:val="20"/>
                <w:szCs w:val="20"/>
              </w:rPr>
            </w:pPr>
            <w:r>
              <w:rPr>
                <w:sz w:val="20"/>
                <w:szCs w:val="20"/>
              </w:rPr>
              <w:t>Atgūtie līdzekļi</w:t>
            </w:r>
          </w:p>
        </w:tc>
        <w:tc>
          <w:tcPr>
            <w:tcW w:w="1269" w:type="dxa"/>
            <w:tcBorders>
              <w:top w:val="nil"/>
              <w:left w:val="nil"/>
              <w:bottom w:val="single" w:sz="4" w:space="0" w:color="auto"/>
              <w:right w:val="single" w:sz="4" w:space="0" w:color="auto"/>
            </w:tcBorders>
            <w:shd w:val="clear" w:color="000000" w:fill="F8CBAD"/>
            <w:noWrap/>
            <w:vAlign w:val="bottom"/>
            <w:hideMark/>
          </w:tcPr>
          <w:p w14:paraId="227E759A" w14:textId="77777777" w:rsidR="00531112" w:rsidRDefault="00531112">
            <w:pPr>
              <w:jc w:val="right"/>
              <w:rPr>
                <w:sz w:val="20"/>
                <w:szCs w:val="20"/>
              </w:rPr>
            </w:pPr>
            <w:r>
              <w:rPr>
                <w:sz w:val="20"/>
                <w:szCs w:val="20"/>
              </w:rPr>
              <w:t>146 000</w:t>
            </w:r>
          </w:p>
        </w:tc>
        <w:tc>
          <w:tcPr>
            <w:tcW w:w="1243" w:type="dxa"/>
            <w:tcBorders>
              <w:top w:val="nil"/>
              <w:left w:val="nil"/>
              <w:bottom w:val="single" w:sz="4" w:space="0" w:color="auto"/>
              <w:right w:val="single" w:sz="4" w:space="0" w:color="auto"/>
            </w:tcBorders>
            <w:shd w:val="clear" w:color="000000" w:fill="F8CBAD"/>
            <w:noWrap/>
            <w:vAlign w:val="bottom"/>
            <w:hideMark/>
          </w:tcPr>
          <w:p w14:paraId="6872542F" w14:textId="77777777" w:rsidR="00531112" w:rsidRDefault="00531112">
            <w:pPr>
              <w:jc w:val="right"/>
              <w:rPr>
                <w:sz w:val="20"/>
                <w:szCs w:val="20"/>
              </w:rPr>
            </w:pPr>
            <w:r>
              <w:rPr>
                <w:sz w:val="20"/>
                <w:szCs w:val="20"/>
              </w:rPr>
              <w:t>0</w:t>
            </w:r>
          </w:p>
        </w:tc>
        <w:tc>
          <w:tcPr>
            <w:tcW w:w="1271" w:type="dxa"/>
            <w:tcBorders>
              <w:top w:val="nil"/>
              <w:left w:val="nil"/>
              <w:bottom w:val="single" w:sz="4" w:space="0" w:color="auto"/>
              <w:right w:val="single" w:sz="4" w:space="0" w:color="auto"/>
            </w:tcBorders>
            <w:shd w:val="clear" w:color="000000" w:fill="F8CBAD"/>
            <w:noWrap/>
            <w:vAlign w:val="bottom"/>
            <w:hideMark/>
          </w:tcPr>
          <w:p w14:paraId="0514749B" w14:textId="77777777" w:rsidR="00531112" w:rsidRDefault="00531112">
            <w:pPr>
              <w:jc w:val="right"/>
              <w:rPr>
                <w:color w:val="000000"/>
                <w:sz w:val="20"/>
                <w:szCs w:val="20"/>
              </w:rPr>
            </w:pPr>
            <w:r>
              <w:rPr>
                <w:color w:val="000000"/>
                <w:sz w:val="20"/>
                <w:szCs w:val="20"/>
              </w:rPr>
              <w:t>146 000</w:t>
            </w:r>
          </w:p>
        </w:tc>
      </w:tr>
      <w:tr w:rsidR="00531112" w14:paraId="4777862D" w14:textId="77777777" w:rsidTr="00531112">
        <w:trPr>
          <w:trHeight w:val="23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6FCE358B" w14:textId="77777777" w:rsidR="00531112" w:rsidRDefault="00531112">
            <w:pPr>
              <w:rPr>
                <w:sz w:val="20"/>
                <w:szCs w:val="20"/>
              </w:rPr>
            </w:pPr>
            <w:r>
              <w:rPr>
                <w:sz w:val="20"/>
                <w:szCs w:val="20"/>
              </w:rPr>
              <w:t> </w:t>
            </w:r>
          </w:p>
        </w:tc>
        <w:tc>
          <w:tcPr>
            <w:tcW w:w="3683" w:type="dxa"/>
            <w:tcBorders>
              <w:top w:val="nil"/>
              <w:left w:val="nil"/>
              <w:bottom w:val="single" w:sz="4" w:space="0" w:color="auto"/>
              <w:right w:val="single" w:sz="4" w:space="0" w:color="auto"/>
            </w:tcBorders>
            <w:shd w:val="clear" w:color="000000" w:fill="F8CBAD"/>
            <w:noWrap/>
            <w:vAlign w:val="bottom"/>
            <w:hideMark/>
          </w:tcPr>
          <w:p w14:paraId="54E8F7E0" w14:textId="77777777" w:rsidR="00531112" w:rsidRDefault="00531112">
            <w:pPr>
              <w:jc w:val="right"/>
              <w:rPr>
                <w:sz w:val="20"/>
                <w:szCs w:val="20"/>
              </w:rPr>
            </w:pPr>
            <w:r>
              <w:rPr>
                <w:sz w:val="20"/>
                <w:szCs w:val="20"/>
              </w:rPr>
              <w:t>Citi ieņēmumi</w:t>
            </w:r>
          </w:p>
        </w:tc>
        <w:tc>
          <w:tcPr>
            <w:tcW w:w="1269" w:type="dxa"/>
            <w:tcBorders>
              <w:top w:val="nil"/>
              <w:left w:val="nil"/>
              <w:bottom w:val="single" w:sz="4" w:space="0" w:color="auto"/>
              <w:right w:val="single" w:sz="4" w:space="0" w:color="auto"/>
            </w:tcBorders>
            <w:shd w:val="clear" w:color="000000" w:fill="F8CBAD"/>
            <w:noWrap/>
            <w:vAlign w:val="bottom"/>
            <w:hideMark/>
          </w:tcPr>
          <w:p w14:paraId="087A3940" w14:textId="77777777" w:rsidR="00531112" w:rsidRDefault="00531112">
            <w:pPr>
              <w:jc w:val="right"/>
              <w:rPr>
                <w:sz w:val="20"/>
                <w:szCs w:val="20"/>
              </w:rPr>
            </w:pPr>
            <w:r>
              <w:rPr>
                <w:sz w:val="20"/>
                <w:szCs w:val="20"/>
              </w:rPr>
              <w:t>14 940</w:t>
            </w:r>
          </w:p>
        </w:tc>
        <w:tc>
          <w:tcPr>
            <w:tcW w:w="1243" w:type="dxa"/>
            <w:tcBorders>
              <w:top w:val="nil"/>
              <w:left w:val="nil"/>
              <w:bottom w:val="single" w:sz="4" w:space="0" w:color="auto"/>
              <w:right w:val="single" w:sz="4" w:space="0" w:color="auto"/>
            </w:tcBorders>
            <w:shd w:val="clear" w:color="000000" w:fill="F8CBAD"/>
            <w:noWrap/>
            <w:vAlign w:val="bottom"/>
            <w:hideMark/>
          </w:tcPr>
          <w:p w14:paraId="53F2FCCD" w14:textId="77777777" w:rsidR="00531112" w:rsidRDefault="00531112">
            <w:pPr>
              <w:jc w:val="right"/>
              <w:rPr>
                <w:sz w:val="20"/>
                <w:szCs w:val="20"/>
              </w:rPr>
            </w:pPr>
            <w:r>
              <w:rPr>
                <w:sz w:val="20"/>
                <w:szCs w:val="20"/>
              </w:rPr>
              <w:t>0</w:t>
            </w:r>
          </w:p>
        </w:tc>
        <w:tc>
          <w:tcPr>
            <w:tcW w:w="1271" w:type="dxa"/>
            <w:tcBorders>
              <w:top w:val="nil"/>
              <w:left w:val="nil"/>
              <w:bottom w:val="single" w:sz="4" w:space="0" w:color="auto"/>
              <w:right w:val="single" w:sz="4" w:space="0" w:color="auto"/>
            </w:tcBorders>
            <w:shd w:val="clear" w:color="000000" w:fill="F8CBAD"/>
            <w:noWrap/>
            <w:vAlign w:val="bottom"/>
            <w:hideMark/>
          </w:tcPr>
          <w:p w14:paraId="2BD9394A" w14:textId="77777777" w:rsidR="00531112" w:rsidRDefault="00531112">
            <w:pPr>
              <w:jc w:val="right"/>
              <w:rPr>
                <w:sz w:val="20"/>
                <w:szCs w:val="20"/>
              </w:rPr>
            </w:pPr>
            <w:r>
              <w:rPr>
                <w:sz w:val="20"/>
                <w:szCs w:val="20"/>
              </w:rPr>
              <w:t>14 940</w:t>
            </w:r>
          </w:p>
        </w:tc>
      </w:tr>
    </w:tbl>
    <w:p w14:paraId="4F635253" w14:textId="77777777" w:rsidR="006D7E51" w:rsidRDefault="006D7E51" w:rsidP="006D7E51">
      <w:pPr>
        <w:ind w:firstLine="720"/>
        <w:jc w:val="both"/>
      </w:pPr>
    </w:p>
    <w:p w14:paraId="305A1C29" w14:textId="77777777" w:rsidR="00A47BAD" w:rsidRDefault="00A47BAD" w:rsidP="00A47BAD">
      <w:pPr>
        <w:ind w:firstLine="720"/>
        <w:jc w:val="both"/>
      </w:pPr>
    </w:p>
    <w:p w14:paraId="0BF71ADA" w14:textId="77777777" w:rsidR="00A47BAD" w:rsidRPr="0092522E" w:rsidRDefault="00A47BAD" w:rsidP="00A47BAD">
      <w:pPr>
        <w:ind w:firstLine="720"/>
        <w:jc w:val="both"/>
        <w:sectPr w:rsidR="00A47BAD" w:rsidRPr="0092522E" w:rsidSect="008E1142">
          <w:headerReference w:type="even" r:id="rId11"/>
          <w:headerReference w:type="default" r:id="rId12"/>
          <w:footerReference w:type="default" r:id="rId13"/>
          <w:footerReference w:type="first" r:id="rId14"/>
          <w:pgSz w:w="11906" w:h="16838" w:code="9"/>
          <w:pgMar w:top="1418" w:right="1134" w:bottom="1438" w:left="1701" w:header="709" w:footer="709" w:gutter="0"/>
          <w:cols w:space="708"/>
          <w:titlePg/>
          <w:docGrid w:linePitch="360"/>
        </w:sectPr>
      </w:pPr>
    </w:p>
    <w:p w14:paraId="21CDDB63" w14:textId="77777777" w:rsidR="00C02CAA" w:rsidRPr="00291B52" w:rsidRDefault="006D7E51" w:rsidP="00426BA2">
      <w:pPr>
        <w:tabs>
          <w:tab w:val="left" w:pos="720"/>
        </w:tabs>
        <w:jc w:val="right"/>
      </w:pPr>
      <w:r>
        <w:t>32</w:t>
      </w:r>
      <w:r w:rsidR="00C02CAA" w:rsidRPr="00291B52">
        <w:t>.tabula</w:t>
      </w:r>
    </w:p>
    <w:p w14:paraId="716635A9" w14:textId="77777777" w:rsidR="00C02CAA" w:rsidRPr="00291B52" w:rsidRDefault="00C02CAA" w:rsidP="00426BA2">
      <w:pPr>
        <w:tabs>
          <w:tab w:val="left" w:pos="720"/>
        </w:tabs>
        <w:jc w:val="right"/>
        <w:rPr>
          <w:b/>
        </w:rPr>
      </w:pPr>
    </w:p>
    <w:p w14:paraId="79258648" w14:textId="77777777" w:rsidR="00C02CAA" w:rsidRPr="00291B52" w:rsidRDefault="00C02CAA" w:rsidP="00426BA2">
      <w:pPr>
        <w:tabs>
          <w:tab w:val="left" w:pos="720"/>
        </w:tabs>
        <w:jc w:val="center"/>
        <w:rPr>
          <w:b/>
        </w:rPr>
      </w:pPr>
      <w:r w:rsidRPr="00291B52">
        <w:rPr>
          <w:b/>
        </w:rPr>
        <w:t>Plānotais pamatbudžeta bāzes izdevumu finansējums un tajā nepieciešamās izmaiņas 201</w:t>
      </w:r>
      <w:r w:rsidR="00CB7609" w:rsidRPr="00291B52">
        <w:rPr>
          <w:b/>
        </w:rPr>
        <w:t>7</w:t>
      </w:r>
      <w:r w:rsidRPr="00291B52">
        <w:rPr>
          <w:b/>
        </w:rPr>
        <w:t>.-201</w:t>
      </w:r>
      <w:r w:rsidR="00CB7609" w:rsidRPr="00291B52">
        <w:rPr>
          <w:b/>
        </w:rPr>
        <w:t>9</w:t>
      </w:r>
      <w:r w:rsidRPr="00291B52">
        <w:rPr>
          <w:b/>
        </w:rPr>
        <w:t>.gadā</w:t>
      </w:r>
    </w:p>
    <w:p w14:paraId="2F9D7BF5" w14:textId="77777777" w:rsidR="00C04045" w:rsidRPr="009171C9" w:rsidRDefault="00C04045" w:rsidP="00426BA2">
      <w:pPr>
        <w:tabs>
          <w:tab w:val="left" w:pos="720"/>
        </w:tabs>
        <w:jc w:val="both"/>
        <w:rPr>
          <w:b/>
          <w:sz w:val="40"/>
          <w:szCs w:val="40"/>
        </w:rPr>
      </w:pPr>
    </w:p>
    <w:tbl>
      <w:tblPr>
        <w:tblW w:w="14333" w:type="dxa"/>
        <w:tblInd w:w="113" w:type="dxa"/>
        <w:tblLook w:val="04A0" w:firstRow="1" w:lastRow="0" w:firstColumn="1" w:lastColumn="0" w:noHBand="0" w:noVBand="1"/>
      </w:tblPr>
      <w:tblGrid>
        <w:gridCol w:w="1144"/>
        <w:gridCol w:w="2500"/>
        <w:gridCol w:w="1338"/>
        <w:gridCol w:w="1123"/>
        <w:gridCol w:w="1183"/>
        <w:gridCol w:w="1338"/>
        <w:gridCol w:w="1123"/>
        <w:gridCol w:w="1183"/>
        <w:gridCol w:w="1338"/>
        <w:gridCol w:w="1123"/>
        <w:gridCol w:w="1183"/>
      </w:tblGrid>
      <w:tr w:rsidR="006D7E51" w14:paraId="691BF882" w14:textId="77777777" w:rsidTr="006D7E51">
        <w:trPr>
          <w:trHeight w:val="283"/>
        </w:trPr>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A92CF6" w14:textId="77777777" w:rsidR="006D7E51" w:rsidRDefault="006D7E51">
            <w:pPr>
              <w:jc w:val="center"/>
              <w:rPr>
                <w:sz w:val="20"/>
                <w:szCs w:val="20"/>
              </w:rPr>
            </w:pPr>
            <w:r>
              <w:rPr>
                <w:sz w:val="20"/>
                <w:szCs w:val="20"/>
              </w:rPr>
              <w:t> </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2EB3BB" w14:textId="77777777" w:rsidR="006D7E51" w:rsidRDefault="006D7E51">
            <w:pPr>
              <w:jc w:val="center"/>
              <w:rPr>
                <w:sz w:val="20"/>
                <w:szCs w:val="20"/>
              </w:rPr>
            </w:pPr>
            <w:r>
              <w:rPr>
                <w:sz w:val="20"/>
                <w:szCs w:val="20"/>
              </w:rPr>
              <w:t> </w:t>
            </w:r>
          </w:p>
        </w:tc>
        <w:tc>
          <w:tcPr>
            <w:tcW w:w="1295" w:type="dxa"/>
            <w:vMerge w:val="restart"/>
            <w:tcBorders>
              <w:top w:val="single" w:sz="4" w:space="0" w:color="auto"/>
              <w:left w:val="single" w:sz="4" w:space="0" w:color="auto"/>
              <w:bottom w:val="single" w:sz="4" w:space="0" w:color="000000"/>
              <w:right w:val="single" w:sz="4" w:space="0" w:color="auto"/>
            </w:tcBorders>
            <w:shd w:val="clear" w:color="000000" w:fill="EAF1DD"/>
            <w:vAlign w:val="center"/>
            <w:hideMark/>
          </w:tcPr>
          <w:p w14:paraId="5AB1E905" w14:textId="77777777" w:rsidR="006D7E51" w:rsidRDefault="006D7E51">
            <w:pPr>
              <w:jc w:val="center"/>
              <w:rPr>
                <w:color w:val="000000"/>
                <w:sz w:val="20"/>
                <w:szCs w:val="20"/>
              </w:rPr>
            </w:pPr>
            <w:r>
              <w:rPr>
                <w:color w:val="000000"/>
                <w:sz w:val="20"/>
                <w:szCs w:val="20"/>
              </w:rPr>
              <w:t>Pamatbudžeta bāze 2017. gadam</w:t>
            </w:r>
          </w:p>
        </w:tc>
        <w:tc>
          <w:tcPr>
            <w:tcW w:w="1123" w:type="dxa"/>
            <w:vMerge w:val="restart"/>
            <w:tcBorders>
              <w:top w:val="single" w:sz="4" w:space="0" w:color="auto"/>
              <w:left w:val="single" w:sz="4" w:space="0" w:color="auto"/>
              <w:bottom w:val="single" w:sz="4" w:space="0" w:color="000000"/>
              <w:right w:val="single" w:sz="4" w:space="0" w:color="auto"/>
            </w:tcBorders>
            <w:shd w:val="clear" w:color="000000" w:fill="EAF1DD"/>
            <w:vAlign w:val="center"/>
            <w:hideMark/>
          </w:tcPr>
          <w:p w14:paraId="764547B8" w14:textId="77777777" w:rsidR="006D7E51" w:rsidRDefault="006D7E51">
            <w:pPr>
              <w:jc w:val="center"/>
              <w:rPr>
                <w:color w:val="000000"/>
                <w:sz w:val="20"/>
                <w:szCs w:val="20"/>
              </w:rPr>
            </w:pPr>
            <w:r>
              <w:rPr>
                <w:color w:val="000000"/>
                <w:sz w:val="20"/>
                <w:szCs w:val="20"/>
              </w:rPr>
              <w:t>izmaiņas (+, -)</w:t>
            </w:r>
          </w:p>
        </w:tc>
        <w:tc>
          <w:tcPr>
            <w:tcW w:w="1145" w:type="dxa"/>
            <w:vMerge w:val="restart"/>
            <w:tcBorders>
              <w:top w:val="single" w:sz="4" w:space="0" w:color="auto"/>
              <w:left w:val="single" w:sz="4" w:space="0" w:color="auto"/>
              <w:bottom w:val="single" w:sz="4" w:space="0" w:color="000000"/>
              <w:right w:val="single" w:sz="4" w:space="0" w:color="auto"/>
            </w:tcBorders>
            <w:shd w:val="clear" w:color="000000" w:fill="EAF1DD"/>
            <w:vAlign w:val="center"/>
            <w:hideMark/>
          </w:tcPr>
          <w:p w14:paraId="5ADD550E" w14:textId="77777777" w:rsidR="006D7E51" w:rsidRDefault="006D7E51">
            <w:pPr>
              <w:jc w:val="center"/>
              <w:rPr>
                <w:color w:val="000000"/>
                <w:sz w:val="20"/>
                <w:szCs w:val="20"/>
              </w:rPr>
            </w:pPr>
            <w:r>
              <w:rPr>
                <w:color w:val="000000"/>
                <w:sz w:val="20"/>
                <w:szCs w:val="20"/>
              </w:rPr>
              <w:t xml:space="preserve">Pprecizētais 2017.gada plāns </w:t>
            </w:r>
          </w:p>
        </w:tc>
        <w:tc>
          <w:tcPr>
            <w:tcW w:w="1295" w:type="dxa"/>
            <w:vMerge w:val="restart"/>
            <w:tcBorders>
              <w:top w:val="single" w:sz="4" w:space="0" w:color="auto"/>
              <w:left w:val="single" w:sz="4" w:space="0" w:color="auto"/>
              <w:bottom w:val="single" w:sz="4" w:space="0" w:color="000000"/>
              <w:right w:val="single" w:sz="4" w:space="0" w:color="auto"/>
            </w:tcBorders>
            <w:shd w:val="clear" w:color="000000" w:fill="E5E0EC"/>
            <w:vAlign w:val="center"/>
            <w:hideMark/>
          </w:tcPr>
          <w:p w14:paraId="7814D39F" w14:textId="77777777" w:rsidR="006D7E51" w:rsidRDefault="006D7E51">
            <w:pPr>
              <w:jc w:val="center"/>
              <w:rPr>
                <w:color w:val="000000"/>
                <w:sz w:val="20"/>
                <w:szCs w:val="20"/>
              </w:rPr>
            </w:pPr>
            <w:r>
              <w:rPr>
                <w:color w:val="000000"/>
                <w:sz w:val="20"/>
                <w:szCs w:val="20"/>
              </w:rPr>
              <w:t>Pamatbudžeta bāze 2018. gadam</w:t>
            </w:r>
          </w:p>
        </w:tc>
        <w:tc>
          <w:tcPr>
            <w:tcW w:w="1123" w:type="dxa"/>
            <w:vMerge w:val="restart"/>
            <w:tcBorders>
              <w:top w:val="single" w:sz="4" w:space="0" w:color="auto"/>
              <w:left w:val="single" w:sz="4" w:space="0" w:color="auto"/>
              <w:bottom w:val="single" w:sz="4" w:space="0" w:color="000000"/>
              <w:right w:val="single" w:sz="4" w:space="0" w:color="auto"/>
            </w:tcBorders>
            <w:shd w:val="clear" w:color="000000" w:fill="E5E0EC"/>
            <w:vAlign w:val="center"/>
            <w:hideMark/>
          </w:tcPr>
          <w:p w14:paraId="52077D49" w14:textId="77777777" w:rsidR="006D7E51" w:rsidRDefault="006D7E51">
            <w:pPr>
              <w:jc w:val="center"/>
              <w:rPr>
                <w:color w:val="000000"/>
                <w:sz w:val="20"/>
                <w:szCs w:val="20"/>
              </w:rPr>
            </w:pPr>
            <w:r>
              <w:rPr>
                <w:color w:val="000000"/>
                <w:sz w:val="20"/>
                <w:szCs w:val="20"/>
              </w:rPr>
              <w:t>izmaiņas (+, -)</w:t>
            </w:r>
          </w:p>
        </w:tc>
        <w:tc>
          <w:tcPr>
            <w:tcW w:w="1145" w:type="dxa"/>
            <w:vMerge w:val="restart"/>
            <w:tcBorders>
              <w:top w:val="single" w:sz="4" w:space="0" w:color="auto"/>
              <w:left w:val="single" w:sz="4" w:space="0" w:color="auto"/>
              <w:bottom w:val="single" w:sz="4" w:space="0" w:color="000000"/>
              <w:right w:val="single" w:sz="4" w:space="0" w:color="auto"/>
            </w:tcBorders>
            <w:shd w:val="clear" w:color="000000" w:fill="E5E0EC"/>
            <w:vAlign w:val="center"/>
            <w:hideMark/>
          </w:tcPr>
          <w:p w14:paraId="045E438C" w14:textId="77777777" w:rsidR="006D7E51" w:rsidRDefault="006D7E51">
            <w:pPr>
              <w:jc w:val="center"/>
              <w:rPr>
                <w:color w:val="000000"/>
                <w:sz w:val="20"/>
                <w:szCs w:val="20"/>
              </w:rPr>
            </w:pPr>
            <w:r>
              <w:rPr>
                <w:color w:val="000000"/>
                <w:sz w:val="20"/>
                <w:szCs w:val="20"/>
              </w:rPr>
              <w:t xml:space="preserve">Pprecizētais 2018.gada plāns </w:t>
            </w:r>
          </w:p>
        </w:tc>
        <w:tc>
          <w:tcPr>
            <w:tcW w:w="1295"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14:paraId="2F520629" w14:textId="77777777" w:rsidR="006D7E51" w:rsidRDefault="006D7E51">
            <w:pPr>
              <w:jc w:val="center"/>
              <w:rPr>
                <w:color w:val="000000"/>
                <w:sz w:val="20"/>
                <w:szCs w:val="20"/>
              </w:rPr>
            </w:pPr>
            <w:r>
              <w:rPr>
                <w:color w:val="000000"/>
                <w:sz w:val="20"/>
                <w:szCs w:val="20"/>
              </w:rPr>
              <w:t>Pamatbudžeta bāze 2019. gadam</w:t>
            </w:r>
          </w:p>
        </w:tc>
        <w:tc>
          <w:tcPr>
            <w:tcW w:w="1123"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14:paraId="78C3247D" w14:textId="77777777" w:rsidR="006D7E51" w:rsidRDefault="006D7E51">
            <w:pPr>
              <w:jc w:val="center"/>
              <w:rPr>
                <w:color w:val="000000"/>
                <w:sz w:val="20"/>
                <w:szCs w:val="20"/>
              </w:rPr>
            </w:pPr>
            <w:r>
              <w:rPr>
                <w:color w:val="000000"/>
                <w:sz w:val="20"/>
                <w:szCs w:val="20"/>
              </w:rPr>
              <w:t>izmaiņas (+, -)</w:t>
            </w:r>
          </w:p>
        </w:tc>
        <w:tc>
          <w:tcPr>
            <w:tcW w:w="1145"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14:paraId="715BC831" w14:textId="77777777" w:rsidR="006D7E51" w:rsidRDefault="006D7E51">
            <w:pPr>
              <w:jc w:val="center"/>
              <w:rPr>
                <w:color w:val="000000"/>
                <w:sz w:val="20"/>
                <w:szCs w:val="20"/>
              </w:rPr>
            </w:pPr>
            <w:r>
              <w:rPr>
                <w:color w:val="000000"/>
                <w:sz w:val="20"/>
                <w:szCs w:val="20"/>
              </w:rPr>
              <w:t xml:space="preserve">Pprecizētais 2019.gada plāns </w:t>
            </w:r>
          </w:p>
        </w:tc>
      </w:tr>
      <w:tr w:rsidR="006D7E51" w14:paraId="005A9B16" w14:textId="77777777" w:rsidTr="006D7E51">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14:paraId="7119850A" w14:textId="77777777" w:rsidR="006D7E51" w:rsidRDefault="006D7E51">
            <w:pPr>
              <w:rPr>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hideMark/>
          </w:tcPr>
          <w:p w14:paraId="7B11CD76" w14:textId="77777777" w:rsidR="006D7E51" w:rsidRDefault="006D7E51">
            <w:pPr>
              <w:rPr>
                <w:sz w:val="20"/>
                <w:szCs w:val="20"/>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14:paraId="75041961" w14:textId="77777777" w:rsidR="006D7E51" w:rsidRDefault="006D7E51">
            <w:pPr>
              <w:rPr>
                <w:color w:val="000000"/>
                <w:sz w:val="20"/>
                <w:szCs w:val="2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394EA5A2" w14:textId="77777777" w:rsidR="006D7E51" w:rsidRDefault="006D7E51">
            <w:pPr>
              <w:rPr>
                <w:color w:val="000000"/>
                <w:sz w:val="20"/>
                <w:szCs w:val="20"/>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19351A63" w14:textId="77777777" w:rsidR="006D7E51" w:rsidRDefault="006D7E51">
            <w:pPr>
              <w:rPr>
                <w:color w:val="000000"/>
                <w:sz w:val="20"/>
                <w:szCs w:val="20"/>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14:paraId="2541F5F9" w14:textId="77777777" w:rsidR="006D7E51" w:rsidRDefault="006D7E51">
            <w:pPr>
              <w:rPr>
                <w:color w:val="000000"/>
                <w:sz w:val="20"/>
                <w:szCs w:val="2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6E861929" w14:textId="77777777" w:rsidR="006D7E51" w:rsidRDefault="006D7E51">
            <w:pPr>
              <w:rPr>
                <w:color w:val="000000"/>
                <w:sz w:val="20"/>
                <w:szCs w:val="20"/>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29803394" w14:textId="77777777" w:rsidR="006D7E51" w:rsidRDefault="006D7E51">
            <w:pPr>
              <w:rPr>
                <w:color w:val="000000"/>
                <w:sz w:val="20"/>
                <w:szCs w:val="20"/>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14:paraId="36478E02" w14:textId="77777777" w:rsidR="006D7E51" w:rsidRDefault="006D7E51">
            <w:pPr>
              <w:rPr>
                <w:color w:val="000000"/>
                <w:sz w:val="20"/>
                <w:szCs w:val="2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721FA303" w14:textId="77777777" w:rsidR="006D7E51" w:rsidRDefault="006D7E51">
            <w:pPr>
              <w:rPr>
                <w:color w:val="000000"/>
                <w:sz w:val="20"/>
                <w:szCs w:val="20"/>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42BDA473" w14:textId="77777777" w:rsidR="006D7E51" w:rsidRDefault="006D7E51">
            <w:pPr>
              <w:rPr>
                <w:color w:val="000000"/>
                <w:sz w:val="20"/>
                <w:szCs w:val="20"/>
              </w:rPr>
            </w:pPr>
          </w:p>
        </w:tc>
      </w:tr>
      <w:tr w:rsidR="006D7E51" w14:paraId="3738DC12" w14:textId="77777777" w:rsidTr="006D7E51">
        <w:trPr>
          <w:trHeight w:val="1268"/>
        </w:trPr>
        <w:tc>
          <w:tcPr>
            <w:tcW w:w="1144" w:type="dxa"/>
            <w:vMerge/>
            <w:tcBorders>
              <w:top w:val="single" w:sz="4" w:space="0" w:color="auto"/>
              <w:left w:val="single" w:sz="4" w:space="0" w:color="auto"/>
              <w:bottom w:val="single" w:sz="4" w:space="0" w:color="auto"/>
              <w:right w:val="single" w:sz="4" w:space="0" w:color="auto"/>
            </w:tcBorders>
            <w:vAlign w:val="center"/>
            <w:hideMark/>
          </w:tcPr>
          <w:p w14:paraId="2EFC3D29" w14:textId="77777777" w:rsidR="006D7E51" w:rsidRDefault="006D7E51">
            <w:pPr>
              <w:rPr>
                <w:sz w:val="20"/>
                <w:szCs w:val="20"/>
              </w:rPr>
            </w:pPr>
          </w:p>
        </w:tc>
        <w:tc>
          <w:tcPr>
            <w:tcW w:w="2499" w:type="dxa"/>
            <w:vMerge/>
            <w:tcBorders>
              <w:top w:val="single" w:sz="4" w:space="0" w:color="auto"/>
              <w:left w:val="single" w:sz="4" w:space="0" w:color="auto"/>
              <w:bottom w:val="single" w:sz="4" w:space="0" w:color="auto"/>
              <w:right w:val="single" w:sz="4" w:space="0" w:color="auto"/>
            </w:tcBorders>
            <w:vAlign w:val="center"/>
            <w:hideMark/>
          </w:tcPr>
          <w:p w14:paraId="1DC32125" w14:textId="77777777" w:rsidR="006D7E51" w:rsidRDefault="006D7E51">
            <w:pPr>
              <w:rPr>
                <w:sz w:val="20"/>
                <w:szCs w:val="20"/>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14:paraId="61DB42BC" w14:textId="77777777" w:rsidR="006D7E51" w:rsidRDefault="006D7E51">
            <w:pPr>
              <w:rPr>
                <w:color w:val="000000"/>
                <w:sz w:val="20"/>
                <w:szCs w:val="2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339C0C46" w14:textId="77777777" w:rsidR="006D7E51" w:rsidRDefault="006D7E51">
            <w:pPr>
              <w:rPr>
                <w:color w:val="000000"/>
                <w:sz w:val="20"/>
                <w:szCs w:val="20"/>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048FBB71" w14:textId="77777777" w:rsidR="006D7E51" w:rsidRDefault="006D7E51">
            <w:pPr>
              <w:rPr>
                <w:color w:val="000000"/>
                <w:sz w:val="20"/>
                <w:szCs w:val="20"/>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14:paraId="191681A5" w14:textId="77777777" w:rsidR="006D7E51" w:rsidRDefault="006D7E51">
            <w:pPr>
              <w:rPr>
                <w:color w:val="000000"/>
                <w:sz w:val="20"/>
                <w:szCs w:val="2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0F785523" w14:textId="77777777" w:rsidR="006D7E51" w:rsidRDefault="006D7E51">
            <w:pPr>
              <w:rPr>
                <w:color w:val="000000"/>
                <w:sz w:val="20"/>
                <w:szCs w:val="20"/>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1666CA0D" w14:textId="77777777" w:rsidR="006D7E51" w:rsidRDefault="006D7E51">
            <w:pPr>
              <w:rPr>
                <w:color w:val="000000"/>
                <w:sz w:val="20"/>
                <w:szCs w:val="20"/>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14:paraId="00622041" w14:textId="77777777" w:rsidR="006D7E51" w:rsidRDefault="006D7E51">
            <w:pPr>
              <w:rPr>
                <w:color w:val="000000"/>
                <w:sz w:val="20"/>
                <w:szCs w:val="2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4F7C14AF" w14:textId="77777777" w:rsidR="006D7E51" w:rsidRDefault="006D7E51">
            <w:pPr>
              <w:rPr>
                <w:color w:val="000000"/>
                <w:sz w:val="20"/>
                <w:szCs w:val="20"/>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66326AD2" w14:textId="77777777" w:rsidR="006D7E51" w:rsidRDefault="006D7E51">
            <w:pPr>
              <w:rPr>
                <w:color w:val="000000"/>
                <w:sz w:val="20"/>
                <w:szCs w:val="20"/>
              </w:rPr>
            </w:pPr>
          </w:p>
        </w:tc>
      </w:tr>
      <w:tr w:rsidR="006D7E51" w14:paraId="0A4F4809" w14:textId="77777777" w:rsidTr="006D7E51">
        <w:trPr>
          <w:trHeight w:val="240"/>
        </w:trPr>
        <w:tc>
          <w:tcPr>
            <w:tcW w:w="1144" w:type="dxa"/>
            <w:tcBorders>
              <w:top w:val="nil"/>
              <w:left w:val="single" w:sz="4" w:space="0" w:color="auto"/>
              <w:bottom w:val="nil"/>
              <w:right w:val="single" w:sz="4" w:space="0" w:color="auto"/>
            </w:tcBorders>
            <w:shd w:val="clear" w:color="auto" w:fill="auto"/>
            <w:noWrap/>
            <w:vAlign w:val="center"/>
            <w:hideMark/>
          </w:tcPr>
          <w:p w14:paraId="1B5F79F4" w14:textId="77777777" w:rsidR="006D7E51" w:rsidRDefault="006D7E51">
            <w:pPr>
              <w:jc w:val="center"/>
              <w:rPr>
                <w:color w:val="000000"/>
                <w:sz w:val="20"/>
                <w:szCs w:val="20"/>
              </w:rPr>
            </w:pPr>
            <w:r>
              <w:rPr>
                <w:color w:val="000000"/>
                <w:sz w:val="20"/>
                <w:szCs w:val="20"/>
              </w:rPr>
              <w:t>1</w:t>
            </w:r>
          </w:p>
        </w:tc>
        <w:tc>
          <w:tcPr>
            <w:tcW w:w="2499" w:type="dxa"/>
            <w:tcBorders>
              <w:top w:val="nil"/>
              <w:left w:val="nil"/>
              <w:bottom w:val="nil"/>
              <w:right w:val="single" w:sz="4" w:space="0" w:color="auto"/>
            </w:tcBorders>
            <w:shd w:val="clear" w:color="auto" w:fill="auto"/>
            <w:vAlign w:val="center"/>
            <w:hideMark/>
          </w:tcPr>
          <w:p w14:paraId="38D65032" w14:textId="77777777" w:rsidR="006D7E51" w:rsidRDefault="006D7E51">
            <w:pPr>
              <w:jc w:val="center"/>
              <w:rPr>
                <w:color w:val="000000"/>
                <w:sz w:val="20"/>
                <w:szCs w:val="20"/>
              </w:rPr>
            </w:pPr>
            <w:r>
              <w:rPr>
                <w:color w:val="000000"/>
                <w:sz w:val="20"/>
                <w:szCs w:val="20"/>
              </w:rPr>
              <w:t>2</w:t>
            </w:r>
          </w:p>
        </w:tc>
        <w:tc>
          <w:tcPr>
            <w:tcW w:w="1295" w:type="dxa"/>
            <w:tcBorders>
              <w:top w:val="nil"/>
              <w:left w:val="nil"/>
              <w:bottom w:val="nil"/>
              <w:right w:val="single" w:sz="4" w:space="0" w:color="auto"/>
            </w:tcBorders>
            <w:shd w:val="clear" w:color="auto" w:fill="auto"/>
            <w:noWrap/>
            <w:vAlign w:val="center"/>
            <w:hideMark/>
          </w:tcPr>
          <w:p w14:paraId="10CF5DBE" w14:textId="77777777" w:rsidR="006D7E51" w:rsidRDefault="006D7E51">
            <w:pPr>
              <w:jc w:val="center"/>
              <w:rPr>
                <w:color w:val="000000"/>
                <w:sz w:val="20"/>
                <w:szCs w:val="20"/>
              </w:rPr>
            </w:pPr>
            <w:r>
              <w:rPr>
                <w:color w:val="000000"/>
                <w:sz w:val="20"/>
                <w:szCs w:val="20"/>
              </w:rPr>
              <w:t>3</w:t>
            </w:r>
          </w:p>
        </w:tc>
        <w:tc>
          <w:tcPr>
            <w:tcW w:w="1123" w:type="dxa"/>
            <w:tcBorders>
              <w:top w:val="nil"/>
              <w:left w:val="nil"/>
              <w:bottom w:val="nil"/>
              <w:right w:val="single" w:sz="4" w:space="0" w:color="auto"/>
            </w:tcBorders>
            <w:shd w:val="clear" w:color="auto" w:fill="auto"/>
            <w:noWrap/>
            <w:vAlign w:val="center"/>
            <w:hideMark/>
          </w:tcPr>
          <w:p w14:paraId="7E4BF1C0" w14:textId="77777777" w:rsidR="006D7E51" w:rsidRDefault="006D7E51">
            <w:pPr>
              <w:jc w:val="center"/>
              <w:rPr>
                <w:color w:val="000000"/>
                <w:sz w:val="20"/>
                <w:szCs w:val="20"/>
              </w:rPr>
            </w:pPr>
            <w:r>
              <w:rPr>
                <w:color w:val="000000"/>
                <w:sz w:val="20"/>
                <w:szCs w:val="20"/>
              </w:rPr>
              <w:t>4</w:t>
            </w:r>
          </w:p>
        </w:tc>
        <w:tc>
          <w:tcPr>
            <w:tcW w:w="1145" w:type="dxa"/>
            <w:tcBorders>
              <w:top w:val="nil"/>
              <w:left w:val="nil"/>
              <w:bottom w:val="nil"/>
              <w:right w:val="single" w:sz="4" w:space="0" w:color="auto"/>
            </w:tcBorders>
            <w:shd w:val="clear" w:color="auto" w:fill="auto"/>
            <w:noWrap/>
            <w:vAlign w:val="center"/>
            <w:hideMark/>
          </w:tcPr>
          <w:p w14:paraId="428647A3" w14:textId="77777777" w:rsidR="006D7E51" w:rsidRDefault="006D7E51">
            <w:pPr>
              <w:jc w:val="center"/>
              <w:rPr>
                <w:color w:val="000000"/>
                <w:sz w:val="20"/>
                <w:szCs w:val="20"/>
              </w:rPr>
            </w:pPr>
            <w:r>
              <w:rPr>
                <w:color w:val="000000"/>
                <w:sz w:val="20"/>
                <w:szCs w:val="20"/>
              </w:rPr>
              <w:t>5</w:t>
            </w:r>
          </w:p>
        </w:tc>
        <w:tc>
          <w:tcPr>
            <w:tcW w:w="1295" w:type="dxa"/>
            <w:tcBorders>
              <w:top w:val="nil"/>
              <w:left w:val="nil"/>
              <w:bottom w:val="nil"/>
              <w:right w:val="single" w:sz="4" w:space="0" w:color="auto"/>
            </w:tcBorders>
            <w:shd w:val="clear" w:color="auto" w:fill="auto"/>
            <w:noWrap/>
            <w:vAlign w:val="center"/>
            <w:hideMark/>
          </w:tcPr>
          <w:p w14:paraId="34771FD7" w14:textId="77777777" w:rsidR="006D7E51" w:rsidRDefault="006D7E51">
            <w:pPr>
              <w:jc w:val="center"/>
              <w:rPr>
                <w:color w:val="000000"/>
                <w:sz w:val="20"/>
                <w:szCs w:val="20"/>
              </w:rPr>
            </w:pPr>
            <w:r>
              <w:rPr>
                <w:color w:val="000000"/>
                <w:sz w:val="20"/>
                <w:szCs w:val="20"/>
              </w:rPr>
              <w:t>6</w:t>
            </w:r>
          </w:p>
        </w:tc>
        <w:tc>
          <w:tcPr>
            <w:tcW w:w="1123" w:type="dxa"/>
            <w:tcBorders>
              <w:top w:val="nil"/>
              <w:left w:val="nil"/>
              <w:bottom w:val="nil"/>
              <w:right w:val="single" w:sz="4" w:space="0" w:color="auto"/>
            </w:tcBorders>
            <w:shd w:val="clear" w:color="auto" w:fill="auto"/>
            <w:noWrap/>
            <w:vAlign w:val="center"/>
            <w:hideMark/>
          </w:tcPr>
          <w:p w14:paraId="590D5CF6" w14:textId="77777777" w:rsidR="006D7E51" w:rsidRDefault="006D7E51">
            <w:pPr>
              <w:jc w:val="center"/>
              <w:rPr>
                <w:color w:val="000000"/>
                <w:sz w:val="20"/>
                <w:szCs w:val="20"/>
              </w:rPr>
            </w:pPr>
            <w:r>
              <w:rPr>
                <w:color w:val="000000"/>
                <w:sz w:val="20"/>
                <w:szCs w:val="20"/>
              </w:rPr>
              <w:t>7</w:t>
            </w:r>
          </w:p>
        </w:tc>
        <w:tc>
          <w:tcPr>
            <w:tcW w:w="1145" w:type="dxa"/>
            <w:tcBorders>
              <w:top w:val="nil"/>
              <w:left w:val="nil"/>
              <w:bottom w:val="nil"/>
              <w:right w:val="single" w:sz="4" w:space="0" w:color="auto"/>
            </w:tcBorders>
            <w:shd w:val="clear" w:color="auto" w:fill="auto"/>
            <w:noWrap/>
            <w:vAlign w:val="center"/>
            <w:hideMark/>
          </w:tcPr>
          <w:p w14:paraId="70B42BBF" w14:textId="77777777" w:rsidR="006D7E51" w:rsidRDefault="006D7E51">
            <w:pPr>
              <w:jc w:val="center"/>
              <w:rPr>
                <w:color w:val="000000"/>
                <w:sz w:val="20"/>
                <w:szCs w:val="20"/>
              </w:rPr>
            </w:pPr>
            <w:r>
              <w:rPr>
                <w:color w:val="000000"/>
                <w:sz w:val="20"/>
                <w:szCs w:val="20"/>
              </w:rPr>
              <w:t>8</w:t>
            </w:r>
          </w:p>
        </w:tc>
        <w:tc>
          <w:tcPr>
            <w:tcW w:w="1295" w:type="dxa"/>
            <w:tcBorders>
              <w:top w:val="nil"/>
              <w:left w:val="nil"/>
              <w:bottom w:val="nil"/>
              <w:right w:val="single" w:sz="4" w:space="0" w:color="auto"/>
            </w:tcBorders>
            <w:shd w:val="clear" w:color="auto" w:fill="auto"/>
            <w:noWrap/>
            <w:vAlign w:val="center"/>
            <w:hideMark/>
          </w:tcPr>
          <w:p w14:paraId="4AFF2B2F" w14:textId="77777777" w:rsidR="006D7E51" w:rsidRDefault="006D7E51">
            <w:pPr>
              <w:jc w:val="center"/>
              <w:rPr>
                <w:color w:val="000000"/>
                <w:sz w:val="20"/>
                <w:szCs w:val="20"/>
              </w:rPr>
            </w:pPr>
            <w:r>
              <w:rPr>
                <w:color w:val="000000"/>
                <w:sz w:val="20"/>
                <w:szCs w:val="20"/>
              </w:rPr>
              <w:t>9</w:t>
            </w:r>
          </w:p>
        </w:tc>
        <w:tc>
          <w:tcPr>
            <w:tcW w:w="1123" w:type="dxa"/>
            <w:tcBorders>
              <w:top w:val="nil"/>
              <w:left w:val="nil"/>
              <w:bottom w:val="nil"/>
              <w:right w:val="single" w:sz="4" w:space="0" w:color="auto"/>
            </w:tcBorders>
            <w:shd w:val="clear" w:color="auto" w:fill="auto"/>
            <w:noWrap/>
            <w:vAlign w:val="center"/>
            <w:hideMark/>
          </w:tcPr>
          <w:p w14:paraId="3A287A06" w14:textId="77777777" w:rsidR="006D7E51" w:rsidRDefault="006D7E51">
            <w:pPr>
              <w:jc w:val="center"/>
              <w:rPr>
                <w:color w:val="000000"/>
                <w:sz w:val="20"/>
                <w:szCs w:val="20"/>
              </w:rPr>
            </w:pPr>
            <w:r>
              <w:rPr>
                <w:color w:val="000000"/>
                <w:sz w:val="20"/>
                <w:szCs w:val="20"/>
              </w:rPr>
              <w:t>10</w:t>
            </w:r>
          </w:p>
        </w:tc>
        <w:tc>
          <w:tcPr>
            <w:tcW w:w="1145" w:type="dxa"/>
            <w:tcBorders>
              <w:top w:val="nil"/>
              <w:left w:val="nil"/>
              <w:bottom w:val="nil"/>
              <w:right w:val="single" w:sz="4" w:space="0" w:color="auto"/>
            </w:tcBorders>
            <w:shd w:val="clear" w:color="auto" w:fill="auto"/>
            <w:noWrap/>
            <w:vAlign w:val="center"/>
            <w:hideMark/>
          </w:tcPr>
          <w:p w14:paraId="3DDE0AC0" w14:textId="77777777" w:rsidR="006D7E51" w:rsidRDefault="006D7E51">
            <w:pPr>
              <w:jc w:val="center"/>
              <w:rPr>
                <w:color w:val="000000"/>
                <w:sz w:val="20"/>
                <w:szCs w:val="20"/>
              </w:rPr>
            </w:pPr>
            <w:r>
              <w:rPr>
                <w:color w:val="000000"/>
                <w:sz w:val="20"/>
                <w:szCs w:val="20"/>
              </w:rPr>
              <w:t>11</w:t>
            </w:r>
          </w:p>
        </w:tc>
      </w:tr>
      <w:tr w:rsidR="006D7E51" w14:paraId="22EC3323" w14:textId="77777777" w:rsidTr="006D7E51">
        <w:trPr>
          <w:trHeight w:val="240"/>
        </w:trPr>
        <w:tc>
          <w:tcPr>
            <w:tcW w:w="1144" w:type="dxa"/>
            <w:tcBorders>
              <w:top w:val="single" w:sz="4" w:space="0" w:color="BFBFBF"/>
              <w:left w:val="single" w:sz="4" w:space="0" w:color="auto"/>
              <w:bottom w:val="single" w:sz="4" w:space="0" w:color="BFBFBF"/>
              <w:right w:val="single" w:sz="4" w:space="0" w:color="auto"/>
            </w:tcBorders>
            <w:shd w:val="clear" w:color="000000" w:fill="FFFF00"/>
            <w:noWrap/>
            <w:vAlign w:val="bottom"/>
            <w:hideMark/>
          </w:tcPr>
          <w:p w14:paraId="1E8B4468" w14:textId="77777777" w:rsidR="006D7E51" w:rsidRDefault="006D7E51">
            <w:pPr>
              <w:rPr>
                <w:b/>
                <w:bCs/>
                <w:sz w:val="20"/>
                <w:szCs w:val="20"/>
              </w:rPr>
            </w:pPr>
            <w:r>
              <w:rPr>
                <w:b/>
                <w:bCs/>
                <w:sz w:val="20"/>
                <w:szCs w:val="20"/>
              </w:rPr>
              <w:t>06.03.00</w:t>
            </w:r>
          </w:p>
        </w:tc>
        <w:tc>
          <w:tcPr>
            <w:tcW w:w="2499" w:type="dxa"/>
            <w:tcBorders>
              <w:top w:val="single" w:sz="4" w:space="0" w:color="BFBFBF"/>
              <w:left w:val="nil"/>
              <w:bottom w:val="single" w:sz="4" w:space="0" w:color="BFBFBF"/>
              <w:right w:val="single" w:sz="4" w:space="0" w:color="auto"/>
            </w:tcBorders>
            <w:shd w:val="clear" w:color="000000" w:fill="FFFF00"/>
            <w:vAlign w:val="bottom"/>
            <w:hideMark/>
          </w:tcPr>
          <w:p w14:paraId="5FCC1A07" w14:textId="77777777" w:rsidR="006D7E51" w:rsidRDefault="006D7E51">
            <w:pPr>
              <w:rPr>
                <w:b/>
                <w:bCs/>
                <w:sz w:val="20"/>
                <w:szCs w:val="20"/>
              </w:rPr>
            </w:pPr>
            <w:r>
              <w:rPr>
                <w:b/>
                <w:bCs/>
                <w:sz w:val="20"/>
                <w:szCs w:val="20"/>
              </w:rPr>
              <w:t>Maksātnespējas procesa pārvaldība</w:t>
            </w:r>
          </w:p>
        </w:tc>
        <w:tc>
          <w:tcPr>
            <w:tcW w:w="1295" w:type="dxa"/>
            <w:tcBorders>
              <w:top w:val="single" w:sz="4" w:space="0" w:color="BFBFBF"/>
              <w:left w:val="nil"/>
              <w:bottom w:val="single" w:sz="4" w:space="0" w:color="BFBFBF"/>
              <w:right w:val="single" w:sz="4" w:space="0" w:color="auto"/>
            </w:tcBorders>
            <w:shd w:val="clear" w:color="000000" w:fill="FFFF00"/>
            <w:noWrap/>
            <w:vAlign w:val="bottom"/>
            <w:hideMark/>
          </w:tcPr>
          <w:p w14:paraId="340F6CFD" w14:textId="77777777" w:rsidR="006D7E51" w:rsidRDefault="006D7E51">
            <w:pPr>
              <w:rPr>
                <w:sz w:val="20"/>
                <w:szCs w:val="20"/>
              </w:rPr>
            </w:pPr>
            <w:r>
              <w:rPr>
                <w:sz w:val="20"/>
                <w:szCs w:val="20"/>
              </w:rPr>
              <w:t> </w:t>
            </w:r>
          </w:p>
        </w:tc>
        <w:tc>
          <w:tcPr>
            <w:tcW w:w="1123" w:type="dxa"/>
            <w:tcBorders>
              <w:top w:val="single" w:sz="4" w:space="0" w:color="BFBFBF"/>
              <w:left w:val="nil"/>
              <w:bottom w:val="single" w:sz="4" w:space="0" w:color="BFBFBF"/>
              <w:right w:val="single" w:sz="4" w:space="0" w:color="auto"/>
            </w:tcBorders>
            <w:shd w:val="clear" w:color="000000" w:fill="FFFF00"/>
            <w:noWrap/>
            <w:vAlign w:val="bottom"/>
            <w:hideMark/>
          </w:tcPr>
          <w:p w14:paraId="4ED4F5B5" w14:textId="77777777" w:rsidR="006D7E51" w:rsidRDefault="006D7E51">
            <w:pPr>
              <w:rPr>
                <w:sz w:val="20"/>
                <w:szCs w:val="20"/>
              </w:rPr>
            </w:pPr>
            <w:r>
              <w:rPr>
                <w:sz w:val="20"/>
                <w:szCs w:val="20"/>
              </w:rPr>
              <w:t> </w:t>
            </w:r>
          </w:p>
        </w:tc>
        <w:tc>
          <w:tcPr>
            <w:tcW w:w="1145" w:type="dxa"/>
            <w:tcBorders>
              <w:top w:val="single" w:sz="4" w:space="0" w:color="BFBFBF"/>
              <w:left w:val="nil"/>
              <w:bottom w:val="single" w:sz="4" w:space="0" w:color="BFBFBF"/>
              <w:right w:val="single" w:sz="4" w:space="0" w:color="auto"/>
            </w:tcBorders>
            <w:shd w:val="clear" w:color="000000" w:fill="FFFF00"/>
            <w:noWrap/>
            <w:vAlign w:val="bottom"/>
            <w:hideMark/>
          </w:tcPr>
          <w:p w14:paraId="5AE30BC0" w14:textId="77777777" w:rsidR="006D7E51" w:rsidRDefault="006D7E51">
            <w:pPr>
              <w:rPr>
                <w:sz w:val="20"/>
                <w:szCs w:val="20"/>
              </w:rPr>
            </w:pPr>
            <w:r>
              <w:rPr>
                <w:sz w:val="20"/>
                <w:szCs w:val="20"/>
              </w:rPr>
              <w:t> </w:t>
            </w:r>
          </w:p>
        </w:tc>
        <w:tc>
          <w:tcPr>
            <w:tcW w:w="1295" w:type="dxa"/>
            <w:tcBorders>
              <w:top w:val="single" w:sz="4" w:space="0" w:color="BFBFBF"/>
              <w:left w:val="nil"/>
              <w:bottom w:val="single" w:sz="4" w:space="0" w:color="BFBFBF"/>
              <w:right w:val="single" w:sz="4" w:space="0" w:color="auto"/>
            </w:tcBorders>
            <w:shd w:val="clear" w:color="000000" w:fill="FFFF00"/>
            <w:noWrap/>
            <w:vAlign w:val="bottom"/>
            <w:hideMark/>
          </w:tcPr>
          <w:p w14:paraId="5346AD46" w14:textId="77777777" w:rsidR="006D7E51" w:rsidRDefault="006D7E51">
            <w:pPr>
              <w:rPr>
                <w:sz w:val="20"/>
                <w:szCs w:val="20"/>
              </w:rPr>
            </w:pPr>
            <w:r>
              <w:rPr>
                <w:sz w:val="20"/>
                <w:szCs w:val="20"/>
              </w:rPr>
              <w:t> </w:t>
            </w:r>
          </w:p>
        </w:tc>
        <w:tc>
          <w:tcPr>
            <w:tcW w:w="1123" w:type="dxa"/>
            <w:tcBorders>
              <w:top w:val="single" w:sz="4" w:space="0" w:color="BFBFBF"/>
              <w:left w:val="nil"/>
              <w:bottom w:val="single" w:sz="4" w:space="0" w:color="BFBFBF"/>
              <w:right w:val="single" w:sz="4" w:space="0" w:color="auto"/>
            </w:tcBorders>
            <w:shd w:val="clear" w:color="000000" w:fill="FFFF00"/>
            <w:noWrap/>
            <w:vAlign w:val="bottom"/>
            <w:hideMark/>
          </w:tcPr>
          <w:p w14:paraId="59723F2E" w14:textId="77777777" w:rsidR="006D7E51" w:rsidRDefault="006D7E51">
            <w:pPr>
              <w:rPr>
                <w:sz w:val="20"/>
                <w:szCs w:val="20"/>
              </w:rPr>
            </w:pPr>
            <w:r>
              <w:rPr>
                <w:sz w:val="20"/>
                <w:szCs w:val="20"/>
              </w:rPr>
              <w:t> </w:t>
            </w:r>
          </w:p>
        </w:tc>
        <w:tc>
          <w:tcPr>
            <w:tcW w:w="1145" w:type="dxa"/>
            <w:tcBorders>
              <w:top w:val="single" w:sz="4" w:space="0" w:color="BFBFBF"/>
              <w:left w:val="nil"/>
              <w:bottom w:val="single" w:sz="4" w:space="0" w:color="BFBFBF"/>
              <w:right w:val="single" w:sz="4" w:space="0" w:color="auto"/>
            </w:tcBorders>
            <w:shd w:val="clear" w:color="000000" w:fill="FFFF00"/>
            <w:noWrap/>
            <w:vAlign w:val="bottom"/>
            <w:hideMark/>
          </w:tcPr>
          <w:p w14:paraId="0EEE9F01" w14:textId="77777777" w:rsidR="006D7E51" w:rsidRDefault="006D7E51">
            <w:pPr>
              <w:rPr>
                <w:sz w:val="20"/>
                <w:szCs w:val="20"/>
              </w:rPr>
            </w:pPr>
            <w:r>
              <w:rPr>
                <w:sz w:val="20"/>
                <w:szCs w:val="20"/>
              </w:rPr>
              <w:t> </w:t>
            </w:r>
          </w:p>
        </w:tc>
        <w:tc>
          <w:tcPr>
            <w:tcW w:w="1295" w:type="dxa"/>
            <w:tcBorders>
              <w:top w:val="single" w:sz="4" w:space="0" w:color="BFBFBF"/>
              <w:left w:val="nil"/>
              <w:bottom w:val="single" w:sz="4" w:space="0" w:color="BFBFBF"/>
              <w:right w:val="single" w:sz="4" w:space="0" w:color="auto"/>
            </w:tcBorders>
            <w:shd w:val="clear" w:color="000000" w:fill="FFFF00"/>
            <w:noWrap/>
            <w:vAlign w:val="bottom"/>
            <w:hideMark/>
          </w:tcPr>
          <w:p w14:paraId="7356B44A" w14:textId="77777777" w:rsidR="006D7E51" w:rsidRDefault="006D7E51">
            <w:pPr>
              <w:rPr>
                <w:sz w:val="20"/>
                <w:szCs w:val="20"/>
              </w:rPr>
            </w:pPr>
            <w:r>
              <w:rPr>
                <w:sz w:val="20"/>
                <w:szCs w:val="20"/>
              </w:rPr>
              <w:t> </w:t>
            </w:r>
          </w:p>
        </w:tc>
        <w:tc>
          <w:tcPr>
            <w:tcW w:w="1123" w:type="dxa"/>
            <w:tcBorders>
              <w:top w:val="single" w:sz="4" w:space="0" w:color="BFBFBF"/>
              <w:left w:val="nil"/>
              <w:bottom w:val="single" w:sz="4" w:space="0" w:color="BFBFBF"/>
              <w:right w:val="single" w:sz="4" w:space="0" w:color="auto"/>
            </w:tcBorders>
            <w:shd w:val="clear" w:color="000000" w:fill="FFFF00"/>
            <w:noWrap/>
            <w:vAlign w:val="bottom"/>
            <w:hideMark/>
          </w:tcPr>
          <w:p w14:paraId="604F6D4C" w14:textId="77777777" w:rsidR="006D7E51" w:rsidRDefault="006D7E51">
            <w:pPr>
              <w:rPr>
                <w:sz w:val="20"/>
                <w:szCs w:val="20"/>
              </w:rPr>
            </w:pPr>
            <w:r>
              <w:rPr>
                <w:sz w:val="20"/>
                <w:szCs w:val="20"/>
              </w:rPr>
              <w:t> </w:t>
            </w:r>
          </w:p>
        </w:tc>
        <w:tc>
          <w:tcPr>
            <w:tcW w:w="1145" w:type="dxa"/>
            <w:tcBorders>
              <w:top w:val="single" w:sz="4" w:space="0" w:color="BFBFBF"/>
              <w:left w:val="nil"/>
              <w:bottom w:val="single" w:sz="4" w:space="0" w:color="BFBFBF"/>
              <w:right w:val="single" w:sz="4" w:space="0" w:color="auto"/>
            </w:tcBorders>
            <w:shd w:val="clear" w:color="000000" w:fill="FFFF00"/>
            <w:noWrap/>
            <w:vAlign w:val="bottom"/>
            <w:hideMark/>
          </w:tcPr>
          <w:p w14:paraId="6220E488" w14:textId="77777777" w:rsidR="006D7E51" w:rsidRDefault="006D7E51">
            <w:pPr>
              <w:rPr>
                <w:sz w:val="20"/>
                <w:szCs w:val="20"/>
              </w:rPr>
            </w:pPr>
            <w:r>
              <w:rPr>
                <w:sz w:val="20"/>
                <w:szCs w:val="20"/>
              </w:rPr>
              <w:t> </w:t>
            </w:r>
          </w:p>
        </w:tc>
      </w:tr>
      <w:tr w:rsidR="006D7E51" w14:paraId="096EC75B"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5A72979C"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792F29F7" w14:textId="77777777" w:rsidR="006D7E51" w:rsidRDefault="006D7E51">
            <w:pPr>
              <w:rPr>
                <w:sz w:val="20"/>
                <w:szCs w:val="20"/>
              </w:rPr>
            </w:pPr>
            <w:r>
              <w:rPr>
                <w:sz w:val="20"/>
                <w:szCs w:val="20"/>
              </w:rPr>
              <w:t>Resursi izdevumu segšanai</w:t>
            </w:r>
          </w:p>
        </w:tc>
        <w:tc>
          <w:tcPr>
            <w:tcW w:w="1295" w:type="dxa"/>
            <w:tcBorders>
              <w:top w:val="nil"/>
              <w:left w:val="nil"/>
              <w:bottom w:val="single" w:sz="4" w:space="0" w:color="BFBFBF"/>
              <w:right w:val="single" w:sz="4" w:space="0" w:color="auto"/>
            </w:tcBorders>
            <w:shd w:val="clear" w:color="auto" w:fill="auto"/>
            <w:noWrap/>
            <w:vAlign w:val="center"/>
            <w:hideMark/>
          </w:tcPr>
          <w:p w14:paraId="2169D0F5" w14:textId="77777777" w:rsidR="006D7E51" w:rsidRDefault="006D7E51">
            <w:pPr>
              <w:jc w:val="right"/>
              <w:rPr>
                <w:color w:val="000000"/>
                <w:sz w:val="20"/>
                <w:szCs w:val="20"/>
              </w:rPr>
            </w:pPr>
            <w:r>
              <w:rPr>
                <w:color w:val="000000"/>
                <w:sz w:val="20"/>
                <w:szCs w:val="20"/>
              </w:rPr>
              <w:t>869 428</w:t>
            </w:r>
          </w:p>
        </w:tc>
        <w:tc>
          <w:tcPr>
            <w:tcW w:w="1123" w:type="dxa"/>
            <w:tcBorders>
              <w:top w:val="nil"/>
              <w:left w:val="nil"/>
              <w:bottom w:val="single" w:sz="4" w:space="0" w:color="BFBFBF"/>
              <w:right w:val="single" w:sz="4" w:space="0" w:color="auto"/>
            </w:tcBorders>
            <w:shd w:val="clear" w:color="auto" w:fill="auto"/>
            <w:noWrap/>
            <w:vAlign w:val="center"/>
            <w:hideMark/>
          </w:tcPr>
          <w:p w14:paraId="738213F4"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60446662" w14:textId="77777777" w:rsidR="006D7E51" w:rsidRDefault="006D7E51">
            <w:pPr>
              <w:jc w:val="right"/>
              <w:rPr>
                <w:color w:val="000000"/>
                <w:sz w:val="20"/>
                <w:szCs w:val="20"/>
              </w:rPr>
            </w:pPr>
            <w:r>
              <w:rPr>
                <w:color w:val="000000"/>
                <w:sz w:val="20"/>
                <w:szCs w:val="20"/>
              </w:rPr>
              <w:t>1 227 441</w:t>
            </w:r>
          </w:p>
        </w:tc>
        <w:tc>
          <w:tcPr>
            <w:tcW w:w="1295" w:type="dxa"/>
            <w:tcBorders>
              <w:top w:val="nil"/>
              <w:left w:val="nil"/>
              <w:bottom w:val="single" w:sz="4" w:space="0" w:color="BFBFBF"/>
              <w:right w:val="single" w:sz="4" w:space="0" w:color="auto"/>
            </w:tcBorders>
            <w:shd w:val="clear" w:color="auto" w:fill="auto"/>
            <w:noWrap/>
            <w:vAlign w:val="center"/>
            <w:hideMark/>
          </w:tcPr>
          <w:p w14:paraId="3B18A96D" w14:textId="77777777" w:rsidR="006D7E51" w:rsidRDefault="006D7E51">
            <w:pPr>
              <w:jc w:val="right"/>
              <w:rPr>
                <w:color w:val="000000"/>
                <w:sz w:val="20"/>
                <w:szCs w:val="20"/>
              </w:rPr>
            </w:pPr>
            <w:r>
              <w:rPr>
                <w:color w:val="000000"/>
                <w:sz w:val="20"/>
                <w:szCs w:val="20"/>
              </w:rPr>
              <w:t>869 428</w:t>
            </w:r>
          </w:p>
        </w:tc>
        <w:tc>
          <w:tcPr>
            <w:tcW w:w="1123" w:type="dxa"/>
            <w:tcBorders>
              <w:top w:val="nil"/>
              <w:left w:val="nil"/>
              <w:bottom w:val="single" w:sz="4" w:space="0" w:color="BFBFBF"/>
              <w:right w:val="single" w:sz="4" w:space="0" w:color="auto"/>
            </w:tcBorders>
            <w:shd w:val="clear" w:color="auto" w:fill="auto"/>
            <w:noWrap/>
            <w:vAlign w:val="center"/>
            <w:hideMark/>
          </w:tcPr>
          <w:p w14:paraId="3C287CAF"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7844275A" w14:textId="77777777" w:rsidR="006D7E51" w:rsidRDefault="006D7E51">
            <w:pPr>
              <w:jc w:val="right"/>
              <w:rPr>
                <w:color w:val="000000"/>
                <w:sz w:val="20"/>
                <w:szCs w:val="20"/>
              </w:rPr>
            </w:pPr>
            <w:r>
              <w:rPr>
                <w:color w:val="000000"/>
                <w:sz w:val="20"/>
                <w:szCs w:val="20"/>
              </w:rPr>
              <w:t>1 227 441</w:t>
            </w:r>
          </w:p>
        </w:tc>
        <w:tc>
          <w:tcPr>
            <w:tcW w:w="1295" w:type="dxa"/>
            <w:tcBorders>
              <w:top w:val="nil"/>
              <w:left w:val="nil"/>
              <w:bottom w:val="single" w:sz="4" w:space="0" w:color="BFBFBF"/>
              <w:right w:val="single" w:sz="4" w:space="0" w:color="auto"/>
            </w:tcBorders>
            <w:shd w:val="clear" w:color="auto" w:fill="auto"/>
            <w:noWrap/>
            <w:vAlign w:val="center"/>
            <w:hideMark/>
          </w:tcPr>
          <w:p w14:paraId="69A6A978" w14:textId="77777777" w:rsidR="006D7E51" w:rsidRDefault="006D7E51">
            <w:pPr>
              <w:jc w:val="right"/>
              <w:rPr>
                <w:color w:val="000000"/>
                <w:sz w:val="20"/>
                <w:szCs w:val="20"/>
              </w:rPr>
            </w:pPr>
            <w:r>
              <w:rPr>
                <w:color w:val="000000"/>
                <w:sz w:val="20"/>
                <w:szCs w:val="20"/>
              </w:rPr>
              <w:t>869 428</w:t>
            </w:r>
          </w:p>
        </w:tc>
        <w:tc>
          <w:tcPr>
            <w:tcW w:w="1123" w:type="dxa"/>
            <w:tcBorders>
              <w:top w:val="nil"/>
              <w:left w:val="nil"/>
              <w:bottom w:val="single" w:sz="4" w:space="0" w:color="BFBFBF"/>
              <w:right w:val="single" w:sz="4" w:space="0" w:color="auto"/>
            </w:tcBorders>
            <w:shd w:val="clear" w:color="auto" w:fill="auto"/>
            <w:noWrap/>
            <w:vAlign w:val="center"/>
            <w:hideMark/>
          </w:tcPr>
          <w:p w14:paraId="39C05183"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2203DE2A" w14:textId="77777777" w:rsidR="006D7E51" w:rsidRDefault="006D7E51">
            <w:pPr>
              <w:jc w:val="right"/>
              <w:rPr>
                <w:color w:val="000000"/>
                <w:sz w:val="20"/>
                <w:szCs w:val="20"/>
              </w:rPr>
            </w:pPr>
            <w:r>
              <w:rPr>
                <w:color w:val="000000"/>
                <w:sz w:val="20"/>
                <w:szCs w:val="20"/>
              </w:rPr>
              <w:t>1 227 441</w:t>
            </w:r>
          </w:p>
        </w:tc>
      </w:tr>
      <w:tr w:rsidR="006D7E51" w14:paraId="18F4B45B"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9E29638"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04A9C9F9" w14:textId="77777777" w:rsidR="006D7E51" w:rsidRDefault="006D7E51">
            <w:pPr>
              <w:rPr>
                <w:sz w:val="20"/>
                <w:szCs w:val="20"/>
              </w:rPr>
            </w:pPr>
            <w:r>
              <w:rPr>
                <w:sz w:val="20"/>
                <w:szCs w:val="20"/>
              </w:rPr>
              <w:t>Ieņēmumi no maksas pakalpojumiem un citi pašu ieņēmumi – kopā, t.sk.</w:t>
            </w:r>
          </w:p>
        </w:tc>
        <w:tc>
          <w:tcPr>
            <w:tcW w:w="1295" w:type="dxa"/>
            <w:tcBorders>
              <w:top w:val="nil"/>
              <w:left w:val="nil"/>
              <w:bottom w:val="single" w:sz="4" w:space="0" w:color="BFBFBF"/>
              <w:right w:val="single" w:sz="4" w:space="0" w:color="auto"/>
            </w:tcBorders>
            <w:shd w:val="clear" w:color="auto" w:fill="auto"/>
            <w:noWrap/>
            <w:vAlign w:val="center"/>
            <w:hideMark/>
          </w:tcPr>
          <w:p w14:paraId="00B61107" w14:textId="77777777" w:rsidR="006D7E51" w:rsidRDefault="006D7E51">
            <w:pPr>
              <w:jc w:val="right"/>
              <w:rPr>
                <w:color w:val="000000"/>
                <w:sz w:val="20"/>
                <w:szCs w:val="20"/>
              </w:rPr>
            </w:pPr>
            <w:r>
              <w:rPr>
                <w:color w:val="000000"/>
                <w:sz w:val="20"/>
                <w:szCs w:val="20"/>
              </w:rPr>
              <w:t>141 465</w:t>
            </w:r>
          </w:p>
        </w:tc>
        <w:tc>
          <w:tcPr>
            <w:tcW w:w="1123" w:type="dxa"/>
            <w:tcBorders>
              <w:top w:val="nil"/>
              <w:left w:val="nil"/>
              <w:bottom w:val="single" w:sz="4" w:space="0" w:color="BFBFBF"/>
              <w:right w:val="single" w:sz="4" w:space="0" w:color="auto"/>
            </w:tcBorders>
            <w:shd w:val="clear" w:color="auto" w:fill="auto"/>
            <w:noWrap/>
            <w:vAlign w:val="center"/>
            <w:hideMark/>
          </w:tcPr>
          <w:p w14:paraId="63B7FC87"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245FAFB9" w14:textId="77777777" w:rsidR="006D7E51" w:rsidRDefault="006D7E51">
            <w:pPr>
              <w:jc w:val="right"/>
              <w:rPr>
                <w:color w:val="000000"/>
                <w:sz w:val="20"/>
                <w:szCs w:val="20"/>
              </w:rPr>
            </w:pPr>
            <w:r>
              <w:rPr>
                <w:color w:val="000000"/>
                <w:sz w:val="20"/>
                <w:szCs w:val="20"/>
              </w:rPr>
              <w:t>499 478</w:t>
            </w:r>
          </w:p>
        </w:tc>
        <w:tc>
          <w:tcPr>
            <w:tcW w:w="1295" w:type="dxa"/>
            <w:tcBorders>
              <w:top w:val="nil"/>
              <w:left w:val="nil"/>
              <w:bottom w:val="single" w:sz="4" w:space="0" w:color="BFBFBF"/>
              <w:right w:val="single" w:sz="4" w:space="0" w:color="auto"/>
            </w:tcBorders>
            <w:shd w:val="clear" w:color="auto" w:fill="auto"/>
            <w:noWrap/>
            <w:vAlign w:val="center"/>
            <w:hideMark/>
          </w:tcPr>
          <w:p w14:paraId="05E501A3" w14:textId="77777777" w:rsidR="006D7E51" w:rsidRDefault="006D7E51">
            <w:pPr>
              <w:jc w:val="right"/>
              <w:rPr>
                <w:color w:val="000000"/>
                <w:sz w:val="20"/>
                <w:szCs w:val="20"/>
              </w:rPr>
            </w:pPr>
            <w:r>
              <w:rPr>
                <w:color w:val="000000"/>
                <w:sz w:val="20"/>
                <w:szCs w:val="20"/>
              </w:rPr>
              <w:t>141 465</w:t>
            </w:r>
          </w:p>
        </w:tc>
        <w:tc>
          <w:tcPr>
            <w:tcW w:w="1123" w:type="dxa"/>
            <w:tcBorders>
              <w:top w:val="nil"/>
              <w:left w:val="nil"/>
              <w:bottom w:val="single" w:sz="4" w:space="0" w:color="BFBFBF"/>
              <w:right w:val="single" w:sz="4" w:space="0" w:color="auto"/>
            </w:tcBorders>
            <w:shd w:val="clear" w:color="auto" w:fill="auto"/>
            <w:noWrap/>
            <w:vAlign w:val="center"/>
            <w:hideMark/>
          </w:tcPr>
          <w:p w14:paraId="3D7C6AE2"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691D416E" w14:textId="77777777" w:rsidR="006D7E51" w:rsidRDefault="006D7E51">
            <w:pPr>
              <w:jc w:val="right"/>
              <w:rPr>
                <w:color w:val="000000"/>
                <w:sz w:val="20"/>
                <w:szCs w:val="20"/>
              </w:rPr>
            </w:pPr>
            <w:r>
              <w:rPr>
                <w:color w:val="000000"/>
                <w:sz w:val="20"/>
                <w:szCs w:val="20"/>
              </w:rPr>
              <w:t>499 478</w:t>
            </w:r>
          </w:p>
        </w:tc>
        <w:tc>
          <w:tcPr>
            <w:tcW w:w="1295" w:type="dxa"/>
            <w:tcBorders>
              <w:top w:val="nil"/>
              <w:left w:val="nil"/>
              <w:bottom w:val="single" w:sz="4" w:space="0" w:color="BFBFBF"/>
              <w:right w:val="single" w:sz="4" w:space="0" w:color="auto"/>
            </w:tcBorders>
            <w:shd w:val="clear" w:color="auto" w:fill="auto"/>
            <w:noWrap/>
            <w:vAlign w:val="center"/>
            <w:hideMark/>
          </w:tcPr>
          <w:p w14:paraId="2264174B" w14:textId="77777777" w:rsidR="006D7E51" w:rsidRDefault="006D7E51">
            <w:pPr>
              <w:jc w:val="right"/>
              <w:rPr>
                <w:color w:val="000000"/>
                <w:sz w:val="20"/>
                <w:szCs w:val="20"/>
              </w:rPr>
            </w:pPr>
            <w:r>
              <w:rPr>
                <w:color w:val="000000"/>
                <w:sz w:val="20"/>
                <w:szCs w:val="20"/>
              </w:rPr>
              <w:t>141 465</w:t>
            </w:r>
          </w:p>
        </w:tc>
        <w:tc>
          <w:tcPr>
            <w:tcW w:w="1123" w:type="dxa"/>
            <w:tcBorders>
              <w:top w:val="nil"/>
              <w:left w:val="nil"/>
              <w:bottom w:val="single" w:sz="4" w:space="0" w:color="BFBFBF"/>
              <w:right w:val="single" w:sz="4" w:space="0" w:color="auto"/>
            </w:tcBorders>
            <w:shd w:val="clear" w:color="auto" w:fill="auto"/>
            <w:noWrap/>
            <w:vAlign w:val="center"/>
            <w:hideMark/>
          </w:tcPr>
          <w:p w14:paraId="74DE5529"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1075F996" w14:textId="77777777" w:rsidR="006D7E51" w:rsidRDefault="006D7E51">
            <w:pPr>
              <w:jc w:val="right"/>
              <w:rPr>
                <w:color w:val="000000"/>
                <w:sz w:val="20"/>
                <w:szCs w:val="20"/>
              </w:rPr>
            </w:pPr>
            <w:r>
              <w:rPr>
                <w:color w:val="000000"/>
                <w:sz w:val="20"/>
                <w:szCs w:val="20"/>
              </w:rPr>
              <w:t>499 478</w:t>
            </w:r>
          </w:p>
        </w:tc>
      </w:tr>
      <w:tr w:rsidR="006D7E51" w14:paraId="78502FE3"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000000" w:fill="F8CBAD"/>
            <w:noWrap/>
            <w:vAlign w:val="center"/>
            <w:hideMark/>
          </w:tcPr>
          <w:p w14:paraId="7EB7B7C2" w14:textId="77777777" w:rsidR="006D7E51" w:rsidRDefault="006D7E51">
            <w:pPr>
              <w:ind w:firstLineChars="100" w:firstLine="200"/>
              <w:jc w:val="right"/>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000000" w:fill="F8CBAD"/>
            <w:vAlign w:val="center"/>
            <w:hideMark/>
          </w:tcPr>
          <w:p w14:paraId="69119039" w14:textId="77777777" w:rsidR="006D7E51" w:rsidRDefault="006D7E51">
            <w:pPr>
              <w:jc w:val="right"/>
              <w:rPr>
                <w:sz w:val="20"/>
                <w:szCs w:val="20"/>
              </w:rPr>
            </w:pPr>
            <w:r>
              <w:rPr>
                <w:sz w:val="20"/>
                <w:szCs w:val="20"/>
              </w:rPr>
              <w:t>Ieņēmumi no uzņēmējdarbības riska valsts nodevas</w:t>
            </w:r>
          </w:p>
        </w:tc>
        <w:tc>
          <w:tcPr>
            <w:tcW w:w="1295" w:type="dxa"/>
            <w:tcBorders>
              <w:top w:val="nil"/>
              <w:left w:val="nil"/>
              <w:bottom w:val="single" w:sz="4" w:space="0" w:color="BFBFBF"/>
              <w:right w:val="single" w:sz="4" w:space="0" w:color="auto"/>
            </w:tcBorders>
            <w:shd w:val="clear" w:color="000000" w:fill="F8CBAD"/>
            <w:noWrap/>
            <w:vAlign w:val="center"/>
            <w:hideMark/>
          </w:tcPr>
          <w:p w14:paraId="61D6D98F" w14:textId="77777777" w:rsidR="006D7E51" w:rsidRDefault="006D7E51">
            <w:pPr>
              <w:jc w:val="right"/>
              <w:rPr>
                <w:color w:val="000000"/>
                <w:sz w:val="20"/>
                <w:szCs w:val="20"/>
              </w:rPr>
            </w:pPr>
            <w:r>
              <w:rPr>
                <w:color w:val="000000"/>
                <w:sz w:val="20"/>
                <w:szCs w:val="20"/>
              </w:rPr>
              <w:t>126 525</w:t>
            </w:r>
          </w:p>
        </w:tc>
        <w:tc>
          <w:tcPr>
            <w:tcW w:w="1123" w:type="dxa"/>
            <w:tcBorders>
              <w:top w:val="nil"/>
              <w:left w:val="nil"/>
              <w:bottom w:val="single" w:sz="4" w:space="0" w:color="BFBFBF"/>
              <w:right w:val="single" w:sz="4" w:space="0" w:color="auto"/>
            </w:tcBorders>
            <w:shd w:val="clear" w:color="000000" w:fill="F8CBAD"/>
            <w:noWrap/>
            <w:vAlign w:val="center"/>
            <w:hideMark/>
          </w:tcPr>
          <w:p w14:paraId="0A6530A6"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000000" w:fill="F8CBAD"/>
            <w:noWrap/>
            <w:vAlign w:val="center"/>
            <w:hideMark/>
          </w:tcPr>
          <w:p w14:paraId="670800C8" w14:textId="77777777" w:rsidR="006D7E51" w:rsidRDefault="006D7E51">
            <w:pPr>
              <w:jc w:val="right"/>
              <w:rPr>
                <w:color w:val="000000"/>
                <w:sz w:val="20"/>
                <w:szCs w:val="20"/>
              </w:rPr>
            </w:pPr>
            <w:r>
              <w:rPr>
                <w:color w:val="000000"/>
                <w:sz w:val="20"/>
                <w:szCs w:val="20"/>
              </w:rPr>
              <w:t>484 538</w:t>
            </w:r>
          </w:p>
        </w:tc>
        <w:tc>
          <w:tcPr>
            <w:tcW w:w="1295" w:type="dxa"/>
            <w:tcBorders>
              <w:top w:val="nil"/>
              <w:left w:val="nil"/>
              <w:bottom w:val="single" w:sz="4" w:space="0" w:color="BFBFBF"/>
              <w:right w:val="single" w:sz="4" w:space="0" w:color="auto"/>
            </w:tcBorders>
            <w:shd w:val="clear" w:color="000000" w:fill="F8CBAD"/>
            <w:noWrap/>
            <w:vAlign w:val="center"/>
            <w:hideMark/>
          </w:tcPr>
          <w:p w14:paraId="3912E680" w14:textId="77777777" w:rsidR="006D7E51" w:rsidRDefault="006D7E51">
            <w:pPr>
              <w:jc w:val="right"/>
              <w:rPr>
                <w:color w:val="000000"/>
                <w:sz w:val="20"/>
                <w:szCs w:val="20"/>
              </w:rPr>
            </w:pPr>
            <w:r>
              <w:rPr>
                <w:color w:val="000000"/>
                <w:sz w:val="20"/>
                <w:szCs w:val="20"/>
              </w:rPr>
              <w:t>126 525</w:t>
            </w:r>
          </w:p>
        </w:tc>
        <w:tc>
          <w:tcPr>
            <w:tcW w:w="1123" w:type="dxa"/>
            <w:tcBorders>
              <w:top w:val="nil"/>
              <w:left w:val="nil"/>
              <w:bottom w:val="single" w:sz="4" w:space="0" w:color="BFBFBF"/>
              <w:right w:val="single" w:sz="4" w:space="0" w:color="auto"/>
            </w:tcBorders>
            <w:shd w:val="clear" w:color="000000" w:fill="F8CBAD"/>
            <w:noWrap/>
            <w:vAlign w:val="center"/>
            <w:hideMark/>
          </w:tcPr>
          <w:p w14:paraId="2521A148"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000000" w:fill="F8CBAD"/>
            <w:noWrap/>
            <w:vAlign w:val="center"/>
            <w:hideMark/>
          </w:tcPr>
          <w:p w14:paraId="16350666" w14:textId="77777777" w:rsidR="006D7E51" w:rsidRDefault="006D7E51">
            <w:pPr>
              <w:jc w:val="right"/>
              <w:rPr>
                <w:color w:val="000000"/>
                <w:sz w:val="20"/>
                <w:szCs w:val="20"/>
              </w:rPr>
            </w:pPr>
            <w:r>
              <w:rPr>
                <w:color w:val="000000"/>
                <w:sz w:val="20"/>
                <w:szCs w:val="20"/>
              </w:rPr>
              <w:t>484 538</w:t>
            </w:r>
          </w:p>
        </w:tc>
        <w:tc>
          <w:tcPr>
            <w:tcW w:w="1295" w:type="dxa"/>
            <w:tcBorders>
              <w:top w:val="nil"/>
              <w:left w:val="nil"/>
              <w:bottom w:val="single" w:sz="4" w:space="0" w:color="BFBFBF"/>
              <w:right w:val="single" w:sz="4" w:space="0" w:color="auto"/>
            </w:tcBorders>
            <w:shd w:val="clear" w:color="000000" w:fill="F8CBAD"/>
            <w:noWrap/>
            <w:vAlign w:val="center"/>
            <w:hideMark/>
          </w:tcPr>
          <w:p w14:paraId="0B433639" w14:textId="77777777" w:rsidR="006D7E51" w:rsidRDefault="006D7E51">
            <w:pPr>
              <w:jc w:val="right"/>
              <w:rPr>
                <w:color w:val="000000"/>
                <w:sz w:val="20"/>
                <w:szCs w:val="20"/>
              </w:rPr>
            </w:pPr>
            <w:r>
              <w:rPr>
                <w:color w:val="000000"/>
                <w:sz w:val="20"/>
                <w:szCs w:val="20"/>
              </w:rPr>
              <w:t>126 525</w:t>
            </w:r>
          </w:p>
        </w:tc>
        <w:tc>
          <w:tcPr>
            <w:tcW w:w="1123" w:type="dxa"/>
            <w:tcBorders>
              <w:top w:val="nil"/>
              <w:left w:val="nil"/>
              <w:bottom w:val="single" w:sz="4" w:space="0" w:color="BFBFBF"/>
              <w:right w:val="single" w:sz="4" w:space="0" w:color="auto"/>
            </w:tcBorders>
            <w:shd w:val="clear" w:color="000000" w:fill="F8CBAD"/>
            <w:noWrap/>
            <w:vAlign w:val="center"/>
            <w:hideMark/>
          </w:tcPr>
          <w:p w14:paraId="2C83E0E8"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000000" w:fill="F8CBAD"/>
            <w:noWrap/>
            <w:vAlign w:val="center"/>
            <w:hideMark/>
          </w:tcPr>
          <w:p w14:paraId="5A57E099" w14:textId="77777777" w:rsidR="006D7E51" w:rsidRDefault="006D7E51">
            <w:pPr>
              <w:jc w:val="right"/>
              <w:rPr>
                <w:color w:val="000000"/>
                <w:sz w:val="20"/>
                <w:szCs w:val="20"/>
              </w:rPr>
            </w:pPr>
            <w:r>
              <w:rPr>
                <w:color w:val="000000"/>
                <w:sz w:val="20"/>
                <w:szCs w:val="20"/>
              </w:rPr>
              <w:t>484 538</w:t>
            </w:r>
          </w:p>
        </w:tc>
      </w:tr>
      <w:tr w:rsidR="006D7E51" w14:paraId="762D5800"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000000" w:fill="F8CBAD"/>
            <w:noWrap/>
            <w:vAlign w:val="center"/>
            <w:hideMark/>
          </w:tcPr>
          <w:p w14:paraId="3749FD4B"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000000" w:fill="F8CBAD"/>
            <w:vAlign w:val="center"/>
            <w:hideMark/>
          </w:tcPr>
          <w:p w14:paraId="2C86FA64" w14:textId="77777777" w:rsidR="006D7E51" w:rsidRDefault="006D7E51">
            <w:pPr>
              <w:jc w:val="right"/>
              <w:rPr>
                <w:sz w:val="20"/>
                <w:szCs w:val="20"/>
              </w:rPr>
            </w:pPr>
            <w:r>
              <w:rPr>
                <w:sz w:val="20"/>
                <w:szCs w:val="20"/>
              </w:rPr>
              <w:t>Citi ieņēmumi</w:t>
            </w:r>
          </w:p>
        </w:tc>
        <w:tc>
          <w:tcPr>
            <w:tcW w:w="1295" w:type="dxa"/>
            <w:tcBorders>
              <w:top w:val="nil"/>
              <w:left w:val="nil"/>
              <w:bottom w:val="single" w:sz="4" w:space="0" w:color="BFBFBF"/>
              <w:right w:val="single" w:sz="4" w:space="0" w:color="auto"/>
            </w:tcBorders>
            <w:shd w:val="clear" w:color="000000" w:fill="F8CBAD"/>
            <w:noWrap/>
            <w:vAlign w:val="center"/>
            <w:hideMark/>
          </w:tcPr>
          <w:p w14:paraId="5140A77E" w14:textId="77777777" w:rsidR="006D7E51" w:rsidRDefault="006D7E51">
            <w:pPr>
              <w:jc w:val="right"/>
              <w:rPr>
                <w:color w:val="000000"/>
                <w:sz w:val="20"/>
                <w:szCs w:val="20"/>
              </w:rPr>
            </w:pPr>
            <w:r>
              <w:rPr>
                <w:color w:val="000000"/>
                <w:sz w:val="20"/>
                <w:szCs w:val="20"/>
              </w:rPr>
              <w:t>14 940</w:t>
            </w:r>
          </w:p>
        </w:tc>
        <w:tc>
          <w:tcPr>
            <w:tcW w:w="1123" w:type="dxa"/>
            <w:tcBorders>
              <w:top w:val="nil"/>
              <w:left w:val="nil"/>
              <w:bottom w:val="single" w:sz="4" w:space="0" w:color="BFBFBF"/>
              <w:right w:val="single" w:sz="4" w:space="0" w:color="auto"/>
            </w:tcBorders>
            <w:shd w:val="clear" w:color="000000" w:fill="F8CBAD"/>
            <w:noWrap/>
            <w:vAlign w:val="center"/>
            <w:hideMark/>
          </w:tcPr>
          <w:p w14:paraId="38666C75"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000000" w:fill="F8CBAD"/>
            <w:noWrap/>
            <w:vAlign w:val="center"/>
            <w:hideMark/>
          </w:tcPr>
          <w:p w14:paraId="4C5B9C9F" w14:textId="77777777" w:rsidR="006D7E51" w:rsidRDefault="006D7E51">
            <w:pPr>
              <w:jc w:val="right"/>
              <w:rPr>
                <w:color w:val="000000"/>
                <w:sz w:val="20"/>
                <w:szCs w:val="20"/>
              </w:rPr>
            </w:pPr>
            <w:r>
              <w:rPr>
                <w:color w:val="000000"/>
                <w:sz w:val="20"/>
                <w:szCs w:val="20"/>
              </w:rPr>
              <w:t>14 940</w:t>
            </w:r>
          </w:p>
        </w:tc>
        <w:tc>
          <w:tcPr>
            <w:tcW w:w="1295" w:type="dxa"/>
            <w:tcBorders>
              <w:top w:val="nil"/>
              <w:left w:val="nil"/>
              <w:bottom w:val="single" w:sz="4" w:space="0" w:color="BFBFBF"/>
              <w:right w:val="single" w:sz="4" w:space="0" w:color="auto"/>
            </w:tcBorders>
            <w:shd w:val="clear" w:color="000000" w:fill="F8CBAD"/>
            <w:noWrap/>
            <w:vAlign w:val="center"/>
            <w:hideMark/>
          </w:tcPr>
          <w:p w14:paraId="71944A9D" w14:textId="77777777" w:rsidR="006D7E51" w:rsidRDefault="006D7E51">
            <w:pPr>
              <w:jc w:val="right"/>
              <w:rPr>
                <w:color w:val="000000"/>
                <w:sz w:val="20"/>
                <w:szCs w:val="20"/>
              </w:rPr>
            </w:pPr>
            <w:r>
              <w:rPr>
                <w:color w:val="000000"/>
                <w:sz w:val="20"/>
                <w:szCs w:val="20"/>
              </w:rPr>
              <w:t>14 940</w:t>
            </w:r>
          </w:p>
        </w:tc>
        <w:tc>
          <w:tcPr>
            <w:tcW w:w="1123" w:type="dxa"/>
            <w:tcBorders>
              <w:top w:val="nil"/>
              <w:left w:val="nil"/>
              <w:bottom w:val="single" w:sz="4" w:space="0" w:color="BFBFBF"/>
              <w:right w:val="single" w:sz="4" w:space="0" w:color="auto"/>
            </w:tcBorders>
            <w:shd w:val="clear" w:color="000000" w:fill="F8CBAD"/>
            <w:noWrap/>
            <w:vAlign w:val="center"/>
            <w:hideMark/>
          </w:tcPr>
          <w:p w14:paraId="60FF547B"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000000" w:fill="F8CBAD"/>
            <w:noWrap/>
            <w:vAlign w:val="center"/>
            <w:hideMark/>
          </w:tcPr>
          <w:p w14:paraId="3E58DECE" w14:textId="77777777" w:rsidR="006D7E51" w:rsidRDefault="006D7E51">
            <w:pPr>
              <w:jc w:val="right"/>
              <w:rPr>
                <w:color w:val="000000"/>
                <w:sz w:val="20"/>
                <w:szCs w:val="20"/>
              </w:rPr>
            </w:pPr>
            <w:r>
              <w:rPr>
                <w:color w:val="000000"/>
                <w:sz w:val="20"/>
                <w:szCs w:val="20"/>
              </w:rPr>
              <w:t>14 940</w:t>
            </w:r>
          </w:p>
        </w:tc>
        <w:tc>
          <w:tcPr>
            <w:tcW w:w="1295" w:type="dxa"/>
            <w:tcBorders>
              <w:top w:val="nil"/>
              <w:left w:val="nil"/>
              <w:bottom w:val="single" w:sz="4" w:space="0" w:color="BFBFBF"/>
              <w:right w:val="single" w:sz="4" w:space="0" w:color="auto"/>
            </w:tcBorders>
            <w:shd w:val="clear" w:color="000000" w:fill="F8CBAD"/>
            <w:noWrap/>
            <w:vAlign w:val="center"/>
            <w:hideMark/>
          </w:tcPr>
          <w:p w14:paraId="726862CB" w14:textId="77777777" w:rsidR="006D7E51" w:rsidRDefault="006D7E51">
            <w:pPr>
              <w:jc w:val="right"/>
              <w:rPr>
                <w:color w:val="000000"/>
                <w:sz w:val="20"/>
                <w:szCs w:val="20"/>
              </w:rPr>
            </w:pPr>
            <w:r>
              <w:rPr>
                <w:color w:val="000000"/>
                <w:sz w:val="20"/>
                <w:szCs w:val="20"/>
              </w:rPr>
              <w:t>14 940</w:t>
            </w:r>
          </w:p>
        </w:tc>
        <w:tc>
          <w:tcPr>
            <w:tcW w:w="1123" w:type="dxa"/>
            <w:tcBorders>
              <w:top w:val="nil"/>
              <w:left w:val="nil"/>
              <w:bottom w:val="single" w:sz="4" w:space="0" w:color="BFBFBF"/>
              <w:right w:val="single" w:sz="4" w:space="0" w:color="auto"/>
            </w:tcBorders>
            <w:shd w:val="clear" w:color="000000" w:fill="F8CBAD"/>
            <w:noWrap/>
            <w:vAlign w:val="center"/>
            <w:hideMark/>
          </w:tcPr>
          <w:p w14:paraId="29A2FD69"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000000" w:fill="F8CBAD"/>
            <w:noWrap/>
            <w:vAlign w:val="center"/>
            <w:hideMark/>
          </w:tcPr>
          <w:p w14:paraId="6CE05BC4" w14:textId="77777777" w:rsidR="006D7E51" w:rsidRDefault="006D7E51">
            <w:pPr>
              <w:jc w:val="right"/>
              <w:rPr>
                <w:color w:val="000000"/>
                <w:sz w:val="20"/>
                <w:szCs w:val="20"/>
              </w:rPr>
            </w:pPr>
            <w:r>
              <w:rPr>
                <w:color w:val="000000"/>
                <w:sz w:val="20"/>
                <w:szCs w:val="20"/>
              </w:rPr>
              <w:t>14 940</w:t>
            </w:r>
          </w:p>
        </w:tc>
      </w:tr>
      <w:tr w:rsidR="006D7E51" w14:paraId="667A66B7"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4495E41F"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455D574C" w14:textId="77777777" w:rsidR="006D7E51" w:rsidRDefault="006D7E51">
            <w:pPr>
              <w:rPr>
                <w:sz w:val="20"/>
                <w:szCs w:val="20"/>
              </w:rPr>
            </w:pPr>
            <w:r>
              <w:rPr>
                <w:sz w:val="20"/>
                <w:szCs w:val="20"/>
              </w:rPr>
              <w:t>Dotācija no vispārējiem ieņēmumiem</w:t>
            </w:r>
          </w:p>
        </w:tc>
        <w:tc>
          <w:tcPr>
            <w:tcW w:w="1295" w:type="dxa"/>
            <w:tcBorders>
              <w:top w:val="nil"/>
              <w:left w:val="nil"/>
              <w:bottom w:val="single" w:sz="4" w:space="0" w:color="BFBFBF"/>
              <w:right w:val="single" w:sz="4" w:space="0" w:color="auto"/>
            </w:tcBorders>
            <w:shd w:val="clear" w:color="auto" w:fill="auto"/>
            <w:noWrap/>
            <w:vAlign w:val="center"/>
            <w:hideMark/>
          </w:tcPr>
          <w:p w14:paraId="28EAD6E0" w14:textId="77777777" w:rsidR="006D7E51" w:rsidRDefault="006D7E51">
            <w:pPr>
              <w:jc w:val="right"/>
              <w:rPr>
                <w:color w:val="000000"/>
                <w:sz w:val="20"/>
                <w:szCs w:val="20"/>
              </w:rPr>
            </w:pPr>
            <w:r>
              <w:rPr>
                <w:color w:val="000000"/>
                <w:sz w:val="20"/>
                <w:szCs w:val="20"/>
              </w:rPr>
              <w:t>727 963</w:t>
            </w:r>
          </w:p>
        </w:tc>
        <w:tc>
          <w:tcPr>
            <w:tcW w:w="1123" w:type="dxa"/>
            <w:tcBorders>
              <w:top w:val="nil"/>
              <w:left w:val="nil"/>
              <w:bottom w:val="single" w:sz="4" w:space="0" w:color="BFBFBF"/>
              <w:right w:val="single" w:sz="4" w:space="0" w:color="auto"/>
            </w:tcBorders>
            <w:shd w:val="clear" w:color="auto" w:fill="auto"/>
            <w:noWrap/>
            <w:vAlign w:val="center"/>
            <w:hideMark/>
          </w:tcPr>
          <w:p w14:paraId="5442282A"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090BB677" w14:textId="77777777" w:rsidR="006D7E51" w:rsidRDefault="006D7E51">
            <w:pPr>
              <w:jc w:val="right"/>
              <w:rPr>
                <w:color w:val="000000"/>
                <w:sz w:val="20"/>
                <w:szCs w:val="20"/>
              </w:rPr>
            </w:pPr>
            <w:r>
              <w:rPr>
                <w:color w:val="000000"/>
                <w:sz w:val="20"/>
                <w:szCs w:val="20"/>
              </w:rPr>
              <w:t>727 963</w:t>
            </w:r>
          </w:p>
        </w:tc>
        <w:tc>
          <w:tcPr>
            <w:tcW w:w="1295" w:type="dxa"/>
            <w:tcBorders>
              <w:top w:val="nil"/>
              <w:left w:val="nil"/>
              <w:bottom w:val="single" w:sz="4" w:space="0" w:color="BFBFBF"/>
              <w:right w:val="single" w:sz="4" w:space="0" w:color="auto"/>
            </w:tcBorders>
            <w:shd w:val="clear" w:color="auto" w:fill="auto"/>
            <w:noWrap/>
            <w:vAlign w:val="center"/>
            <w:hideMark/>
          </w:tcPr>
          <w:p w14:paraId="2163B997" w14:textId="77777777" w:rsidR="006D7E51" w:rsidRDefault="006D7E51">
            <w:pPr>
              <w:jc w:val="right"/>
              <w:rPr>
                <w:color w:val="000000"/>
                <w:sz w:val="20"/>
                <w:szCs w:val="20"/>
              </w:rPr>
            </w:pPr>
            <w:r>
              <w:rPr>
                <w:color w:val="000000"/>
                <w:sz w:val="20"/>
                <w:szCs w:val="20"/>
              </w:rPr>
              <w:t>727 963</w:t>
            </w:r>
          </w:p>
        </w:tc>
        <w:tc>
          <w:tcPr>
            <w:tcW w:w="1123" w:type="dxa"/>
            <w:tcBorders>
              <w:top w:val="nil"/>
              <w:left w:val="nil"/>
              <w:bottom w:val="single" w:sz="4" w:space="0" w:color="BFBFBF"/>
              <w:right w:val="single" w:sz="4" w:space="0" w:color="auto"/>
            </w:tcBorders>
            <w:shd w:val="clear" w:color="auto" w:fill="auto"/>
            <w:noWrap/>
            <w:vAlign w:val="center"/>
            <w:hideMark/>
          </w:tcPr>
          <w:p w14:paraId="09D39ED7"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16814E70" w14:textId="77777777" w:rsidR="006D7E51" w:rsidRDefault="006D7E51">
            <w:pPr>
              <w:jc w:val="right"/>
              <w:rPr>
                <w:color w:val="000000"/>
                <w:sz w:val="20"/>
                <w:szCs w:val="20"/>
              </w:rPr>
            </w:pPr>
            <w:r>
              <w:rPr>
                <w:color w:val="000000"/>
                <w:sz w:val="20"/>
                <w:szCs w:val="20"/>
              </w:rPr>
              <w:t>727 963</w:t>
            </w:r>
          </w:p>
        </w:tc>
        <w:tc>
          <w:tcPr>
            <w:tcW w:w="1295" w:type="dxa"/>
            <w:tcBorders>
              <w:top w:val="nil"/>
              <w:left w:val="nil"/>
              <w:bottom w:val="single" w:sz="4" w:space="0" w:color="BFBFBF"/>
              <w:right w:val="single" w:sz="4" w:space="0" w:color="auto"/>
            </w:tcBorders>
            <w:shd w:val="clear" w:color="auto" w:fill="auto"/>
            <w:noWrap/>
            <w:vAlign w:val="center"/>
            <w:hideMark/>
          </w:tcPr>
          <w:p w14:paraId="79AAD83B" w14:textId="77777777" w:rsidR="006D7E51" w:rsidRDefault="006D7E51">
            <w:pPr>
              <w:jc w:val="right"/>
              <w:rPr>
                <w:color w:val="000000"/>
                <w:sz w:val="20"/>
                <w:szCs w:val="20"/>
              </w:rPr>
            </w:pPr>
            <w:r>
              <w:rPr>
                <w:color w:val="000000"/>
                <w:sz w:val="20"/>
                <w:szCs w:val="20"/>
              </w:rPr>
              <w:t>727 963</w:t>
            </w:r>
          </w:p>
        </w:tc>
        <w:tc>
          <w:tcPr>
            <w:tcW w:w="1123" w:type="dxa"/>
            <w:tcBorders>
              <w:top w:val="nil"/>
              <w:left w:val="nil"/>
              <w:bottom w:val="single" w:sz="4" w:space="0" w:color="BFBFBF"/>
              <w:right w:val="single" w:sz="4" w:space="0" w:color="auto"/>
            </w:tcBorders>
            <w:shd w:val="clear" w:color="auto" w:fill="auto"/>
            <w:noWrap/>
            <w:vAlign w:val="center"/>
            <w:hideMark/>
          </w:tcPr>
          <w:p w14:paraId="2A363C75"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7DBA1311" w14:textId="77777777" w:rsidR="006D7E51" w:rsidRDefault="006D7E51">
            <w:pPr>
              <w:jc w:val="right"/>
              <w:rPr>
                <w:color w:val="000000"/>
                <w:sz w:val="20"/>
                <w:szCs w:val="20"/>
              </w:rPr>
            </w:pPr>
            <w:r>
              <w:rPr>
                <w:color w:val="000000"/>
                <w:sz w:val="20"/>
                <w:szCs w:val="20"/>
              </w:rPr>
              <w:t>727 963</w:t>
            </w:r>
          </w:p>
        </w:tc>
      </w:tr>
      <w:tr w:rsidR="006D7E51" w14:paraId="742DD27A"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00C357EC" w14:textId="77777777" w:rsidR="006D7E51" w:rsidRDefault="006D7E51">
            <w:pPr>
              <w:ind w:firstLineChars="200" w:firstLine="4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61109940" w14:textId="77777777" w:rsidR="006D7E51" w:rsidRDefault="006D7E51">
            <w:pPr>
              <w:rPr>
                <w:sz w:val="20"/>
                <w:szCs w:val="20"/>
              </w:rPr>
            </w:pPr>
            <w:r>
              <w:rPr>
                <w:sz w:val="20"/>
                <w:szCs w:val="20"/>
              </w:rPr>
              <w:t>Vispārējā kārtībā sadalāmā dotācija no vispārējiem ieņēmumiem</w:t>
            </w:r>
          </w:p>
        </w:tc>
        <w:tc>
          <w:tcPr>
            <w:tcW w:w="1295" w:type="dxa"/>
            <w:tcBorders>
              <w:top w:val="nil"/>
              <w:left w:val="nil"/>
              <w:bottom w:val="single" w:sz="4" w:space="0" w:color="BFBFBF"/>
              <w:right w:val="single" w:sz="4" w:space="0" w:color="auto"/>
            </w:tcBorders>
            <w:shd w:val="clear" w:color="auto" w:fill="auto"/>
            <w:noWrap/>
            <w:vAlign w:val="center"/>
            <w:hideMark/>
          </w:tcPr>
          <w:p w14:paraId="54D42602" w14:textId="77777777" w:rsidR="006D7E51" w:rsidRDefault="006D7E51">
            <w:pPr>
              <w:jc w:val="right"/>
              <w:rPr>
                <w:color w:val="000000"/>
                <w:sz w:val="20"/>
                <w:szCs w:val="20"/>
              </w:rPr>
            </w:pPr>
            <w:r>
              <w:rPr>
                <w:color w:val="000000"/>
                <w:sz w:val="20"/>
                <w:szCs w:val="20"/>
              </w:rPr>
              <w:t>727 963</w:t>
            </w:r>
          </w:p>
        </w:tc>
        <w:tc>
          <w:tcPr>
            <w:tcW w:w="1123" w:type="dxa"/>
            <w:tcBorders>
              <w:top w:val="nil"/>
              <w:left w:val="nil"/>
              <w:bottom w:val="single" w:sz="4" w:space="0" w:color="BFBFBF"/>
              <w:right w:val="single" w:sz="4" w:space="0" w:color="auto"/>
            </w:tcBorders>
            <w:shd w:val="clear" w:color="auto" w:fill="auto"/>
            <w:noWrap/>
            <w:vAlign w:val="center"/>
            <w:hideMark/>
          </w:tcPr>
          <w:p w14:paraId="69C30665"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79D95191" w14:textId="77777777" w:rsidR="006D7E51" w:rsidRDefault="006D7E51">
            <w:pPr>
              <w:jc w:val="right"/>
              <w:rPr>
                <w:color w:val="000000"/>
                <w:sz w:val="20"/>
                <w:szCs w:val="20"/>
              </w:rPr>
            </w:pPr>
            <w:r>
              <w:rPr>
                <w:color w:val="000000"/>
                <w:sz w:val="20"/>
                <w:szCs w:val="20"/>
              </w:rPr>
              <w:t>727 963</w:t>
            </w:r>
          </w:p>
        </w:tc>
        <w:tc>
          <w:tcPr>
            <w:tcW w:w="1295" w:type="dxa"/>
            <w:tcBorders>
              <w:top w:val="nil"/>
              <w:left w:val="nil"/>
              <w:bottom w:val="single" w:sz="4" w:space="0" w:color="BFBFBF"/>
              <w:right w:val="single" w:sz="4" w:space="0" w:color="auto"/>
            </w:tcBorders>
            <w:shd w:val="clear" w:color="auto" w:fill="auto"/>
            <w:noWrap/>
            <w:vAlign w:val="center"/>
            <w:hideMark/>
          </w:tcPr>
          <w:p w14:paraId="211B11B4" w14:textId="77777777" w:rsidR="006D7E51" w:rsidRDefault="006D7E51">
            <w:pPr>
              <w:jc w:val="right"/>
              <w:rPr>
                <w:color w:val="000000"/>
                <w:sz w:val="20"/>
                <w:szCs w:val="20"/>
              </w:rPr>
            </w:pPr>
            <w:r>
              <w:rPr>
                <w:color w:val="000000"/>
                <w:sz w:val="20"/>
                <w:szCs w:val="20"/>
              </w:rPr>
              <w:t>727 963</w:t>
            </w:r>
          </w:p>
        </w:tc>
        <w:tc>
          <w:tcPr>
            <w:tcW w:w="1123" w:type="dxa"/>
            <w:tcBorders>
              <w:top w:val="nil"/>
              <w:left w:val="nil"/>
              <w:bottom w:val="single" w:sz="4" w:space="0" w:color="BFBFBF"/>
              <w:right w:val="single" w:sz="4" w:space="0" w:color="auto"/>
            </w:tcBorders>
            <w:shd w:val="clear" w:color="auto" w:fill="auto"/>
            <w:noWrap/>
            <w:vAlign w:val="center"/>
            <w:hideMark/>
          </w:tcPr>
          <w:p w14:paraId="2682DAC4"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050F69C6" w14:textId="77777777" w:rsidR="006D7E51" w:rsidRDefault="006D7E51">
            <w:pPr>
              <w:jc w:val="right"/>
              <w:rPr>
                <w:color w:val="000000"/>
                <w:sz w:val="20"/>
                <w:szCs w:val="20"/>
              </w:rPr>
            </w:pPr>
            <w:r>
              <w:rPr>
                <w:color w:val="000000"/>
                <w:sz w:val="20"/>
                <w:szCs w:val="20"/>
              </w:rPr>
              <w:t>727 963</w:t>
            </w:r>
          </w:p>
        </w:tc>
        <w:tc>
          <w:tcPr>
            <w:tcW w:w="1295" w:type="dxa"/>
            <w:tcBorders>
              <w:top w:val="nil"/>
              <w:left w:val="nil"/>
              <w:bottom w:val="single" w:sz="4" w:space="0" w:color="BFBFBF"/>
              <w:right w:val="single" w:sz="4" w:space="0" w:color="auto"/>
            </w:tcBorders>
            <w:shd w:val="clear" w:color="auto" w:fill="auto"/>
            <w:noWrap/>
            <w:vAlign w:val="center"/>
            <w:hideMark/>
          </w:tcPr>
          <w:p w14:paraId="3B5978DE" w14:textId="77777777" w:rsidR="006D7E51" w:rsidRDefault="006D7E51">
            <w:pPr>
              <w:jc w:val="right"/>
              <w:rPr>
                <w:color w:val="000000"/>
                <w:sz w:val="20"/>
                <w:szCs w:val="20"/>
              </w:rPr>
            </w:pPr>
            <w:r>
              <w:rPr>
                <w:color w:val="000000"/>
                <w:sz w:val="20"/>
                <w:szCs w:val="20"/>
              </w:rPr>
              <w:t>727 963</w:t>
            </w:r>
          </w:p>
        </w:tc>
        <w:tc>
          <w:tcPr>
            <w:tcW w:w="1123" w:type="dxa"/>
            <w:tcBorders>
              <w:top w:val="nil"/>
              <w:left w:val="nil"/>
              <w:bottom w:val="single" w:sz="4" w:space="0" w:color="BFBFBF"/>
              <w:right w:val="single" w:sz="4" w:space="0" w:color="auto"/>
            </w:tcBorders>
            <w:shd w:val="clear" w:color="auto" w:fill="auto"/>
            <w:noWrap/>
            <w:vAlign w:val="center"/>
            <w:hideMark/>
          </w:tcPr>
          <w:p w14:paraId="727EAF5E"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011A975F" w14:textId="77777777" w:rsidR="006D7E51" w:rsidRDefault="006D7E51">
            <w:pPr>
              <w:jc w:val="right"/>
              <w:rPr>
                <w:color w:val="000000"/>
                <w:sz w:val="20"/>
                <w:szCs w:val="20"/>
              </w:rPr>
            </w:pPr>
            <w:r>
              <w:rPr>
                <w:color w:val="000000"/>
                <w:sz w:val="20"/>
                <w:szCs w:val="20"/>
              </w:rPr>
              <w:t>727 963</w:t>
            </w:r>
          </w:p>
        </w:tc>
      </w:tr>
      <w:tr w:rsidR="006D7E51" w14:paraId="4863ECBB"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1CF090A7"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53EA1F1F" w14:textId="77777777" w:rsidR="006D7E51" w:rsidRDefault="006D7E51">
            <w:pPr>
              <w:rPr>
                <w:sz w:val="20"/>
                <w:szCs w:val="20"/>
              </w:rPr>
            </w:pPr>
            <w:r>
              <w:rPr>
                <w:sz w:val="20"/>
                <w:szCs w:val="20"/>
              </w:rPr>
              <w:t>Izdevumi – kopā</w:t>
            </w:r>
          </w:p>
        </w:tc>
        <w:tc>
          <w:tcPr>
            <w:tcW w:w="1295" w:type="dxa"/>
            <w:tcBorders>
              <w:top w:val="nil"/>
              <w:left w:val="nil"/>
              <w:bottom w:val="single" w:sz="4" w:space="0" w:color="BFBFBF"/>
              <w:right w:val="single" w:sz="4" w:space="0" w:color="auto"/>
            </w:tcBorders>
            <w:shd w:val="clear" w:color="auto" w:fill="auto"/>
            <w:noWrap/>
            <w:vAlign w:val="center"/>
            <w:hideMark/>
          </w:tcPr>
          <w:p w14:paraId="57B8DAE7" w14:textId="77777777" w:rsidR="006D7E51" w:rsidRDefault="006D7E51">
            <w:pPr>
              <w:jc w:val="right"/>
              <w:rPr>
                <w:color w:val="000000"/>
                <w:sz w:val="20"/>
                <w:szCs w:val="20"/>
              </w:rPr>
            </w:pPr>
            <w:r>
              <w:rPr>
                <w:color w:val="000000"/>
                <w:sz w:val="20"/>
                <w:szCs w:val="20"/>
              </w:rPr>
              <w:t>869 428</w:t>
            </w:r>
          </w:p>
        </w:tc>
        <w:tc>
          <w:tcPr>
            <w:tcW w:w="1123" w:type="dxa"/>
            <w:tcBorders>
              <w:top w:val="nil"/>
              <w:left w:val="nil"/>
              <w:bottom w:val="single" w:sz="4" w:space="0" w:color="BFBFBF"/>
              <w:right w:val="single" w:sz="4" w:space="0" w:color="auto"/>
            </w:tcBorders>
            <w:shd w:val="clear" w:color="auto" w:fill="auto"/>
            <w:noWrap/>
            <w:vAlign w:val="center"/>
            <w:hideMark/>
          </w:tcPr>
          <w:p w14:paraId="69B2A64F"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05A30F1A" w14:textId="77777777" w:rsidR="006D7E51" w:rsidRDefault="006D7E51">
            <w:pPr>
              <w:jc w:val="right"/>
              <w:rPr>
                <w:color w:val="000000"/>
                <w:sz w:val="20"/>
                <w:szCs w:val="20"/>
              </w:rPr>
            </w:pPr>
            <w:r>
              <w:rPr>
                <w:color w:val="000000"/>
                <w:sz w:val="20"/>
                <w:szCs w:val="20"/>
              </w:rPr>
              <w:t>1 227 441</w:t>
            </w:r>
          </w:p>
        </w:tc>
        <w:tc>
          <w:tcPr>
            <w:tcW w:w="1295" w:type="dxa"/>
            <w:tcBorders>
              <w:top w:val="nil"/>
              <w:left w:val="nil"/>
              <w:bottom w:val="single" w:sz="4" w:space="0" w:color="BFBFBF"/>
              <w:right w:val="single" w:sz="4" w:space="0" w:color="auto"/>
            </w:tcBorders>
            <w:shd w:val="clear" w:color="auto" w:fill="auto"/>
            <w:noWrap/>
            <w:vAlign w:val="center"/>
            <w:hideMark/>
          </w:tcPr>
          <w:p w14:paraId="5B870939" w14:textId="77777777" w:rsidR="006D7E51" w:rsidRDefault="006D7E51">
            <w:pPr>
              <w:jc w:val="right"/>
              <w:rPr>
                <w:color w:val="000000"/>
                <w:sz w:val="20"/>
                <w:szCs w:val="20"/>
              </w:rPr>
            </w:pPr>
            <w:r>
              <w:rPr>
                <w:color w:val="000000"/>
                <w:sz w:val="20"/>
                <w:szCs w:val="20"/>
              </w:rPr>
              <w:t>869 428</w:t>
            </w:r>
          </w:p>
        </w:tc>
        <w:tc>
          <w:tcPr>
            <w:tcW w:w="1123" w:type="dxa"/>
            <w:tcBorders>
              <w:top w:val="nil"/>
              <w:left w:val="nil"/>
              <w:bottom w:val="single" w:sz="4" w:space="0" w:color="BFBFBF"/>
              <w:right w:val="single" w:sz="4" w:space="0" w:color="auto"/>
            </w:tcBorders>
            <w:shd w:val="clear" w:color="auto" w:fill="auto"/>
            <w:noWrap/>
            <w:vAlign w:val="center"/>
            <w:hideMark/>
          </w:tcPr>
          <w:p w14:paraId="6679B30F"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65D7411B" w14:textId="77777777" w:rsidR="006D7E51" w:rsidRDefault="006D7E51">
            <w:pPr>
              <w:jc w:val="right"/>
              <w:rPr>
                <w:color w:val="000000"/>
                <w:sz w:val="20"/>
                <w:szCs w:val="20"/>
              </w:rPr>
            </w:pPr>
            <w:r>
              <w:rPr>
                <w:color w:val="000000"/>
                <w:sz w:val="20"/>
                <w:szCs w:val="20"/>
              </w:rPr>
              <w:t>1 227 441</w:t>
            </w:r>
          </w:p>
        </w:tc>
        <w:tc>
          <w:tcPr>
            <w:tcW w:w="1295" w:type="dxa"/>
            <w:tcBorders>
              <w:top w:val="nil"/>
              <w:left w:val="nil"/>
              <w:bottom w:val="single" w:sz="4" w:space="0" w:color="BFBFBF"/>
              <w:right w:val="single" w:sz="4" w:space="0" w:color="auto"/>
            </w:tcBorders>
            <w:shd w:val="clear" w:color="auto" w:fill="auto"/>
            <w:noWrap/>
            <w:vAlign w:val="center"/>
            <w:hideMark/>
          </w:tcPr>
          <w:p w14:paraId="0DE98FEA" w14:textId="77777777" w:rsidR="006D7E51" w:rsidRDefault="006D7E51">
            <w:pPr>
              <w:jc w:val="right"/>
              <w:rPr>
                <w:color w:val="000000"/>
                <w:sz w:val="20"/>
                <w:szCs w:val="20"/>
              </w:rPr>
            </w:pPr>
            <w:r>
              <w:rPr>
                <w:color w:val="000000"/>
                <w:sz w:val="20"/>
                <w:szCs w:val="20"/>
              </w:rPr>
              <w:t>869 428</w:t>
            </w:r>
          </w:p>
        </w:tc>
        <w:tc>
          <w:tcPr>
            <w:tcW w:w="1123" w:type="dxa"/>
            <w:tcBorders>
              <w:top w:val="nil"/>
              <w:left w:val="nil"/>
              <w:bottom w:val="single" w:sz="4" w:space="0" w:color="BFBFBF"/>
              <w:right w:val="single" w:sz="4" w:space="0" w:color="auto"/>
            </w:tcBorders>
            <w:shd w:val="clear" w:color="auto" w:fill="auto"/>
            <w:noWrap/>
            <w:vAlign w:val="center"/>
            <w:hideMark/>
          </w:tcPr>
          <w:p w14:paraId="5442B516"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1E29E5DC" w14:textId="77777777" w:rsidR="006D7E51" w:rsidRDefault="006D7E51">
            <w:pPr>
              <w:jc w:val="right"/>
              <w:rPr>
                <w:color w:val="000000"/>
                <w:sz w:val="20"/>
                <w:szCs w:val="20"/>
              </w:rPr>
            </w:pPr>
            <w:r>
              <w:rPr>
                <w:color w:val="000000"/>
                <w:sz w:val="20"/>
                <w:szCs w:val="20"/>
              </w:rPr>
              <w:t>1 227 441</w:t>
            </w:r>
          </w:p>
        </w:tc>
      </w:tr>
      <w:tr w:rsidR="006D7E51" w14:paraId="4A70FEFD"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3C7DAA89"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3C041320" w14:textId="77777777" w:rsidR="006D7E51" w:rsidRDefault="006D7E51">
            <w:pPr>
              <w:rPr>
                <w:sz w:val="20"/>
                <w:szCs w:val="20"/>
              </w:rPr>
            </w:pPr>
            <w:r>
              <w:rPr>
                <w:sz w:val="20"/>
                <w:szCs w:val="20"/>
              </w:rPr>
              <w:t>Uzturēšanas izdevumi</w:t>
            </w:r>
          </w:p>
        </w:tc>
        <w:tc>
          <w:tcPr>
            <w:tcW w:w="1295" w:type="dxa"/>
            <w:tcBorders>
              <w:top w:val="nil"/>
              <w:left w:val="nil"/>
              <w:bottom w:val="single" w:sz="4" w:space="0" w:color="BFBFBF"/>
              <w:right w:val="single" w:sz="4" w:space="0" w:color="auto"/>
            </w:tcBorders>
            <w:shd w:val="clear" w:color="auto" w:fill="auto"/>
            <w:noWrap/>
            <w:vAlign w:val="center"/>
            <w:hideMark/>
          </w:tcPr>
          <w:p w14:paraId="035E85CD" w14:textId="77777777" w:rsidR="006D7E51" w:rsidRDefault="006D7E51">
            <w:pPr>
              <w:jc w:val="right"/>
              <w:rPr>
                <w:color w:val="000000"/>
                <w:sz w:val="20"/>
                <w:szCs w:val="20"/>
              </w:rPr>
            </w:pPr>
            <w:r>
              <w:rPr>
                <w:color w:val="000000"/>
                <w:sz w:val="20"/>
                <w:szCs w:val="20"/>
              </w:rPr>
              <w:t>863 478</w:t>
            </w:r>
          </w:p>
        </w:tc>
        <w:tc>
          <w:tcPr>
            <w:tcW w:w="1123" w:type="dxa"/>
            <w:tcBorders>
              <w:top w:val="nil"/>
              <w:left w:val="nil"/>
              <w:bottom w:val="single" w:sz="4" w:space="0" w:color="BFBFBF"/>
              <w:right w:val="single" w:sz="4" w:space="0" w:color="auto"/>
            </w:tcBorders>
            <w:shd w:val="clear" w:color="auto" w:fill="auto"/>
            <w:noWrap/>
            <w:vAlign w:val="center"/>
            <w:hideMark/>
          </w:tcPr>
          <w:p w14:paraId="5C3FAE69"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1212E10B" w14:textId="77777777" w:rsidR="006D7E51" w:rsidRDefault="006D7E51">
            <w:pPr>
              <w:jc w:val="right"/>
              <w:rPr>
                <w:color w:val="000000"/>
                <w:sz w:val="20"/>
                <w:szCs w:val="20"/>
              </w:rPr>
            </w:pPr>
            <w:r>
              <w:rPr>
                <w:color w:val="000000"/>
                <w:sz w:val="20"/>
                <w:szCs w:val="20"/>
              </w:rPr>
              <w:t>1 221 491</w:t>
            </w:r>
          </w:p>
        </w:tc>
        <w:tc>
          <w:tcPr>
            <w:tcW w:w="1295" w:type="dxa"/>
            <w:tcBorders>
              <w:top w:val="nil"/>
              <w:left w:val="nil"/>
              <w:bottom w:val="single" w:sz="4" w:space="0" w:color="BFBFBF"/>
              <w:right w:val="single" w:sz="4" w:space="0" w:color="auto"/>
            </w:tcBorders>
            <w:shd w:val="clear" w:color="auto" w:fill="auto"/>
            <w:noWrap/>
            <w:vAlign w:val="center"/>
            <w:hideMark/>
          </w:tcPr>
          <w:p w14:paraId="79500FE0" w14:textId="77777777" w:rsidR="006D7E51" w:rsidRDefault="006D7E51">
            <w:pPr>
              <w:jc w:val="right"/>
              <w:rPr>
                <w:color w:val="000000"/>
                <w:sz w:val="20"/>
                <w:szCs w:val="20"/>
              </w:rPr>
            </w:pPr>
            <w:r>
              <w:rPr>
                <w:color w:val="000000"/>
                <w:sz w:val="20"/>
                <w:szCs w:val="20"/>
              </w:rPr>
              <w:t>863 478</w:t>
            </w:r>
          </w:p>
        </w:tc>
        <w:tc>
          <w:tcPr>
            <w:tcW w:w="1123" w:type="dxa"/>
            <w:tcBorders>
              <w:top w:val="nil"/>
              <w:left w:val="nil"/>
              <w:bottom w:val="single" w:sz="4" w:space="0" w:color="BFBFBF"/>
              <w:right w:val="single" w:sz="4" w:space="0" w:color="auto"/>
            </w:tcBorders>
            <w:shd w:val="clear" w:color="auto" w:fill="auto"/>
            <w:noWrap/>
            <w:vAlign w:val="center"/>
            <w:hideMark/>
          </w:tcPr>
          <w:p w14:paraId="0F7DFD03"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6F6020A6" w14:textId="77777777" w:rsidR="006D7E51" w:rsidRDefault="006D7E51">
            <w:pPr>
              <w:jc w:val="right"/>
              <w:rPr>
                <w:color w:val="000000"/>
                <w:sz w:val="20"/>
                <w:szCs w:val="20"/>
              </w:rPr>
            </w:pPr>
            <w:r>
              <w:rPr>
                <w:color w:val="000000"/>
                <w:sz w:val="20"/>
                <w:szCs w:val="20"/>
              </w:rPr>
              <w:t>1 221 491</w:t>
            </w:r>
          </w:p>
        </w:tc>
        <w:tc>
          <w:tcPr>
            <w:tcW w:w="1295" w:type="dxa"/>
            <w:tcBorders>
              <w:top w:val="nil"/>
              <w:left w:val="nil"/>
              <w:bottom w:val="single" w:sz="4" w:space="0" w:color="BFBFBF"/>
              <w:right w:val="single" w:sz="4" w:space="0" w:color="auto"/>
            </w:tcBorders>
            <w:shd w:val="clear" w:color="auto" w:fill="auto"/>
            <w:noWrap/>
            <w:vAlign w:val="center"/>
            <w:hideMark/>
          </w:tcPr>
          <w:p w14:paraId="55D161DC" w14:textId="77777777" w:rsidR="006D7E51" w:rsidRDefault="006D7E51">
            <w:pPr>
              <w:jc w:val="right"/>
              <w:rPr>
                <w:color w:val="000000"/>
                <w:sz w:val="20"/>
                <w:szCs w:val="20"/>
              </w:rPr>
            </w:pPr>
            <w:r>
              <w:rPr>
                <w:color w:val="000000"/>
                <w:sz w:val="20"/>
                <w:szCs w:val="20"/>
              </w:rPr>
              <w:t>863 478</w:t>
            </w:r>
          </w:p>
        </w:tc>
        <w:tc>
          <w:tcPr>
            <w:tcW w:w="1123" w:type="dxa"/>
            <w:tcBorders>
              <w:top w:val="nil"/>
              <w:left w:val="nil"/>
              <w:bottom w:val="single" w:sz="4" w:space="0" w:color="BFBFBF"/>
              <w:right w:val="single" w:sz="4" w:space="0" w:color="auto"/>
            </w:tcBorders>
            <w:shd w:val="clear" w:color="auto" w:fill="auto"/>
            <w:noWrap/>
            <w:vAlign w:val="center"/>
            <w:hideMark/>
          </w:tcPr>
          <w:p w14:paraId="5CA421F1"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1FB6FF68" w14:textId="77777777" w:rsidR="006D7E51" w:rsidRDefault="006D7E51">
            <w:pPr>
              <w:jc w:val="right"/>
              <w:rPr>
                <w:color w:val="000000"/>
                <w:sz w:val="20"/>
                <w:szCs w:val="20"/>
              </w:rPr>
            </w:pPr>
            <w:r>
              <w:rPr>
                <w:color w:val="000000"/>
                <w:sz w:val="20"/>
                <w:szCs w:val="20"/>
              </w:rPr>
              <w:t>1 221 491</w:t>
            </w:r>
          </w:p>
        </w:tc>
      </w:tr>
      <w:tr w:rsidR="006D7E51" w14:paraId="017E9DA0"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6BF31151" w14:textId="77777777" w:rsidR="006D7E51" w:rsidRDefault="006D7E51">
            <w:pPr>
              <w:ind w:firstLineChars="200" w:firstLine="4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66EC2F5C" w14:textId="77777777" w:rsidR="006D7E51" w:rsidRDefault="006D7E51">
            <w:pPr>
              <w:rPr>
                <w:sz w:val="20"/>
                <w:szCs w:val="20"/>
              </w:rPr>
            </w:pPr>
            <w:r>
              <w:rPr>
                <w:sz w:val="20"/>
                <w:szCs w:val="20"/>
              </w:rPr>
              <w:t>Kārtējie izdevumi</w:t>
            </w:r>
          </w:p>
        </w:tc>
        <w:tc>
          <w:tcPr>
            <w:tcW w:w="1295" w:type="dxa"/>
            <w:tcBorders>
              <w:top w:val="nil"/>
              <w:left w:val="nil"/>
              <w:bottom w:val="single" w:sz="4" w:space="0" w:color="BFBFBF"/>
              <w:right w:val="single" w:sz="4" w:space="0" w:color="auto"/>
            </w:tcBorders>
            <w:shd w:val="clear" w:color="auto" w:fill="auto"/>
            <w:noWrap/>
            <w:vAlign w:val="center"/>
            <w:hideMark/>
          </w:tcPr>
          <w:p w14:paraId="0DE1BBA9" w14:textId="77777777" w:rsidR="006D7E51" w:rsidRDefault="006D7E51">
            <w:pPr>
              <w:jc w:val="right"/>
              <w:rPr>
                <w:color w:val="000000"/>
                <w:sz w:val="20"/>
                <w:szCs w:val="20"/>
              </w:rPr>
            </w:pPr>
            <w:r>
              <w:rPr>
                <w:color w:val="000000"/>
                <w:sz w:val="20"/>
                <w:szCs w:val="20"/>
              </w:rPr>
              <w:t>863 478</w:t>
            </w:r>
          </w:p>
        </w:tc>
        <w:tc>
          <w:tcPr>
            <w:tcW w:w="1123" w:type="dxa"/>
            <w:tcBorders>
              <w:top w:val="nil"/>
              <w:left w:val="nil"/>
              <w:bottom w:val="single" w:sz="4" w:space="0" w:color="BFBFBF"/>
              <w:right w:val="single" w:sz="4" w:space="0" w:color="auto"/>
            </w:tcBorders>
            <w:shd w:val="clear" w:color="auto" w:fill="auto"/>
            <w:noWrap/>
            <w:vAlign w:val="center"/>
            <w:hideMark/>
          </w:tcPr>
          <w:p w14:paraId="27E8F0B4"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2E66E69C" w14:textId="77777777" w:rsidR="006D7E51" w:rsidRDefault="006D7E51">
            <w:pPr>
              <w:jc w:val="right"/>
              <w:rPr>
                <w:color w:val="000000"/>
                <w:sz w:val="20"/>
                <w:szCs w:val="20"/>
              </w:rPr>
            </w:pPr>
            <w:r>
              <w:rPr>
                <w:color w:val="000000"/>
                <w:sz w:val="20"/>
                <w:szCs w:val="20"/>
              </w:rPr>
              <w:t>1 221 491</w:t>
            </w:r>
          </w:p>
        </w:tc>
        <w:tc>
          <w:tcPr>
            <w:tcW w:w="1295" w:type="dxa"/>
            <w:tcBorders>
              <w:top w:val="nil"/>
              <w:left w:val="nil"/>
              <w:bottom w:val="single" w:sz="4" w:space="0" w:color="BFBFBF"/>
              <w:right w:val="single" w:sz="4" w:space="0" w:color="auto"/>
            </w:tcBorders>
            <w:shd w:val="clear" w:color="auto" w:fill="auto"/>
            <w:noWrap/>
            <w:vAlign w:val="center"/>
            <w:hideMark/>
          </w:tcPr>
          <w:p w14:paraId="3CA9B182" w14:textId="77777777" w:rsidR="006D7E51" w:rsidRDefault="006D7E51">
            <w:pPr>
              <w:jc w:val="right"/>
              <w:rPr>
                <w:color w:val="000000"/>
                <w:sz w:val="20"/>
                <w:szCs w:val="20"/>
              </w:rPr>
            </w:pPr>
            <w:r>
              <w:rPr>
                <w:color w:val="000000"/>
                <w:sz w:val="20"/>
                <w:szCs w:val="20"/>
              </w:rPr>
              <w:t>863 478</w:t>
            </w:r>
          </w:p>
        </w:tc>
        <w:tc>
          <w:tcPr>
            <w:tcW w:w="1123" w:type="dxa"/>
            <w:tcBorders>
              <w:top w:val="nil"/>
              <w:left w:val="nil"/>
              <w:bottom w:val="single" w:sz="4" w:space="0" w:color="BFBFBF"/>
              <w:right w:val="single" w:sz="4" w:space="0" w:color="auto"/>
            </w:tcBorders>
            <w:shd w:val="clear" w:color="auto" w:fill="auto"/>
            <w:noWrap/>
            <w:vAlign w:val="center"/>
            <w:hideMark/>
          </w:tcPr>
          <w:p w14:paraId="550BA2F7"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3A77B64C" w14:textId="77777777" w:rsidR="006D7E51" w:rsidRDefault="006D7E51">
            <w:pPr>
              <w:jc w:val="right"/>
              <w:rPr>
                <w:color w:val="000000"/>
                <w:sz w:val="20"/>
                <w:szCs w:val="20"/>
              </w:rPr>
            </w:pPr>
            <w:r>
              <w:rPr>
                <w:color w:val="000000"/>
                <w:sz w:val="20"/>
                <w:szCs w:val="20"/>
              </w:rPr>
              <w:t>1 221 491</w:t>
            </w:r>
          </w:p>
        </w:tc>
        <w:tc>
          <w:tcPr>
            <w:tcW w:w="1295" w:type="dxa"/>
            <w:tcBorders>
              <w:top w:val="nil"/>
              <w:left w:val="nil"/>
              <w:bottom w:val="single" w:sz="4" w:space="0" w:color="BFBFBF"/>
              <w:right w:val="single" w:sz="4" w:space="0" w:color="auto"/>
            </w:tcBorders>
            <w:shd w:val="clear" w:color="auto" w:fill="auto"/>
            <w:noWrap/>
            <w:vAlign w:val="center"/>
            <w:hideMark/>
          </w:tcPr>
          <w:p w14:paraId="1D994FE9" w14:textId="77777777" w:rsidR="006D7E51" w:rsidRDefault="006D7E51">
            <w:pPr>
              <w:jc w:val="right"/>
              <w:rPr>
                <w:color w:val="000000"/>
                <w:sz w:val="20"/>
                <w:szCs w:val="20"/>
              </w:rPr>
            </w:pPr>
            <w:r>
              <w:rPr>
                <w:color w:val="000000"/>
                <w:sz w:val="20"/>
                <w:szCs w:val="20"/>
              </w:rPr>
              <w:t>863 478</w:t>
            </w:r>
          </w:p>
        </w:tc>
        <w:tc>
          <w:tcPr>
            <w:tcW w:w="1123" w:type="dxa"/>
            <w:tcBorders>
              <w:top w:val="nil"/>
              <w:left w:val="nil"/>
              <w:bottom w:val="single" w:sz="4" w:space="0" w:color="BFBFBF"/>
              <w:right w:val="single" w:sz="4" w:space="0" w:color="auto"/>
            </w:tcBorders>
            <w:shd w:val="clear" w:color="auto" w:fill="auto"/>
            <w:noWrap/>
            <w:vAlign w:val="center"/>
            <w:hideMark/>
          </w:tcPr>
          <w:p w14:paraId="1D9B705E" w14:textId="77777777" w:rsidR="006D7E51" w:rsidRDefault="006D7E51">
            <w:pPr>
              <w:jc w:val="right"/>
              <w:rPr>
                <w:color w:val="000000"/>
                <w:sz w:val="20"/>
                <w:szCs w:val="20"/>
              </w:rPr>
            </w:pPr>
            <w:r>
              <w:rPr>
                <w:color w:val="000000"/>
                <w:sz w:val="20"/>
                <w:szCs w:val="20"/>
              </w:rPr>
              <w:t>358 013</w:t>
            </w:r>
          </w:p>
        </w:tc>
        <w:tc>
          <w:tcPr>
            <w:tcW w:w="1145" w:type="dxa"/>
            <w:tcBorders>
              <w:top w:val="nil"/>
              <w:left w:val="nil"/>
              <w:bottom w:val="single" w:sz="4" w:space="0" w:color="BFBFBF"/>
              <w:right w:val="single" w:sz="4" w:space="0" w:color="auto"/>
            </w:tcBorders>
            <w:shd w:val="clear" w:color="auto" w:fill="auto"/>
            <w:noWrap/>
            <w:vAlign w:val="center"/>
            <w:hideMark/>
          </w:tcPr>
          <w:p w14:paraId="6F328E01" w14:textId="77777777" w:rsidR="006D7E51" w:rsidRDefault="006D7E51">
            <w:pPr>
              <w:jc w:val="right"/>
              <w:rPr>
                <w:color w:val="000000"/>
                <w:sz w:val="20"/>
                <w:szCs w:val="20"/>
              </w:rPr>
            </w:pPr>
            <w:r>
              <w:rPr>
                <w:color w:val="000000"/>
                <w:sz w:val="20"/>
                <w:szCs w:val="20"/>
              </w:rPr>
              <w:t>1 221 491</w:t>
            </w:r>
          </w:p>
        </w:tc>
      </w:tr>
      <w:tr w:rsidR="006D7E51" w14:paraId="118DCE6D"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171ADE8" w14:textId="77777777" w:rsidR="006D7E51" w:rsidRDefault="006D7E51">
            <w:pPr>
              <w:ind w:firstLineChars="300" w:firstLine="6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3129929F" w14:textId="77777777" w:rsidR="006D7E51" w:rsidRDefault="006D7E51">
            <w:pPr>
              <w:rPr>
                <w:sz w:val="20"/>
                <w:szCs w:val="20"/>
              </w:rPr>
            </w:pPr>
            <w:r>
              <w:rPr>
                <w:sz w:val="20"/>
                <w:szCs w:val="20"/>
              </w:rPr>
              <w:t>Atlīdzība</w:t>
            </w:r>
          </w:p>
        </w:tc>
        <w:tc>
          <w:tcPr>
            <w:tcW w:w="1295" w:type="dxa"/>
            <w:tcBorders>
              <w:top w:val="nil"/>
              <w:left w:val="nil"/>
              <w:bottom w:val="single" w:sz="4" w:space="0" w:color="BFBFBF"/>
              <w:right w:val="single" w:sz="4" w:space="0" w:color="auto"/>
            </w:tcBorders>
            <w:shd w:val="clear" w:color="auto" w:fill="auto"/>
            <w:noWrap/>
            <w:vAlign w:val="center"/>
            <w:hideMark/>
          </w:tcPr>
          <w:p w14:paraId="22EAAE03" w14:textId="77777777" w:rsidR="006D7E51" w:rsidRDefault="006D7E51">
            <w:pPr>
              <w:jc w:val="right"/>
              <w:rPr>
                <w:color w:val="000000"/>
                <w:sz w:val="20"/>
                <w:szCs w:val="20"/>
              </w:rPr>
            </w:pPr>
            <w:r>
              <w:rPr>
                <w:color w:val="000000"/>
                <w:sz w:val="20"/>
                <w:szCs w:val="20"/>
              </w:rPr>
              <w:t>728 141</w:t>
            </w:r>
          </w:p>
        </w:tc>
        <w:tc>
          <w:tcPr>
            <w:tcW w:w="1123" w:type="dxa"/>
            <w:tcBorders>
              <w:top w:val="nil"/>
              <w:left w:val="nil"/>
              <w:bottom w:val="single" w:sz="4" w:space="0" w:color="BFBFBF"/>
              <w:right w:val="single" w:sz="4" w:space="0" w:color="auto"/>
            </w:tcBorders>
            <w:shd w:val="clear" w:color="auto" w:fill="auto"/>
            <w:noWrap/>
            <w:vAlign w:val="center"/>
            <w:hideMark/>
          </w:tcPr>
          <w:p w14:paraId="2022712C" w14:textId="77777777" w:rsidR="006D7E51" w:rsidRDefault="006D7E51">
            <w:pPr>
              <w:jc w:val="right"/>
              <w:rPr>
                <w:color w:val="000000"/>
                <w:sz w:val="20"/>
                <w:szCs w:val="20"/>
              </w:rPr>
            </w:pPr>
            <w:r>
              <w:rPr>
                <w:color w:val="000000"/>
                <w:sz w:val="20"/>
                <w:szCs w:val="20"/>
              </w:rPr>
              <w:t>300 003</w:t>
            </w:r>
          </w:p>
        </w:tc>
        <w:tc>
          <w:tcPr>
            <w:tcW w:w="1145" w:type="dxa"/>
            <w:tcBorders>
              <w:top w:val="nil"/>
              <w:left w:val="nil"/>
              <w:bottom w:val="single" w:sz="4" w:space="0" w:color="BFBFBF"/>
              <w:right w:val="single" w:sz="4" w:space="0" w:color="auto"/>
            </w:tcBorders>
            <w:shd w:val="clear" w:color="auto" w:fill="auto"/>
            <w:noWrap/>
            <w:vAlign w:val="center"/>
            <w:hideMark/>
          </w:tcPr>
          <w:p w14:paraId="645C74C8" w14:textId="77777777" w:rsidR="006D7E51" w:rsidRDefault="006D7E51">
            <w:pPr>
              <w:jc w:val="right"/>
              <w:rPr>
                <w:color w:val="000000"/>
                <w:sz w:val="20"/>
                <w:szCs w:val="20"/>
              </w:rPr>
            </w:pPr>
            <w:r>
              <w:rPr>
                <w:color w:val="000000"/>
                <w:sz w:val="20"/>
                <w:szCs w:val="20"/>
              </w:rPr>
              <w:t>1 028 144</w:t>
            </w:r>
          </w:p>
        </w:tc>
        <w:tc>
          <w:tcPr>
            <w:tcW w:w="1295" w:type="dxa"/>
            <w:tcBorders>
              <w:top w:val="nil"/>
              <w:left w:val="nil"/>
              <w:bottom w:val="single" w:sz="4" w:space="0" w:color="BFBFBF"/>
              <w:right w:val="single" w:sz="4" w:space="0" w:color="auto"/>
            </w:tcBorders>
            <w:shd w:val="clear" w:color="auto" w:fill="auto"/>
            <w:noWrap/>
            <w:vAlign w:val="center"/>
            <w:hideMark/>
          </w:tcPr>
          <w:p w14:paraId="49F907A7" w14:textId="77777777" w:rsidR="006D7E51" w:rsidRDefault="006D7E51">
            <w:pPr>
              <w:jc w:val="right"/>
              <w:rPr>
                <w:color w:val="000000"/>
                <w:sz w:val="20"/>
                <w:szCs w:val="20"/>
              </w:rPr>
            </w:pPr>
            <w:r>
              <w:rPr>
                <w:color w:val="000000"/>
                <w:sz w:val="20"/>
                <w:szCs w:val="20"/>
              </w:rPr>
              <w:t>728 141</w:t>
            </w:r>
          </w:p>
        </w:tc>
        <w:tc>
          <w:tcPr>
            <w:tcW w:w="1123" w:type="dxa"/>
            <w:tcBorders>
              <w:top w:val="nil"/>
              <w:left w:val="nil"/>
              <w:bottom w:val="single" w:sz="4" w:space="0" w:color="BFBFBF"/>
              <w:right w:val="single" w:sz="4" w:space="0" w:color="auto"/>
            </w:tcBorders>
            <w:shd w:val="clear" w:color="auto" w:fill="auto"/>
            <w:noWrap/>
            <w:vAlign w:val="center"/>
            <w:hideMark/>
          </w:tcPr>
          <w:p w14:paraId="71A77A31" w14:textId="77777777" w:rsidR="006D7E51" w:rsidRDefault="006D7E51">
            <w:pPr>
              <w:jc w:val="right"/>
              <w:rPr>
                <w:color w:val="000000"/>
                <w:sz w:val="20"/>
                <w:szCs w:val="20"/>
              </w:rPr>
            </w:pPr>
            <w:r>
              <w:rPr>
                <w:color w:val="000000"/>
                <w:sz w:val="20"/>
                <w:szCs w:val="20"/>
              </w:rPr>
              <w:t>300 003</w:t>
            </w:r>
          </w:p>
        </w:tc>
        <w:tc>
          <w:tcPr>
            <w:tcW w:w="1145" w:type="dxa"/>
            <w:tcBorders>
              <w:top w:val="nil"/>
              <w:left w:val="nil"/>
              <w:bottom w:val="single" w:sz="4" w:space="0" w:color="BFBFBF"/>
              <w:right w:val="single" w:sz="4" w:space="0" w:color="auto"/>
            </w:tcBorders>
            <w:shd w:val="clear" w:color="auto" w:fill="auto"/>
            <w:noWrap/>
            <w:vAlign w:val="center"/>
            <w:hideMark/>
          </w:tcPr>
          <w:p w14:paraId="4107928D" w14:textId="77777777" w:rsidR="006D7E51" w:rsidRDefault="006D7E51">
            <w:pPr>
              <w:jc w:val="right"/>
              <w:rPr>
                <w:color w:val="000000"/>
                <w:sz w:val="20"/>
                <w:szCs w:val="20"/>
              </w:rPr>
            </w:pPr>
            <w:r>
              <w:rPr>
                <w:color w:val="000000"/>
                <w:sz w:val="20"/>
                <w:szCs w:val="20"/>
              </w:rPr>
              <w:t>1 028 144</w:t>
            </w:r>
          </w:p>
        </w:tc>
        <w:tc>
          <w:tcPr>
            <w:tcW w:w="1295" w:type="dxa"/>
            <w:tcBorders>
              <w:top w:val="nil"/>
              <w:left w:val="nil"/>
              <w:bottom w:val="single" w:sz="4" w:space="0" w:color="BFBFBF"/>
              <w:right w:val="single" w:sz="4" w:space="0" w:color="auto"/>
            </w:tcBorders>
            <w:shd w:val="clear" w:color="auto" w:fill="auto"/>
            <w:noWrap/>
            <w:vAlign w:val="center"/>
            <w:hideMark/>
          </w:tcPr>
          <w:p w14:paraId="5A8E02AA" w14:textId="77777777" w:rsidR="006D7E51" w:rsidRDefault="006D7E51">
            <w:pPr>
              <w:jc w:val="right"/>
              <w:rPr>
                <w:color w:val="000000"/>
                <w:sz w:val="20"/>
                <w:szCs w:val="20"/>
              </w:rPr>
            </w:pPr>
            <w:r>
              <w:rPr>
                <w:color w:val="000000"/>
                <w:sz w:val="20"/>
                <w:szCs w:val="20"/>
              </w:rPr>
              <w:t>728 141</w:t>
            </w:r>
          </w:p>
        </w:tc>
        <w:tc>
          <w:tcPr>
            <w:tcW w:w="1123" w:type="dxa"/>
            <w:tcBorders>
              <w:top w:val="nil"/>
              <w:left w:val="nil"/>
              <w:bottom w:val="single" w:sz="4" w:space="0" w:color="BFBFBF"/>
              <w:right w:val="single" w:sz="4" w:space="0" w:color="auto"/>
            </w:tcBorders>
            <w:shd w:val="clear" w:color="auto" w:fill="auto"/>
            <w:noWrap/>
            <w:vAlign w:val="center"/>
            <w:hideMark/>
          </w:tcPr>
          <w:p w14:paraId="15090CA0" w14:textId="77777777" w:rsidR="006D7E51" w:rsidRDefault="006D7E51">
            <w:pPr>
              <w:jc w:val="right"/>
              <w:rPr>
                <w:color w:val="000000"/>
                <w:sz w:val="20"/>
                <w:szCs w:val="20"/>
              </w:rPr>
            </w:pPr>
            <w:r>
              <w:rPr>
                <w:color w:val="000000"/>
                <w:sz w:val="20"/>
                <w:szCs w:val="20"/>
              </w:rPr>
              <w:t>300 003</w:t>
            </w:r>
          </w:p>
        </w:tc>
        <w:tc>
          <w:tcPr>
            <w:tcW w:w="1145" w:type="dxa"/>
            <w:tcBorders>
              <w:top w:val="nil"/>
              <w:left w:val="nil"/>
              <w:bottom w:val="single" w:sz="4" w:space="0" w:color="BFBFBF"/>
              <w:right w:val="single" w:sz="4" w:space="0" w:color="auto"/>
            </w:tcBorders>
            <w:shd w:val="clear" w:color="auto" w:fill="auto"/>
            <w:noWrap/>
            <w:vAlign w:val="center"/>
            <w:hideMark/>
          </w:tcPr>
          <w:p w14:paraId="173619F0" w14:textId="77777777" w:rsidR="006D7E51" w:rsidRDefault="006D7E51">
            <w:pPr>
              <w:jc w:val="right"/>
              <w:rPr>
                <w:color w:val="000000"/>
                <w:sz w:val="20"/>
                <w:szCs w:val="20"/>
              </w:rPr>
            </w:pPr>
            <w:r>
              <w:rPr>
                <w:color w:val="000000"/>
                <w:sz w:val="20"/>
                <w:szCs w:val="20"/>
              </w:rPr>
              <w:t>1 028 144</w:t>
            </w:r>
          </w:p>
        </w:tc>
      </w:tr>
      <w:tr w:rsidR="006D7E51" w14:paraId="0008F08B"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0834F4F5" w14:textId="77777777" w:rsidR="006D7E51" w:rsidRDefault="006D7E51">
            <w:pPr>
              <w:ind w:firstLineChars="400" w:firstLine="8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72A607CF" w14:textId="77777777" w:rsidR="006D7E51" w:rsidRDefault="006D7E51">
            <w:pPr>
              <w:rPr>
                <w:sz w:val="20"/>
                <w:szCs w:val="20"/>
              </w:rPr>
            </w:pPr>
            <w:r>
              <w:rPr>
                <w:sz w:val="20"/>
                <w:szCs w:val="20"/>
              </w:rPr>
              <w:t>Atalgojums</w:t>
            </w:r>
          </w:p>
        </w:tc>
        <w:tc>
          <w:tcPr>
            <w:tcW w:w="1295" w:type="dxa"/>
            <w:tcBorders>
              <w:top w:val="nil"/>
              <w:left w:val="nil"/>
              <w:bottom w:val="single" w:sz="4" w:space="0" w:color="BFBFBF"/>
              <w:right w:val="single" w:sz="4" w:space="0" w:color="auto"/>
            </w:tcBorders>
            <w:shd w:val="clear" w:color="auto" w:fill="auto"/>
            <w:noWrap/>
            <w:vAlign w:val="center"/>
            <w:hideMark/>
          </w:tcPr>
          <w:p w14:paraId="668681DD" w14:textId="77777777" w:rsidR="006D7E51" w:rsidRDefault="006D7E51">
            <w:pPr>
              <w:jc w:val="right"/>
              <w:rPr>
                <w:color w:val="000000"/>
                <w:sz w:val="20"/>
                <w:szCs w:val="20"/>
              </w:rPr>
            </w:pPr>
            <w:r>
              <w:rPr>
                <w:color w:val="000000"/>
                <w:sz w:val="20"/>
                <w:szCs w:val="20"/>
              </w:rPr>
              <w:t>584 899</w:t>
            </w:r>
          </w:p>
        </w:tc>
        <w:tc>
          <w:tcPr>
            <w:tcW w:w="1123" w:type="dxa"/>
            <w:tcBorders>
              <w:top w:val="nil"/>
              <w:left w:val="nil"/>
              <w:bottom w:val="single" w:sz="4" w:space="0" w:color="BFBFBF"/>
              <w:right w:val="single" w:sz="4" w:space="0" w:color="auto"/>
            </w:tcBorders>
            <w:shd w:val="clear" w:color="auto" w:fill="auto"/>
            <w:noWrap/>
            <w:vAlign w:val="center"/>
            <w:hideMark/>
          </w:tcPr>
          <w:p w14:paraId="5130EA41" w14:textId="77777777" w:rsidR="006D7E51" w:rsidRDefault="006D7E51">
            <w:pPr>
              <w:jc w:val="right"/>
              <w:rPr>
                <w:color w:val="000000"/>
                <w:sz w:val="20"/>
                <w:szCs w:val="20"/>
              </w:rPr>
            </w:pPr>
            <w:r>
              <w:rPr>
                <w:color w:val="000000"/>
                <w:sz w:val="20"/>
                <w:szCs w:val="20"/>
              </w:rPr>
              <w:t>233 760</w:t>
            </w:r>
          </w:p>
        </w:tc>
        <w:tc>
          <w:tcPr>
            <w:tcW w:w="1145" w:type="dxa"/>
            <w:tcBorders>
              <w:top w:val="nil"/>
              <w:left w:val="nil"/>
              <w:bottom w:val="single" w:sz="4" w:space="0" w:color="BFBFBF"/>
              <w:right w:val="single" w:sz="4" w:space="0" w:color="auto"/>
            </w:tcBorders>
            <w:shd w:val="clear" w:color="auto" w:fill="auto"/>
            <w:noWrap/>
            <w:vAlign w:val="center"/>
            <w:hideMark/>
          </w:tcPr>
          <w:p w14:paraId="5C9799D3" w14:textId="77777777" w:rsidR="006D7E51" w:rsidRDefault="006D7E51">
            <w:pPr>
              <w:jc w:val="right"/>
              <w:rPr>
                <w:color w:val="000000"/>
                <w:sz w:val="20"/>
                <w:szCs w:val="20"/>
              </w:rPr>
            </w:pPr>
            <w:r>
              <w:rPr>
                <w:color w:val="000000"/>
                <w:sz w:val="20"/>
                <w:szCs w:val="20"/>
              </w:rPr>
              <w:t>818 659</w:t>
            </w:r>
          </w:p>
        </w:tc>
        <w:tc>
          <w:tcPr>
            <w:tcW w:w="1295" w:type="dxa"/>
            <w:tcBorders>
              <w:top w:val="nil"/>
              <w:left w:val="nil"/>
              <w:bottom w:val="single" w:sz="4" w:space="0" w:color="BFBFBF"/>
              <w:right w:val="single" w:sz="4" w:space="0" w:color="auto"/>
            </w:tcBorders>
            <w:shd w:val="clear" w:color="auto" w:fill="auto"/>
            <w:noWrap/>
            <w:vAlign w:val="center"/>
            <w:hideMark/>
          </w:tcPr>
          <w:p w14:paraId="3EF5282B" w14:textId="77777777" w:rsidR="006D7E51" w:rsidRDefault="006D7E51">
            <w:pPr>
              <w:jc w:val="right"/>
              <w:rPr>
                <w:color w:val="000000"/>
                <w:sz w:val="20"/>
                <w:szCs w:val="20"/>
              </w:rPr>
            </w:pPr>
            <w:r>
              <w:rPr>
                <w:color w:val="000000"/>
                <w:sz w:val="20"/>
                <w:szCs w:val="20"/>
              </w:rPr>
              <w:t>584 899</w:t>
            </w:r>
          </w:p>
        </w:tc>
        <w:tc>
          <w:tcPr>
            <w:tcW w:w="1123" w:type="dxa"/>
            <w:tcBorders>
              <w:top w:val="nil"/>
              <w:left w:val="nil"/>
              <w:bottom w:val="single" w:sz="4" w:space="0" w:color="BFBFBF"/>
              <w:right w:val="single" w:sz="4" w:space="0" w:color="auto"/>
            </w:tcBorders>
            <w:shd w:val="clear" w:color="auto" w:fill="auto"/>
            <w:noWrap/>
            <w:vAlign w:val="center"/>
            <w:hideMark/>
          </w:tcPr>
          <w:p w14:paraId="5E12BE67" w14:textId="77777777" w:rsidR="006D7E51" w:rsidRDefault="006D7E51">
            <w:pPr>
              <w:jc w:val="right"/>
              <w:rPr>
                <w:color w:val="000000"/>
                <w:sz w:val="20"/>
                <w:szCs w:val="20"/>
              </w:rPr>
            </w:pPr>
            <w:r>
              <w:rPr>
                <w:color w:val="000000"/>
                <w:sz w:val="20"/>
                <w:szCs w:val="20"/>
              </w:rPr>
              <w:t>233 760</w:t>
            </w:r>
          </w:p>
        </w:tc>
        <w:tc>
          <w:tcPr>
            <w:tcW w:w="1145" w:type="dxa"/>
            <w:tcBorders>
              <w:top w:val="nil"/>
              <w:left w:val="nil"/>
              <w:bottom w:val="single" w:sz="4" w:space="0" w:color="BFBFBF"/>
              <w:right w:val="single" w:sz="4" w:space="0" w:color="auto"/>
            </w:tcBorders>
            <w:shd w:val="clear" w:color="auto" w:fill="auto"/>
            <w:noWrap/>
            <w:vAlign w:val="center"/>
            <w:hideMark/>
          </w:tcPr>
          <w:p w14:paraId="101F6BE2" w14:textId="77777777" w:rsidR="006D7E51" w:rsidRDefault="006D7E51">
            <w:pPr>
              <w:jc w:val="right"/>
              <w:rPr>
                <w:color w:val="000000"/>
                <w:sz w:val="20"/>
                <w:szCs w:val="20"/>
              </w:rPr>
            </w:pPr>
            <w:r>
              <w:rPr>
                <w:color w:val="000000"/>
                <w:sz w:val="20"/>
                <w:szCs w:val="20"/>
              </w:rPr>
              <w:t>818 659</w:t>
            </w:r>
          </w:p>
        </w:tc>
        <w:tc>
          <w:tcPr>
            <w:tcW w:w="1295" w:type="dxa"/>
            <w:tcBorders>
              <w:top w:val="nil"/>
              <w:left w:val="nil"/>
              <w:bottom w:val="single" w:sz="4" w:space="0" w:color="BFBFBF"/>
              <w:right w:val="single" w:sz="4" w:space="0" w:color="auto"/>
            </w:tcBorders>
            <w:shd w:val="clear" w:color="auto" w:fill="auto"/>
            <w:noWrap/>
            <w:vAlign w:val="center"/>
            <w:hideMark/>
          </w:tcPr>
          <w:p w14:paraId="207A7740" w14:textId="77777777" w:rsidR="006D7E51" w:rsidRDefault="006D7E51">
            <w:pPr>
              <w:jc w:val="right"/>
              <w:rPr>
                <w:color w:val="000000"/>
                <w:sz w:val="20"/>
                <w:szCs w:val="20"/>
              </w:rPr>
            </w:pPr>
            <w:r>
              <w:rPr>
                <w:color w:val="000000"/>
                <w:sz w:val="20"/>
                <w:szCs w:val="20"/>
              </w:rPr>
              <w:t>584 899</w:t>
            </w:r>
          </w:p>
        </w:tc>
        <w:tc>
          <w:tcPr>
            <w:tcW w:w="1123" w:type="dxa"/>
            <w:tcBorders>
              <w:top w:val="nil"/>
              <w:left w:val="nil"/>
              <w:bottom w:val="single" w:sz="4" w:space="0" w:color="BFBFBF"/>
              <w:right w:val="single" w:sz="4" w:space="0" w:color="auto"/>
            </w:tcBorders>
            <w:shd w:val="clear" w:color="auto" w:fill="auto"/>
            <w:noWrap/>
            <w:vAlign w:val="center"/>
            <w:hideMark/>
          </w:tcPr>
          <w:p w14:paraId="153D83EE" w14:textId="77777777" w:rsidR="006D7E51" w:rsidRDefault="006D7E51">
            <w:pPr>
              <w:jc w:val="right"/>
              <w:rPr>
                <w:color w:val="000000"/>
                <w:sz w:val="20"/>
                <w:szCs w:val="20"/>
              </w:rPr>
            </w:pPr>
            <w:r>
              <w:rPr>
                <w:color w:val="000000"/>
                <w:sz w:val="20"/>
                <w:szCs w:val="20"/>
              </w:rPr>
              <w:t>233 760</w:t>
            </w:r>
          </w:p>
        </w:tc>
        <w:tc>
          <w:tcPr>
            <w:tcW w:w="1145" w:type="dxa"/>
            <w:tcBorders>
              <w:top w:val="nil"/>
              <w:left w:val="nil"/>
              <w:bottom w:val="single" w:sz="4" w:space="0" w:color="BFBFBF"/>
              <w:right w:val="single" w:sz="4" w:space="0" w:color="auto"/>
            </w:tcBorders>
            <w:shd w:val="clear" w:color="auto" w:fill="auto"/>
            <w:noWrap/>
            <w:vAlign w:val="center"/>
            <w:hideMark/>
          </w:tcPr>
          <w:p w14:paraId="73FB0558" w14:textId="77777777" w:rsidR="006D7E51" w:rsidRDefault="006D7E51">
            <w:pPr>
              <w:jc w:val="right"/>
              <w:rPr>
                <w:color w:val="000000"/>
                <w:sz w:val="20"/>
                <w:szCs w:val="20"/>
              </w:rPr>
            </w:pPr>
            <w:r>
              <w:rPr>
                <w:color w:val="000000"/>
                <w:sz w:val="20"/>
                <w:szCs w:val="20"/>
              </w:rPr>
              <w:t>818 659</w:t>
            </w:r>
          </w:p>
        </w:tc>
      </w:tr>
      <w:tr w:rsidR="006D7E51" w14:paraId="24A0A38B"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200A370" w14:textId="77777777" w:rsidR="006D7E51" w:rsidRDefault="006D7E51">
            <w:pPr>
              <w:ind w:firstLineChars="300" w:firstLine="6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1D8B0091" w14:textId="77777777" w:rsidR="006D7E51" w:rsidRDefault="006D7E51">
            <w:pPr>
              <w:rPr>
                <w:sz w:val="20"/>
                <w:szCs w:val="20"/>
              </w:rPr>
            </w:pPr>
            <w:r>
              <w:rPr>
                <w:sz w:val="20"/>
                <w:szCs w:val="20"/>
              </w:rPr>
              <w:t>Preces un pakalpojumi</w:t>
            </w:r>
          </w:p>
        </w:tc>
        <w:tc>
          <w:tcPr>
            <w:tcW w:w="1295" w:type="dxa"/>
            <w:tcBorders>
              <w:top w:val="nil"/>
              <w:left w:val="nil"/>
              <w:bottom w:val="single" w:sz="4" w:space="0" w:color="BFBFBF"/>
              <w:right w:val="single" w:sz="4" w:space="0" w:color="auto"/>
            </w:tcBorders>
            <w:shd w:val="clear" w:color="auto" w:fill="auto"/>
            <w:noWrap/>
            <w:vAlign w:val="center"/>
            <w:hideMark/>
          </w:tcPr>
          <w:p w14:paraId="78A18C1F" w14:textId="77777777" w:rsidR="006D7E51" w:rsidRDefault="006D7E51">
            <w:pPr>
              <w:jc w:val="right"/>
              <w:rPr>
                <w:color w:val="000000"/>
                <w:sz w:val="20"/>
                <w:szCs w:val="20"/>
              </w:rPr>
            </w:pPr>
            <w:r>
              <w:rPr>
                <w:color w:val="000000"/>
                <w:sz w:val="20"/>
                <w:szCs w:val="20"/>
              </w:rPr>
              <w:t>135 337</w:t>
            </w:r>
          </w:p>
        </w:tc>
        <w:tc>
          <w:tcPr>
            <w:tcW w:w="1123" w:type="dxa"/>
            <w:tcBorders>
              <w:top w:val="nil"/>
              <w:left w:val="nil"/>
              <w:bottom w:val="single" w:sz="4" w:space="0" w:color="BFBFBF"/>
              <w:right w:val="single" w:sz="4" w:space="0" w:color="auto"/>
            </w:tcBorders>
            <w:shd w:val="clear" w:color="auto" w:fill="auto"/>
            <w:noWrap/>
            <w:vAlign w:val="center"/>
            <w:hideMark/>
          </w:tcPr>
          <w:p w14:paraId="68896C1B" w14:textId="77777777" w:rsidR="006D7E51" w:rsidRDefault="006D7E51">
            <w:pPr>
              <w:jc w:val="right"/>
              <w:rPr>
                <w:color w:val="000000"/>
                <w:sz w:val="20"/>
                <w:szCs w:val="20"/>
              </w:rPr>
            </w:pPr>
            <w:r>
              <w:rPr>
                <w:color w:val="000000"/>
                <w:sz w:val="20"/>
                <w:szCs w:val="20"/>
              </w:rPr>
              <w:t>58 010</w:t>
            </w:r>
          </w:p>
        </w:tc>
        <w:tc>
          <w:tcPr>
            <w:tcW w:w="1145" w:type="dxa"/>
            <w:tcBorders>
              <w:top w:val="nil"/>
              <w:left w:val="nil"/>
              <w:bottom w:val="single" w:sz="4" w:space="0" w:color="BFBFBF"/>
              <w:right w:val="single" w:sz="4" w:space="0" w:color="auto"/>
            </w:tcBorders>
            <w:shd w:val="clear" w:color="auto" w:fill="auto"/>
            <w:noWrap/>
            <w:vAlign w:val="center"/>
            <w:hideMark/>
          </w:tcPr>
          <w:p w14:paraId="7B0548E8" w14:textId="77777777" w:rsidR="006D7E51" w:rsidRDefault="006D7E51">
            <w:pPr>
              <w:jc w:val="right"/>
              <w:rPr>
                <w:color w:val="000000"/>
                <w:sz w:val="20"/>
                <w:szCs w:val="20"/>
              </w:rPr>
            </w:pPr>
            <w:r>
              <w:rPr>
                <w:color w:val="000000"/>
                <w:sz w:val="20"/>
                <w:szCs w:val="20"/>
              </w:rPr>
              <w:t>193 347</w:t>
            </w:r>
          </w:p>
        </w:tc>
        <w:tc>
          <w:tcPr>
            <w:tcW w:w="1295" w:type="dxa"/>
            <w:tcBorders>
              <w:top w:val="nil"/>
              <w:left w:val="nil"/>
              <w:bottom w:val="single" w:sz="4" w:space="0" w:color="BFBFBF"/>
              <w:right w:val="single" w:sz="4" w:space="0" w:color="auto"/>
            </w:tcBorders>
            <w:shd w:val="clear" w:color="auto" w:fill="auto"/>
            <w:noWrap/>
            <w:vAlign w:val="center"/>
            <w:hideMark/>
          </w:tcPr>
          <w:p w14:paraId="14CAEB36" w14:textId="77777777" w:rsidR="006D7E51" w:rsidRDefault="006D7E51">
            <w:pPr>
              <w:jc w:val="right"/>
              <w:rPr>
                <w:color w:val="000000"/>
                <w:sz w:val="20"/>
                <w:szCs w:val="20"/>
              </w:rPr>
            </w:pPr>
            <w:r>
              <w:rPr>
                <w:color w:val="000000"/>
                <w:sz w:val="20"/>
                <w:szCs w:val="20"/>
              </w:rPr>
              <w:t>135 337</w:t>
            </w:r>
          </w:p>
        </w:tc>
        <w:tc>
          <w:tcPr>
            <w:tcW w:w="1123" w:type="dxa"/>
            <w:tcBorders>
              <w:top w:val="nil"/>
              <w:left w:val="nil"/>
              <w:bottom w:val="single" w:sz="4" w:space="0" w:color="BFBFBF"/>
              <w:right w:val="single" w:sz="4" w:space="0" w:color="auto"/>
            </w:tcBorders>
            <w:shd w:val="clear" w:color="auto" w:fill="auto"/>
            <w:noWrap/>
            <w:vAlign w:val="center"/>
            <w:hideMark/>
          </w:tcPr>
          <w:p w14:paraId="47AE4511" w14:textId="77777777" w:rsidR="006D7E51" w:rsidRDefault="006D7E51">
            <w:pPr>
              <w:jc w:val="right"/>
              <w:rPr>
                <w:color w:val="000000"/>
                <w:sz w:val="20"/>
                <w:szCs w:val="20"/>
              </w:rPr>
            </w:pPr>
            <w:r>
              <w:rPr>
                <w:color w:val="000000"/>
                <w:sz w:val="20"/>
                <w:szCs w:val="20"/>
              </w:rPr>
              <w:t>58 010</w:t>
            </w:r>
          </w:p>
        </w:tc>
        <w:tc>
          <w:tcPr>
            <w:tcW w:w="1145" w:type="dxa"/>
            <w:tcBorders>
              <w:top w:val="nil"/>
              <w:left w:val="nil"/>
              <w:bottom w:val="single" w:sz="4" w:space="0" w:color="BFBFBF"/>
              <w:right w:val="single" w:sz="4" w:space="0" w:color="auto"/>
            </w:tcBorders>
            <w:shd w:val="clear" w:color="auto" w:fill="auto"/>
            <w:noWrap/>
            <w:vAlign w:val="center"/>
            <w:hideMark/>
          </w:tcPr>
          <w:p w14:paraId="039C7DD6" w14:textId="77777777" w:rsidR="006D7E51" w:rsidRDefault="006D7E51">
            <w:pPr>
              <w:jc w:val="right"/>
              <w:rPr>
                <w:color w:val="000000"/>
                <w:sz w:val="20"/>
                <w:szCs w:val="20"/>
              </w:rPr>
            </w:pPr>
            <w:r>
              <w:rPr>
                <w:color w:val="000000"/>
                <w:sz w:val="20"/>
                <w:szCs w:val="20"/>
              </w:rPr>
              <w:t>193 347</w:t>
            </w:r>
          </w:p>
        </w:tc>
        <w:tc>
          <w:tcPr>
            <w:tcW w:w="1295" w:type="dxa"/>
            <w:tcBorders>
              <w:top w:val="nil"/>
              <w:left w:val="nil"/>
              <w:bottom w:val="single" w:sz="4" w:space="0" w:color="BFBFBF"/>
              <w:right w:val="single" w:sz="4" w:space="0" w:color="auto"/>
            </w:tcBorders>
            <w:shd w:val="clear" w:color="auto" w:fill="auto"/>
            <w:noWrap/>
            <w:vAlign w:val="center"/>
            <w:hideMark/>
          </w:tcPr>
          <w:p w14:paraId="25943A5C" w14:textId="77777777" w:rsidR="006D7E51" w:rsidRDefault="006D7E51">
            <w:pPr>
              <w:jc w:val="right"/>
              <w:rPr>
                <w:color w:val="000000"/>
                <w:sz w:val="20"/>
                <w:szCs w:val="20"/>
              </w:rPr>
            </w:pPr>
            <w:r>
              <w:rPr>
                <w:color w:val="000000"/>
                <w:sz w:val="20"/>
                <w:szCs w:val="20"/>
              </w:rPr>
              <w:t>135 337</w:t>
            </w:r>
          </w:p>
        </w:tc>
        <w:tc>
          <w:tcPr>
            <w:tcW w:w="1123" w:type="dxa"/>
            <w:tcBorders>
              <w:top w:val="nil"/>
              <w:left w:val="nil"/>
              <w:bottom w:val="single" w:sz="4" w:space="0" w:color="BFBFBF"/>
              <w:right w:val="single" w:sz="4" w:space="0" w:color="auto"/>
            </w:tcBorders>
            <w:shd w:val="clear" w:color="auto" w:fill="auto"/>
            <w:noWrap/>
            <w:vAlign w:val="center"/>
            <w:hideMark/>
          </w:tcPr>
          <w:p w14:paraId="428F9711" w14:textId="77777777" w:rsidR="006D7E51" w:rsidRDefault="006D7E51">
            <w:pPr>
              <w:jc w:val="right"/>
              <w:rPr>
                <w:color w:val="000000"/>
                <w:sz w:val="20"/>
                <w:szCs w:val="20"/>
              </w:rPr>
            </w:pPr>
            <w:r>
              <w:rPr>
                <w:color w:val="000000"/>
                <w:sz w:val="20"/>
                <w:szCs w:val="20"/>
              </w:rPr>
              <w:t>58 010</w:t>
            </w:r>
          </w:p>
        </w:tc>
        <w:tc>
          <w:tcPr>
            <w:tcW w:w="1145" w:type="dxa"/>
            <w:tcBorders>
              <w:top w:val="nil"/>
              <w:left w:val="nil"/>
              <w:bottom w:val="single" w:sz="4" w:space="0" w:color="BFBFBF"/>
              <w:right w:val="single" w:sz="4" w:space="0" w:color="auto"/>
            </w:tcBorders>
            <w:shd w:val="clear" w:color="auto" w:fill="auto"/>
            <w:noWrap/>
            <w:vAlign w:val="center"/>
            <w:hideMark/>
          </w:tcPr>
          <w:p w14:paraId="19A33122" w14:textId="77777777" w:rsidR="006D7E51" w:rsidRDefault="006D7E51">
            <w:pPr>
              <w:jc w:val="right"/>
              <w:rPr>
                <w:color w:val="000000"/>
                <w:sz w:val="20"/>
                <w:szCs w:val="20"/>
              </w:rPr>
            </w:pPr>
            <w:r>
              <w:rPr>
                <w:color w:val="000000"/>
                <w:sz w:val="20"/>
                <w:szCs w:val="20"/>
              </w:rPr>
              <w:t>193 347</w:t>
            </w:r>
          </w:p>
        </w:tc>
      </w:tr>
      <w:tr w:rsidR="006D7E51" w14:paraId="1B039FE0"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41AEDC32"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6C4235B0" w14:textId="77777777" w:rsidR="006D7E51" w:rsidRDefault="006D7E51">
            <w:pPr>
              <w:rPr>
                <w:sz w:val="20"/>
                <w:szCs w:val="20"/>
              </w:rPr>
            </w:pPr>
            <w:r>
              <w:rPr>
                <w:sz w:val="20"/>
                <w:szCs w:val="20"/>
              </w:rPr>
              <w:t>Kapitālie izdevumi</w:t>
            </w:r>
          </w:p>
        </w:tc>
        <w:tc>
          <w:tcPr>
            <w:tcW w:w="1295" w:type="dxa"/>
            <w:tcBorders>
              <w:top w:val="nil"/>
              <w:left w:val="nil"/>
              <w:bottom w:val="single" w:sz="4" w:space="0" w:color="BFBFBF"/>
              <w:right w:val="single" w:sz="4" w:space="0" w:color="auto"/>
            </w:tcBorders>
            <w:shd w:val="clear" w:color="auto" w:fill="auto"/>
            <w:noWrap/>
            <w:vAlign w:val="center"/>
            <w:hideMark/>
          </w:tcPr>
          <w:p w14:paraId="4312A4BD" w14:textId="77777777" w:rsidR="006D7E51" w:rsidRDefault="006D7E51">
            <w:pPr>
              <w:jc w:val="right"/>
              <w:rPr>
                <w:color w:val="000000"/>
                <w:sz w:val="20"/>
                <w:szCs w:val="20"/>
              </w:rPr>
            </w:pPr>
            <w:r>
              <w:rPr>
                <w:color w:val="000000"/>
                <w:sz w:val="20"/>
                <w:szCs w:val="20"/>
              </w:rPr>
              <w:t>5 950</w:t>
            </w:r>
          </w:p>
        </w:tc>
        <w:tc>
          <w:tcPr>
            <w:tcW w:w="1123" w:type="dxa"/>
            <w:tcBorders>
              <w:top w:val="nil"/>
              <w:left w:val="nil"/>
              <w:bottom w:val="single" w:sz="4" w:space="0" w:color="BFBFBF"/>
              <w:right w:val="single" w:sz="4" w:space="0" w:color="auto"/>
            </w:tcBorders>
            <w:shd w:val="clear" w:color="auto" w:fill="auto"/>
            <w:noWrap/>
            <w:vAlign w:val="center"/>
            <w:hideMark/>
          </w:tcPr>
          <w:p w14:paraId="3D46AD9E"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5B7F60C3" w14:textId="77777777" w:rsidR="006D7E51" w:rsidRDefault="006D7E51">
            <w:pPr>
              <w:jc w:val="right"/>
              <w:rPr>
                <w:color w:val="000000"/>
                <w:sz w:val="20"/>
                <w:szCs w:val="20"/>
              </w:rPr>
            </w:pPr>
            <w:r>
              <w:rPr>
                <w:color w:val="000000"/>
                <w:sz w:val="20"/>
                <w:szCs w:val="20"/>
              </w:rPr>
              <w:t>5 950</w:t>
            </w:r>
          </w:p>
        </w:tc>
        <w:tc>
          <w:tcPr>
            <w:tcW w:w="1295" w:type="dxa"/>
            <w:tcBorders>
              <w:top w:val="nil"/>
              <w:left w:val="nil"/>
              <w:bottom w:val="single" w:sz="4" w:space="0" w:color="BFBFBF"/>
              <w:right w:val="single" w:sz="4" w:space="0" w:color="auto"/>
            </w:tcBorders>
            <w:shd w:val="clear" w:color="auto" w:fill="auto"/>
            <w:noWrap/>
            <w:vAlign w:val="center"/>
            <w:hideMark/>
          </w:tcPr>
          <w:p w14:paraId="40AFF4ED" w14:textId="77777777" w:rsidR="006D7E51" w:rsidRDefault="006D7E51">
            <w:pPr>
              <w:jc w:val="right"/>
              <w:rPr>
                <w:color w:val="000000"/>
                <w:sz w:val="20"/>
                <w:szCs w:val="20"/>
              </w:rPr>
            </w:pPr>
            <w:r>
              <w:rPr>
                <w:color w:val="000000"/>
                <w:sz w:val="20"/>
                <w:szCs w:val="20"/>
              </w:rPr>
              <w:t>5 950</w:t>
            </w:r>
          </w:p>
        </w:tc>
        <w:tc>
          <w:tcPr>
            <w:tcW w:w="1123" w:type="dxa"/>
            <w:tcBorders>
              <w:top w:val="nil"/>
              <w:left w:val="nil"/>
              <w:bottom w:val="single" w:sz="4" w:space="0" w:color="BFBFBF"/>
              <w:right w:val="single" w:sz="4" w:space="0" w:color="auto"/>
            </w:tcBorders>
            <w:shd w:val="clear" w:color="auto" w:fill="auto"/>
            <w:noWrap/>
            <w:vAlign w:val="center"/>
            <w:hideMark/>
          </w:tcPr>
          <w:p w14:paraId="39540B01"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6836F635" w14:textId="77777777" w:rsidR="006D7E51" w:rsidRDefault="006D7E51">
            <w:pPr>
              <w:jc w:val="right"/>
              <w:rPr>
                <w:color w:val="000000"/>
                <w:sz w:val="20"/>
                <w:szCs w:val="20"/>
              </w:rPr>
            </w:pPr>
            <w:r>
              <w:rPr>
                <w:color w:val="000000"/>
                <w:sz w:val="20"/>
                <w:szCs w:val="20"/>
              </w:rPr>
              <w:t>5 950</w:t>
            </w:r>
          </w:p>
        </w:tc>
        <w:tc>
          <w:tcPr>
            <w:tcW w:w="1295" w:type="dxa"/>
            <w:tcBorders>
              <w:top w:val="nil"/>
              <w:left w:val="nil"/>
              <w:bottom w:val="single" w:sz="4" w:space="0" w:color="BFBFBF"/>
              <w:right w:val="single" w:sz="4" w:space="0" w:color="auto"/>
            </w:tcBorders>
            <w:shd w:val="clear" w:color="auto" w:fill="auto"/>
            <w:noWrap/>
            <w:vAlign w:val="center"/>
            <w:hideMark/>
          </w:tcPr>
          <w:p w14:paraId="1F904F15" w14:textId="77777777" w:rsidR="006D7E51" w:rsidRDefault="006D7E51">
            <w:pPr>
              <w:jc w:val="right"/>
              <w:rPr>
                <w:color w:val="000000"/>
                <w:sz w:val="20"/>
                <w:szCs w:val="20"/>
              </w:rPr>
            </w:pPr>
            <w:r>
              <w:rPr>
                <w:color w:val="000000"/>
                <w:sz w:val="20"/>
                <w:szCs w:val="20"/>
              </w:rPr>
              <w:t>5 950</w:t>
            </w:r>
          </w:p>
        </w:tc>
        <w:tc>
          <w:tcPr>
            <w:tcW w:w="1123" w:type="dxa"/>
            <w:tcBorders>
              <w:top w:val="nil"/>
              <w:left w:val="nil"/>
              <w:bottom w:val="single" w:sz="4" w:space="0" w:color="BFBFBF"/>
              <w:right w:val="single" w:sz="4" w:space="0" w:color="auto"/>
            </w:tcBorders>
            <w:shd w:val="clear" w:color="auto" w:fill="auto"/>
            <w:noWrap/>
            <w:vAlign w:val="center"/>
            <w:hideMark/>
          </w:tcPr>
          <w:p w14:paraId="7E36ADD2"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12B73F49" w14:textId="77777777" w:rsidR="006D7E51" w:rsidRDefault="006D7E51">
            <w:pPr>
              <w:jc w:val="right"/>
              <w:rPr>
                <w:color w:val="000000"/>
                <w:sz w:val="20"/>
                <w:szCs w:val="20"/>
              </w:rPr>
            </w:pPr>
            <w:r>
              <w:rPr>
                <w:color w:val="000000"/>
                <w:sz w:val="20"/>
                <w:szCs w:val="20"/>
              </w:rPr>
              <w:t>5 950</w:t>
            </w:r>
          </w:p>
        </w:tc>
      </w:tr>
      <w:tr w:rsidR="006D7E51" w14:paraId="3462BE67"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5190B5F" w14:textId="77777777" w:rsidR="006D7E51" w:rsidRDefault="006D7E51">
            <w:pPr>
              <w:ind w:firstLineChars="200" w:firstLine="4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5CD621CA" w14:textId="77777777" w:rsidR="006D7E51" w:rsidRDefault="006D7E51">
            <w:pPr>
              <w:rPr>
                <w:sz w:val="20"/>
                <w:szCs w:val="20"/>
              </w:rPr>
            </w:pPr>
            <w:r>
              <w:rPr>
                <w:sz w:val="20"/>
                <w:szCs w:val="20"/>
              </w:rPr>
              <w:t>Pamatkapitāla veidošana</w:t>
            </w:r>
          </w:p>
        </w:tc>
        <w:tc>
          <w:tcPr>
            <w:tcW w:w="1295" w:type="dxa"/>
            <w:tcBorders>
              <w:top w:val="nil"/>
              <w:left w:val="nil"/>
              <w:bottom w:val="single" w:sz="4" w:space="0" w:color="BFBFBF"/>
              <w:right w:val="single" w:sz="4" w:space="0" w:color="auto"/>
            </w:tcBorders>
            <w:shd w:val="clear" w:color="auto" w:fill="auto"/>
            <w:noWrap/>
            <w:vAlign w:val="center"/>
            <w:hideMark/>
          </w:tcPr>
          <w:p w14:paraId="1DDB19FA" w14:textId="77777777" w:rsidR="006D7E51" w:rsidRDefault="006D7E51">
            <w:pPr>
              <w:jc w:val="right"/>
              <w:rPr>
                <w:color w:val="000000"/>
                <w:sz w:val="20"/>
                <w:szCs w:val="20"/>
              </w:rPr>
            </w:pPr>
            <w:r>
              <w:rPr>
                <w:color w:val="000000"/>
                <w:sz w:val="20"/>
                <w:szCs w:val="20"/>
              </w:rPr>
              <w:t>5 950</w:t>
            </w:r>
          </w:p>
        </w:tc>
        <w:tc>
          <w:tcPr>
            <w:tcW w:w="1123" w:type="dxa"/>
            <w:tcBorders>
              <w:top w:val="nil"/>
              <w:left w:val="nil"/>
              <w:bottom w:val="single" w:sz="4" w:space="0" w:color="BFBFBF"/>
              <w:right w:val="single" w:sz="4" w:space="0" w:color="auto"/>
            </w:tcBorders>
            <w:shd w:val="clear" w:color="auto" w:fill="auto"/>
            <w:noWrap/>
            <w:vAlign w:val="center"/>
            <w:hideMark/>
          </w:tcPr>
          <w:p w14:paraId="79804C41"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49FA61E8" w14:textId="77777777" w:rsidR="006D7E51" w:rsidRDefault="006D7E51">
            <w:pPr>
              <w:jc w:val="right"/>
              <w:rPr>
                <w:color w:val="000000"/>
                <w:sz w:val="20"/>
                <w:szCs w:val="20"/>
              </w:rPr>
            </w:pPr>
            <w:r>
              <w:rPr>
                <w:color w:val="000000"/>
                <w:sz w:val="20"/>
                <w:szCs w:val="20"/>
              </w:rPr>
              <w:t>5 950</w:t>
            </w:r>
          </w:p>
        </w:tc>
        <w:tc>
          <w:tcPr>
            <w:tcW w:w="1295" w:type="dxa"/>
            <w:tcBorders>
              <w:top w:val="nil"/>
              <w:left w:val="nil"/>
              <w:bottom w:val="single" w:sz="4" w:space="0" w:color="BFBFBF"/>
              <w:right w:val="single" w:sz="4" w:space="0" w:color="auto"/>
            </w:tcBorders>
            <w:shd w:val="clear" w:color="auto" w:fill="auto"/>
            <w:noWrap/>
            <w:vAlign w:val="center"/>
            <w:hideMark/>
          </w:tcPr>
          <w:p w14:paraId="258AEAB5" w14:textId="77777777" w:rsidR="006D7E51" w:rsidRDefault="006D7E51">
            <w:pPr>
              <w:jc w:val="right"/>
              <w:rPr>
                <w:color w:val="000000"/>
                <w:sz w:val="20"/>
                <w:szCs w:val="20"/>
              </w:rPr>
            </w:pPr>
            <w:r>
              <w:rPr>
                <w:color w:val="000000"/>
                <w:sz w:val="20"/>
                <w:szCs w:val="20"/>
              </w:rPr>
              <w:t>5 950</w:t>
            </w:r>
          </w:p>
        </w:tc>
        <w:tc>
          <w:tcPr>
            <w:tcW w:w="1123" w:type="dxa"/>
            <w:tcBorders>
              <w:top w:val="nil"/>
              <w:left w:val="nil"/>
              <w:bottom w:val="single" w:sz="4" w:space="0" w:color="BFBFBF"/>
              <w:right w:val="single" w:sz="4" w:space="0" w:color="auto"/>
            </w:tcBorders>
            <w:shd w:val="clear" w:color="auto" w:fill="auto"/>
            <w:noWrap/>
            <w:vAlign w:val="center"/>
            <w:hideMark/>
          </w:tcPr>
          <w:p w14:paraId="5D5AEB08"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03F7847A" w14:textId="77777777" w:rsidR="006D7E51" w:rsidRDefault="006D7E51">
            <w:pPr>
              <w:jc w:val="right"/>
              <w:rPr>
                <w:color w:val="000000"/>
                <w:sz w:val="20"/>
                <w:szCs w:val="20"/>
              </w:rPr>
            </w:pPr>
            <w:r>
              <w:rPr>
                <w:color w:val="000000"/>
                <w:sz w:val="20"/>
                <w:szCs w:val="20"/>
              </w:rPr>
              <w:t>5 950</w:t>
            </w:r>
          </w:p>
        </w:tc>
        <w:tc>
          <w:tcPr>
            <w:tcW w:w="1295" w:type="dxa"/>
            <w:tcBorders>
              <w:top w:val="nil"/>
              <w:left w:val="nil"/>
              <w:bottom w:val="single" w:sz="4" w:space="0" w:color="BFBFBF"/>
              <w:right w:val="single" w:sz="4" w:space="0" w:color="auto"/>
            </w:tcBorders>
            <w:shd w:val="clear" w:color="auto" w:fill="auto"/>
            <w:noWrap/>
            <w:vAlign w:val="center"/>
            <w:hideMark/>
          </w:tcPr>
          <w:p w14:paraId="49A1E561" w14:textId="77777777" w:rsidR="006D7E51" w:rsidRDefault="006D7E51">
            <w:pPr>
              <w:jc w:val="right"/>
              <w:rPr>
                <w:color w:val="000000"/>
                <w:sz w:val="20"/>
                <w:szCs w:val="20"/>
              </w:rPr>
            </w:pPr>
            <w:r>
              <w:rPr>
                <w:color w:val="000000"/>
                <w:sz w:val="20"/>
                <w:szCs w:val="20"/>
              </w:rPr>
              <w:t>5 950</w:t>
            </w:r>
          </w:p>
        </w:tc>
        <w:tc>
          <w:tcPr>
            <w:tcW w:w="1123" w:type="dxa"/>
            <w:tcBorders>
              <w:top w:val="nil"/>
              <w:left w:val="nil"/>
              <w:bottom w:val="single" w:sz="4" w:space="0" w:color="BFBFBF"/>
              <w:right w:val="single" w:sz="4" w:space="0" w:color="auto"/>
            </w:tcBorders>
            <w:shd w:val="clear" w:color="auto" w:fill="auto"/>
            <w:noWrap/>
            <w:vAlign w:val="center"/>
            <w:hideMark/>
          </w:tcPr>
          <w:p w14:paraId="62E9A8C1" w14:textId="77777777" w:rsidR="006D7E51" w:rsidRDefault="006D7E51">
            <w:pPr>
              <w:jc w:val="right"/>
              <w:rPr>
                <w:color w:val="000000"/>
                <w:sz w:val="20"/>
                <w:szCs w:val="20"/>
              </w:rPr>
            </w:pPr>
            <w:r>
              <w:rPr>
                <w:color w:val="000000"/>
                <w:sz w:val="20"/>
                <w:szCs w:val="20"/>
              </w:rPr>
              <w:t> </w:t>
            </w:r>
          </w:p>
        </w:tc>
        <w:tc>
          <w:tcPr>
            <w:tcW w:w="1145" w:type="dxa"/>
            <w:tcBorders>
              <w:top w:val="nil"/>
              <w:left w:val="nil"/>
              <w:bottom w:val="single" w:sz="4" w:space="0" w:color="BFBFBF"/>
              <w:right w:val="single" w:sz="4" w:space="0" w:color="auto"/>
            </w:tcBorders>
            <w:shd w:val="clear" w:color="auto" w:fill="auto"/>
            <w:noWrap/>
            <w:vAlign w:val="center"/>
            <w:hideMark/>
          </w:tcPr>
          <w:p w14:paraId="38FBF13F" w14:textId="77777777" w:rsidR="006D7E51" w:rsidRDefault="006D7E51">
            <w:pPr>
              <w:jc w:val="right"/>
              <w:rPr>
                <w:color w:val="000000"/>
                <w:sz w:val="20"/>
                <w:szCs w:val="20"/>
              </w:rPr>
            </w:pPr>
            <w:r>
              <w:rPr>
                <w:color w:val="000000"/>
                <w:sz w:val="20"/>
                <w:szCs w:val="20"/>
              </w:rPr>
              <w:t>5 950</w:t>
            </w:r>
          </w:p>
        </w:tc>
      </w:tr>
      <w:tr w:rsidR="006D7E51" w14:paraId="32B14FD1"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000000" w:fill="FFFF00"/>
            <w:noWrap/>
            <w:vAlign w:val="bottom"/>
            <w:hideMark/>
          </w:tcPr>
          <w:p w14:paraId="4B2F37F4" w14:textId="77777777" w:rsidR="006D7E51" w:rsidRDefault="006D7E51">
            <w:pPr>
              <w:rPr>
                <w:b/>
                <w:bCs/>
                <w:sz w:val="20"/>
                <w:szCs w:val="20"/>
              </w:rPr>
            </w:pPr>
            <w:r>
              <w:rPr>
                <w:b/>
                <w:bCs/>
                <w:sz w:val="20"/>
                <w:szCs w:val="20"/>
              </w:rPr>
              <w:t>06.04.00</w:t>
            </w:r>
          </w:p>
        </w:tc>
        <w:tc>
          <w:tcPr>
            <w:tcW w:w="2499" w:type="dxa"/>
            <w:tcBorders>
              <w:top w:val="nil"/>
              <w:left w:val="nil"/>
              <w:bottom w:val="single" w:sz="4" w:space="0" w:color="BFBFBF"/>
              <w:right w:val="single" w:sz="4" w:space="0" w:color="auto"/>
            </w:tcBorders>
            <w:shd w:val="clear" w:color="000000" w:fill="FFFF00"/>
            <w:vAlign w:val="bottom"/>
            <w:hideMark/>
          </w:tcPr>
          <w:p w14:paraId="6D8270DE" w14:textId="77777777" w:rsidR="006D7E51" w:rsidRDefault="006D7E51">
            <w:pPr>
              <w:rPr>
                <w:b/>
                <w:bCs/>
                <w:sz w:val="20"/>
                <w:szCs w:val="20"/>
              </w:rPr>
            </w:pPr>
            <w:r>
              <w:rPr>
                <w:b/>
                <w:bCs/>
                <w:sz w:val="20"/>
                <w:szCs w:val="20"/>
              </w:rPr>
              <w:t>Darbinieku prasījumu garantiju fonds</w:t>
            </w:r>
          </w:p>
        </w:tc>
        <w:tc>
          <w:tcPr>
            <w:tcW w:w="1295" w:type="dxa"/>
            <w:tcBorders>
              <w:top w:val="nil"/>
              <w:left w:val="nil"/>
              <w:bottom w:val="single" w:sz="4" w:space="0" w:color="BFBFBF"/>
              <w:right w:val="single" w:sz="4" w:space="0" w:color="auto"/>
            </w:tcBorders>
            <w:shd w:val="clear" w:color="000000" w:fill="FFFF00"/>
            <w:noWrap/>
            <w:vAlign w:val="bottom"/>
            <w:hideMark/>
          </w:tcPr>
          <w:p w14:paraId="4030DDB3" w14:textId="77777777" w:rsidR="006D7E51" w:rsidRDefault="006D7E51">
            <w:pPr>
              <w:rPr>
                <w:sz w:val="20"/>
                <w:szCs w:val="20"/>
              </w:rPr>
            </w:pPr>
            <w:r>
              <w:rPr>
                <w:sz w:val="20"/>
                <w:szCs w:val="20"/>
              </w:rPr>
              <w:t> </w:t>
            </w:r>
          </w:p>
        </w:tc>
        <w:tc>
          <w:tcPr>
            <w:tcW w:w="1123" w:type="dxa"/>
            <w:tcBorders>
              <w:top w:val="nil"/>
              <w:left w:val="nil"/>
              <w:bottom w:val="single" w:sz="4" w:space="0" w:color="BFBFBF"/>
              <w:right w:val="single" w:sz="4" w:space="0" w:color="auto"/>
            </w:tcBorders>
            <w:shd w:val="clear" w:color="000000" w:fill="FFFF00"/>
            <w:noWrap/>
            <w:vAlign w:val="bottom"/>
            <w:hideMark/>
          </w:tcPr>
          <w:p w14:paraId="2DB5E8FB" w14:textId="77777777" w:rsidR="006D7E51" w:rsidRDefault="006D7E51">
            <w:pPr>
              <w:rPr>
                <w:sz w:val="20"/>
                <w:szCs w:val="20"/>
              </w:rPr>
            </w:pPr>
            <w:r>
              <w:rPr>
                <w:sz w:val="20"/>
                <w:szCs w:val="20"/>
              </w:rPr>
              <w:t> </w:t>
            </w:r>
          </w:p>
        </w:tc>
        <w:tc>
          <w:tcPr>
            <w:tcW w:w="1145" w:type="dxa"/>
            <w:tcBorders>
              <w:top w:val="nil"/>
              <w:left w:val="nil"/>
              <w:bottom w:val="single" w:sz="4" w:space="0" w:color="BFBFBF"/>
              <w:right w:val="single" w:sz="4" w:space="0" w:color="auto"/>
            </w:tcBorders>
            <w:shd w:val="clear" w:color="000000" w:fill="FFFF00"/>
            <w:noWrap/>
            <w:vAlign w:val="bottom"/>
            <w:hideMark/>
          </w:tcPr>
          <w:p w14:paraId="36B7AD91" w14:textId="77777777" w:rsidR="006D7E51" w:rsidRDefault="006D7E51">
            <w:pPr>
              <w:rPr>
                <w:sz w:val="20"/>
                <w:szCs w:val="20"/>
              </w:rPr>
            </w:pPr>
            <w:r>
              <w:rPr>
                <w:sz w:val="20"/>
                <w:szCs w:val="20"/>
              </w:rPr>
              <w:t> </w:t>
            </w:r>
          </w:p>
        </w:tc>
        <w:tc>
          <w:tcPr>
            <w:tcW w:w="1295" w:type="dxa"/>
            <w:tcBorders>
              <w:top w:val="nil"/>
              <w:left w:val="nil"/>
              <w:bottom w:val="single" w:sz="4" w:space="0" w:color="BFBFBF"/>
              <w:right w:val="single" w:sz="4" w:space="0" w:color="auto"/>
            </w:tcBorders>
            <w:shd w:val="clear" w:color="000000" w:fill="FFFF00"/>
            <w:noWrap/>
            <w:vAlign w:val="bottom"/>
            <w:hideMark/>
          </w:tcPr>
          <w:p w14:paraId="3F8A58FC" w14:textId="77777777" w:rsidR="006D7E51" w:rsidRDefault="006D7E51">
            <w:pPr>
              <w:rPr>
                <w:sz w:val="20"/>
                <w:szCs w:val="20"/>
              </w:rPr>
            </w:pPr>
            <w:r>
              <w:rPr>
                <w:sz w:val="20"/>
                <w:szCs w:val="20"/>
              </w:rPr>
              <w:t> </w:t>
            </w:r>
          </w:p>
        </w:tc>
        <w:tc>
          <w:tcPr>
            <w:tcW w:w="1123" w:type="dxa"/>
            <w:tcBorders>
              <w:top w:val="nil"/>
              <w:left w:val="nil"/>
              <w:bottom w:val="single" w:sz="4" w:space="0" w:color="BFBFBF"/>
              <w:right w:val="single" w:sz="4" w:space="0" w:color="auto"/>
            </w:tcBorders>
            <w:shd w:val="clear" w:color="000000" w:fill="FFFF00"/>
            <w:noWrap/>
            <w:vAlign w:val="bottom"/>
            <w:hideMark/>
          </w:tcPr>
          <w:p w14:paraId="39849610" w14:textId="77777777" w:rsidR="006D7E51" w:rsidRDefault="006D7E51">
            <w:pPr>
              <w:rPr>
                <w:sz w:val="20"/>
                <w:szCs w:val="20"/>
              </w:rPr>
            </w:pPr>
            <w:r>
              <w:rPr>
                <w:sz w:val="20"/>
                <w:szCs w:val="20"/>
              </w:rPr>
              <w:t> </w:t>
            </w:r>
          </w:p>
        </w:tc>
        <w:tc>
          <w:tcPr>
            <w:tcW w:w="1145" w:type="dxa"/>
            <w:tcBorders>
              <w:top w:val="nil"/>
              <w:left w:val="nil"/>
              <w:bottom w:val="single" w:sz="4" w:space="0" w:color="BFBFBF"/>
              <w:right w:val="single" w:sz="4" w:space="0" w:color="auto"/>
            </w:tcBorders>
            <w:shd w:val="clear" w:color="000000" w:fill="FFFF00"/>
            <w:noWrap/>
            <w:vAlign w:val="bottom"/>
            <w:hideMark/>
          </w:tcPr>
          <w:p w14:paraId="2E7DA779" w14:textId="77777777" w:rsidR="006D7E51" w:rsidRDefault="006D7E51">
            <w:pPr>
              <w:rPr>
                <w:sz w:val="20"/>
                <w:szCs w:val="20"/>
              </w:rPr>
            </w:pPr>
            <w:r>
              <w:rPr>
                <w:sz w:val="20"/>
                <w:szCs w:val="20"/>
              </w:rPr>
              <w:t> </w:t>
            </w:r>
          </w:p>
        </w:tc>
        <w:tc>
          <w:tcPr>
            <w:tcW w:w="1295" w:type="dxa"/>
            <w:tcBorders>
              <w:top w:val="nil"/>
              <w:left w:val="nil"/>
              <w:bottom w:val="single" w:sz="4" w:space="0" w:color="BFBFBF"/>
              <w:right w:val="single" w:sz="4" w:space="0" w:color="auto"/>
            </w:tcBorders>
            <w:shd w:val="clear" w:color="000000" w:fill="FFFF00"/>
            <w:noWrap/>
            <w:vAlign w:val="bottom"/>
            <w:hideMark/>
          </w:tcPr>
          <w:p w14:paraId="258EA79F" w14:textId="77777777" w:rsidR="006D7E51" w:rsidRDefault="006D7E51">
            <w:pPr>
              <w:rPr>
                <w:sz w:val="20"/>
                <w:szCs w:val="20"/>
              </w:rPr>
            </w:pPr>
            <w:r>
              <w:rPr>
                <w:sz w:val="20"/>
                <w:szCs w:val="20"/>
              </w:rPr>
              <w:t> </w:t>
            </w:r>
          </w:p>
        </w:tc>
        <w:tc>
          <w:tcPr>
            <w:tcW w:w="1123" w:type="dxa"/>
            <w:tcBorders>
              <w:top w:val="nil"/>
              <w:left w:val="nil"/>
              <w:bottom w:val="single" w:sz="4" w:space="0" w:color="BFBFBF"/>
              <w:right w:val="single" w:sz="4" w:space="0" w:color="auto"/>
            </w:tcBorders>
            <w:shd w:val="clear" w:color="000000" w:fill="FFFF00"/>
            <w:noWrap/>
            <w:vAlign w:val="bottom"/>
            <w:hideMark/>
          </w:tcPr>
          <w:p w14:paraId="6CC1505B" w14:textId="77777777" w:rsidR="006D7E51" w:rsidRDefault="006D7E51">
            <w:pPr>
              <w:rPr>
                <w:sz w:val="20"/>
                <w:szCs w:val="20"/>
              </w:rPr>
            </w:pPr>
            <w:r>
              <w:rPr>
                <w:sz w:val="20"/>
                <w:szCs w:val="20"/>
              </w:rPr>
              <w:t> </w:t>
            </w:r>
          </w:p>
        </w:tc>
        <w:tc>
          <w:tcPr>
            <w:tcW w:w="1145" w:type="dxa"/>
            <w:tcBorders>
              <w:top w:val="nil"/>
              <w:left w:val="nil"/>
              <w:bottom w:val="single" w:sz="4" w:space="0" w:color="BFBFBF"/>
              <w:right w:val="single" w:sz="4" w:space="0" w:color="auto"/>
            </w:tcBorders>
            <w:shd w:val="clear" w:color="000000" w:fill="FFFF00"/>
            <w:noWrap/>
            <w:vAlign w:val="bottom"/>
            <w:hideMark/>
          </w:tcPr>
          <w:p w14:paraId="4F34ABD8" w14:textId="77777777" w:rsidR="006D7E51" w:rsidRDefault="006D7E51">
            <w:pPr>
              <w:rPr>
                <w:sz w:val="20"/>
                <w:szCs w:val="20"/>
              </w:rPr>
            </w:pPr>
            <w:r>
              <w:rPr>
                <w:sz w:val="20"/>
                <w:szCs w:val="20"/>
              </w:rPr>
              <w:t> </w:t>
            </w:r>
          </w:p>
        </w:tc>
      </w:tr>
      <w:tr w:rsidR="006D7E51" w14:paraId="06DFC373"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574FD04D"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2BF70FD6" w14:textId="77777777" w:rsidR="006D7E51" w:rsidRDefault="006D7E51">
            <w:pPr>
              <w:rPr>
                <w:sz w:val="20"/>
                <w:szCs w:val="20"/>
              </w:rPr>
            </w:pPr>
            <w:r>
              <w:rPr>
                <w:sz w:val="20"/>
                <w:szCs w:val="20"/>
              </w:rPr>
              <w:t>Resursi izdevumu segšanai</w:t>
            </w:r>
          </w:p>
        </w:tc>
        <w:tc>
          <w:tcPr>
            <w:tcW w:w="1295" w:type="dxa"/>
            <w:tcBorders>
              <w:top w:val="nil"/>
              <w:left w:val="nil"/>
              <w:bottom w:val="single" w:sz="4" w:space="0" w:color="BFBFBF"/>
              <w:right w:val="single" w:sz="4" w:space="0" w:color="auto"/>
            </w:tcBorders>
            <w:shd w:val="clear" w:color="auto" w:fill="auto"/>
            <w:noWrap/>
            <w:vAlign w:val="center"/>
            <w:hideMark/>
          </w:tcPr>
          <w:p w14:paraId="402753DE" w14:textId="77777777" w:rsidR="006D7E51" w:rsidRDefault="006D7E51">
            <w:pPr>
              <w:jc w:val="right"/>
              <w:rPr>
                <w:color w:val="000000"/>
                <w:sz w:val="20"/>
                <w:szCs w:val="20"/>
              </w:rPr>
            </w:pPr>
            <w:r>
              <w:rPr>
                <w:color w:val="000000"/>
                <w:sz w:val="20"/>
                <w:szCs w:val="20"/>
              </w:rPr>
              <w:t>3 202 841</w:t>
            </w:r>
          </w:p>
        </w:tc>
        <w:tc>
          <w:tcPr>
            <w:tcW w:w="1123" w:type="dxa"/>
            <w:tcBorders>
              <w:top w:val="nil"/>
              <w:left w:val="nil"/>
              <w:bottom w:val="single" w:sz="4" w:space="0" w:color="BFBFBF"/>
              <w:right w:val="single" w:sz="4" w:space="0" w:color="auto"/>
            </w:tcBorders>
            <w:shd w:val="clear" w:color="auto" w:fill="auto"/>
            <w:noWrap/>
            <w:vAlign w:val="center"/>
            <w:hideMark/>
          </w:tcPr>
          <w:p w14:paraId="3FC93E4B" w14:textId="77777777" w:rsidR="006D7E51" w:rsidRDefault="006D7E51">
            <w:pPr>
              <w:jc w:val="right"/>
              <w:rPr>
                <w:color w:val="000000"/>
                <w:sz w:val="20"/>
                <w:szCs w:val="20"/>
              </w:rPr>
            </w:pPr>
            <w:r>
              <w:rPr>
                <w:color w:val="000000"/>
                <w:sz w:val="20"/>
                <w:szCs w:val="20"/>
              </w:rPr>
              <w:t>-477 444</w:t>
            </w:r>
          </w:p>
        </w:tc>
        <w:tc>
          <w:tcPr>
            <w:tcW w:w="1145" w:type="dxa"/>
            <w:tcBorders>
              <w:top w:val="nil"/>
              <w:left w:val="nil"/>
              <w:bottom w:val="single" w:sz="4" w:space="0" w:color="BFBFBF"/>
              <w:right w:val="single" w:sz="4" w:space="0" w:color="auto"/>
            </w:tcBorders>
            <w:shd w:val="clear" w:color="auto" w:fill="auto"/>
            <w:noWrap/>
            <w:vAlign w:val="center"/>
            <w:hideMark/>
          </w:tcPr>
          <w:p w14:paraId="2667AA80" w14:textId="77777777" w:rsidR="006D7E51" w:rsidRDefault="006D7E51">
            <w:pPr>
              <w:jc w:val="right"/>
              <w:rPr>
                <w:color w:val="000000"/>
                <w:sz w:val="20"/>
                <w:szCs w:val="20"/>
              </w:rPr>
            </w:pPr>
            <w:r>
              <w:rPr>
                <w:color w:val="000000"/>
                <w:sz w:val="20"/>
                <w:szCs w:val="20"/>
              </w:rPr>
              <w:t>2 725 397</w:t>
            </w:r>
          </w:p>
        </w:tc>
        <w:tc>
          <w:tcPr>
            <w:tcW w:w="1295" w:type="dxa"/>
            <w:tcBorders>
              <w:top w:val="nil"/>
              <w:left w:val="nil"/>
              <w:bottom w:val="single" w:sz="4" w:space="0" w:color="BFBFBF"/>
              <w:right w:val="single" w:sz="4" w:space="0" w:color="auto"/>
            </w:tcBorders>
            <w:shd w:val="clear" w:color="auto" w:fill="auto"/>
            <w:noWrap/>
            <w:vAlign w:val="center"/>
            <w:hideMark/>
          </w:tcPr>
          <w:p w14:paraId="7204AF83" w14:textId="77777777" w:rsidR="006D7E51" w:rsidRDefault="006D7E51">
            <w:pPr>
              <w:jc w:val="right"/>
              <w:rPr>
                <w:color w:val="000000"/>
                <w:sz w:val="20"/>
                <w:szCs w:val="20"/>
              </w:rPr>
            </w:pPr>
            <w:r>
              <w:rPr>
                <w:color w:val="000000"/>
                <w:sz w:val="20"/>
                <w:szCs w:val="20"/>
              </w:rPr>
              <w:t>3 216 004</w:t>
            </w:r>
          </w:p>
        </w:tc>
        <w:tc>
          <w:tcPr>
            <w:tcW w:w="1123" w:type="dxa"/>
            <w:tcBorders>
              <w:top w:val="nil"/>
              <w:left w:val="nil"/>
              <w:bottom w:val="single" w:sz="4" w:space="0" w:color="BFBFBF"/>
              <w:right w:val="single" w:sz="4" w:space="0" w:color="auto"/>
            </w:tcBorders>
            <w:shd w:val="clear" w:color="auto" w:fill="auto"/>
            <w:noWrap/>
            <w:vAlign w:val="center"/>
            <w:hideMark/>
          </w:tcPr>
          <w:p w14:paraId="38CE2B94" w14:textId="77777777" w:rsidR="006D7E51" w:rsidRDefault="006D7E51">
            <w:pPr>
              <w:jc w:val="right"/>
              <w:rPr>
                <w:color w:val="000000"/>
                <w:sz w:val="20"/>
                <w:szCs w:val="20"/>
              </w:rPr>
            </w:pPr>
            <w:r>
              <w:rPr>
                <w:color w:val="000000"/>
                <w:sz w:val="20"/>
                <w:szCs w:val="20"/>
              </w:rPr>
              <w:t>-487 562</w:t>
            </w:r>
          </w:p>
        </w:tc>
        <w:tc>
          <w:tcPr>
            <w:tcW w:w="1145" w:type="dxa"/>
            <w:tcBorders>
              <w:top w:val="nil"/>
              <w:left w:val="nil"/>
              <w:bottom w:val="single" w:sz="4" w:space="0" w:color="BFBFBF"/>
              <w:right w:val="single" w:sz="4" w:space="0" w:color="auto"/>
            </w:tcBorders>
            <w:shd w:val="clear" w:color="auto" w:fill="auto"/>
            <w:noWrap/>
            <w:vAlign w:val="center"/>
            <w:hideMark/>
          </w:tcPr>
          <w:p w14:paraId="586A9153" w14:textId="77777777" w:rsidR="006D7E51" w:rsidRDefault="006D7E51">
            <w:pPr>
              <w:jc w:val="right"/>
              <w:rPr>
                <w:color w:val="000000"/>
                <w:sz w:val="20"/>
                <w:szCs w:val="20"/>
              </w:rPr>
            </w:pPr>
            <w:r>
              <w:rPr>
                <w:color w:val="000000"/>
                <w:sz w:val="20"/>
                <w:szCs w:val="20"/>
              </w:rPr>
              <w:t>2 728 442</w:t>
            </w:r>
          </w:p>
        </w:tc>
        <w:tc>
          <w:tcPr>
            <w:tcW w:w="1295" w:type="dxa"/>
            <w:tcBorders>
              <w:top w:val="nil"/>
              <w:left w:val="nil"/>
              <w:bottom w:val="single" w:sz="4" w:space="0" w:color="BFBFBF"/>
              <w:right w:val="single" w:sz="4" w:space="0" w:color="auto"/>
            </w:tcBorders>
            <w:shd w:val="clear" w:color="auto" w:fill="auto"/>
            <w:noWrap/>
            <w:vAlign w:val="center"/>
            <w:hideMark/>
          </w:tcPr>
          <w:p w14:paraId="0B55FEB6" w14:textId="77777777" w:rsidR="006D7E51" w:rsidRDefault="006D7E51">
            <w:pPr>
              <w:jc w:val="right"/>
              <w:rPr>
                <w:color w:val="000000"/>
                <w:sz w:val="20"/>
                <w:szCs w:val="20"/>
              </w:rPr>
            </w:pPr>
            <w:r>
              <w:rPr>
                <w:color w:val="000000"/>
                <w:sz w:val="20"/>
                <w:szCs w:val="20"/>
              </w:rPr>
              <w:t>3 216 004</w:t>
            </w:r>
          </w:p>
        </w:tc>
        <w:tc>
          <w:tcPr>
            <w:tcW w:w="1123" w:type="dxa"/>
            <w:tcBorders>
              <w:top w:val="nil"/>
              <w:left w:val="nil"/>
              <w:bottom w:val="single" w:sz="4" w:space="0" w:color="BFBFBF"/>
              <w:right w:val="single" w:sz="4" w:space="0" w:color="auto"/>
            </w:tcBorders>
            <w:shd w:val="clear" w:color="auto" w:fill="auto"/>
            <w:noWrap/>
            <w:vAlign w:val="center"/>
            <w:hideMark/>
          </w:tcPr>
          <w:p w14:paraId="7D19529F" w14:textId="77777777" w:rsidR="006D7E51" w:rsidRDefault="006D7E51">
            <w:pPr>
              <w:jc w:val="right"/>
              <w:rPr>
                <w:color w:val="000000"/>
                <w:sz w:val="20"/>
                <w:szCs w:val="20"/>
              </w:rPr>
            </w:pPr>
            <w:r>
              <w:rPr>
                <w:color w:val="000000"/>
                <w:sz w:val="20"/>
                <w:szCs w:val="20"/>
              </w:rPr>
              <w:t>-484 516</w:t>
            </w:r>
          </w:p>
        </w:tc>
        <w:tc>
          <w:tcPr>
            <w:tcW w:w="1145" w:type="dxa"/>
            <w:tcBorders>
              <w:top w:val="nil"/>
              <w:left w:val="nil"/>
              <w:bottom w:val="single" w:sz="4" w:space="0" w:color="BFBFBF"/>
              <w:right w:val="single" w:sz="4" w:space="0" w:color="auto"/>
            </w:tcBorders>
            <w:shd w:val="clear" w:color="auto" w:fill="auto"/>
            <w:noWrap/>
            <w:vAlign w:val="center"/>
            <w:hideMark/>
          </w:tcPr>
          <w:p w14:paraId="4F839B0B" w14:textId="77777777" w:rsidR="006D7E51" w:rsidRDefault="006D7E51">
            <w:pPr>
              <w:jc w:val="right"/>
              <w:rPr>
                <w:color w:val="000000"/>
                <w:sz w:val="20"/>
                <w:szCs w:val="20"/>
              </w:rPr>
            </w:pPr>
            <w:r>
              <w:rPr>
                <w:color w:val="000000"/>
                <w:sz w:val="20"/>
                <w:szCs w:val="20"/>
              </w:rPr>
              <w:t>2 731 488</w:t>
            </w:r>
          </w:p>
        </w:tc>
      </w:tr>
      <w:tr w:rsidR="006D7E51" w14:paraId="6D48B965"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5159CD12"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7D1D1183" w14:textId="77777777" w:rsidR="006D7E51" w:rsidRDefault="006D7E51">
            <w:pPr>
              <w:rPr>
                <w:sz w:val="20"/>
                <w:szCs w:val="20"/>
              </w:rPr>
            </w:pPr>
            <w:r>
              <w:rPr>
                <w:sz w:val="20"/>
                <w:szCs w:val="20"/>
              </w:rPr>
              <w:t>Ieņēmumi no maksas pakalpojumiem un citi pašu ieņēmumi – kopā, t.sk.</w:t>
            </w:r>
          </w:p>
        </w:tc>
        <w:tc>
          <w:tcPr>
            <w:tcW w:w="1295" w:type="dxa"/>
            <w:tcBorders>
              <w:top w:val="nil"/>
              <w:left w:val="nil"/>
              <w:bottom w:val="single" w:sz="4" w:space="0" w:color="BFBFBF"/>
              <w:right w:val="single" w:sz="4" w:space="0" w:color="auto"/>
            </w:tcBorders>
            <w:shd w:val="clear" w:color="auto" w:fill="auto"/>
            <w:noWrap/>
            <w:vAlign w:val="center"/>
            <w:hideMark/>
          </w:tcPr>
          <w:p w14:paraId="5F35D6F5" w14:textId="77777777" w:rsidR="006D7E51" w:rsidRDefault="006D7E51">
            <w:pPr>
              <w:jc w:val="right"/>
              <w:rPr>
                <w:color w:val="000000"/>
                <w:sz w:val="20"/>
                <w:szCs w:val="20"/>
              </w:rPr>
            </w:pPr>
            <w:r>
              <w:rPr>
                <w:color w:val="000000"/>
                <w:sz w:val="20"/>
                <w:szCs w:val="20"/>
              </w:rPr>
              <w:t>3 202 841</w:t>
            </w:r>
          </w:p>
        </w:tc>
        <w:tc>
          <w:tcPr>
            <w:tcW w:w="1123" w:type="dxa"/>
            <w:tcBorders>
              <w:top w:val="nil"/>
              <w:left w:val="nil"/>
              <w:bottom w:val="single" w:sz="4" w:space="0" w:color="BFBFBF"/>
              <w:right w:val="single" w:sz="4" w:space="0" w:color="auto"/>
            </w:tcBorders>
            <w:shd w:val="clear" w:color="auto" w:fill="auto"/>
            <w:noWrap/>
            <w:vAlign w:val="center"/>
            <w:hideMark/>
          </w:tcPr>
          <w:p w14:paraId="2F846553" w14:textId="77777777" w:rsidR="006D7E51" w:rsidRDefault="006D7E51">
            <w:pPr>
              <w:jc w:val="right"/>
              <w:rPr>
                <w:color w:val="000000"/>
                <w:sz w:val="20"/>
                <w:szCs w:val="20"/>
              </w:rPr>
            </w:pPr>
            <w:r>
              <w:rPr>
                <w:color w:val="000000"/>
                <w:sz w:val="20"/>
                <w:szCs w:val="20"/>
              </w:rPr>
              <w:t>-477 444</w:t>
            </w:r>
          </w:p>
        </w:tc>
        <w:tc>
          <w:tcPr>
            <w:tcW w:w="1145" w:type="dxa"/>
            <w:tcBorders>
              <w:top w:val="nil"/>
              <w:left w:val="nil"/>
              <w:bottom w:val="single" w:sz="4" w:space="0" w:color="BFBFBF"/>
              <w:right w:val="single" w:sz="4" w:space="0" w:color="auto"/>
            </w:tcBorders>
            <w:shd w:val="clear" w:color="auto" w:fill="auto"/>
            <w:noWrap/>
            <w:vAlign w:val="center"/>
            <w:hideMark/>
          </w:tcPr>
          <w:p w14:paraId="052FDF59" w14:textId="77777777" w:rsidR="006D7E51" w:rsidRDefault="006D7E51">
            <w:pPr>
              <w:jc w:val="right"/>
              <w:rPr>
                <w:color w:val="000000"/>
                <w:sz w:val="20"/>
                <w:szCs w:val="20"/>
              </w:rPr>
            </w:pPr>
            <w:r>
              <w:rPr>
                <w:color w:val="000000"/>
                <w:sz w:val="20"/>
                <w:szCs w:val="20"/>
              </w:rPr>
              <w:t>2 725 397</w:t>
            </w:r>
          </w:p>
        </w:tc>
        <w:tc>
          <w:tcPr>
            <w:tcW w:w="1295" w:type="dxa"/>
            <w:tcBorders>
              <w:top w:val="nil"/>
              <w:left w:val="nil"/>
              <w:bottom w:val="single" w:sz="4" w:space="0" w:color="BFBFBF"/>
              <w:right w:val="single" w:sz="4" w:space="0" w:color="auto"/>
            </w:tcBorders>
            <w:shd w:val="clear" w:color="auto" w:fill="auto"/>
            <w:noWrap/>
            <w:vAlign w:val="center"/>
            <w:hideMark/>
          </w:tcPr>
          <w:p w14:paraId="189803AB" w14:textId="77777777" w:rsidR="006D7E51" w:rsidRDefault="006D7E51">
            <w:pPr>
              <w:jc w:val="right"/>
              <w:rPr>
                <w:color w:val="000000"/>
                <w:sz w:val="20"/>
                <w:szCs w:val="20"/>
              </w:rPr>
            </w:pPr>
            <w:r>
              <w:rPr>
                <w:color w:val="000000"/>
                <w:sz w:val="20"/>
                <w:szCs w:val="20"/>
              </w:rPr>
              <w:t>3 216 004</w:t>
            </w:r>
          </w:p>
        </w:tc>
        <w:tc>
          <w:tcPr>
            <w:tcW w:w="1123" w:type="dxa"/>
            <w:tcBorders>
              <w:top w:val="nil"/>
              <w:left w:val="nil"/>
              <w:bottom w:val="single" w:sz="4" w:space="0" w:color="BFBFBF"/>
              <w:right w:val="single" w:sz="4" w:space="0" w:color="auto"/>
            </w:tcBorders>
            <w:shd w:val="clear" w:color="auto" w:fill="auto"/>
            <w:noWrap/>
            <w:vAlign w:val="center"/>
            <w:hideMark/>
          </w:tcPr>
          <w:p w14:paraId="1AD182A7" w14:textId="77777777" w:rsidR="006D7E51" w:rsidRDefault="006D7E51">
            <w:pPr>
              <w:jc w:val="right"/>
              <w:rPr>
                <w:color w:val="000000"/>
                <w:sz w:val="20"/>
                <w:szCs w:val="20"/>
              </w:rPr>
            </w:pPr>
            <w:r>
              <w:rPr>
                <w:color w:val="000000"/>
                <w:sz w:val="20"/>
                <w:szCs w:val="20"/>
              </w:rPr>
              <w:t>-487 562</w:t>
            </w:r>
          </w:p>
        </w:tc>
        <w:tc>
          <w:tcPr>
            <w:tcW w:w="1145" w:type="dxa"/>
            <w:tcBorders>
              <w:top w:val="nil"/>
              <w:left w:val="nil"/>
              <w:bottom w:val="single" w:sz="4" w:space="0" w:color="BFBFBF"/>
              <w:right w:val="single" w:sz="4" w:space="0" w:color="auto"/>
            </w:tcBorders>
            <w:shd w:val="clear" w:color="auto" w:fill="auto"/>
            <w:noWrap/>
            <w:vAlign w:val="center"/>
            <w:hideMark/>
          </w:tcPr>
          <w:p w14:paraId="728DF7BD" w14:textId="77777777" w:rsidR="006D7E51" w:rsidRDefault="006D7E51">
            <w:pPr>
              <w:jc w:val="right"/>
              <w:rPr>
                <w:color w:val="000000"/>
                <w:sz w:val="20"/>
                <w:szCs w:val="20"/>
              </w:rPr>
            </w:pPr>
            <w:r>
              <w:rPr>
                <w:color w:val="000000"/>
                <w:sz w:val="20"/>
                <w:szCs w:val="20"/>
              </w:rPr>
              <w:t>2 728 442</w:t>
            </w:r>
          </w:p>
        </w:tc>
        <w:tc>
          <w:tcPr>
            <w:tcW w:w="1295" w:type="dxa"/>
            <w:tcBorders>
              <w:top w:val="nil"/>
              <w:left w:val="nil"/>
              <w:bottom w:val="single" w:sz="4" w:space="0" w:color="BFBFBF"/>
              <w:right w:val="single" w:sz="4" w:space="0" w:color="auto"/>
            </w:tcBorders>
            <w:shd w:val="clear" w:color="auto" w:fill="auto"/>
            <w:noWrap/>
            <w:vAlign w:val="center"/>
            <w:hideMark/>
          </w:tcPr>
          <w:p w14:paraId="4B65FAE8" w14:textId="77777777" w:rsidR="006D7E51" w:rsidRDefault="006D7E51">
            <w:pPr>
              <w:jc w:val="right"/>
              <w:rPr>
                <w:color w:val="000000"/>
                <w:sz w:val="20"/>
                <w:szCs w:val="20"/>
              </w:rPr>
            </w:pPr>
            <w:r>
              <w:rPr>
                <w:color w:val="000000"/>
                <w:sz w:val="20"/>
                <w:szCs w:val="20"/>
              </w:rPr>
              <w:t>3 216 004</w:t>
            </w:r>
          </w:p>
        </w:tc>
        <w:tc>
          <w:tcPr>
            <w:tcW w:w="1123" w:type="dxa"/>
            <w:tcBorders>
              <w:top w:val="nil"/>
              <w:left w:val="nil"/>
              <w:bottom w:val="single" w:sz="4" w:space="0" w:color="BFBFBF"/>
              <w:right w:val="single" w:sz="4" w:space="0" w:color="auto"/>
            </w:tcBorders>
            <w:shd w:val="clear" w:color="auto" w:fill="auto"/>
            <w:noWrap/>
            <w:vAlign w:val="center"/>
            <w:hideMark/>
          </w:tcPr>
          <w:p w14:paraId="225769D4" w14:textId="77777777" w:rsidR="006D7E51" w:rsidRDefault="006D7E51">
            <w:pPr>
              <w:jc w:val="right"/>
              <w:rPr>
                <w:color w:val="000000"/>
                <w:sz w:val="20"/>
                <w:szCs w:val="20"/>
              </w:rPr>
            </w:pPr>
            <w:r>
              <w:rPr>
                <w:color w:val="000000"/>
                <w:sz w:val="20"/>
                <w:szCs w:val="20"/>
              </w:rPr>
              <w:t>-484 516</w:t>
            </w:r>
          </w:p>
        </w:tc>
        <w:tc>
          <w:tcPr>
            <w:tcW w:w="1145" w:type="dxa"/>
            <w:tcBorders>
              <w:top w:val="nil"/>
              <w:left w:val="nil"/>
              <w:bottom w:val="single" w:sz="4" w:space="0" w:color="BFBFBF"/>
              <w:right w:val="single" w:sz="4" w:space="0" w:color="auto"/>
            </w:tcBorders>
            <w:shd w:val="clear" w:color="auto" w:fill="auto"/>
            <w:noWrap/>
            <w:vAlign w:val="center"/>
            <w:hideMark/>
          </w:tcPr>
          <w:p w14:paraId="0E83B1CD" w14:textId="77777777" w:rsidR="006D7E51" w:rsidRDefault="006D7E51">
            <w:pPr>
              <w:jc w:val="right"/>
              <w:rPr>
                <w:color w:val="000000"/>
                <w:sz w:val="20"/>
                <w:szCs w:val="20"/>
              </w:rPr>
            </w:pPr>
            <w:r>
              <w:rPr>
                <w:color w:val="000000"/>
                <w:sz w:val="20"/>
                <w:szCs w:val="20"/>
              </w:rPr>
              <w:t>2 731 488</w:t>
            </w:r>
          </w:p>
        </w:tc>
      </w:tr>
      <w:tr w:rsidR="006D7E51" w14:paraId="39D37376"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000000" w:fill="F8CBAD"/>
            <w:noWrap/>
            <w:vAlign w:val="center"/>
            <w:hideMark/>
          </w:tcPr>
          <w:p w14:paraId="19FD532D"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000000" w:fill="F8CBAD"/>
            <w:vAlign w:val="center"/>
            <w:hideMark/>
          </w:tcPr>
          <w:p w14:paraId="266CA603" w14:textId="77777777" w:rsidR="006D7E51" w:rsidRDefault="006D7E51">
            <w:pPr>
              <w:jc w:val="right"/>
              <w:rPr>
                <w:sz w:val="20"/>
                <w:szCs w:val="20"/>
              </w:rPr>
            </w:pPr>
            <w:r>
              <w:rPr>
                <w:sz w:val="20"/>
                <w:szCs w:val="20"/>
              </w:rPr>
              <w:t>Ieņēmumi no uzņēmējdarbības riska valsts nodevas</w:t>
            </w:r>
          </w:p>
        </w:tc>
        <w:tc>
          <w:tcPr>
            <w:tcW w:w="1295" w:type="dxa"/>
            <w:tcBorders>
              <w:top w:val="nil"/>
              <w:left w:val="nil"/>
              <w:bottom w:val="single" w:sz="4" w:space="0" w:color="BFBFBF"/>
              <w:right w:val="single" w:sz="4" w:space="0" w:color="auto"/>
            </w:tcBorders>
            <w:shd w:val="clear" w:color="000000" w:fill="F8CBAD"/>
            <w:noWrap/>
            <w:vAlign w:val="center"/>
            <w:hideMark/>
          </w:tcPr>
          <w:p w14:paraId="31299190" w14:textId="77777777" w:rsidR="006D7E51" w:rsidRDefault="006D7E51">
            <w:pPr>
              <w:jc w:val="right"/>
              <w:rPr>
                <w:color w:val="000000"/>
                <w:sz w:val="20"/>
                <w:szCs w:val="20"/>
              </w:rPr>
            </w:pPr>
            <w:r>
              <w:rPr>
                <w:color w:val="000000"/>
                <w:sz w:val="20"/>
                <w:szCs w:val="20"/>
              </w:rPr>
              <w:t>3 060 841</w:t>
            </w:r>
          </w:p>
        </w:tc>
        <w:tc>
          <w:tcPr>
            <w:tcW w:w="1123" w:type="dxa"/>
            <w:tcBorders>
              <w:top w:val="nil"/>
              <w:left w:val="nil"/>
              <w:bottom w:val="single" w:sz="4" w:space="0" w:color="BFBFBF"/>
              <w:right w:val="single" w:sz="4" w:space="0" w:color="auto"/>
            </w:tcBorders>
            <w:shd w:val="clear" w:color="000000" w:fill="F8CBAD"/>
            <w:noWrap/>
            <w:vAlign w:val="center"/>
            <w:hideMark/>
          </w:tcPr>
          <w:p w14:paraId="22C21E4D" w14:textId="77777777" w:rsidR="006D7E51" w:rsidRDefault="006D7E51">
            <w:pPr>
              <w:jc w:val="right"/>
              <w:rPr>
                <w:color w:val="000000"/>
                <w:sz w:val="20"/>
                <w:szCs w:val="20"/>
              </w:rPr>
            </w:pPr>
            <w:r>
              <w:rPr>
                <w:color w:val="000000"/>
                <w:sz w:val="20"/>
                <w:szCs w:val="20"/>
              </w:rPr>
              <w:t>-500 444</w:t>
            </w:r>
          </w:p>
        </w:tc>
        <w:tc>
          <w:tcPr>
            <w:tcW w:w="1145" w:type="dxa"/>
            <w:tcBorders>
              <w:top w:val="nil"/>
              <w:left w:val="nil"/>
              <w:bottom w:val="single" w:sz="4" w:space="0" w:color="BFBFBF"/>
              <w:right w:val="single" w:sz="4" w:space="0" w:color="auto"/>
            </w:tcBorders>
            <w:shd w:val="clear" w:color="000000" w:fill="F8CBAD"/>
            <w:noWrap/>
            <w:vAlign w:val="center"/>
            <w:hideMark/>
          </w:tcPr>
          <w:p w14:paraId="0C113369" w14:textId="77777777" w:rsidR="006D7E51" w:rsidRDefault="006D7E51">
            <w:pPr>
              <w:jc w:val="right"/>
              <w:rPr>
                <w:color w:val="000000"/>
                <w:sz w:val="20"/>
                <w:szCs w:val="20"/>
              </w:rPr>
            </w:pPr>
            <w:r>
              <w:rPr>
                <w:color w:val="000000"/>
                <w:sz w:val="20"/>
                <w:szCs w:val="20"/>
              </w:rPr>
              <w:t>2 560 397</w:t>
            </w:r>
          </w:p>
        </w:tc>
        <w:tc>
          <w:tcPr>
            <w:tcW w:w="1295" w:type="dxa"/>
            <w:tcBorders>
              <w:top w:val="nil"/>
              <w:left w:val="nil"/>
              <w:bottom w:val="single" w:sz="4" w:space="0" w:color="BFBFBF"/>
              <w:right w:val="single" w:sz="4" w:space="0" w:color="auto"/>
            </w:tcBorders>
            <w:shd w:val="clear" w:color="000000" w:fill="F8CBAD"/>
            <w:noWrap/>
            <w:vAlign w:val="center"/>
            <w:hideMark/>
          </w:tcPr>
          <w:p w14:paraId="0AEE08E8" w14:textId="77777777" w:rsidR="006D7E51" w:rsidRDefault="006D7E51">
            <w:pPr>
              <w:jc w:val="right"/>
              <w:rPr>
                <w:color w:val="000000"/>
                <w:sz w:val="20"/>
                <w:szCs w:val="20"/>
              </w:rPr>
            </w:pPr>
            <w:r>
              <w:rPr>
                <w:color w:val="000000"/>
                <w:sz w:val="20"/>
                <w:szCs w:val="20"/>
              </w:rPr>
              <w:t>3 074 004</w:t>
            </w:r>
          </w:p>
        </w:tc>
        <w:tc>
          <w:tcPr>
            <w:tcW w:w="1123" w:type="dxa"/>
            <w:tcBorders>
              <w:top w:val="nil"/>
              <w:left w:val="nil"/>
              <w:bottom w:val="single" w:sz="4" w:space="0" w:color="BFBFBF"/>
              <w:right w:val="single" w:sz="4" w:space="0" w:color="auto"/>
            </w:tcBorders>
            <w:shd w:val="clear" w:color="000000" w:fill="F8CBAD"/>
            <w:noWrap/>
            <w:vAlign w:val="center"/>
            <w:hideMark/>
          </w:tcPr>
          <w:p w14:paraId="68D863E0" w14:textId="77777777" w:rsidR="006D7E51" w:rsidRDefault="006D7E51">
            <w:pPr>
              <w:jc w:val="right"/>
              <w:rPr>
                <w:color w:val="000000"/>
                <w:sz w:val="20"/>
                <w:szCs w:val="20"/>
              </w:rPr>
            </w:pPr>
            <w:r>
              <w:rPr>
                <w:color w:val="000000"/>
                <w:sz w:val="20"/>
                <w:szCs w:val="20"/>
              </w:rPr>
              <w:t>-510 562</w:t>
            </w:r>
          </w:p>
        </w:tc>
        <w:tc>
          <w:tcPr>
            <w:tcW w:w="1145" w:type="dxa"/>
            <w:tcBorders>
              <w:top w:val="nil"/>
              <w:left w:val="nil"/>
              <w:bottom w:val="single" w:sz="4" w:space="0" w:color="BFBFBF"/>
              <w:right w:val="single" w:sz="4" w:space="0" w:color="auto"/>
            </w:tcBorders>
            <w:shd w:val="clear" w:color="000000" w:fill="F8CBAD"/>
            <w:noWrap/>
            <w:vAlign w:val="center"/>
            <w:hideMark/>
          </w:tcPr>
          <w:p w14:paraId="507C8009" w14:textId="77777777" w:rsidR="006D7E51" w:rsidRDefault="006D7E51">
            <w:pPr>
              <w:jc w:val="right"/>
              <w:rPr>
                <w:color w:val="000000"/>
                <w:sz w:val="20"/>
                <w:szCs w:val="20"/>
              </w:rPr>
            </w:pPr>
            <w:r>
              <w:rPr>
                <w:color w:val="000000"/>
                <w:sz w:val="20"/>
                <w:szCs w:val="20"/>
              </w:rPr>
              <w:t>2 563 442</w:t>
            </w:r>
          </w:p>
        </w:tc>
        <w:tc>
          <w:tcPr>
            <w:tcW w:w="1295" w:type="dxa"/>
            <w:tcBorders>
              <w:top w:val="nil"/>
              <w:left w:val="nil"/>
              <w:bottom w:val="single" w:sz="4" w:space="0" w:color="BFBFBF"/>
              <w:right w:val="single" w:sz="4" w:space="0" w:color="auto"/>
            </w:tcBorders>
            <w:shd w:val="clear" w:color="000000" w:fill="F8CBAD"/>
            <w:noWrap/>
            <w:vAlign w:val="center"/>
            <w:hideMark/>
          </w:tcPr>
          <w:p w14:paraId="5348B62E" w14:textId="77777777" w:rsidR="006D7E51" w:rsidRDefault="006D7E51">
            <w:pPr>
              <w:jc w:val="right"/>
              <w:rPr>
                <w:color w:val="000000"/>
                <w:sz w:val="20"/>
                <w:szCs w:val="20"/>
              </w:rPr>
            </w:pPr>
            <w:r>
              <w:rPr>
                <w:color w:val="000000"/>
                <w:sz w:val="20"/>
                <w:szCs w:val="20"/>
              </w:rPr>
              <w:t>3 074 004</w:t>
            </w:r>
          </w:p>
        </w:tc>
        <w:tc>
          <w:tcPr>
            <w:tcW w:w="1123" w:type="dxa"/>
            <w:tcBorders>
              <w:top w:val="nil"/>
              <w:left w:val="nil"/>
              <w:bottom w:val="single" w:sz="4" w:space="0" w:color="BFBFBF"/>
              <w:right w:val="single" w:sz="4" w:space="0" w:color="auto"/>
            </w:tcBorders>
            <w:shd w:val="clear" w:color="000000" w:fill="F8CBAD"/>
            <w:noWrap/>
            <w:vAlign w:val="center"/>
            <w:hideMark/>
          </w:tcPr>
          <w:p w14:paraId="2781E58B" w14:textId="77777777" w:rsidR="006D7E51" w:rsidRDefault="006D7E51">
            <w:pPr>
              <w:jc w:val="right"/>
              <w:rPr>
                <w:color w:val="000000"/>
                <w:sz w:val="20"/>
                <w:szCs w:val="20"/>
              </w:rPr>
            </w:pPr>
            <w:r>
              <w:rPr>
                <w:color w:val="000000"/>
                <w:sz w:val="20"/>
                <w:szCs w:val="20"/>
              </w:rPr>
              <w:t>-507 516</w:t>
            </w:r>
          </w:p>
        </w:tc>
        <w:tc>
          <w:tcPr>
            <w:tcW w:w="1145" w:type="dxa"/>
            <w:tcBorders>
              <w:top w:val="nil"/>
              <w:left w:val="nil"/>
              <w:bottom w:val="single" w:sz="4" w:space="0" w:color="BFBFBF"/>
              <w:right w:val="single" w:sz="4" w:space="0" w:color="auto"/>
            </w:tcBorders>
            <w:shd w:val="clear" w:color="000000" w:fill="F8CBAD"/>
            <w:noWrap/>
            <w:vAlign w:val="center"/>
            <w:hideMark/>
          </w:tcPr>
          <w:p w14:paraId="3D4FCF60" w14:textId="77777777" w:rsidR="006D7E51" w:rsidRDefault="006D7E51">
            <w:pPr>
              <w:jc w:val="right"/>
              <w:rPr>
                <w:color w:val="000000"/>
                <w:sz w:val="20"/>
                <w:szCs w:val="20"/>
              </w:rPr>
            </w:pPr>
            <w:r>
              <w:rPr>
                <w:color w:val="000000"/>
                <w:sz w:val="20"/>
                <w:szCs w:val="20"/>
              </w:rPr>
              <w:t>2 566 488</w:t>
            </w:r>
          </w:p>
        </w:tc>
      </w:tr>
      <w:tr w:rsidR="006D7E51" w14:paraId="70B8D9B2"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000000" w:fill="F8CBAD"/>
            <w:noWrap/>
            <w:vAlign w:val="center"/>
            <w:hideMark/>
          </w:tcPr>
          <w:p w14:paraId="00014AB1"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000000" w:fill="F8CBAD"/>
            <w:vAlign w:val="center"/>
            <w:hideMark/>
          </w:tcPr>
          <w:p w14:paraId="4C9B0D17" w14:textId="77777777" w:rsidR="006D7E51" w:rsidRDefault="006D7E51">
            <w:pPr>
              <w:jc w:val="right"/>
              <w:rPr>
                <w:sz w:val="20"/>
                <w:szCs w:val="20"/>
              </w:rPr>
            </w:pPr>
            <w:r>
              <w:rPr>
                <w:sz w:val="20"/>
                <w:szCs w:val="20"/>
              </w:rPr>
              <w:t>Atgūtie līdzekļi</w:t>
            </w:r>
          </w:p>
        </w:tc>
        <w:tc>
          <w:tcPr>
            <w:tcW w:w="1295" w:type="dxa"/>
            <w:tcBorders>
              <w:top w:val="nil"/>
              <w:left w:val="nil"/>
              <w:bottom w:val="single" w:sz="4" w:space="0" w:color="BFBFBF"/>
              <w:right w:val="single" w:sz="4" w:space="0" w:color="auto"/>
            </w:tcBorders>
            <w:shd w:val="clear" w:color="000000" w:fill="F8CBAD"/>
            <w:noWrap/>
            <w:vAlign w:val="center"/>
            <w:hideMark/>
          </w:tcPr>
          <w:p w14:paraId="73520C50" w14:textId="77777777" w:rsidR="006D7E51" w:rsidRDefault="006D7E51">
            <w:pPr>
              <w:jc w:val="right"/>
              <w:rPr>
                <w:color w:val="000000"/>
                <w:sz w:val="20"/>
                <w:szCs w:val="20"/>
              </w:rPr>
            </w:pPr>
            <w:r>
              <w:rPr>
                <w:color w:val="000000"/>
                <w:sz w:val="20"/>
                <w:szCs w:val="20"/>
              </w:rPr>
              <w:t>142 000</w:t>
            </w:r>
          </w:p>
        </w:tc>
        <w:tc>
          <w:tcPr>
            <w:tcW w:w="1123" w:type="dxa"/>
            <w:tcBorders>
              <w:top w:val="nil"/>
              <w:left w:val="nil"/>
              <w:bottom w:val="single" w:sz="4" w:space="0" w:color="BFBFBF"/>
              <w:right w:val="single" w:sz="4" w:space="0" w:color="auto"/>
            </w:tcBorders>
            <w:shd w:val="clear" w:color="000000" w:fill="F8CBAD"/>
            <w:noWrap/>
            <w:vAlign w:val="center"/>
            <w:hideMark/>
          </w:tcPr>
          <w:p w14:paraId="2DAF426A" w14:textId="77777777" w:rsidR="006D7E51" w:rsidRDefault="006D7E51">
            <w:pPr>
              <w:jc w:val="right"/>
              <w:rPr>
                <w:color w:val="000000"/>
                <w:sz w:val="20"/>
                <w:szCs w:val="20"/>
              </w:rPr>
            </w:pPr>
            <w:r>
              <w:rPr>
                <w:color w:val="000000"/>
                <w:sz w:val="20"/>
                <w:szCs w:val="20"/>
              </w:rPr>
              <w:t>23 000</w:t>
            </w:r>
          </w:p>
        </w:tc>
        <w:tc>
          <w:tcPr>
            <w:tcW w:w="1145" w:type="dxa"/>
            <w:tcBorders>
              <w:top w:val="nil"/>
              <w:left w:val="nil"/>
              <w:bottom w:val="single" w:sz="4" w:space="0" w:color="BFBFBF"/>
              <w:right w:val="single" w:sz="4" w:space="0" w:color="auto"/>
            </w:tcBorders>
            <w:shd w:val="clear" w:color="000000" w:fill="F8CBAD"/>
            <w:noWrap/>
            <w:vAlign w:val="center"/>
            <w:hideMark/>
          </w:tcPr>
          <w:p w14:paraId="37939EF8" w14:textId="77777777" w:rsidR="006D7E51" w:rsidRDefault="006D7E51">
            <w:pPr>
              <w:jc w:val="right"/>
              <w:rPr>
                <w:color w:val="000000"/>
                <w:sz w:val="20"/>
                <w:szCs w:val="20"/>
              </w:rPr>
            </w:pPr>
            <w:r>
              <w:rPr>
                <w:color w:val="000000"/>
                <w:sz w:val="20"/>
                <w:szCs w:val="20"/>
              </w:rPr>
              <w:t>165 000</w:t>
            </w:r>
          </w:p>
        </w:tc>
        <w:tc>
          <w:tcPr>
            <w:tcW w:w="1295" w:type="dxa"/>
            <w:tcBorders>
              <w:top w:val="nil"/>
              <w:left w:val="nil"/>
              <w:bottom w:val="single" w:sz="4" w:space="0" w:color="BFBFBF"/>
              <w:right w:val="single" w:sz="4" w:space="0" w:color="auto"/>
            </w:tcBorders>
            <w:shd w:val="clear" w:color="000000" w:fill="F8CBAD"/>
            <w:noWrap/>
            <w:vAlign w:val="center"/>
            <w:hideMark/>
          </w:tcPr>
          <w:p w14:paraId="35466E5B" w14:textId="77777777" w:rsidR="006D7E51" w:rsidRDefault="006D7E51">
            <w:pPr>
              <w:jc w:val="right"/>
              <w:rPr>
                <w:color w:val="000000"/>
                <w:sz w:val="20"/>
                <w:szCs w:val="20"/>
              </w:rPr>
            </w:pPr>
            <w:r>
              <w:rPr>
                <w:color w:val="000000"/>
                <w:sz w:val="20"/>
                <w:szCs w:val="20"/>
              </w:rPr>
              <w:t>142 000</w:t>
            </w:r>
          </w:p>
        </w:tc>
        <w:tc>
          <w:tcPr>
            <w:tcW w:w="1123" w:type="dxa"/>
            <w:tcBorders>
              <w:top w:val="nil"/>
              <w:left w:val="nil"/>
              <w:bottom w:val="single" w:sz="4" w:space="0" w:color="BFBFBF"/>
              <w:right w:val="single" w:sz="4" w:space="0" w:color="auto"/>
            </w:tcBorders>
            <w:shd w:val="clear" w:color="000000" w:fill="F8CBAD"/>
            <w:noWrap/>
            <w:vAlign w:val="center"/>
            <w:hideMark/>
          </w:tcPr>
          <w:p w14:paraId="6A045FDD" w14:textId="77777777" w:rsidR="006D7E51" w:rsidRDefault="006D7E51">
            <w:pPr>
              <w:jc w:val="right"/>
              <w:rPr>
                <w:color w:val="000000"/>
                <w:sz w:val="20"/>
                <w:szCs w:val="20"/>
              </w:rPr>
            </w:pPr>
            <w:r>
              <w:rPr>
                <w:color w:val="000000"/>
                <w:sz w:val="20"/>
                <w:szCs w:val="20"/>
              </w:rPr>
              <w:t>23 000</w:t>
            </w:r>
          </w:p>
        </w:tc>
        <w:tc>
          <w:tcPr>
            <w:tcW w:w="1145" w:type="dxa"/>
            <w:tcBorders>
              <w:top w:val="nil"/>
              <w:left w:val="nil"/>
              <w:bottom w:val="single" w:sz="4" w:space="0" w:color="BFBFBF"/>
              <w:right w:val="single" w:sz="4" w:space="0" w:color="auto"/>
            </w:tcBorders>
            <w:shd w:val="clear" w:color="000000" w:fill="F8CBAD"/>
            <w:noWrap/>
            <w:vAlign w:val="center"/>
            <w:hideMark/>
          </w:tcPr>
          <w:p w14:paraId="44DE9413" w14:textId="77777777" w:rsidR="006D7E51" w:rsidRDefault="006D7E51">
            <w:pPr>
              <w:jc w:val="right"/>
              <w:rPr>
                <w:color w:val="000000"/>
                <w:sz w:val="20"/>
                <w:szCs w:val="20"/>
              </w:rPr>
            </w:pPr>
            <w:r>
              <w:rPr>
                <w:color w:val="000000"/>
                <w:sz w:val="20"/>
                <w:szCs w:val="20"/>
              </w:rPr>
              <w:t>165 000</w:t>
            </w:r>
          </w:p>
        </w:tc>
        <w:tc>
          <w:tcPr>
            <w:tcW w:w="1295" w:type="dxa"/>
            <w:tcBorders>
              <w:top w:val="nil"/>
              <w:left w:val="nil"/>
              <w:bottom w:val="single" w:sz="4" w:space="0" w:color="BFBFBF"/>
              <w:right w:val="single" w:sz="4" w:space="0" w:color="auto"/>
            </w:tcBorders>
            <w:shd w:val="clear" w:color="000000" w:fill="F8CBAD"/>
            <w:noWrap/>
            <w:vAlign w:val="center"/>
            <w:hideMark/>
          </w:tcPr>
          <w:p w14:paraId="29E3813C" w14:textId="77777777" w:rsidR="006D7E51" w:rsidRDefault="006D7E51">
            <w:pPr>
              <w:jc w:val="right"/>
              <w:rPr>
                <w:color w:val="000000"/>
                <w:sz w:val="20"/>
                <w:szCs w:val="20"/>
              </w:rPr>
            </w:pPr>
            <w:r>
              <w:rPr>
                <w:color w:val="000000"/>
                <w:sz w:val="20"/>
                <w:szCs w:val="20"/>
              </w:rPr>
              <w:t>142 000</w:t>
            </w:r>
          </w:p>
        </w:tc>
        <w:tc>
          <w:tcPr>
            <w:tcW w:w="1123" w:type="dxa"/>
            <w:tcBorders>
              <w:top w:val="nil"/>
              <w:left w:val="nil"/>
              <w:bottom w:val="single" w:sz="4" w:space="0" w:color="BFBFBF"/>
              <w:right w:val="single" w:sz="4" w:space="0" w:color="auto"/>
            </w:tcBorders>
            <w:shd w:val="clear" w:color="000000" w:fill="F8CBAD"/>
            <w:noWrap/>
            <w:vAlign w:val="center"/>
            <w:hideMark/>
          </w:tcPr>
          <w:p w14:paraId="17E19698" w14:textId="77777777" w:rsidR="006D7E51" w:rsidRDefault="006D7E51">
            <w:pPr>
              <w:jc w:val="right"/>
              <w:rPr>
                <w:color w:val="000000"/>
                <w:sz w:val="20"/>
                <w:szCs w:val="20"/>
              </w:rPr>
            </w:pPr>
            <w:r>
              <w:rPr>
                <w:color w:val="000000"/>
                <w:sz w:val="20"/>
                <w:szCs w:val="20"/>
              </w:rPr>
              <w:t>23 000</w:t>
            </w:r>
          </w:p>
        </w:tc>
        <w:tc>
          <w:tcPr>
            <w:tcW w:w="1145" w:type="dxa"/>
            <w:tcBorders>
              <w:top w:val="nil"/>
              <w:left w:val="nil"/>
              <w:bottom w:val="single" w:sz="4" w:space="0" w:color="BFBFBF"/>
              <w:right w:val="single" w:sz="4" w:space="0" w:color="auto"/>
            </w:tcBorders>
            <w:shd w:val="clear" w:color="000000" w:fill="F8CBAD"/>
            <w:noWrap/>
            <w:vAlign w:val="center"/>
            <w:hideMark/>
          </w:tcPr>
          <w:p w14:paraId="445AF6BF" w14:textId="77777777" w:rsidR="006D7E51" w:rsidRDefault="006D7E51">
            <w:pPr>
              <w:jc w:val="right"/>
              <w:rPr>
                <w:color w:val="000000"/>
                <w:sz w:val="20"/>
                <w:szCs w:val="20"/>
              </w:rPr>
            </w:pPr>
            <w:r>
              <w:rPr>
                <w:color w:val="000000"/>
                <w:sz w:val="20"/>
                <w:szCs w:val="20"/>
              </w:rPr>
              <w:t>165 000</w:t>
            </w:r>
          </w:p>
        </w:tc>
      </w:tr>
      <w:tr w:rsidR="006D7E51" w14:paraId="56C7DDF8"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E847979"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3B3501E1" w14:textId="77777777" w:rsidR="006D7E51" w:rsidRDefault="006D7E51">
            <w:pPr>
              <w:rPr>
                <w:sz w:val="20"/>
                <w:szCs w:val="20"/>
              </w:rPr>
            </w:pPr>
            <w:r>
              <w:rPr>
                <w:sz w:val="20"/>
                <w:szCs w:val="20"/>
              </w:rPr>
              <w:t>Izdevumi – kopā</w:t>
            </w:r>
          </w:p>
        </w:tc>
        <w:tc>
          <w:tcPr>
            <w:tcW w:w="1295" w:type="dxa"/>
            <w:tcBorders>
              <w:top w:val="nil"/>
              <w:left w:val="nil"/>
              <w:bottom w:val="single" w:sz="4" w:space="0" w:color="BFBFBF"/>
              <w:right w:val="single" w:sz="4" w:space="0" w:color="auto"/>
            </w:tcBorders>
            <w:shd w:val="clear" w:color="auto" w:fill="auto"/>
            <w:noWrap/>
            <w:vAlign w:val="center"/>
            <w:hideMark/>
          </w:tcPr>
          <w:p w14:paraId="7B95F65E" w14:textId="77777777" w:rsidR="006D7E51" w:rsidRDefault="006D7E51">
            <w:pPr>
              <w:jc w:val="right"/>
              <w:rPr>
                <w:color w:val="000000"/>
                <w:sz w:val="20"/>
                <w:szCs w:val="20"/>
              </w:rPr>
            </w:pPr>
            <w:r>
              <w:rPr>
                <w:color w:val="000000"/>
                <w:sz w:val="20"/>
                <w:szCs w:val="20"/>
              </w:rPr>
              <w:t>2 032 720</w:t>
            </w:r>
          </w:p>
        </w:tc>
        <w:tc>
          <w:tcPr>
            <w:tcW w:w="1123" w:type="dxa"/>
            <w:tcBorders>
              <w:top w:val="nil"/>
              <w:left w:val="nil"/>
              <w:bottom w:val="single" w:sz="4" w:space="0" w:color="BFBFBF"/>
              <w:right w:val="single" w:sz="4" w:space="0" w:color="auto"/>
            </w:tcBorders>
            <w:shd w:val="clear" w:color="auto" w:fill="auto"/>
            <w:noWrap/>
            <w:vAlign w:val="center"/>
            <w:hideMark/>
          </w:tcPr>
          <w:p w14:paraId="431967FD" w14:textId="77777777" w:rsidR="006D7E51" w:rsidRDefault="006D7E51">
            <w:pPr>
              <w:jc w:val="right"/>
              <w:rPr>
                <w:color w:val="000000"/>
                <w:sz w:val="20"/>
                <w:szCs w:val="20"/>
              </w:rPr>
            </w:pPr>
            <w:r>
              <w:rPr>
                <w:color w:val="000000"/>
                <w:sz w:val="20"/>
                <w:szCs w:val="20"/>
              </w:rPr>
              <w:t>-532 167</w:t>
            </w:r>
          </w:p>
        </w:tc>
        <w:tc>
          <w:tcPr>
            <w:tcW w:w="1145" w:type="dxa"/>
            <w:tcBorders>
              <w:top w:val="nil"/>
              <w:left w:val="nil"/>
              <w:bottom w:val="single" w:sz="4" w:space="0" w:color="BFBFBF"/>
              <w:right w:val="single" w:sz="4" w:space="0" w:color="auto"/>
            </w:tcBorders>
            <w:shd w:val="clear" w:color="auto" w:fill="auto"/>
            <w:noWrap/>
            <w:vAlign w:val="center"/>
            <w:hideMark/>
          </w:tcPr>
          <w:p w14:paraId="40B727DB" w14:textId="77777777" w:rsidR="006D7E51" w:rsidRDefault="006D7E51">
            <w:pPr>
              <w:jc w:val="right"/>
              <w:rPr>
                <w:color w:val="000000"/>
                <w:sz w:val="20"/>
                <w:szCs w:val="20"/>
              </w:rPr>
            </w:pPr>
            <w:r>
              <w:rPr>
                <w:color w:val="000000"/>
                <w:sz w:val="20"/>
                <w:szCs w:val="20"/>
              </w:rPr>
              <w:t>1 500 553</w:t>
            </w:r>
          </w:p>
        </w:tc>
        <w:tc>
          <w:tcPr>
            <w:tcW w:w="1295" w:type="dxa"/>
            <w:tcBorders>
              <w:top w:val="nil"/>
              <w:left w:val="nil"/>
              <w:bottom w:val="single" w:sz="4" w:space="0" w:color="BFBFBF"/>
              <w:right w:val="single" w:sz="4" w:space="0" w:color="auto"/>
            </w:tcBorders>
            <w:shd w:val="clear" w:color="auto" w:fill="auto"/>
            <w:noWrap/>
            <w:vAlign w:val="center"/>
            <w:hideMark/>
          </w:tcPr>
          <w:p w14:paraId="4D80D952" w14:textId="77777777" w:rsidR="006D7E51" w:rsidRDefault="006D7E51">
            <w:pPr>
              <w:jc w:val="right"/>
              <w:rPr>
                <w:color w:val="000000"/>
                <w:sz w:val="20"/>
                <w:szCs w:val="20"/>
              </w:rPr>
            </w:pPr>
            <w:r>
              <w:rPr>
                <w:color w:val="000000"/>
                <w:sz w:val="20"/>
                <w:szCs w:val="20"/>
              </w:rPr>
              <w:t>2 385 760</w:t>
            </w:r>
          </w:p>
        </w:tc>
        <w:tc>
          <w:tcPr>
            <w:tcW w:w="1123" w:type="dxa"/>
            <w:tcBorders>
              <w:top w:val="nil"/>
              <w:left w:val="nil"/>
              <w:bottom w:val="single" w:sz="4" w:space="0" w:color="BFBFBF"/>
              <w:right w:val="single" w:sz="4" w:space="0" w:color="auto"/>
            </w:tcBorders>
            <w:shd w:val="clear" w:color="auto" w:fill="auto"/>
            <w:noWrap/>
            <w:vAlign w:val="center"/>
            <w:hideMark/>
          </w:tcPr>
          <w:p w14:paraId="631DF3AE" w14:textId="77777777" w:rsidR="006D7E51" w:rsidRDefault="006D7E51">
            <w:pPr>
              <w:jc w:val="right"/>
              <w:rPr>
                <w:color w:val="000000"/>
                <w:sz w:val="20"/>
                <w:szCs w:val="20"/>
              </w:rPr>
            </w:pPr>
            <w:r>
              <w:rPr>
                <w:color w:val="000000"/>
                <w:sz w:val="20"/>
                <w:szCs w:val="20"/>
              </w:rPr>
              <w:t>-684 036</w:t>
            </w:r>
          </w:p>
        </w:tc>
        <w:tc>
          <w:tcPr>
            <w:tcW w:w="1145" w:type="dxa"/>
            <w:tcBorders>
              <w:top w:val="nil"/>
              <w:left w:val="nil"/>
              <w:bottom w:val="single" w:sz="4" w:space="0" w:color="BFBFBF"/>
              <w:right w:val="single" w:sz="4" w:space="0" w:color="auto"/>
            </w:tcBorders>
            <w:shd w:val="clear" w:color="auto" w:fill="auto"/>
            <w:noWrap/>
            <w:vAlign w:val="center"/>
            <w:hideMark/>
          </w:tcPr>
          <w:p w14:paraId="0F1A52B3" w14:textId="77777777" w:rsidR="006D7E51" w:rsidRDefault="006D7E51">
            <w:pPr>
              <w:jc w:val="right"/>
              <w:rPr>
                <w:color w:val="000000"/>
                <w:sz w:val="20"/>
                <w:szCs w:val="20"/>
              </w:rPr>
            </w:pPr>
            <w:r>
              <w:rPr>
                <w:color w:val="000000"/>
                <w:sz w:val="20"/>
                <w:szCs w:val="20"/>
              </w:rPr>
              <w:t>1 701 724</w:t>
            </w:r>
          </w:p>
        </w:tc>
        <w:tc>
          <w:tcPr>
            <w:tcW w:w="1295" w:type="dxa"/>
            <w:tcBorders>
              <w:top w:val="nil"/>
              <w:left w:val="nil"/>
              <w:bottom w:val="single" w:sz="4" w:space="0" w:color="BFBFBF"/>
              <w:right w:val="single" w:sz="4" w:space="0" w:color="auto"/>
            </w:tcBorders>
            <w:shd w:val="clear" w:color="auto" w:fill="auto"/>
            <w:noWrap/>
            <w:vAlign w:val="center"/>
            <w:hideMark/>
          </w:tcPr>
          <w:p w14:paraId="7FE3537F" w14:textId="77777777" w:rsidR="006D7E51" w:rsidRDefault="006D7E51">
            <w:pPr>
              <w:jc w:val="right"/>
              <w:rPr>
                <w:color w:val="000000"/>
                <w:sz w:val="20"/>
                <w:szCs w:val="20"/>
              </w:rPr>
            </w:pPr>
            <w:r>
              <w:rPr>
                <w:color w:val="000000"/>
                <w:sz w:val="20"/>
                <w:szCs w:val="20"/>
              </w:rPr>
              <w:t>2 385 760</w:t>
            </w:r>
          </w:p>
        </w:tc>
        <w:tc>
          <w:tcPr>
            <w:tcW w:w="1123" w:type="dxa"/>
            <w:tcBorders>
              <w:top w:val="nil"/>
              <w:left w:val="nil"/>
              <w:bottom w:val="single" w:sz="4" w:space="0" w:color="BFBFBF"/>
              <w:right w:val="single" w:sz="4" w:space="0" w:color="auto"/>
            </w:tcBorders>
            <w:shd w:val="clear" w:color="auto" w:fill="auto"/>
            <w:noWrap/>
            <w:vAlign w:val="center"/>
            <w:hideMark/>
          </w:tcPr>
          <w:p w14:paraId="4F07315D" w14:textId="77777777" w:rsidR="006D7E51" w:rsidRDefault="006D7E51">
            <w:pPr>
              <w:jc w:val="right"/>
              <w:rPr>
                <w:color w:val="000000"/>
                <w:sz w:val="20"/>
                <w:szCs w:val="20"/>
              </w:rPr>
            </w:pPr>
            <w:r>
              <w:rPr>
                <w:color w:val="000000"/>
                <w:sz w:val="20"/>
                <w:szCs w:val="20"/>
              </w:rPr>
              <w:t>-438 760</w:t>
            </w:r>
          </w:p>
        </w:tc>
        <w:tc>
          <w:tcPr>
            <w:tcW w:w="1145" w:type="dxa"/>
            <w:tcBorders>
              <w:top w:val="nil"/>
              <w:left w:val="nil"/>
              <w:bottom w:val="single" w:sz="4" w:space="0" w:color="BFBFBF"/>
              <w:right w:val="single" w:sz="4" w:space="0" w:color="auto"/>
            </w:tcBorders>
            <w:shd w:val="clear" w:color="auto" w:fill="auto"/>
            <w:noWrap/>
            <w:vAlign w:val="center"/>
            <w:hideMark/>
          </w:tcPr>
          <w:p w14:paraId="61FD8AEF" w14:textId="77777777" w:rsidR="006D7E51" w:rsidRDefault="006D7E51">
            <w:pPr>
              <w:jc w:val="right"/>
              <w:rPr>
                <w:color w:val="000000"/>
                <w:sz w:val="20"/>
                <w:szCs w:val="20"/>
              </w:rPr>
            </w:pPr>
            <w:r>
              <w:rPr>
                <w:color w:val="000000"/>
                <w:sz w:val="20"/>
                <w:szCs w:val="20"/>
              </w:rPr>
              <w:t>1 947 000</w:t>
            </w:r>
          </w:p>
        </w:tc>
      </w:tr>
      <w:tr w:rsidR="006D7E51" w14:paraId="0AFEEF54"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4C9B698E"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012D4D19" w14:textId="77777777" w:rsidR="006D7E51" w:rsidRDefault="006D7E51">
            <w:pPr>
              <w:rPr>
                <w:sz w:val="20"/>
                <w:szCs w:val="20"/>
              </w:rPr>
            </w:pPr>
            <w:r>
              <w:rPr>
                <w:sz w:val="20"/>
                <w:szCs w:val="20"/>
              </w:rPr>
              <w:t>Uzturēšanas izdevumi</w:t>
            </w:r>
          </w:p>
        </w:tc>
        <w:tc>
          <w:tcPr>
            <w:tcW w:w="1295" w:type="dxa"/>
            <w:tcBorders>
              <w:top w:val="nil"/>
              <w:left w:val="nil"/>
              <w:bottom w:val="single" w:sz="4" w:space="0" w:color="BFBFBF"/>
              <w:right w:val="single" w:sz="4" w:space="0" w:color="auto"/>
            </w:tcBorders>
            <w:shd w:val="clear" w:color="auto" w:fill="auto"/>
            <w:noWrap/>
            <w:vAlign w:val="center"/>
            <w:hideMark/>
          </w:tcPr>
          <w:p w14:paraId="41F369C2" w14:textId="77777777" w:rsidR="006D7E51" w:rsidRDefault="006D7E51">
            <w:pPr>
              <w:jc w:val="right"/>
              <w:rPr>
                <w:color w:val="000000"/>
                <w:sz w:val="20"/>
                <w:szCs w:val="20"/>
              </w:rPr>
            </w:pPr>
            <w:r>
              <w:rPr>
                <w:color w:val="000000"/>
                <w:sz w:val="20"/>
                <w:szCs w:val="20"/>
              </w:rPr>
              <w:t>2 032 720</w:t>
            </w:r>
          </w:p>
        </w:tc>
        <w:tc>
          <w:tcPr>
            <w:tcW w:w="1123" w:type="dxa"/>
            <w:tcBorders>
              <w:top w:val="nil"/>
              <w:left w:val="nil"/>
              <w:bottom w:val="single" w:sz="4" w:space="0" w:color="BFBFBF"/>
              <w:right w:val="single" w:sz="4" w:space="0" w:color="auto"/>
            </w:tcBorders>
            <w:shd w:val="clear" w:color="auto" w:fill="auto"/>
            <w:noWrap/>
            <w:vAlign w:val="center"/>
            <w:hideMark/>
          </w:tcPr>
          <w:p w14:paraId="322D21BA" w14:textId="77777777" w:rsidR="006D7E51" w:rsidRDefault="006D7E51">
            <w:pPr>
              <w:jc w:val="right"/>
              <w:rPr>
                <w:color w:val="000000"/>
                <w:sz w:val="20"/>
                <w:szCs w:val="20"/>
              </w:rPr>
            </w:pPr>
            <w:r>
              <w:rPr>
                <w:color w:val="000000"/>
                <w:sz w:val="20"/>
                <w:szCs w:val="20"/>
              </w:rPr>
              <w:t>-532 167</w:t>
            </w:r>
          </w:p>
        </w:tc>
        <w:tc>
          <w:tcPr>
            <w:tcW w:w="1145" w:type="dxa"/>
            <w:tcBorders>
              <w:top w:val="nil"/>
              <w:left w:val="nil"/>
              <w:bottom w:val="single" w:sz="4" w:space="0" w:color="BFBFBF"/>
              <w:right w:val="single" w:sz="4" w:space="0" w:color="auto"/>
            </w:tcBorders>
            <w:shd w:val="clear" w:color="auto" w:fill="auto"/>
            <w:noWrap/>
            <w:vAlign w:val="center"/>
            <w:hideMark/>
          </w:tcPr>
          <w:p w14:paraId="0873B13E" w14:textId="77777777" w:rsidR="006D7E51" w:rsidRDefault="006D7E51">
            <w:pPr>
              <w:jc w:val="right"/>
              <w:rPr>
                <w:color w:val="000000"/>
                <w:sz w:val="20"/>
                <w:szCs w:val="20"/>
              </w:rPr>
            </w:pPr>
            <w:r>
              <w:rPr>
                <w:color w:val="000000"/>
                <w:sz w:val="20"/>
                <w:szCs w:val="20"/>
              </w:rPr>
              <w:t>1 500 553</w:t>
            </w:r>
          </w:p>
        </w:tc>
        <w:tc>
          <w:tcPr>
            <w:tcW w:w="1295" w:type="dxa"/>
            <w:tcBorders>
              <w:top w:val="nil"/>
              <w:left w:val="nil"/>
              <w:bottom w:val="single" w:sz="4" w:space="0" w:color="BFBFBF"/>
              <w:right w:val="single" w:sz="4" w:space="0" w:color="auto"/>
            </w:tcBorders>
            <w:shd w:val="clear" w:color="auto" w:fill="auto"/>
            <w:noWrap/>
            <w:vAlign w:val="center"/>
            <w:hideMark/>
          </w:tcPr>
          <w:p w14:paraId="596354BD" w14:textId="77777777" w:rsidR="006D7E51" w:rsidRDefault="006D7E51">
            <w:pPr>
              <w:jc w:val="right"/>
              <w:rPr>
                <w:color w:val="000000"/>
                <w:sz w:val="20"/>
                <w:szCs w:val="20"/>
              </w:rPr>
            </w:pPr>
            <w:r>
              <w:rPr>
                <w:color w:val="000000"/>
                <w:sz w:val="20"/>
                <w:szCs w:val="20"/>
              </w:rPr>
              <w:t>2 385 760</w:t>
            </w:r>
          </w:p>
        </w:tc>
        <w:tc>
          <w:tcPr>
            <w:tcW w:w="1123" w:type="dxa"/>
            <w:tcBorders>
              <w:top w:val="nil"/>
              <w:left w:val="nil"/>
              <w:bottom w:val="single" w:sz="4" w:space="0" w:color="BFBFBF"/>
              <w:right w:val="single" w:sz="4" w:space="0" w:color="auto"/>
            </w:tcBorders>
            <w:shd w:val="clear" w:color="auto" w:fill="auto"/>
            <w:noWrap/>
            <w:vAlign w:val="center"/>
            <w:hideMark/>
          </w:tcPr>
          <w:p w14:paraId="52B6BFDC" w14:textId="77777777" w:rsidR="006D7E51" w:rsidRDefault="006D7E51">
            <w:pPr>
              <w:jc w:val="right"/>
              <w:rPr>
                <w:color w:val="000000"/>
                <w:sz w:val="20"/>
                <w:szCs w:val="20"/>
              </w:rPr>
            </w:pPr>
            <w:r>
              <w:rPr>
                <w:color w:val="000000"/>
                <w:sz w:val="20"/>
                <w:szCs w:val="20"/>
              </w:rPr>
              <w:t>-684 036</w:t>
            </w:r>
          </w:p>
        </w:tc>
        <w:tc>
          <w:tcPr>
            <w:tcW w:w="1145" w:type="dxa"/>
            <w:tcBorders>
              <w:top w:val="nil"/>
              <w:left w:val="nil"/>
              <w:bottom w:val="single" w:sz="4" w:space="0" w:color="BFBFBF"/>
              <w:right w:val="single" w:sz="4" w:space="0" w:color="auto"/>
            </w:tcBorders>
            <w:shd w:val="clear" w:color="auto" w:fill="auto"/>
            <w:noWrap/>
            <w:vAlign w:val="center"/>
            <w:hideMark/>
          </w:tcPr>
          <w:p w14:paraId="47EB35A9" w14:textId="77777777" w:rsidR="006D7E51" w:rsidRDefault="006D7E51">
            <w:pPr>
              <w:jc w:val="right"/>
              <w:rPr>
                <w:color w:val="000000"/>
                <w:sz w:val="20"/>
                <w:szCs w:val="20"/>
              </w:rPr>
            </w:pPr>
            <w:r>
              <w:rPr>
                <w:color w:val="000000"/>
                <w:sz w:val="20"/>
                <w:szCs w:val="20"/>
              </w:rPr>
              <w:t>1 701 724</w:t>
            </w:r>
          </w:p>
        </w:tc>
        <w:tc>
          <w:tcPr>
            <w:tcW w:w="1295" w:type="dxa"/>
            <w:tcBorders>
              <w:top w:val="nil"/>
              <w:left w:val="nil"/>
              <w:bottom w:val="single" w:sz="4" w:space="0" w:color="BFBFBF"/>
              <w:right w:val="single" w:sz="4" w:space="0" w:color="auto"/>
            </w:tcBorders>
            <w:shd w:val="clear" w:color="auto" w:fill="auto"/>
            <w:noWrap/>
            <w:vAlign w:val="center"/>
            <w:hideMark/>
          </w:tcPr>
          <w:p w14:paraId="25766CF6" w14:textId="77777777" w:rsidR="006D7E51" w:rsidRDefault="006D7E51">
            <w:pPr>
              <w:jc w:val="right"/>
              <w:rPr>
                <w:color w:val="000000"/>
                <w:sz w:val="20"/>
                <w:szCs w:val="20"/>
              </w:rPr>
            </w:pPr>
            <w:r>
              <w:rPr>
                <w:color w:val="000000"/>
                <w:sz w:val="20"/>
                <w:szCs w:val="20"/>
              </w:rPr>
              <w:t>2 385 760</w:t>
            </w:r>
          </w:p>
        </w:tc>
        <w:tc>
          <w:tcPr>
            <w:tcW w:w="1123" w:type="dxa"/>
            <w:tcBorders>
              <w:top w:val="nil"/>
              <w:left w:val="nil"/>
              <w:bottom w:val="single" w:sz="4" w:space="0" w:color="BFBFBF"/>
              <w:right w:val="single" w:sz="4" w:space="0" w:color="auto"/>
            </w:tcBorders>
            <w:shd w:val="clear" w:color="auto" w:fill="auto"/>
            <w:noWrap/>
            <w:vAlign w:val="center"/>
            <w:hideMark/>
          </w:tcPr>
          <w:p w14:paraId="4B3EE7AB" w14:textId="77777777" w:rsidR="006D7E51" w:rsidRDefault="006D7E51">
            <w:pPr>
              <w:jc w:val="right"/>
              <w:rPr>
                <w:color w:val="000000"/>
                <w:sz w:val="20"/>
                <w:szCs w:val="20"/>
              </w:rPr>
            </w:pPr>
            <w:r>
              <w:rPr>
                <w:color w:val="000000"/>
                <w:sz w:val="20"/>
                <w:szCs w:val="20"/>
              </w:rPr>
              <w:t>-438 760</w:t>
            </w:r>
          </w:p>
        </w:tc>
        <w:tc>
          <w:tcPr>
            <w:tcW w:w="1145" w:type="dxa"/>
            <w:tcBorders>
              <w:top w:val="nil"/>
              <w:left w:val="nil"/>
              <w:bottom w:val="single" w:sz="4" w:space="0" w:color="BFBFBF"/>
              <w:right w:val="single" w:sz="4" w:space="0" w:color="auto"/>
            </w:tcBorders>
            <w:shd w:val="clear" w:color="auto" w:fill="auto"/>
            <w:noWrap/>
            <w:vAlign w:val="center"/>
            <w:hideMark/>
          </w:tcPr>
          <w:p w14:paraId="474A5DD8" w14:textId="77777777" w:rsidR="006D7E51" w:rsidRDefault="006D7E51">
            <w:pPr>
              <w:jc w:val="right"/>
              <w:rPr>
                <w:color w:val="000000"/>
                <w:sz w:val="20"/>
                <w:szCs w:val="20"/>
              </w:rPr>
            </w:pPr>
            <w:r>
              <w:rPr>
                <w:color w:val="000000"/>
                <w:sz w:val="20"/>
                <w:szCs w:val="20"/>
              </w:rPr>
              <w:t>1 947 000</w:t>
            </w:r>
          </w:p>
        </w:tc>
      </w:tr>
      <w:tr w:rsidR="006D7E51" w14:paraId="443646B5"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1302468" w14:textId="77777777" w:rsidR="006D7E51" w:rsidRDefault="006D7E51">
            <w:pPr>
              <w:ind w:firstLineChars="200" w:firstLine="4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5EF1A124" w14:textId="77777777" w:rsidR="006D7E51" w:rsidRDefault="006D7E51">
            <w:pPr>
              <w:rPr>
                <w:sz w:val="20"/>
                <w:szCs w:val="20"/>
              </w:rPr>
            </w:pPr>
            <w:r>
              <w:rPr>
                <w:sz w:val="20"/>
                <w:szCs w:val="20"/>
              </w:rPr>
              <w:t>Kārtējie izdevumi</w:t>
            </w:r>
          </w:p>
        </w:tc>
        <w:tc>
          <w:tcPr>
            <w:tcW w:w="1295" w:type="dxa"/>
            <w:tcBorders>
              <w:top w:val="nil"/>
              <w:left w:val="nil"/>
              <w:bottom w:val="single" w:sz="4" w:space="0" w:color="BFBFBF"/>
              <w:right w:val="single" w:sz="4" w:space="0" w:color="auto"/>
            </w:tcBorders>
            <w:shd w:val="clear" w:color="auto" w:fill="auto"/>
            <w:noWrap/>
            <w:vAlign w:val="center"/>
            <w:hideMark/>
          </w:tcPr>
          <w:p w14:paraId="76BFC98D" w14:textId="77777777" w:rsidR="006D7E51" w:rsidRDefault="006D7E51">
            <w:pPr>
              <w:jc w:val="right"/>
              <w:rPr>
                <w:color w:val="000000"/>
                <w:sz w:val="20"/>
                <w:szCs w:val="20"/>
              </w:rPr>
            </w:pPr>
            <w:r>
              <w:rPr>
                <w:color w:val="000000"/>
                <w:sz w:val="20"/>
                <w:szCs w:val="20"/>
              </w:rPr>
              <w:t>913 134</w:t>
            </w:r>
          </w:p>
        </w:tc>
        <w:tc>
          <w:tcPr>
            <w:tcW w:w="1123" w:type="dxa"/>
            <w:tcBorders>
              <w:top w:val="nil"/>
              <w:left w:val="nil"/>
              <w:bottom w:val="single" w:sz="4" w:space="0" w:color="BFBFBF"/>
              <w:right w:val="single" w:sz="4" w:space="0" w:color="auto"/>
            </w:tcBorders>
            <w:shd w:val="clear" w:color="auto" w:fill="auto"/>
            <w:noWrap/>
            <w:vAlign w:val="center"/>
            <w:hideMark/>
          </w:tcPr>
          <w:p w14:paraId="36A42082" w14:textId="77777777" w:rsidR="006D7E51" w:rsidRDefault="006D7E51">
            <w:pPr>
              <w:jc w:val="right"/>
              <w:rPr>
                <w:color w:val="000000"/>
                <w:sz w:val="20"/>
                <w:szCs w:val="20"/>
              </w:rPr>
            </w:pPr>
            <w:r>
              <w:rPr>
                <w:color w:val="000000"/>
                <w:sz w:val="20"/>
                <w:szCs w:val="20"/>
              </w:rPr>
              <w:t>-274 770</w:t>
            </w:r>
          </w:p>
        </w:tc>
        <w:tc>
          <w:tcPr>
            <w:tcW w:w="1145" w:type="dxa"/>
            <w:tcBorders>
              <w:top w:val="nil"/>
              <w:left w:val="nil"/>
              <w:bottom w:val="single" w:sz="4" w:space="0" w:color="BFBFBF"/>
              <w:right w:val="single" w:sz="4" w:space="0" w:color="auto"/>
            </w:tcBorders>
            <w:shd w:val="clear" w:color="auto" w:fill="auto"/>
            <w:noWrap/>
            <w:vAlign w:val="center"/>
            <w:hideMark/>
          </w:tcPr>
          <w:p w14:paraId="517FDF7C" w14:textId="77777777" w:rsidR="006D7E51" w:rsidRDefault="006D7E51">
            <w:pPr>
              <w:jc w:val="right"/>
              <w:rPr>
                <w:color w:val="000000"/>
                <w:sz w:val="20"/>
                <w:szCs w:val="20"/>
              </w:rPr>
            </w:pPr>
            <w:r>
              <w:rPr>
                <w:color w:val="000000"/>
                <w:sz w:val="20"/>
                <w:szCs w:val="20"/>
              </w:rPr>
              <w:t>638 364</w:t>
            </w:r>
          </w:p>
        </w:tc>
        <w:tc>
          <w:tcPr>
            <w:tcW w:w="1295" w:type="dxa"/>
            <w:tcBorders>
              <w:top w:val="nil"/>
              <w:left w:val="nil"/>
              <w:bottom w:val="single" w:sz="4" w:space="0" w:color="BFBFBF"/>
              <w:right w:val="single" w:sz="4" w:space="0" w:color="auto"/>
            </w:tcBorders>
            <w:shd w:val="clear" w:color="auto" w:fill="auto"/>
            <w:noWrap/>
            <w:vAlign w:val="center"/>
            <w:hideMark/>
          </w:tcPr>
          <w:p w14:paraId="31AD8418" w14:textId="77777777" w:rsidR="006D7E51" w:rsidRDefault="006D7E51">
            <w:pPr>
              <w:jc w:val="right"/>
              <w:rPr>
                <w:color w:val="000000"/>
                <w:sz w:val="20"/>
                <w:szCs w:val="20"/>
              </w:rPr>
            </w:pPr>
            <w:r>
              <w:rPr>
                <w:color w:val="000000"/>
                <w:sz w:val="20"/>
                <w:szCs w:val="20"/>
              </w:rPr>
              <w:t>1 066 508</w:t>
            </w:r>
          </w:p>
        </w:tc>
        <w:tc>
          <w:tcPr>
            <w:tcW w:w="1123" w:type="dxa"/>
            <w:tcBorders>
              <w:top w:val="nil"/>
              <w:left w:val="nil"/>
              <w:bottom w:val="single" w:sz="4" w:space="0" w:color="BFBFBF"/>
              <w:right w:val="single" w:sz="4" w:space="0" w:color="auto"/>
            </w:tcBorders>
            <w:shd w:val="clear" w:color="auto" w:fill="auto"/>
            <w:noWrap/>
            <w:vAlign w:val="center"/>
            <w:hideMark/>
          </w:tcPr>
          <w:p w14:paraId="68B163B5" w14:textId="77777777" w:rsidR="006D7E51" w:rsidRDefault="006D7E51">
            <w:pPr>
              <w:jc w:val="right"/>
              <w:rPr>
                <w:color w:val="000000"/>
                <w:sz w:val="20"/>
                <w:szCs w:val="20"/>
              </w:rPr>
            </w:pPr>
            <w:r>
              <w:rPr>
                <w:color w:val="000000"/>
                <w:sz w:val="20"/>
                <w:szCs w:val="20"/>
              </w:rPr>
              <w:t>-342 142</w:t>
            </w:r>
          </w:p>
        </w:tc>
        <w:tc>
          <w:tcPr>
            <w:tcW w:w="1145" w:type="dxa"/>
            <w:tcBorders>
              <w:top w:val="nil"/>
              <w:left w:val="nil"/>
              <w:bottom w:val="single" w:sz="4" w:space="0" w:color="BFBFBF"/>
              <w:right w:val="single" w:sz="4" w:space="0" w:color="auto"/>
            </w:tcBorders>
            <w:shd w:val="clear" w:color="auto" w:fill="auto"/>
            <w:noWrap/>
            <w:vAlign w:val="center"/>
            <w:hideMark/>
          </w:tcPr>
          <w:p w14:paraId="784B1288" w14:textId="77777777" w:rsidR="006D7E51" w:rsidRDefault="006D7E51">
            <w:pPr>
              <w:jc w:val="right"/>
              <w:rPr>
                <w:color w:val="000000"/>
                <w:sz w:val="20"/>
                <w:szCs w:val="20"/>
              </w:rPr>
            </w:pPr>
            <w:r>
              <w:rPr>
                <w:color w:val="000000"/>
                <w:sz w:val="20"/>
                <w:szCs w:val="20"/>
              </w:rPr>
              <w:t>724 366</w:t>
            </w:r>
          </w:p>
        </w:tc>
        <w:tc>
          <w:tcPr>
            <w:tcW w:w="1295" w:type="dxa"/>
            <w:tcBorders>
              <w:top w:val="nil"/>
              <w:left w:val="nil"/>
              <w:bottom w:val="single" w:sz="4" w:space="0" w:color="BFBFBF"/>
              <w:right w:val="single" w:sz="4" w:space="0" w:color="auto"/>
            </w:tcBorders>
            <w:shd w:val="clear" w:color="auto" w:fill="auto"/>
            <w:noWrap/>
            <w:vAlign w:val="center"/>
            <w:hideMark/>
          </w:tcPr>
          <w:p w14:paraId="7312EE4E" w14:textId="77777777" w:rsidR="006D7E51" w:rsidRDefault="006D7E51">
            <w:pPr>
              <w:jc w:val="right"/>
              <w:rPr>
                <w:color w:val="000000"/>
                <w:sz w:val="20"/>
                <w:szCs w:val="20"/>
              </w:rPr>
            </w:pPr>
            <w:r>
              <w:rPr>
                <w:color w:val="000000"/>
                <w:sz w:val="20"/>
                <w:szCs w:val="20"/>
              </w:rPr>
              <w:t>1 066 508</w:t>
            </w:r>
          </w:p>
        </w:tc>
        <w:tc>
          <w:tcPr>
            <w:tcW w:w="1123" w:type="dxa"/>
            <w:tcBorders>
              <w:top w:val="nil"/>
              <w:left w:val="nil"/>
              <w:bottom w:val="single" w:sz="4" w:space="0" w:color="BFBFBF"/>
              <w:right w:val="single" w:sz="4" w:space="0" w:color="auto"/>
            </w:tcBorders>
            <w:shd w:val="clear" w:color="auto" w:fill="auto"/>
            <w:noWrap/>
            <w:vAlign w:val="center"/>
            <w:hideMark/>
          </w:tcPr>
          <w:p w14:paraId="384D0CC4" w14:textId="77777777" w:rsidR="006D7E51" w:rsidRDefault="006D7E51">
            <w:pPr>
              <w:jc w:val="right"/>
              <w:rPr>
                <w:color w:val="000000"/>
                <w:sz w:val="20"/>
                <w:szCs w:val="20"/>
              </w:rPr>
            </w:pPr>
            <w:r>
              <w:rPr>
                <w:color w:val="000000"/>
                <w:sz w:val="20"/>
                <w:szCs w:val="20"/>
              </w:rPr>
              <w:t>-237 291</w:t>
            </w:r>
          </w:p>
        </w:tc>
        <w:tc>
          <w:tcPr>
            <w:tcW w:w="1145" w:type="dxa"/>
            <w:tcBorders>
              <w:top w:val="nil"/>
              <w:left w:val="nil"/>
              <w:bottom w:val="single" w:sz="4" w:space="0" w:color="BFBFBF"/>
              <w:right w:val="single" w:sz="4" w:space="0" w:color="auto"/>
            </w:tcBorders>
            <w:shd w:val="clear" w:color="auto" w:fill="auto"/>
            <w:noWrap/>
            <w:vAlign w:val="center"/>
            <w:hideMark/>
          </w:tcPr>
          <w:p w14:paraId="7EEF7A5D" w14:textId="77777777" w:rsidR="006D7E51" w:rsidRDefault="006D7E51">
            <w:pPr>
              <w:jc w:val="right"/>
              <w:rPr>
                <w:color w:val="000000"/>
                <w:sz w:val="20"/>
                <w:szCs w:val="20"/>
              </w:rPr>
            </w:pPr>
            <w:r>
              <w:rPr>
                <w:color w:val="000000"/>
                <w:sz w:val="20"/>
                <w:szCs w:val="20"/>
              </w:rPr>
              <w:t>829 217</w:t>
            </w:r>
          </w:p>
        </w:tc>
      </w:tr>
      <w:tr w:rsidR="006D7E51" w14:paraId="25D2A544"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1437095" w14:textId="77777777" w:rsidR="006D7E51" w:rsidRDefault="006D7E51">
            <w:pPr>
              <w:ind w:firstLineChars="300" w:firstLine="6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4342F45F" w14:textId="77777777" w:rsidR="006D7E51" w:rsidRDefault="006D7E51">
            <w:pPr>
              <w:rPr>
                <w:sz w:val="20"/>
                <w:szCs w:val="20"/>
              </w:rPr>
            </w:pPr>
            <w:r>
              <w:rPr>
                <w:sz w:val="20"/>
                <w:szCs w:val="20"/>
              </w:rPr>
              <w:t>Preces un pakalpojumi</w:t>
            </w:r>
          </w:p>
        </w:tc>
        <w:tc>
          <w:tcPr>
            <w:tcW w:w="1295" w:type="dxa"/>
            <w:tcBorders>
              <w:top w:val="nil"/>
              <w:left w:val="nil"/>
              <w:bottom w:val="single" w:sz="4" w:space="0" w:color="BFBFBF"/>
              <w:right w:val="single" w:sz="4" w:space="0" w:color="auto"/>
            </w:tcBorders>
            <w:shd w:val="clear" w:color="auto" w:fill="auto"/>
            <w:noWrap/>
            <w:vAlign w:val="center"/>
            <w:hideMark/>
          </w:tcPr>
          <w:p w14:paraId="7AA5BE3E" w14:textId="77777777" w:rsidR="006D7E51" w:rsidRDefault="006D7E51">
            <w:pPr>
              <w:jc w:val="right"/>
              <w:rPr>
                <w:color w:val="000000"/>
                <w:sz w:val="20"/>
                <w:szCs w:val="20"/>
              </w:rPr>
            </w:pPr>
            <w:r>
              <w:rPr>
                <w:color w:val="000000"/>
                <w:sz w:val="20"/>
                <w:szCs w:val="20"/>
              </w:rPr>
              <w:t>913 134</w:t>
            </w:r>
          </w:p>
        </w:tc>
        <w:tc>
          <w:tcPr>
            <w:tcW w:w="1123" w:type="dxa"/>
            <w:tcBorders>
              <w:top w:val="nil"/>
              <w:left w:val="nil"/>
              <w:bottom w:val="single" w:sz="4" w:space="0" w:color="BFBFBF"/>
              <w:right w:val="single" w:sz="4" w:space="0" w:color="auto"/>
            </w:tcBorders>
            <w:shd w:val="clear" w:color="auto" w:fill="auto"/>
            <w:noWrap/>
            <w:vAlign w:val="center"/>
            <w:hideMark/>
          </w:tcPr>
          <w:p w14:paraId="438059A4" w14:textId="77777777" w:rsidR="006D7E51" w:rsidRDefault="006D7E51">
            <w:pPr>
              <w:jc w:val="right"/>
              <w:rPr>
                <w:color w:val="000000"/>
                <w:sz w:val="20"/>
                <w:szCs w:val="20"/>
              </w:rPr>
            </w:pPr>
            <w:r>
              <w:rPr>
                <w:color w:val="000000"/>
                <w:sz w:val="20"/>
                <w:szCs w:val="20"/>
              </w:rPr>
              <w:t>-274 770</w:t>
            </w:r>
          </w:p>
        </w:tc>
        <w:tc>
          <w:tcPr>
            <w:tcW w:w="1145" w:type="dxa"/>
            <w:tcBorders>
              <w:top w:val="nil"/>
              <w:left w:val="nil"/>
              <w:bottom w:val="single" w:sz="4" w:space="0" w:color="BFBFBF"/>
              <w:right w:val="single" w:sz="4" w:space="0" w:color="auto"/>
            </w:tcBorders>
            <w:shd w:val="clear" w:color="auto" w:fill="auto"/>
            <w:noWrap/>
            <w:vAlign w:val="center"/>
            <w:hideMark/>
          </w:tcPr>
          <w:p w14:paraId="2DFBD201" w14:textId="77777777" w:rsidR="006D7E51" w:rsidRDefault="006D7E51">
            <w:pPr>
              <w:jc w:val="right"/>
              <w:rPr>
                <w:color w:val="000000"/>
                <w:sz w:val="20"/>
                <w:szCs w:val="20"/>
              </w:rPr>
            </w:pPr>
            <w:r>
              <w:rPr>
                <w:color w:val="000000"/>
                <w:sz w:val="20"/>
                <w:szCs w:val="20"/>
              </w:rPr>
              <w:t>638 364</w:t>
            </w:r>
          </w:p>
        </w:tc>
        <w:tc>
          <w:tcPr>
            <w:tcW w:w="1295" w:type="dxa"/>
            <w:tcBorders>
              <w:top w:val="nil"/>
              <w:left w:val="nil"/>
              <w:bottom w:val="single" w:sz="4" w:space="0" w:color="BFBFBF"/>
              <w:right w:val="single" w:sz="4" w:space="0" w:color="auto"/>
            </w:tcBorders>
            <w:shd w:val="clear" w:color="auto" w:fill="auto"/>
            <w:noWrap/>
            <w:vAlign w:val="center"/>
            <w:hideMark/>
          </w:tcPr>
          <w:p w14:paraId="30B439A5" w14:textId="77777777" w:rsidR="006D7E51" w:rsidRDefault="006D7E51">
            <w:pPr>
              <w:jc w:val="right"/>
              <w:rPr>
                <w:color w:val="000000"/>
                <w:sz w:val="20"/>
                <w:szCs w:val="20"/>
              </w:rPr>
            </w:pPr>
            <w:r>
              <w:rPr>
                <w:color w:val="000000"/>
                <w:sz w:val="20"/>
                <w:szCs w:val="20"/>
              </w:rPr>
              <w:t>1 066 508</w:t>
            </w:r>
          </w:p>
        </w:tc>
        <w:tc>
          <w:tcPr>
            <w:tcW w:w="1123" w:type="dxa"/>
            <w:tcBorders>
              <w:top w:val="nil"/>
              <w:left w:val="nil"/>
              <w:bottom w:val="single" w:sz="4" w:space="0" w:color="BFBFBF"/>
              <w:right w:val="single" w:sz="4" w:space="0" w:color="auto"/>
            </w:tcBorders>
            <w:shd w:val="clear" w:color="auto" w:fill="auto"/>
            <w:noWrap/>
            <w:vAlign w:val="center"/>
            <w:hideMark/>
          </w:tcPr>
          <w:p w14:paraId="0D143B26" w14:textId="77777777" w:rsidR="006D7E51" w:rsidRDefault="006D7E51">
            <w:pPr>
              <w:jc w:val="right"/>
              <w:rPr>
                <w:color w:val="000000"/>
                <w:sz w:val="20"/>
                <w:szCs w:val="20"/>
              </w:rPr>
            </w:pPr>
            <w:r>
              <w:rPr>
                <w:color w:val="000000"/>
                <w:sz w:val="20"/>
                <w:szCs w:val="20"/>
              </w:rPr>
              <w:t>-342 142</w:t>
            </w:r>
          </w:p>
        </w:tc>
        <w:tc>
          <w:tcPr>
            <w:tcW w:w="1145" w:type="dxa"/>
            <w:tcBorders>
              <w:top w:val="nil"/>
              <w:left w:val="nil"/>
              <w:bottom w:val="single" w:sz="4" w:space="0" w:color="BFBFBF"/>
              <w:right w:val="single" w:sz="4" w:space="0" w:color="auto"/>
            </w:tcBorders>
            <w:shd w:val="clear" w:color="auto" w:fill="auto"/>
            <w:noWrap/>
            <w:vAlign w:val="center"/>
            <w:hideMark/>
          </w:tcPr>
          <w:p w14:paraId="5C2DC9DD" w14:textId="77777777" w:rsidR="006D7E51" w:rsidRDefault="006D7E51">
            <w:pPr>
              <w:jc w:val="right"/>
              <w:rPr>
                <w:color w:val="000000"/>
                <w:sz w:val="20"/>
                <w:szCs w:val="20"/>
              </w:rPr>
            </w:pPr>
            <w:r>
              <w:rPr>
                <w:color w:val="000000"/>
                <w:sz w:val="20"/>
                <w:szCs w:val="20"/>
              </w:rPr>
              <w:t>724 366</w:t>
            </w:r>
          </w:p>
        </w:tc>
        <w:tc>
          <w:tcPr>
            <w:tcW w:w="1295" w:type="dxa"/>
            <w:tcBorders>
              <w:top w:val="nil"/>
              <w:left w:val="nil"/>
              <w:bottom w:val="single" w:sz="4" w:space="0" w:color="BFBFBF"/>
              <w:right w:val="single" w:sz="4" w:space="0" w:color="auto"/>
            </w:tcBorders>
            <w:shd w:val="clear" w:color="auto" w:fill="auto"/>
            <w:noWrap/>
            <w:vAlign w:val="center"/>
            <w:hideMark/>
          </w:tcPr>
          <w:p w14:paraId="63A611CD" w14:textId="77777777" w:rsidR="006D7E51" w:rsidRDefault="006D7E51">
            <w:pPr>
              <w:jc w:val="right"/>
              <w:rPr>
                <w:color w:val="000000"/>
                <w:sz w:val="20"/>
                <w:szCs w:val="20"/>
              </w:rPr>
            </w:pPr>
            <w:r>
              <w:rPr>
                <w:color w:val="000000"/>
                <w:sz w:val="20"/>
                <w:szCs w:val="20"/>
              </w:rPr>
              <w:t>1 066 508</w:t>
            </w:r>
          </w:p>
        </w:tc>
        <w:tc>
          <w:tcPr>
            <w:tcW w:w="1123" w:type="dxa"/>
            <w:tcBorders>
              <w:top w:val="nil"/>
              <w:left w:val="nil"/>
              <w:bottom w:val="single" w:sz="4" w:space="0" w:color="BFBFBF"/>
              <w:right w:val="single" w:sz="4" w:space="0" w:color="auto"/>
            </w:tcBorders>
            <w:shd w:val="clear" w:color="auto" w:fill="auto"/>
            <w:noWrap/>
            <w:vAlign w:val="center"/>
            <w:hideMark/>
          </w:tcPr>
          <w:p w14:paraId="7505E29A" w14:textId="77777777" w:rsidR="006D7E51" w:rsidRDefault="006D7E51">
            <w:pPr>
              <w:jc w:val="right"/>
              <w:rPr>
                <w:color w:val="000000"/>
                <w:sz w:val="20"/>
                <w:szCs w:val="20"/>
              </w:rPr>
            </w:pPr>
            <w:r>
              <w:rPr>
                <w:color w:val="000000"/>
                <w:sz w:val="20"/>
                <w:szCs w:val="20"/>
              </w:rPr>
              <w:t>-237 291</w:t>
            </w:r>
          </w:p>
        </w:tc>
        <w:tc>
          <w:tcPr>
            <w:tcW w:w="1145" w:type="dxa"/>
            <w:tcBorders>
              <w:top w:val="nil"/>
              <w:left w:val="nil"/>
              <w:bottom w:val="single" w:sz="4" w:space="0" w:color="BFBFBF"/>
              <w:right w:val="single" w:sz="4" w:space="0" w:color="auto"/>
            </w:tcBorders>
            <w:shd w:val="clear" w:color="auto" w:fill="auto"/>
            <w:noWrap/>
            <w:vAlign w:val="center"/>
            <w:hideMark/>
          </w:tcPr>
          <w:p w14:paraId="7DD314D2" w14:textId="77777777" w:rsidR="006D7E51" w:rsidRDefault="006D7E51">
            <w:pPr>
              <w:jc w:val="right"/>
              <w:rPr>
                <w:color w:val="000000"/>
                <w:sz w:val="20"/>
                <w:szCs w:val="20"/>
              </w:rPr>
            </w:pPr>
            <w:r>
              <w:rPr>
                <w:color w:val="000000"/>
                <w:sz w:val="20"/>
                <w:szCs w:val="20"/>
              </w:rPr>
              <w:t>829 217</w:t>
            </w:r>
          </w:p>
        </w:tc>
      </w:tr>
      <w:tr w:rsidR="006D7E51" w14:paraId="565F3131"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1D1AE79D" w14:textId="77777777" w:rsidR="006D7E51" w:rsidRDefault="006D7E51">
            <w:pPr>
              <w:ind w:firstLineChars="200" w:firstLine="4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2C343792" w14:textId="77777777" w:rsidR="006D7E51" w:rsidRDefault="006D7E51">
            <w:pPr>
              <w:rPr>
                <w:sz w:val="20"/>
                <w:szCs w:val="20"/>
              </w:rPr>
            </w:pPr>
            <w:r>
              <w:rPr>
                <w:sz w:val="20"/>
                <w:szCs w:val="20"/>
              </w:rPr>
              <w:t>Subsīdijas, dotācijas un sociālie pabalsti</w:t>
            </w:r>
          </w:p>
        </w:tc>
        <w:tc>
          <w:tcPr>
            <w:tcW w:w="1295" w:type="dxa"/>
            <w:tcBorders>
              <w:top w:val="nil"/>
              <w:left w:val="nil"/>
              <w:bottom w:val="single" w:sz="4" w:space="0" w:color="BFBFBF"/>
              <w:right w:val="single" w:sz="4" w:space="0" w:color="auto"/>
            </w:tcBorders>
            <w:shd w:val="clear" w:color="auto" w:fill="auto"/>
            <w:noWrap/>
            <w:vAlign w:val="center"/>
            <w:hideMark/>
          </w:tcPr>
          <w:p w14:paraId="6A44A518" w14:textId="77777777" w:rsidR="006D7E51" w:rsidRDefault="006D7E51">
            <w:pPr>
              <w:jc w:val="right"/>
              <w:rPr>
                <w:color w:val="000000"/>
                <w:sz w:val="20"/>
                <w:szCs w:val="20"/>
              </w:rPr>
            </w:pPr>
            <w:r>
              <w:rPr>
                <w:color w:val="000000"/>
                <w:sz w:val="20"/>
                <w:szCs w:val="20"/>
              </w:rPr>
              <w:t>1 119 586</w:t>
            </w:r>
          </w:p>
        </w:tc>
        <w:tc>
          <w:tcPr>
            <w:tcW w:w="1123" w:type="dxa"/>
            <w:tcBorders>
              <w:top w:val="nil"/>
              <w:left w:val="nil"/>
              <w:bottom w:val="single" w:sz="4" w:space="0" w:color="BFBFBF"/>
              <w:right w:val="single" w:sz="4" w:space="0" w:color="auto"/>
            </w:tcBorders>
            <w:shd w:val="clear" w:color="auto" w:fill="auto"/>
            <w:noWrap/>
            <w:vAlign w:val="center"/>
            <w:hideMark/>
          </w:tcPr>
          <w:p w14:paraId="667E6761" w14:textId="77777777" w:rsidR="006D7E51" w:rsidRDefault="006D7E51">
            <w:pPr>
              <w:jc w:val="right"/>
              <w:rPr>
                <w:color w:val="000000"/>
                <w:sz w:val="20"/>
                <w:szCs w:val="20"/>
              </w:rPr>
            </w:pPr>
            <w:r>
              <w:rPr>
                <w:color w:val="000000"/>
                <w:sz w:val="20"/>
                <w:szCs w:val="20"/>
              </w:rPr>
              <w:t>-257 397</w:t>
            </w:r>
          </w:p>
        </w:tc>
        <w:tc>
          <w:tcPr>
            <w:tcW w:w="1145" w:type="dxa"/>
            <w:tcBorders>
              <w:top w:val="nil"/>
              <w:left w:val="nil"/>
              <w:bottom w:val="single" w:sz="4" w:space="0" w:color="BFBFBF"/>
              <w:right w:val="single" w:sz="4" w:space="0" w:color="auto"/>
            </w:tcBorders>
            <w:shd w:val="clear" w:color="auto" w:fill="auto"/>
            <w:noWrap/>
            <w:vAlign w:val="center"/>
            <w:hideMark/>
          </w:tcPr>
          <w:p w14:paraId="1A50D007" w14:textId="77777777" w:rsidR="006D7E51" w:rsidRDefault="006D7E51">
            <w:pPr>
              <w:jc w:val="right"/>
              <w:rPr>
                <w:color w:val="000000"/>
                <w:sz w:val="20"/>
                <w:szCs w:val="20"/>
              </w:rPr>
            </w:pPr>
            <w:r>
              <w:rPr>
                <w:color w:val="000000"/>
                <w:sz w:val="20"/>
                <w:szCs w:val="20"/>
              </w:rPr>
              <w:t>862 189</w:t>
            </w:r>
          </w:p>
        </w:tc>
        <w:tc>
          <w:tcPr>
            <w:tcW w:w="1295" w:type="dxa"/>
            <w:tcBorders>
              <w:top w:val="nil"/>
              <w:left w:val="nil"/>
              <w:bottom w:val="single" w:sz="4" w:space="0" w:color="BFBFBF"/>
              <w:right w:val="single" w:sz="4" w:space="0" w:color="auto"/>
            </w:tcBorders>
            <w:shd w:val="clear" w:color="auto" w:fill="auto"/>
            <w:noWrap/>
            <w:vAlign w:val="center"/>
            <w:hideMark/>
          </w:tcPr>
          <w:p w14:paraId="29496394" w14:textId="77777777" w:rsidR="006D7E51" w:rsidRDefault="006D7E51">
            <w:pPr>
              <w:jc w:val="right"/>
              <w:rPr>
                <w:color w:val="000000"/>
                <w:sz w:val="20"/>
                <w:szCs w:val="20"/>
              </w:rPr>
            </w:pPr>
            <w:r>
              <w:rPr>
                <w:color w:val="000000"/>
                <w:sz w:val="20"/>
                <w:szCs w:val="20"/>
              </w:rPr>
              <w:t>1 319 252</w:t>
            </w:r>
          </w:p>
        </w:tc>
        <w:tc>
          <w:tcPr>
            <w:tcW w:w="1123" w:type="dxa"/>
            <w:tcBorders>
              <w:top w:val="nil"/>
              <w:left w:val="nil"/>
              <w:bottom w:val="single" w:sz="4" w:space="0" w:color="BFBFBF"/>
              <w:right w:val="single" w:sz="4" w:space="0" w:color="auto"/>
            </w:tcBorders>
            <w:shd w:val="clear" w:color="auto" w:fill="auto"/>
            <w:noWrap/>
            <w:vAlign w:val="center"/>
            <w:hideMark/>
          </w:tcPr>
          <w:p w14:paraId="7F7DDFBB" w14:textId="77777777" w:rsidR="006D7E51" w:rsidRDefault="006D7E51">
            <w:pPr>
              <w:jc w:val="right"/>
              <w:rPr>
                <w:color w:val="000000"/>
                <w:sz w:val="20"/>
                <w:szCs w:val="20"/>
              </w:rPr>
            </w:pPr>
            <w:r>
              <w:rPr>
                <w:color w:val="000000"/>
                <w:sz w:val="20"/>
                <w:szCs w:val="20"/>
              </w:rPr>
              <w:t>-341 894</w:t>
            </w:r>
          </w:p>
        </w:tc>
        <w:tc>
          <w:tcPr>
            <w:tcW w:w="1145" w:type="dxa"/>
            <w:tcBorders>
              <w:top w:val="nil"/>
              <w:left w:val="nil"/>
              <w:bottom w:val="single" w:sz="4" w:space="0" w:color="BFBFBF"/>
              <w:right w:val="single" w:sz="4" w:space="0" w:color="auto"/>
            </w:tcBorders>
            <w:shd w:val="clear" w:color="auto" w:fill="auto"/>
            <w:noWrap/>
            <w:vAlign w:val="center"/>
            <w:hideMark/>
          </w:tcPr>
          <w:p w14:paraId="1AFD0744" w14:textId="77777777" w:rsidR="006D7E51" w:rsidRDefault="006D7E51">
            <w:pPr>
              <w:jc w:val="right"/>
              <w:rPr>
                <w:color w:val="000000"/>
                <w:sz w:val="20"/>
                <w:szCs w:val="20"/>
              </w:rPr>
            </w:pPr>
            <w:r>
              <w:rPr>
                <w:color w:val="000000"/>
                <w:sz w:val="20"/>
                <w:szCs w:val="20"/>
              </w:rPr>
              <w:t>977 358</w:t>
            </w:r>
          </w:p>
        </w:tc>
        <w:tc>
          <w:tcPr>
            <w:tcW w:w="1295" w:type="dxa"/>
            <w:tcBorders>
              <w:top w:val="nil"/>
              <w:left w:val="nil"/>
              <w:bottom w:val="single" w:sz="4" w:space="0" w:color="BFBFBF"/>
              <w:right w:val="single" w:sz="4" w:space="0" w:color="auto"/>
            </w:tcBorders>
            <w:shd w:val="clear" w:color="auto" w:fill="auto"/>
            <w:noWrap/>
            <w:vAlign w:val="center"/>
            <w:hideMark/>
          </w:tcPr>
          <w:p w14:paraId="780C78C4" w14:textId="77777777" w:rsidR="006D7E51" w:rsidRDefault="006D7E51">
            <w:pPr>
              <w:jc w:val="right"/>
              <w:rPr>
                <w:color w:val="000000"/>
                <w:sz w:val="20"/>
                <w:szCs w:val="20"/>
              </w:rPr>
            </w:pPr>
            <w:r>
              <w:rPr>
                <w:color w:val="000000"/>
                <w:sz w:val="20"/>
                <w:szCs w:val="20"/>
              </w:rPr>
              <w:t>1 319 252</w:t>
            </w:r>
          </w:p>
        </w:tc>
        <w:tc>
          <w:tcPr>
            <w:tcW w:w="1123" w:type="dxa"/>
            <w:tcBorders>
              <w:top w:val="nil"/>
              <w:left w:val="nil"/>
              <w:bottom w:val="single" w:sz="4" w:space="0" w:color="BFBFBF"/>
              <w:right w:val="single" w:sz="4" w:space="0" w:color="auto"/>
            </w:tcBorders>
            <w:shd w:val="clear" w:color="auto" w:fill="auto"/>
            <w:noWrap/>
            <w:vAlign w:val="center"/>
            <w:hideMark/>
          </w:tcPr>
          <w:p w14:paraId="1181F8D5" w14:textId="77777777" w:rsidR="006D7E51" w:rsidRDefault="006D7E51">
            <w:pPr>
              <w:jc w:val="right"/>
              <w:rPr>
                <w:color w:val="000000"/>
                <w:sz w:val="20"/>
                <w:szCs w:val="20"/>
              </w:rPr>
            </w:pPr>
            <w:r>
              <w:rPr>
                <w:color w:val="000000"/>
                <w:sz w:val="20"/>
                <w:szCs w:val="20"/>
              </w:rPr>
              <w:t>-201 469</w:t>
            </w:r>
          </w:p>
        </w:tc>
        <w:tc>
          <w:tcPr>
            <w:tcW w:w="1145" w:type="dxa"/>
            <w:tcBorders>
              <w:top w:val="nil"/>
              <w:left w:val="nil"/>
              <w:bottom w:val="single" w:sz="4" w:space="0" w:color="BFBFBF"/>
              <w:right w:val="single" w:sz="4" w:space="0" w:color="auto"/>
            </w:tcBorders>
            <w:shd w:val="clear" w:color="auto" w:fill="auto"/>
            <w:noWrap/>
            <w:vAlign w:val="center"/>
            <w:hideMark/>
          </w:tcPr>
          <w:p w14:paraId="4233C025" w14:textId="77777777" w:rsidR="006D7E51" w:rsidRDefault="006D7E51">
            <w:pPr>
              <w:jc w:val="right"/>
              <w:rPr>
                <w:color w:val="000000"/>
                <w:sz w:val="20"/>
                <w:szCs w:val="20"/>
              </w:rPr>
            </w:pPr>
            <w:r>
              <w:rPr>
                <w:color w:val="000000"/>
                <w:sz w:val="20"/>
                <w:szCs w:val="20"/>
              </w:rPr>
              <w:t>1 117 783</w:t>
            </w:r>
          </w:p>
        </w:tc>
      </w:tr>
      <w:tr w:rsidR="006D7E51" w14:paraId="0AEC1EFC"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1CEF1845" w14:textId="77777777" w:rsidR="006D7E51" w:rsidRDefault="006D7E51">
            <w:pPr>
              <w:ind w:firstLineChars="300" w:firstLine="6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1B82BF06" w14:textId="77777777" w:rsidR="006D7E51" w:rsidRDefault="006D7E51">
            <w:pPr>
              <w:rPr>
                <w:sz w:val="20"/>
                <w:szCs w:val="20"/>
              </w:rPr>
            </w:pPr>
            <w:r>
              <w:rPr>
                <w:sz w:val="20"/>
                <w:szCs w:val="20"/>
              </w:rPr>
              <w:t>Subsīdijas un dotācijas</w:t>
            </w:r>
          </w:p>
        </w:tc>
        <w:tc>
          <w:tcPr>
            <w:tcW w:w="1295" w:type="dxa"/>
            <w:tcBorders>
              <w:top w:val="nil"/>
              <w:left w:val="nil"/>
              <w:bottom w:val="single" w:sz="4" w:space="0" w:color="BFBFBF"/>
              <w:right w:val="single" w:sz="4" w:space="0" w:color="auto"/>
            </w:tcBorders>
            <w:shd w:val="clear" w:color="auto" w:fill="auto"/>
            <w:noWrap/>
            <w:vAlign w:val="center"/>
            <w:hideMark/>
          </w:tcPr>
          <w:p w14:paraId="01E70640" w14:textId="77777777" w:rsidR="006D7E51" w:rsidRDefault="006D7E51">
            <w:pPr>
              <w:jc w:val="right"/>
              <w:rPr>
                <w:color w:val="000000"/>
                <w:sz w:val="20"/>
                <w:szCs w:val="20"/>
              </w:rPr>
            </w:pPr>
            <w:r>
              <w:rPr>
                <w:color w:val="000000"/>
                <w:sz w:val="20"/>
                <w:szCs w:val="20"/>
              </w:rPr>
              <w:t>12 288</w:t>
            </w:r>
          </w:p>
        </w:tc>
        <w:tc>
          <w:tcPr>
            <w:tcW w:w="1123" w:type="dxa"/>
            <w:tcBorders>
              <w:top w:val="nil"/>
              <w:left w:val="nil"/>
              <w:bottom w:val="single" w:sz="4" w:space="0" w:color="BFBFBF"/>
              <w:right w:val="single" w:sz="4" w:space="0" w:color="auto"/>
            </w:tcBorders>
            <w:shd w:val="clear" w:color="auto" w:fill="auto"/>
            <w:noWrap/>
            <w:vAlign w:val="center"/>
            <w:hideMark/>
          </w:tcPr>
          <w:p w14:paraId="16E77A27" w14:textId="77777777" w:rsidR="006D7E51" w:rsidRDefault="006D7E51">
            <w:pPr>
              <w:jc w:val="right"/>
              <w:rPr>
                <w:color w:val="000000"/>
                <w:sz w:val="20"/>
                <w:szCs w:val="20"/>
              </w:rPr>
            </w:pPr>
            <w:r>
              <w:rPr>
                <w:color w:val="000000"/>
                <w:sz w:val="20"/>
                <w:szCs w:val="20"/>
              </w:rPr>
              <w:t>-1 734</w:t>
            </w:r>
          </w:p>
        </w:tc>
        <w:tc>
          <w:tcPr>
            <w:tcW w:w="1145" w:type="dxa"/>
            <w:tcBorders>
              <w:top w:val="nil"/>
              <w:left w:val="nil"/>
              <w:bottom w:val="single" w:sz="4" w:space="0" w:color="BFBFBF"/>
              <w:right w:val="single" w:sz="4" w:space="0" w:color="auto"/>
            </w:tcBorders>
            <w:shd w:val="clear" w:color="auto" w:fill="auto"/>
            <w:noWrap/>
            <w:vAlign w:val="center"/>
            <w:hideMark/>
          </w:tcPr>
          <w:p w14:paraId="4945E6C9" w14:textId="77777777" w:rsidR="006D7E51" w:rsidRDefault="006D7E51">
            <w:pPr>
              <w:jc w:val="right"/>
              <w:rPr>
                <w:color w:val="000000"/>
                <w:sz w:val="20"/>
                <w:szCs w:val="20"/>
              </w:rPr>
            </w:pPr>
            <w:r>
              <w:rPr>
                <w:color w:val="000000"/>
                <w:sz w:val="20"/>
                <w:szCs w:val="20"/>
              </w:rPr>
              <w:t>10 554</w:t>
            </w:r>
          </w:p>
        </w:tc>
        <w:tc>
          <w:tcPr>
            <w:tcW w:w="1295" w:type="dxa"/>
            <w:tcBorders>
              <w:top w:val="nil"/>
              <w:left w:val="nil"/>
              <w:bottom w:val="single" w:sz="4" w:space="0" w:color="BFBFBF"/>
              <w:right w:val="single" w:sz="4" w:space="0" w:color="auto"/>
            </w:tcBorders>
            <w:shd w:val="clear" w:color="auto" w:fill="auto"/>
            <w:noWrap/>
            <w:vAlign w:val="center"/>
            <w:hideMark/>
          </w:tcPr>
          <w:p w14:paraId="19B39BD7" w14:textId="77777777" w:rsidR="006D7E51" w:rsidRDefault="006D7E51">
            <w:pPr>
              <w:jc w:val="right"/>
              <w:rPr>
                <w:color w:val="000000"/>
                <w:sz w:val="20"/>
                <w:szCs w:val="20"/>
              </w:rPr>
            </w:pPr>
            <w:r>
              <w:rPr>
                <w:color w:val="000000"/>
                <w:sz w:val="20"/>
                <w:szCs w:val="20"/>
              </w:rPr>
              <w:t>12 800</w:t>
            </w:r>
          </w:p>
        </w:tc>
        <w:tc>
          <w:tcPr>
            <w:tcW w:w="1123" w:type="dxa"/>
            <w:tcBorders>
              <w:top w:val="nil"/>
              <w:left w:val="nil"/>
              <w:bottom w:val="single" w:sz="4" w:space="0" w:color="BFBFBF"/>
              <w:right w:val="single" w:sz="4" w:space="0" w:color="auto"/>
            </w:tcBorders>
            <w:shd w:val="clear" w:color="auto" w:fill="auto"/>
            <w:noWrap/>
            <w:vAlign w:val="center"/>
            <w:hideMark/>
          </w:tcPr>
          <w:p w14:paraId="1A6E5363" w14:textId="77777777" w:rsidR="006D7E51" w:rsidRDefault="006D7E51">
            <w:pPr>
              <w:jc w:val="right"/>
              <w:rPr>
                <w:color w:val="000000"/>
                <w:sz w:val="20"/>
                <w:szCs w:val="20"/>
              </w:rPr>
            </w:pPr>
            <w:r>
              <w:rPr>
                <w:color w:val="000000"/>
                <w:sz w:val="20"/>
                <w:szCs w:val="20"/>
              </w:rPr>
              <w:t>-1 811</w:t>
            </w:r>
          </w:p>
        </w:tc>
        <w:tc>
          <w:tcPr>
            <w:tcW w:w="1145" w:type="dxa"/>
            <w:tcBorders>
              <w:top w:val="nil"/>
              <w:left w:val="nil"/>
              <w:bottom w:val="single" w:sz="4" w:space="0" w:color="BFBFBF"/>
              <w:right w:val="single" w:sz="4" w:space="0" w:color="auto"/>
            </w:tcBorders>
            <w:shd w:val="clear" w:color="auto" w:fill="auto"/>
            <w:noWrap/>
            <w:vAlign w:val="center"/>
            <w:hideMark/>
          </w:tcPr>
          <w:p w14:paraId="1581ACFF" w14:textId="77777777" w:rsidR="006D7E51" w:rsidRDefault="006D7E51">
            <w:pPr>
              <w:jc w:val="right"/>
              <w:rPr>
                <w:color w:val="000000"/>
                <w:sz w:val="20"/>
                <w:szCs w:val="20"/>
              </w:rPr>
            </w:pPr>
            <w:r>
              <w:rPr>
                <w:color w:val="000000"/>
                <w:sz w:val="20"/>
                <w:szCs w:val="20"/>
              </w:rPr>
              <w:t>10 989</w:t>
            </w:r>
          </w:p>
        </w:tc>
        <w:tc>
          <w:tcPr>
            <w:tcW w:w="1295" w:type="dxa"/>
            <w:tcBorders>
              <w:top w:val="nil"/>
              <w:left w:val="nil"/>
              <w:bottom w:val="single" w:sz="4" w:space="0" w:color="BFBFBF"/>
              <w:right w:val="single" w:sz="4" w:space="0" w:color="auto"/>
            </w:tcBorders>
            <w:shd w:val="clear" w:color="auto" w:fill="auto"/>
            <w:noWrap/>
            <w:vAlign w:val="center"/>
            <w:hideMark/>
          </w:tcPr>
          <w:p w14:paraId="2AD676AC" w14:textId="77777777" w:rsidR="006D7E51" w:rsidRDefault="006D7E51">
            <w:pPr>
              <w:jc w:val="right"/>
              <w:rPr>
                <w:color w:val="000000"/>
                <w:sz w:val="20"/>
                <w:szCs w:val="20"/>
              </w:rPr>
            </w:pPr>
            <w:r>
              <w:rPr>
                <w:color w:val="000000"/>
                <w:sz w:val="20"/>
                <w:szCs w:val="20"/>
              </w:rPr>
              <w:t>12 800</w:t>
            </w:r>
          </w:p>
        </w:tc>
        <w:tc>
          <w:tcPr>
            <w:tcW w:w="1123" w:type="dxa"/>
            <w:tcBorders>
              <w:top w:val="nil"/>
              <w:left w:val="nil"/>
              <w:bottom w:val="single" w:sz="4" w:space="0" w:color="BFBFBF"/>
              <w:right w:val="single" w:sz="4" w:space="0" w:color="auto"/>
            </w:tcBorders>
            <w:shd w:val="clear" w:color="auto" w:fill="auto"/>
            <w:noWrap/>
            <w:vAlign w:val="center"/>
            <w:hideMark/>
          </w:tcPr>
          <w:p w14:paraId="00937BA1" w14:textId="77777777" w:rsidR="006D7E51" w:rsidRDefault="006D7E51">
            <w:pPr>
              <w:jc w:val="right"/>
              <w:rPr>
                <w:color w:val="000000"/>
                <w:sz w:val="20"/>
                <w:szCs w:val="20"/>
              </w:rPr>
            </w:pPr>
            <w:r>
              <w:rPr>
                <w:color w:val="000000"/>
                <w:sz w:val="20"/>
                <w:szCs w:val="20"/>
              </w:rPr>
              <w:t>-1 267</w:t>
            </w:r>
          </w:p>
        </w:tc>
        <w:tc>
          <w:tcPr>
            <w:tcW w:w="1145" w:type="dxa"/>
            <w:tcBorders>
              <w:top w:val="nil"/>
              <w:left w:val="nil"/>
              <w:bottom w:val="single" w:sz="4" w:space="0" w:color="BFBFBF"/>
              <w:right w:val="single" w:sz="4" w:space="0" w:color="auto"/>
            </w:tcBorders>
            <w:shd w:val="clear" w:color="auto" w:fill="auto"/>
            <w:noWrap/>
            <w:vAlign w:val="center"/>
            <w:hideMark/>
          </w:tcPr>
          <w:p w14:paraId="34FA8C7B" w14:textId="77777777" w:rsidR="006D7E51" w:rsidRDefault="006D7E51">
            <w:pPr>
              <w:jc w:val="right"/>
              <w:rPr>
                <w:color w:val="000000"/>
                <w:sz w:val="20"/>
                <w:szCs w:val="20"/>
              </w:rPr>
            </w:pPr>
            <w:r>
              <w:rPr>
                <w:color w:val="000000"/>
                <w:sz w:val="20"/>
                <w:szCs w:val="20"/>
              </w:rPr>
              <w:t>11 533</w:t>
            </w:r>
          </w:p>
        </w:tc>
      </w:tr>
      <w:tr w:rsidR="006D7E51" w14:paraId="47E8349B"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1F6D4F6D" w14:textId="77777777" w:rsidR="006D7E51" w:rsidRDefault="006D7E51">
            <w:pPr>
              <w:ind w:firstLineChars="300" w:firstLine="6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3F8CC853" w14:textId="77777777" w:rsidR="006D7E51" w:rsidRDefault="006D7E51">
            <w:pPr>
              <w:rPr>
                <w:sz w:val="20"/>
                <w:szCs w:val="20"/>
              </w:rPr>
            </w:pPr>
            <w:r>
              <w:rPr>
                <w:sz w:val="20"/>
                <w:szCs w:val="20"/>
              </w:rPr>
              <w:t>Sociālie pabalsti</w:t>
            </w:r>
          </w:p>
        </w:tc>
        <w:tc>
          <w:tcPr>
            <w:tcW w:w="1295" w:type="dxa"/>
            <w:tcBorders>
              <w:top w:val="nil"/>
              <w:left w:val="nil"/>
              <w:bottom w:val="single" w:sz="4" w:space="0" w:color="BFBFBF"/>
              <w:right w:val="single" w:sz="4" w:space="0" w:color="auto"/>
            </w:tcBorders>
            <w:shd w:val="clear" w:color="auto" w:fill="auto"/>
            <w:noWrap/>
            <w:vAlign w:val="center"/>
            <w:hideMark/>
          </w:tcPr>
          <w:p w14:paraId="16EDF16F" w14:textId="77777777" w:rsidR="006D7E51" w:rsidRDefault="006D7E51">
            <w:pPr>
              <w:jc w:val="right"/>
              <w:rPr>
                <w:color w:val="000000"/>
                <w:sz w:val="20"/>
                <w:szCs w:val="20"/>
              </w:rPr>
            </w:pPr>
            <w:r>
              <w:rPr>
                <w:color w:val="000000"/>
                <w:sz w:val="20"/>
                <w:szCs w:val="20"/>
              </w:rPr>
              <w:t>1 107 298</w:t>
            </w:r>
          </w:p>
        </w:tc>
        <w:tc>
          <w:tcPr>
            <w:tcW w:w="1123" w:type="dxa"/>
            <w:tcBorders>
              <w:top w:val="nil"/>
              <w:left w:val="nil"/>
              <w:bottom w:val="single" w:sz="4" w:space="0" w:color="BFBFBF"/>
              <w:right w:val="single" w:sz="4" w:space="0" w:color="auto"/>
            </w:tcBorders>
            <w:shd w:val="clear" w:color="auto" w:fill="auto"/>
            <w:noWrap/>
            <w:vAlign w:val="center"/>
            <w:hideMark/>
          </w:tcPr>
          <w:p w14:paraId="4153DFE1" w14:textId="77777777" w:rsidR="006D7E51" w:rsidRDefault="006D7E51">
            <w:pPr>
              <w:jc w:val="right"/>
              <w:rPr>
                <w:color w:val="000000"/>
                <w:sz w:val="20"/>
                <w:szCs w:val="20"/>
              </w:rPr>
            </w:pPr>
            <w:r>
              <w:rPr>
                <w:color w:val="000000"/>
                <w:sz w:val="20"/>
                <w:szCs w:val="20"/>
              </w:rPr>
              <w:t>-255 663</w:t>
            </w:r>
          </w:p>
        </w:tc>
        <w:tc>
          <w:tcPr>
            <w:tcW w:w="1145" w:type="dxa"/>
            <w:tcBorders>
              <w:top w:val="nil"/>
              <w:left w:val="nil"/>
              <w:bottom w:val="single" w:sz="4" w:space="0" w:color="BFBFBF"/>
              <w:right w:val="single" w:sz="4" w:space="0" w:color="auto"/>
            </w:tcBorders>
            <w:shd w:val="clear" w:color="auto" w:fill="auto"/>
            <w:noWrap/>
            <w:vAlign w:val="center"/>
            <w:hideMark/>
          </w:tcPr>
          <w:p w14:paraId="49C08930" w14:textId="77777777" w:rsidR="006D7E51" w:rsidRDefault="006D7E51">
            <w:pPr>
              <w:jc w:val="right"/>
              <w:rPr>
                <w:color w:val="000000"/>
                <w:sz w:val="20"/>
                <w:szCs w:val="20"/>
              </w:rPr>
            </w:pPr>
            <w:r>
              <w:rPr>
                <w:color w:val="000000"/>
                <w:sz w:val="20"/>
                <w:szCs w:val="20"/>
              </w:rPr>
              <w:t>851 635</w:t>
            </w:r>
          </w:p>
        </w:tc>
        <w:tc>
          <w:tcPr>
            <w:tcW w:w="1295" w:type="dxa"/>
            <w:tcBorders>
              <w:top w:val="nil"/>
              <w:left w:val="nil"/>
              <w:bottom w:val="single" w:sz="4" w:space="0" w:color="BFBFBF"/>
              <w:right w:val="single" w:sz="4" w:space="0" w:color="auto"/>
            </w:tcBorders>
            <w:shd w:val="clear" w:color="auto" w:fill="auto"/>
            <w:noWrap/>
            <w:vAlign w:val="center"/>
            <w:hideMark/>
          </w:tcPr>
          <w:p w14:paraId="7A5BD717" w14:textId="77777777" w:rsidR="006D7E51" w:rsidRDefault="006D7E51">
            <w:pPr>
              <w:jc w:val="right"/>
              <w:rPr>
                <w:color w:val="000000"/>
                <w:sz w:val="20"/>
                <w:szCs w:val="20"/>
              </w:rPr>
            </w:pPr>
            <w:r>
              <w:rPr>
                <w:color w:val="000000"/>
                <w:sz w:val="20"/>
                <w:szCs w:val="20"/>
              </w:rPr>
              <w:t>1 306 452</w:t>
            </w:r>
          </w:p>
        </w:tc>
        <w:tc>
          <w:tcPr>
            <w:tcW w:w="1123" w:type="dxa"/>
            <w:tcBorders>
              <w:top w:val="nil"/>
              <w:left w:val="nil"/>
              <w:bottom w:val="single" w:sz="4" w:space="0" w:color="BFBFBF"/>
              <w:right w:val="single" w:sz="4" w:space="0" w:color="auto"/>
            </w:tcBorders>
            <w:shd w:val="clear" w:color="auto" w:fill="auto"/>
            <w:noWrap/>
            <w:vAlign w:val="center"/>
            <w:hideMark/>
          </w:tcPr>
          <w:p w14:paraId="305799B3" w14:textId="77777777" w:rsidR="006D7E51" w:rsidRDefault="006D7E51">
            <w:pPr>
              <w:jc w:val="right"/>
              <w:rPr>
                <w:color w:val="000000"/>
                <w:sz w:val="20"/>
                <w:szCs w:val="20"/>
              </w:rPr>
            </w:pPr>
            <w:r>
              <w:rPr>
                <w:color w:val="000000"/>
                <w:sz w:val="20"/>
                <w:szCs w:val="20"/>
              </w:rPr>
              <w:t>-340 083</w:t>
            </w:r>
          </w:p>
        </w:tc>
        <w:tc>
          <w:tcPr>
            <w:tcW w:w="1145" w:type="dxa"/>
            <w:tcBorders>
              <w:top w:val="nil"/>
              <w:left w:val="nil"/>
              <w:bottom w:val="single" w:sz="4" w:space="0" w:color="BFBFBF"/>
              <w:right w:val="single" w:sz="4" w:space="0" w:color="auto"/>
            </w:tcBorders>
            <w:shd w:val="clear" w:color="auto" w:fill="auto"/>
            <w:noWrap/>
            <w:vAlign w:val="center"/>
            <w:hideMark/>
          </w:tcPr>
          <w:p w14:paraId="2BB023BF" w14:textId="77777777" w:rsidR="006D7E51" w:rsidRDefault="006D7E51">
            <w:pPr>
              <w:jc w:val="right"/>
              <w:rPr>
                <w:color w:val="000000"/>
                <w:sz w:val="20"/>
                <w:szCs w:val="20"/>
              </w:rPr>
            </w:pPr>
            <w:r>
              <w:rPr>
                <w:color w:val="000000"/>
                <w:sz w:val="20"/>
                <w:szCs w:val="20"/>
              </w:rPr>
              <w:t>966 369</w:t>
            </w:r>
          </w:p>
        </w:tc>
        <w:tc>
          <w:tcPr>
            <w:tcW w:w="1295" w:type="dxa"/>
            <w:tcBorders>
              <w:top w:val="nil"/>
              <w:left w:val="nil"/>
              <w:bottom w:val="single" w:sz="4" w:space="0" w:color="BFBFBF"/>
              <w:right w:val="single" w:sz="4" w:space="0" w:color="auto"/>
            </w:tcBorders>
            <w:shd w:val="clear" w:color="auto" w:fill="auto"/>
            <w:noWrap/>
            <w:vAlign w:val="center"/>
            <w:hideMark/>
          </w:tcPr>
          <w:p w14:paraId="1F582750" w14:textId="77777777" w:rsidR="006D7E51" w:rsidRDefault="006D7E51">
            <w:pPr>
              <w:jc w:val="right"/>
              <w:rPr>
                <w:color w:val="000000"/>
                <w:sz w:val="20"/>
                <w:szCs w:val="20"/>
              </w:rPr>
            </w:pPr>
            <w:r>
              <w:rPr>
                <w:color w:val="000000"/>
                <w:sz w:val="20"/>
                <w:szCs w:val="20"/>
              </w:rPr>
              <w:t>1 306 452</w:t>
            </w:r>
          </w:p>
        </w:tc>
        <w:tc>
          <w:tcPr>
            <w:tcW w:w="1123" w:type="dxa"/>
            <w:tcBorders>
              <w:top w:val="nil"/>
              <w:left w:val="nil"/>
              <w:bottom w:val="single" w:sz="4" w:space="0" w:color="BFBFBF"/>
              <w:right w:val="single" w:sz="4" w:space="0" w:color="auto"/>
            </w:tcBorders>
            <w:shd w:val="clear" w:color="auto" w:fill="auto"/>
            <w:noWrap/>
            <w:vAlign w:val="center"/>
            <w:hideMark/>
          </w:tcPr>
          <w:p w14:paraId="13E8E223" w14:textId="77777777" w:rsidR="006D7E51" w:rsidRDefault="006D7E51">
            <w:pPr>
              <w:jc w:val="right"/>
              <w:rPr>
                <w:color w:val="000000"/>
                <w:sz w:val="20"/>
                <w:szCs w:val="20"/>
              </w:rPr>
            </w:pPr>
            <w:r>
              <w:rPr>
                <w:color w:val="000000"/>
                <w:sz w:val="20"/>
                <w:szCs w:val="20"/>
              </w:rPr>
              <w:t>-200 202</w:t>
            </w:r>
          </w:p>
        </w:tc>
        <w:tc>
          <w:tcPr>
            <w:tcW w:w="1145" w:type="dxa"/>
            <w:tcBorders>
              <w:top w:val="nil"/>
              <w:left w:val="nil"/>
              <w:bottom w:val="single" w:sz="4" w:space="0" w:color="BFBFBF"/>
              <w:right w:val="single" w:sz="4" w:space="0" w:color="auto"/>
            </w:tcBorders>
            <w:shd w:val="clear" w:color="auto" w:fill="auto"/>
            <w:noWrap/>
            <w:vAlign w:val="center"/>
            <w:hideMark/>
          </w:tcPr>
          <w:p w14:paraId="6838036C" w14:textId="77777777" w:rsidR="006D7E51" w:rsidRDefault="006D7E51">
            <w:pPr>
              <w:jc w:val="right"/>
              <w:rPr>
                <w:color w:val="000000"/>
                <w:sz w:val="20"/>
                <w:szCs w:val="20"/>
              </w:rPr>
            </w:pPr>
            <w:r>
              <w:rPr>
                <w:color w:val="000000"/>
                <w:sz w:val="20"/>
                <w:szCs w:val="20"/>
              </w:rPr>
              <w:t>1 106 250</w:t>
            </w:r>
          </w:p>
        </w:tc>
      </w:tr>
      <w:tr w:rsidR="006D7E51" w14:paraId="3812C058"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3236E724"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7F4E18D4" w14:textId="77777777" w:rsidR="006D7E51" w:rsidRDefault="006D7E51">
            <w:pPr>
              <w:rPr>
                <w:sz w:val="20"/>
                <w:szCs w:val="20"/>
              </w:rPr>
            </w:pPr>
            <w:r>
              <w:rPr>
                <w:sz w:val="20"/>
                <w:szCs w:val="20"/>
              </w:rPr>
              <w:t>Finansiālā bilance</w:t>
            </w:r>
          </w:p>
        </w:tc>
        <w:tc>
          <w:tcPr>
            <w:tcW w:w="1295" w:type="dxa"/>
            <w:tcBorders>
              <w:top w:val="nil"/>
              <w:left w:val="nil"/>
              <w:bottom w:val="single" w:sz="4" w:space="0" w:color="BFBFBF"/>
              <w:right w:val="single" w:sz="4" w:space="0" w:color="auto"/>
            </w:tcBorders>
            <w:shd w:val="clear" w:color="auto" w:fill="auto"/>
            <w:noWrap/>
            <w:vAlign w:val="center"/>
            <w:hideMark/>
          </w:tcPr>
          <w:p w14:paraId="721B8B87" w14:textId="77777777" w:rsidR="006D7E51" w:rsidRDefault="006D7E51">
            <w:pPr>
              <w:jc w:val="right"/>
              <w:rPr>
                <w:color w:val="000000"/>
                <w:sz w:val="20"/>
                <w:szCs w:val="20"/>
              </w:rPr>
            </w:pPr>
            <w:r>
              <w:rPr>
                <w:color w:val="000000"/>
                <w:sz w:val="20"/>
                <w:szCs w:val="20"/>
              </w:rPr>
              <w:t>1 170 121</w:t>
            </w:r>
          </w:p>
        </w:tc>
        <w:tc>
          <w:tcPr>
            <w:tcW w:w="1123" w:type="dxa"/>
            <w:tcBorders>
              <w:top w:val="nil"/>
              <w:left w:val="nil"/>
              <w:bottom w:val="single" w:sz="4" w:space="0" w:color="BFBFBF"/>
              <w:right w:val="single" w:sz="4" w:space="0" w:color="auto"/>
            </w:tcBorders>
            <w:shd w:val="clear" w:color="auto" w:fill="auto"/>
            <w:noWrap/>
            <w:vAlign w:val="center"/>
            <w:hideMark/>
          </w:tcPr>
          <w:p w14:paraId="25C4A677" w14:textId="77777777" w:rsidR="006D7E51" w:rsidRDefault="006D7E51">
            <w:pPr>
              <w:jc w:val="right"/>
              <w:rPr>
                <w:color w:val="000000"/>
                <w:sz w:val="20"/>
                <w:szCs w:val="20"/>
              </w:rPr>
            </w:pPr>
            <w:r>
              <w:rPr>
                <w:color w:val="000000"/>
                <w:sz w:val="20"/>
                <w:szCs w:val="20"/>
              </w:rPr>
              <w:t>54 723</w:t>
            </w:r>
          </w:p>
        </w:tc>
        <w:tc>
          <w:tcPr>
            <w:tcW w:w="1145" w:type="dxa"/>
            <w:tcBorders>
              <w:top w:val="nil"/>
              <w:left w:val="nil"/>
              <w:bottom w:val="single" w:sz="4" w:space="0" w:color="BFBFBF"/>
              <w:right w:val="single" w:sz="4" w:space="0" w:color="auto"/>
            </w:tcBorders>
            <w:shd w:val="clear" w:color="auto" w:fill="auto"/>
            <w:noWrap/>
            <w:vAlign w:val="center"/>
            <w:hideMark/>
          </w:tcPr>
          <w:p w14:paraId="0432F6C8" w14:textId="77777777" w:rsidR="006D7E51" w:rsidRDefault="006D7E51">
            <w:pPr>
              <w:jc w:val="right"/>
              <w:rPr>
                <w:color w:val="000000"/>
                <w:sz w:val="20"/>
                <w:szCs w:val="20"/>
              </w:rPr>
            </w:pPr>
            <w:r>
              <w:rPr>
                <w:color w:val="000000"/>
                <w:sz w:val="20"/>
                <w:szCs w:val="20"/>
              </w:rPr>
              <w:t>1 224 844</w:t>
            </w:r>
          </w:p>
        </w:tc>
        <w:tc>
          <w:tcPr>
            <w:tcW w:w="1295" w:type="dxa"/>
            <w:tcBorders>
              <w:top w:val="nil"/>
              <w:left w:val="nil"/>
              <w:bottom w:val="single" w:sz="4" w:space="0" w:color="BFBFBF"/>
              <w:right w:val="single" w:sz="4" w:space="0" w:color="auto"/>
            </w:tcBorders>
            <w:shd w:val="clear" w:color="auto" w:fill="auto"/>
            <w:noWrap/>
            <w:vAlign w:val="center"/>
            <w:hideMark/>
          </w:tcPr>
          <w:p w14:paraId="3231F813" w14:textId="77777777" w:rsidR="006D7E51" w:rsidRDefault="006D7E51">
            <w:pPr>
              <w:jc w:val="right"/>
              <w:rPr>
                <w:color w:val="000000"/>
                <w:sz w:val="20"/>
                <w:szCs w:val="20"/>
              </w:rPr>
            </w:pPr>
            <w:r>
              <w:rPr>
                <w:color w:val="000000"/>
                <w:sz w:val="20"/>
                <w:szCs w:val="20"/>
              </w:rPr>
              <w:t>830 244</w:t>
            </w:r>
          </w:p>
        </w:tc>
        <w:tc>
          <w:tcPr>
            <w:tcW w:w="1123" w:type="dxa"/>
            <w:tcBorders>
              <w:top w:val="nil"/>
              <w:left w:val="nil"/>
              <w:bottom w:val="single" w:sz="4" w:space="0" w:color="BFBFBF"/>
              <w:right w:val="single" w:sz="4" w:space="0" w:color="auto"/>
            </w:tcBorders>
            <w:shd w:val="clear" w:color="auto" w:fill="auto"/>
            <w:noWrap/>
            <w:vAlign w:val="center"/>
            <w:hideMark/>
          </w:tcPr>
          <w:p w14:paraId="4206CB31" w14:textId="77777777" w:rsidR="006D7E51" w:rsidRDefault="006D7E51">
            <w:pPr>
              <w:jc w:val="right"/>
              <w:rPr>
                <w:color w:val="000000"/>
                <w:sz w:val="20"/>
                <w:szCs w:val="20"/>
              </w:rPr>
            </w:pPr>
            <w:r>
              <w:rPr>
                <w:color w:val="000000"/>
                <w:sz w:val="20"/>
                <w:szCs w:val="20"/>
              </w:rPr>
              <w:t>196 474</w:t>
            </w:r>
          </w:p>
        </w:tc>
        <w:tc>
          <w:tcPr>
            <w:tcW w:w="1145" w:type="dxa"/>
            <w:tcBorders>
              <w:top w:val="nil"/>
              <w:left w:val="nil"/>
              <w:bottom w:val="single" w:sz="4" w:space="0" w:color="BFBFBF"/>
              <w:right w:val="single" w:sz="4" w:space="0" w:color="auto"/>
            </w:tcBorders>
            <w:shd w:val="clear" w:color="auto" w:fill="auto"/>
            <w:noWrap/>
            <w:vAlign w:val="center"/>
            <w:hideMark/>
          </w:tcPr>
          <w:p w14:paraId="19ADEBEC" w14:textId="77777777" w:rsidR="006D7E51" w:rsidRDefault="006D7E51">
            <w:pPr>
              <w:jc w:val="right"/>
              <w:rPr>
                <w:color w:val="000000"/>
                <w:sz w:val="20"/>
                <w:szCs w:val="20"/>
              </w:rPr>
            </w:pPr>
            <w:r>
              <w:rPr>
                <w:color w:val="000000"/>
                <w:sz w:val="20"/>
                <w:szCs w:val="20"/>
              </w:rPr>
              <w:t>1 026 718</w:t>
            </w:r>
          </w:p>
        </w:tc>
        <w:tc>
          <w:tcPr>
            <w:tcW w:w="1295" w:type="dxa"/>
            <w:tcBorders>
              <w:top w:val="nil"/>
              <w:left w:val="nil"/>
              <w:bottom w:val="single" w:sz="4" w:space="0" w:color="BFBFBF"/>
              <w:right w:val="single" w:sz="4" w:space="0" w:color="auto"/>
            </w:tcBorders>
            <w:shd w:val="clear" w:color="auto" w:fill="auto"/>
            <w:noWrap/>
            <w:vAlign w:val="center"/>
            <w:hideMark/>
          </w:tcPr>
          <w:p w14:paraId="40407D66" w14:textId="77777777" w:rsidR="006D7E51" w:rsidRDefault="006D7E51">
            <w:pPr>
              <w:jc w:val="right"/>
              <w:rPr>
                <w:color w:val="000000"/>
                <w:sz w:val="20"/>
                <w:szCs w:val="20"/>
              </w:rPr>
            </w:pPr>
            <w:r>
              <w:rPr>
                <w:color w:val="000000"/>
                <w:sz w:val="20"/>
                <w:szCs w:val="20"/>
              </w:rPr>
              <w:t>830 244</w:t>
            </w:r>
          </w:p>
        </w:tc>
        <w:tc>
          <w:tcPr>
            <w:tcW w:w="1123" w:type="dxa"/>
            <w:tcBorders>
              <w:top w:val="nil"/>
              <w:left w:val="nil"/>
              <w:bottom w:val="single" w:sz="4" w:space="0" w:color="BFBFBF"/>
              <w:right w:val="single" w:sz="4" w:space="0" w:color="auto"/>
            </w:tcBorders>
            <w:shd w:val="clear" w:color="auto" w:fill="auto"/>
            <w:noWrap/>
            <w:vAlign w:val="center"/>
            <w:hideMark/>
          </w:tcPr>
          <w:p w14:paraId="05178288" w14:textId="77777777" w:rsidR="006D7E51" w:rsidRDefault="006D7E51">
            <w:pPr>
              <w:jc w:val="right"/>
              <w:rPr>
                <w:color w:val="000000"/>
                <w:sz w:val="20"/>
                <w:szCs w:val="20"/>
              </w:rPr>
            </w:pPr>
            <w:r>
              <w:rPr>
                <w:color w:val="000000"/>
                <w:sz w:val="20"/>
                <w:szCs w:val="20"/>
              </w:rPr>
              <w:t>-45 756</w:t>
            </w:r>
          </w:p>
        </w:tc>
        <w:tc>
          <w:tcPr>
            <w:tcW w:w="1145" w:type="dxa"/>
            <w:tcBorders>
              <w:top w:val="nil"/>
              <w:left w:val="nil"/>
              <w:bottom w:val="single" w:sz="4" w:space="0" w:color="BFBFBF"/>
              <w:right w:val="single" w:sz="4" w:space="0" w:color="auto"/>
            </w:tcBorders>
            <w:shd w:val="clear" w:color="auto" w:fill="auto"/>
            <w:noWrap/>
            <w:vAlign w:val="center"/>
            <w:hideMark/>
          </w:tcPr>
          <w:p w14:paraId="71F75207" w14:textId="77777777" w:rsidR="006D7E51" w:rsidRDefault="006D7E51">
            <w:pPr>
              <w:jc w:val="right"/>
              <w:rPr>
                <w:color w:val="000000"/>
                <w:sz w:val="20"/>
                <w:szCs w:val="20"/>
              </w:rPr>
            </w:pPr>
            <w:r>
              <w:rPr>
                <w:color w:val="000000"/>
                <w:sz w:val="20"/>
                <w:szCs w:val="20"/>
              </w:rPr>
              <w:t>784 488</w:t>
            </w:r>
          </w:p>
        </w:tc>
      </w:tr>
      <w:tr w:rsidR="006D7E51" w14:paraId="63A4C014"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4269B5BA"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6C6D7E87" w14:textId="77777777" w:rsidR="006D7E51" w:rsidRDefault="006D7E51">
            <w:pPr>
              <w:rPr>
                <w:sz w:val="20"/>
                <w:szCs w:val="20"/>
              </w:rPr>
            </w:pPr>
            <w:r>
              <w:rPr>
                <w:sz w:val="20"/>
                <w:szCs w:val="20"/>
              </w:rPr>
              <w:t>Finansēšana</w:t>
            </w:r>
          </w:p>
        </w:tc>
        <w:tc>
          <w:tcPr>
            <w:tcW w:w="1295" w:type="dxa"/>
            <w:tcBorders>
              <w:top w:val="nil"/>
              <w:left w:val="nil"/>
              <w:bottom w:val="single" w:sz="4" w:space="0" w:color="BFBFBF"/>
              <w:right w:val="single" w:sz="4" w:space="0" w:color="auto"/>
            </w:tcBorders>
            <w:shd w:val="clear" w:color="auto" w:fill="auto"/>
            <w:noWrap/>
            <w:vAlign w:val="center"/>
            <w:hideMark/>
          </w:tcPr>
          <w:p w14:paraId="3F9BF8B4" w14:textId="77777777" w:rsidR="006D7E51" w:rsidRDefault="006D7E51">
            <w:pPr>
              <w:jc w:val="right"/>
              <w:rPr>
                <w:color w:val="000000"/>
                <w:sz w:val="20"/>
                <w:szCs w:val="20"/>
              </w:rPr>
            </w:pPr>
            <w:r>
              <w:rPr>
                <w:color w:val="000000"/>
                <w:sz w:val="20"/>
                <w:szCs w:val="20"/>
              </w:rPr>
              <w:t>-1 170 121</w:t>
            </w:r>
          </w:p>
        </w:tc>
        <w:tc>
          <w:tcPr>
            <w:tcW w:w="1123" w:type="dxa"/>
            <w:tcBorders>
              <w:top w:val="nil"/>
              <w:left w:val="nil"/>
              <w:bottom w:val="single" w:sz="4" w:space="0" w:color="BFBFBF"/>
              <w:right w:val="single" w:sz="4" w:space="0" w:color="auto"/>
            </w:tcBorders>
            <w:shd w:val="clear" w:color="auto" w:fill="auto"/>
            <w:noWrap/>
            <w:vAlign w:val="center"/>
            <w:hideMark/>
          </w:tcPr>
          <w:p w14:paraId="5DA0EE60" w14:textId="77777777" w:rsidR="006D7E51" w:rsidRDefault="006D7E51">
            <w:pPr>
              <w:jc w:val="right"/>
              <w:rPr>
                <w:color w:val="000000"/>
                <w:sz w:val="20"/>
                <w:szCs w:val="20"/>
              </w:rPr>
            </w:pPr>
            <w:r>
              <w:rPr>
                <w:color w:val="000000"/>
                <w:sz w:val="20"/>
                <w:szCs w:val="20"/>
              </w:rPr>
              <w:t>-54 723</w:t>
            </w:r>
          </w:p>
        </w:tc>
        <w:tc>
          <w:tcPr>
            <w:tcW w:w="1145" w:type="dxa"/>
            <w:tcBorders>
              <w:top w:val="nil"/>
              <w:left w:val="nil"/>
              <w:bottom w:val="single" w:sz="4" w:space="0" w:color="BFBFBF"/>
              <w:right w:val="single" w:sz="4" w:space="0" w:color="auto"/>
            </w:tcBorders>
            <w:shd w:val="clear" w:color="auto" w:fill="auto"/>
            <w:noWrap/>
            <w:vAlign w:val="center"/>
            <w:hideMark/>
          </w:tcPr>
          <w:p w14:paraId="01E5C2AE" w14:textId="77777777" w:rsidR="006D7E51" w:rsidRDefault="006D7E51">
            <w:pPr>
              <w:jc w:val="right"/>
              <w:rPr>
                <w:color w:val="000000"/>
                <w:sz w:val="20"/>
                <w:szCs w:val="20"/>
              </w:rPr>
            </w:pPr>
            <w:r>
              <w:rPr>
                <w:color w:val="000000"/>
                <w:sz w:val="20"/>
                <w:szCs w:val="20"/>
              </w:rPr>
              <w:t>-1 224 844</w:t>
            </w:r>
          </w:p>
        </w:tc>
        <w:tc>
          <w:tcPr>
            <w:tcW w:w="1295" w:type="dxa"/>
            <w:tcBorders>
              <w:top w:val="nil"/>
              <w:left w:val="nil"/>
              <w:bottom w:val="single" w:sz="4" w:space="0" w:color="BFBFBF"/>
              <w:right w:val="single" w:sz="4" w:space="0" w:color="auto"/>
            </w:tcBorders>
            <w:shd w:val="clear" w:color="auto" w:fill="auto"/>
            <w:noWrap/>
            <w:vAlign w:val="center"/>
            <w:hideMark/>
          </w:tcPr>
          <w:p w14:paraId="666A2C9B" w14:textId="77777777" w:rsidR="006D7E51" w:rsidRDefault="006D7E51">
            <w:pPr>
              <w:jc w:val="right"/>
              <w:rPr>
                <w:color w:val="000000"/>
                <w:sz w:val="20"/>
                <w:szCs w:val="20"/>
              </w:rPr>
            </w:pPr>
            <w:r>
              <w:rPr>
                <w:color w:val="000000"/>
                <w:sz w:val="20"/>
                <w:szCs w:val="20"/>
              </w:rPr>
              <w:t>-830 244</w:t>
            </w:r>
          </w:p>
        </w:tc>
        <w:tc>
          <w:tcPr>
            <w:tcW w:w="1123" w:type="dxa"/>
            <w:tcBorders>
              <w:top w:val="nil"/>
              <w:left w:val="nil"/>
              <w:bottom w:val="single" w:sz="4" w:space="0" w:color="BFBFBF"/>
              <w:right w:val="single" w:sz="4" w:space="0" w:color="auto"/>
            </w:tcBorders>
            <w:shd w:val="clear" w:color="auto" w:fill="auto"/>
            <w:noWrap/>
            <w:vAlign w:val="center"/>
            <w:hideMark/>
          </w:tcPr>
          <w:p w14:paraId="123E1446" w14:textId="77777777" w:rsidR="006D7E51" w:rsidRDefault="006D7E51">
            <w:pPr>
              <w:jc w:val="right"/>
              <w:rPr>
                <w:color w:val="000000"/>
                <w:sz w:val="20"/>
                <w:szCs w:val="20"/>
              </w:rPr>
            </w:pPr>
            <w:r>
              <w:rPr>
                <w:color w:val="000000"/>
                <w:sz w:val="20"/>
                <w:szCs w:val="20"/>
              </w:rPr>
              <w:t>-196 474</w:t>
            </w:r>
          </w:p>
        </w:tc>
        <w:tc>
          <w:tcPr>
            <w:tcW w:w="1145" w:type="dxa"/>
            <w:tcBorders>
              <w:top w:val="nil"/>
              <w:left w:val="nil"/>
              <w:bottom w:val="single" w:sz="4" w:space="0" w:color="BFBFBF"/>
              <w:right w:val="single" w:sz="4" w:space="0" w:color="auto"/>
            </w:tcBorders>
            <w:shd w:val="clear" w:color="auto" w:fill="auto"/>
            <w:noWrap/>
            <w:vAlign w:val="center"/>
            <w:hideMark/>
          </w:tcPr>
          <w:p w14:paraId="729C835D" w14:textId="77777777" w:rsidR="006D7E51" w:rsidRDefault="006D7E51">
            <w:pPr>
              <w:jc w:val="right"/>
              <w:rPr>
                <w:color w:val="000000"/>
                <w:sz w:val="20"/>
                <w:szCs w:val="20"/>
              </w:rPr>
            </w:pPr>
            <w:r>
              <w:rPr>
                <w:color w:val="000000"/>
                <w:sz w:val="20"/>
                <w:szCs w:val="20"/>
              </w:rPr>
              <w:t>-1 026 718</w:t>
            </w:r>
          </w:p>
        </w:tc>
        <w:tc>
          <w:tcPr>
            <w:tcW w:w="1295" w:type="dxa"/>
            <w:tcBorders>
              <w:top w:val="nil"/>
              <w:left w:val="nil"/>
              <w:bottom w:val="single" w:sz="4" w:space="0" w:color="BFBFBF"/>
              <w:right w:val="single" w:sz="4" w:space="0" w:color="auto"/>
            </w:tcBorders>
            <w:shd w:val="clear" w:color="auto" w:fill="auto"/>
            <w:noWrap/>
            <w:vAlign w:val="center"/>
            <w:hideMark/>
          </w:tcPr>
          <w:p w14:paraId="796880FD" w14:textId="77777777" w:rsidR="006D7E51" w:rsidRDefault="006D7E51">
            <w:pPr>
              <w:jc w:val="right"/>
              <w:rPr>
                <w:color w:val="000000"/>
                <w:sz w:val="20"/>
                <w:szCs w:val="20"/>
              </w:rPr>
            </w:pPr>
            <w:r>
              <w:rPr>
                <w:color w:val="000000"/>
                <w:sz w:val="20"/>
                <w:szCs w:val="20"/>
              </w:rPr>
              <w:t>-830 244</w:t>
            </w:r>
          </w:p>
        </w:tc>
        <w:tc>
          <w:tcPr>
            <w:tcW w:w="1123" w:type="dxa"/>
            <w:tcBorders>
              <w:top w:val="nil"/>
              <w:left w:val="nil"/>
              <w:bottom w:val="single" w:sz="4" w:space="0" w:color="BFBFBF"/>
              <w:right w:val="single" w:sz="4" w:space="0" w:color="auto"/>
            </w:tcBorders>
            <w:shd w:val="clear" w:color="auto" w:fill="auto"/>
            <w:noWrap/>
            <w:vAlign w:val="center"/>
            <w:hideMark/>
          </w:tcPr>
          <w:p w14:paraId="39297401" w14:textId="77777777" w:rsidR="006D7E51" w:rsidRDefault="006D7E51">
            <w:pPr>
              <w:jc w:val="right"/>
              <w:rPr>
                <w:color w:val="000000"/>
                <w:sz w:val="20"/>
                <w:szCs w:val="20"/>
              </w:rPr>
            </w:pPr>
            <w:r>
              <w:rPr>
                <w:color w:val="000000"/>
                <w:sz w:val="20"/>
                <w:szCs w:val="20"/>
              </w:rPr>
              <w:t>45 756</w:t>
            </w:r>
          </w:p>
        </w:tc>
        <w:tc>
          <w:tcPr>
            <w:tcW w:w="1145" w:type="dxa"/>
            <w:tcBorders>
              <w:top w:val="nil"/>
              <w:left w:val="nil"/>
              <w:bottom w:val="single" w:sz="4" w:space="0" w:color="BFBFBF"/>
              <w:right w:val="single" w:sz="4" w:space="0" w:color="auto"/>
            </w:tcBorders>
            <w:shd w:val="clear" w:color="auto" w:fill="auto"/>
            <w:noWrap/>
            <w:vAlign w:val="center"/>
            <w:hideMark/>
          </w:tcPr>
          <w:p w14:paraId="06541B37" w14:textId="77777777" w:rsidR="006D7E51" w:rsidRDefault="006D7E51">
            <w:pPr>
              <w:jc w:val="right"/>
              <w:rPr>
                <w:color w:val="000000"/>
                <w:sz w:val="20"/>
                <w:szCs w:val="20"/>
              </w:rPr>
            </w:pPr>
            <w:r>
              <w:rPr>
                <w:color w:val="000000"/>
                <w:sz w:val="20"/>
                <w:szCs w:val="20"/>
              </w:rPr>
              <w:t>-784 488</w:t>
            </w:r>
          </w:p>
        </w:tc>
      </w:tr>
      <w:tr w:rsidR="006D7E51" w14:paraId="56A9CA12"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4269BAD3"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6D30F848" w14:textId="77777777" w:rsidR="006D7E51" w:rsidRDefault="006D7E51">
            <w:pPr>
              <w:rPr>
                <w:sz w:val="20"/>
                <w:szCs w:val="20"/>
              </w:rPr>
            </w:pPr>
            <w:r>
              <w:rPr>
                <w:sz w:val="20"/>
                <w:szCs w:val="20"/>
              </w:rPr>
              <w:t>Naudas līdzekļi</w:t>
            </w:r>
          </w:p>
        </w:tc>
        <w:tc>
          <w:tcPr>
            <w:tcW w:w="1295" w:type="dxa"/>
            <w:tcBorders>
              <w:top w:val="nil"/>
              <w:left w:val="nil"/>
              <w:bottom w:val="single" w:sz="4" w:space="0" w:color="BFBFBF"/>
              <w:right w:val="single" w:sz="4" w:space="0" w:color="auto"/>
            </w:tcBorders>
            <w:shd w:val="clear" w:color="auto" w:fill="auto"/>
            <w:noWrap/>
            <w:vAlign w:val="center"/>
            <w:hideMark/>
          </w:tcPr>
          <w:p w14:paraId="0AB1D4E0" w14:textId="77777777" w:rsidR="006D7E51" w:rsidRDefault="006D7E51">
            <w:pPr>
              <w:jc w:val="right"/>
              <w:rPr>
                <w:color w:val="000000"/>
                <w:sz w:val="20"/>
                <w:szCs w:val="20"/>
              </w:rPr>
            </w:pPr>
            <w:r>
              <w:rPr>
                <w:color w:val="000000"/>
                <w:sz w:val="20"/>
                <w:szCs w:val="20"/>
              </w:rPr>
              <w:t>-1 170 121</w:t>
            </w:r>
          </w:p>
        </w:tc>
        <w:tc>
          <w:tcPr>
            <w:tcW w:w="1123" w:type="dxa"/>
            <w:tcBorders>
              <w:top w:val="nil"/>
              <w:left w:val="nil"/>
              <w:bottom w:val="single" w:sz="4" w:space="0" w:color="BFBFBF"/>
              <w:right w:val="single" w:sz="4" w:space="0" w:color="auto"/>
            </w:tcBorders>
            <w:shd w:val="clear" w:color="auto" w:fill="auto"/>
            <w:noWrap/>
            <w:vAlign w:val="center"/>
            <w:hideMark/>
          </w:tcPr>
          <w:p w14:paraId="63404C72" w14:textId="77777777" w:rsidR="006D7E51" w:rsidRDefault="006D7E51">
            <w:pPr>
              <w:jc w:val="right"/>
              <w:rPr>
                <w:color w:val="000000"/>
                <w:sz w:val="20"/>
                <w:szCs w:val="20"/>
              </w:rPr>
            </w:pPr>
            <w:r>
              <w:rPr>
                <w:color w:val="000000"/>
                <w:sz w:val="20"/>
                <w:szCs w:val="20"/>
              </w:rPr>
              <w:t>-54 723</w:t>
            </w:r>
          </w:p>
        </w:tc>
        <w:tc>
          <w:tcPr>
            <w:tcW w:w="1145" w:type="dxa"/>
            <w:tcBorders>
              <w:top w:val="nil"/>
              <w:left w:val="nil"/>
              <w:bottom w:val="single" w:sz="4" w:space="0" w:color="BFBFBF"/>
              <w:right w:val="single" w:sz="4" w:space="0" w:color="auto"/>
            </w:tcBorders>
            <w:shd w:val="clear" w:color="auto" w:fill="auto"/>
            <w:noWrap/>
            <w:vAlign w:val="center"/>
            <w:hideMark/>
          </w:tcPr>
          <w:p w14:paraId="34C19EA9" w14:textId="77777777" w:rsidR="006D7E51" w:rsidRDefault="006D7E51">
            <w:pPr>
              <w:jc w:val="right"/>
              <w:rPr>
                <w:color w:val="000000"/>
                <w:sz w:val="20"/>
                <w:szCs w:val="20"/>
              </w:rPr>
            </w:pPr>
            <w:r>
              <w:rPr>
                <w:color w:val="000000"/>
                <w:sz w:val="20"/>
                <w:szCs w:val="20"/>
              </w:rPr>
              <w:t>-1 224 844</w:t>
            </w:r>
          </w:p>
        </w:tc>
        <w:tc>
          <w:tcPr>
            <w:tcW w:w="1295" w:type="dxa"/>
            <w:tcBorders>
              <w:top w:val="nil"/>
              <w:left w:val="nil"/>
              <w:bottom w:val="single" w:sz="4" w:space="0" w:color="BFBFBF"/>
              <w:right w:val="single" w:sz="4" w:space="0" w:color="auto"/>
            </w:tcBorders>
            <w:shd w:val="clear" w:color="auto" w:fill="auto"/>
            <w:noWrap/>
            <w:vAlign w:val="center"/>
            <w:hideMark/>
          </w:tcPr>
          <w:p w14:paraId="02F08CCB" w14:textId="77777777" w:rsidR="006D7E51" w:rsidRDefault="006D7E51">
            <w:pPr>
              <w:jc w:val="right"/>
              <w:rPr>
                <w:color w:val="000000"/>
                <w:sz w:val="20"/>
                <w:szCs w:val="20"/>
              </w:rPr>
            </w:pPr>
            <w:r>
              <w:rPr>
                <w:color w:val="000000"/>
                <w:sz w:val="20"/>
                <w:szCs w:val="20"/>
              </w:rPr>
              <w:t>-830 244</w:t>
            </w:r>
          </w:p>
        </w:tc>
        <w:tc>
          <w:tcPr>
            <w:tcW w:w="1123" w:type="dxa"/>
            <w:tcBorders>
              <w:top w:val="nil"/>
              <w:left w:val="nil"/>
              <w:bottom w:val="single" w:sz="4" w:space="0" w:color="BFBFBF"/>
              <w:right w:val="single" w:sz="4" w:space="0" w:color="auto"/>
            </w:tcBorders>
            <w:shd w:val="clear" w:color="auto" w:fill="auto"/>
            <w:noWrap/>
            <w:vAlign w:val="center"/>
            <w:hideMark/>
          </w:tcPr>
          <w:p w14:paraId="61560197" w14:textId="77777777" w:rsidR="006D7E51" w:rsidRDefault="006D7E51">
            <w:pPr>
              <w:jc w:val="right"/>
              <w:rPr>
                <w:color w:val="000000"/>
                <w:sz w:val="20"/>
                <w:szCs w:val="20"/>
              </w:rPr>
            </w:pPr>
            <w:r>
              <w:rPr>
                <w:color w:val="000000"/>
                <w:sz w:val="20"/>
                <w:szCs w:val="20"/>
              </w:rPr>
              <w:t>-196 474</w:t>
            </w:r>
          </w:p>
        </w:tc>
        <w:tc>
          <w:tcPr>
            <w:tcW w:w="1145" w:type="dxa"/>
            <w:tcBorders>
              <w:top w:val="nil"/>
              <w:left w:val="nil"/>
              <w:bottom w:val="single" w:sz="4" w:space="0" w:color="BFBFBF"/>
              <w:right w:val="single" w:sz="4" w:space="0" w:color="auto"/>
            </w:tcBorders>
            <w:shd w:val="clear" w:color="auto" w:fill="auto"/>
            <w:noWrap/>
            <w:vAlign w:val="center"/>
            <w:hideMark/>
          </w:tcPr>
          <w:p w14:paraId="3B87E064" w14:textId="77777777" w:rsidR="006D7E51" w:rsidRDefault="006D7E51">
            <w:pPr>
              <w:jc w:val="right"/>
              <w:rPr>
                <w:color w:val="000000"/>
                <w:sz w:val="20"/>
                <w:szCs w:val="20"/>
              </w:rPr>
            </w:pPr>
            <w:r>
              <w:rPr>
                <w:color w:val="000000"/>
                <w:sz w:val="20"/>
                <w:szCs w:val="20"/>
              </w:rPr>
              <w:t>-1 026 718</w:t>
            </w:r>
          </w:p>
        </w:tc>
        <w:tc>
          <w:tcPr>
            <w:tcW w:w="1295" w:type="dxa"/>
            <w:tcBorders>
              <w:top w:val="nil"/>
              <w:left w:val="nil"/>
              <w:bottom w:val="single" w:sz="4" w:space="0" w:color="BFBFBF"/>
              <w:right w:val="single" w:sz="4" w:space="0" w:color="auto"/>
            </w:tcBorders>
            <w:shd w:val="clear" w:color="auto" w:fill="auto"/>
            <w:noWrap/>
            <w:vAlign w:val="center"/>
            <w:hideMark/>
          </w:tcPr>
          <w:p w14:paraId="66B82156" w14:textId="77777777" w:rsidR="006D7E51" w:rsidRDefault="006D7E51">
            <w:pPr>
              <w:jc w:val="right"/>
              <w:rPr>
                <w:color w:val="000000"/>
                <w:sz w:val="20"/>
                <w:szCs w:val="20"/>
              </w:rPr>
            </w:pPr>
            <w:r>
              <w:rPr>
                <w:color w:val="000000"/>
                <w:sz w:val="20"/>
                <w:szCs w:val="20"/>
              </w:rPr>
              <w:t>-830 244</w:t>
            </w:r>
          </w:p>
        </w:tc>
        <w:tc>
          <w:tcPr>
            <w:tcW w:w="1123" w:type="dxa"/>
            <w:tcBorders>
              <w:top w:val="nil"/>
              <w:left w:val="nil"/>
              <w:bottom w:val="single" w:sz="4" w:space="0" w:color="BFBFBF"/>
              <w:right w:val="single" w:sz="4" w:space="0" w:color="auto"/>
            </w:tcBorders>
            <w:shd w:val="clear" w:color="auto" w:fill="auto"/>
            <w:noWrap/>
            <w:vAlign w:val="center"/>
            <w:hideMark/>
          </w:tcPr>
          <w:p w14:paraId="40E3C53F" w14:textId="77777777" w:rsidR="006D7E51" w:rsidRDefault="006D7E51">
            <w:pPr>
              <w:jc w:val="right"/>
              <w:rPr>
                <w:color w:val="000000"/>
                <w:sz w:val="20"/>
                <w:szCs w:val="20"/>
              </w:rPr>
            </w:pPr>
            <w:r>
              <w:rPr>
                <w:color w:val="000000"/>
                <w:sz w:val="20"/>
                <w:szCs w:val="20"/>
              </w:rPr>
              <w:t>45 756</w:t>
            </w:r>
          </w:p>
        </w:tc>
        <w:tc>
          <w:tcPr>
            <w:tcW w:w="1145" w:type="dxa"/>
            <w:tcBorders>
              <w:top w:val="nil"/>
              <w:left w:val="nil"/>
              <w:bottom w:val="single" w:sz="4" w:space="0" w:color="BFBFBF"/>
              <w:right w:val="single" w:sz="4" w:space="0" w:color="auto"/>
            </w:tcBorders>
            <w:shd w:val="clear" w:color="auto" w:fill="auto"/>
            <w:noWrap/>
            <w:vAlign w:val="center"/>
            <w:hideMark/>
          </w:tcPr>
          <w:p w14:paraId="7D12D607" w14:textId="77777777" w:rsidR="006D7E51" w:rsidRDefault="006D7E51">
            <w:pPr>
              <w:jc w:val="right"/>
              <w:rPr>
                <w:color w:val="000000"/>
                <w:sz w:val="20"/>
                <w:szCs w:val="20"/>
              </w:rPr>
            </w:pPr>
            <w:r>
              <w:rPr>
                <w:color w:val="000000"/>
                <w:sz w:val="20"/>
                <w:szCs w:val="20"/>
              </w:rPr>
              <w:t>-784 488</w:t>
            </w:r>
          </w:p>
        </w:tc>
      </w:tr>
      <w:tr w:rsidR="006D7E51" w14:paraId="64D4D3C0" w14:textId="77777777" w:rsidTr="006D7E51">
        <w:trPr>
          <w:trHeight w:val="966"/>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4AB9F45F" w14:textId="77777777" w:rsidR="006D7E51" w:rsidRDefault="006D7E51">
            <w:pPr>
              <w:ind w:firstLineChars="200" w:firstLine="4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5AE0C690" w14:textId="77777777" w:rsidR="006D7E51" w:rsidRDefault="006D7E51">
            <w:pPr>
              <w:rPr>
                <w:sz w:val="20"/>
                <w:szCs w:val="20"/>
              </w:rPr>
            </w:pPr>
            <w:r>
              <w:rPr>
                <w:sz w:val="20"/>
                <w:szCs w:val="20"/>
              </w:rPr>
              <w:t>Maksas pakalpojumu un citu pašu ieņēmumu naudas līdzekļu atlikumu izmaiņas palielinājums (-) vai samazinājums (+)</w:t>
            </w:r>
          </w:p>
        </w:tc>
        <w:tc>
          <w:tcPr>
            <w:tcW w:w="1295" w:type="dxa"/>
            <w:tcBorders>
              <w:top w:val="nil"/>
              <w:left w:val="nil"/>
              <w:bottom w:val="single" w:sz="4" w:space="0" w:color="BFBFBF"/>
              <w:right w:val="single" w:sz="4" w:space="0" w:color="auto"/>
            </w:tcBorders>
            <w:shd w:val="clear" w:color="auto" w:fill="auto"/>
            <w:noWrap/>
            <w:vAlign w:val="center"/>
            <w:hideMark/>
          </w:tcPr>
          <w:p w14:paraId="7C2E6B49" w14:textId="77777777" w:rsidR="006D7E51" w:rsidRDefault="006D7E51">
            <w:pPr>
              <w:jc w:val="right"/>
              <w:rPr>
                <w:color w:val="000000"/>
                <w:sz w:val="20"/>
                <w:szCs w:val="20"/>
              </w:rPr>
            </w:pPr>
            <w:r>
              <w:rPr>
                <w:color w:val="000000"/>
                <w:sz w:val="20"/>
                <w:szCs w:val="20"/>
              </w:rPr>
              <w:t>-1 170 121</w:t>
            </w:r>
          </w:p>
        </w:tc>
        <w:tc>
          <w:tcPr>
            <w:tcW w:w="1123" w:type="dxa"/>
            <w:tcBorders>
              <w:top w:val="nil"/>
              <w:left w:val="nil"/>
              <w:bottom w:val="single" w:sz="4" w:space="0" w:color="BFBFBF"/>
              <w:right w:val="single" w:sz="4" w:space="0" w:color="auto"/>
            </w:tcBorders>
            <w:shd w:val="clear" w:color="auto" w:fill="auto"/>
            <w:noWrap/>
            <w:vAlign w:val="center"/>
            <w:hideMark/>
          </w:tcPr>
          <w:p w14:paraId="1BD6BBB8" w14:textId="77777777" w:rsidR="006D7E51" w:rsidRDefault="006D7E51">
            <w:pPr>
              <w:jc w:val="right"/>
              <w:rPr>
                <w:color w:val="000000"/>
                <w:sz w:val="20"/>
                <w:szCs w:val="20"/>
              </w:rPr>
            </w:pPr>
            <w:r>
              <w:rPr>
                <w:color w:val="000000"/>
                <w:sz w:val="20"/>
                <w:szCs w:val="20"/>
              </w:rPr>
              <w:t>-54 723</w:t>
            </w:r>
          </w:p>
        </w:tc>
        <w:tc>
          <w:tcPr>
            <w:tcW w:w="1145" w:type="dxa"/>
            <w:tcBorders>
              <w:top w:val="nil"/>
              <w:left w:val="nil"/>
              <w:bottom w:val="single" w:sz="4" w:space="0" w:color="BFBFBF"/>
              <w:right w:val="single" w:sz="4" w:space="0" w:color="auto"/>
            </w:tcBorders>
            <w:shd w:val="clear" w:color="auto" w:fill="auto"/>
            <w:noWrap/>
            <w:vAlign w:val="center"/>
            <w:hideMark/>
          </w:tcPr>
          <w:p w14:paraId="17EC4069" w14:textId="77777777" w:rsidR="006D7E51" w:rsidRDefault="006D7E51">
            <w:pPr>
              <w:jc w:val="right"/>
              <w:rPr>
                <w:color w:val="000000"/>
                <w:sz w:val="20"/>
                <w:szCs w:val="20"/>
              </w:rPr>
            </w:pPr>
            <w:r>
              <w:rPr>
                <w:color w:val="000000"/>
                <w:sz w:val="20"/>
                <w:szCs w:val="20"/>
              </w:rPr>
              <w:t>-1 224 844</w:t>
            </w:r>
          </w:p>
        </w:tc>
        <w:tc>
          <w:tcPr>
            <w:tcW w:w="1295" w:type="dxa"/>
            <w:tcBorders>
              <w:top w:val="nil"/>
              <w:left w:val="nil"/>
              <w:bottom w:val="single" w:sz="4" w:space="0" w:color="BFBFBF"/>
              <w:right w:val="single" w:sz="4" w:space="0" w:color="auto"/>
            </w:tcBorders>
            <w:shd w:val="clear" w:color="auto" w:fill="auto"/>
            <w:noWrap/>
            <w:vAlign w:val="center"/>
            <w:hideMark/>
          </w:tcPr>
          <w:p w14:paraId="5D6FC952" w14:textId="77777777" w:rsidR="006D7E51" w:rsidRDefault="006D7E51">
            <w:pPr>
              <w:jc w:val="right"/>
              <w:rPr>
                <w:color w:val="000000"/>
                <w:sz w:val="20"/>
                <w:szCs w:val="20"/>
              </w:rPr>
            </w:pPr>
            <w:r>
              <w:rPr>
                <w:color w:val="000000"/>
                <w:sz w:val="20"/>
                <w:szCs w:val="20"/>
              </w:rPr>
              <w:t>-830 244</w:t>
            </w:r>
          </w:p>
        </w:tc>
        <w:tc>
          <w:tcPr>
            <w:tcW w:w="1123" w:type="dxa"/>
            <w:tcBorders>
              <w:top w:val="nil"/>
              <w:left w:val="nil"/>
              <w:bottom w:val="single" w:sz="4" w:space="0" w:color="BFBFBF"/>
              <w:right w:val="single" w:sz="4" w:space="0" w:color="auto"/>
            </w:tcBorders>
            <w:shd w:val="clear" w:color="auto" w:fill="auto"/>
            <w:noWrap/>
            <w:vAlign w:val="center"/>
            <w:hideMark/>
          </w:tcPr>
          <w:p w14:paraId="248B2C14" w14:textId="77777777" w:rsidR="006D7E51" w:rsidRDefault="006D7E51">
            <w:pPr>
              <w:jc w:val="right"/>
              <w:rPr>
                <w:color w:val="000000"/>
                <w:sz w:val="20"/>
                <w:szCs w:val="20"/>
              </w:rPr>
            </w:pPr>
            <w:r>
              <w:rPr>
                <w:color w:val="000000"/>
                <w:sz w:val="20"/>
                <w:szCs w:val="20"/>
              </w:rPr>
              <w:t>-196 474</w:t>
            </w:r>
          </w:p>
        </w:tc>
        <w:tc>
          <w:tcPr>
            <w:tcW w:w="1145" w:type="dxa"/>
            <w:tcBorders>
              <w:top w:val="nil"/>
              <w:left w:val="nil"/>
              <w:bottom w:val="single" w:sz="4" w:space="0" w:color="BFBFBF"/>
              <w:right w:val="single" w:sz="4" w:space="0" w:color="auto"/>
            </w:tcBorders>
            <w:shd w:val="clear" w:color="auto" w:fill="auto"/>
            <w:noWrap/>
            <w:vAlign w:val="center"/>
            <w:hideMark/>
          </w:tcPr>
          <w:p w14:paraId="0A26B437" w14:textId="77777777" w:rsidR="006D7E51" w:rsidRDefault="006D7E51">
            <w:pPr>
              <w:jc w:val="right"/>
              <w:rPr>
                <w:color w:val="000000"/>
                <w:sz w:val="20"/>
                <w:szCs w:val="20"/>
              </w:rPr>
            </w:pPr>
            <w:r>
              <w:rPr>
                <w:color w:val="000000"/>
                <w:sz w:val="20"/>
                <w:szCs w:val="20"/>
              </w:rPr>
              <w:t>-1 026 718</w:t>
            </w:r>
          </w:p>
        </w:tc>
        <w:tc>
          <w:tcPr>
            <w:tcW w:w="1295" w:type="dxa"/>
            <w:tcBorders>
              <w:top w:val="nil"/>
              <w:left w:val="nil"/>
              <w:bottom w:val="single" w:sz="4" w:space="0" w:color="BFBFBF"/>
              <w:right w:val="single" w:sz="4" w:space="0" w:color="auto"/>
            </w:tcBorders>
            <w:shd w:val="clear" w:color="auto" w:fill="auto"/>
            <w:noWrap/>
            <w:vAlign w:val="center"/>
            <w:hideMark/>
          </w:tcPr>
          <w:p w14:paraId="09DC5742" w14:textId="77777777" w:rsidR="006D7E51" w:rsidRDefault="006D7E51">
            <w:pPr>
              <w:jc w:val="right"/>
              <w:rPr>
                <w:color w:val="000000"/>
                <w:sz w:val="20"/>
                <w:szCs w:val="20"/>
              </w:rPr>
            </w:pPr>
            <w:r>
              <w:rPr>
                <w:color w:val="000000"/>
                <w:sz w:val="20"/>
                <w:szCs w:val="20"/>
              </w:rPr>
              <w:t>-830 244</w:t>
            </w:r>
          </w:p>
        </w:tc>
        <w:tc>
          <w:tcPr>
            <w:tcW w:w="1123" w:type="dxa"/>
            <w:tcBorders>
              <w:top w:val="nil"/>
              <w:left w:val="nil"/>
              <w:bottom w:val="single" w:sz="4" w:space="0" w:color="BFBFBF"/>
              <w:right w:val="single" w:sz="4" w:space="0" w:color="auto"/>
            </w:tcBorders>
            <w:shd w:val="clear" w:color="auto" w:fill="auto"/>
            <w:noWrap/>
            <w:vAlign w:val="center"/>
            <w:hideMark/>
          </w:tcPr>
          <w:p w14:paraId="650C3812" w14:textId="77777777" w:rsidR="006D7E51" w:rsidRDefault="006D7E51">
            <w:pPr>
              <w:jc w:val="right"/>
              <w:rPr>
                <w:color w:val="000000"/>
                <w:sz w:val="20"/>
                <w:szCs w:val="20"/>
              </w:rPr>
            </w:pPr>
            <w:r>
              <w:rPr>
                <w:color w:val="000000"/>
                <w:sz w:val="20"/>
                <w:szCs w:val="20"/>
              </w:rPr>
              <w:t>45 756</w:t>
            </w:r>
          </w:p>
        </w:tc>
        <w:tc>
          <w:tcPr>
            <w:tcW w:w="1145" w:type="dxa"/>
            <w:tcBorders>
              <w:top w:val="nil"/>
              <w:left w:val="nil"/>
              <w:bottom w:val="single" w:sz="4" w:space="0" w:color="BFBFBF"/>
              <w:right w:val="single" w:sz="4" w:space="0" w:color="auto"/>
            </w:tcBorders>
            <w:shd w:val="clear" w:color="auto" w:fill="auto"/>
            <w:noWrap/>
            <w:vAlign w:val="center"/>
            <w:hideMark/>
          </w:tcPr>
          <w:p w14:paraId="20CFF41E" w14:textId="77777777" w:rsidR="006D7E51" w:rsidRDefault="006D7E51">
            <w:pPr>
              <w:jc w:val="right"/>
              <w:rPr>
                <w:color w:val="000000"/>
                <w:sz w:val="20"/>
                <w:szCs w:val="20"/>
              </w:rPr>
            </w:pPr>
            <w:r>
              <w:rPr>
                <w:color w:val="000000"/>
                <w:sz w:val="20"/>
                <w:szCs w:val="20"/>
              </w:rPr>
              <w:t>-784 488</w:t>
            </w:r>
          </w:p>
        </w:tc>
      </w:tr>
      <w:tr w:rsidR="006D7E51" w14:paraId="14DC8559"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000000" w:fill="FFFF00"/>
            <w:noWrap/>
            <w:vAlign w:val="bottom"/>
            <w:hideMark/>
          </w:tcPr>
          <w:p w14:paraId="53CC5713" w14:textId="77777777" w:rsidR="006D7E51" w:rsidRDefault="006D7E51">
            <w:pPr>
              <w:rPr>
                <w:b/>
                <w:bCs/>
                <w:sz w:val="20"/>
                <w:szCs w:val="20"/>
              </w:rPr>
            </w:pPr>
            <w:r>
              <w:rPr>
                <w:b/>
                <w:bCs/>
                <w:sz w:val="20"/>
                <w:szCs w:val="20"/>
              </w:rPr>
              <w:t>06.05.00</w:t>
            </w:r>
          </w:p>
        </w:tc>
        <w:tc>
          <w:tcPr>
            <w:tcW w:w="2499" w:type="dxa"/>
            <w:tcBorders>
              <w:top w:val="nil"/>
              <w:left w:val="nil"/>
              <w:bottom w:val="single" w:sz="4" w:space="0" w:color="BFBFBF"/>
              <w:right w:val="single" w:sz="4" w:space="0" w:color="auto"/>
            </w:tcBorders>
            <w:shd w:val="clear" w:color="000000" w:fill="FFFF00"/>
            <w:vAlign w:val="bottom"/>
            <w:hideMark/>
          </w:tcPr>
          <w:p w14:paraId="61354413" w14:textId="77777777" w:rsidR="006D7E51" w:rsidRDefault="006D7E51">
            <w:pPr>
              <w:rPr>
                <w:b/>
                <w:bCs/>
                <w:sz w:val="20"/>
                <w:szCs w:val="20"/>
              </w:rPr>
            </w:pPr>
            <w:r>
              <w:rPr>
                <w:b/>
                <w:bCs/>
                <w:sz w:val="20"/>
                <w:szCs w:val="20"/>
              </w:rPr>
              <w:t>Maksātnespējas procesa izmaksas</w:t>
            </w:r>
          </w:p>
        </w:tc>
        <w:tc>
          <w:tcPr>
            <w:tcW w:w="1295" w:type="dxa"/>
            <w:tcBorders>
              <w:top w:val="nil"/>
              <w:left w:val="nil"/>
              <w:bottom w:val="single" w:sz="4" w:space="0" w:color="BFBFBF"/>
              <w:right w:val="single" w:sz="4" w:space="0" w:color="auto"/>
            </w:tcBorders>
            <w:shd w:val="clear" w:color="000000" w:fill="FFFF00"/>
            <w:noWrap/>
            <w:vAlign w:val="bottom"/>
            <w:hideMark/>
          </w:tcPr>
          <w:p w14:paraId="53817461" w14:textId="77777777" w:rsidR="006D7E51" w:rsidRDefault="006D7E51">
            <w:pPr>
              <w:rPr>
                <w:sz w:val="20"/>
                <w:szCs w:val="20"/>
              </w:rPr>
            </w:pPr>
            <w:r>
              <w:rPr>
                <w:sz w:val="20"/>
                <w:szCs w:val="20"/>
              </w:rPr>
              <w:t> </w:t>
            </w:r>
          </w:p>
        </w:tc>
        <w:tc>
          <w:tcPr>
            <w:tcW w:w="1123" w:type="dxa"/>
            <w:tcBorders>
              <w:top w:val="nil"/>
              <w:left w:val="nil"/>
              <w:bottom w:val="single" w:sz="4" w:space="0" w:color="BFBFBF"/>
              <w:right w:val="single" w:sz="4" w:space="0" w:color="auto"/>
            </w:tcBorders>
            <w:shd w:val="clear" w:color="000000" w:fill="FFFF00"/>
            <w:noWrap/>
            <w:vAlign w:val="bottom"/>
            <w:hideMark/>
          </w:tcPr>
          <w:p w14:paraId="285A8129" w14:textId="77777777" w:rsidR="006D7E51" w:rsidRDefault="006D7E51">
            <w:pPr>
              <w:rPr>
                <w:sz w:val="20"/>
                <w:szCs w:val="20"/>
              </w:rPr>
            </w:pPr>
            <w:r>
              <w:rPr>
                <w:sz w:val="20"/>
                <w:szCs w:val="20"/>
              </w:rPr>
              <w:t> </w:t>
            </w:r>
          </w:p>
        </w:tc>
        <w:tc>
          <w:tcPr>
            <w:tcW w:w="1145" w:type="dxa"/>
            <w:tcBorders>
              <w:top w:val="nil"/>
              <w:left w:val="nil"/>
              <w:bottom w:val="single" w:sz="4" w:space="0" w:color="BFBFBF"/>
              <w:right w:val="single" w:sz="4" w:space="0" w:color="auto"/>
            </w:tcBorders>
            <w:shd w:val="clear" w:color="000000" w:fill="FFFF00"/>
            <w:noWrap/>
            <w:vAlign w:val="bottom"/>
            <w:hideMark/>
          </w:tcPr>
          <w:p w14:paraId="3319C628" w14:textId="77777777" w:rsidR="006D7E51" w:rsidRDefault="006D7E51">
            <w:pPr>
              <w:rPr>
                <w:sz w:val="20"/>
                <w:szCs w:val="20"/>
              </w:rPr>
            </w:pPr>
            <w:r>
              <w:rPr>
                <w:sz w:val="20"/>
                <w:szCs w:val="20"/>
              </w:rPr>
              <w:t> </w:t>
            </w:r>
          </w:p>
        </w:tc>
        <w:tc>
          <w:tcPr>
            <w:tcW w:w="1295" w:type="dxa"/>
            <w:tcBorders>
              <w:top w:val="nil"/>
              <w:left w:val="nil"/>
              <w:bottom w:val="single" w:sz="4" w:space="0" w:color="BFBFBF"/>
              <w:right w:val="single" w:sz="4" w:space="0" w:color="auto"/>
            </w:tcBorders>
            <w:shd w:val="clear" w:color="000000" w:fill="FFFF00"/>
            <w:noWrap/>
            <w:vAlign w:val="bottom"/>
            <w:hideMark/>
          </w:tcPr>
          <w:p w14:paraId="7ED3B236" w14:textId="77777777" w:rsidR="006D7E51" w:rsidRDefault="006D7E51">
            <w:pPr>
              <w:rPr>
                <w:sz w:val="20"/>
                <w:szCs w:val="20"/>
              </w:rPr>
            </w:pPr>
            <w:r>
              <w:rPr>
                <w:sz w:val="20"/>
                <w:szCs w:val="20"/>
              </w:rPr>
              <w:t> </w:t>
            </w:r>
          </w:p>
        </w:tc>
        <w:tc>
          <w:tcPr>
            <w:tcW w:w="1123" w:type="dxa"/>
            <w:tcBorders>
              <w:top w:val="nil"/>
              <w:left w:val="nil"/>
              <w:bottom w:val="single" w:sz="4" w:space="0" w:color="BFBFBF"/>
              <w:right w:val="single" w:sz="4" w:space="0" w:color="auto"/>
            </w:tcBorders>
            <w:shd w:val="clear" w:color="000000" w:fill="FFFF00"/>
            <w:noWrap/>
            <w:vAlign w:val="bottom"/>
            <w:hideMark/>
          </w:tcPr>
          <w:p w14:paraId="1A68BEFA" w14:textId="77777777" w:rsidR="006D7E51" w:rsidRDefault="006D7E51">
            <w:pPr>
              <w:rPr>
                <w:sz w:val="20"/>
                <w:szCs w:val="20"/>
              </w:rPr>
            </w:pPr>
            <w:r>
              <w:rPr>
                <w:sz w:val="20"/>
                <w:szCs w:val="20"/>
              </w:rPr>
              <w:t> </w:t>
            </w:r>
          </w:p>
        </w:tc>
        <w:tc>
          <w:tcPr>
            <w:tcW w:w="1145" w:type="dxa"/>
            <w:tcBorders>
              <w:top w:val="nil"/>
              <w:left w:val="nil"/>
              <w:bottom w:val="single" w:sz="4" w:space="0" w:color="BFBFBF"/>
              <w:right w:val="single" w:sz="4" w:space="0" w:color="auto"/>
            </w:tcBorders>
            <w:shd w:val="clear" w:color="000000" w:fill="FFFF00"/>
            <w:noWrap/>
            <w:vAlign w:val="bottom"/>
            <w:hideMark/>
          </w:tcPr>
          <w:p w14:paraId="3F732BF3" w14:textId="77777777" w:rsidR="006D7E51" w:rsidRDefault="006D7E51">
            <w:pPr>
              <w:rPr>
                <w:sz w:val="20"/>
                <w:szCs w:val="20"/>
              </w:rPr>
            </w:pPr>
            <w:r>
              <w:rPr>
                <w:sz w:val="20"/>
                <w:szCs w:val="20"/>
              </w:rPr>
              <w:t> </w:t>
            </w:r>
          </w:p>
        </w:tc>
        <w:tc>
          <w:tcPr>
            <w:tcW w:w="1295" w:type="dxa"/>
            <w:tcBorders>
              <w:top w:val="nil"/>
              <w:left w:val="nil"/>
              <w:bottom w:val="single" w:sz="4" w:space="0" w:color="BFBFBF"/>
              <w:right w:val="single" w:sz="4" w:space="0" w:color="auto"/>
            </w:tcBorders>
            <w:shd w:val="clear" w:color="000000" w:fill="FFFF00"/>
            <w:noWrap/>
            <w:vAlign w:val="bottom"/>
            <w:hideMark/>
          </w:tcPr>
          <w:p w14:paraId="4069ECC8" w14:textId="77777777" w:rsidR="006D7E51" w:rsidRDefault="006D7E51">
            <w:pPr>
              <w:rPr>
                <w:sz w:val="20"/>
                <w:szCs w:val="20"/>
              </w:rPr>
            </w:pPr>
            <w:r>
              <w:rPr>
                <w:sz w:val="20"/>
                <w:szCs w:val="20"/>
              </w:rPr>
              <w:t> </w:t>
            </w:r>
          </w:p>
        </w:tc>
        <w:tc>
          <w:tcPr>
            <w:tcW w:w="1123" w:type="dxa"/>
            <w:tcBorders>
              <w:top w:val="nil"/>
              <w:left w:val="nil"/>
              <w:bottom w:val="single" w:sz="4" w:space="0" w:color="BFBFBF"/>
              <w:right w:val="single" w:sz="4" w:space="0" w:color="auto"/>
            </w:tcBorders>
            <w:shd w:val="clear" w:color="000000" w:fill="FFFF00"/>
            <w:noWrap/>
            <w:vAlign w:val="bottom"/>
            <w:hideMark/>
          </w:tcPr>
          <w:p w14:paraId="3AAD96E3" w14:textId="77777777" w:rsidR="006D7E51" w:rsidRDefault="006D7E51">
            <w:pPr>
              <w:rPr>
                <w:sz w:val="20"/>
                <w:szCs w:val="20"/>
              </w:rPr>
            </w:pPr>
            <w:r>
              <w:rPr>
                <w:sz w:val="20"/>
                <w:szCs w:val="20"/>
              </w:rPr>
              <w:t> </w:t>
            </w:r>
          </w:p>
        </w:tc>
        <w:tc>
          <w:tcPr>
            <w:tcW w:w="1145" w:type="dxa"/>
            <w:tcBorders>
              <w:top w:val="nil"/>
              <w:left w:val="nil"/>
              <w:bottom w:val="single" w:sz="4" w:space="0" w:color="BFBFBF"/>
              <w:right w:val="single" w:sz="4" w:space="0" w:color="auto"/>
            </w:tcBorders>
            <w:shd w:val="clear" w:color="000000" w:fill="FFFF00"/>
            <w:noWrap/>
            <w:vAlign w:val="bottom"/>
            <w:hideMark/>
          </w:tcPr>
          <w:p w14:paraId="30826153" w14:textId="77777777" w:rsidR="006D7E51" w:rsidRDefault="006D7E51">
            <w:pPr>
              <w:rPr>
                <w:sz w:val="20"/>
                <w:szCs w:val="20"/>
              </w:rPr>
            </w:pPr>
            <w:r>
              <w:rPr>
                <w:sz w:val="20"/>
                <w:szCs w:val="20"/>
              </w:rPr>
              <w:t> </w:t>
            </w:r>
          </w:p>
        </w:tc>
      </w:tr>
      <w:tr w:rsidR="006D7E51" w14:paraId="1AAC03E2"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6AF452CA"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3A18F6B6" w14:textId="77777777" w:rsidR="006D7E51" w:rsidRDefault="006D7E51">
            <w:pPr>
              <w:rPr>
                <w:sz w:val="20"/>
                <w:szCs w:val="20"/>
              </w:rPr>
            </w:pPr>
            <w:r>
              <w:rPr>
                <w:sz w:val="20"/>
                <w:szCs w:val="20"/>
              </w:rPr>
              <w:t>Resursi izdevumu segšanai</w:t>
            </w:r>
          </w:p>
        </w:tc>
        <w:tc>
          <w:tcPr>
            <w:tcW w:w="1295" w:type="dxa"/>
            <w:tcBorders>
              <w:top w:val="nil"/>
              <w:left w:val="nil"/>
              <w:bottom w:val="single" w:sz="4" w:space="0" w:color="BFBFBF"/>
              <w:right w:val="single" w:sz="4" w:space="0" w:color="auto"/>
            </w:tcBorders>
            <w:shd w:val="clear" w:color="auto" w:fill="auto"/>
            <w:noWrap/>
            <w:vAlign w:val="center"/>
            <w:hideMark/>
          </w:tcPr>
          <w:p w14:paraId="6ABD6A2C" w14:textId="77777777" w:rsidR="006D7E51" w:rsidRDefault="006D7E51">
            <w:pPr>
              <w:jc w:val="right"/>
              <w:rPr>
                <w:color w:val="000000"/>
                <w:sz w:val="20"/>
                <w:szCs w:val="20"/>
              </w:rPr>
            </w:pPr>
            <w:r>
              <w:rPr>
                <w:color w:val="000000"/>
                <w:sz w:val="20"/>
                <w:szCs w:val="20"/>
              </w:rPr>
              <w:t>3 000</w:t>
            </w:r>
          </w:p>
        </w:tc>
        <w:tc>
          <w:tcPr>
            <w:tcW w:w="1123" w:type="dxa"/>
            <w:tcBorders>
              <w:top w:val="nil"/>
              <w:left w:val="nil"/>
              <w:bottom w:val="single" w:sz="4" w:space="0" w:color="BFBFBF"/>
              <w:right w:val="single" w:sz="4" w:space="0" w:color="auto"/>
            </w:tcBorders>
            <w:shd w:val="clear" w:color="auto" w:fill="auto"/>
            <w:noWrap/>
            <w:vAlign w:val="center"/>
            <w:hideMark/>
          </w:tcPr>
          <w:p w14:paraId="7F9F13D0" w14:textId="77777777" w:rsidR="006D7E51" w:rsidRDefault="006D7E51">
            <w:pPr>
              <w:jc w:val="right"/>
              <w:rPr>
                <w:color w:val="000000"/>
                <w:sz w:val="20"/>
                <w:szCs w:val="20"/>
              </w:rPr>
            </w:pPr>
            <w:r>
              <w:rPr>
                <w:color w:val="000000"/>
                <w:sz w:val="20"/>
                <w:szCs w:val="20"/>
              </w:rPr>
              <w:t>-1 500</w:t>
            </w:r>
          </w:p>
        </w:tc>
        <w:tc>
          <w:tcPr>
            <w:tcW w:w="1145" w:type="dxa"/>
            <w:tcBorders>
              <w:top w:val="nil"/>
              <w:left w:val="nil"/>
              <w:bottom w:val="single" w:sz="4" w:space="0" w:color="BFBFBF"/>
              <w:right w:val="single" w:sz="4" w:space="0" w:color="auto"/>
            </w:tcBorders>
            <w:shd w:val="clear" w:color="auto" w:fill="auto"/>
            <w:noWrap/>
            <w:vAlign w:val="center"/>
            <w:hideMark/>
          </w:tcPr>
          <w:p w14:paraId="14C8201B" w14:textId="77777777" w:rsidR="006D7E51" w:rsidRDefault="006D7E51">
            <w:pPr>
              <w:jc w:val="right"/>
              <w:rPr>
                <w:color w:val="000000"/>
                <w:sz w:val="20"/>
                <w:szCs w:val="20"/>
              </w:rPr>
            </w:pPr>
            <w:r>
              <w:rPr>
                <w:color w:val="000000"/>
                <w:sz w:val="20"/>
                <w:szCs w:val="20"/>
              </w:rPr>
              <w:t>1 500</w:t>
            </w:r>
          </w:p>
        </w:tc>
        <w:tc>
          <w:tcPr>
            <w:tcW w:w="1295" w:type="dxa"/>
            <w:tcBorders>
              <w:top w:val="nil"/>
              <w:left w:val="nil"/>
              <w:bottom w:val="single" w:sz="4" w:space="0" w:color="BFBFBF"/>
              <w:right w:val="single" w:sz="4" w:space="0" w:color="auto"/>
            </w:tcBorders>
            <w:shd w:val="clear" w:color="auto" w:fill="auto"/>
            <w:noWrap/>
            <w:vAlign w:val="center"/>
            <w:hideMark/>
          </w:tcPr>
          <w:p w14:paraId="5C8463EE" w14:textId="77777777" w:rsidR="006D7E51" w:rsidRDefault="006D7E51">
            <w:pPr>
              <w:jc w:val="right"/>
              <w:rPr>
                <w:color w:val="000000"/>
                <w:sz w:val="20"/>
                <w:szCs w:val="20"/>
              </w:rPr>
            </w:pPr>
            <w:r>
              <w:rPr>
                <w:color w:val="000000"/>
                <w:sz w:val="20"/>
                <w:szCs w:val="20"/>
              </w:rPr>
              <w:t>2 000</w:t>
            </w:r>
          </w:p>
        </w:tc>
        <w:tc>
          <w:tcPr>
            <w:tcW w:w="1123" w:type="dxa"/>
            <w:tcBorders>
              <w:top w:val="nil"/>
              <w:left w:val="nil"/>
              <w:bottom w:val="single" w:sz="4" w:space="0" w:color="BFBFBF"/>
              <w:right w:val="single" w:sz="4" w:space="0" w:color="auto"/>
            </w:tcBorders>
            <w:shd w:val="clear" w:color="auto" w:fill="auto"/>
            <w:noWrap/>
            <w:vAlign w:val="center"/>
            <w:hideMark/>
          </w:tcPr>
          <w:p w14:paraId="5DFA7D2C" w14:textId="77777777" w:rsidR="006D7E51" w:rsidRDefault="006D7E51">
            <w:pPr>
              <w:jc w:val="right"/>
              <w:rPr>
                <w:color w:val="000000"/>
                <w:sz w:val="20"/>
                <w:szCs w:val="20"/>
              </w:rPr>
            </w:pPr>
            <w:r>
              <w:rPr>
                <w:color w:val="000000"/>
                <w:sz w:val="20"/>
                <w:szCs w:val="20"/>
              </w:rPr>
              <w:t>-1 000</w:t>
            </w:r>
          </w:p>
        </w:tc>
        <w:tc>
          <w:tcPr>
            <w:tcW w:w="1145" w:type="dxa"/>
            <w:tcBorders>
              <w:top w:val="nil"/>
              <w:left w:val="nil"/>
              <w:bottom w:val="single" w:sz="4" w:space="0" w:color="BFBFBF"/>
              <w:right w:val="single" w:sz="4" w:space="0" w:color="auto"/>
            </w:tcBorders>
            <w:shd w:val="clear" w:color="auto" w:fill="auto"/>
            <w:noWrap/>
            <w:vAlign w:val="center"/>
            <w:hideMark/>
          </w:tcPr>
          <w:p w14:paraId="6DA0E769" w14:textId="77777777" w:rsidR="006D7E51" w:rsidRDefault="006D7E51">
            <w:pPr>
              <w:jc w:val="right"/>
              <w:rPr>
                <w:color w:val="000000"/>
                <w:sz w:val="20"/>
                <w:szCs w:val="20"/>
              </w:rPr>
            </w:pPr>
            <w:r>
              <w:rPr>
                <w:color w:val="000000"/>
                <w:sz w:val="20"/>
                <w:szCs w:val="20"/>
              </w:rPr>
              <w:t>1 000</w:t>
            </w:r>
          </w:p>
        </w:tc>
        <w:tc>
          <w:tcPr>
            <w:tcW w:w="1295" w:type="dxa"/>
            <w:tcBorders>
              <w:top w:val="nil"/>
              <w:left w:val="nil"/>
              <w:bottom w:val="single" w:sz="4" w:space="0" w:color="BFBFBF"/>
              <w:right w:val="single" w:sz="4" w:space="0" w:color="auto"/>
            </w:tcBorders>
            <w:shd w:val="clear" w:color="auto" w:fill="auto"/>
            <w:noWrap/>
            <w:vAlign w:val="center"/>
            <w:hideMark/>
          </w:tcPr>
          <w:p w14:paraId="50DA8C99" w14:textId="77777777" w:rsidR="006D7E51" w:rsidRDefault="006D7E51">
            <w:pPr>
              <w:jc w:val="right"/>
              <w:rPr>
                <w:color w:val="000000"/>
                <w:sz w:val="20"/>
                <w:szCs w:val="20"/>
              </w:rPr>
            </w:pPr>
            <w:r>
              <w:rPr>
                <w:color w:val="000000"/>
                <w:sz w:val="20"/>
                <w:szCs w:val="20"/>
              </w:rPr>
              <w:t>2 000</w:t>
            </w:r>
          </w:p>
        </w:tc>
        <w:tc>
          <w:tcPr>
            <w:tcW w:w="1123" w:type="dxa"/>
            <w:tcBorders>
              <w:top w:val="nil"/>
              <w:left w:val="nil"/>
              <w:bottom w:val="single" w:sz="4" w:space="0" w:color="BFBFBF"/>
              <w:right w:val="single" w:sz="4" w:space="0" w:color="auto"/>
            </w:tcBorders>
            <w:shd w:val="clear" w:color="auto" w:fill="auto"/>
            <w:noWrap/>
            <w:vAlign w:val="center"/>
            <w:hideMark/>
          </w:tcPr>
          <w:p w14:paraId="6B50A152" w14:textId="77777777" w:rsidR="006D7E51" w:rsidRDefault="006D7E51">
            <w:pPr>
              <w:jc w:val="right"/>
              <w:rPr>
                <w:color w:val="000000"/>
                <w:sz w:val="20"/>
                <w:szCs w:val="20"/>
              </w:rPr>
            </w:pPr>
            <w:r>
              <w:rPr>
                <w:color w:val="000000"/>
                <w:sz w:val="20"/>
                <w:szCs w:val="20"/>
              </w:rPr>
              <w:t>-1 500</w:t>
            </w:r>
          </w:p>
        </w:tc>
        <w:tc>
          <w:tcPr>
            <w:tcW w:w="1145" w:type="dxa"/>
            <w:tcBorders>
              <w:top w:val="nil"/>
              <w:left w:val="nil"/>
              <w:bottom w:val="single" w:sz="4" w:space="0" w:color="BFBFBF"/>
              <w:right w:val="single" w:sz="4" w:space="0" w:color="auto"/>
            </w:tcBorders>
            <w:shd w:val="clear" w:color="auto" w:fill="auto"/>
            <w:noWrap/>
            <w:vAlign w:val="center"/>
            <w:hideMark/>
          </w:tcPr>
          <w:p w14:paraId="0F49BB88" w14:textId="77777777" w:rsidR="006D7E51" w:rsidRDefault="006D7E51">
            <w:pPr>
              <w:jc w:val="right"/>
              <w:rPr>
                <w:color w:val="000000"/>
                <w:sz w:val="20"/>
                <w:szCs w:val="20"/>
              </w:rPr>
            </w:pPr>
            <w:r>
              <w:rPr>
                <w:color w:val="000000"/>
                <w:sz w:val="20"/>
                <w:szCs w:val="20"/>
              </w:rPr>
              <w:t>500</w:t>
            </w:r>
          </w:p>
        </w:tc>
      </w:tr>
      <w:tr w:rsidR="006D7E51" w14:paraId="6071AF99"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541DC6C6"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155F7352" w14:textId="77777777" w:rsidR="006D7E51" w:rsidRDefault="006D7E51">
            <w:pPr>
              <w:rPr>
                <w:sz w:val="20"/>
                <w:szCs w:val="20"/>
              </w:rPr>
            </w:pPr>
            <w:r>
              <w:rPr>
                <w:sz w:val="20"/>
                <w:szCs w:val="20"/>
              </w:rPr>
              <w:t>Ieņēmumi no maksas pakalpojumiem un citi pašu ieņēmumi – kopā, t.sk.</w:t>
            </w:r>
          </w:p>
        </w:tc>
        <w:tc>
          <w:tcPr>
            <w:tcW w:w="1295" w:type="dxa"/>
            <w:tcBorders>
              <w:top w:val="nil"/>
              <w:left w:val="nil"/>
              <w:bottom w:val="single" w:sz="4" w:space="0" w:color="BFBFBF"/>
              <w:right w:val="single" w:sz="4" w:space="0" w:color="auto"/>
            </w:tcBorders>
            <w:shd w:val="clear" w:color="auto" w:fill="auto"/>
            <w:noWrap/>
            <w:vAlign w:val="center"/>
            <w:hideMark/>
          </w:tcPr>
          <w:p w14:paraId="09D7DF05" w14:textId="77777777" w:rsidR="006D7E51" w:rsidRDefault="006D7E51">
            <w:pPr>
              <w:jc w:val="right"/>
              <w:rPr>
                <w:color w:val="000000"/>
                <w:sz w:val="20"/>
                <w:szCs w:val="20"/>
              </w:rPr>
            </w:pPr>
            <w:r>
              <w:rPr>
                <w:color w:val="000000"/>
                <w:sz w:val="20"/>
                <w:szCs w:val="20"/>
              </w:rPr>
              <w:t>3 000</w:t>
            </w:r>
          </w:p>
        </w:tc>
        <w:tc>
          <w:tcPr>
            <w:tcW w:w="1123" w:type="dxa"/>
            <w:tcBorders>
              <w:top w:val="nil"/>
              <w:left w:val="nil"/>
              <w:bottom w:val="single" w:sz="4" w:space="0" w:color="BFBFBF"/>
              <w:right w:val="single" w:sz="4" w:space="0" w:color="auto"/>
            </w:tcBorders>
            <w:shd w:val="clear" w:color="auto" w:fill="auto"/>
            <w:noWrap/>
            <w:vAlign w:val="center"/>
            <w:hideMark/>
          </w:tcPr>
          <w:p w14:paraId="39936835" w14:textId="77777777" w:rsidR="006D7E51" w:rsidRDefault="006D7E51">
            <w:pPr>
              <w:jc w:val="right"/>
              <w:rPr>
                <w:color w:val="000000"/>
                <w:sz w:val="20"/>
                <w:szCs w:val="20"/>
              </w:rPr>
            </w:pPr>
            <w:r>
              <w:rPr>
                <w:color w:val="000000"/>
                <w:sz w:val="20"/>
                <w:szCs w:val="20"/>
              </w:rPr>
              <w:t>-1 500</w:t>
            </w:r>
          </w:p>
        </w:tc>
        <w:tc>
          <w:tcPr>
            <w:tcW w:w="1145" w:type="dxa"/>
            <w:tcBorders>
              <w:top w:val="nil"/>
              <w:left w:val="nil"/>
              <w:bottom w:val="single" w:sz="4" w:space="0" w:color="BFBFBF"/>
              <w:right w:val="single" w:sz="4" w:space="0" w:color="auto"/>
            </w:tcBorders>
            <w:shd w:val="clear" w:color="auto" w:fill="auto"/>
            <w:noWrap/>
            <w:vAlign w:val="center"/>
            <w:hideMark/>
          </w:tcPr>
          <w:p w14:paraId="6711853B" w14:textId="77777777" w:rsidR="006D7E51" w:rsidRDefault="006D7E51">
            <w:pPr>
              <w:jc w:val="right"/>
              <w:rPr>
                <w:color w:val="000000"/>
                <w:sz w:val="20"/>
                <w:szCs w:val="20"/>
              </w:rPr>
            </w:pPr>
            <w:r>
              <w:rPr>
                <w:color w:val="000000"/>
                <w:sz w:val="20"/>
                <w:szCs w:val="20"/>
              </w:rPr>
              <w:t>1 500</w:t>
            </w:r>
          </w:p>
        </w:tc>
        <w:tc>
          <w:tcPr>
            <w:tcW w:w="1295" w:type="dxa"/>
            <w:tcBorders>
              <w:top w:val="nil"/>
              <w:left w:val="nil"/>
              <w:bottom w:val="single" w:sz="4" w:space="0" w:color="BFBFBF"/>
              <w:right w:val="single" w:sz="4" w:space="0" w:color="auto"/>
            </w:tcBorders>
            <w:shd w:val="clear" w:color="auto" w:fill="auto"/>
            <w:noWrap/>
            <w:vAlign w:val="center"/>
            <w:hideMark/>
          </w:tcPr>
          <w:p w14:paraId="26310951" w14:textId="77777777" w:rsidR="006D7E51" w:rsidRDefault="006D7E51">
            <w:pPr>
              <w:jc w:val="right"/>
              <w:rPr>
                <w:color w:val="000000"/>
                <w:sz w:val="20"/>
                <w:szCs w:val="20"/>
              </w:rPr>
            </w:pPr>
            <w:r>
              <w:rPr>
                <w:color w:val="000000"/>
                <w:sz w:val="20"/>
                <w:szCs w:val="20"/>
              </w:rPr>
              <w:t>2 000</w:t>
            </w:r>
          </w:p>
        </w:tc>
        <w:tc>
          <w:tcPr>
            <w:tcW w:w="1123" w:type="dxa"/>
            <w:tcBorders>
              <w:top w:val="nil"/>
              <w:left w:val="nil"/>
              <w:bottom w:val="single" w:sz="4" w:space="0" w:color="BFBFBF"/>
              <w:right w:val="single" w:sz="4" w:space="0" w:color="auto"/>
            </w:tcBorders>
            <w:shd w:val="clear" w:color="auto" w:fill="auto"/>
            <w:noWrap/>
            <w:vAlign w:val="center"/>
            <w:hideMark/>
          </w:tcPr>
          <w:p w14:paraId="423F3CF2" w14:textId="77777777" w:rsidR="006D7E51" w:rsidRDefault="006D7E51">
            <w:pPr>
              <w:jc w:val="right"/>
              <w:rPr>
                <w:color w:val="000000"/>
                <w:sz w:val="20"/>
                <w:szCs w:val="20"/>
              </w:rPr>
            </w:pPr>
            <w:r>
              <w:rPr>
                <w:color w:val="000000"/>
                <w:sz w:val="20"/>
                <w:szCs w:val="20"/>
              </w:rPr>
              <w:t>-1 000</w:t>
            </w:r>
          </w:p>
        </w:tc>
        <w:tc>
          <w:tcPr>
            <w:tcW w:w="1145" w:type="dxa"/>
            <w:tcBorders>
              <w:top w:val="nil"/>
              <w:left w:val="nil"/>
              <w:bottom w:val="single" w:sz="4" w:space="0" w:color="BFBFBF"/>
              <w:right w:val="single" w:sz="4" w:space="0" w:color="auto"/>
            </w:tcBorders>
            <w:shd w:val="clear" w:color="auto" w:fill="auto"/>
            <w:noWrap/>
            <w:vAlign w:val="center"/>
            <w:hideMark/>
          </w:tcPr>
          <w:p w14:paraId="0F11E58F" w14:textId="77777777" w:rsidR="006D7E51" w:rsidRDefault="006D7E51">
            <w:pPr>
              <w:jc w:val="right"/>
              <w:rPr>
                <w:color w:val="000000"/>
                <w:sz w:val="20"/>
                <w:szCs w:val="20"/>
              </w:rPr>
            </w:pPr>
            <w:r>
              <w:rPr>
                <w:color w:val="000000"/>
                <w:sz w:val="20"/>
                <w:szCs w:val="20"/>
              </w:rPr>
              <w:t>1 000</w:t>
            </w:r>
          </w:p>
        </w:tc>
        <w:tc>
          <w:tcPr>
            <w:tcW w:w="1295" w:type="dxa"/>
            <w:tcBorders>
              <w:top w:val="nil"/>
              <w:left w:val="nil"/>
              <w:bottom w:val="single" w:sz="4" w:space="0" w:color="BFBFBF"/>
              <w:right w:val="single" w:sz="4" w:space="0" w:color="auto"/>
            </w:tcBorders>
            <w:shd w:val="clear" w:color="auto" w:fill="auto"/>
            <w:noWrap/>
            <w:vAlign w:val="center"/>
            <w:hideMark/>
          </w:tcPr>
          <w:p w14:paraId="3CA06A07" w14:textId="77777777" w:rsidR="006D7E51" w:rsidRDefault="006D7E51">
            <w:pPr>
              <w:jc w:val="right"/>
              <w:rPr>
                <w:color w:val="000000"/>
                <w:sz w:val="20"/>
                <w:szCs w:val="20"/>
              </w:rPr>
            </w:pPr>
            <w:r>
              <w:rPr>
                <w:color w:val="000000"/>
                <w:sz w:val="20"/>
                <w:szCs w:val="20"/>
              </w:rPr>
              <w:t>2 000</w:t>
            </w:r>
          </w:p>
        </w:tc>
        <w:tc>
          <w:tcPr>
            <w:tcW w:w="1123" w:type="dxa"/>
            <w:tcBorders>
              <w:top w:val="nil"/>
              <w:left w:val="nil"/>
              <w:bottom w:val="single" w:sz="4" w:space="0" w:color="BFBFBF"/>
              <w:right w:val="single" w:sz="4" w:space="0" w:color="auto"/>
            </w:tcBorders>
            <w:shd w:val="clear" w:color="auto" w:fill="auto"/>
            <w:noWrap/>
            <w:vAlign w:val="center"/>
            <w:hideMark/>
          </w:tcPr>
          <w:p w14:paraId="71106887" w14:textId="77777777" w:rsidR="006D7E51" w:rsidRDefault="006D7E51">
            <w:pPr>
              <w:jc w:val="right"/>
              <w:rPr>
                <w:color w:val="000000"/>
                <w:sz w:val="20"/>
                <w:szCs w:val="20"/>
              </w:rPr>
            </w:pPr>
            <w:r>
              <w:rPr>
                <w:color w:val="000000"/>
                <w:sz w:val="20"/>
                <w:szCs w:val="20"/>
              </w:rPr>
              <w:t>-1 500</w:t>
            </w:r>
          </w:p>
        </w:tc>
        <w:tc>
          <w:tcPr>
            <w:tcW w:w="1145" w:type="dxa"/>
            <w:tcBorders>
              <w:top w:val="nil"/>
              <w:left w:val="nil"/>
              <w:bottom w:val="single" w:sz="4" w:space="0" w:color="BFBFBF"/>
              <w:right w:val="single" w:sz="4" w:space="0" w:color="auto"/>
            </w:tcBorders>
            <w:shd w:val="clear" w:color="auto" w:fill="auto"/>
            <w:noWrap/>
            <w:vAlign w:val="center"/>
            <w:hideMark/>
          </w:tcPr>
          <w:p w14:paraId="1D870904" w14:textId="77777777" w:rsidR="006D7E51" w:rsidRDefault="006D7E51">
            <w:pPr>
              <w:jc w:val="right"/>
              <w:rPr>
                <w:color w:val="000000"/>
                <w:sz w:val="20"/>
                <w:szCs w:val="20"/>
              </w:rPr>
            </w:pPr>
            <w:r>
              <w:rPr>
                <w:color w:val="000000"/>
                <w:sz w:val="20"/>
                <w:szCs w:val="20"/>
              </w:rPr>
              <w:t>500</w:t>
            </w:r>
          </w:p>
        </w:tc>
      </w:tr>
      <w:tr w:rsidR="006D7E51" w14:paraId="6E70DBDD"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000000" w:fill="F8CBAD"/>
            <w:noWrap/>
            <w:vAlign w:val="center"/>
            <w:hideMark/>
          </w:tcPr>
          <w:p w14:paraId="046A75EC"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000000" w:fill="F8CBAD"/>
            <w:vAlign w:val="center"/>
            <w:hideMark/>
          </w:tcPr>
          <w:p w14:paraId="033AA373" w14:textId="77777777" w:rsidR="006D7E51" w:rsidRDefault="006D7E51">
            <w:pPr>
              <w:jc w:val="right"/>
              <w:rPr>
                <w:sz w:val="20"/>
                <w:szCs w:val="20"/>
              </w:rPr>
            </w:pPr>
            <w:r>
              <w:rPr>
                <w:sz w:val="20"/>
                <w:szCs w:val="20"/>
              </w:rPr>
              <w:t>Atgūtie līdzekļi</w:t>
            </w:r>
          </w:p>
        </w:tc>
        <w:tc>
          <w:tcPr>
            <w:tcW w:w="1295" w:type="dxa"/>
            <w:tcBorders>
              <w:top w:val="nil"/>
              <w:left w:val="nil"/>
              <w:bottom w:val="single" w:sz="4" w:space="0" w:color="BFBFBF"/>
              <w:right w:val="single" w:sz="4" w:space="0" w:color="auto"/>
            </w:tcBorders>
            <w:shd w:val="clear" w:color="000000" w:fill="F8CBAD"/>
            <w:noWrap/>
            <w:vAlign w:val="center"/>
            <w:hideMark/>
          </w:tcPr>
          <w:p w14:paraId="7B9D158A" w14:textId="77777777" w:rsidR="006D7E51" w:rsidRDefault="006D7E51">
            <w:pPr>
              <w:jc w:val="right"/>
              <w:rPr>
                <w:color w:val="000000"/>
                <w:sz w:val="20"/>
                <w:szCs w:val="20"/>
              </w:rPr>
            </w:pPr>
            <w:r>
              <w:rPr>
                <w:color w:val="000000"/>
                <w:sz w:val="20"/>
                <w:szCs w:val="20"/>
              </w:rPr>
              <w:t>3 000</w:t>
            </w:r>
          </w:p>
        </w:tc>
        <w:tc>
          <w:tcPr>
            <w:tcW w:w="1123" w:type="dxa"/>
            <w:tcBorders>
              <w:top w:val="nil"/>
              <w:left w:val="nil"/>
              <w:bottom w:val="single" w:sz="4" w:space="0" w:color="BFBFBF"/>
              <w:right w:val="single" w:sz="4" w:space="0" w:color="auto"/>
            </w:tcBorders>
            <w:shd w:val="clear" w:color="000000" w:fill="F8CBAD"/>
            <w:noWrap/>
            <w:vAlign w:val="center"/>
            <w:hideMark/>
          </w:tcPr>
          <w:p w14:paraId="54505A20" w14:textId="77777777" w:rsidR="006D7E51" w:rsidRDefault="006D7E51">
            <w:pPr>
              <w:jc w:val="right"/>
              <w:rPr>
                <w:color w:val="000000"/>
                <w:sz w:val="20"/>
                <w:szCs w:val="20"/>
              </w:rPr>
            </w:pPr>
            <w:r>
              <w:rPr>
                <w:color w:val="000000"/>
                <w:sz w:val="20"/>
                <w:szCs w:val="20"/>
              </w:rPr>
              <w:t>-1 500</w:t>
            </w:r>
          </w:p>
        </w:tc>
        <w:tc>
          <w:tcPr>
            <w:tcW w:w="1145" w:type="dxa"/>
            <w:tcBorders>
              <w:top w:val="nil"/>
              <w:left w:val="nil"/>
              <w:bottom w:val="single" w:sz="4" w:space="0" w:color="BFBFBF"/>
              <w:right w:val="single" w:sz="4" w:space="0" w:color="auto"/>
            </w:tcBorders>
            <w:shd w:val="clear" w:color="000000" w:fill="F8CBAD"/>
            <w:noWrap/>
            <w:vAlign w:val="center"/>
            <w:hideMark/>
          </w:tcPr>
          <w:p w14:paraId="299E6C4C" w14:textId="77777777" w:rsidR="006D7E51" w:rsidRDefault="006D7E51">
            <w:pPr>
              <w:jc w:val="right"/>
              <w:rPr>
                <w:color w:val="000000"/>
                <w:sz w:val="20"/>
                <w:szCs w:val="20"/>
              </w:rPr>
            </w:pPr>
            <w:r>
              <w:rPr>
                <w:color w:val="000000"/>
                <w:sz w:val="20"/>
                <w:szCs w:val="20"/>
              </w:rPr>
              <w:t>1 500</w:t>
            </w:r>
          </w:p>
        </w:tc>
        <w:tc>
          <w:tcPr>
            <w:tcW w:w="1295" w:type="dxa"/>
            <w:tcBorders>
              <w:top w:val="nil"/>
              <w:left w:val="nil"/>
              <w:bottom w:val="single" w:sz="4" w:space="0" w:color="BFBFBF"/>
              <w:right w:val="single" w:sz="4" w:space="0" w:color="auto"/>
            </w:tcBorders>
            <w:shd w:val="clear" w:color="000000" w:fill="F8CBAD"/>
            <w:noWrap/>
            <w:vAlign w:val="center"/>
            <w:hideMark/>
          </w:tcPr>
          <w:p w14:paraId="3DAD5DF3" w14:textId="77777777" w:rsidR="006D7E51" w:rsidRDefault="006D7E51">
            <w:pPr>
              <w:jc w:val="right"/>
              <w:rPr>
                <w:color w:val="000000"/>
                <w:sz w:val="20"/>
                <w:szCs w:val="20"/>
              </w:rPr>
            </w:pPr>
            <w:r>
              <w:rPr>
                <w:color w:val="000000"/>
                <w:sz w:val="20"/>
                <w:szCs w:val="20"/>
              </w:rPr>
              <w:t>2 000</w:t>
            </w:r>
          </w:p>
        </w:tc>
        <w:tc>
          <w:tcPr>
            <w:tcW w:w="1123" w:type="dxa"/>
            <w:tcBorders>
              <w:top w:val="nil"/>
              <w:left w:val="nil"/>
              <w:bottom w:val="single" w:sz="4" w:space="0" w:color="BFBFBF"/>
              <w:right w:val="single" w:sz="4" w:space="0" w:color="auto"/>
            </w:tcBorders>
            <w:shd w:val="clear" w:color="000000" w:fill="F8CBAD"/>
            <w:noWrap/>
            <w:vAlign w:val="center"/>
            <w:hideMark/>
          </w:tcPr>
          <w:p w14:paraId="3EFA11EA" w14:textId="77777777" w:rsidR="006D7E51" w:rsidRDefault="006D7E51">
            <w:pPr>
              <w:jc w:val="right"/>
              <w:rPr>
                <w:color w:val="000000"/>
                <w:sz w:val="20"/>
                <w:szCs w:val="20"/>
              </w:rPr>
            </w:pPr>
            <w:r>
              <w:rPr>
                <w:color w:val="000000"/>
                <w:sz w:val="20"/>
                <w:szCs w:val="20"/>
              </w:rPr>
              <w:t>-1 000</w:t>
            </w:r>
          </w:p>
        </w:tc>
        <w:tc>
          <w:tcPr>
            <w:tcW w:w="1145" w:type="dxa"/>
            <w:tcBorders>
              <w:top w:val="nil"/>
              <w:left w:val="nil"/>
              <w:bottom w:val="single" w:sz="4" w:space="0" w:color="BFBFBF"/>
              <w:right w:val="single" w:sz="4" w:space="0" w:color="auto"/>
            </w:tcBorders>
            <w:shd w:val="clear" w:color="000000" w:fill="F8CBAD"/>
            <w:noWrap/>
            <w:vAlign w:val="center"/>
            <w:hideMark/>
          </w:tcPr>
          <w:p w14:paraId="1A8E014C" w14:textId="77777777" w:rsidR="006D7E51" w:rsidRDefault="006D7E51">
            <w:pPr>
              <w:jc w:val="right"/>
              <w:rPr>
                <w:color w:val="000000"/>
                <w:sz w:val="20"/>
                <w:szCs w:val="20"/>
              </w:rPr>
            </w:pPr>
            <w:r>
              <w:rPr>
                <w:color w:val="000000"/>
                <w:sz w:val="20"/>
                <w:szCs w:val="20"/>
              </w:rPr>
              <w:t>1 000</w:t>
            </w:r>
          </w:p>
        </w:tc>
        <w:tc>
          <w:tcPr>
            <w:tcW w:w="1295" w:type="dxa"/>
            <w:tcBorders>
              <w:top w:val="nil"/>
              <w:left w:val="nil"/>
              <w:bottom w:val="single" w:sz="4" w:space="0" w:color="BFBFBF"/>
              <w:right w:val="single" w:sz="4" w:space="0" w:color="auto"/>
            </w:tcBorders>
            <w:shd w:val="clear" w:color="000000" w:fill="F8CBAD"/>
            <w:noWrap/>
            <w:vAlign w:val="center"/>
            <w:hideMark/>
          </w:tcPr>
          <w:p w14:paraId="54D4786E" w14:textId="77777777" w:rsidR="006D7E51" w:rsidRDefault="006D7E51">
            <w:pPr>
              <w:jc w:val="right"/>
              <w:rPr>
                <w:color w:val="000000"/>
                <w:sz w:val="20"/>
                <w:szCs w:val="20"/>
              </w:rPr>
            </w:pPr>
            <w:r>
              <w:rPr>
                <w:color w:val="000000"/>
                <w:sz w:val="20"/>
                <w:szCs w:val="20"/>
              </w:rPr>
              <w:t>2 000</w:t>
            </w:r>
          </w:p>
        </w:tc>
        <w:tc>
          <w:tcPr>
            <w:tcW w:w="1123" w:type="dxa"/>
            <w:tcBorders>
              <w:top w:val="nil"/>
              <w:left w:val="nil"/>
              <w:bottom w:val="single" w:sz="4" w:space="0" w:color="BFBFBF"/>
              <w:right w:val="single" w:sz="4" w:space="0" w:color="auto"/>
            </w:tcBorders>
            <w:shd w:val="clear" w:color="000000" w:fill="F8CBAD"/>
            <w:noWrap/>
            <w:vAlign w:val="center"/>
            <w:hideMark/>
          </w:tcPr>
          <w:p w14:paraId="761CFA29" w14:textId="77777777" w:rsidR="006D7E51" w:rsidRDefault="006D7E51">
            <w:pPr>
              <w:jc w:val="right"/>
              <w:rPr>
                <w:color w:val="000000"/>
                <w:sz w:val="20"/>
                <w:szCs w:val="20"/>
              </w:rPr>
            </w:pPr>
            <w:r>
              <w:rPr>
                <w:color w:val="000000"/>
                <w:sz w:val="20"/>
                <w:szCs w:val="20"/>
              </w:rPr>
              <w:t>-1 500</w:t>
            </w:r>
          </w:p>
        </w:tc>
        <w:tc>
          <w:tcPr>
            <w:tcW w:w="1145" w:type="dxa"/>
            <w:tcBorders>
              <w:top w:val="nil"/>
              <w:left w:val="nil"/>
              <w:bottom w:val="single" w:sz="4" w:space="0" w:color="BFBFBF"/>
              <w:right w:val="single" w:sz="4" w:space="0" w:color="auto"/>
            </w:tcBorders>
            <w:shd w:val="clear" w:color="000000" w:fill="F8CBAD"/>
            <w:noWrap/>
            <w:vAlign w:val="center"/>
            <w:hideMark/>
          </w:tcPr>
          <w:p w14:paraId="50B5EDCE" w14:textId="77777777" w:rsidR="006D7E51" w:rsidRDefault="006D7E51">
            <w:pPr>
              <w:jc w:val="right"/>
              <w:rPr>
                <w:color w:val="000000"/>
                <w:sz w:val="20"/>
                <w:szCs w:val="20"/>
              </w:rPr>
            </w:pPr>
            <w:r>
              <w:rPr>
                <w:color w:val="000000"/>
                <w:sz w:val="20"/>
                <w:szCs w:val="20"/>
              </w:rPr>
              <w:t>500</w:t>
            </w:r>
          </w:p>
        </w:tc>
      </w:tr>
      <w:tr w:rsidR="006D7E51" w14:paraId="7D2EB418"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AAF99EE"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3DB127FD" w14:textId="77777777" w:rsidR="006D7E51" w:rsidRDefault="006D7E51">
            <w:pPr>
              <w:rPr>
                <w:sz w:val="20"/>
                <w:szCs w:val="20"/>
              </w:rPr>
            </w:pPr>
            <w:r>
              <w:rPr>
                <w:sz w:val="20"/>
                <w:szCs w:val="20"/>
              </w:rPr>
              <w:t>Izdevumi – kopā</w:t>
            </w:r>
          </w:p>
        </w:tc>
        <w:tc>
          <w:tcPr>
            <w:tcW w:w="1295" w:type="dxa"/>
            <w:tcBorders>
              <w:top w:val="nil"/>
              <w:left w:val="nil"/>
              <w:bottom w:val="single" w:sz="4" w:space="0" w:color="BFBFBF"/>
              <w:right w:val="single" w:sz="4" w:space="0" w:color="auto"/>
            </w:tcBorders>
            <w:shd w:val="clear" w:color="auto" w:fill="auto"/>
            <w:noWrap/>
            <w:vAlign w:val="center"/>
            <w:hideMark/>
          </w:tcPr>
          <w:p w14:paraId="5057D75F" w14:textId="77777777" w:rsidR="006D7E51" w:rsidRDefault="006D7E51">
            <w:pPr>
              <w:jc w:val="right"/>
              <w:rPr>
                <w:color w:val="000000"/>
                <w:sz w:val="20"/>
                <w:szCs w:val="20"/>
              </w:rPr>
            </w:pPr>
            <w:r>
              <w:rPr>
                <w:color w:val="000000"/>
                <w:sz w:val="20"/>
                <w:szCs w:val="20"/>
              </w:rPr>
              <w:t>74 250</w:t>
            </w:r>
          </w:p>
        </w:tc>
        <w:tc>
          <w:tcPr>
            <w:tcW w:w="1123" w:type="dxa"/>
            <w:tcBorders>
              <w:top w:val="nil"/>
              <w:left w:val="nil"/>
              <w:bottom w:val="single" w:sz="4" w:space="0" w:color="BFBFBF"/>
              <w:right w:val="single" w:sz="4" w:space="0" w:color="auto"/>
            </w:tcBorders>
            <w:shd w:val="clear" w:color="auto" w:fill="auto"/>
            <w:noWrap/>
            <w:vAlign w:val="center"/>
            <w:hideMark/>
          </w:tcPr>
          <w:p w14:paraId="54EE35C5" w14:textId="77777777" w:rsidR="006D7E51" w:rsidRDefault="006D7E51">
            <w:pPr>
              <w:jc w:val="right"/>
              <w:rPr>
                <w:color w:val="000000"/>
                <w:sz w:val="20"/>
                <w:szCs w:val="20"/>
              </w:rPr>
            </w:pPr>
            <w:r>
              <w:rPr>
                <w:color w:val="000000"/>
                <w:sz w:val="20"/>
                <w:szCs w:val="20"/>
              </w:rPr>
              <w:t>-45 705</w:t>
            </w:r>
          </w:p>
        </w:tc>
        <w:tc>
          <w:tcPr>
            <w:tcW w:w="1145" w:type="dxa"/>
            <w:tcBorders>
              <w:top w:val="nil"/>
              <w:left w:val="nil"/>
              <w:bottom w:val="single" w:sz="4" w:space="0" w:color="BFBFBF"/>
              <w:right w:val="single" w:sz="4" w:space="0" w:color="auto"/>
            </w:tcBorders>
            <w:shd w:val="clear" w:color="auto" w:fill="auto"/>
            <w:noWrap/>
            <w:vAlign w:val="center"/>
            <w:hideMark/>
          </w:tcPr>
          <w:p w14:paraId="5191B3BC" w14:textId="77777777" w:rsidR="006D7E51" w:rsidRDefault="006D7E51">
            <w:pPr>
              <w:jc w:val="right"/>
              <w:rPr>
                <w:color w:val="000000"/>
                <w:sz w:val="20"/>
                <w:szCs w:val="20"/>
              </w:rPr>
            </w:pPr>
            <w:r>
              <w:rPr>
                <w:color w:val="000000"/>
                <w:sz w:val="20"/>
                <w:szCs w:val="20"/>
              </w:rPr>
              <w:t>28 545</w:t>
            </w:r>
          </w:p>
        </w:tc>
        <w:tc>
          <w:tcPr>
            <w:tcW w:w="1295" w:type="dxa"/>
            <w:tcBorders>
              <w:top w:val="nil"/>
              <w:left w:val="nil"/>
              <w:bottom w:val="single" w:sz="4" w:space="0" w:color="BFBFBF"/>
              <w:right w:val="single" w:sz="4" w:space="0" w:color="auto"/>
            </w:tcBorders>
            <w:shd w:val="clear" w:color="auto" w:fill="auto"/>
            <w:noWrap/>
            <w:vAlign w:val="center"/>
            <w:hideMark/>
          </w:tcPr>
          <w:p w14:paraId="5DA92616" w14:textId="77777777" w:rsidR="006D7E51" w:rsidRDefault="006D7E51">
            <w:pPr>
              <w:jc w:val="right"/>
              <w:rPr>
                <w:color w:val="000000"/>
                <w:sz w:val="20"/>
                <w:szCs w:val="20"/>
              </w:rPr>
            </w:pPr>
            <w:r>
              <w:rPr>
                <w:color w:val="000000"/>
                <w:sz w:val="20"/>
                <w:szCs w:val="20"/>
              </w:rPr>
              <w:t>56 754</w:t>
            </w:r>
          </w:p>
        </w:tc>
        <w:tc>
          <w:tcPr>
            <w:tcW w:w="1123" w:type="dxa"/>
            <w:tcBorders>
              <w:top w:val="nil"/>
              <w:left w:val="nil"/>
              <w:bottom w:val="single" w:sz="4" w:space="0" w:color="BFBFBF"/>
              <w:right w:val="single" w:sz="4" w:space="0" w:color="auto"/>
            </w:tcBorders>
            <w:shd w:val="clear" w:color="auto" w:fill="auto"/>
            <w:noWrap/>
            <w:vAlign w:val="center"/>
            <w:hideMark/>
          </w:tcPr>
          <w:p w14:paraId="3D26FE52" w14:textId="77777777" w:rsidR="006D7E51" w:rsidRDefault="006D7E51">
            <w:pPr>
              <w:jc w:val="right"/>
              <w:rPr>
                <w:color w:val="000000"/>
                <w:sz w:val="20"/>
                <w:szCs w:val="20"/>
              </w:rPr>
            </w:pPr>
            <w:r>
              <w:rPr>
                <w:color w:val="000000"/>
                <w:sz w:val="20"/>
                <w:szCs w:val="20"/>
              </w:rPr>
              <w:t>-35 628</w:t>
            </w:r>
          </w:p>
        </w:tc>
        <w:tc>
          <w:tcPr>
            <w:tcW w:w="1145" w:type="dxa"/>
            <w:tcBorders>
              <w:top w:val="nil"/>
              <w:left w:val="nil"/>
              <w:bottom w:val="single" w:sz="4" w:space="0" w:color="BFBFBF"/>
              <w:right w:val="single" w:sz="4" w:space="0" w:color="auto"/>
            </w:tcBorders>
            <w:shd w:val="clear" w:color="auto" w:fill="auto"/>
            <w:noWrap/>
            <w:vAlign w:val="center"/>
            <w:hideMark/>
          </w:tcPr>
          <w:p w14:paraId="1BF771F3" w14:textId="77777777" w:rsidR="006D7E51" w:rsidRDefault="006D7E51">
            <w:pPr>
              <w:jc w:val="right"/>
              <w:rPr>
                <w:color w:val="000000"/>
                <w:sz w:val="20"/>
                <w:szCs w:val="20"/>
              </w:rPr>
            </w:pPr>
            <w:r>
              <w:rPr>
                <w:color w:val="000000"/>
                <w:sz w:val="20"/>
                <w:szCs w:val="20"/>
              </w:rPr>
              <w:t>21 126</w:t>
            </w:r>
          </w:p>
        </w:tc>
        <w:tc>
          <w:tcPr>
            <w:tcW w:w="1295" w:type="dxa"/>
            <w:tcBorders>
              <w:top w:val="nil"/>
              <w:left w:val="nil"/>
              <w:bottom w:val="single" w:sz="4" w:space="0" w:color="BFBFBF"/>
              <w:right w:val="single" w:sz="4" w:space="0" w:color="auto"/>
            </w:tcBorders>
            <w:shd w:val="clear" w:color="auto" w:fill="auto"/>
            <w:noWrap/>
            <w:vAlign w:val="center"/>
            <w:hideMark/>
          </w:tcPr>
          <w:p w14:paraId="7EDB28CD" w14:textId="77777777" w:rsidR="006D7E51" w:rsidRDefault="006D7E51">
            <w:pPr>
              <w:jc w:val="right"/>
              <w:rPr>
                <w:color w:val="000000"/>
                <w:sz w:val="20"/>
                <w:szCs w:val="20"/>
              </w:rPr>
            </w:pPr>
            <w:r>
              <w:rPr>
                <w:color w:val="000000"/>
                <w:sz w:val="20"/>
                <w:szCs w:val="20"/>
              </w:rPr>
              <w:t>56 754</w:t>
            </w:r>
          </w:p>
        </w:tc>
        <w:tc>
          <w:tcPr>
            <w:tcW w:w="1123" w:type="dxa"/>
            <w:tcBorders>
              <w:top w:val="nil"/>
              <w:left w:val="nil"/>
              <w:bottom w:val="single" w:sz="4" w:space="0" w:color="BFBFBF"/>
              <w:right w:val="single" w:sz="4" w:space="0" w:color="auto"/>
            </w:tcBorders>
            <w:shd w:val="clear" w:color="auto" w:fill="auto"/>
            <w:noWrap/>
            <w:vAlign w:val="center"/>
            <w:hideMark/>
          </w:tcPr>
          <w:p w14:paraId="38B94326" w14:textId="77777777" w:rsidR="006D7E51" w:rsidRDefault="006D7E51">
            <w:pPr>
              <w:jc w:val="right"/>
              <w:rPr>
                <w:color w:val="000000"/>
                <w:sz w:val="20"/>
                <w:szCs w:val="20"/>
              </w:rPr>
            </w:pPr>
            <w:r>
              <w:rPr>
                <w:color w:val="000000"/>
                <w:sz w:val="20"/>
                <w:szCs w:val="20"/>
              </w:rPr>
              <w:t>-40 202</w:t>
            </w:r>
          </w:p>
        </w:tc>
        <w:tc>
          <w:tcPr>
            <w:tcW w:w="1145" w:type="dxa"/>
            <w:tcBorders>
              <w:top w:val="nil"/>
              <w:left w:val="nil"/>
              <w:bottom w:val="single" w:sz="4" w:space="0" w:color="BFBFBF"/>
              <w:right w:val="single" w:sz="4" w:space="0" w:color="auto"/>
            </w:tcBorders>
            <w:shd w:val="clear" w:color="auto" w:fill="auto"/>
            <w:noWrap/>
            <w:vAlign w:val="center"/>
            <w:hideMark/>
          </w:tcPr>
          <w:p w14:paraId="3651DA41" w14:textId="77777777" w:rsidR="006D7E51" w:rsidRDefault="006D7E51">
            <w:pPr>
              <w:jc w:val="right"/>
              <w:rPr>
                <w:color w:val="000000"/>
                <w:sz w:val="20"/>
                <w:szCs w:val="20"/>
              </w:rPr>
            </w:pPr>
            <w:r>
              <w:rPr>
                <w:color w:val="000000"/>
                <w:sz w:val="20"/>
                <w:szCs w:val="20"/>
              </w:rPr>
              <w:t>16 552</w:t>
            </w:r>
          </w:p>
        </w:tc>
      </w:tr>
      <w:tr w:rsidR="006D7E51" w14:paraId="4F184416"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03BFFDAD"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77737A2F" w14:textId="77777777" w:rsidR="006D7E51" w:rsidRDefault="006D7E51">
            <w:pPr>
              <w:rPr>
                <w:sz w:val="20"/>
                <w:szCs w:val="20"/>
              </w:rPr>
            </w:pPr>
            <w:r>
              <w:rPr>
                <w:sz w:val="20"/>
                <w:szCs w:val="20"/>
              </w:rPr>
              <w:t>Uzturēšanas izdevumi</w:t>
            </w:r>
          </w:p>
        </w:tc>
        <w:tc>
          <w:tcPr>
            <w:tcW w:w="1295" w:type="dxa"/>
            <w:tcBorders>
              <w:top w:val="nil"/>
              <w:left w:val="nil"/>
              <w:bottom w:val="single" w:sz="4" w:space="0" w:color="BFBFBF"/>
              <w:right w:val="single" w:sz="4" w:space="0" w:color="auto"/>
            </w:tcBorders>
            <w:shd w:val="clear" w:color="auto" w:fill="auto"/>
            <w:noWrap/>
            <w:vAlign w:val="center"/>
            <w:hideMark/>
          </w:tcPr>
          <w:p w14:paraId="242360F3" w14:textId="77777777" w:rsidR="006D7E51" w:rsidRDefault="006D7E51">
            <w:pPr>
              <w:jc w:val="right"/>
              <w:rPr>
                <w:color w:val="000000"/>
                <w:sz w:val="20"/>
                <w:szCs w:val="20"/>
              </w:rPr>
            </w:pPr>
            <w:r>
              <w:rPr>
                <w:color w:val="000000"/>
                <w:sz w:val="20"/>
                <w:szCs w:val="20"/>
              </w:rPr>
              <w:t>74 250</w:t>
            </w:r>
          </w:p>
        </w:tc>
        <w:tc>
          <w:tcPr>
            <w:tcW w:w="1123" w:type="dxa"/>
            <w:tcBorders>
              <w:top w:val="nil"/>
              <w:left w:val="nil"/>
              <w:bottom w:val="single" w:sz="4" w:space="0" w:color="BFBFBF"/>
              <w:right w:val="single" w:sz="4" w:space="0" w:color="auto"/>
            </w:tcBorders>
            <w:shd w:val="clear" w:color="auto" w:fill="auto"/>
            <w:noWrap/>
            <w:vAlign w:val="center"/>
            <w:hideMark/>
          </w:tcPr>
          <w:p w14:paraId="7C4B1820" w14:textId="77777777" w:rsidR="006D7E51" w:rsidRDefault="006D7E51">
            <w:pPr>
              <w:jc w:val="right"/>
              <w:rPr>
                <w:color w:val="000000"/>
                <w:sz w:val="20"/>
                <w:szCs w:val="20"/>
              </w:rPr>
            </w:pPr>
            <w:r>
              <w:rPr>
                <w:color w:val="000000"/>
                <w:sz w:val="20"/>
                <w:szCs w:val="20"/>
              </w:rPr>
              <w:t>-45 705</w:t>
            </w:r>
          </w:p>
        </w:tc>
        <w:tc>
          <w:tcPr>
            <w:tcW w:w="1145" w:type="dxa"/>
            <w:tcBorders>
              <w:top w:val="nil"/>
              <w:left w:val="nil"/>
              <w:bottom w:val="single" w:sz="4" w:space="0" w:color="BFBFBF"/>
              <w:right w:val="single" w:sz="4" w:space="0" w:color="auto"/>
            </w:tcBorders>
            <w:shd w:val="clear" w:color="auto" w:fill="auto"/>
            <w:noWrap/>
            <w:vAlign w:val="center"/>
            <w:hideMark/>
          </w:tcPr>
          <w:p w14:paraId="67E97943" w14:textId="77777777" w:rsidR="006D7E51" w:rsidRDefault="006D7E51">
            <w:pPr>
              <w:jc w:val="right"/>
              <w:rPr>
                <w:color w:val="000000"/>
                <w:sz w:val="20"/>
                <w:szCs w:val="20"/>
              </w:rPr>
            </w:pPr>
            <w:r>
              <w:rPr>
                <w:color w:val="000000"/>
                <w:sz w:val="20"/>
                <w:szCs w:val="20"/>
              </w:rPr>
              <w:t>28 545</w:t>
            </w:r>
          </w:p>
        </w:tc>
        <w:tc>
          <w:tcPr>
            <w:tcW w:w="1295" w:type="dxa"/>
            <w:tcBorders>
              <w:top w:val="nil"/>
              <w:left w:val="nil"/>
              <w:bottom w:val="single" w:sz="4" w:space="0" w:color="BFBFBF"/>
              <w:right w:val="single" w:sz="4" w:space="0" w:color="auto"/>
            </w:tcBorders>
            <w:shd w:val="clear" w:color="auto" w:fill="auto"/>
            <w:noWrap/>
            <w:vAlign w:val="center"/>
            <w:hideMark/>
          </w:tcPr>
          <w:p w14:paraId="02DDE014" w14:textId="77777777" w:rsidR="006D7E51" w:rsidRDefault="006D7E51">
            <w:pPr>
              <w:jc w:val="right"/>
              <w:rPr>
                <w:color w:val="000000"/>
                <w:sz w:val="20"/>
                <w:szCs w:val="20"/>
              </w:rPr>
            </w:pPr>
            <w:r>
              <w:rPr>
                <w:color w:val="000000"/>
                <w:sz w:val="20"/>
                <w:szCs w:val="20"/>
              </w:rPr>
              <w:t>56 754</w:t>
            </w:r>
          </w:p>
        </w:tc>
        <w:tc>
          <w:tcPr>
            <w:tcW w:w="1123" w:type="dxa"/>
            <w:tcBorders>
              <w:top w:val="nil"/>
              <w:left w:val="nil"/>
              <w:bottom w:val="single" w:sz="4" w:space="0" w:color="BFBFBF"/>
              <w:right w:val="single" w:sz="4" w:space="0" w:color="auto"/>
            </w:tcBorders>
            <w:shd w:val="clear" w:color="auto" w:fill="auto"/>
            <w:noWrap/>
            <w:vAlign w:val="center"/>
            <w:hideMark/>
          </w:tcPr>
          <w:p w14:paraId="14E9FF7D" w14:textId="77777777" w:rsidR="006D7E51" w:rsidRDefault="006D7E51">
            <w:pPr>
              <w:jc w:val="right"/>
              <w:rPr>
                <w:color w:val="000000"/>
                <w:sz w:val="20"/>
                <w:szCs w:val="20"/>
              </w:rPr>
            </w:pPr>
            <w:r>
              <w:rPr>
                <w:color w:val="000000"/>
                <w:sz w:val="20"/>
                <w:szCs w:val="20"/>
              </w:rPr>
              <w:t>-35 628</w:t>
            </w:r>
          </w:p>
        </w:tc>
        <w:tc>
          <w:tcPr>
            <w:tcW w:w="1145" w:type="dxa"/>
            <w:tcBorders>
              <w:top w:val="nil"/>
              <w:left w:val="nil"/>
              <w:bottom w:val="single" w:sz="4" w:space="0" w:color="BFBFBF"/>
              <w:right w:val="single" w:sz="4" w:space="0" w:color="auto"/>
            </w:tcBorders>
            <w:shd w:val="clear" w:color="auto" w:fill="auto"/>
            <w:noWrap/>
            <w:vAlign w:val="center"/>
            <w:hideMark/>
          </w:tcPr>
          <w:p w14:paraId="6FFB15EF" w14:textId="77777777" w:rsidR="006D7E51" w:rsidRDefault="006D7E51">
            <w:pPr>
              <w:jc w:val="right"/>
              <w:rPr>
                <w:color w:val="000000"/>
                <w:sz w:val="20"/>
                <w:szCs w:val="20"/>
              </w:rPr>
            </w:pPr>
            <w:r>
              <w:rPr>
                <w:color w:val="000000"/>
                <w:sz w:val="20"/>
                <w:szCs w:val="20"/>
              </w:rPr>
              <w:t>21 126</w:t>
            </w:r>
          </w:p>
        </w:tc>
        <w:tc>
          <w:tcPr>
            <w:tcW w:w="1295" w:type="dxa"/>
            <w:tcBorders>
              <w:top w:val="nil"/>
              <w:left w:val="nil"/>
              <w:bottom w:val="single" w:sz="4" w:space="0" w:color="BFBFBF"/>
              <w:right w:val="single" w:sz="4" w:space="0" w:color="auto"/>
            </w:tcBorders>
            <w:shd w:val="clear" w:color="auto" w:fill="auto"/>
            <w:noWrap/>
            <w:vAlign w:val="center"/>
            <w:hideMark/>
          </w:tcPr>
          <w:p w14:paraId="0E855329" w14:textId="77777777" w:rsidR="006D7E51" w:rsidRDefault="006D7E51">
            <w:pPr>
              <w:jc w:val="right"/>
              <w:rPr>
                <w:color w:val="000000"/>
                <w:sz w:val="20"/>
                <w:szCs w:val="20"/>
              </w:rPr>
            </w:pPr>
            <w:r>
              <w:rPr>
                <w:color w:val="000000"/>
                <w:sz w:val="20"/>
                <w:szCs w:val="20"/>
              </w:rPr>
              <w:t>56 754</w:t>
            </w:r>
          </w:p>
        </w:tc>
        <w:tc>
          <w:tcPr>
            <w:tcW w:w="1123" w:type="dxa"/>
            <w:tcBorders>
              <w:top w:val="nil"/>
              <w:left w:val="nil"/>
              <w:bottom w:val="single" w:sz="4" w:space="0" w:color="BFBFBF"/>
              <w:right w:val="single" w:sz="4" w:space="0" w:color="auto"/>
            </w:tcBorders>
            <w:shd w:val="clear" w:color="auto" w:fill="auto"/>
            <w:noWrap/>
            <w:vAlign w:val="center"/>
            <w:hideMark/>
          </w:tcPr>
          <w:p w14:paraId="2BD3FD93" w14:textId="77777777" w:rsidR="006D7E51" w:rsidRDefault="006D7E51">
            <w:pPr>
              <w:jc w:val="right"/>
              <w:rPr>
                <w:color w:val="000000"/>
                <w:sz w:val="20"/>
                <w:szCs w:val="20"/>
              </w:rPr>
            </w:pPr>
            <w:r>
              <w:rPr>
                <w:color w:val="000000"/>
                <w:sz w:val="20"/>
                <w:szCs w:val="20"/>
              </w:rPr>
              <w:t>-40 202</w:t>
            </w:r>
          </w:p>
        </w:tc>
        <w:tc>
          <w:tcPr>
            <w:tcW w:w="1145" w:type="dxa"/>
            <w:tcBorders>
              <w:top w:val="nil"/>
              <w:left w:val="nil"/>
              <w:bottom w:val="single" w:sz="4" w:space="0" w:color="BFBFBF"/>
              <w:right w:val="single" w:sz="4" w:space="0" w:color="auto"/>
            </w:tcBorders>
            <w:shd w:val="clear" w:color="auto" w:fill="auto"/>
            <w:noWrap/>
            <w:vAlign w:val="center"/>
            <w:hideMark/>
          </w:tcPr>
          <w:p w14:paraId="7EB3B449" w14:textId="77777777" w:rsidR="006D7E51" w:rsidRDefault="006D7E51">
            <w:pPr>
              <w:jc w:val="right"/>
              <w:rPr>
                <w:color w:val="000000"/>
                <w:sz w:val="20"/>
                <w:szCs w:val="20"/>
              </w:rPr>
            </w:pPr>
            <w:r>
              <w:rPr>
                <w:color w:val="000000"/>
                <w:sz w:val="20"/>
                <w:szCs w:val="20"/>
              </w:rPr>
              <w:t>16 552</w:t>
            </w:r>
          </w:p>
        </w:tc>
      </w:tr>
      <w:tr w:rsidR="006D7E51" w14:paraId="7E36417D" w14:textId="77777777" w:rsidTr="006D7E51">
        <w:trPr>
          <w:trHeight w:val="482"/>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70F8EBA9" w14:textId="77777777" w:rsidR="006D7E51" w:rsidRDefault="006D7E51">
            <w:pPr>
              <w:ind w:firstLineChars="200" w:firstLine="4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1875B346" w14:textId="77777777" w:rsidR="006D7E51" w:rsidRDefault="006D7E51">
            <w:pPr>
              <w:rPr>
                <w:sz w:val="20"/>
                <w:szCs w:val="20"/>
              </w:rPr>
            </w:pPr>
            <w:r>
              <w:rPr>
                <w:sz w:val="20"/>
                <w:szCs w:val="20"/>
              </w:rPr>
              <w:t>Subsīdijas, dotācijas un sociālie pabalsti</w:t>
            </w:r>
          </w:p>
        </w:tc>
        <w:tc>
          <w:tcPr>
            <w:tcW w:w="1295" w:type="dxa"/>
            <w:tcBorders>
              <w:top w:val="nil"/>
              <w:left w:val="nil"/>
              <w:bottom w:val="single" w:sz="4" w:space="0" w:color="BFBFBF"/>
              <w:right w:val="single" w:sz="4" w:space="0" w:color="auto"/>
            </w:tcBorders>
            <w:shd w:val="clear" w:color="auto" w:fill="auto"/>
            <w:noWrap/>
            <w:vAlign w:val="center"/>
            <w:hideMark/>
          </w:tcPr>
          <w:p w14:paraId="766B4816" w14:textId="77777777" w:rsidR="006D7E51" w:rsidRDefault="006D7E51">
            <w:pPr>
              <w:jc w:val="right"/>
              <w:rPr>
                <w:color w:val="000000"/>
                <w:sz w:val="20"/>
                <w:szCs w:val="20"/>
              </w:rPr>
            </w:pPr>
            <w:r>
              <w:rPr>
                <w:color w:val="000000"/>
                <w:sz w:val="20"/>
                <w:szCs w:val="20"/>
              </w:rPr>
              <w:t>74 250</w:t>
            </w:r>
          </w:p>
        </w:tc>
        <w:tc>
          <w:tcPr>
            <w:tcW w:w="1123" w:type="dxa"/>
            <w:tcBorders>
              <w:top w:val="nil"/>
              <w:left w:val="nil"/>
              <w:bottom w:val="single" w:sz="4" w:space="0" w:color="BFBFBF"/>
              <w:right w:val="single" w:sz="4" w:space="0" w:color="auto"/>
            </w:tcBorders>
            <w:shd w:val="clear" w:color="auto" w:fill="auto"/>
            <w:noWrap/>
            <w:vAlign w:val="center"/>
            <w:hideMark/>
          </w:tcPr>
          <w:p w14:paraId="0CB97506" w14:textId="77777777" w:rsidR="006D7E51" w:rsidRDefault="006D7E51">
            <w:pPr>
              <w:jc w:val="right"/>
              <w:rPr>
                <w:color w:val="000000"/>
                <w:sz w:val="20"/>
                <w:szCs w:val="20"/>
              </w:rPr>
            </w:pPr>
            <w:r>
              <w:rPr>
                <w:color w:val="000000"/>
                <w:sz w:val="20"/>
                <w:szCs w:val="20"/>
              </w:rPr>
              <w:t>-45 705</w:t>
            </w:r>
          </w:p>
        </w:tc>
        <w:tc>
          <w:tcPr>
            <w:tcW w:w="1145" w:type="dxa"/>
            <w:tcBorders>
              <w:top w:val="nil"/>
              <w:left w:val="nil"/>
              <w:bottom w:val="single" w:sz="4" w:space="0" w:color="BFBFBF"/>
              <w:right w:val="single" w:sz="4" w:space="0" w:color="auto"/>
            </w:tcBorders>
            <w:shd w:val="clear" w:color="auto" w:fill="auto"/>
            <w:noWrap/>
            <w:vAlign w:val="center"/>
            <w:hideMark/>
          </w:tcPr>
          <w:p w14:paraId="41CB1290" w14:textId="77777777" w:rsidR="006D7E51" w:rsidRDefault="006D7E51">
            <w:pPr>
              <w:jc w:val="right"/>
              <w:rPr>
                <w:color w:val="000000"/>
                <w:sz w:val="20"/>
                <w:szCs w:val="20"/>
              </w:rPr>
            </w:pPr>
            <w:r>
              <w:rPr>
                <w:color w:val="000000"/>
                <w:sz w:val="20"/>
                <w:szCs w:val="20"/>
              </w:rPr>
              <w:t>28 545</w:t>
            </w:r>
          </w:p>
        </w:tc>
        <w:tc>
          <w:tcPr>
            <w:tcW w:w="1295" w:type="dxa"/>
            <w:tcBorders>
              <w:top w:val="nil"/>
              <w:left w:val="nil"/>
              <w:bottom w:val="single" w:sz="4" w:space="0" w:color="BFBFBF"/>
              <w:right w:val="single" w:sz="4" w:space="0" w:color="auto"/>
            </w:tcBorders>
            <w:shd w:val="clear" w:color="auto" w:fill="auto"/>
            <w:noWrap/>
            <w:vAlign w:val="center"/>
            <w:hideMark/>
          </w:tcPr>
          <w:p w14:paraId="2693FEAC" w14:textId="77777777" w:rsidR="006D7E51" w:rsidRDefault="006D7E51">
            <w:pPr>
              <w:jc w:val="right"/>
              <w:rPr>
                <w:color w:val="000000"/>
                <w:sz w:val="20"/>
                <w:szCs w:val="20"/>
              </w:rPr>
            </w:pPr>
            <w:r>
              <w:rPr>
                <w:color w:val="000000"/>
                <w:sz w:val="20"/>
                <w:szCs w:val="20"/>
              </w:rPr>
              <w:t>56 754</w:t>
            </w:r>
          </w:p>
        </w:tc>
        <w:tc>
          <w:tcPr>
            <w:tcW w:w="1123" w:type="dxa"/>
            <w:tcBorders>
              <w:top w:val="nil"/>
              <w:left w:val="nil"/>
              <w:bottom w:val="single" w:sz="4" w:space="0" w:color="BFBFBF"/>
              <w:right w:val="single" w:sz="4" w:space="0" w:color="auto"/>
            </w:tcBorders>
            <w:shd w:val="clear" w:color="auto" w:fill="auto"/>
            <w:noWrap/>
            <w:vAlign w:val="center"/>
            <w:hideMark/>
          </w:tcPr>
          <w:p w14:paraId="169DD697" w14:textId="77777777" w:rsidR="006D7E51" w:rsidRDefault="006D7E51">
            <w:pPr>
              <w:jc w:val="right"/>
              <w:rPr>
                <w:color w:val="000000"/>
                <w:sz w:val="20"/>
                <w:szCs w:val="20"/>
              </w:rPr>
            </w:pPr>
            <w:r>
              <w:rPr>
                <w:color w:val="000000"/>
                <w:sz w:val="20"/>
                <w:szCs w:val="20"/>
              </w:rPr>
              <w:t>-35 628</w:t>
            </w:r>
          </w:p>
        </w:tc>
        <w:tc>
          <w:tcPr>
            <w:tcW w:w="1145" w:type="dxa"/>
            <w:tcBorders>
              <w:top w:val="nil"/>
              <w:left w:val="nil"/>
              <w:bottom w:val="single" w:sz="4" w:space="0" w:color="BFBFBF"/>
              <w:right w:val="single" w:sz="4" w:space="0" w:color="auto"/>
            </w:tcBorders>
            <w:shd w:val="clear" w:color="auto" w:fill="auto"/>
            <w:noWrap/>
            <w:vAlign w:val="center"/>
            <w:hideMark/>
          </w:tcPr>
          <w:p w14:paraId="403E2AFC" w14:textId="77777777" w:rsidR="006D7E51" w:rsidRDefault="006D7E51">
            <w:pPr>
              <w:jc w:val="right"/>
              <w:rPr>
                <w:color w:val="000000"/>
                <w:sz w:val="20"/>
                <w:szCs w:val="20"/>
              </w:rPr>
            </w:pPr>
            <w:r>
              <w:rPr>
                <w:color w:val="000000"/>
                <w:sz w:val="20"/>
                <w:szCs w:val="20"/>
              </w:rPr>
              <w:t>21 126</w:t>
            </w:r>
          </w:p>
        </w:tc>
        <w:tc>
          <w:tcPr>
            <w:tcW w:w="1295" w:type="dxa"/>
            <w:tcBorders>
              <w:top w:val="nil"/>
              <w:left w:val="nil"/>
              <w:bottom w:val="single" w:sz="4" w:space="0" w:color="BFBFBF"/>
              <w:right w:val="single" w:sz="4" w:space="0" w:color="auto"/>
            </w:tcBorders>
            <w:shd w:val="clear" w:color="auto" w:fill="auto"/>
            <w:noWrap/>
            <w:vAlign w:val="center"/>
            <w:hideMark/>
          </w:tcPr>
          <w:p w14:paraId="2C03CE01" w14:textId="77777777" w:rsidR="006D7E51" w:rsidRDefault="006D7E51">
            <w:pPr>
              <w:jc w:val="right"/>
              <w:rPr>
                <w:color w:val="000000"/>
                <w:sz w:val="20"/>
                <w:szCs w:val="20"/>
              </w:rPr>
            </w:pPr>
            <w:r>
              <w:rPr>
                <w:color w:val="000000"/>
                <w:sz w:val="20"/>
                <w:szCs w:val="20"/>
              </w:rPr>
              <w:t>56 754</w:t>
            </w:r>
          </w:p>
        </w:tc>
        <w:tc>
          <w:tcPr>
            <w:tcW w:w="1123" w:type="dxa"/>
            <w:tcBorders>
              <w:top w:val="nil"/>
              <w:left w:val="nil"/>
              <w:bottom w:val="single" w:sz="4" w:space="0" w:color="BFBFBF"/>
              <w:right w:val="single" w:sz="4" w:space="0" w:color="auto"/>
            </w:tcBorders>
            <w:shd w:val="clear" w:color="auto" w:fill="auto"/>
            <w:noWrap/>
            <w:vAlign w:val="center"/>
            <w:hideMark/>
          </w:tcPr>
          <w:p w14:paraId="2902C8A4" w14:textId="77777777" w:rsidR="006D7E51" w:rsidRDefault="006D7E51">
            <w:pPr>
              <w:jc w:val="right"/>
              <w:rPr>
                <w:color w:val="000000"/>
                <w:sz w:val="20"/>
                <w:szCs w:val="20"/>
              </w:rPr>
            </w:pPr>
            <w:r>
              <w:rPr>
                <w:color w:val="000000"/>
                <w:sz w:val="20"/>
                <w:szCs w:val="20"/>
              </w:rPr>
              <w:t>-40 202</w:t>
            </w:r>
          </w:p>
        </w:tc>
        <w:tc>
          <w:tcPr>
            <w:tcW w:w="1145" w:type="dxa"/>
            <w:tcBorders>
              <w:top w:val="nil"/>
              <w:left w:val="nil"/>
              <w:bottom w:val="single" w:sz="4" w:space="0" w:color="BFBFBF"/>
              <w:right w:val="single" w:sz="4" w:space="0" w:color="auto"/>
            </w:tcBorders>
            <w:shd w:val="clear" w:color="auto" w:fill="auto"/>
            <w:noWrap/>
            <w:vAlign w:val="center"/>
            <w:hideMark/>
          </w:tcPr>
          <w:p w14:paraId="6AD811F8" w14:textId="77777777" w:rsidR="006D7E51" w:rsidRDefault="006D7E51">
            <w:pPr>
              <w:jc w:val="right"/>
              <w:rPr>
                <w:color w:val="000000"/>
                <w:sz w:val="20"/>
                <w:szCs w:val="20"/>
              </w:rPr>
            </w:pPr>
            <w:r>
              <w:rPr>
                <w:color w:val="000000"/>
                <w:sz w:val="20"/>
                <w:szCs w:val="20"/>
              </w:rPr>
              <w:t>16 552</w:t>
            </w:r>
          </w:p>
        </w:tc>
      </w:tr>
      <w:tr w:rsidR="006D7E51" w14:paraId="3BF20778"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027B55EB" w14:textId="77777777" w:rsidR="006D7E51" w:rsidRDefault="006D7E51">
            <w:pPr>
              <w:ind w:firstLineChars="300" w:firstLine="6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509BD570" w14:textId="77777777" w:rsidR="006D7E51" w:rsidRDefault="006D7E51">
            <w:pPr>
              <w:rPr>
                <w:sz w:val="20"/>
                <w:szCs w:val="20"/>
              </w:rPr>
            </w:pPr>
            <w:r>
              <w:rPr>
                <w:sz w:val="20"/>
                <w:szCs w:val="20"/>
              </w:rPr>
              <w:t>Subsīdijas un dotācijas</w:t>
            </w:r>
          </w:p>
        </w:tc>
        <w:tc>
          <w:tcPr>
            <w:tcW w:w="1295" w:type="dxa"/>
            <w:tcBorders>
              <w:top w:val="nil"/>
              <w:left w:val="nil"/>
              <w:bottom w:val="single" w:sz="4" w:space="0" w:color="BFBFBF"/>
              <w:right w:val="single" w:sz="4" w:space="0" w:color="auto"/>
            </w:tcBorders>
            <w:shd w:val="clear" w:color="auto" w:fill="auto"/>
            <w:noWrap/>
            <w:vAlign w:val="center"/>
            <w:hideMark/>
          </w:tcPr>
          <w:p w14:paraId="055804F5" w14:textId="77777777" w:rsidR="006D7E51" w:rsidRDefault="006D7E51">
            <w:pPr>
              <w:jc w:val="right"/>
              <w:rPr>
                <w:color w:val="000000"/>
                <w:sz w:val="20"/>
                <w:szCs w:val="20"/>
              </w:rPr>
            </w:pPr>
            <w:r>
              <w:rPr>
                <w:color w:val="000000"/>
                <w:sz w:val="20"/>
                <w:szCs w:val="20"/>
              </w:rPr>
              <w:t>74 250</w:t>
            </w:r>
          </w:p>
        </w:tc>
        <w:tc>
          <w:tcPr>
            <w:tcW w:w="1123" w:type="dxa"/>
            <w:tcBorders>
              <w:top w:val="nil"/>
              <w:left w:val="nil"/>
              <w:bottom w:val="single" w:sz="4" w:space="0" w:color="BFBFBF"/>
              <w:right w:val="single" w:sz="4" w:space="0" w:color="auto"/>
            </w:tcBorders>
            <w:shd w:val="clear" w:color="auto" w:fill="auto"/>
            <w:noWrap/>
            <w:vAlign w:val="center"/>
            <w:hideMark/>
          </w:tcPr>
          <w:p w14:paraId="1CC2D843" w14:textId="77777777" w:rsidR="006D7E51" w:rsidRDefault="006D7E51">
            <w:pPr>
              <w:jc w:val="right"/>
              <w:rPr>
                <w:color w:val="000000"/>
                <w:sz w:val="20"/>
                <w:szCs w:val="20"/>
              </w:rPr>
            </w:pPr>
            <w:r>
              <w:rPr>
                <w:color w:val="000000"/>
                <w:sz w:val="20"/>
                <w:szCs w:val="20"/>
              </w:rPr>
              <w:t>-45 705</w:t>
            </w:r>
          </w:p>
        </w:tc>
        <w:tc>
          <w:tcPr>
            <w:tcW w:w="1145" w:type="dxa"/>
            <w:tcBorders>
              <w:top w:val="nil"/>
              <w:left w:val="nil"/>
              <w:bottom w:val="single" w:sz="4" w:space="0" w:color="BFBFBF"/>
              <w:right w:val="single" w:sz="4" w:space="0" w:color="auto"/>
            </w:tcBorders>
            <w:shd w:val="clear" w:color="auto" w:fill="auto"/>
            <w:noWrap/>
            <w:vAlign w:val="center"/>
            <w:hideMark/>
          </w:tcPr>
          <w:p w14:paraId="79EF5116" w14:textId="77777777" w:rsidR="006D7E51" w:rsidRDefault="006D7E51">
            <w:pPr>
              <w:jc w:val="right"/>
              <w:rPr>
                <w:color w:val="000000"/>
                <w:sz w:val="20"/>
                <w:szCs w:val="20"/>
              </w:rPr>
            </w:pPr>
            <w:r>
              <w:rPr>
                <w:color w:val="000000"/>
                <w:sz w:val="20"/>
                <w:szCs w:val="20"/>
              </w:rPr>
              <w:t>28 545</w:t>
            </w:r>
          </w:p>
        </w:tc>
        <w:tc>
          <w:tcPr>
            <w:tcW w:w="1295" w:type="dxa"/>
            <w:tcBorders>
              <w:top w:val="nil"/>
              <w:left w:val="nil"/>
              <w:bottom w:val="single" w:sz="4" w:space="0" w:color="BFBFBF"/>
              <w:right w:val="single" w:sz="4" w:space="0" w:color="auto"/>
            </w:tcBorders>
            <w:shd w:val="clear" w:color="auto" w:fill="auto"/>
            <w:noWrap/>
            <w:vAlign w:val="center"/>
            <w:hideMark/>
          </w:tcPr>
          <w:p w14:paraId="6D06B585" w14:textId="77777777" w:rsidR="006D7E51" w:rsidRDefault="006D7E51">
            <w:pPr>
              <w:jc w:val="right"/>
              <w:rPr>
                <w:color w:val="000000"/>
                <w:sz w:val="20"/>
                <w:szCs w:val="20"/>
              </w:rPr>
            </w:pPr>
            <w:r>
              <w:rPr>
                <w:color w:val="000000"/>
                <w:sz w:val="20"/>
                <w:szCs w:val="20"/>
              </w:rPr>
              <w:t>56 754</w:t>
            </w:r>
          </w:p>
        </w:tc>
        <w:tc>
          <w:tcPr>
            <w:tcW w:w="1123" w:type="dxa"/>
            <w:tcBorders>
              <w:top w:val="nil"/>
              <w:left w:val="nil"/>
              <w:bottom w:val="single" w:sz="4" w:space="0" w:color="BFBFBF"/>
              <w:right w:val="single" w:sz="4" w:space="0" w:color="auto"/>
            </w:tcBorders>
            <w:shd w:val="clear" w:color="auto" w:fill="auto"/>
            <w:noWrap/>
            <w:vAlign w:val="center"/>
            <w:hideMark/>
          </w:tcPr>
          <w:p w14:paraId="356EAB53" w14:textId="77777777" w:rsidR="006D7E51" w:rsidRDefault="006D7E51">
            <w:pPr>
              <w:jc w:val="right"/>
              <w:rPr>
                <w:color w:val="000000"/>
                <w:sz w:val="20"/>
                <w:szCs w:val="20"/>
              </w:rPr>
            </w:pPr>
            <w:r>
              <w:rPr>
                <w:color w:val="000000"/>
                <w:sz w:val="20"/>
                <w:szCs w:val="20"/>
              </w:rPr>
              <w:t>-35 628</w:t>
            </w:r>
          </w:p>
        </w:tc>
        <w:tc>
          <w:tcPr>
            <w:tcW w:w="1145" w:type="dxa"/>
            <w:tcBorders>
              <w:top w:val="nil"/>
              <w:left w:val="nil"/>
              <w:bottom w:val="single" w:sz="4" w:space="0" w:color="BFBFBF"/>
              <w:right w:val="single" w:sz="4" w:space="0" w:color="auto"/>
            </w:tcBorders>
            <w:shd w:val="clear" w:color="auto" w:fill="auto"/>
            <w:noWrap/>
            <w:vAlign w:val="center"/>
            <w:hideMark/>
          </w:tcPr>
          <w:p w14:paraId="71AF5A4D" w14:textId="77777777" w:rsidR="006D7E51" w:rsidRDefault="006D7E51">
            <w:pPr>
              <w:jc w:val="right"/>
              <w:rPr>
                <w:color w:val="000000"/>
                <w:sz w:val="20"/>
                <w:szCs w:val="20"/>
              </w:rPr>
            </w:pPr>
            <w:r>
              <w:rPr>
                <w:color w:val="000000"/>
                <w:sz w:val="20"/>
                <w:szCs w:val="20"/>
              </w:rPr>
              <w:t>21 126</w:t>
            </w:r>
          </w:p>
        </w:tc>
        <w:tc>
          <w:tcPr>
            <w:tcW w:w="1295" w:type="dxa"/>
            <w:tcBorders>
              <w:top w:val="nil"/>
              <w:left w:val="nil"/>
              <w:bottom w:val="single" w:sz="4" w:space="0" w:color="BFBFBF"/>
              <w:right w:val="single" w:sz="4" w:space="0" w:color="auto"/>
            </w:tcBorders>
            <w:shd w:val="clear" w:color="auto" w:fill="auto"/>
            <w:noWrap/>
            <w:vAlign w:val="center"/>
            <w:hideMark/>
          </w:tcPr>
          <w:p w14:paraId="6F28434A" w14:textId="77777777" w:rsidR="006D7E51" w:rsidRDefault="006D7E51">
            <w:pPr>
              <w:jc w:val="right"/>
              <w:rPr>
                <w:color w:val="000000"/>
                <w:sz w:val="20"/>
                <w:szCs w:val="20"/>
              </w:rPr>
            </w:pPr>
            <w:r>
              <w:rPr>
                <w:color w:val="000000"/>
                <w:sz w:val="20"/>
                <w:szCs w:val="20"/>
              </w:rPr>
              <w:t>56 754</w:t>
            </w:r>
          </w:p>
        </w:tc>
        <w:tc>
          <w:tcPr>
            <w:tcW w:w="1123" w:type="dxa"/>
            <w:tcBorders>
              <w:top w:val="nil"/>
              <w:left w:val="nil"/>
              <w:bottom w:val="single" w:sz="4" w:space="0" w:color="BFBFBF"/>
              <w:right w:val="single" w:sz="4" w:space="0" w:color="auto"/>
            </w:tcBorders>
            <w:shd w:val="clear" w:color="auto" w:fill="auto"/>
            <w:noWrap/>
            <w:vAlign w:val="center"/>
            <w:hideMark/>
          </w:tcPr>
          <w:p w14:paraId="76AA6FE1" w14:textId="77777777" w:rsidR="006D7E51" w:rsidRDefault="006D7E51">
            <w:pPr>
              <w:jc w:val="right"/>
              <w:rPr>
                <w:color w:val="000000"/>
                <w:sz w:val="20"/>
                <w:szCs w:val="20"/>
              </w:rPr>
            </w:pPr>
            <w:r>
              <w:rPr>
                <w:color w:val="000000"/>
                <w:sz w:val="20"/>
                <w:szCs w:val="20"/>
              </w:rPr>
              <w:t>-40 202</w:t>
            </w:r>
          </w:p>
        </w:tc>
        <w:tc>
          <w:tcPr>
            <w:tcW w:w="1145" w:type="dxa"/>
            <w:tcBorders>
              <w:top w:val="nil"/>
              <w:left w:val="nil"/>
              <w:bottom w:val="single" w:sz="4" w:space="0" w:color="BFBFBF"/>
              <w:right w:val="single" w:sz="4" w:space="0" w:color="auto"/>
            </w:tcBorders>
            <w:shd w:val="clear" w:color="auto" w:fill="auto"/>
            <w:noWrap/>
            <w:vAlign w:val="center"/>
            <w:hideMark/>
          </w:tcPr>
          <w:p w14:paraId="039310A4" w14:textId="77777777" w:rsidR="006D7E51" w:rsidRDefault="006D7E51">
            <w:pPr>
              <w:jc w:val="right"/>
              <w:rPr>
                <w:color w:val="000000"/>
                <w:sz w:val="20"/>
                <w:szCs w:val="20"/>
              </w:rPr>
            </w:pPr>
            <w:r>
              <w:rPr>
                <w:color w:val="000000"/>
                <w:sz w:val="20"/>
                <w:szCs w:val="20"/>
              </w:rPr>
              <w:t>16 552</w:t>
            </w:r>
          </w:p>
        </w:tc>
      </w:tr>
      <w:tr w:rsidR="006D7E51" w14:paraId="775B6D02"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4F1560A8"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0229F39D" w14:textId="77777777" w:rsidR="006D7E51" w:rsidRDefault="006D7E51">
            <w:pPr>
              <w:rPr>
                <w:sz w:val="20"/>
                <w:szCs w:val="20"/>
              </w:rPr>
            </w:pPr>
            <w:r>
              <w:rPr>
                <w:sz w:val="20"/>
                <w:szCs w:val="20"/>
              </w:rPr>
              <w:t>Finansiālā bilance</w:t>
            </w:r>
          </w:p>
        </w:tc>
        <w:tc>
          <w:tcPr>
            <w:tcW w:w="1295" w:type="dxa"/>
            <w:tcBorders>
              <w:top w:val="nil"/>
              <w:left w:val="nil"/>
              <w:bottom w:val="single" w:sz="4" w:space="0" w:color="BFBFBF"/>
              <w:right w:val="single" w:sz="4" w:space="0" w:color="auto"/>
            </w:tcBorders>
            <w:shd w:val="clear" w:color="auto" w:fill="auto"/>
            <w:noWrap/>
            <w:vAlign w:val="center"/>
            <w:hideMark/>
          </w:tcPr>
          <w:p w14:paraId="1E7374B3" w14:textId="77777777" w:rsidR="006D7E51" w:rsidRDefault="006D7E51">
            <w:pPr>
              <w:jc w:val="right"/>
              <w:rPr>
                <w:color w:val="000000"/>
                <w:sz w:val="20"/>
                <w:szCs w:val="20"/>
              </w:rPr>
            </w:pPr>
            <w:r>
              <w:rPr>
                <w:color w:val="000000"/>
                <w:sz w:val="20"/>
                <w:szCs w:val="20"/>
              </w:rPr>
              <w:t>-71 250</w:t>
            </w:r>
          </w:p>
        </w:tc>
        <w:tc>
          <w:tcPr>
            <w:tcW w:w="1123" w:type="dxa"/>
            <w:tcBorders>
              <w:top w:val="nil"/>
              <w:left w:val="nil"/>
              <w:bottom w:val="single" w:sz="4" w:space="0" w:color="BFBFBF"/>
              <w:right w:val="single" w:sz="4" w:space="0" w:color="auto"/>
            </w:tcBorders>
            <w:shd w:val="clear" w:color="auto" w:fill="auto"/>
            <w:noWrap/>
            <w:vAlign w:val="center"/>
            <w:hideMark/>
          </w:tcPr>
          <w:p w14:paraId="4E50C661" w14:textId="77777777" w:rsidR="006D7E51" w:rsidRDefault="006D7E51">
            <w:pPr>
              <w:jc w:val="right"/>
              <w:rPr>
                <w:color w:val="000000"/>
                <w:sz w:val="20"/>
                <w:szCs w:val="20"/>
              </w:rPr>
            </w:pPr>
            <w:r>
              <w:rPr>
                <w:color w:val="000000"/>
                <w:sz w:val="20"/>
                <w:szCs w:val="20"/>
              </w:rPr>
              <w:t>44 205</w:t>
            </w:r>
          </w:p>
        </w:tc>
        <w:tc>
          <w:tcPr>
            <w:tcW w:w="1145" w:type="dxa"/>
            <w:tcBorders>
              <w:top w:val="nil"/>
              <w:left w:val="nil"/>
              <w:bottom w:val="single" w:sz="4" w:space="0" w:color="BFBFBF"/>
              <w:right w:val="single" w:sz="4" w:space="0" w:color="auto"/>
            </w:tcBorders>
            <w:shd w:val="clear" w:color="auto" w:fill="auto"/>
            <w:noWrap/>
            <w:vAlign w:val="center"/>
            <w:hideMark/>
          </w:tcPr>
          <w:p w14:paraId="0BD74F6F" w14:textId="77777777" w:rsidR="006D7E51" w:rsidRDefault="006D7E51">
            <w:pPr>
              <w:jc w:val="right"/>
              <w:rPr>
                <w:color w:val="000000"/>
                <w:sz w:val="20"/>
                <w:szCs w:val="20"/>
              </w:rPr>
            </w:pPr>
            <w:r>
              <w:rPr>
                <w:color w:val="000000"/>
                <w:sz w:val="20"/>
                <w:szCs w:val="20"/>
              </w:rPr>
              <w:t>-27 045</w:t>
            </w:r>
          </w:p>
        </w:tc>
        <w:tc>
          <w:tcPr>
            <w:tcW w:w="1295" w:type="dxa"/>
            <w:tcBorders>
              <w:top w:val="nil"/>
              <w:left w:val="nil"/>
              <w:bottom w:val="single" w:sz="4" w:space="0" w:color="BFBFBF"/>
              <w:right w:val="single" w:sz="4" w:space="0" w:color="auto"/>
            </w:tcBorders>
            <w:shd w:val="clear" w:color="auto" w:fill="auto"/>
            <w:noWrap/>
            <w:vAlign w:val="center"/>
            <w:hideMark/>
          </w:tcPr>
          <w:p w14:paraId="5E0F00C8" w14:textId="77777777" w:rsidR="006D7E51" w:rsidRDefault="006D7E51">
            <w:pPr>
              <w:jc w:val="right"/>
              <w:rPr>
                <w:color w:val="000000"/>
                <w:sz w:val="20"/>
                <w:szCs w:val="20"/>
              </w:rPr>
            </w:pPr>
            <w:r>
              <w:rPr>
                <w:color w:val="000000"/>
                <w:sz w:val="20"/>
                <w:szCs w:val="20"/>
              </w:rPr>
              <w:t>-54 754</w:t>
            </w:r>
          </w:p>
        </w:tc>
        <w:tc>
          <w:tcPr>
            <w:tcW w:w="1123" w:type="dxa"/>
            <w:tcBorders>
              <w:top w:val="nil"/>
              <w:left w:val="nil"/>
              <w:bottom w:val="single" w:sz="4" w:space="0" w:color="BFBFBF"/>
              <w:right w:val="single" w:sz="4" w:space="0" w:color="auto"/>
            </w:tcBorders>
            <w:shd w:val="clear" w:color="auto" w:fill="auto"/>
            <w:noWrap/>
            <w:vAlign w:val="center"/>
            <w:hideMark/>
          </w:tcPr>
          <w:p w14:paraId="009DDFFD" w14:textId="77777777" w:rsidR="006D7E51" w:rsidRDefault="006D7E51">
            <w:pPr>
              <w:jc w:val="right"/>
              <w:rPr>
                <w:color w:val="000000"/>
                <w:sz w:val="20"/>
                <w:szCs w:val="20"/>
              </w:rPr>
            </w:pPr>
            <w:r>
              <w:rPr>
                <w:color w:val="000000"/>
                <w:sz w:val="20"/>
                <w:szCs w:val="20"/>
              </w:rPr>
              <w:t>34 628</w:t>
            </w:r>
          </w:p>
        </w:tc>
        <w:tc>
          <w:tcPr>
            <w:tcW w:w="1145" w:type="dxa"/>
            <w:tcBorders>
              <w:top w:val="nil"/>
              <w:left w:val="nil"/>
              <w:bottom w:val="single" w:sz="4" w:space="0" w:color="BFBFBF"/>
              <w:right w:val="single" w:sz="4" w:space="0" w:color="auto"/>
            </w:tcBorders>
            <w:shd w:val="clear" w:color="auto" w:fill="auto"/>
            <w:noWrap/>
            <w:vAlign w:val="center"/>
            <w:hideMark/>
          </w:tcPr>
          <w:p w14:paraId="43A68C88" w14:textId="77777777" w:rsidR="006D7E51" w:rsidRDefault="006D7E51">
            <w:pPr>
              <w:jc w:val="right"/>
              <w:rPr>
                <w:color w:val="000000"/>
                <w:sz w:val="20"/>
                <w:szCs w:val="20"/>
              </w:rPr>
            </w:pPr>
            <w:r>
              <w:rPr>
                <w:color w:val="000000"/>
                <w:sz w:val="20"/>
                <w:szCs w:val="20"/>
              </w:rPr>
              <w:t>-20 126</w:t>
            </w:r>
          </w:p>
        </w:tc>
        <w:tc>
          <w:tcPr>
            <w:tcW w:w="1295" w:type="dxa"/>
            <w:tcBorders>
              <w:top w:val="nil"/>
              <w:left w:val="nil"/>
              <w:bottom w:val="single" w:sz="4" w:space="0" w:color="BFBFBF"/>
              <w:right w:val="single" w:sz="4" w:space="0" w:color="auto"/>
            </w:tcBorders>
            <w:shd w:val="clear" w:color="auto" w:fill="auto"/>
            <w:noWrap/>
            <w:vAlign w:val="center"/>
            <w:hideMark/>
          </w:tcPr>
          <w:p w14:paraId="676A09E8" w14:textId="77777777" w:rsidR="006D7E51" w:rsidRDefault="006D7E51">
            <w:pPr>
              <w:jc w:val="right"/>
              <w:rPr>
                <w:color w:val="000000"/>
                <w:sz w:val="20"/>
                <w:szCs w:val="20"/>
              </w:rPr>
            </w:pPr>
            <w:r>
              <w:rPr>
                <w:color w:val="000000"/>
                <w:sz w:val="20"/>
                <w:szCs w:val="20"/>
              </w:rPr>
              <w:t>-54 754</w:t>
            </w:r>
          </w:p>
        </w:tc>
        <w:tc>
          <w:tcPr>
            <w:tcW w:w="1123" w:type="dxa"/>
            <w:tcBorders>
              <w:top w:val="nil"/>
              <w:left w:val="nil"/>
              <w:bottom w:val="single" w:sz="4" w:space="0" w:color="BFBFBF"/>
              <w:right w:val="single" w:sz="4" w:space="0" w:color="auto"/>
            </w:tcBorders>
            <w:shd w:val="clear" w:color="auto" w:fill="auto"/>
            <w:noWrap/>
            <w:vAlign w:val="center"/>
            <w:hideMark/>
          </w:tcPr>
          <w:p w14:paraId="6A0B000A" w14:textId="77777777" w:rsidR="006D7E51" w:rsidRDefault="006D7E51">
            <w:pPr>
              <w:jc w:val="right"/>
              <w:rPr>
                <w:color w:val="000000"/>
                <w:sz w:val="20"/>
                <w:szCs w:val="20"/>
              </w:rPr>
            </w:pPr>
            <w:r>
              <w:rPr>
                <w:color w:val="000000"/>
                <w:sz w:val="20"/>
                <w:szCs w:val="20"/>
              </w:rPr>
              <w:t>38 702</w:t>
            </w:r>
          </w:p>
        </w:tc>
        <w:tc>
          <w:tcPr>
            <w:tcW w:w="1145" w:type="dxa"/>
            <w:tcBorders>
              <w:top w:val="nil"/>
              <w:left w:val="nil"/>
              <w:bottom w:val="single" w:sz="4" w:space="0" w:color="BFBFBF"/>
              <w:right w:val="single" w:sz="4" w:space="0" w:color="auto"/>
            </w:tcBorders>
            <w:shd w:val="clear" w:color="auto" w:fill="auto"/>
            <w:noWrap/>
            <w:vAlign w:val="center"/>
            <w:hideMark/>
          </w:tcPr>
          <w:p w14:paraId="430D7C04" w14:textId="77777777" w:rsidR="006D7E51" w:rsidRDefault="006D7E51">
            <w:pPr>
              <w:jc w:val="right"/>
              <w:rPr>
                <w:color w:val="000000"/>
                <w:sz w:val="20"/>
                <w:szCs w:val="20"/>
              </w:rPr>
            </w:pPr>
            <w:r>
              <w:rPr>
                <w:color w:val="000000"/>
                <w:sz w:val="20"/>
                <w:szCs w:val="20"/>
              </w:rPr>
              <w:t>-16 052</w:t>
            </w:r>
          </w:p>
        </w:tc>
      </w:tr>
      <w:tr w:rsidR="006D7E51" w14:paraId="280CCB7C"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0971D17A" w14:textId="77777777" w:rsidR="006D7E51" w:rsidRDefault="006D7E51">
            <w:pPr>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6E7DF096" w14:textId="77777777" w:rsidR="006D7E51" w:rsidRDefault="006D7E51">
            <w:pPr>
              <w:rPr>
                <w:sz w:val="20"/>
                <w:szCs w:val="20"/>
              </w:rPr>
            </w:pPr>
            <w:r>
              <w:rPr>
                <w:sz w:val="20"/>
                <w:szCs w:val="20"/>
              </w:rPr>
              <w:t>Finansēšana</w:t>
            </w:r>
          </w:p>
        </w:tc>
        <w:tc>
          <w:tcPr>
            <w:tcW w:w="1295" w:type="dxa"/>
            <w:tcBorders>
              <w:top w:val="nil"/>
              <w:left w:val="nil"/>
              <w:bottom w:val="single" w:sz="4" w:space="0" w:color="BFBFBF"/>
              <w:right w:val="single" w:sz="4" w:space="0" w:color="auto"/>
            </w:tcBorders>
            <w:shd w:val="clear" w:color="auto" w:fill="auto"/>
            <w:noWrap/>
            <w:vAlign w:val="center"/>
            <w:hideMark/>
          </w:tcPr>
          <w:p w14:paraId="70839E54" w14:textId="77777777" w:rsidR="006D7E51" w:rsidRDefault="006D7E51">
            <w:pPr>
              <w:jc w:val="right"/>
              <w:rPr>
                <w:color w:val="000000"/>
                <w:sz w:val="20"/>
                <w:szCs w:val="20"/>
              </w:rPr>
            </w:pPr>
            <w:r>
              <w:rPr>
                <w:color w:val="000000"/>
                <w:sz w:val="20"/>
                <w:szCs w:val="20"/>
              </w:rPr>
              <w:t>71 250</w:t>
            </w:r>
          </w:p>
        </w:tc>
        <w:tc>
          <w:tcPr>
            <w:tcW w:w="1123" w:type="dxa"/>
            <w:tcBorders>
              <w:top w:val="nil"/>
              <w:left w:val="nil"/>
              <w:bottom w:val="single" w:sz="4" w:space="0" w:color="BFBFBF"/>
              <w:right w:val="single" w:sz="4" w:space="0" w:color="auto"/>
            </w:tcBorders>
            <w:shd w:val="clear" w:color="auto" w:fill="auto"/>
            <w:noWrap/>
            <w:vAlign w:val="center"/>
            <w:hideMark/>
          </w:tcPr>
          <w:p w14:paraId="045DF5D4" w14:textId="77777777" w:rsidR="006D7E51" w:rsidRDefault="006D7E51">
            <w:pPr>
              <w:jc w:val="right"/>
              <w:rPr>
                <w:color w:val="000000"/>
                <w:sz w:val="20"/>
                <w:szCs w:val="20"/>
              </w:rPr>
            </w:pPr>
            <w:r>
              <w:rPr>
                <w:color w:val="000000"/>
                <w:sz w:val="20"/>
                <w:szCs w:val="20"/>
              </w:rPr>
              <w:t>-44 205</w:t>
            </w:r>
          </w:p>
        </w:tc>
        <w:tc>
          <w:tcPr>
            <w:tcW w:w="1145" w:type="dxa"/>
            <w:tcBorders>
              <w:top w:val="nil"/>
              <w:left w:val="nil"/>
              <w:bottom w:val="single" w:sz="4" w:space="0" w:color="BFBFBF"/>
              <w:right w:val="single" w:sz="4" w:space="0" w:color="auto"/>
            </w:tcBorders>
            <w:shd w:val="clear" w:color="auto" w:fill="auto"/>
            <w:noWrap/>
            <w:vAlign w:val="center"/>
            <w:hideMark/>
          </w:tcPr>
          <w:p w14:paraId="23AC7C7E" w14:textId="77777777" w:rsidR="006D7E51" w:rsidRDefault="006D7E51">
            <w:pPr>
              <w:jc w:val="right"/>
              <w:rPr>
                <w:color w:val="000000"/>
                <w:sz w:val="20"/>
                <w:szCs w:val="20"/>
              </w:rPr>
            </w:pPr>
            <w:r>
              <w:rPr>
                <w:color w:val="000000"/>
                <w:sz w:val="20"/>
                <w:szCs w:val="20"/>
              </w:rPr>
              <w:t>27 045</w:t>
            </w:r>
          </w:p>
        </w:tc>
        <w:tc>
          <w:tcPr>
            <w:tcW w:w="1295" w:type="dxa"/>
            <w:tcBorders>
              <w:top w:val="nil"/>
              <w:left w:val="nil"/>
              <w:bottom w:val="single" w:sz="4" w:space="0" w:color="BFBFBF"/>
              <w:right w:val="single" w:sz="4" w:space="0" w:color="auto"/>
            </w:tcBorders>
            <w:shd w:val="clear" w:color="auto" w:fill="auto"/>
            <w:noWrap/>
            <w:vAlign w:val="center"/>
            <w:hideMark/>
          </w:tcPr>
          <w:p w14:paraId="2B30A346" w14:textId="77777777" w:rsidR="006D7E51" w:rsidRDefault="006D7E51">
            <w:pPr>
              <w:jc w:val="right"/>
              <w:rPr>
                <w:color w:val="000000"/>
                <w:sz w:val="20"/>
                <w:szCs w:val="20"/>
              </w:rPr>
            </w:pPr>
            <w:r>
              <w:rPr>
                <w:color w:val="000000"/>
                <w:sz w:val="20"/>
                <w:szCs w:val="20"/>
              </w:rPr>
              <w:t>54 754</w:t>
            </w:r>
          </w:p>
        </w:tc>
        <w:tc>
          <w:tcPr>
            <w:tcW w:w="1123" w:type="dxa"/>
            <w:tcBorders>
              <w:top w:val="nil"/>
              <w:left w:val="nil"/>
              <w:bottom w:val="single" w:sz="4" w:space="0" w:color="BFBFBF"/>
              <w:right w:val="single" w:sz="4" w:space="0" w:color="auto"/>
            </w:tcBorders>
            <w:shd w:val="clear" w:color="auto" w:fill="auto"/>
            <w:noWrap/>
            <w:vAlign w:val="center"/>
            <w:hideMark/>
          </w:tcPr>
          <w:p w14:paraId="03F4826F" w14:textId="77777777" w:rsidR="006D7E51" w:rsidRDefault="006D7E51">
            <w:pPr>
              <w:jc w:val="right"/>
              <w:rPr>
                <w:color w:val="000000"/>
                <w:sz w:val="20"/>
                <w:szCs w:val="20"/>
              </w:rPr>
            </w:pPr>
            <w:r>
              <w:rPr>
                <w:color w:val="000000"/>
                <w:sz w:val="20"/>
                <w:szCs w:val="20"/>
              </w:rPr>
              <w:t>-34 628</w:t>
            </w:r>
          </w:p>
        </w:tc>
        <w:tc>
          <w:tcPr>
            <w:tcW w:w="1145" w:type="dxa"/>
            <w:tcBorders>
              <w:top w:val="nil"/>
              <w:left w:val="nil"/>
              <w:bottom w:val="single" w:sz="4" w:space="0" w:color="BFBFBF"/>
              <w:right w:val="single" w:sz="4" w:space="0" w:color="auto"/>
            </w:tcBorders>
            <w:shd w:val="clear" w:color="auto" w:fill="auto"/>
            <w:noWrap/>
            <w:vAlign w:val="center"/>
            <w:hideMark/>
          </w:tcPr>
          <w:p w14:paraId="563C932C" w14:textId="77777777" w:rsidR="006D7E51" w:rsidRDefault="006D7E51">
            <w:pPr>
              <w:jc w:val="right"/>
              <w:rPr>
                <w:color w:val="000000"/>
                <w:sz w:val="20"/>
                <w:szCs w:val="20"/>
              </w:rPr>
            </w:pPr>
            <w:r>
              <w:rPr>
                <w:color w:val="000000"/>
                <w:sz w:val="20"/>
                <w:szCs w:val="20"/>
              </w:rPr>
              <w:t>20 126</w:t>
            </w:r>
          </w:p>
        </w:tc>
        <w:tc>
          <w:tcPr>
            <w:tcW w:w="1295" w:type="dxa"/>
            <w:tcBorders>
              <w:top w:val="nil"/>
              <w:left w:val="nil"/>
              <w:bottom w:val="single" w:sz="4" w:space="0" w:color="BFBFBF"/>
              <w:right w:val="single" w:sz="4" w:space="0" w:color="auto"/>
            </w:tcBorders>
            <w:shd w:val="clear" w:color="auto" w:fill="auto"/>
            <w:noWrap/>
            <w:vAlign w:val="center"/>
            <w:hideMark/>
          </w:tcPr>
          <w:p w14:paraId="6CE6D753" w14:textId="77777777" w:rsidR="006D7E51" w:rsidRDefault="006D7E51">
            <w:pPr>
              <w:jc w:val="right"/>
              <w:rPr>
                <w:color w:val="000000"/>
                <w:sz w:val="20"/>
                <w:szCs w:val="20"/>
              </w:rPr>
            </w:pPr>
            <w:r>
              <w:rPr>
                <w:color w:val="000000"/>
                <w:sz w:val="20"/>
                <w:szCs w:val="20"/>
              </w:rPr>
              <w:t>54 754</w:t>
            </w:r>
          </w:p>
        </w:tc>
        <w:tc>
          <w:tcPr>
            <w:tcW w:w="1123" w:type="dxa"/>
            <w:tcBorders>
              <w:top w:val="nil"/>
              <w:left w:val="nil"/>
              <w:bottom w:val="single" w:sz="4" w:space="0" w:color="BFBFBF"/>
              <w:right w:val="single" w:sz="4" w:space="0" w:color="auto"/>
            </w:tcBorders>
            <w:shd w:val="clear" w:color="auto" w:fill="auto"/>
            <w:noWrap/>
            <w:vAlign w:val="center"/>
            <w:hideMark/>
          </w:tcPr>
          <w:p w14:paraId="6EDF6AE8" w14:textId="77777777" w:rsidR="006D7E51" w:rsidRDefault="006D7E51">
            <w:pPr>
              <w:jc w:val="right"/>
              <w:rPr>
                <w:color w:val="000000"/>
                <w:sz w:val="20"/>
                <w:szCs w:val="20"/>
              </w:rPr>
            </w:pPr>
            <w:r>
              <w:rPr>
                <w:color w:val="000000"/>
                <w:sz w:val="20"/>
                <w:szCs w:val="20"/>
              </w:rPr>
              <w:t>-38 702</w:t>
            </w:r>
          </w:p>
        </w:tc>
        <w:tc>
          <w:tcPr>
            <w:tcW w:w="1145" w:type="dxa"/>
            <w:tcBorders>
              <w:top w:val="nil"/>
              <w:left w:val="nil"/>
              <w:bottom w:val="single" w:sz="4" w:space="0" w:color="BFBFBF"/>
              <w:right w:val="single" w:sz="4" w:space="0" w:color="auto"/>
            </w:tcBorders>
            <w:shd w:val="clear" w:color="auto" w:fill="auto"/>
            <w:noWrap/>
            <w:vAlign w:val="center"/>
            <w:hideMark/>
          </w:tcPr>
          <w:p w14:paraId="0C154BE2" w14:textId="77777777" w:rsidR="006D7E51" w:rsidRDefault="006D7E51">
            <w:pPr>
              <w:jc w:val="right"/>
              <w:rPr>
                <w:color w:val="000000"/>
                <w:sz w:val="20"/>
                <w:szCs w:val="20"/>
              </w:rPr>
            </w:pPr>
            <w:r>
              <w:rPr>
                <w:color w:val="000000"/>
                <w:sz w:val="20"/>
                <w:szCs w:val="20"/>
              </w:rPr>
              <w:t>16 052</w:t>
            </w:r>
          </w:p>
        </w:tc>
      </w:tr>
      <w:tr w:rsidR="006D7E51" w14:paraId="79B2D4AE" w14:textId="77777777" w:rsidTr="006D7E51">
        <w:trPr>
          <w:trHeight w:val="240"/>
        </w:trPr>
        <w:tc>
          <w:tcPr>
            <w:tcW w:w="1144" w:type="dxa"/>
            <w:tcBorders>
              <w:top w:val="nil"/>
              <w:left w:val="single" w:sz="4" w:space="0" w:color="auto"/>
              <w:bottom w:val="single" w:sz="4" w:space="0" w:color="BFBFBF"/>
              <w:right w:val="single" w:sz="4" w:space="0" w:color="auto"/>
            </w:tcBorders>
            <w:shd w:val="clear" w:color="auto" w:fill="auto"/>
            <w:noWrap/>
            <w:vAlign w:val="center"/>
            <w:hideMark/>
          </w:tcPr>
          <w:p w14:paraId="0DE7183C" w14:textId="77777777" w:rsidR="006D7E51" w:rsidRDefault="006D7E51">
            <w:pPr>
              <w:ind w:firstLineChars="100" w:firstLine="200"/>
              <w:rPr>
                <w:sz w:val="20"/>
                <w:szCs w:val="20"/>
              </w:rPr>
            </w:pPr>
            <w:r>
              <w:rPr>
                <w:sz w:val="20"/>
                <w:szCs w:val="20"/>
              </w:rPr>
              <w:t> </w:t>
            </w:r>
          </w:p>
        </w:tc>
        <w:tc>
          <w:tcPr>
            <w:tcW w:w="2499" w:type="dxa"/>
            <w:tcBorders>
              <w:top w:val="nil"/>
              <w:left w:val="nil"/>
              <w:bottom w:val="single" w:sz="4" w:space="0" w:color="BFBFBF"/>
              <w:right w:val="single" w:sz="4" w:space="0" w:color="auto"/>
            </w:tcBorders>
            <w:shd w:val="clear" w:color="auto" w:fill="auto"/>
            <w:vAlign w:val="center"/>
            <w:hideMark/>
          </w:tcPr>
          <w:p w14:paraId="75997482" w14:textId="77777777" w:rsidR="006D7E51" w:rsidRDefault="006D7E51">
            <w:pPr>
              <w:rPr>
                <w:sz w:val="20"/>
                <w:szCs w:val="20"/>
              </w:rPr>
            </w:pPr>
            <w:r>
              <w:rPr>
                <w:sz w:val="20"/>
                <w:szCs w:val="20"/>
              </w:rPr>
              <w:t>Naudas līdzekļi</w:t>
            </w:r>
          </w:p>
        </w:tc>
        <w:tc>
          <w:tcPr>
            <w:tcW w:w="1295" w:type="dxa"/>
            <w:tcBorders>
              <w:top w:val="nil"/>
              <w:left w:val="nil"/>
              <w:bottom w:val="single" w:sz="4" w:space="0" w:color="BFBFBF"/>
              <w:right w:val="single" w:sz="4" w:space="0" w:color="auto"/>
            </w:tcBorders>
            <w:shd w:val="clear" w:color="auto" w:fill="auto"/>
            <w:noWrap/>
            <w:vAlign w:val="center"/>
            <w:hideMark/>
          </w:tcPr>
          <w:p w14:paraId="1B17A0B5" w14:textId="77777777" w:rsidR="006D7E51" w:rsidRDefault="006D7E51">
            <w:pPr>
              <w:jc w:val="right"/>
              <w:rPr>
                <w:color w:val="000000"/>
                <w:sz w:val="20"/>
                <w:szCs w:val="20"/>
              </w:rPr>
            </w:pPr>
            <w:r>
              <w:rPr>
                <w:color w:val="000000"/>
                <w:sz w:val="20"/>
                <w:szCs w:val="20"/>
              </w:rPr>
              <w:t>71 250</w:t>
            </w:r>
          </w:p>
        </w:tc>
        <w:tc>
          <w:tcPr>
            <w:tcW w:w="1123" w:type="dxa"/>
            <w:tcBorders>
              <w:top w:val="nil"/>
              <w:left w:val="nil"/>
              <w:bottom w:val="single" w:sz="4" w:space="0" w:color="BFBFBF"/>
              <w:right w:val="single" w:sz="4" w:space="0" w:color="auto"/>
            </w:tcBorders>
            <w:shd w:val="clear" w:color="auto" w:fill="auto"/>
            <w:noWrap/>
            <w:vAlign w:val="center"/>
            <w:hideMark/>
          </w:tcPr>
          <w:p w14:paraId="747CEE6E" w14:textId="77777777" w:rsidR="006D7E51" w:rsidRDefault="006D7E51">
            <w:pPr>
              <w:jc w:val="right"/>
              <w:rPr>
                <w:color w:val="000000"/>
                <w:sz w:val="20"/>
                <w:szCs w:val="20"/>
              </w:rPr>
            </w:pPr>
            <w:r>
              <w:rPr>
                <w:color w:val="000000"/>
                <w:sz w:val="20"/>
                <w:szCs w:val="20"/>
              </w:rPr>
              <w:t>-44 205</w:t>
            </w:r>
          </w:p>
        </w:tc>
        <w:tc>
          <w:tcPr>
            <w:tcW w:w="1145" w:type="dxa"/>
            <w:tcBorders>
              <w:top w:val="nil"/>
              <w:left w:val="nil"/>
              <w:bottom w:val="single" w:sz="4" w:space="0" w:color="BFBFBF"/>
              <w:right w:val="single" w:sz="4" w:space="0" w:color="auto"/>
            </w:tcBorders>
            <w:shd w:val="clear" w:color="auto" w:fill="auto"/>
            <w:noWrap/>
            <w:vAlign w:val="center"/>
            <w:hideMark/>
          </w:tcPr>
          <w:p w14:paraId="77D3F861" w14:textId="77777777" w:rsidR="006D7E51" w:rsidRDefault="006D7E51">
            <w:pPr>
              <w:jc w:val="right"/>
              <w:rPr>
                <w:color w:val="000000"/>
                <w:sz w:val="20"/>
                <w:szCs w:val="20"/>
              </w:rPr>
            </w:pPr>
            <w:r>
              <w:rPr>
                <w:color w:val="000000"/>
                <w:sz w:val="20"/>
                <w:szCs w:val="20"/>
              </w:rPr>
              <w:t>27 045</w:t>
            </w:r>
          </w:p>
        </w:tc>
        <w:tc>
          <w:tcPr>
            <w:tcW w:w="1295" w:type="dxa"/>
            <w:tcBorders>
              <w:top w:val="nil"/>
              <w:left w:val="nil"/>
              <w:bottom w:val="single" w:sz="4" w:space="0" w:color="BFBFBF"/>
              <w:right w:val="single" w:sz="4" w:space="0" w:color="auto"/>
            </w:tcBorders>
            <w:shd w:val="clear" w:color="auto" w:fill="auto"/>
            <w:noWrap/>
            <w:vAlign w:val="center"/>
            <w:hideMark/>
          </w:tcPr>
          <w:p w14:paraId="19EC9C59" w14:textId="77777777" w:rsidR="006D7E51" w:rsidRDefault="006D7E51">
            <w:pPr>
              <w:jc w:val="right"/>
              <w:rPr>
                <w:color w:val="000000"/>
                <w:sz w:val="20"/>
                <w:szCs w:val="20"/>
              </w:rPr>
            </w:pPr>
            <w:r>
              <w:rPr>
                <w:color w:val="000000"/>
                <w:sz w:val="20"/>
                <w:szCs w:val="20"/>
              </w:rPr>
              <w:t>54 754</w:t>
            </w:r>
          </w:p>
        </w:tc>
        <w:tc>
          <w:tcPr>
            <w:tcW w:w="1123" w:type="dxa"/>
            <w:tcBorders>
              <w:top w:val="nil"/>
              <w:left w:val="nil"/>
              <w:bottom w:val="single" w:sz="4" w:space="0" w:color="BFBFBF"/>
              <w:right w:val="single" w:sz="4" w:space="0" w:color="auto"/>
            </w:tcBorders>
            <w:shd w:val="clear" w:color="auto" w:fill="auto"/>
            <w:noWrap/>
            <w:vAlign w:val="center"/>
            <w:hideMark/>
          </w:tcPr>
          <w:p w14:paraId="2536C698" w14:textId="77777777" w:rsidR="006D7E51" w:rsidRDefault="006D7E51">
            <w:pPr>
              <w:jc w:val="right"/>
              <w:rPr>
                <w:color w:val="000000"/>
                <w:sz w:val="20"/>
                <w:szCs w:val="20"/>
              </w:rPr>
            </w:pPr>
            <w:r>
              <w:rPr>
                <w:color w:val="000000"/>
                <w:sz w:val="20"/>
                <w:szCs w:val="20"/>
              </w:rPr>
              <w:t>-34 628</w:t>
            </w:r>
          </w:p>
        </w:tc>
        <w:tc>
          <w:tcPr>
            <w:tcW w:w="1145" w:type="dxa"/>
            <w:tcBorders>
              <w:top w:val="nil"/>
              <w:left w:val="nil"/>
              <w:bottom w:val="single" w:sz="4" w:space="0" w:color="BFBFBF"/>
              <w:right w:val="single" w:sz="4" w:space="0" w:color="auto"/>
            </w:tcBorders>
            <w:shd w:val="clear" w:color="auto" w:fill="auto"/>
            <w:noWrap/>
            <w:vAlign w:val="center"/>
            <w:hideMark/>
          </w:tcPr>
          <w:p w14:paraId="416D7AE7" w14:textId="77777777" w:rsidR="006D7E51" w:rsidRDefault="006D7E51">
            <w:pPr>
              <w:jc w:val="right"/>
              <w:rPr>
                <w:color w:val="000000"/>
                <w:sz w:val="20"/>
                <w:szCs w:val="20"/>
              </w:rPr>
            </w:pPr>
            <w:r>
              <w:rPr>
                <w:color w:val="000000"/>
                <w:sz w:val="20"/>
                <w:szCs w:val="20"/>
              </w:rPr>
              <w:t>20 126</w:t>
            </w:r>
          </w:p>
        </w:tc>
        <w:tc>
          <w:tcPr>
            <w:tcW w:w="1295" w:type="dxa"/>
            <w:tcBorders>
              <w:top w:val="nil"/>
              <w:left w:val="nil"/>
              <w:bottom w:val="single" w:sz="4" w:space="0" w:color="BFBFBF"/>
              <w:right w:val="single" w:sz="4" w:space="0" w:color="auto"/>
            </w:tcBorders>
            <w:shd w:val="clear" w:color="auto" w:fill="auto"/>
            <w:noWrap/>
            <w:vAlign w:val="center"/>
            <w:hideMark/>
          </w:tcPr>
          <w:p w14:paraId="2010C6E9" w14:textId="77777777" w:rsidR="006D7E51" w:rsidRDefault="006D7E51">
            <w:pPr>
              <w:jc w:val="right"/>
              <w:rPr>
                <w:color w:val="000000"/>
                <w:sz w:val="20"/>
                <w:szCs w:val="20"/>
              </w:rPr>
            </w:pPr>
            <w:r>
              <w:rPr>
                <w:color w:val="000000"/>
                <w:sz w:val="20"/>
                <w:szCs w:val="20"/>
              </w:rPr>
              <w:t>54 754</w:t>
            </w:r>
          </w:p>
        </w:tc>
        <w:tc>
          <w:tcPr>
            <w:tcW w:w="1123" w:type="dxa"/>
            <w:tcBorders>
              <w:top w:val="nil"/>
              <w:left w:val="nil"/>
              <w:bottom w:val="single" w:sz="4" w:space="0" w:color="BFBFBF"/>
              <w:right w:val="single" w:sz="4" w:space="0" w:color="auto"/>
            </w:tcBorders>
            <w:shd w:val="clear" w:color="auto" w:fill="auto"/>
            <w:noWrap/>
            <w:vAlign w:val="center"/>
            <w:hideMark/>
          </w:tcPr>
          <w:p w14:paraId="3EABAE10" w14:textId="77777777" w:rsidR="006D7E51" w:rsidRDefault="006D7E51">
            <w:pPr>
              <w:jc w:val="right"/>
              <w:rPr>
                <w:color w:val="000000"/>
                <w:sz w:val="20"/>
                <w:szCs w:val="20"/>
              </w:rPr>
            </w:pPr>
            <w:r>
              <w:rPr>
                <w:color w:val="000000"/>
                <w:sz w:val="20"/>
                <w:szCs w:val="20"/>
              </w:rPr>
              <w:t>-38 702</w:t>
            </w:r>
          </w:p>
        </w:tc>
        <w:tc>
          <w:tcPr>
            <w:tcW w:w="1145" w:type="dxa"/>
            <w:tcBorders>
              <w:top w:val="nil"/>
              <w:left w:val="nil"/>
              <w:bottom w:val="single" w:sz="4" w:space="0" w:color="BFBFBF"/>
              <w:right w:val="single" w:sz="4" w:space="0" w:color="auto"/>
            </w:tcBorders>
            <w:shd w:val="clear" w:color="auto" w:fill="auto"/>
            <w:noWrap/>
            <w:vAlign w:val="center"/>
            <w:hideMark/>
          </w:tcPr>
          <w:p w14:paraId="5B417859" w14:textId="77777777" w:rsidR="006D7E51" w:rsidRDefault="006D7E51">
            <w:pPr>
              <w:jc w:val="right"/>
              <w:rPr>
                <w:color w:val="000000"/>
                <w:sz w:val="20"/>
                <w:szCs w:val="20"/>
              </w:rPr>
            </w:pPr>
            <w:r>
              <w:rPr>
                <w:color w:val="000000"/>
                <w:sz w:val="20"/>
                <w:szCs w:val="20"/>
              </w:rPr>
              <w:t>16 052</w:t>
            </w:r>
          </w:p>
        </w:tc>
      </w:tr>
      <w:tr w:rsidR="006D7E51" w14:paraId="4C05DE4B" w14:textId="77777777" w:rsidTr="006D7E51">
        <w:trPr>
          <w:trHeight w:val="980"/>
        </w:trPr>
        <w:tc>
          <w:tcPr>
            <w:tcW w:w="1144" w:type="dxa"/>
            <w:tcBorders>
              <w:top w:val="nil"/>
              <w:left w:val="single" w:sz="4" w:space="0" w:color="auto"/>
              <w:bottom w:val="nil"/>
              <w:right w:val="single" w:sz="4" w:space="0" w:color="auto"/>
            </w:tcBorders>
            <w:shd w:val="clear" w:color="auto" w:fill="auto"/>
            <w:noWrap/>
            <w:vAlign w:val="center"/>
            <w:hideMark/>
          </w:tcPr>
          <w:p w14:paraId="5C961C0F" w14:textId="77777777" w:rsidR="006D7E51" w:rsidRDefault="006D7E51">
            <w:pPr>
              <w:ind w:firstLineChars="200" w:firstLine="400"/>
              <w:rPr>
                <w:sz w:val="20"/>
                <w:szCs w:val="20"/>
              </w:rPr>
            </w:pPr>
            <w:r>
              <w:rPr>
                <w:sz w:val="20"/>
                <w:szCs w:val="20"/>
              </w:rPr>
              <w:t> </w:t>
            </w:r>
          </w:p>
        </w:tc>
        <w:tc>
          <w:tcPr>
            <w:tcW w:w="2499" w:type="dxa"/>
            <w:tcBorders>
              <w:top w:val="nil"/>
              <w:left w:val="nil"/>
              <w:bottom w:val="nil"/>
              <w:right w:val="single" w:sz="4" w:space="0" w:color="auto"/>
            </w:tcBorders>
            <w:shd w:val="clear" w:color="auto" w:fill="auto"/>
            <w:vAlign w:val="center"/>
            <w:hideMark/>
          </w:tcPr>
          <w:p w14:paraId="05BF473E" w14:textId="77777777" w:rsidR="006D7E51" w:rsidRDefault="006D7E51">
            <w:pPr>
              <w:rPr>
                <w:sz w:val="20"/>
                <w:szCs w:val="20"/>
              </w:rPr>
            </w:pPr>
            <w:r>
              <w:rPr>
                <w:sz w:val="20"/>
                <w:szCs w:val="20"/>
              </w:rPr>
              <w:t>Maksas pakalpojumu un citu pašu ieņēmumu naudas līdzekļu atlikumu izmaiņas palielinājums (-) vai samazinājums (+)</w:t>
            </w:r>
          </w:p>
        </w:tc>
        <w:tc>
          <w:tcPr>
            <w:tcW w:w="1295" w:type="dxa"/>
            <w:tcBorders>
              <w:top w:val="nil"/>
              <w:left w:val="nil"/>
              <w:bottom w:val="nil"/>
              <w:right w:val="single" w:sz="4" w:space="0" w:color="auto"/>
            </w:tcBorders>
            <w:shd w:val="clear" w:color="auto" w:fill="auto"/>
            <w:noWrap/>
            <w:vAlign w:val="center"/>
            <w:hideMark/>
          </w:tcPr>
          <w:p w14:paraId="161CB632" w14:textId="77777777" w:rsidR="006D7E51" w:rsidRDefault="006D7E51">
            <w:pPr>
              <w:jc w:val="right"/>
              <w:rPr>
                <w:color w:val="000000"/>
                <w:sz w:val="20"/>
                <w:szCs w:val="20"/>
              </w:rPr>
            </w:pPr>
            <w:r>
              <w:rPr>
                <w:color w:val="000000"/>
                <w:sz w:val="20"/>
                <w:szCs w:val="20"/>
              </w:rPr>
              <w:t>71 250</w:t>
            </w:r>
          </w:p>
        </w:tc>
        <w:tc>
          <w:tcPr>
            <w:tcW w:w="1123" w:type="dxa"/>
            <w:tcBorders>
              <w:top w:val="nil"/>
              <w:left w:val="nil"/>
              <w:bottom w:val="single" w:sz="4" w:space="0" w:color="BFBFBF"/>
              <w:right w:val="single" w:sz="4" w:space="0" w:color="auto"/>
            </w:tcBorders>
            <w:shd w:val="clear" w:color="auto" w:fill="auto"/>
            <w:noWrap/>
            <w:vAlign w:val="center"/>
            <w:hideMark/>
          </w:tcPr>
          <w:p w14:paraId="66865721" w14:textId="77777777" w:rsidR="006D7E51" w:rsidRDefault="006D7E51">
            <w:pPr>
              <w:jc w:val="right"/>
              <w:rPr>
                <w:color w:val="000000"/>
                <w:sz w:val="20"/>
                <w:szCs w:val="20"/>
              </w:rPr>
            </w:pPr>
            <w:r>
              <w:rPr>
                <w:color w:val="000000"/>
                <w:sz w:val="20"/>
                <w:szCs w:val="20"/>
              </w:rPr>
              <w:t>-44 205</w:t>
            </w:r>
          </w:p>
        </w:tc>
        <w:tc>
          <w:tcPr>
            <w:tcW w:w="1145" w:type="dxa"/>
            <w:tcBorders>
              <w:top w:val="nil"/>
              <w:left w:val="nil"/>
              <w:bottom w:val="nil"/>
              <w:right w:val="single" w:sz="4" w:space="0" w:color="auto"/>
            </w:tcBorders>
            <w:shd w:val="clear" w:color="auto" w:fill="auto"/>
            <w:noWrap/>
            <w:vAlign w:val="center"/>
            <w:hideMark/>
          </w:tcPr>
          <w:p w14:paraId="4AC98B51" w14:textId="77777777" w:rsidR="006D7E51" w:rsidRDefault="006D7E51">
            <w:pPr>
              <w:jc w:val="right"/>
              <w:rPr>
                <w:color w:val="000000"/>
                <w:sz w:val="20"/>
                <w:szCs w:val="20"/>
              </w:rPr>
            </w:pPr>
            <w:r>
              <w:rPr>
                <w:color w:val="000000"/>
                <w:sz w:val="20"/>
                <w:szCs w:val="20"/>
              </w:rPr>
              <w:t>27 045</w:t>
            </w:r>
          </w:p>
        </w:tc>
        <w:tc>
          <w:tcPr>
            <w:tcW w:w="1295" w:type="dxa"/>
            <w:tcBorders>
              <w:top w:val="nil"/>
              <w:left w:val="nil"/>
              <w:bottom w:val="nil"/>
              <w:right w:val="single" w:sz="4" w:space="0" w:color="auto"/>
            </w:tcBorders>
            <w:shd w:val="clear" w:color="auto" w:fill="auto"/>
            <w:noWrap/>
            <w:vAlign w:val="center"/>
            <w:hideMark/>
          </w:tcPr>
          <w:p w14:paraId="30F285B5" w14:textId="77777777" w:rsidR="006D7E51" w:rsidRDefault="006D7E51">
            <w:pPr>
              <w:jc w:val="right"/>
              <w:rPr>
                <w:color w:val="000000"/>
                <w:sz w:val="20"/>
                <w:szCs w:val="20"/>
              </w:rPr>
            </w:pPr>
            <w:r>
              <w:rPr>
                <w:color w:val="000000"/>
                <w:sz w:val="20"/>
                <w:szCs w:val="20"/>
              </w:rPr>
              <w:t>54 754</w:t>
            </w:r>
          </w:p>
        </w:tc>
        <w:tc>
          <w:tcPr>
            <w:tcW w:w="1123" w:type="dxa"/>
            <w:tcBorders>
              <w:top w:val="nil"/>
              <w:left w:val="nil"/>
              <w:bottom w:val="nil"/>
              <w:right w:val="single" w:sz="4" w:space="0" w:color="auto"/>
            </w:tcBorders>
            <w:shd w:val="clear" w:color="auto" w:fill="auto"/>
            <w:noWrap/>
            <w:vAlign w:val="center"/>
            <w:hideMark/>
          </w:tcPr>
          <w:p w14:paraId="63003E14" w14:textId="77777777" w:rsidR="006D7E51" w:rsidRDefault="006D7E51">
            <w:pPr>
              <w:jc w:val="right"/>
              <w:rPr>
                <w:color w:val="000000"/>
                <w:sz w:val="20"/>
                <w:szCs w:val="20"/>
              </w:rPr>
            </w:pPr>
            <w:r>
              <w:rPr>
                <w:color w:val="000000"/>
                <w:sz w:val="20"/>
                <w:szCs w:val="20"/>
              </w:rPr>
              <w:t>-34 628</w:t>
            </w:r>
          </w:p>
        </w:tc>
        <w:tc>
          <w:tcPr>
            <w:tcW w:w="1145" w:type="dxa"/>
            <w:tcBorders>
              <w:top w:val="nil"/>
              <w:left w:val="nil"/>
              <w:bottom w:val="nil"/>
              <w:right w:val="single" w:sz="4" w:space="0" w:color="auto"/>
            </w:tcBorders>
            <w:shd w:val="clear" w:color="auto" w:fill="auto"/>
            <w:noWrap/>
            <w:vAlign w:val="center"/>
            <w:hideMark/>
          </w:tcPr>
          <w:p w14:paraId="1B5A707E" w14:textId="77777777" w:rsidR="006D7E51" w:rsidRDefault="006D7E51">
            <w:pPr>
              <w:jc w:val="right"/>
              <w:rPr>
                <w:color w:val="000000"/>
                <w:sz w:val="20"/>
                <w:szCs w:val="20"/>
              </w:rPr>
            </w:pPr>
            <w:r>
              <w:rPr>
                <w:color w:val="000000"/>
                <w:sz w:val="20"/>
                <w:szCs w:val="20"/>
              </w:rPr>
              <w:t>20 126</w:t>
            </w:r>
          </w:p>
        </w:tc>
        <w:tc>
          <w:tcPr>
            <w:tcW w:w="1295" w:type="dxa"/>
            <w:tcBorders>
              <w:top w:val="nil"/>
              <w:left w:val="nil"/>
              <w:bottom w:val="nil"/>
              <w:right w:val="single" w:sz="4" w:space="0" w:color="auto"/>
            </w:tcBorders>
            <w:shd w:val="clear" w:color="auto" w:fill="auto"/>
            <w:noWrap/>
            <w:vAlign w:val="center"/>
            <w:hideMark/>
          </w:tcPr>
          <w:p w14:paraId="779A4279" w14:textId="77777777" w:rsidR="006D7E51" w:rsidRDefault="006D7E51">
            <w:pPr>
              <w:jc w:val="right"/>
              <w:rPr>
                <w:color w:val="000000"/>
                <w:sz w:val="20"/>
                <w:szCs w:val="20"/>
              </w:rPr>
            </w:pPr>
            <w:r>
              <w:rPr>
                <w:color w:val="000000"/>
                <w:sz w:val="20"/>
                <w:szCs w:val="20"/>
              </w:rPr>
              <w:t>54 754</w:t>
            </w:r>
          </w:p>
        </w:tc>
        <w:tc>
          <w:tcPr>
            <w:tcW w:w="1123" w:type="dxa"/>
            <w:tcBorders>
              <w:top w:val="nil"/>
              <w:left w:val="nil"/>
              <w:bottom w:val="nil"/>
              <w:right w:val="single" w:sz="4" w:space="0" w:color="auto"/>
            </w:tcBorders>
            <w:shd w:val="clear" w:color="auto" w:fill="auto"/>
            <w:noWrap/>
            <w:vAlign w:val="center"/>
            <w:hideMark/>
          </w:tcPr>
          <w:p w14:paraId="73F51EB4" w14:textId="77777777" w:rsidR="006D7E51" w:rsidRDefault="006D7E51">
            <w:pPr>
              <w:jc w:val="right"/>
              <w:rPr>
                <w:color w:val="000000"/>
                <w:sz w:val="20"/>
                <w:szCs w:val="20"/>
              </w:rPr>
            </w:pPr>
            <w:r>
              <w:rPr>
                <w:color w:val="000000"/>
                <w:sz w:val="20"/>
                <w:szCs w:val="20"/>
              </w:rPr>
              <w:t>-38 702</w:t>
            </w:r>
          </w:p>
        </w:tc>
        <w:tc>
          <w:tcPr>
            <w:tcW w:w="1145" w:type="dxa"/>
            <w:tcBorders>
              <w:top w:val="nil"/>
              <w:left w:val="nil"/>
              <w:bottom w:val="nil"/>
              <w:right w:val="single" w:sz="4" w:space="0" w:color="auto"/>
            </w:tcBorders>
            <w:shd w:val="clear" w:color="auto" w:fill="auto"/>
            <w:noWrap/>
            <w:vAlign w:val="center"/>
            <w:hideMark/>
          </w:tcPr>
          <w:p w14:paraId="1DA7DE3F" w14:textId="77777777" w:rsidR="006D7E51" w:rsidRDefault="006D7E51">
            <w:pPr>
              <w:jc w:val="right"/>
              <w:rPr>
                <w:color w:val="000000"/>
                <w:sz w:val="20"/>
                <w:szCs w:val="20"/>
              </w:rPr>
            </w:pPr>
            <w:r>
              <w:rPr>
                <w:color w:val="000000"/>
                <w:sz w:val="20"/>
                <w:szCs w:val="20"/>
              </w:rPr>
              <w:t>16 052</w:t>
            </w:r>
          </w:p>
        </w:tc>
      </w:tr>
      <w:tr w:rsidR="006D7E51" w14:paraId="4CF4388B" w14:textId="77777777" w:rsidTr="006D7E51">
        <w:trPr>
          <w:trHeight w:val="283"/>
        </w:trPr>
        <w:tc>
          <w:tcPr>
            <w:tcW w:w="3644" w:type="dxa"/>
            <w:gridSpan w:val="2"/>
            <w:tcBorders>
              <w:top w:val="single" w:sz="8" w:space="0" w:color="auto"/>
              <w:left w:val="single" w:sz="8" w:space="0" w:color="auto"/>
              <w:bottom w:val="single" w:sz="8" w:space="0" w:color="auto"/>
              <w:right w:val="nil"/>
            </w:tcBorders>
            <w:shd w:val="clear" w:color="000000" w:fill="FFFF00"/>
            <w:noWrap/>
            <w:vAlign w:val="bottom"/>
            <w:hideMark/>
          </w:tcPr>
          <w:p w14:paraId="182DC10F" w14:textId="77777777" w:rsidR="006D7E51" w:rsidRDefault="006D7E51">
            <w:pPr>
              <w:jc w:val="center"/>
              <w:rPr>
                <w:sz w:val="20"/>
                <w:szCs w:val="20"/>
              </w:rPr>
            </w:pPr>
            <w:r>
              <w:rPr>
                <w:sz w:val="20"/>
                <w:szCs w:val="20"/>
              </w:rPr>
              <w:t xml:space="preserve">Kopā: </w:t>
            </w:r>
          </w:p>
        </w:tc>
        <w:tc>
          <w:tcPr>
            <w:tcW w:w="1295" w:type="dxa"/>
            <w:tcBorders>
              <w:top w:val="single" w:sz="8" w:space="0" w:color="auto"/>
              <w:left w:val="nil"/>
              <w:bottom w:val="single" w:sz="8" w:space="0" w:color="auto"/>
              <w:right w:val="nil"/>
            </w:tcBorders>
            <w:shd w:val="clear" w:color="000000" w:fill="FFFF00"/>
            <w:noWrap/>
            <w:vAlign w:val="bottom"/>
            <w:hideMark/>
          </w:tcPr>
          <w:p w14:paraId="2E541FD0" w14:textId="77777777" w:rsidR="006D7E51" w:rsidRDefault="006D7E51">
            <w:pPr>
              <w:rPr>
                <w:sz w:val="20"/>
                <w:szCs w:val="20"/>
              </w:rPr>
            </w:pPr>
            <w:r>
              <w:rPr>
                <w:sz w:val="20"/>
                <w:szCs w:val="20"/>
              </w:rPr>
              <w:t> </w:t>
            </w:r>
          </w:p>
        </w:tc>
        <w:tc>
          <w:tcPr>
            <w:tcW w:w="1123" w:type="dxa"/>
            <w:tcBorders>
              <w:top w:val="single" w:sz="8" w:space="0" w:color="auto"/>
              <w:left w:val="nil"/>
              <w:bottom w:val="single" w:sz="8" w:space="0" w:color="auto"/>
              <w:right w:val="nil"/>
            </w:tcBorders>
            <w:shd w:val="clear" w:color="000000" w:fill="FFFF00"/>
            <w:noWrap/>
            <w:vAlign w:val="bottom"/>
            <w:hideMark/>
          </w:tcPr>
          <w:p w14:paraId="6C552D5A" w14:textId="77777777" w:rsidR="006D7E51" w:rsidRDefault="006D7E51">
            <w:pPr>
              <w:rPr>
                <w:sz w:val="20"/>
                <w:szCs w:val="20"/>
              </w:rPr>
            </w:pPr>
            <w:r>
              <w:rPr>
                <w:sz w:val="20"/>
                <w:szCs w:val="20"/>
              </w:rPr>
              <w:t> </w:t>
            </w:r>
          </w:p>
        </w:tc>
        <w:tc>
          <w:tcPr>
            <w:tcW w:w="1145" w:type="dxa"/>
            <w:tcBorders>
              <w:top w:val="single" w:sz="8" w:space="0" w:color="auto"/>
              <w:left w:val="nil"/>
              <w:bottom w:val="single" w:sz="8" w:space="0" w:color="auto"/>
              <w:right w:val="nil"/>
            </w:tcBorders>
            <w:shd w:val="clear" w:color="000000" w:fill="FFFF00"/>
            <w:noWrap/>
            <w:vAlign w:val="bottom"/>
            <w:hideMark/>
          </w:tcPr>
          <w:p w14:paraId="1AB9B7C7" w14:textId="77777777" w:rsidR="006D7E51" w:rsidRDefault="006D7E51">
            <w:pPr>
              <w:rPr>
                <w:sz w:val="20"/>
                <w:szCs w:val="20"/>
              </w:rPr>
            </w:pPr>
            <w:r>
              <w:rPr>
                <w:sz w:val="20"/>
                <w:szCs w:val="20"/>
              </w:rPr>
              <w:t> </w:t>
            </w:r>
          </w:p>
        </w:tc>
        <w:tc>
          <w:tcPr>
            <w:tcW w:w="1295" w:type="dxa"/>
            <w:tcBorders>
              <w:top w:val="single" w:sz="8" w:space="0" w:color="auto"/>
              <w:left w:val="nil"/>
              <w:bottom w:val="single" w:sz="8" w:space="0" w:color="auto"/>
              <w:right w:val="nil"/>
            </w:tcBorders>
            <w:shd w:val="clear" w:color="000000" w:fill="FFFF00"/>
            <w:noWrap/>
            <w:vAlign w:val="bottom"/>
            <w:hideMark/>
          </w:tcPr>
          <w:p w14:paraId="61CC1E4A" w14:textId="77777777" w:rsidR="006D7E51" w:rsidRDefault="006D7E51">
            <w:pPr>
              <w:rPr>
                <w:sz w:val="20"/>
                <w:szCs w:val="20"/>
              </w:rPr>
            </w:pPr>
            <w:r>
              <w:rPr>
                <w:sz w:val="20"/>
                <w:szCs w:val="20"/>
              </w:rPr>
              <w:t> </w:t>
            </w:r>
          </w:p>
        </w:tc>
        <w:tc>
          <w:tcPr>
            <w:tcW w:w="1123" w:type="dxa"/>
            <w:tcBorders>
              <w:top w:val="single" w:sz="8" w:space="0" w:color="auto"/>
              <w:left w:val="nil"/>
              <w:bottom w:val="single" w:sz="8" w:space="0" w:color="auto"/>
              <w:right w:val="nil"/>
            </w:tcBorders>
            <w:shd w:val="clear" w:color="000000" w:fill="FFFF00"/>
            <w:noWrap/>
            <w:vAlign w:val="bottom"/>
            <w:hideMark/>
          </w:tcPr>
          <w:p w14:paraId="6EB2E448" w14:textId="77777777" w:rsidR="006D7E51" w:rsidRDefault="006D7E51">
            <w:pPr>
              <w:rPr>
                <w:sz w:val="20"/>
                <w:szCs w:val="20"/>
              </w:rPr>
            </w:pPr>
            <w:r>
              <w:rPr>
                <w:sz w:val="20"/>
                <w:szCs w:val="20"/>
              </w:rPr>
              <w:t> </w:t>
            </w:r>
          </w:p>
        </w:tc>
        <w:tc>
          <w:tcPr>
            <w:tcW w:w="1145" w:type="dxa"/>
            <w:tcBorders>
              <w:top w:val="single" w:sz="8" w:space="0" w:color="auto"/>
              <w:left w:val="nil"/>
              <w:bottom w:val="single" w:sz="8" w:space="0" w:color="auto"/>
              <w:right w:val="nil"/>
            </w:tcBorders>
            <w:shd w:val="clear" w:color="000000" w:fill="FFFF00"/>
            <w:noWrap/>
            <w:vAlign w:val="bottom"/>
            <w:hideMark/>
          </w:tcPr>
          <w:p w14:paraId="5FEC9178" w14:textId="77777777" w:rsidR="006D7E51" w:rsidRDefault="006D7E51">
            <w:pPr>
              <w:rPr>
                <w:sz w:val="20"/>
                <w:szCs w:val="20"/>
              </w:rPr>
            </w:pPr>
            <w:r>
              <w:rPr>
                <w:sz w:val="20"/>
                <w:szCs w:val="20"/>
              </w:rPr>
              <w:t> </w:t>
            </w:r>
          </w:p>
        </w:tc>
        <w:tc>
          <w:tcPr>
            <w:tcW w:w="1295" w:type="dxa"/>
            <w:tcBorders>
              <w:top w:val="single" w:sz="8" w:space="0" w:color="auto"/>
              <w:left w:val="nil"/>
              <w:bottom w:val="single" w:sz="8" w:space="0" w:color="auto"/>
              <w:right w:val="nil"/>
            </w:tcBorders>
            <w:shd w:val="clear" w:color="000000" w:fill="FFFF00"/>
            <w:noWrap/>
            <w:vAlign w:val="bottom"/>
            <w:hideMark/>
          </w:tcPr>
          <w:p w14:paraId="1195976A" w14:textId="77777777" w:rsidR="006D7E51" w:rsidRDefault="006D7E51">
            <w:pPr>
              <w:rPr>
                <w:sz w:val="20"/>
                <w:szCs w:val="20"/>
              </w:rPr>
            </w:pPr>
            <w:r>
              <w:rPr>
                <w:sz w:val="20"/>
                <w:szCs w:val="20"/>
              </w:rPr>
              <w:t> </w:t>
            </w:r>
          </w:p>
        </w:tc>
        <w:tc>
          <w:tcPr>
            <w:tcW w:w="1123" w:type="dxa"/>
            <w:tcBorders>
              <w:top w:val="single" w:sz="8" w:space="0" w:color="auto"/>
              <w:left w:val="nil"/>
              <w:bottom w:val="single" w:sz="8" w:space="0" w:color="auto"/>
              <w:right w:val="nil"/>
            </w:tcBorders>
            <w:shd w:val="clear" w:color="000000" w:fill="FFFF00"/>
            <w:noWrap/>
            <w:vAlign w:val="bottom"/>
            <w:hideMark/>
          </w:tcPr>
          <w:p w14:paraId="32DE89C9" w14:textId="77777777" w:rsidR="006D7E51" w:rsidRDefault="006D7E51">
            <w:pPr>
              <w:rPr>
                <w:sz w:val="20"/>
                <w:szCs w:val="20"/>
              </w:rPr>
            </w:pPr>
            <w:r>
              <w:rPr>
                <w:sz w:val="20"/>
                <w:szCs w:val="20"/>
              </w:rPr>
              <w:t> </w:t>
            </w:r>
          </w:p>
        </w:tc>
        <w:tc>
          <w:tcPr>
            <w:tcW w:w="1145" w:type="dxa"/>
            <w:tcBorders>
              <w:top w:val="single" w:sz="8" w:space="0" w:color="auto"/>
              <w:left w:val="nil"/>
              <w:bottom w:val="single" w:sz="8" w:space="0" w:color="auto"/>
              <w:right w:val="single" w:sz="8" w:space="0" w:color="auto"/>
            </w:tcBorders>
            <w:shd w:val="clear" w:color="000000" w:fill="FFFF00"/>
            <w:noWrap/>
            <w:vAlign w:val="bottom"/>
            <w:hideMark/>
          </w:tcPr>
          <w:p w14:paraId="1E58BA6A" w14:textId="77777777" w:rsidR="006D7E51" w:rsidRDefault="006D7E51">
            <w:pPr>
              <w:rPr>
                <w:sz w:val="20"/>
                <w:szCs w:val="20"/>
              </w:rPr>
            </w:pPr>
            <w:r>
              <w:rPr>
                <w:sz w:val="20"/>
                <w:szCs w:val="20"/>
              </w:rPr>
              <w:t> </w:t>
            </w:r>
          </w:p>
        </w:tc>
      </w:tr>
      <w:tr w:rsidR="006D7E51" w14:paraId="48A13628" w14:textId="77777777" w:rsidTr="006D7E51">
        <w:trPr>
          <w:trHeight w:val="482"/>
        </w:trPr>
        <w:tc>
          <w:tcPr>
            <w:tcW w:w="1144" w:type="dxa"/>
            <w:tcBorders>
              <w:top w:val="nil"/>
              <w:left w:val="single" w:sz="4" w:space="0" w:color="auto"/>
              <w:bottom w:val="nil"/>
              <w:right w:val="single" w:sz="4" w:space="0" w:color="auto"/>
            </w:tcBorders>
            <w:shd w:val="clear" w:color="auto" w:fill="auto"/>
            <w:noWrap/>
            <w:vAlign w:val="bottom"/>
            <w:hideMark/>
          </w:tcPr>
          <w:p w14:paraId="502A03A3" w14:textId="77777777" w:rsidR="006D7E51" w:rsidRDefault="006D7E51">
            <w:pPr>
              <w:jc w:val="center"/>
              <w:rPr>
                <w:b/>
                <w:bCs/>
                <w:sz w:val="20"/>
                <w:szCs w:val="20"/>
              </w:rPr>
            </w:pPr>
            <w:r>
              <w:rPr>
                <w:b/>
                <w:bCs/>
                <w:sz w:val="20"/>
                <w:szCs w:val="20"/>
              </w:rPr>
              <w:t> </w:t>
            </w:r>
          </w:p>
        </w:tc>
        <w:tc>
          <w:tcPr>
            <w:tcW w:w="2499" w:type="dxa"/>
            <w:tcBorders>
              <w:top w:val="nil"/>
              <w:left w:val="nil"/>
              <w:bottom w:val="nil"/>
              <w:right w:val="single" w:sz="4" w:space="0" w:color="auto"/>
            </w:tcBorders>
            <w:shd w:val="clear" w:color="auto" w:fill="auto"/>
            <w:vAlign w:val="bottom"/>
            <w:hideMark/>
          </w:tcPr>
          <w:p w14:paraId="76DA6791" w14:textId="77777777" w:rsidR="006D7E51" w:rsidRDefault="006D7E51">
            <w:pPr>
              <w:rPr>
                <w:sz w:val="20"/>
                <w:szCs w:val="20"/>
              </w:rPr>
            </w:pPr>
            <w:r>
              <w:rPr>
                <w:sz w:val="20"/>
                <w:szCs w:val="20"/>
              </w:rPr>
              <w:t>Ieņēmumi no maksas pakalpojumiem un citi pašu ieņēmumi – kopā, t.sk.</w:t>
            </w:r>
          </w:p>
        </w:tc>
        <w:tc>
          <w:tcPr>
            <w:tcW w:w="1295" w:type="dxa"/>
            <w:tcBorders>
              <w:top w:val="nil"/>
              <w:left w:val="nil"/>
              <w:bottom w:val="nil"/>
              <w:right w:val="single" w:sz="4" w:space="0" w:color="auto"/>
            </w:tcBorders>
            <w:shd w:val="clear" w:color="auto" w:fill="auto"/>
            <w:noWrap/>
            <w:vAlign w:val="bottom"/>
            <w:hideMark/>
          </w:tcPr>
          <w:p w14:paraId="33C42056" w14:textId="77777777" w:rsidR="006D7E51" w:rsidRDefault="006D7E51">
            <w:pPr>
              <w:jc w:val="right"/>
              <w:rPr>
                <w:sz w:val="20"/>
                <w:szCs w:val="20"/>
              </w:rPr>
            </w:pPr>
            <w:r>
              <w:rPr>
                <w:sz w:val="20"/>
                <w:szCs w:val="20"/>
              </w:rPr>
              <w:t>3 347 306</w:t>
            </w:r>
          </w:p>
        </w:tc>
        <w:tc>
          <w:tcPr>
            <w:tcW w:w="1123" w:type="dxa"/>
            <w:tcBorders>
              <w:top w:val="nil"/>
              <w:left w:val="nil"/>
              <w:bottom w:val="nil"/>
              <w:right w:val="single" w:sz="4" w:space="0" w:color="auto"/>
            </w:tcBorders>
            <w:shd w:val="clear" w:color="auto" w:fill="auto"/>
            <w:noWrap/>
            <w:vAlign w:val="bottom"/>
            <w:hideMark/>
          </w:tcPr>
          <w:p w14:paraId="0619440F" w14:textId="77777777" w:rsidR="006D7E51" w:rsidRDefault="006D7E51">
            <w:pPr>
              <w:jc w:val="right"/>
              <w:rPr>
                <w:sz w:val="20"/>
                <w:szCs w:val="20"/>
              </w:rPr>
            </w:pPr>
            <w:r>
              <w:rPr>
                <w:sz w:val="20"/>
                <w:szCs w:val="20"/>
              </w:rPr>
              <w:t>-120 931</w:t>
            </w:r>
          </w:p>
        </w:tc>
        <w:tc>
          <w:tcPr>
            <w:tcW w:w="1145" w:type="dxa"/>
            <w:tcBorders>
              <w:top w:val="nil"/>
              <w:left w:val="nil"/>
              <w:bottom w:val="nil"/>
              <w:right w:val="single" w:sz="4" w:space="0" w:color="auto"/>
            </w:tcBorders>
            <w:shd w:val="clear" w:color="auto" w:fill="auto"/>
            <w:noWrap/>
            <w:vAlign w:val="bottom"/>
            <w:hideMark/>
          </w:tcPr>
          <w:p w14:paraId="1254AB80" w14:textId="77777777" w:rsidR="006D7E51" w:rsidRDefault="006D7E51">
            <w:pPr>
              <w:jc w:val="right"/>
              <w:rPr>
                <w:sz w:val="20"/>
                <w:szCs w:val="20"/>
              </w:rPr>
            </w:pPr>
            <w:r>
              <w:rPr>
                <w:sz w:val="20"/>
                <w:szCs w:val="20"/>
              </w:rPr>
              <w:t>3 226 375</w:t>
            </w:r>
          </w:p>
        </w:tc>
        <w:tc>
          <w:tcPr>
            <w:tcW w:w="1295" w:type="dxa"/>
            <w:tcBorders>
              <w:top w:val="nil"/>
              <w:left w:val="nil"/>
              <w:bottom w:val="nil"/>
              <w:right w:val="single" w:sz="4" w:space="0" w:color="auto"/>
            </w:tcBorders>
            <w:shd w:val="clear" w:color="auto" w:fill="auto"/>
            <w:noWrap/>
            <w:vAlign w:val="bottom"/>
            <w:hideMark/>
          </w:tcPr>
          <w:p w14:paraId="5543FBE1" w14:textId="77777777" w:rsidR="006D7E51" w:rsidRDefault="006D7E51">
            <w:pPr>
              <w:jc w:val="right"/>
              <w:rPr>
                <w:sz w:val="20"/>
                <w:szCs w:val="20"/>
              </w:rPr>
            </w:pPr>
            <w:r>
              <w:rPr>
                <w:sz w:val="20"/>
                <w:szCs w:val="20"/>
              </w:rPr>
              <w:t>3 359 469</w:t>
            </w:r>
          </w:p>
        </w:tc>
        <w:tc>
          <w:tcPr>
            <w:tcW w:w="1123" w:type="dxa"/>
            <w:tcBorders>
              <w:top w:val="nil"/>
              <w:left w:val="nil"/>
              <w:bottom w:val="nil"/>
              <w:right w:val="single" w:sz="4" w:space="0" w:color="auto"/>
            </w:tcBorders>
            <w:shd w:val="clear" w:color="auto" w:fill="auto"/>
            <w:noWrap/>
            <w:vAlign w:val="bottom"/>
            <w:hideMark/>
          </w:tcPr>
          <w:p w14:paraId="2C22D14A" w14:textId="77777777" w:rsidR="006D7E51" w:rsidRDefault="006D7E51">
            <w:pPr>
              <w:jc w:val="right"/>
              <w:rPr>
                <w:sz w:val="20"/>
                <w:szCs w:val="20"/>
              </w:rPr>
            </w:pPr>
            <w:r>
              <w:rPr>
                <w:sz w:val="20"/>
                <w:szCs w:val="20"/>
              </w:rPr>
              <w:t>-130 549</w:t>
            </w:r>
          </w:p>
        </w:tc>
        <w:tc>
          <w:tcPr>
            <w:tcW w:w="1145" w:type="dxa"/>
            <w:tcBorders>
              <w:top w:val="nil"/>
              <w:left w:val="nil"/>
              <w:bottom w:val="nil"/>
              <w:right w:val="single" w:sz="4" w:space="0" w:color="auto"/>
            </w:tcBorders>
            <w:shd w:val="clear" w:color="auto" w:fill="auto"/>
            <w:noWrap/>
            <w:vAlign w:val="bottom"/>
            <w:hideMark/>
          </w:tcPr>
          <w:p w14:paraId="4EC3C299" w14:textId="77777777" w:rsidR="006D7E51" w:rsidRDefault="006D7E51">
            <w:pPr>
              <w:jc w:val="right"/>
              <w:rPr>
                <w:sz w:val="20"/>
                <w:szCs w:val="20"/>
              </w:rPr>
            </w:pPr>
            <w:r>
              <w:rPr>
                <w:sz w:val="20"/>
                <w:szCs w:val="20"/>
              </w:rPr>
              <w:t>3 228 920</w:t>
            </w:r>
          </w:p>
        </w:tc>
        <w:tc>
          <w:tcPr>
            <w:tcW w:w="1295" w:type="dxa"/>
            <w:tcBorders>
              <w:top w:val="nil"/>
              <w:left w:val="nil"/>
              <w:bottom w:val="nil"/>
              <w:right w:val="single" w:sz="4" w:space="0" w:color="auto"/>
            </w:tcBorders>
            <w:shd w:val="clear" w:color="auto" w:fill="auto"/>
            <w:noWrap/>
            <w:vAlign w:val="bottom"/>
            <w:hideMark/>
          </w:tcPr>
          <w:p w14:paraId="470D42B2" w14:textId="77777777" w:rsidR="006D7E51" w:rsidRDefault="006D7E51">
            <w:pPr>
              <w:jc w:val="right"/>
              <w:rPr>
                <w:sz w:val="20"/>
                <w:szCs w:val="20"/>
              </w:rPr>
            </w:pPr>
            <w:r>
              <w:rPr>
                <w:sz w:val="20"/>
                <w:szCs w:val="20"/>
              </w:rPr>
              <w:t>3 359 469</w:t>
            </w:r>
          </w:p>
        </w:tc>
        <w:tc>
          <w:tcPr>
            <w:tcW w:w="1123" w:type="dxa"/>
            <w:tcBorders>
              <w:top w:val="nil"/>
              <w:left w:val="nil"/>
              <w:bottom w:val="nil"/>
              <w:right w:val="single" w:sz="4" w:space="0" w:color="auto"/>
            </w:tcBorders>
            <w:shd w:val="clear" w:color="auto" w:fill="auto"/>
            <w:noWrap/>
            <w:vAlign w:val="bottom"/>
            <w:hideMark/>
          </w:tcPr>
          <w:p w14:paraId="62C47BB5" w14:textId="77777777" w:rsidR="006D7E51" w:rsidRDefault="006D7E51">
            <w:pPr>
              <w:jc w:val="right"/>
              <w:rPr>
                <w:sz w:val="20"/>
                <w:szCs w:val="20"/>
              </w:rPr>
            </w:pPr>
            <w:r>
              <w:rPr>
                <w:sz w:val="20"/>
                <w:szCs w:val="20"/>
              </w:rPr>
              <w:t>-128 003</w:t>
            </w:r>
          </w:p>
        </w:tc>
        <w:tc>
          <w:tcPr>
            <w:tcW w:w="1145" w:type="dxa"/>
            <w:tcBorders>
              <w:top w:val="nil"/>
              <w:left w:val="nil"/>
              <w:bottom w:val="nil"/>
              <w:right w:val="single" w:sz="4" w:space="0" w:color="auto"/>
            </w:tcBorders>
            <w:shd w:val="clear" w:color="auto" w:fill="auto"/>
            <w:noWrap/>
            <w:vAlign w:val="bottom"/>
            <w:hideMark/>
          </w:tcPr>
          <w:p w14:paraId="26CAAED0" w14:textId="77777777" w:rsidR="006D7E51" w:rsidRDefault="006D7E51">
            <w:pPr>
              <w:jc w:val="right"/>
              <w:rPr>
                <w:sz w:val="20"/>
                <w:szCs w:val="20"/>
              </w:rPr>
            </w:pPr>
            <w:r>
              <w:rPr>
                <w:sz w:val="20"/>
                <w:szCs w:val="20"/>
              </w:rPr>
              <w:t>3 231 466</w:t>
            </w:r>
          </w:p>
        </w:tc>
      </w:tr>
      <w:tr w:rsidR="006D7E51" w14:paraId="3D01D94C" w14:textId="77777777" w:rsidTr="006D7E51">
        <w:trPr>
          <w:trHeight w:val="482"/>
        </w:trPr>
        <w:tc>
          <w:tcPr>
            <w:tcW w:w="1144" w:type="dxa"/>
            <w:tcBorders>
              <w:top w:val="nil"/>
              <w:left w:val="single" w:sz="4" w:space="0" w:color="auto"/>
              <w:bottom w:val="nil"/>
              <w:right w:val="single" w:sz="4" w:space="0" w:color="auto"/>
            </w:tcBorders>
            <w:shd w:val="clear" w:color="auto" w:fill="auto"/>
            <w:noWrap/>
            <w:vAlign w:val="bottom"/>
            <w:hideMark/>
          </w:tcPr>
          <w:p w14:paraId="6BA77924" w14:textId="77777777" w:rsidR="006D7E51" w:rsidRDefault="006D7E51">
            <w:pPr>
              <w:rPr>
                <w:sz w:val="20"/>
                <w:szCs w:val="20"/>
              </w:rPr>
            </w:pPr>
            <w:r>
              <w:rPr>
                <w:sz w:val="20"/>
                <w:szCs w:val="20"/>
              </w:rPr>
              <w:t> </w:t>
            </w:r>
          </w:p>
        </w:tc>
        <w:tc>
          <w:tcPr>
            <w:tcW w:w="2499" w:type="dxa"/>
            <w:tcBorders>
              <w:top w:val="nil"/>
              <w:left w:val="nil"/>
              <w:bottom w:val="nil"/>
              <w:right w:val="single" w:sz="4" w:space="0" w:color="auto"/>
            </w:tcBorders>
            <w:shd w:val="clear" w:color="000000" w:fill="F8CBAD"/>
            <w:vAlign w:val="bottom"/>
            <w:hideMark/>
          </w:tcPr>
          <w:p w14:paraId="12DF4767" w14:textId="77777777" w:rsidR="006D7E51" w:rsidRDefault="006D7E51">
            <w:pPr>
              <w:jc w:val="right"/>
              <w:rPr>
                <w:sz w:val="20"/>
                <w:szCs w:val="20"/>
              </w:rPr>
            </w:pPr>
            <w:r>
              <w:rPr>
                <w:sz w:val="20"/>
                <w:szCs w:val="20"/>
              </w:rPr>
              <w:t>Ieņēmumi no uzņēmējsdarbības riska valsts nodevas</w:t>
            </w:r>
          </w:p>
        </w:tc>
        <w:tc>
          <w:tcPr>
            <w:tcW w:w="1295" w:type="dxa"/>
            <w:tcBorders>
              <w:top w:val="nil"/>
              <w:left w:val="nil"/>
              <w:bottom w:val="nil"/>
              <w:right w:val="single" w:sz="4" w:space="0" w:color="auto"/>
            </w:tcBorders>
            <w:shd w:val="clear" w:color="000000" w:fill="F8CBAD"/>
            <w:noWrap/>
            <w:vAlign w:val="bottom"/>
            <w:hideMark/>
          </w:tcPr>
          <w:p w14:paraId="1AC2EE7F" w14:textId="77777777" w:rsidR="006D7E51" w:rsidRDefault="006D7E51">
            <w:pPr>
              <w:jc w:val="right"/>
              <w:rPr>
                <w:sz w:val="20"/>
                <w:szCs w:val="20"/>
              </w:rPr>
            </w:pPr>
            <w:r>
              <w:rPr>
                <w:sz w:val="20"/>
                <w:szCs w:val="20"/>
              </w:rPr>
              <w:t>3 187 366</w:t>
            </w:r>
          </w:p>
        </w:tc>
        <w:tc>
          <w:tcPr>
            <w:tcW w:w="1123" w:type="dxa"/>
            <w:tcBorders>
              <w:top w:val="nil"/>
              <w:left w:val="nil"/>
              <w:bottom w:val="nil"/>
              <w:right w:val="single" w:sz="4" w:space="0" w:color="auto"/>
            </w:tcBorders>
            <w:shd w:val="clear" w:color="000000" w:fill="F8CBAD"/>
            <w:noWrap/>
            <w:vAlign w:val="bottom"/>
            <w:hideMark/>
          </w:tcPr>
          <w:p w14:paraId="43443AD4" w14:textId="77777777" w:rsidR="006D7E51" w:rsidRDefault="006D7E51">
            <w:pPr>
              <w:jc w:val="right"/>
              <w:rPr>
                <w:sz w:val="20"/>
                <w:szCs w:val="20"/>
              </w:rPr>
            </w:pPr>
            <w:r>
              <w:rPr>
                <w:sz w:val="20"/>
                <w:szCs w:val="20"/>
              </w:rPr>
              <w:t>-142 431</w:t>
            </w:r>
          </w:p>
        </w:tc>
        <w:tc>
          <w:tcPr>
            <w:tcW w:w="1145" w:type="dxa"/>
            <w:tcBorders>
              <w:top w:val="nil"/>
              <w:left w:val="nil"/>
              <w:bottom w:val="nil"/>
              <w:right w:val="single" w:sz="4" w:space="0" w:color="auto"/>
            </w:tcBorders>
            <w:shd w:val="clear" w:color="000000" w:fill="F8CBAD"/>
            <w:noWrap/>
            <w:vAlign w:val="bottom"/>
            <w:hideMark/>
          </w:tcPr>
          <w:p w14:paraId="2B91B5CD" w14:textId="77777777" w:rsidR="006D7E51" w:rsidRDefault="006D7E51">
            <w:pPr>
              <w:jc w:val="right"/>
              <w:rPr>
                <w:sz w:val="20"/>
                <w:szCs w:val="20"/>
              </w:rPr>
            </w:pPr>
            <w:r>
              <w:rPr>
                <w:sz w:val="20"/>
                <w:szCs w:val="20"/>
              </w:rPr>
              <w:t>3 044 935</w:t>
            </w:r>
          </w:p>
        </w:tc>
        <w:tc>
          <w:tcPr>
            <w:tcW w:w="1295" w:type="dxa"/>
            <w:tcBorders>
              <w:top w:val="nil"/>
              <w:left w:val="nil"/>
              <w:bottom w:val="nil"/>
              <w:right w:val="single" w:sz="4" w:space="0" w:color="auto"/>
            </w:tcBorders>
            <w:shd w:val="clear" w:color="000000" w:fill="F8CBAD"/>
            <w:noWrap/>
            <w:vAlign w:val="bottom"/>
            <w:hideMark/>
          </w:tcPr>
          <w:p w14:paraId="0FF84AB3" w14:textId="77777777" w:rsidR="006D7E51" w:rsidRDefault="006D7E51">
            <w:pPr>
              <w:jc w:val="right"/>
              <w:rPr>
                <w:sz w:val="20"/>
                <w:szCs w:val="20"/>
              </w:rPr>
            </w:pPr>
            <w:r>
              <w:rPr>
                <w:sz w:val="20"/>
                <w:szCs w:val="20"/>
              </w:rPr>
              <w:t>3 200 529</w:t>
            </w:r>
          </w:p>
        </w:tc>
        <w:tc>
          <w:tcPr>
            <w:tcW w:w="1123" w:type="dxa"/>
            <w:tcBorders>
              <w:top w:val="nil"/>
              <w:left w:val="nil"/>
              <w:bottom w:val="nil"/>
              <w:right w:val="single" w:sz="4" w:space="0" w:color="auto"/>
            </w:tcBorders>
            <w:shd w:val="clear" w:color="000000" w:fill="F8CBAD"/>
            <w:noWrap/>
            <w:vAlign w:val="bottom"/>
            <w:hideMark/>
          </w:tcPr>
          <w:p w14:paraId="4356649B" w14:textId="77777777" w:rsidR="006D7E51" w:rsidRDefault="006D7E51">
            <w:pPr>
              <w:jc w:val="right"/>
              <w:rPr>
                <w:sz w:val="20"/>
                <w:szCs w:val="20"/>
              </w:rPr>
            </w:pPr>
            <w:r>
              <w:rPr>
                <w:sz w:val="20"/>
                <w:szCs w:val="20"/>
              </w:rPr>
              <w:t>-152 549</w:t>
            </w:r>
          </w:p>
        </w:tc>
        <w:tc>
          <w:tcPr>
            <w:tcW w:w="1145" w:type="dxa"/>
            <w:tcBorders>
              <w:top w:val="nil"/>
              <w:left w:val="nil"/>
              <w:bottom w:val="nil"/>
              <w:right w:val="single" w:sz="4" w:space="0" w:color="auto"/>
            </w:tcBorders>
            <w:shd w:val="clear" w:color="000000" w:fill="F8CBAD"/>
            <w:noWrap/>
            <w:vAlign w:val="bottom"/>
            <w:hideMark/>
          </w:tcPr>
          <w:p w14:paraId="645E7542" w14:textId="77777777" w:rsidR="006D7E51" w:rsidRDefault="006D7E51">
            <w:pPr>
              <w:jc w:val="right"/>
              <w:rPr>
                <w:sz w:val="20"/>
                <w:szCs w:val="20"/>
              </w:rPr>
            </w:pPr>
            <w:r>
              <w:rPr>
                <w:sz w:val="20"/>
                <w:szCs w:val="20"/>
              </w:rPr>
              <w:t>3 047 980</w:t>
            </w:r>
          </w:p>
        </w:tc>
        <w:tc>
          <w:tcPr>
            <w:tcW w:w="1295" w:type="dxa"/>
            <w:tcBorders>
              <w:top w:val="nil"/>
              <w:left w:val="nil"/>
              <w:bottom w:val="nil"/>
              <w:right w:val="single" w:sz="4" w:space="0" w:color="auto"/>
            </w:tcBorders>
            <w:shd w:val="clear" w:color="000000" w:fill="F8CBAD"/>
            <w:noWrap/>
            <w:vAlign w:val="bottom"/>
            <w:hideMark/>
          </w:tcPr>
          <w:p w14:paraId="16C554D9" w14:textId="77777777" w:rsidR="006D7E51" w:rsidRDefault="006D7E51">
            <w:pPr>
              <w:jc w:val="right"/>
              <w:rPr>
                <w:sz w:val="20"/>
                <w:szCs w:val="20"/>
              </w:rPr>
            </w:pPr>
            <w:r>
              <w:rPr>
                <w:sz w:val="20"/>
                <w:szCs w:val="20"/>
              </w:rPr>
              <w:t>3 200 529</w:t>
            </w:r>
          </w:p>
        </w:tc>
        <w:tc>
          <w:tcPr>
            <w:tcW w:w="1123" w:type="dxa"/>
            <w:tcBorders>
              <w:top w:val="nil"/>
              <w:left w:val="nil"/>
              <w:bottom w:val="nil"/>
              <w:right w:val="single" w:sz="4" w:space="0" w:color="auto"/>
            </w:tcBorders>
            <w:shd w:val="clear" w:color="000000" w:fill="F8CBAD"/>
            <w:noWrap/>
            <w:vAlign w:val="bottom"/>
            <w:hideMark/>
          </w:tcPr>
          <w:p w14:paraId="2B54C394" w14:textId="77777777" w:rsidR="006D7E51" w:rsidRDefault="006D7E51">
            <w:pPr>
              <w:jc w:val="right"/>
              <w:rPr>
                <w:sz w:val="20"/>
                <w:szCs w:val="20"/>
              </w:rPr>
            </w:pPr>
            <w:r>
              <w:rPr>
                <w:sz w:val="20"/>
                <w:szCs w:val="20"/>
              </w:rPr>
              <w:t>-149 503</w:t>
            </w:r>
          </w:p>
        </w:tc>
        <w:tc>
          <w:tcPr>
            <w:tcW w:w="1145" w:type="dxa"/>
            <w:tcBorders>
              <w:top w:val="nil"/>
              <w:left w:val="nil"/>
              <w:bottom w:val="nil"/>
              <w:right w:val="single" w:sz="4" w:space="0" w:color="auto"/>
            </w:tcBorders>
            <w:shd w:val="clear" w:color="000000" w:fill="F8CBAD"/>
            <w:noWrap/>
            <w:vAlign w:val="bottom"/>
            <w:hideMark/>
          </w:tcPr>
          <w:p w14:paraId="6DDFC7D3" w14:textId="77777777" w:rsidR="006D7E51" w:rsidRDefault="006D7E51">
            <w:pPr>
              <w:jc w:val="right"/>
              <w:rPr>
                <w:sz w:val="20"/>
                <w:szCs w:val="20"/>
              </w:rPr>
            </w:pPr>
            <w:r>
              <w:rPr>
                <w:sz w:val="20"/>
                <w:szCs w:val="20"/>
              </w:rPr>
              <w:t>3 051 026</w:t>
            </w:r>
          </w:p>
        </w:tc>
      </w:tr>
      <w:tr w:rsidR="006D7E51" w14:paraId="5286D81D" w14:textId="77777777" w:rsidTr="006D7E51">
        <w:trPr>
          <w:trHeight w:val="240"/>
        </w:trPr>
        <w:tc>
          <w:tcPr>
            <w:tcW w:w="1144" w:type="dxa"/>
            <w:tcBorders>
              <w:top w:val="nil"/>
              <w:left w:val="single" w:sz="4" w:space="0" w:color="auto"/>
              <w:bottom w:val="nil"/>
              <w:right w:val="single" w:sz="4" w:space="0" w:color="auto"/>
            </w:tcBorders>
            <w:shd w:val="clear" w:color="auto" w:fill="auto"/>
            <w:noWrap/>
            <w:vAlign w:val="bottom"/>
            <w:hideMark/>
          </w:tcPr>
          <w:p w14:paraId="0AFA04F7" w14:textId="77777777" w:rsidR="006D7E51" w:rsidRDefault="006D7E51">
            <w:pPr>
              <w:rPr>
                <w:sz w:val="20"/>
                <w:szCs w:val="20"/>
              </w:rPr>
            </w:pPr>
            <w:r>
              <w:rPr>
                <w:sz w:val="20"/>
                <w:szCs w:val="20"/>
              </w:rPr>
              <w:t> </w:t>
            </w:r>
          </w:p>
        </w:tc>
        <w:tc>
          <w:tcPr>
            <w:tcW w:w="2499" w:type="dxa"/>
            <w:tcBorders>
              <w:top w:val="nil"/>
              <w:left w:val="nil"/>
              <w:bottom w:val="nil"/>
              <w:right w:val="single" w:sz="4" w:space="0" w:color="auto"/>
            </w:tcBorders>
            <w:shd w:val="clear" w:color="000000" w:fill="F8CBAD"/>
            <w:vAlign w:val="bottom"/>
            <w:hideMark/>
          </w:tcPr>
          <w:p w14:paraId="349D2EBB" w14:textId="77777777" w:rsidR="006D7E51" w:rsidRDefault="006D7E51">
            <w:pPr>
              <w:jc w:val="right"/>
              <w:rPr>
                <w:sz w:val="20"/>
                <w:szCs w:val="20"/>
              </w:rPr>
            </w:pPr>
            <w:r>
              <w:rPr>
                <w:sz w:val="20"/>
                <w:szCs w:val="20"/>
              </w:rPr>
              <w:t>Atgūtie līdzekļi</w:t>
            </w:r>
          </w:p>
        </w:tc>
        <w:tc>
          <w:tcPr>
            <w:tcW w:w="1295" w:type="dxa"/>
            <w:tcBorders>
              <w:top w:val="nil"/>
              <w:left w:val="nil"/>
              <w:bottom w:val="nil"/>
              <w:right w:val="single" w:sz="4" w:space="0" w:color="auto"/>
            </w:tcBorders>
            <w:shd w:val="clear" w:color="000000" w:fill="F8CBAD"/>
            <w:noWrap/>
            <w:vAlign w:val="bottom"/>
            <w:hideMark/>
          </w:tcPr>
          <w:p w14:paraId="0D167BDA" w14:textId="77777777" w:rsidR="006D7E51" w:rsidRDefault="006D7E51">
            <w:pPr>
              <w:jc w:val="right"/>
              <w:rPr>
                <w:sz w:val="20"/>
                <w:szCs w:val="20"/>
              </w:rPr>
            </w:pPr>
            <w:r>
              <w:rPr>
                <w:sz w:val="20"/>
                <w:szCs w:val="20"/>
              </w:rPr>
              <w:t>145 000</w:t>
            </w:r>
          </w:p>
        </w:tc>
        <w:tc>
          <w:tcPr>
            <w:tcW w:w="1123" w:type="dxa"/>
            <w:tcBorders>
              <w:top w:val="nil"/>
              <w:left w:val="nil"/>
              <w:bottom w:val="nil"/>
              <w:right w:val="single" w:sz="4" w:space="0" w:color="auto"/>
            </w:tcBorders>
            <w:shd w:val="clear" w:color="000000" w:fill="F8CBAD"/>
            <w:noWrap/>
            <w:vAlign w:val="bottom"/>
            <w:hideMark/>
          </w:tcPr>
          <w:p w14:paraId="329A0B59" w14:textId="77777777" w:rsidR="006D7E51" w:rsidRDefault="006D7E51">
            <w:pPr>
              <w:jc w:val="right"/>
              <w:rPr>
                <w:sz w:val="20"/>
                <w:szCs w:val="20"/>
              </w:rPr>
            </w:pPr>
            <w:r>
              <w:rPr>
                <w:sz w:val="20"/>
                <w:szCs w:val="20"/>
              </w:rPr>
              <w:t>21 500</w:t>
            </w:r>
          </w:p>
        </w:tc>
        <w:tc>
          <w:tcPr>
            <w:tcW w:w="1145" w:type="dxa"/>
            <w:tcBorders>
              <w:top w:val="nil"/>
              <w:left w:val="nil"/>
              <w:bottom w:val="nil"/>
              <w:right w:val="single" w:sz="4" w:space="0" w:color="auto"/>
            </w:tcBorders>
            <w:shd w:val="clear" w:color="000000" w:fill="F8CBAD"/>
            <w:noWrap/>
            <w:vAlign w:val="bottom"/>
            <w:hideMark/>
          </w:tcPr>
          <w:p w14:paraId="5AB2352A" w14:textId="77777777" w:rsidR="006D7E51" w:rsidRDefault="006D7E51">
            <w:pPr>
              <w:jc w:val="right"/>
              <w:rPr>
                <w:sz w:val="20"/>
                <w:szCs w:val="20"/>
              </w:rPr>
            </w:pPr>
            <w:r>
              <w:rPr>
                <w:sz w:val="20"/>
                <w:szCs w:val="20"/>
              </w:rPr>
              <w:t>166 500</w:t>
            </w:r>
          </w:p>
        </w:tc>
        <w:tc>
          <w:tcPr>
            <w:tcW w:w="1295" w:type="dxa"/>
            <w:tcBorders>
              <w:top w:val="nil"/>
              <w:left w:val="nil"/>
              <w:bottom w:val="nil"/>
              <w:right w:val="single" w:sz="4" w:space="0" w:color="auto"/>
            </w:tcBorders>
            <w:shd w:val="clear" w:color="000000" w:fill="F8CBAD"/>
            <w:noWrap/>
            <w:vAlign w:val="bottom"/>
            <w:hideMark/>
          </w:tcPr>
          <w:p w14:paraId="01AE7250" w14:textId="77777777" w:rsidR="006D7E51" w:rsidRDefault="006D7E51">
            <w:pPr>
              <w:jc w:val="right"/>
              <w:rPr>
                <w:sz w:val="20"/>
                <w:szCs w:val="20"/>
              </w:rPr>
            </w:pPr>
            <w:r>
              <w:rPr>
                <w:sz w:val="20"/>
                <w:szCs w:val="20"/>
              </w:rPr>
              <w:t>144 000</w:t>
            </w:r>
          </w:p>
        </w:tc>
        <w:tc>
          <w:tcPr>
            <w:tcW w:w="1123" w:type="dxa"/>
            <w:tcBorders>
              <w:top w:val="nil"/>
              <w:left w:val="nil"/>
              <w:bottom w:val="nil"/>
              <w:right w:val="single" w:sz="4" w:space="0" w:color="auto"/>
            </w:tcBorders>
            <w:shd w:val="clear" w:color="000000" w:fill="F8CBAD"/>
            <w:noWrap/>
            <w:vAlign w:val="bottom"/>
            <w:hideMark/>
          </w:tcPr>
          <w:p w14:paraId="1C6429AD" w14:textId="77777777" w:rsidR="006D7E51" w:rsidRDefault="006D7E51">
            <w:pPr>
              <w:jc w:val="right"/>
              <w:rPr>
                <w:sz w:val="20"/>
                <w:szCs w:val="20"/>
              </w:rPr>
            </w:pPr>
            <w:r>
              <w:rPr>
                <w:sz w:val="20"/>
                <w:szCs w:val="20"/>
              </w:rPr>
              <w:t>22 000</w:t>
            </w:r>
          </w:p>
        </w:tc>
        <w:tc>
          <w:tcPr>
            <w:tcW w:w="1145" w:type="dxa"/>
            <w:tcBorders>
              <w:top w:val="nil"/>
              <w:left w:val="nil"/>
              <w:bottom w:val="nil"/>
              <w:right w:val="single" w:sz="4" w:space="0" w:color="auto"/>
            </w:tcBorders>
            <w:shd w:val="clear" w:color="000000" w:fill="F8CBAD"/>
            <w:noWrap/>
            <w:vAlign w:val="bottom"/>
            <w:hideMark/>
          </w:tcPr>
          <w:p w14:paraId="499F97AF" w14:textId="77777777" w:rsidR="006D7E51" w:rsidRDefault="006D7E51">
            <w:pPr>
              <w:jc w:val="right"/>
              <w:rPr>
                <w:sz w:val="20"/>
                <w:szCs w:val="20"/>
              </w:rPr>
            </w:pPr>
            <w:r>
              <w:rPr>
                <w:sz w:val="20"/>
                <w:szCs w:val="20"/>
              </w:rPr>
              <w:t>166 000</w:t>
            </w:r>
          </w:p>
        </w:tc>
        <w:tc>
          <w:tcPr>
            <w:tcW w:w="1295" w:type="dxa"/>
            <w:tcBorders>
              <w:top w:val="nil"/>
              <w:left w:val="nil"/>
              <w:bottom w:val="nil"/>
              <w:right w:val="single" w:sz="4" w:space="0" w:color="auto"/>
            </w:tcBorders>
            <w:shd w:val="clear" w:color="000000" w:fill="F8CBAD"/>
            <w:noWrap/>
            <w:vAlign w:val="bottom"/>
            <w:hideMark/>
          </w:tcPr>
          <w:p w14:paraId="0A8AEA25" w14:textId="77777777" w:rsidR="006D7E51" w:rsidRDefault="006D7E51">
            <w:pPr>
              <w:jc w:val="right"/>
              <w:rPr>
                <w:sz w:val="20"/>
                <w:szCs w:val="20"/>
              </w:rPr>
            </w:pPr>
            <w:r>
              <w:rPr>
                <w:sz w:val="20"/>
                <w:szCs w:val="20"/>
              </w:rPr>
              <w:t>144 000</w:t>
            </w:r>
          </w:p>
        </w:tc>
        <w:tc>
          <w:tcPr>
            <w:tcW w:w="1123" w:type="dxa"/>
            <w:tcBorders>
              <w:top w:val="nil"/>
              <w:left w:val="nil"/>
              <w:bottom w:val="nil"/>
              <w:right w:val="single" w:sz="4" w:space="0" w:color="auto"/>
            </w:tcBorders>
            <w:shd w:val="clear" w:color="000000" w:fill="F8CBAD"/>
            <w:noWrap/>
            <w:vAlign w:val="bottom"/>
            <w:hideMark/>
          </w:tcPr>
          <w:p w14:paraId="0E45518E" w14:textId="77777777" w:rsidR="006D7E51" w:rsidRDefault="006D7E51">
            <w:pPr>
              <w:jc w:val="right"/>
              <w:rPr>
                <w:sz w:val="20"/>
                <w:szCs w:val="20"/>
              </w:rPr>
            </w:pPr>
            <w:r>
              <w:rPr>
                <w:sz w:val="20"/>
                <w:szCs w:val="20"/>
              </w:rPr>
              <w:t>21 500</w:t>
            </w:r>
          </w:p>
        </w:tc>
        <w:tc>
          <w:tcPr>
            <w:tcW w:w="1145" w:type="dxa"/>
            <w:tcBorders>
              <w:top w:val="nil"/>
              <w:left w:val="nil"/>
              <w:bottom w:val="nil"/>
              <w:right w:val="single" w:sz="4" w:space="0" w:color="auto"/>
            </w:tcBorders>
            <w:shd w:val="clear" w:color="000000" w:fill="F8CBAD"/>
            <w:noWrap/>
            <w:vAlign w:val="bottom"/>
            <w:hideMark/>
          </w:tcPr>
          <w:p w14:paraId="14566C56" w14:textId="77777777" w:rsidR="006D7E51" w:rsidRDefault="006D7E51">
            <w:pPr>
              <w:jc w:val="right"/>
              <w:rPr>
                <w:sz w:val="20"/>
                <w:szCs w:val="20"/>
              </w:rPr>
            </w:pPr>
            <w:r>
              <w:rPr>
                <w:sz w:val="20"/>
                <w:szCs w:val="20"/>
              </w:rPr>
              <w:t>165 500</w:t>
            </w:r>
          </w:p>
        </w:tc>
      </w:tr>
      <w:tr w:rsidR="006D7E51" w14:paraId="6E4EAF1E" w14:textId="77777777" w:rsidTr="006D7E51">
        <w:trPr>
          <w:trHeight w:val="24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A1DA535" w14:textId="77777777" w:rsidR="006D7E51" w:rsidRDefault="006D7E51">
            <w:pPr>
              <w:rPr>
                <w:sz w:val="20"/>
                <w:szCs w:val="20"/>
              </w:rPr>
            </w:pPr>
            <w:r>
              <w:rPr>
                <w:sz w:val="20"/>
                <w:szCs w:val="20"/>
              </w:rPr>
              <w:t> </w:t>
            </w:r>
          </w:p>
        </w:tc>
        <w:tc>
          <w:tcPr>
            <w:tcW w:w="2499" w:type="dxa"/>
            <w:tcBorders>
              <w:top w:val="nil"/>
              <w:left w:val="nil"/>
              <w:bottom w:val="single" w:sz="4" w:space="0" w:color="auto"/>
              <w:right w:val="single" w:sz="4" w:space="0" w:color="auto"/>
            </w:tcBorders>
            <w:shd w:val="clear" w:color="000000" w:fill="F8CBAD"/>
            <w:noWrap/>
            <w:vAlign w:val="bottom"/>
            <w:hideMark/>
          </w:tcPr>
          <w:p w14:paraId="7E579F78" w14:textId="77777777" w:rsidR="006D7E51" w:rsidRDefault="006D7E51">
            <w:pPr>
              <w:jc w:val="right"/>
              <w:rPr>
                <w:sz w:val="20"/>
                <w:szCs w:val="20"/>
              </w:rPr>
            </w:pPr>
            <w:r>
              <w:rPr>
                <w:sz w:val="20"/>
                <w:szCs w:val="20"/>
              </w:rPr>
              <w:t>Citi ieņēmumi</w:t>
            </w:r>
          </w:p>
        </w:tc>
        <w:tc>
          <w:tcPr>
            <w:tcW w:w="1295" w:type="dxa"/>
            <w:tcBorders>
              <w:top w:val="nil"/>
              <w:left w:val="nil"/>
              <w:bottom w:val="single" w:sz="4" w:space="0" w:color="auto"/>
              <w:right w:val="single" w:sz="4" w:space="0" w:color="auto"/>
            </w:tcBorders>
            <w:shd w:val="clear" w:color="000000" w:fill="F8CBAD"/>
            <w:noWrap/>
            <w:vAlign w:val="bottom"/>
            <w:hideMark/>
          </w:tcPr>
          <w:p w14:paraId="028DA7CC" w14:textId="77777777" w:rsidR="006D7E51" w:rsidRDefault="006D7E51">
            <w:pPr>
              <w:jc w:val="right"/>
              <w:rPr>
                <w:sz w:val="20"/>
                <w:szCs w:val="20"/>
              </w:rPr>
            </w:pPr>
            <w:r>
              <w:rPr>
                <w:sz w:val="20"/>
                <w:szCs w:val="20"/>
              </w:rPr>
              <w:t>14 940</w:t>
            </w:r>
          </w:p>
        </w:tc>
        <w:tc>
          <w:tcPr>
            <w:tcW w:w="1123" w:type="dxa"/>
            <w:tcBorders>
              <w:top w:val="nil"/>
              <w:left w:val="nil"/>
              <w:bottom w:val="single" w:sz="4" w:space="0" w:color="auto"/>
              <w:right w:val="single" w:sz="4" w:space="0" w:color="auto"/>
            </w:tcBorders>
            <w:shd w:val="clear" w:color="000000" w:fill="F8CBAD"/>
            <w:noWrap/>
            <w:vAlign w:val="bottom"/>
            <w:hideMark/>
          </w:tcPr>
          <w:p w14:paraId="0F6AF17D" w14:textId="77777777" w:rsidR="006D7E51" w:rsidRDefault="006D7E51">
            <w:pPr>
              <w:rPr>
                <w:sz w:val="20"/>
                <w:szCs w:val="20"/>
              </w:rPr>
            </w:pPr>
            <w:r>
              <w:rPr>
                <w:sz w:val="20"/>
                <w:szCs w:val="20"/>
              </w:rPr>
              <w:t> </w:t>
            </w:r>
          </w:p>
        </w:tc>
        <w:tc>
          <w:tcPr>
            <w:tcW w:w="1145" w:type="dxa"/>
            <w:tcBorders>
              <w:top w:val="nil"/>
              <w:left w:val="nil"/>
              <w:bottom w:val="single" w:sz="4" w:space="0" w:color="auto"/>
              <w:right w:val="single" w:sz="4" w:space="0" w:color="auto"/>
            </w:tcBorders>
            <w:shd w:val="clear" w:color="000000" w:fill="F8CBAD"/>
            <w:noWrap/>
            <w:vAlign w:val="bottom"/>
            <w:hideMark/>
          </w:tcPr>
          <w:p w14:paraId="14BEFA9E" w14:textId="77777777" w:rsidR="006D7E51" w:rsidRDefault="006D7E51">
            <w:pPr>
              <w:jc w:val="right"/>
              <w:rPr>
                <w:sz w:val="20"/>
                <w:szCs w:val="20"/>
              </w:rPr>
            </w:pPr>
            <w:r>
              <w:rPr>
                <w:sz w:val="20"/>
                <w:szCs w:val="20"/>
              </w:rPr>
              <w:t>14 940</w:t>
            </w:r>
          </w:p>
        </w:tc>
        <w:tc>
          <w:tcPr>
            <w:tcW w:w="1295" w:type="dxa"/>
            <w:tcBorders>
              <w:top w:val="nil"/>
              <w:left w:val="nil"/>
              <w:bottom w:val="single" w:sz="4" w:space="0" w:color="auto"/>
              <w:right w:val="single" w:sz="4" w:space="0" w:color="auto"/>
            </w:tcBorders>
            <w:shd w:val="clear" w:color="000000" w:fill="F8CBAD"/>
            <w:noWrap/>
            <w:vAlign w:val="bottom"/>
            <w:hideMark/>
          </w:tcPr>
          <w:p w14:paraId="7DA13E56" w14:textId="77777777" w:rsidR="006D7E51" w:rsidRDefault="006D7E51">
            <w:pPr>
              <w:jc w:val="right"/>
              <w:rPr>
                <w:sz w:val="20"/>
                <w:szCs w:val="20"/>
              </w:rPr>
            </w:pPr>
            <w:r>
              <w:rPr>
                <w:sz w:val="20"/>
                <w:szCs w:val="20"/>
              </w:rPr>
              <w:t>14 940</w:t>
            </w:r>
          </w:p>
        </w:tc>
        <w:tc>
          <w:tcPr>
            <w:tcW w:w="1123" w:type="dxa"/>
            <w:tcBorders>
              <w:top w:val="nil"/>
              <w:left w:val="nil"/>
              <w:bottom w:val="single" w:sz="4" w:space="0" w:color="auto"/>
              <w:right w:val="single" w:sz="4" w:space="0" w:color="auto"/>
            </w:tcBorders>
            <w:shd w:val="clear" w:color="000000" w:fill="F8CBAD"/>
            <w:noWrap/>
            <w:vAlign w:val="bottom"/>
            <w:hideMark/>
          </w:tcPr>
          <w:p w14:paraId="2DE15943" w14:textId="77777777" w:rsidR="006D7E51" w:rsidRDefault="006D7E51">
            <w:pPr>
              <w:rPr>
                <w:sz w:val="20"/>
                <w:szCs w:val="20"/>
              </w:rPr>
            </w:pPr>
            <w:r>
              <w:rPr>
                <w:sz w:val="20"/>
                <w:szCs w:val="20"/>
              </w:rPr>
              <w:t> </w:t>
            </w:r>
          </w:p>
        </w:tc>
        <w:tc>
          <w:tcPr>
            <w:tcW w:w="1145" w:type="dxa"/>
            <w:tcBorders>
              <w:top w:val="nil"/>
              <w:left w:val="nil"/>
              <w:bottom w:val="single" w:sz="4" w:space="0" w:color="auto"/>
              <w:right w:val="single" w:sz="4" w:space="0" w:color="auto"/>
            </w:tcBorders>
            <w:shd w:val="clear" w:color="000000" w:fill="F8CBAD"/>
            <w:noWrap/>
            <w:vAlign w:val="bottom"/>
            <w:hideMark/>
          </w:tcPr>
          <w:p w14:paraId="392A2819" w14:textId="77777777" w:rsidR="006D7E51" w:rsidRDefault="006D7E51">
            <w:pPr>
              <w:jc w:val="right"/>
              <w:rPr>
                <w:sz w:val="20"/>
                <w:szCs w:val="20"/>
              </w:rPr>
            </w:pPr>
            <w:r>
              <w:rPr>
                <w:sz w:val="20"/>
                <w:szCs w:val="20"/>
              </w:rPr>
              <w:t>14 940</w:t>
            </w:r>
          </w:p>
        </w:tc>
        <w:tc>
          <w:tcPr>
            <w:tcW w:w="1295" w:type="dxa"/>
            <w:tcBorders>
              <w:top w:val="nil"/>
              <w:left w:val="nil"/>
              <w:bottom w:val="single" w:sz="4" w:space="0" w:color="auto"/>
              <w:right w:val="single" w:sz="4" w:space="0" w:color="auto"/>
            </w:tcBorders>
            <w:shd w:val="clear" w:color="000000" w:fill="F8CBAD"/>
            <w:noWrap/>
            <w:vAlign w:val="bottom"/>
            <w:hideMark/>
          </w:tcPr>
          <w:p w14:paraId="215108DF" w14:textId="77777777" w:rsidR="006D7E51" w:rsidRDefault="006D7E51">
            <w:pPr>
              <w:jc w:val="right"/>
              <w:rPr>
                <w:sz w:val="20"/>
                <w:szCs w:val="20"/>
              </w:rPr>
            </w:pPr>
            <w:r>
              <w:rPr>
                <w:sz w:val="20"/>
                <w:szCs w:val="20"/>
              </w:rPr>
              <w:t>14 940</w:t>
            </w:r>
          </w:p>
        </w:tc>
        <w:tc>
          <w:tcPr>
            <w:tcW w:w="1123" w:type="dxa"/>
            <w:tcBorders>
              <w:top w:val="nil"/>
              <w:left w:val="nil"/>
              <w:bottom w:val="single" w:sz="4" w:space="0" w:color="auto"/>
              <w:right w:val="single" w:sz="4" w:space="0" w:color="auto"/>
            </w:tcBorders>
            <w:shd w:val="clear" w:color="000000" w:fill="F8CBAD"/>
            <w:noWrap/>
            <w:vAlign w:val="bottom"/>
            <w:hideMark/>
          </w:tcPr>
          <w:p w14:paraId="3CCE18EC" w14:textId="77777777" w:rsidR="006D7E51" w:rsidRDefault="006D7E51">
            <w:pPr>
              <w:rPr>
                <w:sz w:val="20"/>
                <w:szCs w:val="20"/>
              </w:rPr>
            </w:pPr>
            <w:r>
              <w:rPr>
                <w:sz w:val="20"/>
                <w:szCs w:val="20"/>
              </w:rPr>
              <w:t> </w:t>
            </w:r>
          </w:p>
        </w:tc>
        <w:tc>
          <w:tcPr>
            <w:tcW w:w="1145" w:type="dxa"/>
            <w:tcBorders>
              <w:top w:val="nil"/>
              <w:left w:val="nil"/>
              <w:bottom w:val="single" w:sz="4" w:space="0" w:color="auto"/>
              <w:right w:val="single" w:sz="4" w:space="0" w:color="auto"/>
            </w:tcBorders>
            <w:shd w:val="clear" w:color="000000" w:fill="F8CBAD"/>
            <w:noWrap/>
            <w:vAlign w:val="bottom"/>
            <w:hideMark/>
          </w:tcPr>
          <w:p w14:paraId="499EDB44" w14:textId="77777777" w:rsidR="006D7E51" w:rsidRDefault="006D7E51">
            <w:pPr>
              <w:jc w:val="right"/>
              <w:rPr>
                <w:sz w:val="20"/>
                <w:szCs w:val="20"/>
              </w:rPr>
            </w:pPr>
            <w:r>
              <w:rPr>
                <w:sz w:val="20"/>
                <w:szCs w:val="20"/>
              </w:rPr>
              <w:t>14 940</w:t>
            </w:r>
          </w:p>
        </w:tc>
      </w:tr>
    </w:tbl>
    <w:p w14:paraId="5BA115EC" w14:textId="77777777" w:rsidR="00C02CAA" w:rsidRPr="00ED0FB0" w:rsidRDefault="00C02CAA" w:rsidP="0092522E">
      <w:pPr>
        <w:pStyle w:val="Heading1"/>
        <w:numPr>
          <w:ilvl w:val="0"/>
          <w:numId w:val="0"/>
        </w:numPr>
        <w:jc w:val="center"/>
        <w:rPr>
          <w:sz w:val="20"/>
          <w:szCs w:val="20"/>
        </w:rPr>
      </w:pPr>
    </w:p>
    <w:p w14:paraId="4DD2DAAC" w14:textId="77777777" w:rsidR="0092522E" w:rsidRPr="00ED0FB0" w:rsidRDefault="0092522E" w:rsidP="0092522E"/>
    <w:p w14:paraId="2D1BCD74" w14:textId="77777777" w:rsidR="0092522E" w:rsidRPr="00ED0FB0" w:rsidRDefault="0092522E" w:rsidP="0092522E"/>
    <w:p w14:paraId="1EA5B43C" w14:textId="77777777" w:rsidR="0092522E" w:rsidRDefault="0092522E" w:rsidP="0092522E"/>
    <w:p w14:paraId="56001426" w14:textId="77777777" w:rsidR="0092522E" w:rsidRDefault="0092522E" w:rsidP="0092522E">
      <w:pPr>
        <w:sectPr w:rsidR="0092522E" w:rsidSect="000121BB">
          <w:pgSz w:w="16838" w:h="11906" w:orient="landscape" w:code="9"/>
          <w:pgMar w:top="1701" w:right="1418" w:bottom="1134" w:left="1438" w:header="709" w:footer="709" w:gutter="0"/>
          <w:cols w:space="708"/>
          <w:docGrid w:linePitch="360"/>
        </w:sectPr>
      </w:pPr>
    </w:p>
    <w:p w14:paraId="5C11D20A" w14:textId="77777777" w:rsidR="0092522E" w:rsidRPr="0092522E" w:rsidRDefault="0092522E" w:rsidP="0092522E">
      <w:pPr>
        <w:ind w:firstLine="720"/>
        <w:jc w:val="both"/>
        <w:rPr>
          <w:b/>
        </w:rPr>
      </w:pPr>
      <w:r w:rsidRPr="0092522E">
        <w:rPr>
          <w:b/>
        </w:rPr>
        <w:t>III. Kopsavilkums</w:t>
      </w:r>
    </w:p>
    <w:p w14:paraId="32B3BA7A" w14:textId="77777777" w:rsidR="0092522E" w:rsidRDefault="0092522E" w:rsidP="0092522E">
      <w:pPr>
        <w:ind w:firstLine="720"/>
        <w:jc w:val="both"/>
      </w:pPr>
      <w:r>
        <w:t>1. Ņemot vērā informatīvajā ziņojumā norādīto, URVN 2017.</w:t>
      </w:r>
      <w:r w:rsidR="00B93663">
        <w:t>–</w:t>
      </w:r>
      <w:r>
        <w:t xml:space="preserve">2019.gadā ir nosakāma 0,36 </w:t>
      </w:r>
      <w:r w:rsidRPr="000121BB">
        <w:rPr>
          <w:i/>
        </w:rPr>
        <w:t>euro</w:t>
      </w:r>
      <w:r>
        <w:t xml:space="preserve"> mēnesī, ko aprēķina par katru darbinieku, ar kuru nodibinātas darba tiesiskās attiecības, izvērtējot atlikuma uzkrājuma un izmaksājamo summu apmēru un nepieciešamības gadījumā pārskatot URVN apmēru atbilstoši esošajai situācijai.</w:t>
      </w:r>
    </w:p>
    <w:p w14:paraId="3405A2ED" w14:textId="77777777" w:rsidR="0092522E" w:rsidRDefault="0092522E" w:rsidP="0092522E">
      <w:pPr>
        <w:ind w:firstLine="720"/>
        <w:jc w:val="both"/>
      </w:pPr>
      <w:r>
        <w:t>2. Lai nodrošinātu atlikuma uzkrājuma veidošanos, 2017.–2019.gadā visus URVN ieņēmumus, kas iekasēti vairāk par plānoto, jāturpina ieskaitīt darbinieku prasījumu garantiju fonda kontā.</w:t>
      </w:r>
    </w:p>
    <w:p w14:paraId="5748384F" w14:textId="77777777" w:rsidR="00EF76B4" w:rsidRPr="00E41347" w:rsidRDefault="00911A91" w:rsidP="0092522E">
      <w:pPr>
        <w:ind w:firstLine="720"/>
        <w:jc w:val="both"/>
      </w:pPr>
      <w:r w:rsidRPr="00E41347">
        <w:t>3</w:t>
      </w:r>
      <w:r w:rsidR="0092522E" w:rsidRPr="00E41347">
        <w:t xml:space="preserve">. </w:t>
      </w:r>
      <w:r w:rsidR="00EF76B4" w:rsidRPr="00E41347">
        <w:t>Informatīvajā ziņojumā paredzēto risinājumu īstenošanai, plānotajos pamatbudžeta bāzes izdevumos 2016.gadā ir jāveic precizējumi apakšprogrammā 06.04.00” Darbinieku prasījumu garantiju fonds”, 06.05.00 “Maksātnespējas procesa izmaksas” un 06.03.00 “Maksātnespējas procesu pārvaldība”</w:t>
      </w:r>
      <w:r w:rsidR="00AF67FE" w:rsidRPr="00E41347">
        <w:t xml:space="preserve"> atbilstoši šā informatīvā ziņojuma 31.tabulā “Plānotais pamatbudžeta bāzes izdevumu finansējums un tajā nepieciešamās izmaiņas 2016.gadā” norādītajam</w:t>
      </w:r>
      <w:r w:rsidR="00EF76B4" w:rsidRPr="00E41347">
        <w:t xml:space="preserve">. Vienlaikus Tieslietu ministrijai nepieciešams </w:t>
      </w:r>
      <w:r w:rsidR="00A70068">
        <w:t>izstrādāt</w:t>
      </w:r>
      <w:r w:rsidR="00EF76B4" w:rsidRPr="00E41347">
        <w:t xml:space="preserve"> un iesniegt </w:t>
      </w:r>
      <w:r w:rsidR="00A70068">
        <w:t xml:space="preserve">Ministru kabinetā </w:t>
      </w:r>
      <w:r w:rsidR="00EF76B4" w:rsidRPr="00E41347">
        <w:t>grozījumu</w:t>
      </w:r>
      <w:r w:rsidR="00A70068">
        <w:t>s</w:t>
      </w:r>
      <w:r w:rsidR="00EF76B4" w:rsidRPr="00E41347">
        <w:t xml:space="preserve"> 2015.gada 8.decembra noteikumos Nr.692 “Noteikumi par uzņēmējdarbības riska valsts nodevas apmēru un darbinieku prasījumu garantiju fondā ieskaitāmās nodevas daļu 2016. gadā”.</w:t>
      </w:r>
    </w:p>
    <w:p w14:paraId="08A52337" w14:textId="77777777" w:rsidR="0092522E" w:rsidRDefault="00EF76B4" w:rsidP="0092522E">
      <w:pPr>
        <w:ind w:firstLine="720"/>
        <w:jc w:val="both"/>
      </w:pPr>
      <w:r w:rsidRPr="00E41347">
        <w:t xml:space="preserve">4. </w:t>
      </w:r>
      <w:r w:rsidR="0092522E" w:rsidRPr="00E41347">
        <w:t xml:space="preserve">Informatīvajā ziņojumā paredzēto risinājumu īstenošanai, plānotajos pamatbudžeta bāzes izdevumos 2017.–2019.gadam jāveic precizējumi par 2017., 2018. un 2019.gadu apakšprogrammā 06.04.00 “Darbinieku prasījumu garantiju fonds”, 06.05.00 “Maksātnespējas procesa izmaksas” un 06.03.00 “Maksātnespējas procesu pārvaldība” atbilstoši </w:t>
      </w:r>
      <w:r w:rsidRPr="00E41347">
        <w:t xml:space="preserve">šā </w:t>
      </w:r>
      <w:r w:rsidR="0092522E" w:rsidRPr="00E41347">
        <w:t xml:space="preserve">informatīvā ziņojuma </w:t>
      </w:r>
      <w:r w:rsidR="006D7E51" w:rsidRPr="00E41347">
        <w:t>32</w:t>
      </w:r>
      <w:r w:rsidR="0092522E" w:rsidRPr="00E41347">
        <w:t>.tabulā “Plānotais pamatbudžeta bāzes izdevumu finansējums un tajā nepieciešamās izmaiņas 2017.</w:t>
      </w:r>
      <w:r w:rsidR="00B93663" w:rsidRPr="00E41347">
        <w:t>–</w:t>
      </w:r>
      <w:r w:rsidR="0092522E" w:rsidRPr="00E41347">
        <w:t>2019.gadā” norādītajam.</w:t>
      </w:r>
    </w:p>
    <w:p w14:paraId="4244B9C4" w14:textId="77777777" w:rsidR="0092522E" w:rsidRDefault="0092522E" w:rsidP="0092522E">
      <w:pPr>
        <w:ind w:firstLine="720"/>
      </w:pPr>
    </w:p>
    <w:p w14:paraId="6197644D" w14:textId="77777777" w:rsidR="0092522E" w:rsidRDefault="0092522E" w:rsidP="0092522E"/>
    <w:p w14:paraId="07EFBE7C" w14:textId="77777777" w:rsidR="0092522E" w:rsidRDefault="0092522E" w:rsidP="0092522E"/>
    <w:p w14:paraId="136B4CBA" w14:textId="77777777" w:rsidR="0092522E" w:rsidRDefault="0092522E" w:rsidP="0092522E">
      <w:r>
        <w:t>Tieslietu ministrs</w:t>
      </w:r>
      <w:r>
        <w:tab/>
      </w:r>
      <w:r>
        <w:tab/>
      </w:r>
      <w:r>
        <w:tab/>
      </w:r>
      <w:r>
        <w:tab/>
      </w:r>
      <w:r>
        <w:tab/>
      </w:r>
      <w:r>
        <w:tab/>
      </w:r>
      <w:r>
        <w:tab/>
        <w:t>Dzintars Rasnačs</w:t>
      </w:r>
    </w:p>
    <w:p w14:paraId="166B3F75" w14:textId="77777777" w:rsidR="0092522E" w:rsidRDefault="0092522E" w:rsidP="0092522E"/>
    <w:p w14:paraId="2B6E34B6" w14:textId="77777777" w:rsidR="0092522E" w:rsidRDefault="0092522E" w:rsidP="0092522E"/>
    <w:p w14:paraId="3DE8EF5A" w14:textId="77777777" w:rsidR="0092522E" w:rsidRDefault="0092522E" w:rsidP="0092522E"/>
    <w:p w14:paraId="2C33233E" w14:textId="77777777" w:rsidR="0092522E" w:rsidRDefault="0092522E" w:rsidP="0092522E"/>
    <w:p w14:paraId="40DBC94E" w14:textId="77777777" w:rsidR="0092522E" w:rsidRDefault="0092522E" w:rsidP="0092522E"/>
    <w:p w14:paraId="4AC68FA0" w14:textId="3CAB9CB7" w:rsidR="0092522E" w:rsidRPr="00026840" w:rsidRDefault="00EF76B4" w:rsidP="0092522E">
      <w:pPr>
        <w:rPr>
          <w:sz w:val="20"/>
          <w:szCs w:val="20"/>
          <w:lang w:val="en-GB"/>
        </w:rPr>
      </w:pPr>
      <w:r>
        <w:rPr>
          <w:sz w:val="20"/>
          <w:szCs w:val="20"/>
        </w:rPr>
        <w:t>1</w:t>
      </w:r>
      <w:r w:rsidR="001E2828">
        <w:rPr>
          <w:sz w:val="20"/>
          <w:szCs w:val="20"/>
        </w:rPr>
        <w:t>9</w:t>
      </w:r>
      <w:r w:rsidR="00F0528A">
        <w:rPr>
          <w:sz w:val="20"/>
          <w:szCs w:val="20"/>
        </w:rPr>
        <w:t>.07</w:t>
      </w:r>
      <w:r w:rsidR="0092522E" w:rsidRPr="0092522E">
        <w:rPr>
          <w:sz w:val="20"/>
          <w:szCs w:val="20"/>
        </w:rPr>
        <w:t>.201</w:t>
      </w:r>
      <w:r w:rsidR="00F0528A">
        <w:rPr>
          <w:sz w:val="20"/>
          <w:szCs w:val="20"/>
        </w:rPr>
        <w:t>6</w:t>
      </w:r>
      <w:r w:rsidR="0092522E" w:rsidRPr="0092522E">
        <w:rPr>
          <w:sz w:val="20"/>
          <w:szCs w:val="20"/>
        </w:rPr>
        <w:t xml:space="preserve">. </w:t>
      </w:r>
      <w:r w:rsidR="00B76A84">
        <w:rPr>
          <w:sz w:val="20"/>
          <w:szCs w:val="20"/>
        </w:rPr>
        <w:t>1</w:t>
      </w:r>
      <w:r w:rsidR="001E2828">
        <w:rPr>
          <w:sz w:val="20"/>
          <w:szCs w:val="20"/>
        </w:rPr>
        <w:t>0</w:t>
      </w:r>
      <w:r w:rsidR="0092522E" w:rsidRPr="0092522E">
        <w:rPr>
          <w:sz w:val="20"/>
          <w:szCs w:val="20"/>
        </w:rPr>
        <w:t>:</w:t>
      </w:r>
      <w:r w:rsidR="001E2828">
        <w:rPr>
          <w:sz w:val="20"/>
          <w:szCs w:val="20"/>
        </w:rPr>
        <w:t>55</w:t>
      </w:r>
      <w:bookmarkStart w:id="87" w:name="_GoBack"/>
      <w:bookmarkEnd w:id="87"/>
    </w:p>
    <w:p w14:paraId="3E80C23E" w14:textId="77777777" w:rsidR="0092522E" w:rsidRPr="0092522E" w:rsidRDefault="00AF67FE" w:rsidP="0092522E">
      <w:pPr>
        <w:rPr>
          <w:sz w:val="20"/>
          <w:szCs w:val="20"/>
        </w:rPr>
      </w:pPr>
      <w:r>
        <w:rPr>
          <w:sz w:val="20"/>
          <w:szCs w:val="20"/>
        </w:rPr>
        <w:t>14</w:t>
      </w:r>
      <w:r w:rsidR="00942CE7">
        <w:rPr>
          <w:sz w:val="20"/>
          <w:szCs w:val="20"/>
        </w:rPr>
        <w:t>598</w:t>
      </w:r>
    </w:p>
    <w:p w14:paraId="6CA8AB8C" w14:textId="77777777" w:rsidR="0092522E" w:rsidRPr="0092522E" w:rsidRDefault="0092522E" w:rsidP="0092522E">
      <w:pPr>
        <w:rPr>
          <w:sz w:val="20"/>
          <w:szCs w:val="20"/>
        </w:rPr>
      </w:pPr>
      <w:r w:rsidRPr="0092522E">
        <w:rPr>
          <w:sz w:val="20"/>
          <w:szCs w:val="20"/>
        </w:rPr>
        <w:t>B.Banga</w:t>
      </w:r>
    </w:p>
    <w:p w14:paraId="1DCA10B3" w14:textId="77777777" w:rsidR="0092522E" w:rsidRPr="0092522E" w:rsidRDefault="0092522E" w:rsidP="0092522E">
      <w:pPr>
        <w:rPr>
          <w:sz w:val="20"/>
          <w:szCs w:val="20"/>
        </w:rPr>
      </w:pPr>
      <w:r w:rsidRPr="0092522E">
        <w:rPr>
          <w:sz w:val="20"/>
          <w:szCs w:val="20"/>
        </w:rPr>
        <w:t>67099123, baiba.banga@mna.gov.lv</w:t>
      </w:r>
    </w:p>
    <w:sectPr w:rsidR="0092522E" w:rsidRPr="0092522E" w:rsidSect="006D355E">
      <w:pgSz w:w="11906" w:h="16838" w:code="9"/>
      <w:pgMar w:top="1418" w:right="1134" w:bottom="143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90099" w14:textId="77777777" w:rsidR="0027152A" w:rsidRDefault="0027152A">
      <w:r>
        <w:separator/>
      </w:r>
    </w:p>
  </w:endnote>
  <w:endnote w:type="continuationSeparator" w:id="0">
    <w:p w14:paraId="51F8B6A4" w14:textId="77777777" w:rsidR="0027152A" w:rsidRDefault="0027152A">
      <w:r>
        <w:continuationSeparator/>
      </w:r>
    </w:p>
  </w:endnote>
  <w:endnote w:type="continuationNotice" w:id="1">
    <w:p w14:paraId="49FE5FC0" w14:textId="77777777" w:rsidR="0027152A" w:rsidRDefault="00271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1E6C" w14:textId="59F5C2E7" w:rsidR="00270CA6" w:rsidRPr="00464CD8" w:rsidRDefault="00270CA6" w:rsidP="000F4D50">
    <w:pPr>
      <w:jc w:val="both"/>
      <w:rPr>
        <w:noProof/>
        <w:sz w:val="20"/>
        <w:szCs w:val="20"/>
      </w:rPr>
    </w:pPr>
    <w:r>
      <w:rPr>
        <w:sz w:val="20"/>
        <w:szCs w:val="20"/>
      </w:rPr>
      <w:t>TMZino_1</w:t>
    </w:r>
    <w:r w:rsidR="001E2828">
      <w:rPr>
        <w:sz w:val="20"/>
        <w:szCs w:val="20"/>
      </w:rPr>
      <w:t>9</w:t>
    </w:r>
    <w:r>
      <w:rPr>
        <w:sz w:val="20"/>
        <w:szCs w:val="20"/>
      </w:rPr>
      <w:t xml:space="preserve">0716_URVN; </w:t>
    </w:r>
    <w:r w:rsidRPr="00464CD8">
      <w:rPr>
        <w:noProof/>
        <w:sz w:val="20"/>
        <w:szCs w:val="20"/>
      </w:rPr>
      <w:t xml:space="preserve">Informatīvais ziņojums </w:t>
    </w:r>
    <w:r>
      <w:rPr>
        <w:noProof/>
        <w:sz w:val="20"/>
        <w:szCs w:val="20"/>
      </w:rPr>
      <w:t>„P</w:t>
    </w:r>
    <w:r w:rsidRPr="00464CD8">
      <w:rPr>
        <w:noProof/>
        <w:sz w:val="20"/>
        <w:szCs w:val="20"/>
      </w:rPr>
      <w:t xml:space="preserve">ar uzņēmējdarbības riska valsts nodevas </w:t>
    </w:r>
    <w:r>
      <w:rPr>
        <w:noProof/>
        <w:sz w:val="20"/>
        <w:szCs w:val="20"/>
      </w:rPr>
      <w:t xml:space="preserve">sadalījumu </w:t>
    </w:r>
    <w:r w:rsidRPr="00464CD8">
      <w:rPr>
        <w:noProof/>
        <w:sz w:val="20"/>
        <w:szCs w:val="20"/>
      </w:rPr>
      <w:t>201</w:t>
    </w:r>
    <w:r>
      <w:rPr>
        <w:noProof/>
        <w:sz w:val="20"/>
        <w:szCs w:val="20"/>
      </w:rPr>
      <w:t>7</w:t>
    </w:r>
    <w:r w:rsidRPr="00464CD8">
      <w:rPr>
        <w:noProof/>
        <w:sz w:val="20"/>
        <w:szCs w:val="20"/>
      </w:rPr>
      <w:t>.–201</w:t>
    </w:r>
    <w:r>
      <w:rPr>
        <w:noProof/>
        <w:sz w:val="20"/>
        <w:szCs w:val="20"/>
      </w:rPr>
      <w:t>9.g</w:t>
    </w:r>
    <w:r w:rsidRPr="00464CD8">
      <w:rPr>
        <w:noProof/>
        <w:sz w:val="20"/>
        <w:szCs w:val="20"/>
      </w:rPr>
      <w:t>adam</w:t>
    </w:r>
    <w:r>
      <w:rPr>
        <w:noProof/>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9C9D" w14:textId="5B96FF3A" w:rsidR="00270CA6" w:rsidRPr="00291B52" w:rsidRDefault="00270CA6" w:rsidP="00A70068">
    <w:pPr>
      <w:pStyle w:val="Footer"/>
      <w:jc w:val="both"/>
      <w:rPr>
        <w:sz w:val="20"/>
        <w:szCs w:val="20"/>
      </w:rPr>
    </w:pPr>
    <w:r w:rsidRPr="00291B52">
      <w:rPr>
        <w:sz w:val="20"/>
        <w:szCs w:val="20"/>
      </w:rPr>
      <w:t>TMZin</w:t>
    </w:r>
    <w:r>
      <w:rPr>
        <w:sz w:val="20"/>
        <w:szCs w:val="20"/>
      </w:rPr>
      <w:t>o_1</w:t>
    </w:r>
    <w:r w:rsidR="001E2828">
      <w:rPr>
        <w:sz w:val="20"/>
        <w:szCs w:val="20"/>
      </w:rPr>
      <w:t>9</w:t>
    </w:r>
    <w:r>
      <w:rPr>
        <w:sz w:val="20"/>
        <w:szCs w:val="20"/>
      </w:rPr>
      <w:t>07</w:t>
    </w:r>
    <w:r w:rsidRPr="00291B52">
      <w:rPr>
        <w:sz w:val="20"/>
        <w:szCs w:val="20"/>
      </w:rPr>
      <w:t>16_UR</w:t>
    </w:r>
    <w:r>
      <w:rPr>
        <w:sz w:val="20"/>
        <w:szCs w:val="20"/>
      </w:rPr>
      <w:t>VN</w:t>
    </w:r>
    <w:r w:rsidRPr="00291B52">
      <w:rPr>
        <w:sz w:val="20"/>
        <w:szCs w:val="20"/>
      </w:rPr>
      <w:t>; Informatīvais ziņojums „Par uzņēmējdarbības riska valsts nodevas sadalījumu 2017.–2019.gadam”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A322" w14:textId="77777777" w:rsidR="0027152A" w:rsidRDefault="0027152A">
      <w:r>
        <w:separator/>
      </w:r>
    </w:p>
  </w:footnote>
  <w:footnote w:type="continuationSeparator" w:id="0">
    <w:p w14:paraId="5C757C32" w14:textId="77777777" w:rsidR="0027152A" w:rsidRDefault="0027152A">
      <w:r>
        <w:continuationSeparator/>
      </w:r>
    </w:p>
  </w:footnote>
  <w:footnote w:type="continuationNotice" w:id="1">
    <w:p w14:paraId="527307B2" w14:textId="77777777" w:rsidR="0027152A" w:rsidRDefault="0027152A"/>
  </w:footnote>
  <w:footnote w:id="2">
    <w:p w14:paraId="62A139A6" w14:textId="77777777" w:rsidR="00270CA6" w:rsidRDefault="00270CA6" w:rsidP="002D2F21">
      <w:pPr>
        <w:pStyle w:val="FootnoteText"/>
        <w:jc w:val="both"/>
      </w:pPr>
      <w:r>
        <w:rPr>
          <w:rStyle w:val="FootnoteReference"/>
        </w:rPr>
        <w:footnoteRef/>
      </w:r>
      <w:r>
        <w:t> </w:t>
      </w:r>
      <w:hyperlink r:id="rId1" w:history="1">
        <w:r w:rsidRPr="00342130">
          <w:rPr>
            <w:rStyle w:val="Hyperlink"/>
          </w:rPr>
          <w:t>https://www.em.gov.lv/files/tautsaimniecibas_attistiba/zin/2015_dec_lv.pdf</w:t>
        </w:r>
      </w:hyperlink>
      <w:r>
        <w:t xml:space="preserve">, </w:t>
      </w:r>
      <w:r>
        <w:rPr>
          <w:bCs/>
          <w:sz w:val="18"/>
          <w:szCs w:val="18"/>
        </w:rPr>
        <w:t>82</w:t>
      </w:r>
      <w:r w:rsidRPr="00372EE3">
        <w:rPr>
          <w:bCs/>
          <w:sz w:val="18"/>
          <w:szCs w:val="18"/>
        </w:rPr>
        <w:t>.lapa</w:t>
      </w:r>
      <w:r>
        <w:rPr>
          <w:bCs/>
          <w:sz w:val="18"/>
          <w:szCs w:val="18"/>
        </w:rPr>
        <w:t>, skatīts 16.04.2016.</w:t>
      </w:r>
    </w:p>
  </w:footnote>
  <w:footnote w:id="3">
    <w:p w14:paraId="5E2D840C" w14:textId="77777777" w:rsidR="00270CA6" w:rsidRPr="00467160" w:rsidRDefault="00270CA6" w:rsidP="002D2F21">
      <w:pPr>
        <w:pStyle w:val="FootnoteText"/>
        <w:rPr>
          <w:sz w:val="18"/>
          <w:szCs w:val="18"/>
        </w:rPr>
      </w:pPr>
      <w:r>
        <w:rPr>
          <w:rStyle w:val="FootnoteReference"/>
        </w:rPr>
        <w:footnoteRef/>
      </w:r>
      <w:r>
        <w:t> </w:t>
      </w:r>
      <w:hyperlink r:id="rId2" w:history="1">
        <w:r w:rsidRPr="00342130">
          <w:rPr>
            <w:rStyle w:val="Hyperlink"/>
          </w:rPr>
          <w:t>https://www.em.gov.lv/files/tautsaimniecibas_attistiba/makro/makro_66_lv.pdf</w:t>
        </w:r>
      </w:hyperlink>
      <w:r>
        <w:t xml:space="preserve">, </w:t>
      </w:r>
      <w:r w:rsidRPr="00467160">
        <w:rPr>
          <w:sz w:val="18"/>
          <w:szCs w:val="18"/>
        </w:rPr>
        <w:t>25.lapa</w:t>
      </w:r>
      <w:r>
        <w:rPr>
          <w:sz w:val="18"/>
          <w:szCs w:val="18"/>
        </w:rPr>
        <w:t xml:space="preserve">, </w:t>
      </w:r>
      <w:r>
        <w:rPr>
          <w:bCs/>
          <w:sz w:val="18"/>
          <w:szCs w:val="18"/>
        </w:rPr>
        <w:t>skatīts 16.04.2016.</w:t>
      </w:r>
    </w:p>
  </w:footnote>
  <w:footnote w:id="4">
    <w:p w14:paraId="132FAC09" w14:textId="77777777" w:rsidR="00270CA6" w:rsidRDefault="00270CA6" w:rsidP="00867FCA">
      <w:pPr>
        <w:pStyle w:val="FootnoteText"/>
      </w:pPr>
      <w:r>
        <w:rPr>
          <w:rStyle w:val="FootnoteReference"/>
        </w:rPr>
        <w:footnoteRef/>
      </w:r>
      <w:r>
        <w:t xml:space="preserve"> E.Pankratova</w:t>
      </w:r>
      <w:r w:rsidRPr="00885898">
        <w:t xml:space="preserve"> „Aizplūst smadzenes un informācija”</w:t>
      </w:r>
      <w:r>
        <w:t xml:space="preserve">. Dienas bizness, </w:t>
      </w:r>
      <w:r w:rsidRPr="00885898">
        <w:t>2016.gada 6.aprī</w:t>
      </w:r>
      <w:r>
        <w:t>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C6AC" w14:textId="77777777" w:rsidR="00270CA6" w:rsidRDefault="00270CA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098A6EA2" w14:textId="77777777" w:rsidR="00270CA6" w:rsidRDefault="00270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9B4B" w14:textId="77777777" w:rsidR="00270CA6" w:rsidRDefault="00270CA6">
    <w:pPr>
      <w:pStyle w:val="Header"/>
      <w:jc w:val="center"/>
    </w:pPr>
    <w:r>
      <w:fldChar w:fldCharType="begin"/>
    </w:r>
    <w:r>
      <w:instrText>PAGE   \* MERGEFORMAT</w:instrText>
    </w:r>
    <w:r>
      <w:fldChar w:fldCharType="separate"/>
    </w:r>
    <w:r w:rsidR="001E2828">
      <w:rPr>
        <w:noProof/>
      </w:rPr>
      <w:t>40</w:t>
    </w:r>
    <w:r>
      <w:fldChar w:fldCharType="end"/>
    </w:r>
  </w:p>
  <w:p w14:paraId="04635574" w14:textId="77777777" w:rsidR="00270CA6" w:rsidRDefault="00270C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C04"/>
    <w:multiLevelType w:val="hybridMultilevel"/>
    <w:tmpl w:val="03D2CD62"/>
    <w:lvl w:ilvl="0" w:tplc="0426000B">
      <w:start w:val="1"/>
      <w:numFmt w:val="bullet"/>
      <w:lvlText w:val=""/>
      <w:lvlJc w:val="left"/>
      <w:pPr>
        <w:tabs>
          <w:tab w:val="num" w:pos="360"/>
        </w:tabs>
        <w:ind w:left="360" w:hanging="360"/>
      </w:pPr>
      <w:rPr>
        <w:rFonts w:ascii="Wingdings" w:hAnsi="Wingdings"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46E8C"/>
    <w:multiLevelType w:val="hybridMultilevel"/>
    <w:tmpl w:val="FDC050D4"/>
    <w:lvl w:ilvl="0" w:tplc="04260001">
      <w:start w:val="2"/>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A359C"/>
    <w:multiLevelType w:val="hybridMultilevel"/>
    <w:tmpl w:val="D5C8131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3960E4"/>
    <w:multiLevelType w:val="hybridMultilevel"/>
    <w:tmpl w:val="C43A98A4"/>
    <w:lvl w:ilvl="0" w:tplc="F852FEAC">
      <w:start w:val="1"/>
      <w:numFmt w:val="bullet"/>
      <w:lvlText w:val=""/>
      <w:lvlJc w:val="left"/>
      <w:pPr>
        <w:tabs>
          <w:tab w:val="num" w:pos="1080"/>
        </w:tabs>
        <w:ind w:left="1080" w:hanging="360"/>
      </w:pPr>
      <w:rPr>
        <w:rFonts w:ascii="Symbol" w:hAnsi="Symbol" w:hint="default"/>
        <w:color w:val="999999"/>
      </w:rPr>
    </w:lvl>
    <w:lvl w:ilvl="1" w:tplc="2A2E8D14">
      <w:start w:val="1"/>
      <w:numFmt w:val="decimal"/>
      <w:lvlText w:val="%2)"/>
      <w:lvlJc w:val="left"/>
      <w:pPr>
        <w:tabs>
          <w:tab w:val="num" w:pos="1800"/>
        </w:tabs>
        <w:ind w:left="1800" w:hanging="360"/>
      </w:pPr>
      <w:rPr>
        <w:rFonts w:cs="Times New Roman" w:hint="default"/>
        <w:color w:val="999999"/>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83B24"/>
    <w:multiLevelType w:val="hybridMultilevel"/>
    <w:tmpl w:val="2C0E79D0"/>
    <w:lvl w:ilvl="0" w:tplc="FF76FCC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327BCE"/>
    <w:multiLevelType w:val="hybridMultilevel"/>
    <w:tmpl w:val="FCAA88C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114E083C"/>
    <w:multiLevelType w:val="hybridMultilevel"/>
    <w:tmpl w:val="1B7E2D6A"/>
    <w:lvl w:ilvl="0" w:tplc="0426000B">
      <w:start w:val="1"/>
      <w:numFmt w:val="bullet"/>
      <w:lvlText w:val=""/>
      <w:lvlJc w:val="left"/>
      <w:pPr>
        <w:tabs>
          <w:tab w:val="num" w:pos="1440"/>
        </w:tabs>
        <w:ind w:left="1440" w:hanging="360"/>
      </w:pPr>
      <w:rPr>
        <w:rFonts w:ascii="Wingdings" w:hAnsi="Wingdings" w:hint="default"/>
        <w:color w:val="999999"/>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F873AF"/>
    <w:multiLevelType w:val="hybridMultilevel"/>
    <w:tmpl w:val="C2D02C5C"/>
    <w:lvl w:ilvl="0" w:tplc="330E1C6C">
      <w:start w:val="1"/>
      <w:numFmt w:val="decimal"/>
      <w:lvlText w:val="%1."/>
      <w:lvlJc w:val="left"/>
      <w:pPr>
        <w:tabs>
          <w:tab w:val="num" w:pos="1395"/>
        </w:tabs>
        <w:ind w:left="1395" w:hanging="855"/>
      </w:pPr>
      <w:rPr>
        <w:rFonts w:cs="Times New Roman" w:hint="default"/>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8" w15:restartNumberingAfterBreak="0">
    <w:nsid w:val="13B6660D"/>
    <w:multiLevelType w:val="hybridMultilevel"/>
    <w:tmpl w:val="F4FAB5DA"/>
    <w:lvl w:ilvl="0" w:tplc="E21615BA">
      <w:start w:val="1"/>
      <w:numFmt w:val="decimal"/>
      <w:lvlText w:val="%1."/>
      <w:lvlJc w:val="left"/>
      <w:pPr>
        <w:tabs>
          <w:tab w:val="num" w:pos="1785"/>
        </w:tabs>
        <w:ind w:left="1785" w:hanging="1065"/>
      </w:pPr>
      <w:rPr>
        <w:rFonts w:cs="Times New Roman" w:hint="default"/>
        <w:b/>
        <w:color w:val="FF0000"/>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9" w15:restartNumberingAfterBreak="0">
    <w:nsid w:val="1B49720D"/>
    <w:multiLevelType w:val="hybridMultilevel"/>
    <w:tmpl w:val="5944DA78"/>
    <w:lvl w:ilvl="0" w:tplc="F852FEAC">
      <w:start w:val="1"/>
      <w:numFmt w:val="bullet"/>
      <w:lvlText w:val=""/>
      <w:lvlJc w:val="left"/>
      <w:pPr>
        <w:tabs>
          <w:tab w:val="num" w:pos="360"/>
        </w:tabs>
        <w:ind w:left="360" w:hanging="360"/>
      </w:pPr>
      <w:rPr>
        <w:rFonts w:ascii="Symbol" w:hAnsi="Symbol" w:hint="default"/>
        <w:color w:val="999999"/>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0F6E63"/>
    <w:multiLevelType w:val="hybridMultilevel"/>
    <w:tmpl w:val="4F3E8042"/>
    <w:lvl w:ilvl="0" w:tplc="04260001">
      <w:start w:val="2"/>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31DA3"/>
    <w:multiLevelType w:val="hybridMultilevel"/>
    <w:tmpl w:val="0B563212"/>
    <w:lvl w:ilvl="0" w:tplc="211204AC">
      <w:start w:val="2"/>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2" w15:restartNumberingAfterBreak="0">
    <w:nsid w:val="266B14AC"/>
    <w:multiLevelType w:val="hybridMultilevel"/>
    <w:tmpl w:val="E6CCD56C"/>
    <w:lvl w:ilvl="0" w:tplc="04260001">
      <w:start w:val="149"/>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7243921"/>
    <w:multiLevelType w:val="hybridMultilevel"/>
    <w:tmpl w:val="C40CA632"/>
    <w:lvl w:ilvl="0" w:tplc="F852FEAC">
      <w:start w:val="1"/>
      <w:numFmt w:val="bullet"/>
      <w:lvlText w:val=""/>
      <w:lvlJc w:val="left"/>
      <w:pPr>
        <w:tabs>
          <w:tab w:val="num" w:pos="1080"/>
        </w:tabs>
        <w:ind w:left="1080" w:hanging="360"/>
      </w:pPr>
      <w:rPr>
        <w:rFonts w:ascii="Symbol" w:hAnsi="Symbol" w:hint="default"/>
        <w:color w:val="999999"/>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213627"/>
    <w:multiLevelType w:val="hybridMultilevel"/>
    <w:tmpl w:val="80526B02"/>
    <w:lvl w:ilvl="0" w:tplc="0A0A6D38">
      <w:start w:val="705"/>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E26697"/>
    <w:multiLevelType w:val="hybridMultilevel"/>
    <w:tmpl w:val="DDA2294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2E5A7224"/>
    <w:multiLevelType w:val="multilevel"/>
    <w:tmpl w:val="0426001D"/>
    <w:styleLink w:val="Stils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B8F2F9E"/>
    <w:multiLevelType w:val="hybridMultilevel"/>
    <w:tmpl w:val="C68210BC"/>
    <w:lvl w:ilvl="0" w:tplc="98D47EE0">
      <w:start w:val="136"/>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477D3F"/>
    <w:multiLevelType w:val="hybridMultilevel"/>
    <w:tmpl w:val="C1AA27CA"/>
    <w:lvl w:ilvl="0" w:tplc="F852FEAC">
      <w:start w:val="1"/>
      <w:numFmt w:val="bullet"/>
      <w:lvlText w:val=""/>
      <w:lvlJc w:val="left"/>
      <w:pPr>
        <w:tabs>
          <w:tab w:val="num" w:pos="1080"/>
        </w:tabs>
        <w:ind w:left="1080" w:hanging="360"/>
      </w:pPr>
      <w:rPr>
        <w:rFonts w:ascii="Symbol" w:hAnsi="Symbol" w:hint="default"/>
        <w:color w:val="999999"/>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C9342B"/>
    <w:multiLevelType w:val="hybridMultilevel"/>
    <w:tmpl w:val="651C672C"/>
    <w:lvl w:ilvl="0" w:tplc="9210F764">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113B8"/>
    <w:multiLevelType w:val="hybridMultilevel"/>
    <w:tmpl w:val="45F4EEE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36B99"/>
    <w:multiLevelType w:val="hybridMultilevel"/>
    <w:tmpl w:val="21CA969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105C9"/>
    <w:multiLevelType w:val="multilevel"/>
    <w:tmpl w:val="2D880580"/>
    <w:lvl w:ilvl="0">
      <w:start w:val="1"/>
      <w:numFmt w:val="bullet"/>
      <w:lvlText w:val=""/>
      <w:lvlJc w:val="left"/>
      <w:pPr>
        <w:tabs>
          <w:tab w:val="num" w:pos="1440"/>
        </w:tabs>
        <w:ind w:left="1440" w:hanging="360"/>
      </w:pPr>
      <w:rPr>
        <w:rFonts w:ascii="Symbol" w:hAnsi="Symbol" w:hint="default"/>
        <w:color w:val="999999"/>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5B25A0"/>
    <w:multiLevelType w:val="hybridMultilevel"/>
    <w:tmpl w:val="534C1F8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04900"/>
    <w:multiLevelType w:val="hybridMultilevel"/>
    <w:tmpl w:val="7102F40E"/>
    <w:lvl w:ilvl="0" w:tplc="2A2E8D14">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5" w15:restartNumberingAfterBreak="0">
    <w:nsid w:val="58323F85"/>
    <w:multiLevelType w:val="hybridMultilevel"/>
    <w:tmpl w:val="C59C6A6A"/>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15:restartNumberingAfterBreak="0">
    <w:nsid w:val="5C573C36"/>
    <w:multiLevelType w:val="hybridMultilevel"/>
    <w:tmpl w:val="45CCF6BE"/>
    <w:lvl w:ilvl="0" w:tplc="04260001">
      <w:start w:val="1"/>
      <w:numFmt w:val="bullet"/>
      <w:lvlText w:val=""/>
      <w:lvlJc w:val="left"/>
      <w:pPr>
        <w:tabs>
          <w:tab w:val="num" w:pos="1260"/>
        </w:tabs>
        <w:ind w:left="1260" w:hanging="360"/>
      </w:pPr>
      <w:rPr>
        <w:rFonts w:ascii="Symbol" w:hAnsi="Symbol" w:hint="default"/>
      </w:rPr>
    </w:lvl>
    <w:lvl w:ilvl="1" w:tplc="04260003">
      <w:start w:val="1"/>
      <w:numFmt w:val="bullet"/>
      <w:lvlText w:val="o"/>
      <w:lvlJc w:val="left"/>
      <w:pPr>
        <w:tabs>
          <w:tab w:val="num" w:pos="1980"/>
        </w:tabs>
        <w:ind w:left="1980" w:hanging="360"/>
      </w:pPr>
      <w:rPr>
        <w:rFonts w:ascii="Courier New" w:hAnsi="Courier New" w:hint="default"/>
      </w:rPr>
    </w:lvl>
    <w:lvl w:ilvl="2" w:tplc="04260005">
      <w:start w:val="1"/>
      <w:numFmt w:val="bullet"/>
      <w:lvlText w:val=""/>
      <w:lvlJc w:val="left"/>
      <w:pPr>
        <w:tabs>
          <w:tab w:val="num" w:pos="2700"/>
        </w:tabs>
        <w:ind w:left="2700" w:hanging="360"/>
      </w:pPr>
      <w:rPr>
        <w:rFonts w:ascii="Wingdings" w:hAnsi="Wingdings" w:hint="default"/>
      </w:rPr>
    </w:lvl>
    <w:lvl w:ilvl="3" w:tplc="04260001">
      <w:start w:val="1"/>
      <w:numFmt w:val="bullet"/>
      <w:lvlText w:val=""/>
      <w:lvlJc w:val="left"/>
      <w:pPr>
        <w:tabs>
          <w:tab w:val="num" w:pos="3420"/>
        </w:tabs>
        <w:ind w:left="3420" w:hanging="360"/>
      </w:pPr>
      <w:rPr>
        <w:rFonts w:ascii="Symbol" w:hAnsi="Symbol" w:hint="default"/>
      </w:rPr>
    </w:lvl>
    <w:lvl w:ilvl="4" w:tplc="04260003">
      <w:start w:val="1"/>
      <w:numFmt w:val="bullet"/>
      <w:lvlText w:val="o"/>
      <w:lvlJc w:val="left"/>
      <w:pPr>
        <w:tabs>
          <w:tab w:val="num" w:pos="4140"/>
        </w:tabs>
        <w:ind w:left="4140" w:hanging="360"/>
      </w:pPr>
      <w:rPr>
        <w:rFonts w:ascii="Courier New" w:hAnsi="Courier New" w:hint="default"/>
      </w:rPr>
    </w:lvl>
    <w:lvl w:ilvl="5" w:tplc="04260005">
      <w:start w:val="1"/>
      <w:numFmt w:val="bullet"/>
      <w:lvlText w:val=""/>
      <w:lvlJc w:val="left"/>
      <w:pPr>
        <w:tabs>
          <w:tab w:val="num" w:pos="4860"/>
        </w:tabs>
        <w:ind w:left="4860" w:hanging="360"/>
      </w:pPr>
      <w:rPr>
        <w:rFonts w:ascii="Wingdings" w:hAnsi="Wingdings" w:hint="default"/>
      </w:rPr>
    </w:lvl>
    <w:lvl w:ilvl="6" w:tplc="04260001">
      <w:start w:val="1"/>
      <w:numFmt w:val="bullet"/>
      <w:lvlText w:val=""/>
      <w:lvlJc w:val="left"/>
      <w:pPr>
        <w:tabs>
          <w:tab w:val="num" w:pos="5580"/>
        </w:tabs>
        <w:ind w:left="5580" w:hanging="360"/>
      </w:pPr>
      <w:rPr>
        <w:rFonts w:ascii="Symbol" w:hAnsi="Symbol" w:hint="default"/>
      </w:rPr>
    </w:lvl>
    <w:lvl w:ilvl="7" w:tplc="04260003">
      <w:start w:val="1"/>
      <w:numFmt w:val="bullet"/>
      <w:lvlText w:val="o"/>
      <w:lvlJc w:val="left"/>
      <w:pPr>
        <w:tabs>
          <w:tab w:val="num" w:pos="6300"/>
        </w:tabs>
        <w:ind w:left="6300" w:hanging="360"/>
      </w:pPr>
      <w:rPr>
        <w:rFonts w:ascii="Courier New" w:hAnsi="Courier New" w:hint="default"/>
      </w:rPr>
    </w:lvl>
    <w:lvl w:ilvl="8" w:tplc="0426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09E4D94"/>
    <w:multiLevelType w:val="multilevel"/>
    <w:tmpl w:val="1C30CE6E"/>
    <w:lvl w:ilvl="0">
      <w:start w:val="1"/>
      <w:numFmt w:val="upperLetter"/>
      <w:pStyle w:val="Heading1"/>
      <w:lvlText w:val="%1."/>
      <w:lvlJc w:val="left"/>
      <w:pPr>
        <w:tabs>
          <w:tab w:val="num" w:pos="360"/>
        </w:tabs>
      </w:pPr>
      <w:rPr>
        <w:rFonts w:cs="Times New Roman" w:hint="default"/>
      </w:rPr>
    </w:lvl>
    <w:lvl w:ilvl="1">
      <w:start w:val="1"/>
      <w:numFmt w:val="upperRoman"/>
      <w:lvlRestart w:val="0"/>
      <w:pStyle w:val="Heading2"/>
      <w:lvlText w:val="%2."/>
      <w:lvlJc w:val="left"/>
      <w:pPr>
        <w:tabs>
          <w:tab w:val="num" w:pos="1080"/>
        </w:tabs>
        <w:ind w:left="680" w:hanging="68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8" w15:restartNumberingAfterBreak="0">
    <w:nsid w:val="61206528"/>
    <w:multiLevelType w:val="hybridMultilevel"/>
    <w:tmpl w:val="0A7EDBB8"/>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636A28FE"/>
    <w:multiLevelType w:val="hybridMultilevel"/>
    <w:tmpl w:val="69C664DE"/>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0" w15:restartNumberingAfterBreak="0">
    <w:nsid w:val="6E7312A2"/>
    <w:multiLevelType w:val="hybridMultilevel"/>
    <w:tmpl w:val="2D880580"/>
    <w:lvl w:ilvl="0" w:tplc="F852FEAC">
      <w:start w:val="1"/>
      <w:numFmt w:val="bullet"/>
      <w:lvlText w:val=""/>
      <w:lvlJc w:val="left"/>
      <w:pPr>
        <w:tabs>
          <w:tab w:val="num" w:pos="1440"/>
        </w:tabs>
        <w:ind w:left="1440" w:hanging="360"/>
      </w:pPr>
      <w:rPr>
        <w:rFonts w:ascii="Symbol" w:hAnsi="Symbol" w:hint="default"/>
        <w:color w:val="999999"/>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A40A95"/>
    <w:multiLevelType w:val="hybridMultilevel"/>
    <w:tmpl w:val="CE4604D8"/>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71F76F78"/>
    <w:multiLevelType w:val="hybridMultilevel"/>
    <w:tmpl w:val="6E7C21F0"/>
    <w:lvl w:ilvl="0" w:tplc="62C0E6D8">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33" w15:restartNumberingAfterBreak="0">
    <w:nsid w:val="7571546B"/>
    <w:multiLevelType w:val="hybridMultilevel"/>
    <w:tmpl w:val="B0484F32"/>
    <w:lvl w:ilvl="0" w:tplc="9210F764">
      <w:start w:val="1"/>
      <w:numFmt w:val="bullet"/>
      <w:lvlText w:val="-"/>
      <w:lvlJc w:val="left"/>
      <w:pPr>
        <w:tabs>
          <w:tab w:val="num" w:pos="1440"/>
        </w:tabs>
        <w:ind w:left="1440" w:hanging="360"/>
      </w:pPr>
      <w:rPr>
        <w:rFonts w:ascii="Times New Roman" w:eastAsia="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85D68FB"/>
    <w:multiLevelType w:val="hybridMultilevel"/>
    <w:tmpl w:val="D98080AA"/>
    <w:lvl w:ilvl="0" w:tplc="6C9E7358">
      <w:start w:val="1"/>
      <w:numFmt w:val="decimal"/>
      <w:lvlText w:val="%1)"/>
      <w:lvlJc w:val="left"/>
      <w:pPr>
        <w:tabs>
          <w:tab w:val="num" w:pos="720"/>
        </w:tabs>
        <w:ind w:left="72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7A2659FF"/>
    <w:multiLevelType w:val="hybridMultilevel"/>
    <w:tmpl w:val="AFACCF7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9"/>
  </w:num>
  <w:num w:numId="3">
    <w:abstractNumId w:val="13"/>
  </w:num>
  <w:num w:numId="4">
    <w:abstractNumId w:val="34"/>
  </w:num>
  <w:num w:numId="5">
    <w:abstractNumId w:val="30"/>
  </w:num>
  <w:num w:numId="6">
    <w:abstractNumId w:val="22"/>
  </w:num>
  <w:num w:numId="7">
    <w:abstractNumId w:val="6"/>
  </w:num>
  <w:num w:numId="8">
    <w:abstractNumId w:val="3"/>
  </w:num>
  <w:num w:numId="9">
    <w:abstractNumId w:val="24"/>
  </w:num>
  <w:num w:numId="10">
    <w:abstractNumId w:val="18"/>
  </w:num>
  <w:num w:numId="11">
    <w:abstractNumId w:val="16"/>
  </w:num>
  <w:num w:numId="12">
    <w:abstractNumId w:val="5"/>
  </w:num>
  <w:num w:numId="13">
    <w:abstractNumId w:val="32"/>
  </w:num>
  <w:num w:numId="14">
    <w:abstractNumId w:val="31"/>
  </w:num>
  <w:num w:numId="15">
    <w:abstractNumId w:val="29"/>
  </w:num>
  <w:num w:numId="16">
    <w:abstractNumId w:val="11"/>
  </w:num>
  <w:num w:numId="17">
    <w:abstractNumId w:val="10"/>
  </w:num>
  <w:num w:numId="18">
    <w:abstractNumId w:val="15"/>
  </w:num>
  <w:num w:numId="19">
    <w:abstractNumId w:val="23"/>
  </w:num>
  <w:num w:numId="20">
    <w:abstractNumId w:val="8"/>
  </w:num>
  <w:num w:numId="21">
    <w:abstractNumId w:val="0"/>
  </w:num>
  <w:num w:numId="22">
    <w:abstractNumId w:val="21"/>
  </w:num>
  <w:num w:numId="23">
    <w:abstractNumId w:val="20"/>
  </w:num>
  <w:num w:numId="24">
    <w:abstractNumId w:val="27"/>
  </w:num>
  <w:num w:numId="25">
    <w:abstractNumId w:val="1"/>
  </w:num>
  <w:num w:numId="26">
    <w:abstractNumId w:val="19"/>
  </w:num>
  <w:num w:numId="27">
    <w:abstractNumId w:val="33"/>
  </w:num>
  <w:num w:numId="28">
    <w:abstractNumId w:val="26"/>
  </w:num>
  <w:num w:numId="29">
    <w:abstractNumId w:val="35"/>
  </w:num>
  <w:num w:numId="30">
    <w:abstractNumId w:val="7"/>
  </w:num>
  <w:num w:numId="31">
    <w:abstractNumId w:val="27"/>
  </w:num>
  <w:num w:numId="32">
    <w:abstractNumId w:val="14"/>
  </w:num>
  <w:num w:numId="33">
    <w:abstractNumId w:val="17"/>
  </w:num>
  <w:num w:numId="34">
    <w:abstractNumId w:val="12"/>
  </w:num>
  <w:num w:numId="35">
    <w:abstractNumId w:val="27"/>
  </w:num>
  <w:num w:numId="36">
    <w:abstractNumId w:val="28"/>
  </w:num>
  <w:num w:numId="37">
    <w:abstractNumId w:val="2"/>
  </w:num>
  <w:num w:numId="38">
    <w:abstractNumId w:val="27"/>
  </w:num>
  <w:num w:numId="39">
    <w:abstractNumId w:val="2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44"/>
    <w:rsid w:val="0000034E"/>
    <w:rsid w:val="00000D2B"/>
    <w:rsid w:val="00000D30"/>
    <w:rsid w:val="0000118F"/>
    <w:rsid w:val="00001A2F"/>
    <w:rsid w:val="00001B7E"/>
    <w:rsid w:val="00001C3A"/>
    <w:rsid w:val="000024BC"/>
    <w:rsid w:val="00002686"/>
    <w:rsid w:val="0000283C"/>
    <w:rsid w:val="00002FCD"/>
    <w:rsid w:val="000033A0"/>
    <w:rsid w:val="0000392D"/>
    <w:rsid w:val="00003A35"/>
    <w:rsid w:val="00003BC8"/>
    <w:rsid w:val="00003EEE"/>
    <w:rsid w:val="000046EC"/>
    <w:rsid w:val="0000750E"/>
    <w:rsid w:val="00007BB6"/>
    <w:rsid w:val="00007C68"/>
    <w:rsid w:val="00007CEC"/>
    <w:rsid w:val="00007E52"/>
    <w:rsid w:val="00011C11"/>
    <w:rsid w:val="00011E37"/>
    <w:rsid w:val="000121BB"/>
    <w:rsid w:val="00012347"/>
    <w:rsid w:val="0001259A"/>
    <w:rsid w:val="0001352B"/>
    <w:rsid w:val="00013B92"/>
    <w:rsid w:val="00013E7D"/>
    <w:rsid w:val="00014011"/>
    <w:rsid w:val="000144DD"/>
    <w:rsid w:val="00014A7C"/>
    <w:rsid w:val="00015972"/>
    <w:rsid w:val="0001705D"/>
    <w:rsid w:val="00017237"/>
    <w:rsid w:val="000173A7"/>
    <w:rsid w:val="00020ACE"/>
    <w:rsid w:val="00020F08"/>
    <w:rsid w:val="00020FC5"/>
    <w:rsid w:val="0002114C"/>
    <w:rsid w:val="0002137F"/>
    <w:rsid w:val="00021416"/>
    <w:rsid w:val="000218CC"/>
    <w:rsid w:val="00021D6F"/>
    <w:rsid w:val="000224AE"/>
    <w:rsid w:val="00022B13"/>
    <w:rsid w:val="00022D68"/>
    <w:rsid w:val="00022F8F"/>
    <w:rsid w:val="00023AF1"/>
    <w:rsid w:val="00023B84"/>
    <w:rsid w:val="00023E04"/>
    <w:rsid w:val="000240F4"/>
    <w:rsid w:val="00024792"/>
    <w:rsid w:val="0002558E"/>
    <w:rsid w:val="00026252"/>
    <w:rsid w:val="00026840"/>
    <w:rsid w:val="00027A45"/>
    <w:rsid w:val="00030576"/>
    <w:rsid w:val="00030DA1"/>
    <w:rsid w:val="00030FD6"/>
    <w:rsid w:val="000315AD"/>
    <w:rsid w:val="00031A34"/>
    <w:rsid w:val="00031B1B"/>
    <w:rsid w:val="00031CDB"/>
    <w:rsid w:val="00031EA6"/>
    <w:rsid w:val="00032270"/>
    <w:rsid w:val="00032434"/>
    <w:rsid w:val="00032C83"/>
    <w:rsid w:val="00033170"/>
    <w:rsid w:val="00033296"/>
    <w:rsid w:val="00033C5D"/>
    <w:rsid w:val="00033DBF"/>
    <w:rsid w:val="00034895"/>
    <w:rsid w:val="00034A0C"/>
    <w:rsid w:val="00035009"/>
    <w:rsid w:val="00035041"/>
    <w:rsid w:val="000351A3"/>
    <w:rsid w:val="000352A9"/>
    <w:rsid w:val="00035DE4"/>
    <w:rsid w:val="000362A6"/>
    <w:rsid w:val="000362B2"/>
    <w:rsid w:val="0003649C"/>
    <w:rsid w:val="00037233"/>
    <w:rsid w:val="0003796E"/>
    <w:rsid w:val="00041547"/>
    <w:rsid w:val="000415B9"/>
    <w:rsid w:val="00041603"/>
    <w:rsid w:val="00041BF6"/>
    <w:rsid w:val="00042714"/>
    <w:rsid w:val="0004296D"/>
    <w:rsid w:val="0004383D"/>
    <w:rsid w:val="0004436B"/>
    <w:rsid w:val="00045079"/>
    <w:rsid w:val="0004549C"/>
    <w:rsid w:val="00045AA9"/>
    <w:rsid w:val="00046040"/>
    <w:rsid w:val="00046307"/>
    <w:rsid w:val="00046AFC"/>
    <w:rsid w:val="000505A7"/>
    <w:rsid w:val="00050948"/>
    <w:rsid w:val="00050F19"/>
    <w:rsid w:val="00051007"/>
    <w:rsid w:val="00052F70"/>
    <w:rsid w:val="00053587"/>
    <w:rsid w:val="00054146"/>
    <w:rsid w:val="0005445D"/>
    <w:rsid w:val="000546CA"/>
    <w:rsid w:val="000550A1"/>
    <w:rsid w:val="0005599A"/>
    <w:rsid w:val="00055E9E"/>
    <w:rsid w:val="0005740C"/>
    <w:rsid w:val="00057921"/>
    <w:rsid w:val="00060106"/>
    <w:rsid w:val="00060168"/>
    <w:rsid w:val="000603D0"/>
    <w:rsid w:val="00060589"/>
    <w:rsid w:val="00060E2F"/>
    <w:rsid w:val="000613FD"/>
    <w:rsid w:val="00061E9C"/>
    <w:rsid w:val="00063477"/>
    <w:rsid w:val="00063A15"/>
    <w:rsid w:val="00063B06"/>
    <w:rsid w:val="00063CE9"/>
    <w:rsid w:val="000641AF"/>
    <w:rsid w:val="00065073"/>
    <w:rsid w:val="00065DF6"/>
    <w:rsid w:val="0006670F"/>
    <w:rsid w:val="00066BB4"/>
    <w:rsid w:val="000673C5"/>
    <w:rsid w:val="000676A2"/>
    <w:rsid w:val="000677DC"/>
    <w:rsid w:val="0006788B"/>
    <w:rsid w:val="00067B78"/>
    <w:rsid w:val="00067DFD"/>
    <w:rsid w:val="0007003D"/>
    <w:rsid w:val="000703BD"/>
    <w:rsid w:val="0007086A"/>
    <w:rsid w:val="00070DB7"/>
    <w:rsid w:val="00071745"/>
    <w:rsid w:val="000723F6"/>
    <w:rsid w:val="0007298B"/>
    <w:rsid w:val="0007307F"/>
    <w:rsid w:val="00073AEB"/>
    <w:rsid w:val="000740D5"/>
    <w:rsid w:val="00074417"/>
    <w:rsid w:val="000747FE"/>
    <w:rsid w:val="00074B15"/>
    <w:rsid w:val="0007564C"/>
    <w:rsid w:val="000757B0"/>
    <w:rsid w:val="000757BB"/>
    <w:rsid w:val="00075884"/>
    <w:rsid w:val="00075B21"/>
    <w:rsid w:val="00076479"/>
    <w:rsid w:val="000764F0"/>
    <w:rsid w:val="00076771"/>
    <w:rsid w:val="00076F93"/>
    <w:rsid w:val="00077189"/>
    <w:rsid w:val="00077735"/>
    <w:rsid w:val="00077DCE"/>
    <w:rsid w:val="00077EE6"/>
    <w:rsid w:val="00080CCF"/>
    <w:rsid w:val="000810A4"/>
    <w:rsid w:val="00081132"/>
    <w:rsid w:val="00081F5B"/>
    <w:rsid w:val="000833D2"/>
    <w:rsid w:val="0008375D"/>
    <w:rsid w:val="000841B1"/>
    <w:rsid w:val="000849E2"/>
    <w:rsid w:val="00084D0D"/>
    <w:rsid w:val="0008506B"/>
    <w:rsid w:val="000851B1"/>
    <w:rsid w:val="00085B7D"/>
    <w:rsid w:val="00085F30"/>
    <w:rsid w:val="0008636B"/>
    <w:rsid w:val="000866A2"/>
    <w:rsid w:val="00086979"/>
    <w:rsid w:val="000869CD"/>
    <w:rsid w:val="00086DB5"/>
    <w:rsid w:val="00086E89"/>
    <w:rsid w:val="0009193B"/>
    <w:rsid w:val="00091E2C"/>
    <w:rsid w:val="00092145"/>
    <w:rsid w:val="00092A01"/>
    <w:rsid w:val="000931A6"/>
    <w:rsid w:val="0009386B"/>
    <w:rsid w:val="00093CAF"/>
    <w:rsid w:val="00093F53"/>
    <w:rsid w:val="000942F6"/>
    <w:rsid w:val="00094986"/>
    <w:rsid w:val="00095429"/>
    <w:rsid w:val="00096205"/>
    <w:rsid w:val="00096B8B"/>
    <w:rsid w:val="00097048"/>
    <w:rsid w:val="00097420"/>
    <w:rsid w:val="000975CB"/>
    <w:rsid w:val="00097E56"/>
    <w:rsid w:val="00097FCF"/>
    <w:rsid w:val="000A18A8"/>
    <w:rsid w:val="000A1B59"/>
    <w:rsid w:val="000A2B0D"/>
    <w:rsid w:val="000A3A35"/>
    <w:rsid w:val="000A3FB9"/>
    <w:rsid w:val="000A4038"/>
    <w:rsid w:val="000A448A"/>
    <w:rsid w:val="000A4568"/>
    <w:rsid w:val="000A46A7"/>
    <w:rsid w:val="000A46DE"/>
    <w:rsid w:val="000A4C08"/>
    <w:rsid w:val="000A5162"/>
    <w:rsid w:val="000A673A"/>
    <w:rsid w:val="000A67E0"/>
    <w:rsid w:val="000A6C97"/>
    <w:rsid w:val="000A6EAC"/>
    <w:rsid w:val="000A7E26"/>
    <w:rsid w:val="000B04EC"/>
    <w:rsid w:val="000B05B3"/>
    <w:rsid w:val="000B0F06"/>
    <w:rsid w:val="000B1002"/>
    <w:rsid w:val="000B1E81"/>
    <w:rsid w:val="000B1F35"/>
    <w:rsid w:val="000B2DD2"/>
    <w:rsid w:val="000B30AB"/>
    <w:rsid w:val="000B33BC"/>
    <w:rsid w:val="000B3E43"/>
    <w:rsid w:val="000B447E"/>
    <w:rsid w:val="000B5384"/>
    <w:rsid w:val="000B540A"/>
    <w:rsid w:val="000B5C65"/>
    <w:rsid w:val="000B6186"/>
    <w:rsid w:val="000B6D11"/>
    <w:rsid w:val="000B77F0"/>
    <w:rsid w:val="000B7A00"/>
    <w:rsid w:val="000B7A95"/>
    <w:rsid w:val="000B7E7A"/>
    <w:rsid w:val="000C01F4"/>
    <w:rsid w:val="000C05AA"/>
    <w:rsid w:val="000C0915"/>
    <w:rsid w:val="000C189E"/>
    <w:rsid w:val="000C23B9"/>
    <w:rsid w:val="000C26CD"/>
    <w:rsid w:val="000C3018"/>
    <w:rsid w:val="000C3038"/>
    <w:rsid w:val="000C372C"/>
    <w:rsid w:val="000C383F"/>
    <w:rsid w:val="000C39F7"/>
    <w:rsid w:val="000C3B53"/>
    <w:rsid w:val="000C3DE7"/>
    <w:rsid w:val="000C3F14"/>
    <w:rsid w:val="000C41DE"/>
    <w:rsid w:val="000C4FBF"/>
    <w:rsid w:val="000C50E7"/>
    <w:rsid w:val="000C7154"/>
    <w:rsid w:val="000C75A0"/>
    <w:rsid w:val="000C75B6"/>
    <w:rsid w:val="000C76E0"/>
    <w:rsid w:val="000C7BC9"/>
    <w:rsid w:val="000D0575"/>
    <w:rsid w:val="000D0EED"/>
    <w:rsid w:val="000D178C"/>
    <w:rsid w:val="000D2955"/>
    <w:rsid w:val="000D3445"/>
    <w:rsid w:val="000D3A7B"/>
    <w:rsid w:val="000D4C1E"/>
    <w:rsid w:val="000D5970"/>
    <w:rsid w:val="000D5B75"/>
    <w:rsid w:val="000D6B5A"/>
    <w:rsid w:val="000D6FBC"/>
    <w:rsid w:val="000D7234"/>
    <w:rsid w:val="000D74D1"/>
    <w:rsid w:val="000E0E56"/>
    <w:rsid w:val="000E0ECC"/>
    <w:rsid w:val="000E1F88"/>
    <w:rsid w:val="000E2563"/>
    <w:rsid w:val="000E3406"/>
    <w:rsid w:val="000E3713"/>
    <w:rsid w:val="000E418D"/>
    <w:rsid w:val="000E44A0"/>
    <w:rsid w:val="000E488C"/>
    <w:rsid w:val="000E48C8"/>
    <w:rsid w:val="000E4A63"/>
    <w:rsid w:val="000E5426"/>
    <w:rsid w:val="000E564B"/>
    <w:rsid w:val="000E56FC"/>
    <w:rsid w:val="000E5984"/>
    <w:rsid w:val="000E5DE8"/>
    <w:rsid w:val="000E5F1A"/>
    <w:rsid w:val="000E6F0E"/>
    <w:rsid w:val="000E7165"/>
    <w:rsid w:val="000E7267"/>
    <w:rsid w:val="000E78BA"/>
    <w:rsid w:val="000E7B2B"/>
    <w:rsid w:val="000F008B"/>
    <w:rsid w:val="000F0154"/>
    <w:rsid w:val="000F019C"/>
    <w:rsid w:val="000F1159"/>
    <w:rsid w:val="000F120B"/>
    <w:rsid w:val="000F1894"/>
    <w:rsid w:val="000F19B4"/>
    <w:rsid w:val="000F1AB2"/>
    <w:rsid w:val="000F1C2A"/>
    <w:rsid w:val="000F2DE4"/>
    <w:rsid w:val="000F2F51"/>
    <w:rsid w:val="000F2FCF"/>
    <w:rsid w:val="000F3353"/>
    <w:rsid w:val="000F3C8B"/>
    <w:rsid w:val="000F48DE"/>
    <w:rsid w:val="000F4D50"/>
    <w:rsid w:val="000F4D5C"/>
    <w:rsid w:val="000F5769"/>
    <w:rsid w:val="000F592E"/>
    <w:rsid w:val="000F6195"/>
    <w:rsid w:val="000F61CE"/>
    <w:rsid w:val="000F6C88"/>
    <w:rsid w:val="000F6ED6"/>
    <w:rsid w:val="000F706D"/>
    <w:rsid w:val="000F71A6"/>
    <w:rsid w:val="000F71AE"/>
    <w:rsid w:val="000F752F"/>
    <w:rsid w:val="000F763E"/>
    <w:rsid w:val="000F77A4"/>
    <w:rsid w:val="000F7FD1"/>
    <w:rsid w:val="0010009B"/>
    <w:rsid w:val="001003AC"/>
    <w:rsid w:val="00102CA0"/>
    <w:rsid w:val="0010305C"/>
    <w:rsid w:val="0010367D"/>
    <w:rsid w:val="00103845"/>
    <w:rsid w:val="00103F7A"/>
    <w:rsid w:val="001045B3"/>
    <w:rsid w:val="0010489F"/>
    <w:rsid w:val="001049E5"/>
    <w:rsid w:val="0010538C"/>
    <w:rsid w:val="001053BF"/>
    <w:rsid w:val="001058FF"/>
    <w:rsid w:val="00106A32"/>
    <w:rsid w:val="00107221"/>
    <w:rsid w:val="00107D24"/>
    <w:rsid w:val="0011025B"/>
    <w:rsid w:val="00111112"/>
    <w:rsid w:val="001119B2"/>
    <w:rsid w:val="00111D9D"/>
    <w:rsid w:val="001120E3"/>
    <w:rsid w:val="00112120"/>
    <w:rsid w:val="0011215B"/>
    <w:rsid w:val="001125CC"/>
    <w:rsid w:val="00112F34"/>
    <w:rsid w:val="00113023"/>
    <w:rsid w:val="001134EE"/>
    <w:rsid w:val="001134F9"/>
    <w:rsid w:val="00113C0D"/>
    <w:rsid w:val="00113D07"/>
    <w:rsid w:val="00113F0B"/>
    <w:rsid w:val="0011422A"/>
    <w:rsid w:val="001146F1"/>
    <w:rsid w:val="00114A00"/>
    <w:rsid w:val="00114BB8"/>
    <w:rsid w:val="00114DF7"/>
    <w:rsid w:val="0011540B"/>
    <w:rsid w:val="00116097"/>
    <w:rsid w:val="00117619"/>
    <w:rsid w:val="00117AF4"/>
    <w:rsid w:val="00117C85"/>
    <w:rsid w:val="00117D2A"/>
    <w:rsid w:val="0012023F"/>
    <w:rsid w:val="001208B4"/>
    <w:rsid w:val="00120EAE"/>
    <w:rsid w:val="001217F7"/>
    <w:rsid w:val="001223AD"/>
    <w:rsid w:val="00122ACC"/>
    <w:rsid w:val="00122B3D"/>
    <w:rsid w:val="00122C13"/>
    <w:rsid w:val="00122D7D"/>
    <w:rsid w:val="001231F1"/>
    <w:rsid w:val="001237A0"/>
    <w:rsid w:val="00124A35"/>
    <w:rsid w:val="00124B42"/>
    <w:rsid w:val="001253F7"/>
    <w:rsid w:val="00125B41"/>
    <w:rsid w:val="001264E0"/>
    <w:rsid w:val="001276C7"/>
    <w:rsid w:val="00127715"/>
    <w:rsid w:val="0012773E"/>
    <w:rsid w:val="001277F3"/>
    <w:rsid w:val="00131905"/>
    <w:rsid w:val="001329F9"/>
    <w:rsid w:val="00132C9E"/>
    <w:rsid w:val="00132DF9"/>
    <w:rsid w:val="001330D0"/>
    <w:rsid w:val="00134567"/>
    <w:rsid w:val="001355F7"/>
    <w:rsid w:val="00135937"/>
    <w:rsid w:val="00136247"/>
    <w:rsid w:val="00136497"/>
    <w:rsid w:val="001364C4"/>
    <w:rsid w:val="001369CE"/>
    <w:rsid w:val="00136DCF"/>
    <w:rsid w:val="00136E10"/>
    <w:rsid w:val="00137723"/>
    <w:rsid w:val="00137C80"/>
    <w:rsid w:val="001403E0"/>
    <w:rsid w:val="001405A0"/>
    <w:rsid w:val="00140DAF"/>
    <w:rsid w:val="00141076"/>
    <w:rsid w:val="00141C37"/>
    <w:rsid w:val="00141C6E"/>
    <w:rsid w:val="001421E8"/>
    <w:rsid w:val="00142319"/>
    <w:rsid w:val="001437FA"/>
    <w:rsid w:val="00143E99"/>
    <w:rsid w:val="001444C1"/>
    <w:rsid w:val="001449A8"/>
    <w:rsid w:val="00145180"/>
    <w:rsid w:val="00145CBF"/>
    <w:rsid w:val="001462FE"/>
    <w:rsid w:val="00146E6C"/>
    <w:rsid w:val="00146FFE"/>
    <w:rsid w:val="001500C1"/>
    <w:rsid w:val="0015047D"/>
    <w:rsid w:val="00151617"/>
    <w:rsid w:val="001516E7"/>
    <w:rsid w:val="00151CA9"/>
    <w:rsid w:val="00151FE2"/>
    <w:rsid w:val="00152228"/>
    <w:rsid w:val="0015238C"/>
    <w:rsid w:val="001523D3"/>
    <w:rsid w:val="001525F8"/>
    <w:rsid w:val="0015302B"/>
    <w:rsid w:val="00153E4D"/>
    <w:rsid w:val="00153E7F"/>
    <w:rsid w:val="00153FD9"/>
    <w:rsid w:val="0015494C"/>
    <w:rsid w:val="00154967"/>
    <w:rsid w:val="00154970"/>
    <w:rsid w:val="00154A60"/>
    <w:rsid w:val="0015540A"/>
    <w:rsid w:val="0015666C"/>
    <w:rsid w:val="00156897"/>
    <w:rsid w:val="00156F80"/>
    <w:rsid w:val="00157277"/>
    <w:rsid w:val="00157346"/>
    <w:rsid w:val="00157CAE"/>
    <w:rsid w:val="0016113A"/>
    <w:rsid w:val="00161323"/>
    <w:rsid w:val="00161A3B"/>
    <w:rsid w:val="00161F52"/>
    <w:rsid w:val="00164015"/>
    <w:rsid w:val="0016408E"/>
    <w:rsid w:val="001645B0"/>
    <w:rsid w:val="00164765"/>
    <w:rsid w:val="00164901"/>
    <w:rsid w:val="00164EBD"/>
    <w:rsid w:val="001650B7"/>
    <w:rsid w:val="00165531"/>
    <w:rsid w:val="00166389"/>
    <w:rsid w:val="00166B91"/>
    <w:rsid w:val="00167502"/>
    <w:rsid w:val="001677C2"/>
    <w:rsid w:val="00167C13"/>
    <w:rsid w:val="00167D45"/>
    <w:rsid w:val="0017019B"/>
    <w:rsid w:val="001704E1"/>
    <w:rsid w:val="0017088A"/>
    <w:rsid w:val="00170928"/>
    <w:rsid w:val="00170BA3"/>
    <w:rsid w:val="001712CA"/>
    <w:rsid w:val="00171580"/>
    <w:rsid w:val="00171B2C"/>
    <w:rsid w:val="00171EE0"/>
    <w:rsid w:val="00173333"/>
    <w:rsid w:val="00173C53"/>
    <w:rsid w:val="001740C9"/>
    <w:rsid w:val="001745E8"/>
    <w:rsid w:val="00174B1C"/>
    <w:rsid w:val="00174EFD"/>
    <w:rsid w:val="00175075"/>
    <w:rsid w:val="00176F4A"/>
    <w:rsid w:val="001779CD"/>
    <w:rsid w:val="00180177"/>
    <w:rsid w:val="00181181"/>
    <w:rsid w:val="0018141C"/>
    <w:rsid w:val="00181A81"/>
    <w:rsid w:val="0018241D"/>
    <w:rsid w:val="00182979"/>
    <w:rsid w:val="00182D9A"/>
    <w:rsid w:val="00182DA4"/>
    <w:rsid w:val="00182EC0"/>
    <w:rsid w:val="001835FF"/>
    <w:rsid w:val="001844F1"/>
    <w:rsid w:val="001846A6"/>
    <w:rsid w:val="00184E2D"/>
    <w:rsid w:val="00185171"/>
    <w:rsid w:val="001852BD"/>
    <w:rsid w:val="00185AD1"/>
    <w:rsid w:val="00185C2F"/>
    <w:rsid w:val="00185CCF"/>
    <w:rsid w:val="0018692F"/>
    <w:rsid w:val="00186FD4"/>
    <w:rsid w:val="00187626"/>
    <w:rsid w:val="00187C50"/>
    <w:rsid w:val="00190586"/>
    <w:rsid w:val="00190824"/>
    <w:rsid w:val="0019219B"/>
    <w:rsid w:val="0019224F"/>
    <w:rsid w:val="00192411"/>
    <w:rsid w:val="001925AA"/>
    <w:rsid w:val="00192969"/>
    <w:rsid w:val="00194C89"/>
    <w:rsid w:val="00195230"/>
    <w:rsid w:val="0019682D"/>
    <w:rsid w:val="00196F4A"/>
    <w:rsid w:val="00196FF4"/>
    <w:rsid w:val="00197210"/>
    <w:rsid w:val="00197FAE"/>
    <w:rsid w:val="00197FDB"/>
    <w:rsid w:val="001A07E3"/>
    <w:rsid w:val="001A0EE5"/>
    <w:rsid w:val="001A1372"/>
    <w:rsid w:val="001A2330"/>
    <w:rsid w:val="001A247E"/>
    <w:rsid w:val="001A265E"/>
    <w:rsid w:val="001A2826"/>
    <w:rsid w:val="001A3635"/>
    <w:rsid w:val="001A37A4"/>
    <w:rsid w:val="001A3A37"/>
    <w:rsid w:val="001A596C"/>
    <w:rsid w:val="001A65F9"/>
    <w:rsid w:val="001A68C6"/>
    <w:rsid w:val="001A7CB0"/>
    <w:rsid w:val="001A7E49"/>
    <w:rsid w:val="001B0451"/>
    <w:rsid w:val="001B0540"/>
    <w:rsid w:val="001B0596"/>
    <w:rsid w:val="001B2155"/>
    <w:rsid w:val="001B2753"/>
    <w:rsid w:val="001B2C83"/>
    <w:rsid w:val="001B2DCF"/>
    <w:rsid w:val="001B2EAC"/>
    <w:rsid w:val="001B2FDB"/>
    <w:rsid w:val="001B383E"/>
    <w:rsid w:val="001B3A3E"/>
    <w:rsid w:val="001B492C"/>
    <w:rsid w:val="001B4E8D"/>
    <w:rsid w:val="001B5C79"/>
    <w:rsid w:val="001B6088"/>
    <w:rsid w:val="001B6BA0"/>
    <w:rsid w:val="001B6BD1"/>
    <w:rsid w:val="001B6E40"/>
    <w:rsid w:val="001B6ECF"/>
    <w:rsid w:val="001B774A"/>
    <w:rsid w:val="001B7860"/>
    <w:rsid w:val="001C01A1"/>
    <w:rsid w:val="001C02A5"/>
    <w:rsid w:val="001C05CC"/>
    <w:rsid w:val="001C063C"/>
    <w:rsid w:val="001C08E9"/>
    <w:rsid w:val="001C0A5E"/>
    <w:rsid w:val="001C1246"/>
    <w:rsid w:val="001C21BA"/>
    <w:rsid w:val="001C261D"/>
    <w:rsid w:val="001C28D3"/>
    <w:rsid w:val="001C3092"/>
    <w:rsid w:val="001C405F"/>
    <w:rsid w:val="001C4B8B"/>
    <w:rsid w:val="001C4CA0"/>
    <w:rsid w:val="001C4F73"/>
    <w:rsid w:val="001C5217"/>
    <w:rsid w:val="001C5412"/>
    <w:rsid w:val="001C5436"/>
    <w:rsid w:val="001C6204"/>
    <w:rsid w:val="001C6EA3"/>
    <w:rsid w:val="001C717C"/>
    <w:rsid w:val="001C7581"/>
    <w:rsid w:val="001C7F2B"/>
    <w:rsid w:val="001D05EB"/>
    <w:rsid w:val="001D0E6A"/>
    <w:rsid w:val="001D12C5"/>
    <w:rsid w:val="001D1BBA"/>
    <w:rsid w:val="001D2C4F"/>
    <w:rsid w:val="001D3594"/>
    <w:rsid w:val="001D3C22"/>
    <w:rsid w:val="001D4260"/>
    <w:rsid w:val="001D518A"/>
    <w:rsid w:val="001D56D4"/>
    <w:rsid w:val="001D5C70"/>
    <w:rsid w:val="001D5F39"/>
    <w:rsid w:val="001D5FE8"/>
    <w:rsid w:val="001D7295"/>
    <w:rsid w:val="001D755B"/>
    <w:rsid w:val="001E0144"/>
    <w:rsid w:val="001E03B5"/>
    <w:rsid w:val="001E065A"/>
    <w:rsid w:val="001E1225"/>
    <w:rsid w:val="001E1599"/>
    <w:rsid w:val="001E1AD2"/>
    <w:rsid w:val="001E22DA"/>
    <w:rsid w:val="001E23E1"/>
    <w:rsid w:val="001E2828"/>
    <w:rsid w:val="001E2A1A"/>
    <w:rsid w:val="001E314A"/>
    <w:rsid w:val="001E329B"/>
    <w:rsid w:val="001E33FB"/>
    <w:rsid w:val="001E3923"/>
    <w:rsid w:val="001E4264"/>
    <w:rsid w:val="001E5989"/>
    <w:rsid w:val="001E617C"/>
    <w:rsid w:val="001E6249"/>
    <w:rsid w:val="001E67E3"/>
    <w:rsid w:val="001E7211"/>
    <w:rsid w:val="001E7EFE"/>
    <w:rsid w:val="001F1127"/>
    <w:rsid w:val="001F15C0"/>
    <w:rsid w:val="001F15E5"/>
    <w:rsid w:val="001F19A2"/>
    <w:rsid w:val="001F1C73"/>
    <w:rsid w:val="001F2262"/>
    <w:rsid w:val="001F22C0"/>
    <w:rsid w:val="001F256E"/>
    <w:rsid w:val="001F2D88"/>
    <w:rsid w:val="001F2F1F"/>
    <w:rsid w:val="001F3118"/>
    <w:rsid w:val="001F3343"/>
    <w:rsid w:val="001F3454"/>
    <w:rsid w:val="001F4832"/>
    <w:rsid w:val="001F5787"/>
    <w:rsid w:val="001F5E3B"/>
    <w:rsid w:val="001F62BB"/>
    <w:rsid w:val="001F64C6"/>
    <w:rsid w:val="001F6721"/>
    <w:rsid w:val="001F69DF"/>
    <w:rsid w:val="001F73EE"/>
    <w:rsid w:val="001F7509"/>
    <w:rsid w:val="002003A4"/>
    <w:rsid w:val="00200527"/>
    <w:rsid w:val="00200A3A"/>
    <w:rsid w:val="00200B9D"/>
    <w:rsid w:val="002010FA"/>
    <w:rsid w:val="00201296"/>
    <w:rsid w:val="002014CB"/>
    <w:rsid w:val="0020280B"/>
    <w:rsid w:val="0020313D"/>
    <w:rsid w:val="002031A8"/>
    <w:rsid w:val="00203CB2"/>
    <w:rsid w:val="00203E32"/>
    <w:rsid w:val="0020484D"/>
    <w:rsid w:val="0020562E"/>
    <w:rsid w:val="00206BA2"/>
    <w:rsid w:val="002075C0"/>
    <w:rsid w:val="00207D1F"/>
    <w:rsid w:val="002103E3"/>
    <w:rsid w:val="00210401"/>
    <w:rsid w:val="00210E4A"/>
    <w:rsid w:val="002112F4"/>
    <w:rsid w:val="0021171A"/>
    <w:rsid w:val="00211C20"/>
    <w:rsid w:val="00211C6B"/>
    <w:rsid w:val="00211C7C"/>
    <w:rsid w:val="00211D09"/>
    <w:rsid w:val="00211ED9"/>
    <w:rsid w:val="002122BE"/>
    <w:rsid w:val="00212484"/>
    <w:rsid w:val="00212507"/>
    <w:rsid w:val="00213852"/>
    <w:rsid w:val="00213A1C"/>
    <w:rsid w:val="00213E6F"/>
    <w:rsid w:val="00215FED"/>
    <w:rsid w:val="00216455"/>
    <w:rsid w:val="00216488"/>
    <w:rsid w:val="0021690B"/>
    <w:rsid w:val="002169E2"/>
    <w:rsid w:val="00216A3C"/>
    <w:rsid w:val="00216C7A"/>
    <w:rsid w:val="002173D3"/>
    <w:rsid w:val="00217584"/>
    <w:rsid w:val="00220050"/>
    <w:rsid w:val="00220EB1"/>
    <w:rsid w:val="002210E0"/>
    <w:rsid w:val="0022156E"/>
    <w:rsid w:val="00221BDF"/>
    <w:rsid w:val="00221C42"/>
    <w:rsid w:val="00221E12"/>
    <w:rsid w:val="00222376"/>
    <w:rsid w:val="0022289F"/>
    <w:rsid w:val="0022405A"/>
    <w:rsid w:val="00224366"/>
    <w:rsid w:val="002244C4"/>
    <w:rsid w:val="00224924"/>
    <w:rsid w:val="0022515C"/>
    <w:rsid w:val="00225EEE"/>
    <w:rsid w:val="00226954"/>
    <w:rsid w:val="00230039"/>
    <w:rsid w:val="002303BC"/>
    <w:rsid w:val="002309BA"/>
    <w:rsid w:val="00230DDC"/>
    <w:rsid w:val="00230F46"/>
    <w:rsid w:val="002313FE"/>
    <w:rsid w:val="002315D0"/>
    <w:rsid w:val="00231955"/>
    <w:rsid w:val="00232053"/>
    <w:rsid w:val="002327A5"/>
    <w:rsid w:val="00232B90"/>
    <w:rsid w:val="00232C03"/>
    <w:rsid w:val="00232CAF"/>
    <w:rsid w:val="00233C7C"/>
    <w:rsid w:val="00234783"/>
    <w:rsid w:val="0023598C"/>
    <w:rsid w:val="00235C27"/>
    <w:rsid w:val="00235F29"/>
    <w:rsid w:val="0023628F"/>
    <w:rsid w:val="002364FE"/>
    <w:rsid w:val="00236A2B"/>
    <w:rsid w:val="0023791E"/>
    <w:rsid w:val="00237C83"/>
    <w:rsid w:val="0024119D"/>
    <w:rsid w:val="002415F0"/>
    <w:rsid w:val="00241A83"/>
    <w:rsid w:val="00242667"/>
    <w:rsid w:val="0024289A"/>
    <w:rsid w:val="00243678"/>
    <w:rsid w:val="00243A46"/>
    <w:rsid w:val="0024552B"/>
    <w:rsid w:val="00245620"/>
    <w:rsid w:val="00245E1B"/>
    <w:rsid w:val="00246AAD"/>
    <w:rsid w:val="00247142"/>
    <w:rsid w:val="002473EF"/>
    <w:rsid w:val="002476F0"/>
    <w:rsid w:val="00247D29"/>
    <w:rsid w:val="0025099C"/>
    <w:rsid w:val="002512AD"/>
    <w:rsid w:val="002516B2"/>
    <w:rsid w:val="00252309"/>
    <w:rsid w:val="00252844"/>
    <w:rsid w:val="002531C5"/>
    <w:rsid w:val="00253CFD"/>
    <w:rsid w:val="00253FEF"/>
    <w:rsid w:val="002542A2"/>
    <w:rsid w:val="0025500F"/>
    <w:rsid w:val="002551E5"/>
    <w:rsid w:val="0025532D"/>
    <w:rsid w:val="0025535E"/>
    <w:rsid w:val="002554DF"/>
    <w:rsid w:val="002570BE"/>
    <w:rsid w:val="002577B2"/>
    <w:rsid w:val="00257ED7"/>
    <w:rsid w:val="00260ACD"/>
    <w:rsid w:val="00261687"/>
    <w:rsid w:val="0026262F"/>
    <w:rsid w:val="002626CC"/>
    <w:rsid w:val="00263130"/>
    <w:rsid w:val="00263157"/>
    <w:rsid w:val="00263C50"/>
    <w:rsid w:val="00263CAC"/>
    <w:rsid w:val="00264EFE"/>
    <w:rsid w:val="00264FCD"/>
    <w:rsid w:val="002654A6"/>
    <w:rsid w:val="00266108"/>
    <w:rsid w:val="002665A7"/>
    <w:rsid w:val="00267F39"/>
    <w:rsid w:val="00270320"/>
    <w:rsid w:val="00270C38"/>
    <w:rsid w:val="00270CA6"/>
    <w:rsid w:val="00270E8F"/>
    <w:rsid w:val="0027139F"/>
    <w:rsid w:val="0027152A"/>
    <w:rsid w:val="002717A2"/>
    <w:rsid w:val="002721FA"/>
    <w:rsid w:val="00272596"/>
    <w:rsid w:val="00272DB8"/>
    <w:rsid w:val="00273CE4"/>
    <w:rsid w:val="00273FD7"/>
    <w:rsid w:val="002753C2"/>
    <w:rsid w:val="00275491"/>
    <w:rsid w:val="00276214"/>
    <w:rsid w:val="00276256"/>
    <w:rsid w:val="002762BC"/>
    <w:rsid w:val="00276C86"/>
    <w:rsid w:val="002772A4"/>
    <w:rsid w:val="00277571"/>
    <w:rsid w:val="00277A48"/>
    <w:rsid w:val="00277BCE"/>
    <w:rsid w:val="00277F41"/>
    <w:rsid w:val="002801A2"/>
    <w:rsid w:val="00280386"/>
    <w:rsid w:val="002804E9"/>
    <w:rsid w:val="00280527"/>
    <w:rsid w:val="00280725"/>
    <w:rsid w:val="002811BD"/>
    <w:rsid w:val="00281442"/>
    <w:rsid w:val="00282977"/>
    <w:rsid w:val="00282AD2"/>
    <w:rsid w:val="002830AC"/>
    <w:rsid w:val="00283E14"/>
    <w:rsid w:val="00284F79"/>
    <w:rsid w:val="0028561A"/>
    <w:rsid w:val="002858B6"/>
    <w:rsid w:val="002863A7"/>
    <w:rsid w:val="002865BD"/>
    <w:rsid w:val="002869FB"/>
    <w:rsid w:val="00287376"/>
    <w:rsid w:val="002873CE"/>
    <w:rsid w:val="00287DB9"/>
    <w:rsid w:val="00291695"/>
    <w:rsid w:val="00291753"/>
    <w:rsid w:val="00291978"/>
    <w:rsid w:val="00291B52"/>
    <w:rsid w:val="00291ED4"/>
    <w:rsid w:val="00292124"/>
    <w:rsid w:val="00292D70"/>
    <w:rsid w:val="00292DBD"/>
    <w:rsid w:val="00293A65"/>
    <w:rsid w:val="00293F30"/>
    <w:rsid w:val="00293FB3"/>
    <w:rsid w:val="0029569A"/>
    <w:rsid w:val="00297A80"/>
    <w:rsid w:val="00297CE0"/>
    <w:rsid w:val="002A0624"/>
    <w:rsid w:val="002A0A2F"/>
    <w:rsid w:val="002A1C34"/>
    <w:rsid w:val="002A2551"/>
    <w:rsid w:val="002A2BCB"/>
    <w:rsid w:val="002A3082"/>
    <w:rsid w:val="002A32DD"/>
    <w:rsid w:val="002A334D"/>
    <w:rsid w:val="002A352F"/>
    <w:rsid w:val="002A3628"/>
    <w:rsid w:val="002A41EE"/>
    <w:rsid w:val="002A4762"/>
    <w:rsid w:val="002A5B6D"/>
    <w:rsid w:val="002A649C"/>
    <w:rsid w:val="002A67D0"/>
    <w:rsid w:val="002A77B8"/>
    <w:rsid w:val="002A7A48"/>
    <w:rsid w:val="002A7A64"/>
    <w:rsid w:val="002A7E2E"/>
    <w:rsid w:val="002B0613"/>
    <w:rsid w:val="002B078E"/>
    <w:rsid w:val="002B0A4A"/>
    <w:rsid w:val="002B0A58"/>
    <w:rsid w:val="002B1E5B"/>
    <w:rsid w:val="002B3251"/>
    <w:rsid w:val="002B3334"/>
    <w:rsid w:val="002B42C0"/>
    <w:rsid w:val="002B589F"/>
    <w:rsid w:val="002B61B1"/>
    <w:rsid w:val="002B7697"/>
    <w:rsid w:val="002B7882"/>
    <w:rsid w:val="002B7AA4"/>
    <w:rsid w:val="002B7FB4"/>
    <w:rsid w:val="002C1AF0"/>
    <w:rsid w:val="002C20FD"/>
    <w:rsid w:val="002C210B"/>
    <w:rsid w:val="002C26D7"/>
    <w:rsid w:val="002C29F8"/>
    <w:rsid w:val="002C2C68"/>
    <w:rsid w:val="002C2D65"/>
    <w:rsid w:val="002C3303"/>
    <w:rsid w:val="002C3601"/>
    <w:rsid w:val="002C36DD"/>
    <w:rsid w:val="002C372B"/>
    <w:rsid w:val="002C3A7F"/>
    <w:rsid w:val="002C4BB1"/>
    <w:rsid w:val="002C4D01"/>
    <w:rsid w:val="002C4E51"/>
    <w:rsid w:val="002C5626"/>
    <w:rsid w:val="002C5E96"/>
    <w:rsid w:val="002C6187"/>
    <w:rsid w:val="002C620B"/>
    <w:rsid w:val="002C62DF"/>
    <w:rsid w:val="002D00C3"/>
    <w:rsid w:val="002D16D6"/>
    <w:rsid w:val="002D1A81"/>
    <w:rsid w:val="002D1B94"/>
    <w:rsid w:val="002D1F5B"/>
    <w:rsid w:val="002D1FA2"/>
    <w:rsid w:val="002D2F21"/>
    <w:rsid w:val="002D3229"/>
    <w:rsid w:val="002D3259"/>
    <w:rsid w:val="002D36BB"/>
    <w:rsid w:val="002D3744"/>
    <w:rsid w:val="002D399B"/>
    <w:rsid w:val="002D4090"/>
    <w:rsid w:val="002D43EF"/>
    <w:rsid w:val="002D47E9"/>
    <w:rsid w:val="002D552D"/>
    <w:rsid w:val="002D6037"/>
    <w:rsid w:val="002D636E"/>
    <w:rsid w:val="002D6881"/>
    <w:rsid w:val="002D6C7C"/>
    <w:rsid w:val="002D6D9E"/>
    <w:rsid w:val="002D6DA7"/>
    <w:rsid w:val="002D70B4"/>
    <w:rsid w:val="002D7514"/>
    <w:rsid w:val="002D7647"/>
    <w:rsid w:val="002E0280"/>
    <w:rsid w:val="002E080E"/>
    <w:rsid w:val="002E0E1A"/>
    <w:rsid w:val="002E0EBF"/>
    <w:rsid w:val="002E17ED"/>
    <w:rsid w:val="002E1C90"/>
    <w:rsid w:val="002E2AFA"/>
    <w:rsid w:val="002E313B"/>
    <w:rsid w:val="002E33BF"/>
    <w:rsid w:val="002E352A"/>
    <w:rsid w:val="002E3718"/>
    <w:rsid w:val="002E3934"/>
    <w:rsid w:val="002E4FFA"/>
    <w:rsid w:val="002E5361"/>
    <w:rsid w:val="002E58F0"/>
    <w:rsid w:val="002E59C4"/>
    <w:rsid w:val="002E5B52"/>
    <w:rsid w:val="002E74FD"/>
    <w:rsid w:val="002E75BB"/>
    <w:rsid w:val="002E76CA"/>
    <w:rsid w:val="002E787A"/>
    <w:rsid w:val="002F09AE"/>
    <w:rsid w:val="002F1528"/>
    <w:rsid w:val="002F29E3"/>
    <w:rsid w:val="002F2A01"/>
    <w:rsid w:val="002F2BDE"/>
    <w:rsid w:val="002F2E48"/>
    <w:rsid w:val="002F2F35"/>
    <w:rsid w:val="002F30B8"/>
    <w:rsid w:val="002F31ED"/>
    <w:rsid w:val="002F3D4D"/>
    <w:rsid w:val="002F43E1"/>
    <w:rsid w:val="002F4C8D"/>
    <w:rsid w:val="002F4D68"/>
    <w:rsid w:val="002F4DC3"/>
    <w:rsid w:val="002F4DEA"/>
    <w:rsid w:val="002F5CFC"/>
    <w:rsid w:val="002F5E8A"/>
    <w:rsid w:val="002F6F15"/>
    <w:rsid w:val="002F7A7A"/>
    <w:rsid w:val="002F7CE8"/>
    <w:rsid w:val="003003BD"/>
    <w:rsid w:val="0030042A"/>
    <w:rsid w:val="0030059D"/>
    <w:rsid w:val="00300F6E"/>
    <w:rsid w:val="00301111"/>
    <w:rsid w:val="00302939"/>
    <w:rsid w:val="00303182"/>
    <w:rsid w:val="003032E0"/>
    <w:rsid w:val="0030378E"/>
    <w:rsid w:val="00303C83"/>
    <w:rsid w:val="003041EA"/>
    <w:rsid w:val="0030497D"/>
    <w:rsid w:val="0030536C"/>
    <w:rsid w:val="00305414"/>
    <w:rsid w:val="00305AAD"/>
    <w:rsid w:val="00306044"/>
    <w:rsid w:val="00306272"/>
    <w:rsid w:val="0030684C"/>
    <w:rsid w:val="00306BAB"/>
    <w:rsid w:val="00307441"/>
    <w:rsid w:val="00307FDA"/>
    <w:rsid w:val="00310437"/>
    <w:rsid w:val="003107D5"/>
    <w:rsid w:val="00310F21"/>
    <w:rsid w:val="003115A4"/>
    <w:rsid w:val="003126AC"/>
    <w:rsid w:val="003137C7"/>
    <w:rsid w:val="0031385B"/>
    <w:rsid w:val="00313AF5"/>
    <w:rsid w:val="0031411E"/>
    <w:rsid w:val="003148DE"/>
    <w:rsid w:val="003148ED"/>
    <w:rsid w:val="00314B04"/>
    <w:rsid w:val="00314D32"/>
    <w:rsid w:val="00316110"/>
    <w:rsid w:val="00316C05"/>
    <w:rsid w:val="00316E05"/>
    <w:rsid w:val="0031743F"/>
    <w:rsid w:val="00317BAC"/>
    <w:rsid w:val="00317BE4"/>
    <w:rsid w:val="00320254"/>
    <w:rsid w:val="003203D2"/>
    <w:rsid w:val="00320CF0"/>
    <w:rsid w:val="00321974"/>
    <w:rsid w:val="00321BBF"/>
    <w:rsid w:val="0032348B"/>
    <w:rsid w:val="00323922"/>
    <w:rsid w:val="0032409E"/>
    <w:rsid w:val="0032523A"/>
    <w:rsid w:val="003258EC"/>
    <w:rsid w:val="003259FE"/>
    <w:rsid w:val="00325D36"/>
    <w:rsid w:val="00325D89"/>
    <w:rsid w:val="00326C49"/>
    <w:rsid w:val="003272D2"/>
    <w:rsid w:val="00330059"/>
    <w:rsid w:val="00330B3B"/>
    <w:rsid w:val="003315FD"/>
    <w:rsid w:val="00331845"/>
    <w:rsid w:val="00332106"/>
    <w:rsid w:val="00332266"/>
    <w:rsid w:val="0033333C"/>
    <w:rsid w:val="00333DA5"/>
    <w:rsid w:val="00333E26"/>
    <w:rsid w:val="00333FB9"/>
    <w:rsid w:val="00334004"/>
    <w:rsid w:val="0033451F"/>
    <w:rsid w:val="0033471D"/>
    <w:rsid w:val="00334825"/>
    <w:rsid w:val="00334B52"/>
    <w:rsid w:val="003352CF"/>
    <w:rsid w:val="003358F5"/>
    <w:rsid w:val="00335F0D"/>
    <w:rsid w:val="00336709"/>
    <w:rsid w:val="00336BFB"/>
    <w:rsid w:val="00337732"/>
    <w:rsid w:val="00337BDF"/>
    <w:rsid w:val="00340FD2"/>
    <w:rsid w:val="0034144B"/>
    <w:rsid w:val="0034156E"/>
    <w:rsid w:val="003417E3"/>
    <w:rsid w:val="00341A52"/>
    <w:rsid w:val="00341E46"/>
    <w:rsid w:val="00342EC7"/>
    <w:rsid w:val="003441EE"/>
    <w:rsid w:val="003446AB"/>
    <w:rsid w:val="003446BB"/>
    <w:rsid w:val="00345975"/>
    <w:rsid w:val="00345BB4"/>
    <w:rsid w:val="003467CA"/>
    <w:rsid w:val="0034697F"/>
    <w:rsid w:val="003469B7"/>
    <w:rsid w:val="0034759E"/>
    <w:rsid w:val="003475F4"/>
    <w:rsid w:val="00350257"/>
    <w:rsid w:val="00350285"/>
    <w:rsid w:val="00350970"/>
    <w:rsid w:val="00352664"/>
    <w:rsid w:val="00353F1C"/>
    <w:rsid w:val="00354135"/>
    <w:rsid w:val="0035482D"/>
    <w:rsid w:val="003551EB"/>
    <w:rsid w:val="00355299"/>
    <w:rsid w:val="003554FB"/>
    <w:rsid w:val="003561E1"/>
    <w:rsid w:val="003566C7"/>
    <w:rsid w:val="003574A8"/>
    <w:rsid w:val="00357620"/>
    <w:rsid w:val="00360919"/>
    <w:rsid w:val="00361B45"/>
    <w:rsid w:val="00361E5E"/>
    <w:rsid w:val="00362177"/>
    <w:rsid w:val="003626B3"/>
    <w:rsid w:val="00362706"/>
    <w:rsid w:val="0036318A"/>
    <w:rsid w:val="0036383D"/>
    <w:rsid w:val="00363F58"/>
    <w:rsid w:val="00363FFB"/>
    <w:rsid w:val="0036490A"/>
    <w:rsid w:val="00364D94"/>
    <w:rsid w:val="0036592F"/>
    <w:rsid w:val="00365C3C"/>
    <w:rsid w:val="00366457"/>
    <w:rsid w:val="003665F5"/>
    <w:rsid w:val="003668B9"/>
    <w:rsid w:val="003672FD"/>
    <w:rsid w:val="0036742D"/>
    <w:rsid w:val="00367EDD"/>
    <w:rsid w:val="003704CF"/>
    <w:rsid w:val="00370C49"/>
    <w:rsid w:val="00370FF4"/>
    <w:rsid w:val="00371954"/>
    <w:rsid w:val="00371C30"/>
    <w:rsid w:val="00372216"/>
    <w:rsid w:val="00372630"/>
    <w:rsid w:val="00372EE3"/>
    <w:rsid w:val="00372F63"/>
    <w:rsid w:val="00373585"/>
    <w:rsid w:val="00373D95"/>
    <w:rsid w:val="00374205"/>
    <w:rsid w:val="003744BF"/>
    <w:rsid w:val="00374889"/>
    <w:rsid w:val="003751A2"/>
    <w:rsid w:val="00375499"/>
    <w:rsid w:val="00375753"/>
    <w:rsid w:val="00375A40"/>
    <w:rsid w:val="00375C67"/>
    <w:rsid w:val="00375D12"/>
    <w:rsid w:val="0037600E"/>
    <w:rsid w:val="00376293"/>
    <w:rsid w:val="003765C9"/>
    <w:rsid w:val="003772EC"/>
    <w:rsid w:val="003773EF"/>
    <w:rsid w:val="0037779A"/>
    <w:rsid w:val="0037789C"/>
    <w:rsid w:val="00377C7C"/>
    <w:rsid w:val="00377E40"/>
    <w:rsid w:val="00377E55"/>
    <w:rsid w:val="00377FE9"/>
    <w:rsid w:val="00380630"/>
    <w:rsid w:val="00380933"/>
    <w:rsid w:val="00380BAB"/>
    <w:rsid w:val="00380BC5"/>
    <w:rsid w:val="00380DF8"/>
    <w:rsid w:val="003811C6"/>
    <w:rsid w:val="0038150A"/>
    <w:rsid w:val="003815A0"/>
    <w:rsid w:val="003817E6"/>
    <w:rsid w:val="003827F7"/>
    <w:rsid w:val="003828CE"/>
    <w:rsid w:val="00382EBF"/>
    <w:rsid w:val="00382F20"/>
    <w:rsid w:val="0038381F"/>
    <w:rsid w:val="00383A50"/>
    <w:rsid w:val="00383A56"/>
    <w:rsid w:val="00383BD2"/>
    <w:rsid w:val="0038432C"/>
    <w:rsid w:val="0038566C"/>
    <w:rsid w:val="003857E4"/>
    <w:rsid w:val="003859EB"/>
    <w:rsid w:val="00385B70"/>
    <w:rsid w:val="00385BF8"/>
    <w:rsid w:val="00385D2B"/>
    <w:rsid w:val="00386360"/>
    <w:rsid w:val="003867CA"/>
    <w:rsid w:val="00386CDA"/>
    <w:rsid w:val="00386DDB"/>
    <w:rsid w:val="003875D7"/>
    <w:rsid w:val="0038779B"/>
    <w:rsid w:val="00387CF3"/>
    <w:rsid w:val="00387F9F"/>
    <w:rsid w:val="00387FC9"/>
    <w:rsid w:val="003900A0"/>
    <w:rsid w:val="00390122"/>
    <w:rsid w:val="0039094B"/>
    <w:rsid w:val="0039107A"/>
    <w:rsid w:val="00391362"/>
    <w:rsid w:val="00391947"/>
    <w:rsid w:val="00392228"/>
    <w:rsid w:val="00392E3A"/>
    <w:rsid w:val="00392F15"/>
    <w:rsid w:val="00393ADE"/>
    <w:rsid w:val="00393CAA"/>
    <w:rsid w:val="0039420A"/>
    <w:rsid w:val="003947F3"/>
    <w:rsid w:val="00394AA9"/>
    <w:rsid w:val="00394C42"/>
    <w:rsid w:val="00395D53"/>
    <w:rsid w:val="00395DAC"/>
    <w:rsid w:val="00395E56"/>
    <w:rsid w:val="003961A4"/>
    <w:rsid w:val="003969A4"/>
    <w:rsid w:val="00396D8B"/>
    <w:rsid w:val="00397412"/>
    <w:rsid w:val="00397925"/>
    <w:rsid w:val="00397C58"/>
    <w:rsid w:val="003A03D6"/>
    <w:rsid w:val="003A0757"/>
    <w:rsid w:val="003A10FA"/>
    <w:rsid w:val="003A14C7"/>
    <w:rsid w:val="003A2251"/>
    <w:rsid w:val="003A2D52"/>
    <w:rsid w:val="003A3890"/>
    <w:rsid w:val="003A402B"/>
    <w:rsid w:val="003A436C"/>
    <w:rsid w:val="003A449A"/>
    <w:rsid w:val="003A453E"/>
    <w:rsid w:val="003A4D18"/>
    <w:rsid w:val="003A5194"/>
    <w:rsid w:val="003A52D0"/>
    <w:rsid w:val="003A5824"/>
    <w:rsid w:val="003A5BF0"/>
    <w:rsid w:val="003A5ECC"/>
    <w:rsid w:val="003A60A4"/>
    <w:rsid w:val="003B0D0A"/>
    <w:rsid w:val="003B0E1B"/>
    <w:rsid w:val="003B102B"/>
    <w:rsid w:val="003B15AD"/>
    <w:rsid w:val="003B1BCE"/>
    <w:rsid w:val="003B2627"/>
    <w:rsid w:val="003B2D11"/>
    <w:rsid w:val="003B410C"/>
    <w:rsid w:val="003B4A0F"/>
    <w:rsid w:val="003B55D4"/>
    <w:rsid w:val="003B6FBD"/>
    <w:rsid w:val="003B7BFC"/>
    <w:rsid w:val="003B7CED"/>
    <w:rsid w:val="003C0340"/>
    <w:rsid w:val="003C0DDD"/>
    <w:rsid w:val="003C1A8F"/>
    <w:rsid w:val="003C1DAC"/>
    <w:rsid w:val="003C1DC3"/>
    <w:rsid w:val="003C22EF"/>
    <w:rsid w:val="003C2B2C"/>
    <w:rsid w:val="003C3118"/>
    <w:rsid w:val="003C3462"/>
    <w:rsid w:val="003C365A"/>
    <w:rsid w:val="003C38BB"/>
    <w:rsid w:val="003C3DF2"/>
    <w:rsid w:val="003C4E58"/>
    <w:rsid w:val="003C5158"/>
    <w:rsid w:val="003C5215"/>
    <w:rsid w:val="003C5292"/>
    <w:rsid w:val="003C5AA5"/>
    <w:rsid w:val="003C5ACB"/>
    <w:rsid w:val="003C62FF"/>
    <w:rsid w:val="003C6446"/>
    <w:rsid w:val="003C6CD8"/>
    <w:rsid w:val="003C7A13"/>
    <w:rsid w:val="003D01E7"/>
    <w:rsid w:val="003D021C"/>
    <w:rsid w:val="003D06B9"/>
    <w:rsid w:val="003D1209"/>
    <w:rsid w:val="003D1306"/>
    <w:rsid w:val="003D19EC"/>
    <w:rsid w:val="003D204D"/>
    <w:rsid w:val="003D2303"/>
    <w:rsid w:val="003D239D"/>
    <w:rsid w:val="003D2400"/>
    <w:rsid w:val="003D28C5"/>
    <w:rsid w:val="003D3AB4"/>
    <w:rsid w:val="003D4461"/>
    <w:rsid w:val="003D45D4"/>
    <w:rsid w:val="003D4AC5"/>
    <w:rsid w:val="003D5069"/>
    <w:rsid w:val="003D557C"/>
    <w:rsid w:val="003D56CD"/>
    <w:rsid w:val="003D5A27"/>
    <w:rsid w:val="003D6252"/>
    <w:rsid w:val="003D6291"/>
    <w:rsid w:val="003D6405"/>
    <w:rsid w:val="003D673A"/>
    <w:rsid w:val="003D695C"/>
    <w:rsid w:val="003D6D3B"/>
    <w:rsid w:val="003D7201"/>
    <w:rsid w:val="003D789B"/>
    <w:rsid w:val="003E0326"/>
    <w:rsid w:val="003E06E7"/>
    <w:rsid w:val="003E11A2"/>
    <w:rsid w:val="003E1B8A"/>
    <w:rsid w:val="003E1F7F"/>
    <w:rsid w:val="003E2510"/>
    <w:rsid w:val="003E275E"/>
    <w:rsid w:val="003E32B8"/>
    <w:rsid w:val="003E452C"/>
    <w:rsid w:val="003E5164"/>
    <w:rsid w:val="003E6012"/>
    <w:rsid w:val="003E613D"/>
    <w:rsid w:val="003E6B53"/>
    <w:rsid w:val="003E6D19"/>
    <w:rsid w:val="003E789F"/>
    <w:rsid w:val="003F0628"/>
    <w:rsid w:val="003F0716"/>
    <w:rsid w:val="003F0837"/>
    <w:rsid w:val="003F0D7F"/>
    <w:rsid w:val="003F11B6"/>
    <w:rsid w:val="003F1396"/>
    <w:rsid w:val="003F19FD"/>
    <w:rsid w:val="003F1F8F"/>
    <w:rsid w:val="003F22E5"/>
    <w:rsid w:val="003F2DD1"/>
    <w:rsid w:val="003F4543"/>
    <w:rsid w:val="003F45DC"/>
    <w:rsid w:val="003F4DDD"/>
    <w:rsid w:val="003F5832"/>
    <w:rsid w:val="003F61C4"/>
    <w:rsid w:val="003F69EC"/>
    <w:rsid w:val="003F6CA9"/>
    <w:rsid w:val="003F7356"/>
    <w:rsid w:val="003F7565"/>
    <w:rsid w:val="003F7874"/>
    <w:rsid w:val="003F79C7"/>
    <w:rsid w:val="003F7B3F"/>
    <w:rsid w:val="00400050"/>
    <w:rsid w:val="00400C2C"/>
    <w:rsid w:val="004014AE"/>
    <w:rsid w:val="00401C33"/>
    <w:rsid w:val="00401CDD"/>
    <w:rsid w:val="0040228D"/>
    <w:rsid w:val="00402484"/>
    <w:rsid w:val="0040251B"/>
    <w:rsid w:val="00403C92"/>
    <w:rsid w:val="004040BE"/>
    <w:rsid w:val="0040432E"/>
    <w:rsid w:val="00406719"/>
    <w:rsid w:val="004070AE"/>
    <w:rsid w:val="00407134"/>
    <w:rsid w:val="00407C66"/>
    <w:rsid w:val="00410350"/>
    <w:rsid w:val="00410A65"/>
    <w:rsid w:val="00411621"/>
    <w:rsid w:val="004118B0"/>
    <w:rsid w:val="00411AA4"/>
    <w:rsid w:val="00411B2E"/>
    <w:rsid w:val="00412084"/>
    <w:rsid w:val="0041249C"/>
    <w:rsid w:val="004140A8"/>
    <w:rsid w:val="00414193"/>
    <w:rsid w:val="00414313"/>
    <w:rsid w:val="004145A0"/>
    <w:rsid w:val="004146F7"/>
    <w:rsid w:val="004148A9"/>
    <w:rsid w:val="00414FE8"/>
    <w:rsid w:val="00415174"/>
    <w:rsid w:val="00415FC4"/>
    <w:rsid w:val="00416991"/>
    <w:rsid w:val="00416B24"/>
    <w:rsid w:val="00416B65"/>
    <w:rsid w:val="00416E26"/>
    <w:rsid w:val="00417034"/>
    <w:rsid w:val="00417311"/>
    <w:rsid w:val="004203FD"/>
    <w:rsid w:val="00420457"/>
    <w:rsid w:val="004204D4"/>
    <w:rsid w:val="004205C6"/>
    <w:rsid w:val="00420E05"/>
    <w:rsid w:val="00420F8D"/>
    <w:rsid w:val="004211DB"/>
    <w:rsid w:val="00421704"/>
    <w:rsid w:val="00422B2F"/>
    <w:rsid w:val="004236D1"/>
    <w:rsid w:val="00423905"/>
    <w:rsid w:val="00423C3A"/>
    <w:rsid w:val="004241E5"/>
    <w:rsid w:val="0042480E"/>
    <w:rsid w:val="0042501A"/>
    <w:rsid w:val="00425BED"/>
    <w:rsid w:val="004265F3"/>
    <w:rsid w:val="00426BA2"/>
    <w:rsid w:val="00427018"/>
    <w:rsid w:val="004275C6"/>
    <w:rsid w:val="0042797D"/>
    <w:rsid w:val="004279E9"/>
    <w:rsid w:val="00427B5A"/>
    <w:rsid w:val="00427C98"/>
    <w:rsid w:val="00427E7F"/>
    <w:rsid w:val="00430788"/>
    <w:rsid w:val="0043101D"/>
    <w:rsid w:val="004314EE"/>
    <w:rsid w:val="004316BA"/>
    <w:rsid w:val="00431C73"/>
    <w:rsid w:val="00432805"/>
    <w:rsid w:val="00432A46"/>
    <w:rsid w:val="0043327E"/>
    <w:rsid w:val="004332EC"/>
    <w:rsid w:val="004335EB"/>
    <w:rsid w:val="004343BC"/>
    <w:rsid w:val="00434CE4"/>
    <w:rsid w:val="00435050"/>
    <w:rsid w:val="004350BA"/>
    <w:rsid w:val="0043617E"/>
    <w:rsid w:val="0043648F"/>
    <w:rsid w:val="00436F28"/>
    <w:rsid w:val="00437C5E"/>
    <w:rsid w:val="004401BA"/>
    <w:rsid w:val="0044040E"/>
    <w:rsid w:val="004406A9"/>
    <w:rsid w:val="00440A3D"/>
    <w:rsid w:val="00440B77"/>
    <w:rsid w:val="00440BF3"/>
    <w:rsid w:val="00441BBA"/>
    <w:rsid w:val="00441C74"/>
    <w:rsid w:val="00441CF4"/>
    <w:rsid w:val="00441DD6"/>
    <w:rsid w:val="00443F86"/>
    <w:rsid w:val="004445F8"/>
    <w:rsid w:val="0044463F"/>
    <w:rsid w:val="00444D69"/>
    <w:rsid w:val="00445D9A"/>
    <w:rsid w:val="004467C5"/>
    <w:rsid w:val="0045013E"/>
    <w:rsid w:val="004506C4"/>
    <w:rsid w:val="00450F25"/>
    <w:rsid w:val="00451DB5"/>
    <w:rsid w:val="00453001"/>
    <w:rsid w:val="0045328C"/>
    <w:rsid w:val="00453871"/>
    <w:rsid w:val="00453A58"/>
    <w:rsid w:val="00454CF4"/>
    <w:rsid w:val="00455361"/>
    <w:rsid w:val="00456180"/>
    <w:rsid w:val="00456EAD"/>
    <w:rsid w:val="004571FF"/>
    <w:rsid w:val="0045721A"/>
    <w:rsid w:val="004574EB"/>
    <w:rsid w:val="0045767C"/>
    <w:rsid w:val="00460CB1"/>
    <w:rsid w:val="00460E6A"/>
    <w:rsid w:val="00460EC2"/>
    <w:rsid w:val="00461406"/>
    <w:rsid w:val="00461622"/>
    <w:rsid w:val="00462693"/>
    <w:rsid w:val="00462B7B"/>
    <w:rsid w:val="00463612"/>
    <w:rsid w:val="00463826"/>
    <w:rsid w:val="00463FE8"/>
    <w:rsid w:val="004646C8"/>
    <w:rsid w:val="004647FC"/>
    <w:rsid w:val="00464CD8"/>
    <w:rsid w:val="00464FC6"/>
    <w:rsid w:val="00465093"/>
    <w:rsid w:val="00466163"/>
    <w:rsid w:val="0046690A"/>
    <w:rsid w:val="00466A8E"/>
    <w:rsid w:val="00466B7B"/>
    <w:rsid w:val="00467160"/>
    <w:rsid w:val="00467253"/>
    <w:rsid w:val="004675C8"/>
    <w:rsid w:val="00467612"/>
    <w:rsid w:val="0047020F"/>
    <w:rsid w:val="004706C1"/>
    <w:rsid w:val="00470BC0"/>
    <w:rsid w:val="004714CB"/>
    <w:rsid w:val="00471C0F"/>
    <w:rsid w:val="00471E78"/>
    <w:rsid w:val="00472BD9"/>
    <w:rsid w:val="00472F33"/>
    <w:rsid w:val="00472FE8"/>
    <w:rsid w:val="0047328C"/>
    <w:rsid w:val="00473D8A"/>
    <w:rsid w:val="0047446E"/>
    <w:rsid w:val="0047462C"/>
    <w:rsid w:val="004746EC"/>
    <w:rsid w:val="00476817"/>
    <w:rsid w:val="00477708"/>
    <w:rsid w:val="00477F38"/>
    <w:rsid w:val="0048055C"/>
    <w:rsid w:val="00481F5B"/>
    <w:rsid w:val="00482100"/>
    <w:rsid w:val="00482118"/>
    <w:rsid w:val="00482A6E"/>
    <w:rsid w:val="00482DC2"/>
    <w:rsid w:val="00482E82"/>
    <w:rsid w:val="004836FF"/>
    <w:rsid w:val="0048445D"/>
    <w:rsid w:val="00484CE1"/>
    <w:rsid w:val="0048526C"/>
    <w:rsid w:val="004855D8"/>
    <w:rsid w:val="00485B3C"/>
    <w:rsid w:val="0048630C"/>
    <w:rsid w:val="0048633B"/>
    <w:rsid w:val="004863A7"/>
    <w:rsid w:val="00486411"/>
    <w:rsid w:val="00486FF3"/>
    <w:rsid w:val="004870FA"/>
    <w:rsid w:val="0048745A"/>
    <w:rsid w:val="00487D4C"/>
    <w:rsid w:val="004906BA"/>
    <w:rsid w:val="00490AE1"/>
    <w:rsid w:val="00490FBF"/>
    <w:rsid w:val="004915ED"/>
    <w:rsid w:val="0049190C"/>
    <w:rsid w:val="00491F68"/>
    <w:rsid w:val="00491F92"/>
    <w:rsid w:val="00491FCA"/>
    <w:rsid w:val="004923D4"/>
    <w:rsid w:val="00492804"/>
    <w:rsid w:val="0049284D"/>
    <w:rsid w:val="0049348C"/>
    <w:rsid w:val="00493C06"/>
    <w:rsid w:val="00494635"/>
    <w:rsid w:val="00494FE6"/>
    <w:rsid w:val="004951A6"/>
    <w:rsid w:val="004957BE"/>
    <w:rsid w:val="00497CBC"/>
    <w:rsid w:val="004A012D"/>
    <w:rsid w:val="004A013A"/>
    <w:rsid w:val="004A1D61"/>
    <w:rsid w:val="004A1FF0"/>
    <w:rsid w:val="004A224B"/>
    <w:rsid w:val="004A2724"/>
    <w:rsid w:val="004A2BE8"/>
    <w:rsid w:val="004A3049"/>
    <w:rsid w:val="004A386A"/>
    <w:rsid w:val="004A4262"/>
    <w:rsid w:val="004A5507"/>
    <w:rsid w:val="004A5779"/>
    <w:rsid w:val="004A70BF"/>
    <w:rsid w:val="004B0448"/>
    <w:rsid w:val="004B0D2E"/>
    <w:rsid w:val="004B13C6"/>
    <w:rsid w:val="004B1410"/>
    <w:rsid w:val="004B1CB5"/>
    <w:rsid w:val="004B1D25"/>
    <w:rsid w:val="004B2347"/>
    <w:rsid w:val="004B2DF8"/>
    <w:rsid w:val="004B3109"/>
    <w:rsid w:val="004B4B88"/>
    <w:rsid w:val="004B4C96"/>
    <w:rsid w:val="004B5CE0"/>
    <w:rsid w:val="004B70E2"/>
    <w:rsid w:val="004B73F8"/>
    <w:rsid w:val="004B78B8"/>
    <w:rsid w:val="004B7E50"/>
    <w:rsid w:val="004C0681"/>
    <w:rsid w:val="004C0A23"/>
    <w:rsid w:val="004C0A7A"/>
    <w:rsid w:val="004C0D1C"/>
    <w:rsid w:val="004C16FA"/>
    <w:rsid w:val="004C185C"/>
    <w:rsid w:val="004C1B21"/>
    <w:rsid w:val="004C29A3"/>
    <w:rsid w:val="004C30B4"/>
    <w:rsid w:val="004C4371"/>
    <w:rsid w:val="004C4A23"/>
    <w:rsid w:val="004C60B0"/>
    <w:rsid w:val="004C7461"/>
    <w:rsid w:val="004C7A25"/>
    <w:rsid w:val="004C7D0F"/>
    <w:rsid w:val="004D02C5"/>
    <w:rsid w:val="004D0C1E"/>
    <w:rsid w:val="004D0C59"/>
    <w:rsid w:val="004D0E74"/>
    <w:rsid w:val="004D1696"/>
    <w:rsid w:val="004D16C1"/>
    <w:rsid w:val="004D1855"/>
    <w:rsid w:val="004D1AFA"/>
    <w:rsid w:val="004D2570"/>
    <w:rsid w:val="004D2957"/>
    <w:rsid w:val="004D29BD"/>
    <w:rsid w:val="004D3024"/>
    <w:rsid w:val="004D4061"/>
    <w:rsid w:val="004D42A9"/>
    <w:rsid w:val="004D4401"/>
    <w:rsid w:val="004D4623"/>
    <w:rsid w:val="004D4C92"/>
    <w:rsid w:val="004D59D2"/>
    <w:rsid w:val="004D5F89"/>
    <w:rsid w:val="004D64D4"/>
    <w:rsid w:val="004D653C"/>
    <w:rsid w:val="004D65B4"/>
    <w:rsid w:val="004D6C6F"/>
    <w:rsid w:val="004D6E4E"/>
    <w:rsid w:val="004D6FC2"/>
    <w:rsid w:val="004D7414"/>
    <w:rsid w:val="004D7F29"/>
    <w:rsid w:val="004E04E4"/>
    <w:rsid w:val="004E050D"/>
    <w:rsid w:val="004E10A6"/>
    <w:rsid w:val="004E1FFC"/>
    <w:rsid w:val="004E2D79"/>
    <w:rsid w:val="004E304E"/>
    <w:rsid w:val="004E32C7"/>
    <w:rsid w:val="004E394D"/>
    <w:rsid w:val="004E3B91"/>
    <w:rsid w:val="004E3D4A"/>
    <w:rsid w:val="004E3F5B"/>
    <w:rsid w:val="004E577F"/>
    <w:rsid w:val="004E65D3"/>
    <w:rsid w:val="004E6650"/>
    <w:rsid w:val="004E6E25"/>
    <w:rsid w:val="004E7F7A"/>
    <w:rsid w:val="004F0B63"/>
    <w:rsid w:val="004F0DF2"/>
    <w:rsid w:val="004F101A"/>
    <w:rsid w:val="004F15CA"/>
    <w:rsid w:val="004F198D"/>
    <w:rsid w:val="004F1DC8"/>
    <w:rsid w:val="004F1F26"/>
    <w:rsid w:val="004F2609"/>
    <w:rsid w:val="004F2A99"/>
    <w:rsid w:val="004F2F5E"/>
    <w:rsid w:val="004F3A19"/>
    <w:rsid w:val="004F3B71"/>
    <w:rsid w:val="004F42C9"/>
    <w:rsid w:val="004F469F"/>
    <w:rsid w:val="004F4DF4"/>
    <w:rsid w:val="004F4EB5"/>
    <w:rsid w:val="004F4FF4"/>
    <w:rsid w:val="004F5321"/>
    <w:rsid w:val="004F5528"/>
    <w:rsid w:val="004F6873"/>
    <w:rsid w:val="004F7CC8"/>
    <w:rsid w:val="00500331"/>
    <w:rsid w:val="00500BD5"/>
    <w:rsid w:val="00502514"/>
    <w:rsid w:val="0050278E"/>
    <w:rsid w:val="00503925"/>
    <w:rsid w:val="0050404F"/>
    <w:rsid w:val="005049EF"/>
    <w:rsid w:val="005050A6"/>
    <w:rsid w:val="00505539"/>
    <w:rsid w:val="00505F3C"/>
    <w:rsid w:val="00505F79"/>
    <w:rsid w:val="005068BB"/>
    <w:rsid w:val="00507706"/>
    <w:rsid w:val="00507E8D"/>
    <w:rsid w:val="005101AA"/>
    <w:rsid w:val="005105C8"/>
    <w:rsid w:val="005110AE"/>
    <w:rsid w:val="00511BF9"/>
    <w:rsid w:val="00511FED"/>
    <w:rsid w:val="00512230"/>
    <w:rsid w:val="005131F2"/>
    <w:rsid w:val="0051383C"/>
    <w:rsid w:val="00513B14"/>
    <w:rsid w:val="00513B3B"/>
    <w:rsid w:val="00515A15"/>
    <w:rsid w:val="00515C19"/>
    <w:rsid w:val="00515DCE"/>
    <w:rsid w:val="00515EEB"/>
    <w:rsid w:val="00516EF7"/>
    <w:rsid w:val="005174EF"/>
    <w:rsid w:val="00517E16"/>
    <w:rsid w:val="00520935"/>
    <w:rsid w:val="00521204"/>
    <w:rsid w:val="00522F4E"/>
    <w:rsid w:val="00523183"/>
    <w:rsid w:val="00523303"/>
    <w:rsid w:val="005233A1"/>
    <w:rsid w:val="0052348D"/>
    <w:rsid w:val="00523A88"/>
    <w:rsid w:val="00523E12"/>
    <w:rsid w:val="00524184"/>
    <w:rsid w:val="00524358"/>
    <w:rsid w:val="00525EA0"/>
    <w:rsid w:val="00530AEE"/>
    <w:rsid w:val="00530D2F"/>
    <w:rsid w:val="00530E54"/>
    <w:rsid w:val="00530EE5"/>
    <w:rsid w:val="00531112"/>
    <w:rsid w:val="00531C82"/>
    <w:rsid w:val="00531D69"/>
    <w:rsid w:val="00531E04"/>
    <w:rsid w:val="005328FD"/>
    <w:rsid w:val="0053376E"/>
    <w:rsid w:val="0053381C"/>
    <w:rsid w:val="00533AA0"/>
    <w:rsid w:val="00533D6F"/>
    <w:rsid w:val="0053432F"/>
    <w:rsid w:val="005344CC"/>
    <w:rsid w:val="0053495B"/>
    <w:rsid w:val="0053513F"/>
    <w:rsid w:val="0053579D"/>
    <w:rsid w:val="00536118"/>
    <w:rsid w:val="00536421"/>
    <w:rsid w:val="005402C1"/>
    <w:rsid w:val="005408DC"/>
    <w:rsid w:val="0054128B"/>
    <w:rsid w:val="005413B4"/>
    <w:rsid w:val="00541C28"/>
    <w:rsid w:val="00542760"/>
    <w:rsid w:val="0054307C"/>
    <w:rsid w:val="0054350C"/>
    <w:rsid w:val="005435B8"/>
    <w:rsid w:val="00543D11"/>
    <w:rsid w:val="00544F1B"/>
    <w:rsid w:val="00545997"/>
    <w:rsid w:val="00545ED6"/>
    <w:rsid w:val="00546ECD"/>
    <w:rsid w:val="00547EA3"/>
    <w:rsid w:val="00547ED5"/>
    <w:rsid w:val="005509F5"/>
    <w:rsid w:val="00550EAF"/>
    <w:rsid w:val="005516D0"/>
    <w:rsid w:val="0055174D"/>
    <w:rsid w:val="00551E85"/>
    <w:rsid w:val="005520BE"/>
    <w:rsid w:val="00552646"/>
    <w:rsid w:val="00552A1C"/>
    <w:rsid w:val="005530D8"/>
    <w:rsid w:val="00553322"/>
    <w:rsid w:val="00553F3C"/>
    <w:rsid w:val="005540CE"/>
    <w:rsid w:val="00554956"/>
    <w:rsid w:val="00554F88"/>
    <w:rsid w:val="005559CE"/>
    <w:rsid w:val="005564A1"/>
    <w:rsid w:val="00556F7F"/>
    <w:rsid w:val="00557C7E"/>
    <w:rsid w:val="00557E41"/>
    <w:rsid w:val="00557EDE"/>
    <w:rsid w:val="0056049F"/>
    <w:rsid w:val="00561C7C"/>
    <w:rsid w:val="00561EE6"/>
    <w:rsid w:val="005626D2"/>
    <w:rsid w:val="00563329"/>
    <w:rsid w:val="0056366D"/>
    <w:rsid w:val="00563BA1"/>
    <w:rsid w:val="00563DD6"/>
    <w:rsid w:val="0056470E"/>
    <w:rsid w:val="005652BA"/>
    <w:rsid w:val="00565451"/>
    <w:rsid w:val="00565916"/>
    <w:rsid w:val="00566722"/>
    <w:rsid w:val="0056720D"/>
    <w:rsid w:val="00567936"/>
    <w:rsid w:val="00567C13"/>
    <w:rsid w:val="00567C4E"/>
    <w:rsid w:val="00571AE7"/>
    <w:rsid w:val="005727E8"/>
    <w:rsid w:val="00572B97"/>
    <w:rsid w:val="00572D83"/>
    <w:rsid w:val="005730A0"/>
    <w:rsid w:val="00573AAF"/>
    <w:rsid w:val="00573DB4"/>
    <w:rsid w:val="0057476D"/>
    <w:rsid w:val="005749B8"/>
    <w:rsid w:val="00574A5C"/>
    <w:rsid w:val="00574D30"/>
    <w:rsid w:val="00575B76"/>
    <w:rsid w:val="00577700"/>
    <w:rsid w:val="00577E3C"/>
    <w:rsid w:val="005802EF"/>
    <w:rsid w:val="00580826"/>
    <w:rsid w:val="00580AEE"/>
    <w:rsid w:val="00581D47"/>
    <w:rsid w:val="00582833"/>
    <w:rsid w:val="00582E14"/>
    <w:rsid w:val="00582EDE"/>
    <w:rsid w:val="00582EEF"/>
    <w:rsid w:val="0058330C"/>
    <w:rsid w:val="0058387A"/>
    <w:rsid w:val="005839CD"/>
    <w:rsid w:val="00583E10"/>
    <w:rsid w:val="005842F6"/>
    <w:rsid w:val="00584AD5"/>
    <w:rsid w:val="00585197"/>
    <w:rsid w:val="00585595"/>
    <w:rsid w:val="00585BA6"/>
    <w:rsid w:val="00586022"/>
    <w:rsid w:val="00586227"/>
    <w:rsid w:val="005868EB"/>
    <w:rsid w:val="00586F3C"/>
    <w:rsid w:val="005907A0"/>
    <w:rsid w:val="005908CB"/>
    <w:rsid w:val="00590FC9"/>
    <w:rsid w:val="00591794"/>
    <w:rsid w:val="00591B17"/>
    <w:rsid w:val="00591BD3"/>
    <w:rsid w:val="005921E4"/>
    <w:rsid w:val="00592808"/>
    <w:rsid w:val="00592896"/>
    <w:rsid w:val="005928BC"/>
    <w:rsid w:val="00592A0D"/>
    <w:rsid w:val="00592FCE"/>
    <w:rsid w:val="00593190"/>
    <w:rsid w:val="005936E9"/>
    <w:rsid w:val="005945A3"/>
    <w:rsid w:val="005947AE"/>
    <w:rsid w:val="00594F6C"/>
    <w:rsid w:val="00595EB7"/>
    <w:rsid w:val="00596263"/>
    <w:rsid w:val="00596D67"/>
    <w:rsid w:val="0059706E"/>
    <w:rsid w:val="00597430"/>
    <w:rsid w:val="0059765E"/>
    <w:rsid w:val="00597C11"/>
    <w:rsid w:val="005A01C4"/>
    <w:rsid w:val="005A0D10"/>
    <w:rsid w:val="005A0DDF"/>
    <w:rsid w:val="005A13F0"/>
    <w:rsid w:val="005A29E5"/>
    <w:rsid w:val="005A2DF1"/>
    <w:rsid w:val="005A2EAF"/>
    <w:rsid w:val="005A3298"/>
    <w:rsid w:val="005A331E"/>
    <w:rsid w:val="005A4605"/>
    <w:rsid w:val="005A49FD"/>
    <w:rsid w:val="005A5CE4"/>
    <w:rsid w:val="005A6763"/>
    <w:rsid w:val="005A689A"/>
    <w:rsid w:val="005A6D3B"/>
    <w:rsid w:val="005A7FB7"/>
    <w:rsid w:val="005B022B"/>
    <w:rsid w:val="005B06F8"/>
    <w:rsid w:val="005B0C3D"/>
    <w:rsid w:val="005B0F65"/>
    <w:rsid w:val="005B125F"/>
    <w:rsid w:val="005B18A7"/>
    <w:rsid w:val="005B23CC"/>
    <w:rsid w:val="005B30C2"/>
    <w:rsid w:val="005B34F7"/>
    <w:rsid w:val="005B3783"/>
    <w:rsid w:val="005B3AAC"/>
    <w:rsid w:val="005B4011"/>
    <w:rsid w:val="005B446A"/>
    <w:rsid w:val="005B4B72"/>
    <w:rsid w:val="005B4DAB"/>
    <w:rsid w:val="005B4EE0"/>
    <w:rsid w:val="005B53AB"/>
    <w:rsid w:val="005B555E"/>
    <w:rsid w:val="005B5FFB"/>
    <w:rsid w:val="005B647D"/>
    <w:rsid w:val="005B6B3E"/>
    <w:rsid w:val="005B768C"/>
    <w:rsid w:val="005B78FD"/>
    <w:rsid w:val="005B7A2D"/>
    <w:rsid w:val="005B7BDA"/>
    <w:rsid w:val="005C03CD"/>
    <w:rsid w:val="005C0BDD"/>
    <w:rsid w:val="005C154E"/>
    <w:rsid w:val="005C19A6"/>
    <w:rsid w:val="005C2362"/>
    <w:rsid w:val="005C2C4B"/>
    <w:rsid w:val="005C2F00"/>
    <w:rsid w:val="005C3CC1"/>
    <w:rsid w:val="005C3FF5"/>
    <w:rsid w:val="005C465B"/>
    <w:rsid w:val="005C4EFB"/>
    <w:rsid w:val="005C589A"/>
    <w:rsid w:val="005C5BD4"/>
    <w:rsid w:val="005D04D0"/>
    <w:rsid w:val="005D05EC"/>
    <w:rsid w:val="005D0927"/>
    <w:rsid w:val="005D1626"/>
    <w:rsid w:val="005D1C94"/>
    <w:rsid w:val="005D2357"/>
    <w:rsid w:val="005D2F88"/>
    <w:rsid w:val="005D32C8"/>
    <w:rsid w:val="005D3F14"/>
    <w:rsid w:val="005D43A6"/>
    <w:rsid w:val="005D49D9"/>
    <w:rsid w:val="005D4BB0"/>
    <w:rsid w:val="005D5178"/>
    <w:rsid w:val="005D5FE8"/>
    <w:rsid w:val="005D629A"/>
    <w:rsid w:val="005D69F8"/>
    <w:rsid w:val="005D6BB9"/>
    <w:rsid w:val="005E0268"/>
    <w:rsid w:val="005E0618"/>
    <w:rsid w:val="005E0C8A"/>
    <w:rsid w:val="005E0ED6"/>
    <w:rsid w:val="005E1132"/>
    <w:rsid w:val="005E181B"/>
    <w:rsid w:val="005E23AE"/>
    <w:rsid w:val="005E324E"/>
    <w:rsid w:val="005E3475"/>
    <w:rsid w:val="005E3C9A"/>
    <w:rsid w:val="005E4565"/>
    <w:rsid w:val="005E53D3"/>
    <w:rsid w:val="005E55FD"/>
    <w:rsid w:val="005E562F"/>
    <w:rsid w:val="005E59CC"/>
    <w:rsid w:val="005E5E2E"/>
    <w:rsid w:val="005E6210"/>
    <w:rsid w:val="005E6426"/>
    <w:rsid w:val="005E708D"/>
    <w:rsid w:val="005E78B3"/>
    <w:rsid w:val="005F02C4"/>
    <w:rsid w:val="005F0B5E"/>
    <w:rsid w:val="005F0F7C"/>
    <w:rsid w:val="005F1CD6"/>
    <w:rsid w:val="005F2ED1"/>
    <w:rsid w:val="005F3786"/>
    <w:rsid w:val="005F4136"/>
    <w:rsid w:val="005F4736"/>
    <w:rsid w:val="005F62AC"/>
    <w:rsid w:val="005F7C5C"/>
    <w:rsid w:val="005F7FB9"/>
    <w:rsid w:val="00600AE1"/>
    <w:rsid w:val="00600EFD"/>
    <w:rsid w:val="00601049"/>
    <w:rsid w:val="00601313"/>
    <w:rsid w:val="006014F5"/>
    <w:rsid w:val="0060195C"/>
    <w:rsid w:val="00601BEB"/>
    <w:rsid w:val="006033BD"/>
    <w:rsid w:val="00603C44"/>
    <w:rsid w:val="00604195"/>
    <w:rsid w:val="0060464D"/>
    <w:rsid w:val="00604C35"/>
    <w:rsid w:val="0060536E"/>
    <w:rsid w:val="00605516"/>
    <w:rsid w:val="006056B6"/>
    <w:rsid w:val="00605CEC"/>
    <w:rsid w:val="00605FF8"/>
    <w:rsid w:val="00606898"/>
    <w:rsid w:val="006071EA"/>
    <w:rsid w:val="00611DC6"/>
    <w:rsid w:val="00612287"/>
    <w:rsid w:val="0061240D"/>
    <w:rsid w:val="00612462"/>
    <w:rsid w:val="00612B19"/>
    <w:rsid w:val="0061301C"/>
    <w:rsid w:val="00613953"/>
    <w:rsid w:val="00614D5E"/>
    <w:rsid w:val="00615093"/>
    <w:rsid w:val="00615ABB"/>
    <w:rsid w:val="00615D28"/>
    <w:rsid w:val="006168BC"/>
    <w:rsid w:val="00616B1C"/>
    <w:rsid w:val="00616C83"/>
    <w:rsid w:val="00620766"/>
    <w:rsid w:val="006208C3"/>
    <w:rsid w:val="0062144A"/>
    <w:rsid w:val="006217C4"/>
    <w:rsid w:val="00621EEB"/>
    <w:rsid w:val="0062435C"/>
    <w:rsid w:val="00624610"/>
    <w:rsid w:val="00624693"/>
    <w:rsid w:val="00624852"/>
    <w:rsid w:val="00625037"/>
    <w:rsid w:val="0062547C"/>
    <w:rsid w:val="00625FB3"/>
    <w:rsid w:val="00626621"/>
    <w:rsid w:val="00626AB1"/>
    <w:rsid w:val="00626DCC"/>
    <w:rsid w:val="00626FA2"/>
    <w:rsid w:val="00627176"/>
    <w:rsid w:val="00627B5B"/>
    <w:rsid w:val="00627CFD"/>
    <w:rsid w:val="00630A32"/>
    <w:rsid w:val="006311AE"/>
    <w:rsid w:val="0063188F"/>
    <w:rsid w:val="00631B02"/>
    <w:rsid w:val="00631BE5"/>
    <w:rsid w:val="00632056"/>
    <w:rsid w:val="006328CA"/>
    <w:rsid w:val="00633033"/>
    <w:rsid w:val="00633459"/>
    <w:rsid w:val="00634239"/>
    <w:rsid w:val="00634949"/>
    <w:rsid w:val="00634DFB"/>
    <w:rsid w:val="00635CCA"/>
    <w:rsid w:val="006360A3"/>
    <w:rsid w:val="006360E7"/>
    <w:rsid w:val="00636234"/>
    <w:rsid w:val="00636337"/>
    <w:rsid w:val="0063668C"/>
    <w:rsid w:val="006371DE"/>
    <w:rsid w:val="006373C4"/>
    <w:rsid w:val="00637464"/>
    <w:rsid w:val="00637C7E"/>
    <w:rsid w:val="006412F2"/>
    <w:rsid w:val="00643540"/>
    <w:rsid w:val="00643EC2"/>
    <w:rsid w:val="0064423A"/>
    <w:rsid w:val="00645130"/>
    <w:rsid w:val="00645306"/>
    <w:rsid w:val="006467FF"/>
    <w:rsid w:val="00646A0A"/>
    <w:rsid w:val="00646E4A"/>
    <w:rsid w:val="00647106"/>
    <w:rsid w:val="006475CA"/>
    <w:rsid w:val="00647E17"/>
    <w:rsid w:val="00647FB0"/>
    <w:rsid w:val="00651C01"/>
    <w:rsid w:val="0065226E"/>
    <w:rsid w:val="006527EC"/>
    <w:rsid w:val="00652981"/>
    <w:rsid w:val="00652A22"/>
    <w:rsid w:val="006530C4"/>
    <w:rsid w:val="00653F74"/>
    <w:rsid w:val="0065454E"/>
    <w:rsid w:val="00654613"/>
    <w:rsid w:val="0065490F"/>
    <w:rsid w:val="00654C32"/>
    <w:rsid w:val="0065504F"/>
    <w:rsid w:val="0065516C"/>
    <w:rsid w:val="00655243"/>
    <w:rsid w:val="006557D0"/>
    <w:rsid w:val="006557E2"/>
    <w:rsid w:val="00655A6E"/>
    <w:rsid w:val="00655CC3"/>
    <w:rsid w:val="0065615C"/>
    <w:rsid w:val="00656ABA"/>
    <w:rsid w:val="006572F2"/>
    <w:rsid w:val="00657F07"/>
    <w:rsid w:val="0066045B"/>
    <w:rsid w:val="0066045E"/>
    <w:rsid w:val="006605D2"/>
    <w:rsid w:val="0066071F"/>
    <w:rsid w:val="00661398"/>
    <w:rsid w:val="006613E5"/>
    <w:rsid w:val="00661630"/>
    <w:rsid w:val="006616DF"/>
    <w:rsid w:val="00661947"/>
    <w:rsid w:val="00661CD0"/>
    <w:rsid w:val="00661F62"/>
    <w:rsid w:val="0066299D"/>
    <w:rsid w:val="0066395E"/>
    <w:rsid w:val="00663DD2"/>
    <w:rsid w:val="00663FB9"/>
    <w:rsid w:val="00664297"/>
    <w:rsid w:val="006648FE"/>
    <w:rsid w:val="00664DFE"/>
    <w:rsid w:val="00666349"/>
    <w:rsid w:val="00666786"/>
    <w:rsid w:val="00666FD9"/>
    <w:rsid w:val="00667B6A"/>
    <w:rsid w:val="00667D6F"/>
    <w:rsid w:val="006701C0"/>
    <w:rsid w:val="00671A77"/>
    <w:rsid w:val="00671E6E"/>
    <w:rsid w:val="0067267F"/>
    <w:rsid w:val="00672EA6"/>
    <w:rsid w:val="006741CD"/>
    <w:rsid w:val="006744FF"/>
    <w:rsid w:val="00674CBC"/>
    <w:rsid w:val="006755AC"/>
    <w:rsid w:val="00675D2C"/>
    <w:rsid w:val="006760A4"/>
    <w:rsid w:val="00676109"/>
    <w:rsid w:val="006776C6"/>
    <w:rsid w:val="006777C3"/>
    <w:rsid w:val="0067786A"/>
    <w:rsid w:val="0068018C"/>
    <w:rsid w:val="00681011"/>
    <w:rsid w:val="00681BD4"/>
    <w:rsid w:val="00682A3B"/>
    <w:rsid w:val="006831EA"/>
    <w:rsid w:val="006833AF"/>
    <w:rsid w:val="006838E5"/>
    <w:rsid w:val="006839A4"/>
    <w:rsid w:val="006839BE"/>
    <w:rsid w:val="00683E3D"/>
    <w:rsid w:val="00684569"/>
    <w:rsid w:val="00684573"/>
    <w:rsid w:val="0068481D"/>
    <w:rsid w:val="00684B18"/>
    <w:rsid w:val="00685EA6"/>
    <w:rsid w:val="00685EED"/>
    <w:rsid w:val="006862E1"/>
    <w:rsid w:val="00686B96"/>
    <w:rsid w:val="00686C56"/>
    <w:rsid w:val="00686D20"/>
    <w:rsid w:val="00686E0A"/>
    <w:rsid w:val="00686FD0"/>
    <w:rsid w:val="00687013"/>
    <w:rsid w:val="006874E1"/>
    <w:rsid w:val="00687880"/>
    <w:rsid w:val="006878D7"/>
    <w:rsid w:val="00687FB4"/>
    <w:rsid w:val="0069079D"/>
    <w:rsid w:val="0069083C"/>
    <w:rsid w:val="0069119C"/>
    <w:rsid w:val="00691402"/>
    <w:rsid w:val="00691928"/>
    <w:rsid w:val="00691FD7"/>
    <w:rsid w:val="006924F1"/>
    <w:rsid w:val="006929B5"/>
    <w:rsid w:val="00692BC5"/>
    <w:rsid w:val="00694E36"/>
    <w:rsid w:val="00694E6D"/>
    <w:rsid w:val="00695495"/>
    <w:rsid w:val="00695C75"/>
    <w:rsid w:val="006966C9"/>
    <w:rsid w:val="00696D1E"/>
    <w:rsid w:val="00696EFE"/>
    <w:rsid w:val="00697621"/>
    <w:rsid w:val="006977F1"/>
    <w:rsid w:val="00697C12"/>
    <w:rsid w:val="006A22BA"/>
    <w:rsid w:val="006A27CB"/>
    <w:rsid w:val="006A28A3"/>
    <w:rsid w:val="006A2AE3"/>
    <w:rsid w:val="006A2ECE"/>
    <w:rsid w:val="006A30D1"/>
    <w:rsid w:val="006A4DDB"/>
    <w:rsid w:val="006A4ED1"/>
    <w:rsid w:val="006A5037"/>
    <w:rsid w:val="006A50D6"/>
    <w:rsid w:val="006A5321"/>
    <w:rsid w:val="006A53D0"/>
    <w:rsid w:val="006A5D7B"/>
    <w:rsid w:val="006A740F"/>
    <w:rsid w:val="006A7E9B"/>
    <w:rsid w:val="006B012B"/>
    <w:rsid w:val="006B0CE2"/>
    <w:rsid w:val="006B14EE"/>
    <w:rsid w:val="006B2522"/>
    <w:rsid w:val="006B253D"/>
    <w:rsid w:val="006B30DA"/>
    <w:rsid w:val="006B3319"/>
    <w:rsid w:val="006B3E91"/>
    <w:rsid w:val="006B3F8E"/>
    <w:rsid w:val="006B4480"/>
    <w:rsid w:val="006B47DC"/>
    <w:rsid w:val="006B4915"/>
    <w:rsid w:val="006B61C2"/>
    <w:rsid w:val="006B6376"/>
    <w:rsid w:val="006B66D7"/>
    <w:rsid w:val="006B7852"/>
    <w:rsid w:val="006B7CFB"/>
    <w:rsid w:val="006B7F4B"/>
    <w:rsid w:val="006C0077"/>
    <w:rsid w:val="006C06A3"/>
    <w:rsid w:val="006C0C91"/>
    <w:rsid w:val="006C0CD5"/>
    <w:rsid w:val="006C1902"/>
    <w:rsid w:val="006C19ED"/>
    <w:rsid w:val="006C1CD4"/>
    <w:rsid w:val="006C2B0B"/>
    <w:rsid w:val="006C307F"/>
    <w:rsid w:val="006C32AB"/>
    <w:rsid w:val="006C3310"/>
    <w:rsid w:val="006C37A7"/>
    <w:rsid w:val="006C47DF"/>
    <w:rsid w:val="006C4FE5"/>
    <w:rsid w:val="006C54D7"/>
    <w:rsid w:val="006C5CE7"/>
    <w:rsid w:val="006C5FF8"/>
    <w:rsid w:val="006C61DC"/>
    <w:rsid w:val="006C63D9"/>
    <w:rsid w:val="006C6FDF"/>
    <w:rsid w:val="006C75B8"/>
    <w:rsid w:val="006C7B27"/>
    <w:rsid w:val="006C7D71"/>
    <w:rsid w:val="006D028A"/>
    <w:rsid w:val="006D0426"/>
    <w:rsid w:val="006D099B"/>
    <w:rsid w:val="006D147A"/>
    <w:rsid w:val="006D165C"/>
    <w:rsid w:val="006D2621"/>
    <w:rsid w:val="006D355E"/>
    <w:rsid w:val="006D3653"/>
    <w:rsid w:val="006D36C7"/>
    <w:rsid w:val="006D3A0F"/>
    <w:rsid w:val="006D40B2"/>
    <w:rsid w:val="006D4D13"/>
    <w:rsid w:val="006D5353"/>
    <w:rsid w:val="006D546F"/>
    <w:rsid w:val="006D57D0"/>
    <w:rsid w:val="006D62BE"/>
    <w:rsid w:val="006D6D34"/>
    <w:rsid w:val="006D6E5A"/>
    <w:rsid w:val="006D6FB4"/>
    <w:rsid w:val="006D7488"/>
    <w:rsid w:val="006D7526"/>
    <w:rsid w:val="006D7939"/>
    <w:rsid w:val="006D7D41"/>
    <w:rsid w:val="006D7E51"/>
    <w:rsid w:val="006D7E8A"/>
    <w:rsid w:val="006E0325"/>
    <w:rsid w:val="006E0560"/>
    <w:rsid w:val="006E0768"/>
    <w:rsid w:val="006E0B71"/>
    <w:rsid w:val="006E0E9A"/>
    <w:rsid w:val="006E11AE"/>
    <w:rsid w:val="006E12EA"/>
    <w:rsid w:val="006E3A57"/>
    <w:rsid w:val="006E4386"/>
    <w:rsid w:val="006E5513"/>
    <w:rsid w:val="006E6B04"/>
    <w:rsid w:val="006E6E81"/>
    <w:rsid w:val="006E778D"/>
    <w:rsid w:val="006E7F5D"/>
    <w:rsid w:val="006F06F1"/>
    <w:rsid w:val="006F1201"/>
    <w:rsid w:val="006F1660"/>
    <w:rsid w:val="006F1695"/>
    <w:rsid w:val="006F1D89"/>
    <w:rsid w:val="006F1E20"/>
    <w:rsid w:val="006F2264"/>
    <w:rsid w:val="006F3273"/>
    <w:rsid w:val="006F33CB"/>
    <w:rsid w:val="006F3CF5"/>
    <w:rsid w:val="006F3E93"/>
    <w:rsid w:val="006F3EC3"/>
    <w:rsid w:val="006F3ECC"/>
    <w:rsid w:val="006F4505"/>
    <w:rsid w:val="006F4627"/>
    <w:rsid w:val="006F4BA2"/>
    <w:rsid w:val="006F4CFC"/>
    <w:rsid w:val="006F5622"/>
    <w:rsid w:val="006F5B54"/>
    <w:rsid w:val="006F638B"/>
    <w:rsid w:val="006F6597"/>
    <w:rsid w:val="006F6815"/>
    <w:rsid w:val="006F6FC4"/>
    <w:rsid w:val="006F7009"/>
    <w:rsid w:val="006F7C49"/>
    <w:rsid w:val="0070134A"/>
    <w:rsid w:val="00701BA3"/>
    <w:rsid w:val="00701EA8"/>
    <w:rsid w:val="00702A8B"/>
    <w:rsid w:val="00703E1A"/>
    <w:rsid w:val="007040B1"/>
    <w:rsid w:val="007043A1"/>
    <w:rsid w:val="00704464"/>
    <w:rsid w:val="00704672"/>
    <w:rsid w:val="007058F0"/>
    <w:rsid w:val="00705B70"/>
    <w:rsid w:val="007063AA"/>
    <w:rsid w:val="0070686B"/>
    <w:rsid w:val="00706912"/>
    <w:rsid w:val="00706F71"/>
    <w:rsid w:val="0070713E"/>
    <w:rsid w:val="007100FF"/>
    <w:rsid w:val="00710663"/>
    <w:rsid w:val="007107E0"/>
    <w:rsid w:val="00711FBC"/>
    <w:rsid w:val="00712AB8"/>
    <w:rsid w:val="00712AC2"/>
    <w:rsid w:val="00712CAC"/>
    <w:rsid w:val="00712E13"/>
    <w:rsid w:val="007130C4"/>
    <w:rsid w:val="00713270"/>
    <w:rsid w:val="0071336D"/>
    <w:rsid w:val="0071351A"/>
    <w:rsid w:val="00714EA9"/>
    <w:rsid w:val="00715B74"/>
    <w:rsid w:val="00715CF8"/>
    <w:rsid w:val="00715E1B"/>
    <w:rsid w:val="007160E2"/>
    <w:rsid w:val="007164E7"/>
    <w:rsid w:val="00716CFB"/>
    <w:rsid w:val="007176F8"/>
    <w:rsid w:val="0071771F"/>
    <w:rsid w:val="0072002D"/>
    <w:rsid w:val="00720636"/>
    <w:rsid w:val="007208E5"/>
    <w:rsid w:val="00721298"/>
    <w:rsid w:val="0072191A"/>
    <w:rsid w:val="00721DF6"/>
    <w:rsid w:val="00721F1D"/>
    <w:rsid w:val="00722D1E"/>
    <w:rsid w:val="0072348A"/>
    <w:rsid w:val="00723589"/>
    <w:rsid w:val="00725274"/>
    <w:rsid w:val="00725A7C"/>
    <w:rsid w:val="007263DC"/>
    <w:rsid w:val="0072688B"/>
    <w:rsid w:val="00726FA7"/>
    <w:rsid w:val="00727032"/>
    <w:rsid w:val="007301D8"/>
    <w:rsid w:val="00730310"/>
    <w:rsid w:val="00730739"/>
    <w:rsid w:val="00730C66"/>
    <w:rsid w:val="0073108B"/>
    <w:rsid w:val="00731D70"/>
    <w:rsid w:val="007324EA"/>
    <w:rsid w:val="00732D73"/>
    <w:rsid w:val="00732F4A"/>
    <w:rsid w:val="0073408E"/>
    <w:rsid w:val="0073412D"/>
    <w:rsid w:val="0073465D"/>
    <w:rsid w:val="00735677"/>
    <w:rsid w:val="00735755"/>
    <w:rsid w:val="0073688C"/>
    <w:rsid w:val="0074001E"/>
    <w:rsid w:val="00740552"/>
    <w:rsid w:val="0074062F"/>
    <w:rsid w:val="0074126A"/>
    <w:rsid w:val="0074151C"/>
    <w:rsid w:val="007423CC"/>
    <w:rsid w:val="007427EF"/>
    <w:rsid w:val="00742C5F"/>
    <w:rsid w:val="00742CBA"/>
    <w:rsid w:val="007438D9"/>
    <w:rsid w:val="00743A64"/>
    <w:rsid w:val="00744878"/>
    <w:rsid w:val="0074525B"/>
    <w:rsid w:val="00745916"/>
    <w:rsid w:val="00745E47"/>
    <w:rsid w:val="00746634"/>
    <w:rsid w:val="00746687"/>
    <w:rsid w:val="007468F6"/>
    <w:rsid w:val="00747454"/>
    <w:rsid w:val="00747702"/>
    <w:rsid w:val="007504F6"/>
    <w:rsid w:val="00750719"/>
    <w:rsid w:val="00751C16"/>
    <w:rsid w:val="00752E8E"/>
    <w:rsid w:val="00753BAF"/>
    <w:rsid w:val="00753CE7"/>
    <w:rsid w:val="007546FC"/>
    <w:rsid w:val="00754ECC"/>
    <w:rsid w:val="00755274"/>
    <w:rsid w:val="0075562E"/>
    <w:rsid w:val="007556BE"/>
    <w:rsid w:val="00755738"/>
    <w:rsid w:val="00756946"/>
    <w:rsid w:val="00756EA3"/>
    <w:rsid w:val="007571E4"/>
    <w:rsid w:val="00757A65"/>
    <w:rsid w:val="0076024E"/>
    <w:rsid w:val="00760B9D"/>
    <w:rsid w:val="00761E80"/>
    <w:rsid w:val="00761EE8"/>
    <w:rsid w:val="007634FD"/>
    <w:rsid w:val="007635FB"/>
    <w:rsid w:val="00763808"/>
    <w:rsid w:val="00763A97"/>
    <w:rsid w:val="007645F3"/>
    <w:rsid w:val="00764936"/>
    <w:rsid w:val="00764B16"/>
    <w:rsid w:val="00764E53"/>
    <w:rsid w:val="00765599"/>
    <w:rsid w:val="00765C77"/>
    <w:rsid w:val="007661CF"/>
    <w:rsid w:val="0076699A"/>
    <w:rsid w:val="00766FD6"/>
    <w:rsid w:val="007673C6"/>
    <w:rsid w:val="007676FA"/>
    <w:rsid w:val="0077148F"/>
    <w:rsid w:val="0077188D"/>
    <w:rsid w:val="00771DC0"/>
    <w:rsid w:val="00771E07"/>
    <w:rsid w:val="00772EAE"/>
    <w:rsid w:val="00774176"/>
    <w:rsid w:val="00774E59"/>
    <w:rsid w:val="00775A4A"/>
    <w:rsid w:val="00775F78"/>
    <w:rsid w:val="00776B28"/>
    <w:rsid w:val="00777125"/>
    <w:rsid w:val="00777DA1"/>
    <w:rsid w:val="007801A8"/>
    <w:rsid w:val="00780956"/>
    <w:rsid w:val="00780DCD"/>
    <w:rsid w:val="007812F3"/>
    <w:rsid w:val="00782E64"/>
    <w:rsid w:val="00782F90"/>
    <w:rsid w:val="007831F9"/>
    <w:rsid w:val="00783ABA"/>
    <w:rsid w:val="00783C44"/>
    <w:rsid w:val="007841F7"/>
    <w:rsid w:val="007842A5"/>
    <w:rsid w:val="007848A6"/>
    <w:rsid w:val="00784EC2"/>
    <w:rsid w:val="00784EE4"/>
    <w:rsid w:val="00785B12"/>
    <w:rsid w:val="00785D5C"/>
    <w:rsid w:val="0078603B"/>
    <w:rsid w:val="0078620E"/>
    <w:rsid w:val="00786409"/>
    <w:rsid w:val="00786A58"/>
    <w:rsid w:val="007871F5"/>
    <w:rsid w:val="007874D0"/>
    <w:rsid w:val="00787595"/>
    <w:rsid w:val="0079039E"/>
    <w:rsid w:val="0079070F"/>
    <w:rsid w:val="0079235F"/>
    <w:rsid w:val="00792D66"/>
    <w:rsid w:val="00793B75"/>
    <w:rsid w:val="00794CFB"/>
    <w:rsid w:val="00795440"/>
    <w:rsid w:val="00796751"/>
    <w:rsid w:val="00796B11"/>
    <w:rsid w:val="0079792A"/>
    <w:rsid w:val="007A2035"/>
    <w:rsid w:val="007A22E4"/>
    <w:rsid w:val="007A2C82"/>
    <w:rsid w:val="007A3C45"/>
    <w:rsid w:val="007A40C1"/>
    <w:rsid w:val="007A441F"/>
    <w:rsid w:val="007A4BE2"/>
    <w:rsid w:val="007A5057"/>
    <w:rsid w:val="007A50DD"/>
    <w:rsid w:val="007A533B"/>
    <w:rsid w:val="007A5759"/>
    <w:rsid w:val="007A5EE1"/>
    <w:rsid w:val="007A6447"/>
    <w:rsid w:val="007A679C"/>
    <w:rsid w:val="007A6B3B"/>
    <w:rsid w:val="007B090C"/>
    <w:rsid w:val="007B10D7"/>
    <w:rsid w:val="007B15FC"/>
    <w:rsid w:val="007B2180"/>
    <w:rsid w:val="007B3F19"/>
    <w:rsid w:val="007B417D"/>
    <w:rsid w:val="007B47AC"/>
    <w:rsid w:val="007B4994"/>
    <w:rsid w:val="007B49C7"/>
    <w:rsid w:val="007B58E6"/>
    <w:rsid w:val="007B6DE8"/>
    <w:rsid w:val="007B74D5"/>
    <w:rsid w:val="007B7635"/>
    <w:rsid w:val="007B7AF7"/>
    <w:rsid w:val="007B7EDD"/>
    <w:rsid w:val="007C0423"/>
    <w:rsid w:val="007C11D2"/>
    <w:rsid w:val="007C1B41"/>
    <w:rsid w:val="007C1DF4"/>
    <w:rsid w:val="007C299A"/>
    <w:rsid w:val="007C3847"/>
    <w:rsid w:val="007C3A70"/>
    <w:rsid w:val="007C3B38"/>
    <w:rsid w:val="007C43C1"/>
    <w:rsid w:val="007C43F6"/>
    <w:rsid w:val="007C4D96"/>
    <w:rsid w:val="007C4DB8"/>
    <w:rsid w:val="007C60A9"/>
    <w:rsid w:val="007C67E4"/>
    <w:rsid w:val="007C6C70"/>
    <w:rsid w:val="007C6DFD"/>
    <w:rsid w:val="007C6E60"/>
    <w:rsid w:val="007C7629"/>
    <w:rsid w:val="007C765C"/>
    <w:rsid w:val="007C78A1"/>
    <w:rsid w:val="007C7EAD"/>
    <w:rsid w:val="007D0A59"/>
    <w:rsid w:val="007D0DA5"/>
    <w:rsid w:val="007D14FE"/>
    <w:rsid w:val="007D2D3B"/>
    <w:rsid w:val="007D2F48"/>
    <w:rsid w:val="007D3236"/>
    <w:rsid w:val="007D3B75"/>
    <w:rsid w:val="007D4267"/>
    <w:rsid w:val="007D4430"/>
    <w:rsid w:val="007D4602"/>
    <w:rsid w:val="007D57BE"/>
    <w:rsid w:val="007D5FC2"/>
    <w:rsid w:val="007D6D52"/>
    <w:rsid w:val="007E008C"/>
    <w:rsid w:val="007E00B2"/>
    <w:rsid w:val="007E06C3"/>
    <w:rsid w:val="007E077D"/>
    <w:rsid w:val="007E0B9B"/>
    <w:rsid w:val="007E0E9C"/>
    <w:rsid w:val="007E0EEE"/>
    <w:rsid w:val="007E167C"/>
    <w:rsid w:val="007E193D"/>
    <w:rsid w:val="007E1DFE"/>
    <w:rsid w:val="007E24D2"/>
    <w:rsid w:val="007E24F2"/>
    <w:rsid w:val="007E2771"/>
    <w:rsid w:val="007E2B3D"/>
    <w:rsid w:val="007E2F31"/>
    <w:rsid w:val="007E3395"/>
    <w:rsid w:val="007E45E7"/>
    <w:rsid w:val="007E48B4"/>
    <w:rsid w:val="007E49FA"/>
    <w:rsid w:val="007E4CC6"/>
    <w:rsid w:val="007E541F"/>
    <w:rsid w:val="007E5D62"/>
    <w:rsid w:val="007E5F99"/>
    <w:rsid w:val="007E725E"/>
    <w:rsid w:val="007E735D"/>
    <w:rsid w:val="007E7370"/>
    <w:rsid w:val="007E7474"/>
    <w:rsid w:val="007E7B88"/>
    <w:rsid w:val="007F055A"/>
    <w:rsid w:val="007F0F73"/>
    <w:rsid w:val="007F1383"/>
    <w:rsid w:val="007F255A"/>
    <w:rsid w:val="007F2887"/>
    <w:rsid w:val="007F3117"/>
    <w:rsid w:val="007F4CC8"/>
    <w:rsid w:val="007F4D85"/>
    <w:rsid w:val="007F5339"/>
    <w:rsid w:val="007F58F6"/>
    <w:rsid w:val="007F60E6"/>
    <w:rsid w:val="007F60F8"/>
    <w:rsid w:val="007F6287"/>
    <w:rsid w:val="007F7172"/>
    <w:rsid w:val="00800ECB"/>
    <w:rsid w:val="008014D8"/>
    <w:rsid w:val="0080176C"/>
    <w:rsid w:val="0080191B"/>
    <w:rsid w:val="00802500"/>
    <w:rsid w:val="00802BED"/>
    <w:rsid w:val="00804163"/>
    <w:rsid w:val="0080425D"/>
    <w:rsid w:val="0080505E"/>
    <w:rsid w:val="00805551"/>
    <w:rsid w:val="00806251"/>
    <w:rsid w:val="00806352"/>
    <w:rsid w:val="008067DF"/>
    <w:rsid w:val="00806F9D"/>
    <w:rsid w:val="00810BD3"/>
    <w:rsid w:val="00810D0C"/>
    <w:rsid w:val="00810EF9"/>
    <w:rsid w:val="00811742"/>
    <w:rsid w:val="00811BC9"/>
    <w:rsid w:val="008123FA"/>
    <w:rsid w:val="00812581"/>
    <w:rsid w:val="00812BCB"/>
    <w:rsid w:val="00812EB6"/>
    <w:rsid w:val="008146B6"/>
    <w:rsid w:val="00814F44"/>
    <w:rsid w:val="00815227"/>
    <w:rsid w:val="00816301"/>
    <w:rsid w:val="008164BC"/>
    <w:rsid w:val="00816A05"/>
    <w:rsid w:val="0081727E"/>
    <w:rsid w:val="008172BA"/>
    <w:rsid w:val="00817381"/>
    <w:rsid w:val="00820E59"/>
    <w:rsid w:val="0082115F"/>
    <w:rsid w:val="00821440"/>
    <w:rsid w:val="00821A93"/>
    <w:rsid w:val="00821A9B"/>
    <w:rsid w:val="008223CE"/>
    <w:rsid w:val="008226C4"/>
    <w:rsid w:val="00822878"/>
    <w:rsid w:val="00822A82"/>
    <w:rsid w:val="00822C99"/>
    <w:rsid w:val="00822F6C"/>
    <w:rsid w:val="008232BF"/>
    <w:rsid w:val="0082347D"/>
    <w:rsid w:val="0082358E"/>
    <w:rsid w:val="008244AD"/>
    <w:rsid w:val="00825899"/>
    <w:rsid w:val="00826795"/>
    <w:rsid w:val="00826828"/>
    <w:rsid w:val="0082697E"/>
    <w:rsid w:val="00827459"/>
    <w:rsid w:val="00827944"/>
    <w:rsid w:val="008303A7"/>
    <w:rsid w:val="00830594"/>
    <w:rsid w:val="00830A2E"/>
    <w:rsid w:val="00830F6C"/>
    <w:rsid w:val="008313F1"/>
    <w:rsid w:val="00831405"/>
    <w:rsid w:val="008318D6"/>
    <w:rsid w:val="008326BD"/>
    <w:rsid w:val="00832D6F"/>
    <w:rsid w:val="00832E81"/>
    <w:rsid w:val="0083364D"/>
    <w:rsid w:val="00833DDA"/>
    <w:rsid w:val="008342CC"/>
    <w:rsid w:val="00834A14"/>
    <w:rsid w:val="00834BE5"/>
    <w:rsid w:val="00835159"/>
    <w:rsid w:val="00835F2B"/>
    <w:rsid w:val="008361EE"/>
    <w:rsid w:val="008363F2"/>
    <w:rsid w:val="00836D98"/>
    <w:rsid w:val="008373F4"/>
    <w:rsid w:val="008376DC"/>
    <w:rsid w:val="008376F8"/>
    <w:rsid w:val="00837708"/>
    <w:rsid w:val="00837899"/>
    <w:rsid w:val="008405AA"/>
    <w:rsid w:val="0084097A"/>
    <w:rsid w:val="00840B0A"/>
    <w:rsid w:val="0084123A"/>
    <w:rsid w:val="0084156A"/>
    <w:rsid w:val="00841590"/>
    <w:rsid w:val="008421ED"/>
    <w:rsid w:val="008425D4"/>
    <w:rsid w:val="00842B1E"/>
    <w:rsid w:val="00842DE7"/>
    <w:rsid w:val="0084322B"/>
    <w:rsid w:val="00843523"/>
    <w:rsid w:val="00843591"/>
    <w:rsid w:val="00843984"/>
    <w:rsid w:val="00843EC6"/>
    <w:rsid w:val="00844ED2"/>
    <w:rsid w:val="0084555E"/>
    <w:rsid w:val="00845C3C"/>
    <w:rsid w:val="00846484"/>
    <w:rsid w:val="00847421"/>
    <w:rsid w:val="00847BEF"/>
    <w:rsid w:val="00847CE2"/>
    <w:rsid w:val="0085041B"/>
    <w:rsid w:val="00850C27"/>
    <w:rsid w:val="008512C6"/>
    <w:rsid w:val="008517AF"/>
    <w:rsid w:val="00851EED"/>
    <w:rsid w:val="008525FD"/>
    <w:rsid w:val="00853067"/>
    <w:rsid w:val="00853B00"/>
    <w:rsid w:val="00854A55"/>
    <w:rsid w:val="00854D99"/>
    <w:rsid w:val="00854F26"/>
    <w:rsid w:val="00855673"/>
    <w:rsid w:val="00855D89"/>
    <w:rsid w:val="00855F28"/>
    <w:rsid w:val="00855F91"/>
    <w:rsid w:val="00856810"/>
    <w:rsid w:val="00856C5D"/>
    <w:rsid w:val="00856CD9"/>
    <w:rsid w:val="00856F0E"/>
    <w:rsid w:val="00856F27"/>
    <w:rsid w:val="00856FF3"/>
    <w:rsid w:val="00857AC2"/>
    <w:rsid w:val="00857F04"/>
    <w:rsid w:val="00857FF4"/>
    <w:rsid w:val="00857FFA"/>
    <w:rsid w:val="00860218"/>
    <w:rsid w:val="00860525"/>
    <w:rsid w:val="008608AE"/>
    <w:rsid w:val="0086093E"/>
    <w:rsid w:val="00861714"/>
    <w:rsid w:val="00861A10"/>
    <w:rsid w:val="00862700"/>
    <w:rsid w:val="0086293F"/>
    <w:rsid w:val="00862F1F"/>
    <w:rsid w:val="008635CD"/>
    <w:rsid w:val="00863A64"/>
    <w:rsid w:val="00864155"/>
    <w:rsid w:val="00864838"/>
    <w:rsid w:val="00864C00"/>
    <w:rsid w:val="00864C92"/>
    <w:rsid w:val="00864DA2"/>
    <w:rsid w:val="00864F45"/>
    <w:rsid w:val="00865315"/>
    <w:rsid w:val="008657F0"/>
    <w:rsid w:val="00865BB8"/>
    <w:rsid w:val="00866432"/>
    <w:rsid w:val="008667A5"/>
    <w:rsid w:val="00866AAC"/>
    <w:rsid w:val="0086788D"/>
    <w:rsid w:val="0086794C"/>
    <w:rsid w:val="00867D02"/>
    <w:rsid w:val="00867DA0"/>
    <w:rsid w:val="00867FCA"/>
    <w:rsid w:val="0087067B"/>
    <w:rsid w:val="00870B7A"/>
    <w:rsid w:val="008710BD"/>
    <w:rsid w:val="0087178D"/>
    <w:rsid w:val="008717C6"/>
    <w:rsid w:val="00871A59"/>
    <w:rsid w:val="00873021"/>
    <w:rsid w:val="00873317"/>
    <w:rsid w:val="00873433"/>
    <w:rsid w:val="0087388F"/>
    <w:rsid w:val="008745A2"/>
    <w:rsid w:val="008749DA"/>
    <w:rsid w:val="00875581"/>
    <w:rsid w:val="00875652"/>
    <w:rsid w:val="00875B48"/>
    <w:rsid w:val="00875F21"/>
    <w:rsid w:val="008763F0"/>
    <w:rsid w:val="00877450"/>
    <w:rsid w:val="008777BA"/>
    <w:rsid w:val="008779E6"/>
    <w:rsid w:val="00877F15"/>
    <w:rsid w:val="00880027"/>
    <w:rsid w:val="0088094D"/>
    <w:rsid w:val="00880BE1"/>
    <w:rsid w:val="008811ED"/>
    <w:rsid w:val="008812F8"/>
    <w:rsid w:val="00882120"/>
    <w:rsid w:val="00882820"/>
    <w:rsid w:val="00882C68"/>
    <w:rsid w:val="00882D20"/>
    <w:rsid w:val="008830BB"/>
    <w:rsid w:val="0088575E"/>
    <w:rsid w:val="008859DE"/>
    <w:rsid w:val="00885C58"/>
    <w:rsid w:val="008862FA"/>
    <w:rsid w:val="0088685F"/>
    <w:rsid w:val="00886917"/>
    <w:rsid w:val="00886C0A"/>
    <w:rsid w:val="00886C4C"/>
    <w:rsid w:val="00886D25"/>
    <w:rsid w:val="0088719A"/>
    <w:rsid w:val="00887909"/>
    <w:rsid w:val="008900EA"/>
    <w:rsid w:val="0089087F"/>
    <w:rsid w:val="00890CFE"/>
    <w:rsid w:val="00890D77"/>
    <w:rsid w:val="00890D93"/>
    <w:rsid w:val="0089103A"/>
    <w:rsid w:val="008910C6"/>
    <w:rsid w:val="0089167C"/>
    <w:rsid w:val="0089191F"/>
    <w:rsid w:val="0089206D"/>
    <w:rsid w:val="0089279A"/>
    <w:rsid w:val="008938FD"/>
    <w:rsid w:val="008940C0"/>
    <w:rsid w:val="00895691"/>
    <w:rsid w:val="00896658"/>
    <w:rsid w:val="00896CC7"/>
    <w:rsid w:val="00897040"/>
    <w:rsid w:val="00897A44"/>
    <w:rsid w:val="008A04EE"/>
    <w:rsid w:val="008A089D"/>
    <w:rsid w:val="008A093E"/>
    <w:rsid w:val="008A0958"/>
    <w:rsid w:val="008A154A"/>
    <w:rsid w:val="008A1712"/>
    <w:rsid w:val="008A17D2"/>
    <w:rsid w:val="008A1AFD"/>
    <w:rsid w:val="008A1D9D"/>
    <w:rsid w:val="008A2672"/>
    <w:rsid w:val="008A34F0"/>
    <w:rsid w:val="008A36C7"/>
    <w:rsid w:val="008A42C4"/>
    <w:rsid w:val="008A4B7A"/>
    <w:rsid w:val="008A512E"/>
    <w:rsid w:val="008A5821"/>
    <w:rsid w:val="008A657D"/>
    <w:rsid w:val="008A6809"/>
    <w:rsid w:val="008B09AA"/>
    <w:rsid w:val="008B1294"/>
    <w:rsid w:val="008B17B0"/>
    <w:rsid w:val="008B1BE5"/>
    <w:rsid w:val="008B26F9"/>
    <w:rsid w:val="008B30B0"/>
    <w:rsid w:val="008B4603"/>
    <w:rsid w:val="008B4B70"/>
    <w:rsid w:val="008B4C9E"/>
    <w:rsid w:val="008B535A"/>
    <w:rsid w:val="008B5500"/>
    <w:rsid w:val="008B573A"/>
    <w:rsid w:val="008B6D07"/>
    <w:rsid w:val="008B7259"/>
    <w:rsid w:val="008B72A0"/>
    <w:rsid w:val="008C0485"/>
    <w:rsid w:val="008C1BFD"/>
    <w:rsid w:val="008C1D07"/>
    <w:rsid w:val="008C27E8"/>
    <w:rsid w:val="008C29CD"/>
    <w:rsid w:val="008C3109"/>
    <w:rsid w:val="008C32FE"/>
    <w:rsid w:val="008C3772"/>
    <w:rsid w:val="008C388E"/>
    <w:rsid w:val="008C4639"/>
    <w:rsid w:val="008C5605"/>
    <w:rsid w:val="008C59A9"/>
    <w:rsid w:val="008C5B80"/>
    <w:rsid w:val="008C5C10"/>
    <w:rsid w:val="008C6758"/>
    <w:rsid w:val="008C6E58"/>
    <w:rsid w:val="008C6F4E"/>
    <w:rsid w:val="008C79A4"/>
    <w:rsid w:val="008C7E4B"/>
    <w:rsid w:val="008D15AE"/>
    <w:rsid w:val="008D24B5"/>
    <w:rsid w:val="008D2C95"/>
    <w:rsid w:val="008D344E"/>
    <w:rsid w:val="008D38B5"/>
    <w:rsid w:val="008D3960"/>
    <w:rsid w:val="008D48F9"/>
    <w:rsid w:val="008D57CD"/>
    <w:rsid w:val="008D5A4B"/>
    <w:rsid w:val="008D5DA7"/>
    <w:rsid w:val="008D7258"/>
    <w:rsid w:val="008D76B9"/>
    <w:rsid w:val="008D7E3B"/>
    <w:rsid w:val="008E00D7"/>
    <w:rsid w:val="008E038F"/>
    <w:rsid w:val="008E03FD"/>
    <w:rsid w:val="008E073D"/>
    <w:rsid w:val="008E079E"/>
    <w:rsid w:val="008E111E"/>
    <w:rsid w:val="008E1142"/>
    <w:rsid w:val="008E1D5F"/>
    <w:rsid w:val="008E32A0"/>
    <w:rsid w:val="008E32B9"/>
    <w:rsid w:val="008E32D9"/>
    <w:rsid w:val="008E3419"/>
    <w:rsid w:val="008E3CAD"/>
    <w:rsid w:val="008E4289"/>
    <w:rsid w:val="008E4B11"/>
    <w:rsid w:val="008E4EAE"/>
    <w:rsid w:val="008E54A6"/>
    <w:rsid w:val="008E54A8"/>
    <w:rsid w:val="008E6100"/>
    <w:rsid w:val="008E678A"/>
    <w:rsid w:val="008E6947"/>
    <w:rsid w:val="008E6C9D"/>
    <w:rsid w:val="008E717D"/>
    <w:rsid w:val="008E7FDC"/>
    <w:rsid w:val="008F081A"/>
    <w:rsid w:val="008F104A"/>
    <w:rsid w:val="008F1342"/>
    <w:rsid w:val="008F1EB4"/>
    <w:rsid w:val="008F3485"/>
    <w:rsid w:val="008F3957"/>
    <w:rsid w:val="008F4651"/>
    <w:rsid w:val="008F4957"/>
    <w:rsid w:val="008F49E8"/>
    <w:rsid w:val="008F4D50"/>
    <w:rsid w:val="008F54BC"/>
    <w:rsid w:val="008F5FB7"/>
    <w:rsid w:val="008F62F8"/>
    <w:rsid w:val="008F638A"/>
    <w:rsid w:val="008F6A9F"/>
    <w:rsid w:val="008F721F"/>
    <w:rsid w:val="008F7CF2"/>
    <w:rsid w:val="00900E9C"/>
    <w:rsid w:val="00901313"/>
    <w:rsid w:val="009020FA"/>
    <w:rsid w:val="0090280C"/>
    <w:rsid w:val="00902E4B"/>
    <w:rsid w:val="00902F6F"/>
    <w:rsid w:val="009030A9"/>
    <w:rsid w:val="0090318D"/>
    <w:rsid w:val="00903609"/>
    <w:rsid w:val="0090438E"/>
    <w:rsid w:val="00905162"/>
    <w:rsid w:val="00905414"/>
    <w:rsid w:val="00905448"/>
    <w:rsid w:val="0090663D"/>
    <w:rsid w:val="00906FBF"/>
    <w:rsid w:val="00911985"/>
    <w:rsid w:val="00911A1F"/>
    <w:rsid w:val="00911A91"/>
    <w:rsid w:val="009122E6"/>
    <w:rsid w:val="0091313E"/>
    <w:rsid w:val="0091433E"/>
    <w:rsid w:val="00914A58"/>
    <w:rsid w:val="00914AFD"/>
    <w:rsid w:val="00915220"/>
    <w:rsid w:val="009153CC"/>
    <w:rsid w:val="009161A3"/>
    <w:rsid w:val="009171C9"/>
    <w:rsid w:val="0091750C"/>
    <w:rsid w:val="00917516"/>
    <w:rsid w:val="00920716"/>
    <w:rsid w:val="00921336"/>
    <w:rsid w:val="0092152A"/>
    <w:rsid w:val="00921675"/>
    <w:rsid w:val="009219F2"/>
    <w:rsid w:val="0092226F"/>
    <w:rsid w:val="00922362"/>
    <w:rsid w:val="009225B4"/>
    <w:rsid w:val="009228E3"/>
    <w:rsid w:val="00922B57"/>
    <w:rsid w:val="00924024"/>
    <w:rsid w:val="00924525"/>
    <w:rsid w:val="0092491F"/>
    <w:rsid w:val="00924DE4"/>
    <w:rsid w:val="00924F53"/>
    <w:rsid w:val="00924F6D"/>
    <w:rsid w:val="0092522E"/>
    <w:rsid w:val="00925323"/>
    <w:rsid w:val="0092566A"/>
    <w:rsid w:val="00925F20"/>
    <w:rsid w:val="009268F1"/>
    <w:rsid w:val="00926BA3"/>
    <w:rsid w:val="00926BF2"/>
    <w:rsid w:val="00926DD9"/>
    <w:rsid w:val="00926EAC"/>
    <w:rsid w:val="00927863"/>
    <w:rsid w:val="009278C7"/>
    <w:rsid w:val="009317B5"/>
    <w:rsid w:val="0093211B"/>
    <w:rsid w:val="0093224C"/>
    <w:rsid w:val="0093266E"/>
    <w:rsid w:val="0093278A"/>
    <w:rsid w:val="00932A8D"/>
    <w:rsid w:val="00932B4D"/>
    <w:rsid w:val="00932CF8"/>
    <w:rsid w:val="00933DB2"/>
    <w:rsid w:val="00934C4E"/>
    <w:rsid w:val="009355B6"/>
    <w:rsid w:val="00935C7D"/>
    <w:rsid w:val="00937662"/>
    <w:rsid w:val="00940E77"/>
    <w:rsid w:val="00940EEA"/>
    <w:rsid w:val="00941203"/>
    <w:rsid w:val="00941246"/>
    <w:rsid w:val="00941878"/>
    <w:rsid w:val="0094291B"/>
    <w:rsid w:val="00942CE7"/>
    <w:rsid w:val="00942D54"/>
    <w:rsid w:val="00942DC6"/>
    <w:rsid w:val="00942E85"/>
    <w:rsid w:val="00943DF2"/>
    <w:rsid w:val="009441D1"/>
    <w:rsid w:val="00944405"/>
    <w:rsid w:val="00944753"/>
    <w:rsid w:val="0094488C"/>
    <w:rsid w:val="00944968"/>
    <w:rsid w:val="00944CD5"/>
    <w:rsid w:val="00945710"/>
    <w:rsid w:val="009458C0"/>
    <w:rsid w:val="00946040"/>
    <w:rsid w:val="009464A8"/>
    <w:rsid w:val="00946E42"/>
    <w:rsid w:val="009475F0"/>
    <w:rsid w:val="00947B8F"/>
    <w:rsid w:val="009504CA"/>
    <w:rsid w:val="0095050D"/>
    <w:rsid w:val="009505A8"/>
    <w:rsid w:val="0095094D"/>
    <w:rsid w:val="00950BCC"/>
    <w:rsid w:val="00950C84"/>
    <w:rsid w:val="00950D66"/>
    <w:rsid w:val="00951192"/>
    <w:rsid w:val="009516DC"/>
    <w:rsid w:val="00951714"/>
    <w:rsid w:val="00951B16"/>
    <w:rsid w:val="0095212D"/>
    <w:rsid w:val="0095288B"/>
    <w:rsid w:val="00952A51"/>
    <w:rsid w:val="00952BCA"/>
    <w:rsid w:val="00953358"/>
    <w:rsid w:val="00954621"/>
    <w:rsid w:val="009550E1"/>
    <w:rsid w:val="00955482"/>
    <w:rsid w:val="00955B3F"/>
    <w:rsid w:val="00956342"/>
    <w:rsid w:val="00956BF2"/>
    <w:rsid w:val="00960097"/>
    <w:rsid w:val="00960D49"/>
    <w:rsid w:val="00961065"/>
    <w:rsid w:val="00961073"/>
    <w:rsid w:val="00961404"/>
    <w:rsid w:val="00961551"/>
    <w:rsid w:val="00961ACA"/>
    <w:rsid w:val="0096257D"/>
    <w:rsid w:val="0096327C"/>
    <w:rsid w:val="00963614"/>
    <w:rsid w:val="00963B6D"/>
    <w:rsid w:val="00963BDF"/>
    <w:rsid w:val="00964A4E"/>
    <w:rsid w:val="00964C47"/>
    <w:rsid w:val="00965BBA"/>
    <w:rsid w:val="00966853"/>
    <w:rsid w:val="00966BBA"/>
    <w:rsid w:val="0096701C"/>
    <w:rsid w:val="0096769E"/>
    <w:rsid w:val="0097007F"/>
    <w:rsid w:val="009701C1"/>
    <w:rsid w:val="009702DE"/>
    <w:rsid w:val="00970549"/>
    <w:rsid w:val="00970921"/>
    <w:rsid w:val="00971072"/>
    <w:rsid w:val="00972609"/>
    <w:rsid w:val="00972C29"/>
    <w:rsid w:val="00973B8F"/>
    <w:rsid w:val="00973D1D"/>
    <w:rsid w:val="00973FFE"/>
    <w:rsid w:val="009741FD"/>
    <w:rsid w:val="0097470D"/>
    <w:rsid w:val="009747A1"/>
    <w:rsid w:val="00974FA9"/>
    <w:rsid w:val="00975382"/>
    <w:rsid w:val="009753F7"/>
    <w:rsid w:val="00975710"/>
    <w:rsid w:val="00976C48"/>
    <w:rsid w:val="00976F56"/>
    <w:rsid w:val="00977341"/>
    <w:rsid w:val="009773C0"/>
    <w:rsid w:val="00977670"/>
    <w:rsid w:val="0097772D"/>
    <w:rsid w:val="009805EA"/>
    <w:rsid w:val="0098085B"/>
    <w:rsid w:val="00980989"/>
    <w:rsid w:val="009810F0"/>
    <w:rsid w:val="0098111C"/>
    <w:rsid w:val="009814CB"/>
    <w:rsid w:val="00981A6D"/>
    <w:rsid w:val="009822A3"/>
    <w:rsid w:val="0098297C"/>
    <w:rsid w:val="0098334B"/>
    <w:rsid w:val="00983FDF"/>
    <w:rsid w:val="00985031"/>
    <w:rsid w:val="0098539D"/>
    <w:rsid w:val="009857AE"/>
    <w:rsid w:val="009857BF"/>
    <w:rsid w:val="00985CE4"/>
    <w:rsid w:val="00985F6B"/>
    <w:rsid w:val="009865F0"/>
    <w:rsid w:val="00986710"/>
    <w:rsid w:val="00986DF5"/>
    <w:rsid w:val="009878C8"/>
    <w:rsid w:val="0098798E"/>
    <w:rsid w:val="00990100"/>
    <w:rsid w:val="009904C4"/>
    <w:rsid w:val="00991585"/>
    <w:rsid w:val="00991651"/>
    <w:rsid w:val="00991748"/>
    <w:rsid w:val="00991BBB"/>
    <w:rsid w:val="00991E7D"/>
    <w:rsid w:val="00992B5A"/>
    <w:rsid w:val="009933DC"/>
    <w:rsid w:val="0099343F"/>
    <w:rsid w:val="009941D9"/>
    <w:rsid w:val="009941F8"/>
    <w:rsid w:val="009953F9"/>
    <w:rsid w:val="00995551"/>
    <w:rsid w:val="009955FC"/>
    <w:rsid w:val="009966A9"/>
    <w:rsid w:val="00996776"/>
    <w:rsid w:val="00996A8F"/>
    <w:rsid w:val="00997352"/>
    <w:rsid w:val="00997CDF"/>
    <w:rsid w:val="00997EF4"/>
    <w:rsid w:val="009A0B8C"/>
    <w:rsid w:val="009A0CE6"/>
    <w:rsid w:val="009A0FFA"/>
    <w:rsid w:val="009A12F7"/>
    <w:rsid w:val="009A1626"/>
    <w:rsid w:val="009A173D"/>
    <w:rsid w:val="009A1782"/>
    <w:rsid w:val="009A1894"/>
    <w:rsid w:val="009A25D7"/>
    <w:rsid w:val="009A2E4E"/>
    <w:rsid w:val="009A2ED7"/>
    <w:rsid w:val="009A3539"/>
    <w:rsid w:val="009A3A4E"/>
    <w:rsid w:val="009A3C7E"/>
    <w:rsid w:val="009A4B5D"/>
    <w:rsid w:val="009A602B"/>
    <w:rsid w:val="009A66C4"/>
    <w:rsid w:val="009A6AAE"/>
    <w:rsid w:val="009A6E88"/>
    <w:rsid w:val="009A7216"/>
    <w:rsid w:val="009A7746"/>
    <w:rsid w:val="009A7D4F"/>
    <w:rsid w:val="009A7D52"/>
    <w:rsid w:val="009B08A2"/>
    <w:rsid w:val="009B1166"/>
    <w:rsid w:val="009B11C2"/>
    <w:rsid w:val="009B2409"/>
    <w:rsid w:val="009B2C02"/>
    <w:rsid w:val="009B325D"/>
    <w:rsid w:val="009B4277"/>
    <w:rsid w:val="009B4935"/>
    <w:rsid w:val="009B53E1"/>
    <w:rsid w:val="009B60B6"/>
    <w:rsid w:val="009B6468"/>
    <w:rsid w:val="009B69CF"/>
    <w:rsid w:val="009B70B6"/>
    <w:rsid w:val="009B70F7"/>
    <w:rsid w:val="009B798A"/>
    <w:rsid w:val="009B7FB1"/>
    <w:rsid w:val="009C0842"/>
    <w:rsid w:val="009C0E1B"/>
    <w:rsid w:val="009C1DC6"/>
    <w:rsid w:val="009C25D2"/>
    <w:rsid w:val="009C2D19"/>
    <w:rsid w:val="009C3932"/>
    <w:rsid w:val="009C3FEA"/>
    <w:rsid w:val="009C4B80"/>
    <w:rsid w:val="009C4D3E"/>
    <w:rsid w:val="009C5180"/>
    <w:rsid w:val="009C5A1F"/>
    <w:rsid w:val="009C5A5A"/>
    <w:rsid w:val="009C5C0C"/>
    <w:rsid w:val="009C601E"/>
    <w:rsid w:val="009C66E8"/>
    <w:rsid w:val="009C673A"/>
    <w:rsid w:val="009C7DCB"/>
    <w:rsid w:val="009D0B43"/>
    <w:rsid w:val="009D2355"/>
    <w:rsid w:val="009D23A1"/>
    <w:rsid w:val="009D27F3"/>
    <w:rsid w:val="009D2A7C"/>
    <w:rsid w:val="009D2A97"/>
    <w:rsid w:val="009D2CCD"/>
    <w:rsid w:val="009D2E6B"/>
    <w:rsid w:val="009D3329"/>
    <w:rsid w:val="009D33DB"/>
    <w:rsid w:val="009D37EE"/>
    <w:rsid w:val="009D38F5"/>
    <w:rsid w:val="009D46B2"/>
    <w:rsid w:val="009D4747"/>
    <w:rsid w:val="009D50DC"/>
    <w:rsid w:val="009D5667"/>
    <w:rsid w:val="009D5AC0"/>
    <w:rsid w:val="009D5C79"/>
    <w:rsid w:val="009D5DB9"/>
    <w:rsid w:val="009D6392"/>
    <w:rsid w:val="009D6D09"/>
    <w:rsid w:val="009D70B5"/>
    <w:rsid w:val="009D7D7B"/>
    <w:rsid w:val="009E04F6"/>
    <w:rsid w:val="009E0D71"/>
    <w:rsid w:val="009E1A89"/>
    <w:rsid w:val="009E1B6F"/>
    <w:rsid w:val="009E2412"/>
    <w:rsid w:val="009E3232"/>
    <w:rsid w:val="009E59F0"/>
    <w:rsid w:val="009E5BBE"/>
    <w:rsid w:val="009E646E"/>
    <w:rsid w:val="009F060F"/>
    <w:rsid w:val="009F08B4"/>
    <w:rsid w:val="009F0D29"/>
    <w:rsid w:val="009F116F"/>
    <w:rsid w:val="009F1581"/>
    <w:rsid w:val="009F26A6"/>
    <w:rsid w:val="009F36D7"/>
    <w:rsid w:val="009F3DA5"/>
    <w:rsid w:val="009F4A24"/>
    <w:rsid w:val="009F6669"/>
    <w:rsid w:val="009F670B"/>
    <w:rsid w:val="009F6BDD"/>
    <w:rsid w:val="009F6C2B"/>
    <w:rsid w:val="009F7496"/>
    <w:rsid w:val="009F7E69"/>
    <w:rsid w:val="00A00AAE"/>
    <w:rsid w:val="00A0112D"/>
    <w:rsid w:val="00A01210"/>
    <w:rsid w:val="00A01C09"/>
    <w:rsid w:val="00A01CDD"/>
    <w:rsid w:val="00A024E6"/>
    <w:rsid w:val="00A0259F"/>
    <w:rsid w:val="00A026C2"/>
    <w:rsid w:val="00A026E7"/>
    <w:rsid w:val="00A05001"/>
    <w:rsid w:val="00A05F6D"/>
    <w:rsid w:val="00A065C6"/>
    <w:rsid w:val="00A10090"/>
    <w:rsid w:val="00A102C7"/>
    <w:rsid w:val="00A10823"/>
    <w:rsid w:val="00A11440"/>
    <w:rsid w:val="00A11918"/>
    <w:rsid w:val="00A11D75"/>
    <w:rsid w:val="00A12291"/>
    <w:rsid w:val="00A133AA"/>
    <w:rsid w:val="00A13955"/>
    <w:rsid w:val="00A14097"/>
    <w:rsid w:val="00A1484A"/>
    <w:rsid w:val="00A14A44"/>
    <w:rsid w:val="00A14AB5"/>
    <w:rsid w:val="00A14B83"/>
    <w:rsid w:val="00A1560D"/>
    <w:rsid w:val="00A16D55"/>
    <w:rsid w:val="00A17693"/>
    <w:rsid w:val="00A17CC1"/>
    <w:rsid w:val="00A17E70"/>
    <w:rsid w:val="00A21D55"/>
    <w:rsid w:val="00A22045"/>
    <w:rsid w:val="00A223ED"/>
    <w:rsid w:val="00A224BA"/>
    <w:rsid w:val="00A22E8C"/>
    <w:rsid w:val="00A22EDC"/>
    <w:rsid w:val="00A22F55"/>
    <w:rsid w:val="00A242A5"/>
    <w:rsid w:val="00A248F9"/>
    <w:rsid w:val="00A25681"/>
    <w:rsid w:val="00A25F00"/>
    <w:rsid w:val="00A262F0"/>
    <w:rsid w:val="00A270AD"/>
    <w:rsid w:val="00A27ABB"/>
    <w:rsid w:val="00A27B28"/>
    <w:rsid w:val="00A27B68"/>
    <w:rsid w:val="00A30158"/>
    <w:rsid w:val="00A30299"/>
    <w:rsid w:val="00A30EE3"/>
    <w:rsid w:val="00A3138E"/>
    <w:rsid w:val="00A3158A"/>
    <w:rsid w:val="00A31E50"/>
    <w:rsid w:val="00A32AA3"/>
    <w:rsid w:val="00A32AAF"/>
    <w:rsid w:val="00A32ED5"/>
    <w:rsid w:val="00A3398D"/>
    <w:rsid w:val="00A3400F"/>
    <w:rsid w:val="00A344F4"/>
    <w:rsid w:val="00A3468A"/>
    <w:rsid w:val="00A34BBA"/>
    <w:rsid w:val="00A34D68"/>
    <w:rsid w:val="00A35D4C"/>
    <w:rsid w:val="00A36DF2"/>
    <w:rsid w:val="00A40F01"/>
    <w:rsid w:val="00A4117A"/>
    <w:rsid w:val="00A41677"/>
    <w:rsid w:val="00A41719"/>
    <w:rsid w:val="00A41BBB"/>
    <w:rsid w:val="00A41CF1"/>
    <w:rsid w:val="00A41E48"/>
    <w:rsid w:val="00A42A5F"/>
    <w:rsid w:val="00A42A97"/>
    <w:rsid w:val="00A4323F"/>
    <w:rsid w:val="00A43435"/>
    <w:rsid w:val="00A4413B"/>
    <w:rsid w:val="00A44C18"/>
    <w:rsid w:val="00A4660A"/>
    <w:rsid w:val="00A4668F"/>
    <w:rsid w:val="00A46B6A"/>
    <w:rsid w:val="00A471D0"/>
    <w:rsid w:val="00A47BAD"/>
    <w:rsid w:val="00A500F0"/>
    <w:rsid w:val="00A50A24"/>
    <w:rsid w:val="00A510AB"/>
    <w:rsid w:val="00A52570"/>
    <w:rsid w:val="00A53D47"/>
    <w:rsid w:val="00A5427D"/>
    <w:rsid w:val="00A54CD7"/>
    <w:rsid w:val="00A55017"/>
    <w:rsid w:val="00A556A8"/>
    <w:rsid w:val="00A55812"/>
    <w:rsid w:val="00A56468"/>
    <w:rsid w:val="00A566AB"/>
    <w:rsid w:val="00A567BD"/>
    <w:rsid w:val="00A57125"/>
    <w:rsid w:val="00A57989"/>
    <w:rsid w:val="00A6017C"/>
    <w:rsid w:val="00A611BD"/>
    <w:rsid w:val="00A611F1"/>
    <w:rsid w:val="00A61276"/>
    <w:rsid w:val="00A61366"/>
    <w:rsid w:val="00A615AC"/>
    <w:rsid w:val="00A645BC"/>
    <w:rsid w:val="00A660CC"/>
    <w:rsid w:val="00A66566"/>
    <w:rsid w:val="00A66A0F"/>
    <w:rsid w:val="00A66DD4"/>
    <w:rsid w:val="00A679DC"/>
    <w:rsid w:val="00A67DF0"/>
    <w:rsid w:val="00A70068"/>
    <w:rsid w:val="00A70709"/>
    <w:rsid w:val="00A70ADE"/>
    <w:rsid w:val="00A711B7"/>
    <w:rsid w:val="00A71482"/>
    <w:rsid w:val="00A716A8"/>
    <w:rsid w:val="00A718E2"/>
    <w:rsid w:val="00A722BC"/>
    <w:rsid w:val="00A72704"/>
    <w:rsid w:val="00A72ACE"/>
    <w:rsid w:val="00A734C8"/>
    <w:rsid w:val="00A73693"/>
    <w:rsid w:val="00A73D33"/>
    <w:rsid w:val="00A73E93"/>
    <w:rsid w:val="00A746A3"/>
    <w:rsid w:val="00A74707"/>
    <w:rsid w:val="00A74AA5"/>
    <w:rsid w:val="00A755DE"/>
    <w:rsid w:val="00A761DE"/>
    <w:rsid w:val="00A76A6E"/>
    <w:rsid w:val="00A76E0D"/>
    <w:rsid w:val="00A778C2"/>
    <w:rsid w:val="00A779A5"/>
    <w:rsid w:val="00A77FF3"/>
    <w:rsid w:val="00A80659"/>
    <w:rsid w:val="00A80B25"/>
    <w:rsid w:val="00A80EA9"/>
    <w:rsid w:val="00A82A20"/>
    <w:rsid w:val="00A82AEC"/>
    <w:rsid w:val="00A83106"/>
    <w:rsid w:val="00A833DF"/>
    <w:rsid w:val="00A83509"/>
    <w:rsid w:val="00A83C1C"/>
    <w:rsid w:val="00A83D70"/>
    <w:rsid w:val="00A84B8D"/>
    <w:rsid w:val="00A85A3D"/>
    <w:rsid w:val="00A85BDF"/>
    <w:rsid w:val="00A85C10"/>
    <w:rsid w:val="00A8691A"/>
    <w:rsid w:val="00A874DE"/>
    <w:rsid w:val="00A9011A"/>
    <w:rsid w:val="00A90384"/>
    <w:rsid w:val="00A909BC"/>
    <w:rsid w:val="00A918E8"/>
    <w:rsid w:val="00A91D59"/>
    <w:rsid w:val="00A9246D"/>
    <w:rsid w:val="00A9260C"/>
    <w:rsid w:val="00A93A73"/>
    <w:rsid w:val="00A94075"/>
    <w:rsid w:val="00A95658"/>
    <w:rsid w:val="00A9621D"/>
    <w:rsid w:val="00AA02B3"/>
    <w:rsid w:val="00AA02FA"/>
    <w:rsid w:val="00AA05AC"/>
    <w:rsid w:val="00AA0A5E"/>
    <w:rsid w:val="00AA130C"/>
    <w:rsid w:val="00AA24E1"/>
    <w:rsid w:val="00AA2973"/>
    <w:rsid w:val="00AA2C2B"/>
    <w:rsid w:val="00AA3CA1"/>
    <w:rsid w:val="00AA469F"/>
    <w:rsid w:val="00AA4A1A"/>
    <w:rsid w:val="00AA5636"/>
    <w:rsid w:val="00AA582D"/>
    <w:rsid w:val="00AA5846"/>
    <w:rsid w:val="00AA5AD0"/>
    <w:rsid w:val="00AA66B1"/>
    <w:rsid w:val="00AA6AAD"/>
    <w:rsid w:val="00AA6CF1"/>
    <w:rsid w:val="00AA715D"/>
    <w:rsid w:val="00AA73B2"/>
    <w:rsid w:val="00AA78B6"/>
    <w:rsid w:val="00AB0BCB"/>
    <w:rsid w:val="00AB0E73"/>
    <w:rsid w:val="00AB138B"/>
    <w:rsid w:val="00AB149C"/>
    <w:rsid w:val="00AB1B1A"/>
    <w:rsid w:val="00AB27E7"/>
    <w:rsid w:val="00AB363B"/>
    <w:rsid w:val="00AB3BD4"/>
    <w:rsid w:val="00AB44FC"/>
    <w:rsid w:val="00AB4C37"/>
    <w:rsid w:val="00AB4E69"/>
    <w:rsid w:val="00AB5432"/>
    <w:rsid w:val="00AB59CF"/>
    <w:rsid w:val="00AB6A58"/>
    <w:rsid w:val="00AB6FEB"/>
    <w:rsid w:val="00AC04B8"/>
    <w:rsid w:val="00AC0E3E"/>
    <w:rsid w:val="00AC1612"/>
    <w:rsid w:val="00AC1BCC"/>
    <w:rsid w:val="00AC1D02"/>
    <w:rsid w:val="00AC1FF0"/>
    <w:rsid w:val="00AC20B5"/>
    <w:rsid w:val="00AC2F55"/>
    <w:rsid w:val="00AC3DE7"/>
    <w:rsid w:val="00AC40E5"/>
    <w:rsid w:val="00AC51B7"/>
    <w:rsid w:val="00AC7351"/>
    <w:rsid w:val="00AC7A30"/>
    <w:rsid w:val="00AD0801"/>
    <w:rsid w:val="00AD0819"/>
    <w:rsid w:val="00AD14ED"/>
    <w:rsid w:val="00AD16B3"/>
    <w:rsid w:val="00AD1B36"/>
    <w:rsid w:val="00AD1DFF"/>
    <w:rsid w:val="00AD1E6E"/>
    <w:rsid w:val="00AD1FD3"/>
    <w:rsid w:val="00AD201D"/>
    <w:rsid w:val="00AD2DED"/>
    <w:rsid w:val="00AD2F30"/>
    <w:rsid w:val="00AD32EF"/>
    <w:rsid w:val="00AD3902"/>
    <w:rsid w:val="00AD3AA5"/>
    <w:rsid w:val="00AD3AE1"/>
    <w:rsid w:val="00AD3B8C"/>
    <w:rsid w:val="00AD4182"/>
    <w:rsid w:val="00AD4B06"/>
    <w:rsid w:val="00AD4CBA"/>
    <w:rsid w:val="00AD55F0"/>
    <w:rsid w:val="00AD5BC4"/>
    <w:rsid w:val="00AD618F"/>
    <w:rsid w:val="00AD61FF"/>
    <w:rsid w:val="00AD6D96"/>
    <w:rsid w:val="00AE006C"/>
    <w:rsid w:val="00AE0483"/>
    <w:rsid w:val="00AE090B"/>
    <w:rsid w:val="00AE0EEE"/>
    <w:rsid w:val="00AE1349"/>
    <w:rsid w:val="00AE1D07"/>
    <w:rsid w:val="00AE1D57"/>
    <w:rsid w:val="00AE1EEF"/>
    <w:rsid w:val="00AE25CC"/>
    <w:rsid w:val="00AE2A4B"/>
    <w:rsid w:val="00AE2D62"/>
    <w:rsid w:val="00AE337B"/>
    <w:rsid w:val="00AE349C"/>
    <w:rsid w:val="00AE3BC9"/>
    <w:rsid w:val="00AE3D45"/>
    <w:rsid w:val="00AE4156"/>
    <w:rsid w:val="00AE4740"/>
    <w:rsid w:val="00AE5DD5"/>
    <w:rsid w:val="00AE5E90"/>
    <w:rsid w:val="00AE60F5"/>
    <w:rsid w:val="00AE67BF"/>
    <w:rsid w:val="00AE6C93"/>
    <w:rsid w:val="00AE7225"/>
    <w:rsid w:val="00AE798D"/>
    <w:rsid w:val="00AF0000"/>
    <w:rsid w:val="00AF02A7"/>
    <w:rsid w:val="00AF05E0"/>
    <w:rsid w:val="00AF0687"/>
    <w:rsid w:val="00AF0FF3"/>
    <w:rsid w:val="00AF1AD0"/>
    <w:rsid w:val="00AF26F3"/>
    <w:rsid w:val="00AF2D2A"/>
    <w:rsid w:val="00AF2D50"/>
    <w:rsid w:val="00AF2DCB"/>
    <w:rsid w:val="00AF3183"/>
    <w:rsid w:val="00AF3289"/>
    <w:rsid w:val="00AF3477"/>
    <w:rsid w:val="00AF393E"/>
    <w:rsid w:val="00AF3B52"/>
    <w:rsid w:val="00AF3F91"/>
    <w:rsid w:val="00AF4D5A"/>
    <w:rsid w:val="00AF62A6"/>
    <w:rsid w:val="00AF6354"/>
    <w:rsid w:val="00AF63A7"/>
    <w:rsid w:val="00AF67FE"/>
    <w:rsid w:val="00AF79B0"/>
    <w:rsid w:val="00AF7A9C"/>
    <w:rsid w:val="00B01454"/>
    <w:rsid w:val="00B01BAC"/>
    <w:rsid w:val="00B02836"/>
    <w:rsid w:val="00B0286D"/>
    <w:rsid w:val="00B028AC"/>
    <w:rsid w:val="00B02CF9"/>
    <w:rsid w:val="00B02E06"/>
    <w:rsid w:val="00B04080"/>
    <w:rsid w:val="00B04B47"/>
    <w:rsid w:val="00B070FF"/>
    <w:rsid w:val="00B074E1"/>
    <w:rsid w:val="00B07706"/>
    <w:rsid w:val="00B07F98"/>
    <w:rsid w:val="00B13963"/>
    <w:rsid w:val="00B14133"/>
    <w:rsid w:val="00B141C5"/>
    <w:rsid w:val="00B145CC"/>
    <w:rsid w:val="00B148D4"/>
    <w:rsid w:val="00B1498B"/>
    <w:rsid w:val="00B14A3C"/>
    <w:rsid w:val="00B14BEC"/>
    <w:rsid w:val="00B14DAB"/>
    <w:rsid w:val="00B161EE"/>
    <w:rsid w:val="00B16A0A"/>
    <w:rsid w:val="00B16FD8"/>
    <w:rsid w:val="00B177A5"/>
    <w:rsid w:val="00B2018D"/>
    <w:rsid w:val="00B206CA"/>
    <w:rsid w:val="00B20A17"/>
    <w:rsid w:val="00B21062"/>
    <w:rsid w:val="00B2213A"/>
    <w:rsid w:val="00B229EA"/>
    <w:rsid w:val="00B2330F"/>
    <w:rsid w:val="00B236C5"/>
    <w:rsid w:val="00B2374E"/>
    <w:rsid w:val="00B2383C"/>
    <w:rsid w:val="00B24419"/>
    <w:rsid w:val="00B24EF0"/>
    <w:rsid w:val="00B25D0D"/>
    <w:rsid w:val="00B2686C"/>
    <w:rsid w:val="00B27197"/>
    <w:rsid w:val="00B27298"/>
    <w:rsid w:val="00B277EC"/>
    <w:rsid w:val="00B27D39"/>
    <w:rsid w:val="00B27F45"/>
    <w:rsid w:val="00B30363"/>
    <w:rsid w:val="00B305A1"/>
    <w:rsid w:val="00B318B6"/>
    <w:rsid w:val="00B31949"/>
    <w:rsid w:val="00B31F47"/>
    <w:rsid w:val="00B325CB"/>
    <w:rsid w:val="00B332F2"/>
    <w:rsid w:val="00B3383F"/>
    <w:rsid w:val="00B339ED"/>
    <w:rsid w:val="00B33C8B"/>
    <w:rsid w:val="00B33D67"/>
    <w:rsid w:val="00B33E66"/>
    <w:rsid w:val="00B33E78"/>
    <w:rsid w:val="00B34975"/>
    <w:rsid w:val="00B34F0E"/>
    <w:rsid w:val="00B35768"/>
    <w:rsid w:val="00B35833"/>
    <w:rsid w:val="00B35C2B"/>
    <w:rsid w:val="00B35E20"/>
    <w:rsid w:val="00B360C2"/>
    <w:rsid w:val="00B36680"/>
    <w:rsid w:val="00B36BE0"/>
    <w:rsid w:val="00B37CFD"/>
    <w:rsid w:val="00B37ED0"/>
    <w:rsid w:val="00B4014C"/>
    <w:rsid w:val="00B4026B"/>
    <w:rsid w:val="00B40411"/>
    <w:rsid w:val="00B40540"/>
    <w:rsid w:val="00B40CCE"/>
    <w:rsid w:val="00B414E4"/>
    <w:rsid w:val="00B4185C"/>
    <w:rsid w:val="00B41A4B"/>
    <w:rsid w:val="00B41CB3"/>
    <w:rsid w:val="00B4202B"/>
    <w:rsid w:val="00B426C4"/>
    <w:rsid w:val="00B42BD6"/>
    <w:rsid w:val="00B430DA"/>
    <w:rsid w:val="00B43526"/>
    <w:rsid w:val="00B435CC"/>
    <w:rsid w:val="00B43918"/>
    <w:rsid w:val="00B439AD"/>
    <w:rsid w:val="00B43C87"/>
    <w:rsid w:val="00B43FB0"/>
    <w:rsid w:val="00B444CA"/>
    <w:rsid w:val="00B44C30"/>
    <w:rsid w:val="00B454A4"/>
    <w:rsid w:val="00B46A1E"/>
    <w:rsid w:val="00B46A93"/>
    <w:rsid w:val="00B46C00"/>
    <w:rsid w:val="00B4749C"/>
    <w:rsid w:val="00B477E7"/>
    <w:rsid w:val="00B47A55"/>
    <w:rsid w:val="00B47B2F"/>
    <w:rsid w:val="00B50F7E"/>
    <w:rsid w:val="00B51AC1"/>
    <w:rsid w:val="00B51C5C"/>
    <w:rsid w:val="00B51D85"/>
    <w:rsid w:val="00B52E7B"/>
    <w:rsid w:val="00B5301D"/>
    <w:rsid w:val="00B53479"/>
    <w:rsid w:val="00B5353D"/>
    <w:rsid w:val="00B536AE"/>
    <w:rsid w:val="00B5373E"/>
    <w:rsid w:val="00B53B56"/>
    <w:rsid w:val="00B53F80"/>
    <w:rsid w:val="00B5444D"/>
    <w:rsid w:val="00B5457E"/>
    <w:rsid w:val="00B54706"/>
    <w:rsid w:val="00B5532D"/>
    <w:rsid w:val="00B55498"/>
    <w:rsid w:val="00B5570D"/>
    <w:rsid w:val="00B55978"/>
    <w:rsid w:val="00B56AE5"/>
    <w:rsid w:val="00B56F22"/>
    <w:rsid w:val="00B577E7"/>
    <w:rsid w:val="00B60C1F"/>
    <w:rsid w:val="00B6279E"/>
    <w:rsid w:val="00B629B4"/>
    <w:rsid w:val="00B62F23"/>
    <w:rsid w:val="00B63C5D"/>
    <w:rsid w:val="00B641E8"/>
    <w:rsid w:val="00B64602"/>
    <w:rsid w:val="00B6619F"/>
    <w:rsid w:val="00B66D30"/>
    <w:rsid w:val="00B66DD2"/>
    <w:rsid w:val="00B675B8"/>
    <w:rsid w:val="00B67C70"/>
    <w:rsid w:val="00B70368"/>
    <w:rsid w:val="00B70468"/>
    <w:rsid w:val="00B704D0"/>
    <w:rsid w:val="00B70B6D"/>
    <w:rsid w:val="00B71330"/>
    <w:rsid w:val="00B7145B"/>
    <w:rsid w:val="00B718A9"/>
    <w:rsid w:val="00B72F83"/>
    <w:rsid w:val="00B73205"/>
    <w:rsid w:val="00B73913"/>
    <w:rsid w:val="00B740D2"/>
    <w:rsid w:val="00B74F37"/>
    <w:rsid w:val="00B76096"/>
    <w:rsid w:val="00B76A84"/>
    <w:rsid w:val="00B770C5"/>
    <w:rsid w:val="00B771EF"/>
    <w:rsid w:val="00B77614"/>
    <w:rsid w:val="00B77818"/>
    <w:rsid w:val="00B778EB"/>
    <w:rsid w:val="00B77A43"/>
    <w:rsid w:val="00B77DDA"/>
    <w:rsid w:val="00B805D3"/>
    <w:rsid w:val="00B819BA"/>
    <w:rsid w:val="00B82061"/>
    <w:rsid w:val="00B82907"/>
    <w:rsid w:val="00B82A2B"/>
    <w:rsid w:val="00B83FD7"/>
    <w:rsid w:val="00B85836"/>
    <w:rsid w:val="00B86B05"/>
    <w:rsid w:val="00B87078"/>
    <w:rsid w:val="00B873DD"/>
    <w:rsid w:val="00B8741C"/>
    <w:rsid w:val="00B87D09"/>
    <w:rsid w:val="00B9037E"/>
    <w:rsid w:val="00B90D5B"/>
    <w:rsid w:val="00B91FDD"/>
    <w:rsid w:val="00B920BE"/>
    <w:rsid w:val="00B9263C"/>
    <w:rsid w:val="00B932C3"/>
    <w:rsid w:val="00B93663"/>
    <w:rsid w:val="00B93B93"/>
    <w:rsid w:val="00B93C60"/>
    <w:rsid w:val="00B93F5D"/>
    <w:rsid w:val="00B9482C"/>
    <w:rsid w:val="00B94D58"/>
    <w:rsid w:val="00B9574D"/>
    <w:rsid w:val="00B95DBC"/>
    <w:rsid w:val="00B9651E"/>
    <w:rsid w:val="00B968BF"/>
    <w:rsid w:val="00B974CF"/>
    <w:rsid w:val="00B97506"/>
    <w:rsid w:val="00B97A52"/>
    <w:rsid w:val="00B97E43"/>
    <w:rsid w:val="00BA0247"/>
    <w:rsid w:val="00BA0670"/>
    <w:rsid w:val="00BA0725"/>
    <w:rsid w:val="00BA092F"/>
    <w:rsid w:val="00BA0B00"/>
    <w:rsid w:val="00BA0C02"/>
    <w:rsid w:val="00BA163E"/>
    <w:rsid w:val="00BA17D8"/>
    <w:rsid w:val="00BA1D09"/>
    <w:rsid w:val="00BA1F86"/>
    <w:rsid w:val="00BA245F"/>
    <w:rsid w:val="00BA280A"/>
    <w:rsid w:val="00BA2B5B"/>
    <w:rsid w:val="00BA378D"/>
    <w:rsid w:val="00BA3D8A"/>
    <w:rsid w:val="00BA3F0E"/>
    <w:rsid w:val="00BA519B"/>
    <w:rsid w:val="00BA5388"/>
    <w:rsid w:val="00BA5CA3"/>
    <w:rsid w:val="00BA5CB2"/>
    <w:rsid w:val="00BA6298"/>
    <w:rsid w:val="00BA675B"/>
    <w:rsid w:val="00BA769A"/>
    <w:rsid w:val="00BB15C7"/>
    <w:rsid w:val="00BB20FB"/>
    <w:rsid w:val="00BB279F"/>
    <w:rsid w:val="00BB2CDA"/>
    <w:rsid w:val="00BB2CF4"/>
    <w:rsid w:val="00BB346C"/>
    <w:rsid w:val="00BB3AE9"/>
    <w:rsid w:val="00BB3EBC"/>
    <w:rsid w:val="00BB45A9"/>
    <w:rsid w:val="00BB484B"/>
    <w:rsid w:val="00BB5A78"/>
    <w:rsid w:val="00BB5DB9"/>
    <w:rsid w:val="00BB6157"/>
    <w:rsid w:val="00BB65FC"/>
    <w:rsid w:val="00BB65FE"/>
    <w:rsid w:val="00BB73C7"/>
    <w:rsid w:val="00BB7824"/>
    <w:rsid w:val="00BC1238"/>
    <w:rsid w:val="00BC144A"/>
    <w:rsid w:val="00BC19BD"/>
    <w:rsid w:val="00BC1E02"/>
    <w:rsid w:val="00BC28FA"/>
    <w:rsid w:val="00BC2ED4"/>
    <w:rsid w:val="00BC370C"/>
    <w:rsid w:val="00BC4632"/>
    <w:rsid w:val="00BC46E1"/>
    <w:rsid w:val="00BC54E4"/>
    <w:rsid w:val="00BC5F93"/>
    <w:rsid w:val="00BC6483"/>
    <w:rsid w:val="00BC6E5D"/>
    <w:rsid w:val="00BC7ABF"/>
    <w:rsid w:val="00BC7C33"/>
    <w:rsid w:val="00BD0118"/>
    <w:rsid w:val="00BD033F"/>
    <w:rsid w:val="00BD072B"/>
    <w:rsid w:val="00BD135E"/>
    <w:rsid w:val="00BD19EB"/>
    <w:rsid w:val="00BD1A11"/>
    <w:rsid w:val="00BD1AE7"/>
    <w:rsid w:val="00BD1DA8"/>
    <w:rsid w:val="00BD221F"/>
    <w:rsid w:val="00BD3DEE"/>
    <w:rsid w:val="00BD403C"/>
    <w:rsid w:val="00BD40C6"/>
    <w:rsid w:val="00BD4340"/>
    <w:rsid w:val="00BD4A99"/>
    <w:rsid w:val="00BD4D64"/>
    <w:rsid w:val="00BD4FF6"/>
    <w:rsid w:val="00BD65ED"/>
    <w:rsid w:val="00BD6C1D"/>
    <w:rsid w:val="00BD6F59"/>
    <w:rsid w:val="00BD7268"/>
    <w:rsid w:val="00BE02D4"/>
    <w:rsid w:val="00BE1152"/>
    <w:rsid w:val="00BE1654"/>
    <w:rsid w:val="00BE185F"/>
    <w:rsid w:val="00BE1C3D"/>
    <w:rsid w:val="00BE2BB6"/>
    <w:rsid w:val="00BE5022"/>
    <w:rsid w:val="00BE5124"/>
    <w:rsid w:val="00BE5259"/>
    <w:rsid w:val="00BE595D"/>
    <w:rsid w:val="00BE5AFD"/>
    <w:rsid w:val="00BE669A"/>
    <w:rsid w:val="00BE6C2C"/>
    <w:rsid w:val="00BF033E"/>
    <w:rsid w:val="00BF0463"/>
    <w:rsid w:val="00BF05B6"/>
    <w:rsid w:val="00BF0D14"/>
    <w:rsid w:val="00BF227A"/>
    <w:rsid w:val="00BF314E"/>
    <w:rsid w:val="00BF3451"/>
    <w:rsid w:val="00BF3900"/>
    <w:rsid w:val="00BF45C6"/>
    <w:rsid w:val="00BF4BB0"/>
    <w:rsid w:val="00BF4F32"/>
    <w:rsid w:val="00BF575D"/>
    <w:rsid w:val="00BF5A13"/>
    <w:rsid w:val="00BF669E"/>
    <w:rsid w:val="00BF7860"/>
    <w:rsid w:val="00BF7C17"/>
    <w:rsid w:val="00BF7C93"/>
    <w:rsid w:val="00C0090A"/>
    <w:rsid w:val="00C01B7D"/>
    <w:rsid w:val="00C01D81"/>
    <w:rsid w:val="00C02CAA"/>
    <w:rsid w:val="00C0339D"/>
    <w:rsid w:val="00C034ED"/>
    <w:rsid w:val="00C03F41"/>
    <w:rsid w:val="00C04045"/>
    <w:rsid w:val="00C04180"/>
    <w:rsid w:val="00C044D3"/>
    <w:rsid w:val="00C04D87"/>
    <w:rsid w:val="00C05141"/>
    <w:rsid w:val="00C05A3B"/>
    <w:rsid w:val="00C05AA7"/>
    <w:rsid w:val="00C06498"/>
    <w:rsid w:val="00C0670B"/>
    <w:rsid w:val="00C06CA6"/>
    <w:rsid w:val="00C07303"/>
    <w:rsid w:val="00C07B63"/>
    <w:rsid w:val="00C07EB2"/>
    <w:rsid w:val="00C10076"/>
    <w:rsid w:val="00C1100B"/>
    <w:rsid w:val="00C1134C"/>
    <w:rsid w:val="00C115E3"/>
    <w:rsid w:val="00C11C52"/>
    <w:rsid w:val="00C11D9D"/>
    <w:rsid w:val="00C1223C"/>
    <w:rsid w:val="00C12265"/>
    <w:rsid w:val="00C1229F"/>
    <w:rsid w:val="00C1250C"/>
    <w:rsid w:val="00C12B57"/>
    <w:rsid w:val="00C12F56"/>
    <w:rsid w:val="00C13895"/>
    <w:rsid w:val="00C138AF"/>
    <w:rsid w:val="00C140A9"/>
    <w:rsid w:val="00C140DB"/>
    <w:rsid w:val="00C143F5"/>
    <w:rsid w:val="00C1469E"/>
    <w:rsid w:val="00C15573"/>
    <w:rsid w:val="00C16243"/>
    <w:rsid w:val="00C17302"/>
    <w:rsid w:val="00C17DB9"/>
    <w:rsid w:val="00C17DC4"/>
    <w:rsid w:val="00C20CB5"/>
    <w:rsid w:val="00C22247"/>
    <w:rsid w:val="00C2249B"/>
    <w:rsid w:val="00C22589"/>
    <w:rsid w:val="00C23A22"/>
    <w:rsid w:val="00C23AB9"/>
    <w:rsid w:val="00C244A5"/>
    <w:rsid w:val="00C25594"/>
    <w:rsid w:val="00C26568"/>
    <w:rsid w:val="00C26983"/>
    <w:rsid w:val="00C276DE"/>
    <w:rsid w:val="00C30B90"/>
    <w:rsid w:val="00C30EA0"/>
    <w:rsid w:val="00C310BB"/>
    <w:rsid w:val="00C313B5"/>
    <w:rsid w:val="00C313E5"/>
    <w:rsid w:val="00C31A14"/>
    <w:rsid w:val="00C31AAA"/>
    <w:rsid w:val="00C3226C"/>
    <w:rsid w:val="00C337BB"/>
    <w:rsid w:val="00C34391"/>
    <w:rsid w:val="00C34A74"/>
    <w:rsid w:val="00C34B7E"/>
    <w:rsid w:val="00C352D1"/>
    <w:rsid w:val="00C35853"/>
    <w:rsid w:val="00C35899"/>
    <w:rsid w:val="00C36970"/>
    <w:rsid w:val="00C36AC3"/>
    <w:rsid w:val="00C36ADB"/>
    <w:rsid w:val="00C3708F"/>
    <w:rsid w:val="00C40265"/>
    <w:rsid w:val="00C409B8"/>
    <w:rsid w:val="00C41503"/>
    <w:rsid w:val="00C415F3"/>
    <w:rsid w:val="00C417E3"/>
    <w:rsid w:val="00C41F01"/>
    <w:rsid w:val="00C42132"/>
    <w:rsid w:val="00C42AA3"/>
    <w:rsid w:val="00C4309D"/>
    <w:rsid w:val="00C431D1"/>
    <w:rsid w:val="00C432A7"/>
    <w:rsid w:val="00C43861"/>
    <w:rsid w:val="00C43B8C"/>
    <w:rsid w:val="00C45AB2"/>
    <w:rsid w:val="00C45B7E"/>
    <w:rsid w:val="00C46477"/>
    <w:rsid w:val="00C4692D"/>
    <w:rsid w:val="00C469DA"/>
    <w:rsid w:val="00C46CD9"/>
    <w:rsid w:val="00C46EA4"/>
    <w:rsid w:val="00C47C80"/>
    <w:rsid w:val="00C47EA5"/>
    <w:rsid w:val="00C50647"/>
    <w:rsid w:val="00C5133C"/>
    <w:rsid w:val="00C5138E"/>
    <w:rsid w:val="00C518CE"/>
    <w:rsid w:val="00C51C51"/>
    <w:rsid w:val="00C52040"/>
    <w:rsid w:val="00C522BD"/>
    <w:rsid w:val="00C52435"/>
    <w:rsid w:val="00C53118"/>
    <w:rsid w:val="00C53386"/>
    <w:rsid w:val="00C53756"/>
    <w:rsid w:val="00C53F35"/>
    <w:rsid w:val="00C542A7"/>
    <w:rsid w:val="00C559A8"/>
    <w:rsid w:val="00C55A88"/>
    <w:rsid w:val="00C55B6E"/>
    <w:rsid w:val="00C55DF0"/>
    <w:rsid w:val="00C560F4"/>
    <w:rsid w:val="00C56AC4"/>
    <w:rsid w:val="00C56B65"/>
    <w:rsid w:val="00C56FE0"/>
    <w:rsid w:val="00C57D04"/>
    <w:rsid w:val="00C57F67"/>
    <w:rsid w:val="00C61F67"/>
    <w:rsid w:val="00C6241A"/>
    <w:rsid w:val="00C624A2"/>
    <w:rsid w:val="00C625CD"/>
    <w:rsid w:val="00C628D6"/>
    <w:rsid w:val="00C637B2"/>
    <w:rsid w:val="00C63C9B"/>
    <w:rsid w:val="00C6411F"/>
    <w:rsid w:val="00C64395"/>
    <w:rsid w:val="00C65349"/>
    <w:rsid w:val="00C659A8"/>
    <w:rsid w:val="00C6786E"/>
    <w:rsid w:val="00C71355"/>
    <w:rsid w:val="00C715B1"/>
    <w:rsid w:val="00C721AA"/>
    <w:rsid w:val="00C733DC"/>
    <w:rsid w:val="00C73844"/>
    <w:rsid w:val="00C73856"/>
    <w:rsid w:val="00C73A4F"/>
    <w:rsid w:val="00C73E3A"/>
    <w:rsid w:val="00C753C3"/>
    <w:rsid w:val="00C75679"/>
    <w:rsid w:val="00C757AE"/>
    <w:rsid w:val="00C75AD7"/>
    <w:rsid w:val="00C761CD"/>
    <w:rsid w:val="00C77695"/>
    <w:rsid w:val="00C777FD"/>
    <w:rsid w:val="00C808BE"/>
    <w:rsid w:val="00C816A5"/>
    <w:rsid w:val="00C816E0"/>
    <w:rsid w:val="00C818D7"/>
    <w:rsid w:val="00C82E87"/>
    <w:rsid w:val="00C82EB5"/>
    <w:rsid w:val="00C83DF3"/>
    <w:rsid w:val="00C840B7"/>
    <w:rsid w:val="00C84477"/>
    <w:rsid w:val="00C85D99"/>
    <w:rsid w:val="00C86066"/>
    <w:rsid w:val="00C869E5"/>
    <w:rsid w:val="00C86FBB"/>
    <w:rsid w:val="00C874C4"/>
    <w:rsid w:val="00C907A7"/>
    <w:rsid w:val="00C91E24"/>
    <w:rsid w:val="00C93048"/>
    <w:rsid w:val="00C932E4"/>
    <w:rsid w:val="00C935B2"/>
    <w:rsid w:val="00C93E5B"/>
    <w:rsid w:val="00C93F8D"/>
    <w:rsid w:val="00C942D9"/>
    <w:rsid w:val="00C9430E"/>
    <w:rsid w:val="00C956F7"/>
    <w:rsid w:val="00C97444"/>
    <w:rsid w:val="00C978CE"/>
    <w:rsid w:val="00CA0702"/>
    <w:rsid w:val="00CA0785"/>
    <w:rsid w:val="00CA0EB9"/>
    <w:rsid w:val="00CA132B"/>
    <w:rsid w:val="00CA135D"/>
    <w:rsid w:val="00CA1A48"/>
    <w:rsid w:val="00CA22E5"/>
    <w:rsid w:val="00CA28B8"/>
    <w:rsid w:val="00CA3022"/>
    <w:rsid w:val="00CA339B"/>
    <w:rsid w:val="00CA34EB"/>
    <w:rsid w:val="00CA3593"/>
    <w:rsid w:val="00CA3769"/>
    <w:rsid w:val="00CA4FF7"/>
    <w:rsid w:val="00CA6646"/>
    <w:rsid w:val="00CA67E2"/>
    <w:rsid w:val="00CA7249"/>
    <w:rsid w:val="00CA734F"/>
    <w:rsid w:val="00CA782D"/>
    <w:rsid w:val="00CB0198"/>
    <w:rsid w:val="00CB1CBC"/>
    <w:rsid w:val="00CB25E9"/>
    <w:rsid w:val="00CB2779"/>
    <w:rsid w:val="00CB3065"/>
    <w:rsid w:val="00CB3837"/>
    <w:rsid w:val="00CB3929"/>
    <w:rsid w:val="00CB3A5D"/>
    <w:rsid w:val="00CB3B9F"/>
    <w:rsid w:val="00CB4036"/>
    <w:rsid w:val="00CB43F7"/>
    <w:rsid w:val="00CB44FA"/>
    <w:rsid w:val="00CB4741"/>
    <w:rsid w:val="00CB5847"/>
    <w:rsid w:val="00CB6444"/>
    <w:rsid w:val="00CB6A8C"/>
    <w:rsid w:val="00CB7609"/>
    <w:rsid w:val="00CB7976"/>
    <w:rsid w:val="00CB7A57"/>
    <w:rsid w:val="00CB7D88"/>
    <w:rsid w:val="00CB7DBD"/>
    <w:rsid w:val="00CC044B"/>
    <w:rsid w:val="00CC09FD"/>
    <w:rsid w:val="00CC0CBA"/>
    <w:rsid w:val="00CC0EDD"/>
    <w:rsid w:val="00CC10AD"/>
    <w:rsid w:val="00CC1617"/>
    <w:rsid w:val="00CC216E"/>
    <w:rsid w:val="00CC2426"/>
    <w:rsid w:val="00CC25AC"/>
    <w:rsid w:val="00CC2849"/>
    <w:rsid w:val="00CC3545"/>
    <w:rsid w:val="00CC39A4"/>
    <w:rsid w:val="00CC4050"/>
    <w:rsid w:val="00CC447A"/>
    <w:rsid w:val="00CC47DF"/>
    <w:rsid w:val="00CC528E"/>
    <w:rsid w:val="00CC554D"/>
    <w:rsid w:val="00CC59D9"/>
    <w:rsid w:val="00CC6426"/>
    <w:rsid w:val="00CC6D52"/>
    <w:rsid w:val="00CC714C"/>
    <w:rsid w:val="00CC7699"/>
    <w:rsid w:val="00CC77A9"/>
    <w:rsid w:val="00CD020C"/>
    <w:rsid w:val="00CD1C75"/>
    <w:rsid w:val="00CD1D97"/>
    <w:rsid w:val="00CD1F78"/>
    <w:rsid w:val="00CD306D"/>
    <w:rsid w:val="00CD4B74"/>
    <w:rsid w:val="00CD5491"/>
    <w:rsid w:val="00CD59C1"/>
    <w:rsid w:val="00CD5B0F"/>
    <w:rsid w:val="00CD61FA"/>
    <w:rsid w:val="00CD65B4"/>
    <w:rsid w:val="00CD7743"/>
    <w:rsid w:val="00CE0056"/>
    <w:rsid w:val="00CE017D"/>
    <w:rsid w:val="00CE03FC"/>
    <w:rsid w:val="00CE0689"/>
    <w:rsid w:val="00CE10C9"/>
    <w:rsid w:val="00CE11B3"/>
    <w:rsid w:val="00CE14A5"/>
    <w:rsid w:val="00CE1D07"/>
    <w:rsid w:val="00CE22CF"/>
    <w:rsid w:val="00CE2974"/>
    <w:rsid w:val="00CE33D9"/>
    <w:rsid w:val="00CE373E"/>
    <w:rsid w:val="00CE3806"/>
    <w:rsid w:val="00CE3E8F"/>
    <w:rsid w:val="00CE3F27"/>
    <w:rsid w:val="00CE4722"/>
    <w:rsid w:val="00CE48E3"/>
    <w:rsid w:val="00CE49C8"/>
    <w:rsid w:val="00CE4B3A"/>
    <w:rsid w:val="00CE4BC7"/>
    <w:rsid w:val="00CE51A6"/>
    <w:rsid w:val="00CE55A6"/>
    <w:rsid w:val="00CE5796"/>
    <w:rsid w:val="00CE58CD"/>
    <w:rsid w:val="00CE628E"/>
    <w:rsid w:val="00CE635C"/>
    <w:rsid w:val="00CE6432"/>
    <w:rsid w:val="00CE6932"/>
    <w:rsid w:val="00CE6EAB"/>
    <w:rsid w:val="00CE704B"/>
    <w:rsid w:val="00CE7747"/>
    <w:rsid w:val="00CF008C"/>
    <w:rsid w:val="00CF0BDC"/>
    <w:rsid w:val="00CF0F35"/>
    <w:rsid w:val="00CF1045"/>
    <w:rsid w:val="00CF1114"/>
    <w:rsid w:val="00CF118D"/>
    <w:rsid w:val="00CF1758"/>
    <w:rsid w:val="00CF19AA"/>
    <w:rsid w:val="00CF1AA2"/>
    <w:rsid w:val="00CF2145"/>
    <w:rsid w:val="00CF2A98"/>
    <w:rsid w:val="00CF3EE5"/>
    <w:rsid w:val="00CF4260"/>
    <w:rsid w:val="00CF43C3"/>
    <w:rsid w:val="00CF443A"/>
    <w:rsid w:val="00CF49C9"/>
    <w:rsid w:val="00CF4A31"/>
    <w:rsid w:val="00CF4B51"/>
    <w:rsid w:val="00CF511B"/>
    <w:rsid w:val="00CF53EE"/>
    <w:rsid w:val="00CF545D"/>
    <w:rsid w:val="00CF57A2"/>
    <w:rsid w:val="00CF696E"/>
    <w:rsid w:val="00CF78DB"/>
    <w:rsid w:val="00CF7A4A"/>
    <w:rsid w:val="00CF7CEE"/>
    <w:rsid w:val="00D00881"/>
    <w:rsid w:val="00D00B5C"/>
    <w:rsid w:val="00D012A7"/>
    <w:rsid w:val="00D01632"/>
    <w:rsid w:val="00D01BF8"/>
    <w:rsid w:val="00D028A1"/>
    <w:rsid w:val="00D028E0"/>
    <w:rsid w:val="00D02DCC"/>
    <w:rsid w:val="00D04AA6"/>
    <w:rsid w:val="00D04BD7"/>
    <w:rsid w:val="00D04C2F"/>
    <w:rsid w:val="00D05575"/>
    <w:rsid w:val="00D056AF"/>
    <w:rsid w:val="00D060D1"/>
    <w:rsid w:val="00D0660A"/>
    <w:rsid w:val="00D06F9B"/>
    <w:rsid w:val="00D073E3"/>
    <w:rsid w:val="00D0769C"/>
    <w:rsid w:val="00D10294"/>
    <w:rsid w:val="00D10721"/>
    <w:rsid w:val="00D11878"/>
    <w:rsid w:val="00D11A01"/>
    <w:rsid w:val="00D11A7C"/>
    <w:rsid w:val="00D11B28"/>
    <w:rsid w:val="00D134CB"/>
    <w:rsid w:val="00D13762"/>
    <w:rsid w:val="00D137AE"/>
    <w:rsid w:val="00D13972"/>
    <w:rsid w:val="00D13E67"/>
    <w:rsid w:val="00D14C64"/>
    <w:rsid w:val="00D14D35"/>
    <w:rsid w:val="00D15799"/>
    <w:rsid w:val="00D15896"/>
    <w:rsid w:val="00D15F99"/>
    <w:rsid w:val="00D20707"/>
    <w:rsid w:val="00D20B98"/>
    <w:rsid w:val="00D20D47"/>
    <w:rsid w:val="00D217A6"/>
    <w:rsid w:val="00D21FAB"/>
    <w:rsid w:val="00D2222A"/>
    <w:rsid w:val="00D222D7"/>
    <w:rsid w:val="00D22BEB"/>
    <w:rsid w:val="00D22EE0"/>
    <w:rsid w:val="00D23088"/>
    <w:rsid w:val="00D23870"/>
    <w:rsid w:val="00D244D2"/>
    <w:rsid w:val="00D24532"/>
    <w:rsid w:val="00D25845"/>
    <w:rsid w:val="00D25DAA"/>
    <w:rsid w:val="00D265F4"/>
    <w:rsid w:val="00D27362"/>
    <w:rsid w:val="00D2763C"/>
    <w:rsid w:val="00D27734"/>
    <w:rsid w:val="00D27F64"/>
    <w:rsid w:val="00D304D4"/>
    <w:rsid w:val="00D3089D"/>
    <w:rsid w:val="00D30EE6"/>
    <w:rsid w:val="00D30EEA"/>
    <w:rsid w:val="00D31346"/>
    <w:rsid w:val="00D31394"/>
    <w:rsid w:val="00D318D7"/>
    <w:rsid w:val="00D31B66"/>
    <w:rsid w:val="00D321DC"/>
    <w:rsid w:val="00D32382"/>
    <w:rsid w:val="00D33263"/>
    <w:rsid w:val="00D333E7"/>
    <w:rsid w:val="00D33B7C"/>
    <w:rsid w:val="00D33D9D"/>
    <w:rsid w:val="00D34198"/>
    <w:rsid w:val="00D3434A"/>
    <w:rsid w:val="00D34A88"/>
    <w:rsid w:val="00D34B86"/>
    <w:rsid w:val="00D34C82"/>
    <w:rsid w:val="00D35440"/>
    <w:rsid w:val="00D35447"/>
    <w:rsid w:val="00D35B79"/>
    <w:rsid w:val="00D36004"/>
    <w:rsid w:val="00D36736"/>
    <w:rsid w:val="00D369CA"/>
    <w:rsid w:val="00D37370"/>
    <w:rsid w:val="00D37AD8"/>
    <w:rsid w:val="00D40BB5"/>
    <w:rsid w:val="00D410A4"/>
    <w:rsid w:val="00D419B2"/>
    <w:rsid w:val="00D42499"/>
    <w:rsid w:val="00D42EE9"/>
    <w:rsid w:val="00D43234"/>
    <w:rsid w:val="00D43268"/>
    <w:rsid w:val="00D43482"/>
    <w:rsid w:val="00D43739"/>
    <w:rsid w:val="00D43872"/>
    <w:rsid w:val="00D43FD4"/>
    <w:rsid w:val="00D454E9"/>
    <w:rsid w:val="00D459FE"/>
    <w:rsid w:val="00D45C49"/>
    <w:rsid w:val="00D45E7E"/>
    <w:rsid w:val="00D47619"/>
    <w:rsid w:val="00D47979"/>
    <w:rsid w:val="00D479A5"/>
    <w:rsid w:val="00D47BE3"/>
    <w:rsid w:val="00D5044E"/>
    <w:rsid w:val="00D50A3C"/>
    <w:rsid w:val="00D50C27"/>
    <w:rsid w:val="00D51213"/>
    <w:rsid w:val="00D52B74"/>
    <w:rsid w:val="00D53489"/>
    <w:rsid w:val="00D53C0E"/>
    <w:rsid w:val="00D547AC"/>
    <w:rsid w:val="00D551BE"/>
    <w:rsid w:val="00D5620A"/>
    <w:rsid w:val="00D564F5"/>
    <w:rsid w:val="00D56928"/>
    <w:rsid w:val="00D57443"/>
    <w:rsid w:val="00D57AD0"/>
    <w:rsid w:val="00D60335"/>
    <w:rsid w:val="00D603B5"/>
    <w:rsid w:val="00D614BA"/>
    <w:rsid w:val="00D61D72"/>
    <w:rsid w:val="00D6240F"/>
    <w:rsid w:val="00D6355F"/>
    <w:rsid w:val="00D64483"/>
    <w:rsid w:val="00D65240"/>
    <w:rsid w:val="00D6615E"/>
    <w:rsid w:val="00D663B9"/>
    <w:rsid w:val="00D66961"/>
    <w:rsid w:val="00D66CB8"/>
    <w:rsid w:val="00D66EF2"/>
    <w:rsid w:val="00D675E8"/>
    <w:rsid w:val="00D678D9"/>
    <w:rsid w:val="00D67A4E"/>
    <w:rsid w:val="00D70224"/>
    <w:rsid w:val="00D70456"/>
    <w:rsid w:val="00D7096E"/>
    <w:rsid w:val="00D7193B"/>
    <w:rsid w:val="00D72303"/>
    <w:rsid w:val="00D723D3"/>
    <w:rsid w:val="00D72884"/>
    <w:rsid w:val="00D72957"/>
    <w:rsid w:val="00D7297C"/>
    <w:rsid w:val="00D72D86"/>
    <w:rsid w:val="00D72E0E"/>
    <w:rsid w:val="00D72EF6"/>
    <w:rsid w:val="00D72F93"/>
    <w:rsid w:val="00D73515"/>
    <w:rsid w:val="00D74145"/>
    <w:rsid w:val="00D74981"/>
    <w:rsid w:val="00D75348"/>
    <w:rsid w:val="00D75698"/>
    <w:rsid w:val="00D75798"/>
    <w:rsid w:val="00D76505"/>
    <w:rsid w:val="00D76559"/>
    <w:rsid w:val="00D76587"/>
    <w:rsid w:val="00D76D2E"/>
    <w:rsid w:val="00D76F4E"/>
    <w:rsid w:val="00D779BC"/>
    <w:rsid w:val="00D77C07"/>
    <w:rsid w:val="00D800FB"/>
    <w:rsid w:val="00D803BE"/>
    <w:rsid w:val="00D808F8"/>
    <w:rsid w:val="00D816CF"/>
    <w:rsid w:val="00D8341A"/>
    <w:rsid w:val="00D84721"/>
    <w:rsid w:val="00D84727"/>
    <w:rsid w:val="00D84B65"/>
    <w:rsid w:val="00D84E31"/>
    <w:rsid w:val="00D84EA3"/>
    <w:rsid w:val="00D86024"/>
    <w:rsid w:val="00D860A5"/>
    <w:rsid w:val="00D869A3"/>
    <w:rsid w:val="00D86A60"/>
    <w:rsid w:val="00D8723F"/>
    <w:rsid w:val="00D87410"/>
    <w:rsid w:val="00D87BA6"/>
    <w:rsid w:val="00D900C4"/>
    <w:rsid w:val="00D9046C"/>
    <w:rsid w:val="00D906A1"/>
    <w:rsid w:val="00D90A78"/>
    <w:rsid w:val="00D91110"/>
    <w:rsid w:val="00D91214"/>
    <w:rsid w:val="00D91B31"/>
    <w:rsid w:val="00D9285F"/>
    <w:rsid w:val="00D92A3A"/>
    <w:rsid w:val="00D92E7C"/>
    <w:rsid w:val="00D94139"/>
    <w:rsid w:val="00D94253"/>
    <w:rsid w:val="00D9452F"/>
    <w:rsid w:val="00D95012"/>
    <w:rsid w:val="00D950E4"/>
    <w:rsid w:val="00D959D9"/>
    <w:rsid w:val="00D96646"/>
    <w:rsid w:val="00D969C9"/>
    <w:rsid w:val="00D96E5E"/>
    <w:rsid w:val="00DA0ACF"/>
    <w:rsid w:val="00DA0C47"/>
    <w:rsid w:val="00DA1CF2"/>
    <w:rsid w:val="00DA1D71"/>
    <w:rsid w:val="00DA32F3"/>
    <w:rsid w:val="00DA33F9"/>
    <w:rsid w:val="00DA38F9"/>
    <w:rsid w:val="00DA3AFE"/>
    <w:rsid w:val="00DA47D7"/>
    <w:rsid w:val="00DA4BD2"/>
    <w:rsid w:val="00DA4E07"/>
    <w:rsid w:val="00DA5DD9"/>
    <w:rsid w:val="00DA5EAC"/>
    <w:rsid w:val="00DA6AEE"/>
    <w:rsid w:val="00DA7956"/>
    <w:rsid w:val="00DB0085"/>
    <w:rsid w:val="00DB08BA"/>
    <w:rsid w:val="00DB0922"/>
    <w:rsid w:val="00DB0E1B"/>
    <w:rsid w:val="00DB12C3"/>
    <w:rsid w:val="00DB1A9C"/>
    <w:rsid w:val="00DB1F71"/>
    <w:rsid w:val="00DB2401"/>
    <w:rsid w:val="00DB26CD"/>
    <w:rsid w:val="00DB31A1"/>
    <w:rsid w:val="00DB3974"/>
    <w:rsid w:val="00DB3D07"/>
    <w:rsid w:val="00DB3E43"/>
    <w:rsid w:val="00DB40C3"/>
    <w:rsid w:val="00DB47E8"/>
    <w:rsid w:val="00DB48BE"/>
    <w:rsid w:val="00DB5BCC"/>
    <w:rsid w:val="00DB5D29"/>
    <w:rsid w:val="00DB63D1"/>
    <w:rsid w:val="00DB6745"/>
    <w:rsid w:val="00DB6B9E"/>
    <w:rsid w:val="00DB6C3A"/>
    <w:rsid w:val="00DB6EC1"/>
    <w:rsid w:val="00DB6F3B"/>
    <w:rsid w:val="00DC06A4"/>
    <w:rsid w:val="00DC0A15"/>
    <w:rsid w:val="00DC0AF5"/>
    <w:rsid w:val="00DC0FD5"/>
    <w:rsid w:val="00DC188B"/>
    <w:rsid w:val="00DC212D"/>
    <w:rsid w:val="00DC2BE2"/>
    <w:rsid w:val="00DC3B23"/>
    <w:rsid w:val="00DC4320"/>
    <w:rsid w:val="00DC46BB"/>
    <w:rsid w:val="00DC4DA4"/>
    <w:rsid w:val="00DC51EB"/>
    <w:rsid w:val="00DC5410"/>
    <w:rsid w:val="00DC59E2"/>
    <w:rsid w:val="00DC614D"/>
    <w:rsid w:val="00DC615B"/>
    <w:rsid w:val="00DC6623"/>
    <w:rsid w:val="00DC7864"/>
    <w:rsid w:val="00DC7F51"/>
    <w:rsid w:val="00DD004C"/>
    <w:rsid w:val="00DD04B2"/>
    <w:rsid w:val="00DD0D8A"/>
    <w:rsid w:val="00DD0E25"/>
    <w:rsid w:val="00DD1879"/>
    <w:rsid w:val="00DD1F33"/>
    <w:rsid w:val="00DD22AE"/>
    <w:rsid w:val="00DD22FB"/>
    <w:rsid w:val="00DD25C6"/>
    <w:rsid w:val="00DD2D88"/>
    <w:rsid w:val="00DD2DB7"/>
    <w:rsid w:val="00DD30C0"/>
    <w:rsid w:val="00DD418A"/>
    <w:rsid w:val="00DD44E4"/>
    <w:rsid w:val="00DD4E9C"/>
    <w:rsid w:val="00DD543A"/>
    <w:rsid w:val="00DD5670"/>
    <w:rsid w:val="00DD5971"/>
    <w:rsid w:val="00DD5B32"/>
    <w:rsid w:val="00DD5BA1"/>
    <w:rsid w:val="00DD5FCA"/>
    <w:rsid w:val="00DD6A97"/>
    <w:rsid w:val="00DD6B07"/>
    <w:rsid w:val="00DD6B90"/>
    <w:rsid w:val="00DD6E2E"/>
    <w:rsid w:val="00DD7529"/>
    <w:rsid w:val="00DD76C5"/>
    <w:rsid w:val="00DD79F0"/>
    <w:rsid w:val="00DE042E"/>
    <w:rsid w:val="00DE061E"/>
    <w:rsid w:val="00DE0896"/>
    <w:rsid w:val="00DE0A21"/>
    <w:rsid w:val="00DE14BC"/>
    <w:rsid w:val="00DE23AC"/>
    <w:rsid w:val="00DE2722"/>
    <w:rsid w:val="00DE3AF4"/>
    <w:rsid w:val="00DE3B33"/>
    <w:rsid w:val="00DE4317"/>
    <w:rsid w:val="00DE4664"/>
    <w:rsid w:val="00DE49BA"/>
    <w:rsid w:val="00DE4A98"/>
    <w:rsid w:val="00DE4B14"/>
    <w:rsid w:val="00DE5089"/>
    <w:rsid w:val="00DE53C1"/>
    <w:rsid w:val="00DE56FE"/>
    <w:rsid w:val="00DE5A87"/>
    <w:rsid w:val="00DE5D8B"/>
    <w:rsid w:val="00DE5EEC"/>
    <w:rsid w:val="00DE5F53"/>
    <w:rsid w:val="00DE6824"/>
    <w:rsid w:val="00DE736B"/>
    <w:rsid w:val="00DE7B53"/>
    <w:rsid w:val="00DE7FA6"/>
    <w:rsid w:val="00DF1483"/>
    <w:rsid w:val="00DF1DE8"/>
    <w:rsid w:val="00DF22CB"/>
    <w:rsid w:val="00DF28A9"/>
    <w:rsid w:val="00DF3914"/>
    <w:rsid w:val="00DF3E20"/>
    <w:rsid w:val="00DF450E"/>
    <w:rsid w:val="00DF4890"/>
    <w:rsid w:val="00DF48BA"/>
    <w:rsid w:val="00DF4D76"/>
    <w:rsid w:val="00DF4D97"/>
    <w:rsid w:val="00DF500A"/>
    <w:rsid w:val="00DF5783"/>
    <w:rsid w:val="00DF587F"/>
    <w:rsid w:val="00DF6D14"/>
    <w:rsid w:val="00DF7096"/>
    <w:rsid w:val="00DF7415"/>
    <w:rsid w:val="00DF77A4"/>
    <w:rsid w:val="00DF7FE2"/>
    <w:rsid w:val="00E000A3"/>
    <w:rsid w:val="00E001F2"/>
    <w:rsid w:val="00E0039D"/>
    <w:rsid w:val="00E006B1"/>
    <w:rsid w:val="00E00CEF"/>
    <w:rsid w:val="00E00CFA"/>
    <w:rsid w:val="00E00F49"/>
    <w:rsid w:val="00E01286"/>
    <w:rsid w:val="00E018E6"/>
    <w:rsid w:val="00E01C56"/>
    <w:rsid w:val="00E026BF"/>
    <w:rsid w:val="00E02DCF"/>
    <w:rsid w:val="00E03719"/>
    <w:rsid w:val="00E03996"/>
    <w:rsid w:val="00E045B3"/>
    <w:rsid w:val="00E0481E"/>
    <w:rsid w:val="00E04DE7"/>
    <w:rsid w:val="00E04EC4"/>
    <w:rsid w:val="00E0530F"/>
    <w:rsid w:val="00E053FE"/>
    <w:rsid w:val="00E054BB"/>
    <w:rsid w:val="00E058E1"/>
    <w:rsid w:val="00E05FF0"/>
    <w:rsid w:val="00E06A35"/>
    <w:rsid w:val="00E06B6A"/>
    <w:rsid w:val="00E06D37"/>
    <w:rsid w:val="00E06D63"/>
    <w:rsid w:val="00E06F22"/>
    <w:rsid w:val="00E1004C"/>
    <w:rsid w:val="00E112E9"/>
    <w:rsid w:val="00E115E2"/>
    <w:rsid w:val="00E11713"/>
    <w:rsid w:val="00E11784"/>
    <w:rsid w:val="00E139F2"/>
    <w:rsid w:val="00E13C8E"/>
    <w:rsid w:val="00E147F0"/>
    <w:rsid w:val="00E14969"/>
    <w:rsid w:val="00E17F8E"/>
    <w:rsid w:val="00E20200"/>
    <w:rsid w:val="00E20DC3"/>
    <w:rsid w:val="00E21372"/>
    <w:rsid w:val="00E21B4F"/>
    <w:rsid w:val="00E21D25"/>
    <w:rsid w:val="00E2209F"/>
    <w:rsid w:val="00E2483C"/>
    <w:rsid w:val="00E24C6B"/>
    <w:rsid w:val="00E256A1"/>
    <w:rsid w:val="00E25FC2"/>
    <w:rsid w:val="00E2762D"/>
    <w:rsid w:val="00E27733"/>
    <w:rsid w:val="00E27929"/>
    <w:rsid w:val="00E27E13"/>
    <w:rsid w:val="00E30246"/>
    <w:rsid w:val="00E30B49"/>
    <w:rsid w:val="00E30B90"/>
    <w:rsid w:val="00E30B98"/>
    <w:rsid w:val="00E32491"/>
    <w:rsid w:val="00E32726"/>
    <w:rsid w:val="00E32B85"/>
    <w:rsid w:val="00E32FD1"/>
    <w:rsid w:val="00E3305C"/>
    <w:rsid w:val="00E33206"/>
    <w:rsid w:val="00E336D1"/>
    <w:rsid w:val="00E33B66"/>
    <w:rsid w:val="00E34954"/>
    <w:rsid w:val="00E34C73"/>
    <w:rsid w:val="00E34E11"/>
    <w:rsid w:val="00E36B3E"/>
    <w:rsid w:val="00E36E75"/>
    <w:rsid w:val="00E371A1"/>
    <w:rsid w:val="00E37EA3"/>
    <w:rsid w:val="00E401CE"/>
    <w:rsid w:val="00E4020C"/>
    <w:rsid w:val="00E4068D"/>
    <w:rsid w:val="00E41347"/>
    <w:rsid w:val="00E4137A"/>
    <w:rsid w:val="00E4151E"/>
    <w:rsid w:val="00E417AC"/>
    <w:rsid w:val="00E41C60"/>
    <w:rsid w:val="00E428E9"/>
    <w:rsid w:val="00E4312B"/>
    <w:rsid w:val="00E44338"/>
    <w:rsid w:val="00E44764"/>
    <w:rsid w:val="00E44D0C"/>
    <w:rsid w:val="00E44EBD"/>
    <w:rsid w:val="00E45305"/>
    <w:rsid w:val="00E453A9"/>
    <w:rsid w:val="00E469F0"/>
    <w:rsid w:val="00E46C76"/>
    <w:rsid w:val="00E46FEF"/>
    <w:rsid w:val="00E4759E"/>
    <w:rsid w:val="00E47751"/>
    <w:rsid w:val="00E503FC"/>
    <w:rsid w:val="00E5070E"/>
    <w:rsid w:val="00E50F6D"/>
    <w:rsid w:val="00E51324"/>
    <w:rsid w:val="00E513A2"/>
    <w:rsid w:val="00E525F0"/>
    <w:rsid w:val="00E529A2"/>
    <w:rsid w:val="00E5364A"/>
    <w:rsid w:val="00E539C9"/>
    <w:rsid w:val="00E54506"/>
    <w:rsid w:val="00E54752"/>
    <w:rsid w:val="00E5530A"/>
    <w:rsid w:val="00E5540B"/>
    <w:rsid w:val="00E5709E"/>
    <w:rsid w:val="00E5746F"/>
    <w:rsid w:val="00E5760F"/>
    <w:rsid w:val="00E57BFC"/>
    <w:rsid w:val="00E57C6E"/>
    <w:rsid w:val="00E61BB2"/>
    <w:rsid w:val="00E61EBC"/>
    <w:rsid w:val="00E641D8"/>
    <w:rsid w:val="00E643ED"/>
    <w:rsid w:val="00E65B69"/>
    <w:rsid w:val="00E663E5"/>
    <w:rsid w:val="00E66C8A"/>
    <w:rsid w:val="00E66D40"/>
    <w:rsid w:val="00E676AB"/>
    <w:rsid w:val="00E67B4E"/>
    <w:rsid w:val="00E67E85"/>
    <w:rsid w:val="00E7152C"/>
    <w:rsid w:val="00E7160B"/>
    <w:rsid w:val="00E71E5C"/>
    <w:rsid w:val="00E72BC8"/>
    <w:rsid w:val="00E73174"/>
    <w:rsid w:val="00E732CE"/>
    <w:rsid w:val="00E73DA0"/>
    <w:rsid w:val="00E73F73"/>
    <w:rsid w:val="00E758CE"/>
    <w:rsid w:val="00E75A69"/>
    <w:rsid w:val="00E764D1"/>
    <w:rsid w:val="00E76A0A"/>
    <w:rsid w:val="00E76F58"/>
    <w:rsid w:val="00E77848"/>
    <w:rsid w:val="00E77DBC"/>
    <w:rsid w:val="00E80188"/>
    <w:rsid w:val="00E806D8"/>
    <w:rsid w:val="00E807DA"/>
    <w:rsid w:val="00E81C1E"/>
    <w:rsid w:val="00E82860"/>
    <w:rsid w:val="00E828BB"/>
    <w:rsid w:val="00E8303D"/>
    <w:rsid w:val="00E83158"/>
    <w:rsid w:val="00E83D15"/>
    <w:rsid w:val="00E84134"/>
    <w:rsid w:val="00E84633"/>
    <w:rsid w:val="00E84DA8"/>
    <w:rsid w:val="00E84F4A"/>
    <w:rsid w:val="00E853E7"/>
    <w:rsid w:val="00E8541C"/>
    <w:rsid w:val="00E85C40"/>
    <w:rsid w:val="00E85FF5"/>
    <w:rsid w:val="00E8606A"/>
    <w:rsid w:val="00E875EA"/>
    <w:rsid w:val="00E900F2"/>
    <w:rsid w:val="00E908EC"/>
    <w:rsid w:val="00E915E0"/>
    <w:rsid w:val="00E919C4"/>
    <w:rsid w:val="00E91C5A"/>
    <w:rsid w:val="00E91DD3"/>
    <w:rsid w:val="00E924A5"/>
    <w:rsid w:val="00E927E3"/>
    <w:rsid w:val="00E92CC3"/>
    <w:rsid w:val="00E935AA"/>
    <w:rsid w:val="00E94549"/>
    <w:rsid w:val="00E946FD"/>
    <w:rsid w:val="00E94A84"/>
    <w:rsid w:val="00E954AE"/>
    <w:rsid w:val="00E96824"/>
    <w:rsid w:val="00E96CAC"/>
    <w:rsid w:val="00E96CE6"/>
    <w:rsid w:val="00E96E7F"/>
    <w:rsid w:val="00E97011"/>
    <w:rsid w:val="00E971B6"/>
    <w:rsid w:val="00E97B21"/>
    <w:rsid w:val="00E97B39"/>
    <w:rsid w:val="00EA0F90"/>
    <w:rsid w:val="00EA1E9D"/>
    <w:rsid w:val="00EA2452"/>
    <w:rsid w:val="00EA2592"/>
    <w:rsid w:val="00EA2DE5"/>
    <w:rsid w:val="00EA3405"/>
    <w:rsid w:val="00EA46A6"/>
    <w:rsid w:val="00EA48D0"/>
    <w:rsid w:val="00EA656F"/>
    <w:rsid w:val="00EA68F5"/>
    <w:rsid w:val="00EA69E4"/>
    <w:rsid w:val="00EA6A4E"/>
    <w:rsid w:val="00EA6CE2"/>
    <w:rsid w:val="00EA78ED"/>
    <w:rsid w:val="00EB038A"/>
    <w:rsid w:val="00EB0577"/>
    <w:rsid w:val="00EB14F9"/>
    <w:rsid w:val="00EB22AE"/>
    <w:rsid w:val="00EB242A"/>
    <w:rsid w:val="00EB26A3"/>
    <w:rsid w:val="00EB2789"/>
    <w:rsid w:val="00EB2AE3"/>
    <w:rsid w:val="00EB3407"/>
    <w:rsid w:val="00EB3926"/>
    <w:rsid w:val="00EB3CE0"/>
    <w:rsid w:val="00EB42F0"/>
    <w:rsid w:val="00EB45AA"/>
    <w:rsid w:val="00EB492C"/>
    <w:rsid w:val="00EB4A14"/>
    <w:rsid w:val="00EB4FCD"/>
    <w:rsid w:val="00EB54E6"/>
    <w:rsid w:val="00EB57D7"/>
    <w:rsid w:val="00EB58C8"/>
    <w:rsid w:val="00EB5C2F"/>
    <w:rsid w:val="00EB5D9E"/>
    <w:rsid w:val="00EB5DDA"/>
    <w:rsid w:val="00EB6CA6"/>
    <w:rsid w:val="00EB745A"/>
    <w:rsid w:val="00EB7749"/>
    <w:rsid w:val="00EB79A0"/>
    <w:rsid w:val="00EC0F75"/>
    <w:rsid w:val="00EC1624"/>
    <w:rsid w:val="00EC1D45"/>
    <w:rsid w:val="00EC2C79"/>
    <w:rsid w:val="00EC3899"/>
    <w:rsid w:val="00EC3C85"/>
    <w:rsid w:val="00EC3EB4"/>
    <w:rsid w:val="00EC51F8"/>
    <w:rsid w:val="00EC52B6"/>
    <w:rsid w:val="00EC536D"/>
    <w:rsid w:val="00EC54EE"/>
    <w:rsid w:val="00EC584D"/>
    <w:rsid w:val="00EC5D6D"/>
    <w:rsid w:val="00EC5E54"/>
    <w:rsid w:val="00EC6331"/>
    <w:rsid w:val="00EC7843"/>
    <w:rsid w:val="00ED0473"/>
    <w:rsid w:val="00ED0FB0"/>
    <w:rsid w:val="00ED2419"/>
    <w:rsid w:val="00ED338C"/>
    <w:rsid w:val="00ED3E5E"/>
    <w:rsid w:val="00ED404C"/>
    <w:rsid w:val="00ED5439"/>
    <w:rsid w:val="00ED5630"/>
    <w:rsid w:val="00ED5736"/>
    <w:rsid w:val="00ED5D1E"/>
    <w:rsid w:val="00ED5F8F"/>
    <w:rsid w:val="00ED73DA"/>
    <w:rsid w:val="00ED7B8C"/>
    <w:rsid w:val="00EE01AE"/>
    <w:rsid w:val="00EE04F5"/>
    <w:rsid w:val="00EE1987"/>
    <w:rsid w:val="00EE23C7"/>
    <w:rsid w:val="00EE331E"/>
    <w:rsid w:val="00EE39EA"/>
    <w:rsid w:val="00EE3ADD"/>
    <w:rsid w:val="00EE46E9"/>
    <w:rsid w:val="00EE4AF1"/>
    <w:rsid w:val="00EE537E"/>
    <w:rsid w:val="00EE6DD4"/>
    <w:rsid w:val="00EE702E"/>
    <w:rsid w:val="00EE70F1"/>
    <w:rsid w:val="00EE73C7"/>
    <w:rsid w:val="00EF0062"/>
    <w:rsid w:val="00EF033E"/>
    <w:rsid w:val="00EF0EAC"/>
    <w:rsid w:val="00EF315D"/>
    <w:rsid w:val="00EF3E64"/>
    <w:rsid w:val="00EF3E98"/>
    <w:rsid w:val="00EF4748"/>
    <w:rsid w:val="00EF4F60"/>
    <w:rsid w:val="00EF5152"/>
    <w:rsid w:val="00EF57C9"/>
    <w:rsid w:val="00EF58DD"/>
    <w:rsid w:val="00EF5A53"/>
    <w:rsid w:val="00EF5E4E"/>
    <w:rsid w:val="00EF63B4"/>
    <w:rsid w:val="00EF6B5D"/>
    <w:rsid w:val="00EF6EB9"/>
    <w:rsid w:val="00EF6F37"/>
    <w:rsid w:val="00EF76B4"/>
    <w:rsid w:val="00EF799D"/>
    <w:rsid w:val="00F00031"/>
    <w:rsid w:val="00F003F6"/>
    <w:rsid w:val="00F00433"/>
    <w:rsid w:val="00F008DD"/>
    <w:rsid w:val="00F009CA"/>
    <w:rsid w:val="00F00A03"/>
    <w:rsid w:val="00F0146E"/>
    <w:rsid w:val="00F01975"/>
    <w:rsid w:val="00F0389D"/>
    <w:rsid w:val="00F03F75"/>
    <w:rsid w:val="00F040BB"/>
    <w:rsid w:val="00F040F0"/>
    <w:rsid w:val="00F041D8"/>
    <w:rsid w:val="00F0477C"/>
    <w:rsid w:val="00F0480B"/>
    <w:rsid w:val="00F04A1F"/>
    <w:rsid w:val="00F04AEB"/>
    <w:rsid w:val="00F04BD8"/>
    <w:rsid w:val="00F04E95"/>
    <w:rsid w:val="00F04F0D"/>
    <w:rsid w:val="00F0528A"/>
    <w:rsid w:val="00F05754"/>
    <w:rsid w:val="00F059A3"/>
    <w:rsid w:val="00F05EA8"/>
    <w:rsid w:val="00F05FC3"/>
    <w:rsid w:val="00F065FD"/>
    <w:rsid w:val="00F070E9"/>
    <w:rsid w:val="00F0791C"/>
    <w:rsid w:val="00F07CAD"/>
    <w:rsid w:val="00F07E4C"/>
    <w:rsid w:val="00F10015"/>
    <w:rsid w:val="00F102FF"/>
    <w:rsid w:val="00F10EE6"/>
    <w:rsid w:val="00F11D3C"/>
    <w:rsid w:val="00F135A3"/>
    <w:rsid w:val="00F135D1"/>
    <w:rsid w:val="00F144C3"/>
    <w:rsid w:val="00F1553A"/>
    <w:rsid w:val="00F15A7C"/>
    <w:rsid w:val="00F15DFA"/>
    <w:rsid w:val="00F16145"/>
    <w:rsid w:val="00F16312"/>
    <w:rsid w:val="00F16336"/>
    <w:rsid w:val="00F16B53"/>
    <w:rsid w:val="00F171DF"/>
    <w:rsid w:val="00F17E65"/>
    <w:rsid w:val="00F204E1"/>
    <w:rsid w:val="00F20ADC"/>
    <w:rsid w:val="00F21230"/>
    <w:rsid w:val="00F216B2"/>
    <w:rsid w:val="00F21E03"/>
    <w:rsid w:val="00F21E44"/>
    <w:rsid w:val="00F220AD"/>
    <w:rsid w:val="00F220C4"/>
    <w:rsid w:val="00F2246B"/>
    <w:rsid w:val="00F2299E"/>
    <w:rsid w:val="00F22F2A"/>
    <w:rsid w:val="00F24086"/>
    <w:rsid w:val="00F2409C"/>
    <w:rsid w:val="00F24555"/>
    <w:rsid w:val="00F25227"/>
    <w:rsid w:val="00F262E9"/>
    <w:rsid w:val="00F2698D"/>
    <w:rsid w:val="00F26BEF"/>
    <w:rsid w:val="00F26C09"/>
    <w:rsid w:val="00F273BF"/>
    <w:rsid w:val="00F275F6"/>
    <w:rsid w:val="00F2774E"/>
    <w:rsid w:val="00F278FD"/>
    <w:rsid w:val="00F30D6F"/>
    <w:rsid w:val="00F30FDB"/>
    <w:rsid w:val="00F3194A"/>
    <w:rsid w:val="00F31F02"/>
    <w:rsid w:val="00F3206E"/>
    <w:rsid w:val="00F32309"/>
    <w:rsid w:val="00F3283C"/>
    <w:rsid w:val="00F3307F"/>
    <w:rsid w:val="00F3318E"/>
    <w:rsid w:val="00F333E3"/>
    <w:rsid w:val="00F336DB"/>
    <w:rsid w:val="00F33D9B"/>
    <w:rsid w:val="00F351AA"/>
    <w:rsid w:val="00F351F7"/>
    <w:rsid w:val="00F355CA"/>
    <w:rsid w:val="00F36FFE"/>
    <w:rsid w:val="00F37183"/>
    <w:rsid w:val="00F3740F"/>
    <w:rsid w:val="00F40337"/>
    <w:rsid w:val="00F40DBE"/>
    <w:rsid w:val="00F421EC"/>
    <w:rsid w:val="00F43085"/>
    <w:rsid w:val="00F43197"/>
    <w:rsid w:val="00F432F4"/>
    <w:rsid w:val="00F434DC"/>
    <w:rsid w:val="00F43A9C"/>
    <w:rsid w:val="00F440B2"/>
    <w:rsid w:val="00F4414A"/>
    <w:rsid w:val="00F45D11"/>
    <w:rsid w:val="00F4669B"/>
    <w:rsid w:val="00F4757C"/>
    <w:rsid w:val="00F47695"/>
    <w:rsid w:val="00F50498"/>
    <w:rsid w:val="00F50766"/>
    <w:rsid w:val="00F5078C"/>
    <w:rsid w:val="00F50D69"/>
    <w:rsid w:val="00F517FB"/>
    <w:rsid w:val="00F51B41"/>
    <w:rsid w:val="00F51E0D"/>
    <w:rsid w:val="00F525AE"/>
    <w:rsid w:val="00F52C17"/>
    <w:rsid w:val="00F533F0"/>
    <w:rsid w:val="00F534B5"/>
    <w:rsid w:val="00F549D6"/>
    <w:rsid w:val="00F54CF8"/>
    <w:rsid w:val="00F54D16"/>
    <w:rsid w:val="00F5529B"/>
    <w:rsid w:val="00F558F3"/>
    <w:rsid w:val="00F55CAC"/>
    <w:rsid w:val="00F55F11"/>
    <w:rsid w:val="00F56134"/>
    <w:rsid w:val="00F56641"/>
    <w:rsid w:val="00F573A9"/>
    <w:rsid w:val="00F5740B"/>
    <w:rsid w:val="00F574E1"/>
    <w:rsid w:val="00F57702"/>
    <w:rsid w:val="00F57860"/>
    <w:rsid w:val="00F57DB0"/>
    <w:rsid w:val="00F57EB7"/>
    <w:rsid w:val="00F60191"/>
    <w:rsid w:val="00F60262"/>
    <w:rsid w:val="00F6053E"/>
    <w:rsid w:val="00F60965"/>
    <w:rsid w:val="00F612D1"/>
    <w:rsid w:val="00F623A7"/>
    <w:rsid w:val="00F629DD"/>
    <w:rsid w:val="00F630DF"/>
    <w:rsid w:val="00F63134"/>
    <w:rsid w:val="00F6363E"/>
    <w:rsid w:val="00F64356"/>
    <w:rsid w:val="00F648A6"/>
    <w:rsid w:val="00F64AEB"/>
    <w:rsid w:val="00F64B05"/>
    <w:rsid w:val="00F66220"/>
    <w:rsid w:val="00F666A7"/>
    <w:rsid w:val="00F66B8A"/>
    <w:rsid w:val="00F673CC"/>
    <w:rsid w:val="00F67BEB"/>
    <w:rsid w:val="00F7013A"/>
    <w:rsid w:val="00F70197"/>
    <w:rsid w:val="00F70C91"/>
    <w:rsid w:val="00F70E7E"/>
    <w:rsid w:val="00F71D51"/>
    <w:rsid w:val="00F7223F"/>
    <w:rsid w:val="00F731BD"/>
    <w:rsid w:val="00F73288"/>
    <w:rsid w:val="00F73DB0"/>
    <w:rsid w:val="00F748F1"/>
    <w:rsid w:val="00F74A11"/>
    <w:rsid w:val="00F74C07"/>
    <w:rsid w:val="00F75498"/>
    <w:rsid w:val="00F7566C"/>
    <w:rsid w:val="00F764A6"/>
    <w:rsid w:val="00F76C0B"/>
    <w:rsid w:val="00F76E88"/>
    <w:rsid w:val="00F77A95"/>
    <w:rsid w:val="00F809CD"/>
    <w:rsid w:val="00F81B83"/>
    <w:rsid w:val="00F81C92"/>
    <w:rsid w:val="00F8261E"/>
    <w:rsid w:val="00F82F04"/>
    <w:rsid w:val="00F85698"/>
    <w:rsid w:val="00F85AF5"/>
    <w:rsid w:val="00F869AC"/>
    <w:rsid w:val="00F86B59"/>
    <w:rsid w:val="00F86E80"/>
    <w:rsid w:val="00F86EDF"/>
    <w:rsid w:val="00F878A8"/>
    <w:rsid w:val="00F90156"/>
    <w:rsid w:val="00F90EC4"/>
    <w:rsid w:val="00F91735"/>
    <w:rsid w:val="00F9249F"/>
    <w:rsid w:val="00F926E6"/>
    <w:rsid w:val="00F92A82"/>
    <w:rsid w:val="00F92DF4"/>
    <w:rsid w:val="00F92E14"/>
    <w:rsid w:val="00F937AD"/>
    <w:rsid w:val="00F93AD3"/>
    <w:rsid w:val="00F946A3"/>
    <w:rsid w:val="00F94722"/>
    <w:rsid w:val="00F94D45"/>
    <w:rsid w:val="00F94FA0"/>
    <w:rsid w:val="00F950D1"/>
    <w:rsid w:val="00F95267"/>
    <w:rsid w:val="00F97292"/>
    <w:rsid w:val="00F97419"/>
    <w:rsid w:val="00F9753B"/>
    <w:rsid w:val="00F977E1"/>
    <w:rsid w:val="00FA09DC"/>
    <w:rsid w:val="00FA2EAA"/>
    <w:rsid w:val="00FA32D1"/>
    <w:rsid w:val="00FA3A95"/>
    <w:rsid w:val="00FA3B3C"/>
    <w:rsid w:val="00FA402F"/>
    <w:rsid w:val="00FA5094"/>
    <w:rsid w:val="00FA55FE"/>
    <w:rsid w:val="00FA5E28"/>
    <w:rsid w:val="00FA6CB0"/>
    <w:rsid w:val="00FA6F5A"/>
    <w:rsid w:val="00FA765A"/>
    <w:rsid w:val="00FA77A0"/>
    <w:rsid w:val="00FA7F07"/>
    <w:rsid w:val="00FB04BD"/>
    <w:rsid w:val="00FB0693"/>
    <w:rsid w:val="00FB0806"/>
    <w:rsid w:val="00FB080D"/>
    <w:rsid w:val="00FB08B4"/>
    <w:rsid w:val="00FB0D60"/>
    <w:rsid w:val="00FB1126"/>
    <w:rsid w:val="00FB11C0"/>
    <w:rsid w:val="00FB162C"/>
    <w:rsid w:val="00FB272B"/>
    <w:rsid w:val="00FB2891"/>
    <w:rsid w:val="00FB3642"/>
    <w:rsid w:val="00FB401A"/>
    <w:rsid w:val="00FB4492"/>
    <w:rsid w:val="00FB5680"/>
    <w:rsid w:val="00FB5686"/>
    <w:rsid w:val="00FB5BB4"/>
    <w:rsid w:val="00FB6FF7"/>
    <w:rsid w:val="00FB71AF"/>
    <w:rsid w:val="00FB724A"/>
    <w:rsid w:val="00FB73AD"/>
    <w:rsid w:val="00FB7423"/>
    <w:rsid w:val="00FB7702"/>
    <w:rsid w:val="00FB7909"/>
    <w:rsid w:val="00FB7B7F"/>
    <w:rsid w:val="00FC00EE"/>
    <w:rsid w:val="00FC0137"/>
    <w:rsid w:val="00FC01AD"/>
    <w:rsid w:val="00FC0211"/>
    <w:rsid w:val="00FC183F"/>
    <w:rsid w:val="00FC28FA"/>
    <w:rsid w:val="00FC2BAF"/>
    <w:rsid w:val="00FC2FEC"/>
    <w:rsid w:val="00FC30CC"/>
    <w:rsid w:val="00FC3879"/>
    <w:rsid w:val="00FC3B35"/>
    <w:rsid w:val="00FC3B83"/>
    <w:rsid w:val="00FC5177"/>
    <w:rsid w:val="00FC5362"/>
    <w:rsid w:val="00FC5D5E"/>
    <w:rsid w:val="00FC5DD3"/>
    <w:rsid w:val="00FC5EB2"/>
    <w:rsid w:val="00FC7125"/>
    <w:rsid w:val="00FC76E5"/>
    <w:rsid w:val="00FC7795"/>
    <w:rsid w:val="00FC794F"/>
    <w:rsid w:val="00FD0DA5"/>
    <w:rsid w:val="00FD174E"/>
    <w:rsid w:val="00FD1AAA"/>
    <w:rsid w:val="00FD234C"/>
    <w:rsid w:val="00FD2750"/>
    <w:rsid w:val="00FD39C4"/>
    <w:rsid w:val="00FD3E96"/>
    <w:rsid w:val="00FD3F51"/>
    <w:rsid w:val="00FD4F6E"/>
    <w:rsid w:val="00FD54B8"/>
    <w:rsid w:val="00FD55B5"/>
    <w:rsid w:val="00FD6405"/>
    <w:rsid w:val="00FD6A74"/>
    <w:rsid w:val="00FD7364"/>
    <w:rsid w:val="00FD7A21"/>
    <w:rsid w:val="00FD7D97"/>
    <w:rsid w:val="00FE0141"/>
    <w:rsid w:val="00FE0D94"/>
    <w:rsid w:val="00FE1580"/>
    <w:rsid w:val="00FE23F1"/>
    <w:rsid w:val="00FE28CA"/>
    <w:rsid w:val="00FE2BBD"/>
    <w:rsid w:val="00FE32EB"/>
    <w:rsid w:val="00FE35BF"/>
    <w:rsid w:val="00FE3715"/>
    <w:rsid w:val="00FE4095"/>
    <w:rsid w:val="00FE4301"/>
    <w:rsid w:val="00FE4F4C"/>
    <w:rsid w:val="00FE57D7"/>
    <w:rsid w:val="00FE5B58"/>
    <w:rsid w:val="00FE6598"/>
    <w:rsid w:val="00FE6CB6"/>
    <w:rsid w:val="00FE7E4C"/>
    <w:rsid w:val="00FF0159"/>
    <w:rsid w:val="00FF0B31"/>
    <w:rsid w:val="00FF0B48"/>
    <w:rsid w:val="00FF0C6B"/>
    <w:rsid w:val="00FF106A"/>
    <w:rsid w:val="00FF117A"/>
    <w:rsid w:val="00FF1181"/>
    <w:rsid w:val="00FF1BEA"/>
    <w:rsid w:val="00FF1D05"/>
    <w:rsid w:val="00FF3435"/>
    <w:rsid w:val="00FF352E"/>
    <w:rsid w:val="00FF3F31"/>
    <w:rsid w:val="00FF5274"/>
    <w:rsid w:val="00FF6338"/>
    <w:rsid w:val="00FF78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383A63"/>
  <w15:docId w15:val="{C42E3F5E-67F0-456C-85BF-D882E767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FC"/>
    <w:rPr>
      <w:sz w:val="24"/>
      <w:szCs w:val="24"/>
    </w:rPr>
  </w:style>
  <w:style w:type="paragraph" w:styleId="Heading1">
    <w:name w:val="heading 1"/>
    <w:basedOn w:val="Normal"/>
    <w:next w:val="Normal"/>
    <w:qFormat/>
    <w:rsid w:val="0088691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8691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8691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86917"/>
    <w:pPr>
      <w:keepNext/>
      <w:numPr>
        <w:ilvl w:val="3"/>
        <w:numId w:val="1"/>
      </w:numPr>
      <w:spacing w:before="240" w:after="60"/>
      <w:outlineLvl w:val="3"/>
    </w:pPr>
    <w:rPr>
      <w:b/>
      <w:bCs/>
      <w:sz w:val="28"/>
      <w:szCs w:val="28"/>
    </w:rPr>
  </w:style>
  <w:style w:type="paragraph" w:styleId="Heading5">
    <w:name w:val="heading 5"/>
    <w:basedOn w:val="Normal"/>
    <w:next w:val="Normal"/>
    <w:qFormat/>
    <w:rsid w:val="00886917"/>
    <w:pPr>
      <w:numPr>
        <w:ilvl w:val="4"/>
        <w:numId w:val="1"/>
      </w:numPr>
      <w:spacing w:before="240" w:after="60"/>
      <w:outlineLvl w:val="4"/>
    </w:pPr>
    <w:rPr>
      <w:b/>
      <w:bCs/>
      <w:i/>
      <w:iCs/>
      <w:sz w:val="26"/>
      <w:szCs w:val="26"/>
    </w:rPr>
  </w:style>
  <w:style w:type="paragraph" w:styleId="Heading6">
    <w:name w:val="heading 6"/>
    <w:basedOn w:val="Normal"/>
    <w:next w:val="Normal"/>
    <w:qFormat/>
    <w:rsid w:val="00886917"/>
    <w:pPr>
      <w:numPr>
        <w:ilvl w:val="5"/>
        <w:numId w:val="1"/>
      </w:numPr>
      <w:spacing w:before="240" w:after="60"/>
      <w:outlineLvl w:val="5"/>
    </w:pPr>
    <w:rPr>
      <w:b/>
      <w:bCs/>
      <w:sz w:val="22"/>
      <w:szCs w:val="22"/>
    </w:rPr>
  </w:style>
  <w:style w:type="paragraph" w:styleId="Heading7">
    <w:name w:val="heading 7"/>
    <w:basedOn w:val="Normal"/>
    <w:next w:val="Normal"/>
    <w:qFormat/>
    <w:rsid w:val="00886917"/>
    <w:pPr>
      <w:numPr>
        <w:ilvl w:val="6"/>
        <w:numId w:val="1"/>
      </w:numPr>
      <w:spacing w:before="240" w:after="60"/>
      <w:outlineLvl w:val="6"/>
    </w:pPr>
  </w:style>
  <w:style w:type="paragraph" w:styleId="Heading8">
    <w:name w:val="heading 8"/>
    <w:basedOn w:val="Normal"/>
    <w:next w:val="Normal"/>
    <w:qFormat/>
    <w:rsid w:val="00886917"/>
    <w:pPr>
      <w:numPr>
        <w:ilvl w:val="7"/>
        <w:numId w:val="1"/>
      </w:numPr>
      <w:spacing w:before="240" w:after="60"/>
      <w:outlineLvl w:val="7"/>
    </w:pPr>
    <w:rPr>
      <w:i/>
      <w:iCs/>
    </w:rPr>
  </w:style>
  <w:style w:type="paragraph" w:styleId="Heading9">
    <w:name w:val="heading 9"/>
    <w:basedOn w:val="Normal"/>
    <w:next w:val="Normal"/>
    <w:qFormat/>
    <w:rsid w:val="0088691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6917"/>
    <w:pPr>
      <w:tabs>
        <w:tab w:val="center" w:pos="4153"/>
        <w:tab w:val="right" w:pos="8306"/>
      </w:tabs>
    </w:pPr>
    <w:rPr>
      <w:lang w:val="x-none" w:eastAsia="x-none"/>
    </w:rPr>
  </w:style>
  <w:style w:type="character" w:styleId="PageNumber">
    <w:name w:val="page number"/>
    <w:rsid w:val="00886917"/>
    <w:rPr>
      <w:rFonts w:cs="Times New Roman"/>
    </w:rPr>
  </w:style>
  <w:style w:type="paragraph" w:styleId="Footer">
    <w:name w:val="footer"/>
    <w:basedOn w:val="Normal"/>
    <w:rsid w:val="00886917"/>
    <w:pPr>
      <w:tabs>
        <w:tab w:val="center" w:pos="4153"/>
        <w:tab w:val="right" w:pos="8306"/>
      </w:tabs>
    </w:pPr>
  </w:style>
  <w:style w:type="paragraph" w:styleId="FootnoteText">
    <w:name w:val="footnote text"/>
    <w:basedOn w:val="Normal"/>
    <w:semiHidden/>
    <w:rsid w:val="00A93A73"/>
    <w:rPr>
      <w:sz w:val="20"/>
      <w:szCs w:val="20"/>
    </w:rPr>
  </w:style>
  <w:style w:type="character" w:styleId="FootnoteReference">
    <w:name w:val="footnote reference"/>
    <w:semiHidden/>
    <w:rsid w:val="00A93A73"/>
    <w:rPr>
      <w:vertAlign w:val="superscript"/>
    </w:rPr>
  </w:style>
  <w:style w:type="paragraph" w:styleId="Caption">
    <w:name w:val="caption"/>
    <w:basedOn w:val="Normal"/>
    <w:next w:val="Normal"/>
    <w:qFormat/>
    <w:rsid w:val="0032523A"/>
    <w:pPr>
      <w:spacing w:before="120" w:after="120"/>
    </w:pPr>
    <w:rPr>
      <w:b/>
      <w:bCs/>
      <w:sz w:val="20"/>
      <w:szCs w:val="20"/>
    </w:rPr>
  </w:style>
  <w:style w:type="table" w:styleId="TableGrid">
    <w:name w:val="Table Grid"/>
    <w:basedOn w:val="TableNormal"/>
    <w:rsid w:val="00B56F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C43C1"/>
    <w:rPr>
      <w:b/>
    </w:rPr>
  </w:style>
  <w:style w:type="paragraph" w:styleId="TOC1">
    <w:name w:val="toc 1"/>
    <w:basedOn w:val="Normal"/>
    <w:next w:val="Normal"/>
    <w:autoRedefine/>
    <w:uiPriority w:val="39"/>
    <w:rsid w:val="000B7E7A"/>
    <w:pPr>
      <w:tabs>
        <w:tab w:val="left" w:pos="0"/>
        <w:tab w:val="right" w:leader="dot" w:pos="9061"/>
      </w:tabs>
      <w:spacing w:line="360" w:lineRule="auto"/>
      <w:jc w:val="both"/>
    </w:pPr>
  </w:style>
  <w:style w:type="paragraph" w:styleId="TOC2">
    <w:name w:val="toc 2"/>
    <w:basedOn w:val="Normal"/>
    <w:next w:val="Normal"/>
    <w:autoRedefine/>
    <w:uiPriority w:val="39"/>
    <w:rsid w:val="000B7E7A"/>
    <w:pPr>
      <w:tabs>
        <w:tab w:val="right" w:leader="dot" w:pos="9061"/>
      </w:tabs>
      <w:jc w:val="both"/>
    </w:pPr>
    <w:rPr>
      <w:noProof/>
    </w:rPr>
  </w:style>
  <w:style w:type="character" w:styleId="Hyperlink">
    <w:name w:val="Hyperlink"/>
    <w:uiPriority w:val="99"/>
    <w:rsid w:val="00601BEB"/>
    <w:rPr>
      <w:color w:val="0000FF"/>
      <w:u w:val="single"/>
    </w:rPr>
  </w:style>
  <w:style w:type="paragraph" w:customStyle="1" w:styleId="1RakstzRakstzRakstzCharCharRakstzCharChar">
    <w:name w:val="Знак Знак1 Rakstz. Знак Знак Rakstz. Знак Знак Rakstz. Char Char Rakstz. Char Char"/>
    <w:basedOn w:val="Normal"/>
    <w:rsid w:val="00F7013A"/>
    <w:pPr>
      <w:spacing w:before="40"/>
    </w:pPr>
    <w:rPr>
      <w:lang w:val="pl-PL" w:eastAsia="pl-PL"/>
    </w:rPr>
  </w:style>
  <w:style w:type="paragraph" w:customStyle="1" w:styleId="naisf">
    <w:name w:val="naisf"/>
    <w:basedOn w:val="Normal"/>
    <w:rsid w:val="00225EEE"/>
    <w:pPr>
      <w:spacing w:before="75" w:after="75"/>
      <w:ind w:firstLine="375"/>
      <w:jc w:val="both"/>
    </w:pPr>
  </w:style>
  <w:style w:type="paragraph" w:customStyle="1" w:styleId="Default">
    <w:name w:val="Default"/>
    <w:rsid w:val="00605516"/>
    <w:pPr>
      <w:autoSpaceDE w:val="0"/>
      <w:autoSpaceDN w:val="0"/>
      <w:adjustRightInd w:val="0"/>
    </w:pPr>
    <w:rPr>
      <w:color w:val="000000"/>
      <w:sz w:val="24"/>
      <w:szCs w:val="24"/>
    </w:rPr>
  </w:style>
  <w:style w:type="paragraph" w:styleId="BodyTextIndent2">
    <w:name w:val="Body Text Indent 2"/>
    <w:basedOn w:val="Normal"/>
    <w:link w:val="BodyTextIndent2Char"/>
    <w:rsid w:val="00A91D59"/>
    <w:pPr>
      <w:spacing w:after="120" w:line="480" w:lineRule="auto"/>
      <w:ind w:left="283"/>
    </w:pPr>
    <w:rPr>
      <w:szCs w:val="20"/>
      <w:lang w:val="x-none" w:eastAsia="en-US"/>
    </w:rPr>
  </w:style>
  <w:style w:type="character" w:customStyle="1" w:styleId="BodyTextIndent2Char">
    <w:name w:val="Body Text Indent 2 Char"/>
    <w:link w:val="BodyTextIndent2"/>
    <w:locked/>
    <w:rsid w:val="00A91D59"/>
    <w:rPr>
      <w:sz w:val="24"/>
      <w:lang w:val="x-none" w:eastAsia="en-US"/>
    </w:rPr>
  </w:style>
  <w:style w:type="paragraph" w:styleId="BalloonText">
    <w:name w:val="Balloon Text"/>
    <w:basedOn w:val="Normal"/>
    <w:semiHidden/>
    <w:rsid w:val="0008506B"/>
    <w:rPr>
      <w:rFonts w:ascii="Tahoma" w:hAnsi="Tahoma" w:cs="Tahoma"/>
      <w:sz w:val="16"/>
      <w:szCs w:val="16"/>
    </w:rPr>
  </w:style>
  <w:style w:type="character" w:styleId="CommentReference">
    <w:name w:val="annotation reference"/>
    <w:semiHidden/>
    <w:rsid w:val="00111112"/>
    <w:rPr>
      <w:sz w:val="16"/>
    </w:rPr>
  </w:style>
  <w:style w:type="paragraph" w:styleId="CommentText">
    <w:name w:val="annotation text"/>
    <w:basedOn w:val="Normal"/>
    <w:link w:val="CommentTextChar"/>
    <w:semiHidden/>
    <w:rsid w:val="00111112"/>
    <w:rPr>
      <w:sz w:val="20"/>
      <w:szCs w:val="20"/>
      <w:lang w:val="x-none" w:eastAsia="x-none"/>
    </w:rPr>
  </w:style>
  <w:style w:type="paragraph" w:styleId="CommentSubject">
    <w:name w:val="annotation subject"/>
    <w:basedOn w:val="CommentText"/>
    <w:next w:val="CommentText"/>
    <w:semiHidden/>
    <w:rsid w:val="00111112"/>
    <w:rPr>
      <w:b/>
      <w:bCs/>
    </w:rPr>
  </w:style>
  <w:style w:type="paragraph" w:customStyle="1" w:styleId="pamatteksts21">
    <w:name w:val="pamatteksts21"/>
    <w:basedOn w:val="Normal"/>
    <w:rsid w:val="00855F91"/>
    <w:pPr>
      <w:jc w:val="both"/>
    </w:pPr>
    <w:rPr>
      <w:sz w:val="20"/>
      <w:szCs w:val="20"/>
    </w:rPr>
  </w:style>
  <w:style w:type="paragraph" w:customStyle="1" w:styleId="Stils2">
    <w:name w:val="Stils2"/>
    <w:basedOn w:val="Title"/>
    <w:rsid w:val="0016408E"/>
    <w:rPr>
      <w:b w:val="0"/>
      <w:sz w:val="28"/>
      <w:szCs w:val="28"/>
    </w:rPr>
  </w:style>
  <w:style w:type="paragraph" w:customStyle="1" w:styleId="CharCharRakstzCharChar">
    <w:name w:val="Char Char Rakstz. Char Char"/>
    <w:basedOn w:val="Normal"/>
    <w:next w:val="BlockText"/>
    <w:rsid w:val="007B15FC"/>
    <w:pPr>
      <w:spacing w:before="120" w:after="160" w:line="240" w:lineRule="exact"/>
      <w:ind w:firstLine="720"/>
      <w:jc w:val="both"/>
    </w:pPr>
    <w:rPr>
      <w:rFonts w:ascii="Verdana" w:hAnsi="Verdana"/>
      <w:sz w:val="20"/>
      <w:szCs w:val="20"/>
      <w:lang w:val="en-US" w:eastAsia="en-US"/>
    </w:rPr>
  </w:style>
  <w:style w:type="paragraph" w:styleId="Title">
    <w:name w:val="Title"/>
    <w:basedOn w:val="Normal"/>
    <w:qFormat/>
    <w:rsid w:val="0016408E"/>
    <w:pPr>
      <w:spacing w:before="240" w:after="60"/>
      <w:jc w:val="center"/>
      <w:outlineLvl w:val="0"/>
    </w:pPr>
    <w:rPr>
      <w:rFonts w:ascii="Arial" w:hAnsi="Arial" w:cs="Arial"/>
      <w:b/>
      <w:bCs/>
      <w:kern w:val="28"/>
      <w:sz w:val="32"/>
      <w:szCs w:val="32"/>
    </w:rPr>
  </w:style>
  <w:style w:type="paragraph" w:styleId="BlockText">
    <w:name w:val="Block Text"/>
    <w:basedOn w:val="Normal"/>
    <w:rsid w:val="007B15FC"/>
    <w:pPr>
      <w:spacing w:after="120"/>
      <w:ind w:left="1440" w:right="1440"/>
    </w:pPr>
  </w:style>
  <w:style w:type="paragraph" w:customStyle="1" w:styleId="CharCharRakstzCharCharRakstz">
    <w:name w:val="Char Char Rakstz. Char Char Rakstz."/>
    <w:basedOn w:val="Normal"/>
    <w:next w:val="BlockText"/>
    <w:rsid w:val="00515C19"/>
    <w:pPr>
      <w:spacing w:before="120" w:after="160" w:line="240" w:lineRule="exact"/>
      <w:ind w:firstLine="720"/>
      <w:jc w:val="both"/>
    </w:pPr>
    <w:rPr>
      <w:rFonts w:ascii="Verdana" w:hAnsi="Verdana"/>
      <w:sz w:val="20"/>
      <w:szCs w:val="20"/>
      <w:lang w:val="en-US" w:eastAsia="en-US"/>
    </w:rPr>
  </w:style>
  <w:style w:type="paragraph" w:styleId="TOC3">
    <w:name w:val="toc 3"/>
    <w:basedOn w:val="Normal"/>
    <w:next w:val="Normal"/>
    <w:autoRedefine/>
    <w:uiPriority w:val="39"/>
    <w:rsid w:val="001E23E1"/>
    <w:pPr>
      <w:tabs>
        <w:tab w:val="right" w:leader="dot" w:pos="9061"/>
      </w:tabs>
      <w:ind w:left="284"/>
    </w:pPr>
    <w:rPr>
      <w:noProof/>
      <w:color w:val="FF0000"/>
      <w:sz w:val="28"/>
      <w:szCs w:val="28"/>
    </w:rPr>
  </w:style>
  <w:style w:type="paragraph" w:customStyle="1" w:styleId="RakstzCharCharRakstzCharCharRakstzCharCharRakstzCharCharRakstzCharCharRakstz1CharCharRakstzCharChar">
    <w:name w:val="Rakstz. Char Char Rakstz. Char Char Rakstz. Char Char Rakstz. Char Char Rakstz. Char Char Rakstz.1 Char Char Rakstz. Char Char"/>
    <w:basedOn w:val="Normal"/>
    <w:next w:val="BlockText"/>
    <w:rsid w:val="007E0EEE"/>
    <w:pPr>
      <w:spacing w:before="120" w:after="160" w:line="240" w:lineRule="exact"/>
      <w:ind w:firstLine="720"/>
      <w:jc w:val="both"/>
    </w:pPr>
    <w:rPr>
      <w:rFonts w:ascii="Verdana" w:hAnsi="Verdana"/>
      <w:sz w:val="20"/>
      <w:szCs w:val="20"/>
      <w:lang w:val="en-US" w:eastAsia="en-US"/>
    </w:rPr>
  </w:style>
  <w:style w:type="paragraph" w:customStyle="1" w:styleId="1RakstzRakstz">
    <w:name w:val="Знак Знак1 Rakstz. Знак Знак Rakstz. Знак Знак"/>
    <w:basedOn w:val="Normal"/>
    <w:rsid w:val="00FA2EAA"/>
    <w:pPr>
      <w:spacing w:before="40"/>
    </w:pPr>
    <w:rPr>
      <w:lang w:val="pl-PL" w:eastAsia="pl-PL"/>
    </w:rPr>
  </w:style>
  <w:style w:type="paragraph" w:styleId="NormalWeb">
    <w:name w:val="Normal (Web)"/>
    <w:basedOn w:val="Normal"/>
    <w:semiHidden/>
    <w:rsid w:val="00AD4CBA"/>
    <w:pPr>
      <w:spacing w:before="100" w:beforeAutospacing="1" w:after="100" w:afterAutospacing="1"/>
    </w:pPr>
    <w:rPr>
      <w:rFonts w:ascii="Verdana" w:hAnsi="Verdana"/>
      <w:sz w:val="22"/>
      <w:szCs w:val="22"/>
    </w:rPr>
  </w:style>
  <w:style w:type="character" w:styleId="FollowedHyperlink">
    <w:name w:val="FollowedHyperlink"/>
    <w:rsid w:val="00A16D55"/>
    <w:rPr>
      <w:color w:val="800080"/>
      <w:u w:val="single"/>
    </w:rPr>
  </w:style>
  <w:style w:type="paragraph" w:customStyle="1" w:styleId="Heading1TimesNewRoman">
    <w:name w:val="Heading 1 + Times New Roman"/>
    <w:aliases w:val="Not Italic,Centered,Left:  0 cm,First line:  ..."/>
    <w:basedOn w:val="Heading2"/>
    <w:rsid w:val="00742C5F"/>
    <w:pPr>
      <w:numPr>
        <w:ilvl w:val="0"/>
        <w:numId w:val="0"/>
      </w:numPr>
      <w:spacing w:before="0" w:after="0"/>
      <w:jc w:val="center"/>
    </w:pPr>
    <w:rPr>
      <w:rFonts w:ascii="Times New Roman" w:hAnsi="Times New Roman"/>
      <w:i w:val="0"/>
      <w:iCs w:val="0"/>
    </w:rPr>
  </w:style>
  <w:style w:type="character" w:customStyle="1" w:styleId="CommentTextChar">
    <w:name w:val="Comment Text Char"/>
    <w:link w:val="CommentText"/>
    <w:semiHidden/>
    <w:locked/>
    <w:rsid w:val="00C415F3"/>
    <w:rPr>
      <w:rFonts w:cs="Times New Roman"/>
    </w:rPr>
  </w:style>
  <w:style w:type="paragraph" w:styleId="DocumentMap">
    <w:name w:val="Document Map"/>
    <w:basedOn w:val="Normal"/>
    <w:semiHidden/>
    <w:rsid w:val="00706912"/>
    <w:pPr>
      <w:shd w:val="clear" w:color="auto" w:fill="000080"/>
    </w:pPr>
    <w:rPr>
      <w:rFonts w:ascii="Tahoma" w:hAnsi="Tahoma" w:cs="Tahoma"/>
    </w:rPr>
  </w:style>
  <w:style w:type="paragraph" w:styleId="TOCHeading">
    <w:name w:val="TOC Heading"/>
    <w:basedOn w:val="Heading1"/>
    <w:next w:val="Normal"/>
    <w:uiPriority w:val="39"/>
    <w:qFormat/>
    <w:rsid w:val="000B7E7A"/>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Revision">
    <w:name w:val="Revision"/>
    <w:hidden/>
    <w:semiHidden/>
    <w:rsid w:val="00592FCE"/>
    <w:rPr>
      <w:sz w:val="24"/>
      <w:szCs w:val="24"/>
    </w:rPr>
  </w:style>
  <w:style w:type="character" w:customStyle="1" w:styleId="HeaderChar">
    <w:name w:val="Header Char"/>
    <w:link w:val="Header"/>
    <w:locked/>
    <w:rsid w:val="00097E56"/>
    <w:rPr>
      <w:rFonts w:cs="Times New Roman"/>
      <w:sz w:val="24"/>
      <w:szCs w:val="24"/>
    </w:rPr>
  </w:style>
  <w:style w:type="numbering" w:customStyle="1" w:styleId="Stils1">
    <w:name w:val="Stils1"/>
    <w:rsid w:val="00735F5A"/>
    <w:pPr>
      <w:numPr>
        <w:numId w:val="11"/>
      </w:numPr>
    </w:pPr>
  </w:style>
  <w:style w:type="paragraph" w:styleId="PlainText">
    <w:name w:val="Plain Text"/>
    <w:basedOn w:val="Normal"/>
    <w:link w:val="PlainTextChar"/>
    <w:uiPriority w:val="99"/>
    <w:unhideWhenUsed/>
    <w:rsid w:val="000F6195"/>
    <w:rPr>
      <w:rFonts w:ascii="Calibri" w:eastAsia="Calibri" w:hAnsi="Calibri"/>
      <w:sz w:val="22"/>
      <w:szCs w:val="21"/>
      <w:lang w:val="x-none" w:eastAsia="en-US"/>
    </w:rPr>
  </w:style>
  <w:style w:type="character" w:customStyle="1" w:styleId="PlainTextChar">
    <w:name w:val="Plain Text Char"/>
    <w:link w:val="PlainText"/>
    <w:uiPriority w:val="99"/>
    <w:rsid w:val="000F6195"/>
    <w:rPr>
      <w:rFonts w:ascii="Calibri" w:eastAsia="Calibri" w:hAnsi="Calibri" w:cs="Consolas"/>
      <w:sz w:val="22"/>
      <w:szCs w:val="21"/>
      <w:lang w:eastAsia="en-US"/>
    </w:rPr>
  </w:style>
  <w:style w:type="paragraph" w:styleId="EndnoteText">
    <w:name w:val="endnote text"/>
    <w:basedOn w:val="Normal"/>
    <w:link w:val="EndnoteTextChar"/>
    <w:rsid w:val="00D8341A"/>
    <w:rPr>
      <w:sz w:val="20"/>
      <w:szCs w:val="20"/>
    </w:rPr>
  </w:style>
  <w:style w:type="character" w:customStyle="1" w:styleId="EndnoteTextChar">
    <w:name w:val="Endnote Text Char"/>
    <w:link w:val="EndnoteText"/>
    <w:rsid w:val="00D8341A"/>
    <w:rPr>
      <w:lang w:val="lv-LV" w:eastAsia="lv-LV"/>
    </w:rPr>
  </w:style>
  <w:style w:type="character" w:styleId="EndnoteReference">
    <w:name w:val="endnote reference"/>
    <w:rsid w:val="00D83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8338781">
      <w:bodyDiv w:val="1"/>
      <w:marLeft w:val="0"/>
      <w:marRight w:val="0"/>
      <w:marTop w:val="0"/>
      <w:marBottom w:val="0"/>
      <w:divBdr>
        <w:top w:val="none" w:sz="0" w:space="0" w:color="auto"/>
        <w:left w:val="none" w:sz="0" w:space="0" w:color="auto"/>
        <w:bottom w:val="none" w:sz="0" w:space="0" w:color="auto"/>
        <w:right w:val="none" w:sz="0" w:space="0" w:color="auto"/>
      </w:divBdr>
    </w:div>
    <w:div w:id="93716972">
      <w:bodyDiv w:val="1"/>
      <w:marLeft w:val="0"/>
      <w:marRight w:val="0"/>
      <w:marTop w:val="0"/>
      <w:marBottom w:val="0"/>
      <w:divBdr>
        <w:top w:val="none" w:sz="0" w:space="0" w:color="auto"/>
        <w:left w:val="none" w:sz="0" w:space="0" w:color="auto"/>
        <w:bottom w:val="none" w:sz="0" w:space="0" w:color="auto"/>
        <w:right w:val="none" w:sz="0" w:space="0" w:color="auto"/>
      </w:divBdr>
    </w:div>
    <w:div w:id="189338336">
      <w:bodyDiv w:val="1"/>
      <w:marLeft w:val="0"/>
      <w:marRight w:val="0"/>
      <w:marTop w:val="0"/>
      <w:marBottom w:val="0"/>
      <w:divBdr>
        <w:top w:val="none" w:sz="0" w:space="0" w:color="auto"/>
        <w:left w:val="none" w:sz="0" w:space="0" w:color="auto"/>
        <w:bottom w:val="none" w:sz="0" w:space="0" w:color="auto"/>
        <w:right w:val="none" w:sz="0" w:space="0" w:color="auto"/>
      </w:divBdr>
    </w:div>
    <w:div w:id="221335974">
      <w:bodyDiv w:val="1"/>
      <w:marLeft w:val="0"/>
      <w:marRight w:val="0"/>
      <w:marTop w:val="0"/>
      <w:marBottom w:val="0"/>
      <w:divBdr>
        <w:top w:val="none" w:sz="0" w:space="0" w:color="auto"/>
        <w:left w:val="none" w:sz="0" w:space="0" w:color="auto"/>
        <w:bottom w:val="none" w:sz="0" w:space="0" w:color="auto"/>
        <w:right w:val="none" w:sz="0" w:space="0" w:color="auto"/>
      </w:divBdr>
    </w:div>
    <w:div w:id="328171466">
      <w:bodyDiv w:val="1"/>
      <w:marLeft w:val="0"/>
      <w:marRight w:val="0"/>
      <w:marTop w:val="0"/>
      <w:marBottom w:val="0"/>
      <w:divBdr>
        <w:top w:val="none" w:sz="0" w:space="0" w:color="auto"/>
        <w:left w:val="none" w:sz="0" w:space="0" w:color="auto"/>
        <w:bottom w:val="none" w:sz="0" w:space="0" w:color="auto"/>
        <w:right w:val="none" w:sz="0" w:space="0" w:color="auto"/>
      </w:divBdr>
    </w:div>
    <w:div w:id="439178532">
      <w:bodyDiv w:val="1"/>
      <w:marLeft w:val="0"/>
      <w:marRight w:val="0"/>
      <w:marTop w:val="0"/>
      <w:marBottom w:val="0"/>
      <w:divBdr>
        <w:top w:val="none" w:sz="0" w:space="0" w:color="auto"/>
        <w:left w:val="none" w:sz="0" w:space="0" w:color="auto"/>
        <w:bottom w:val="none" w:sz="0" w:space="0" w:color="auto"/>
        <w:right w:val="none" w:sz="0" w:space="0" w:color="auto"/>
      </w:divBdr>
    </w:div>
    <w:div w:id="464156199">
      <w:bodyDiv w:val="1"/>
      <w:marLeft w:val="0"/>
      <w:marRight w:val="0"/>
      <w:marTop w:val="0"/>
      <w:marBottom w:val="0"/>
      <w:divBdr>
        <w:top w:val="none" w:sz="0" w:space="0" w:color="auto"/>
        <w:left w:val="none" w:sz="0" w:space="0" w:color="auto"/>
        <w:bottom w:val="none" w:sz="0" w:space="0" w:color="auto"/>
        <w:right w:val="none" w:sz="0" w:space="0" w:color="auto"/>
      </w:divBdr>
    </w:div>
    <w:div w:id="531068471">
      <w:bodyDiv w:val="1"/>
      <w:marLeft w:val="0"/>
      <w:marRight w:val="0"/>
      <w:marTop w:val="0"/>
      <w:marBottom w:val="0"/>
      <w:divBdr>
        <w:top w:val="none" w:sz="0" w:space="0" w:color="auto"/>
        <w:left w:val="none" w:sz="0" w:space="0" w:color="auto"/>
        <w:bottom w:val="none" w:sz="0" w:space="0" w:color="auto"/>
        <w:right w:val="none" w:sz="0" w:space="0" w:color="auto"/>
      </w:divBdr>
    </w:div>
    <w:div w:id="534315624">
      <w:bodyDiv w:val="1"/>
      <w:marLeft w:val="0"/>
      <w:marRight w:val="0"/>
      <w:marTop w:val="0"/>
      <w:marBottom w:val="0"/>
      <w:divBdr>
        <w:top w:val="none" w:sz="0" w:space="0" w:color="auto"/>
        <w:left w:val="none" w:sz="0" w:space="0" w:color="auto"/>
        <w:bottom w:val="none" w:sz="0" w:space="0" w:color="auto"/>
        <w:right w:val="none" w:sz="0" w:space="0" w:color="auto"/>
      </w:divBdr>
    </w:div>
    <w:div w:id="550069268">
      <w:bodyDiv w:val="1"/>
      <w:marLeft w:val="0"/>
      <w:marRight w:val="0"/>
      <w:marTop w:val="0"/>
      <w:marBottom w:val="0"/>
      <w:divBdr>
        <w:top w:val="none" w:sz="0" w:space="0" w:color="auto"/>
        <w:left w:val="none" w:sz="0" w:space="0" w:color="auto"/>
        <w:bottom w:val="none" w:sz="0" w:space="0" w:color="auto"/>
        <w:right w:val="none" w:sz="0" w:space="0" w:color="auto"/>
      </w:divBdr>
    </w:div>
    <w:div w:id="563101415">
      <w:bodyDiv w:val="1"/>
      <w:marLeft w:val="0"/>
      <w:marRight w:val="0"/>
      <w:marTop w:val="0"/>
      <w:marBottom w:val="0"/>
      <w:divBdr>
        <w:top w:val="none" w:sz="0" w:space="0" w:color="auto"/>
        <w:left w:val="none" w:sz="0" w:space="0" w:color="auto"/>
        <w:bottom w:val="none" w:sz="0" w:space="0" w:color="auto"/>
        <w:right w:val="none" w:sz="0" w:space="0" w:color="auto"/>
      </w:divBdr>
    </w:div>
    <w:div w:id="681081009">
      <w:bodyDiv w:val="1"/>
      <w:marLeft w:val="0"/>
      <w:marRight w:val="0"/>
      <w:marTop w:val="0"/>
      <w:marBottom w:val="0"/>
      <w:divBdr>
        <w:top w:val="none" w:sz="0" w:space="0" w:color="auto"/>
        <w:left w:val="none" w:sz="0" w:space="0" w:color="auto"/>
        <w:bottom w:val="none" w:sz="0" w:space="0" w:color="auto"/>
        <w:right w:val="none" w:sz="0" w:space="0" w:color="auto"/>
      </w:divBdr>
    </w:div>
    <w:div w:id="733427035">
      <w:bodyDiv w:val="1"/>
      <w:marLeft w:val="0"/>
      <w:marRight w:val="0"/>
      <w:marTop w:val="0"/>
      <w:marBottom w:val="0"/>
      <w:divBdr>
        <w:top w:val="none" w:sz="0" w:space="0" w:color="auto"/>
        <w:left w:val="none" w:sz="0" w:space="0" w:color="auto"/>
        <w:bottom w:val="none" w:sz="0" w:space="0" w:color="auto"/>
        <w:right w:val="none" w:sz="0" w:space="0" w:color="auto"/>
      </w:divBdr>
    </w:div>
    <w:div w:id="754983233">
      <w:bodyDiv w:val="1"/>
      <w:marLeft w:val="0"/>
      <w:marRight w:val="0"/>
      <w:marTop w:val="0"/>
      <w:marBottom w:val="0"/>
      <w:divBdr>
        <w:top w:val="none" w:sz="0" w:space="0" w:color="auto"/>
        <w:left w:val="none" w:sz="0" w:space="0" w:color="auto"/>
        <w:bottom w:val="none" w:sz="0" w:space="0" w:color="auto"/>
        <w:right w:val="none" w:sz="0" w:space="0" w:color="auto"/>
      </w:divBdr>
    </w:div>
    <w:div w:id="826480789">
      <w:bodyDiv w:val="1"/>
      <w:marLeft w:val="0"/>
      <w:marRight w:val="0"/>
      <w:marTop w:val="0"/>
      <w:marBottom w:val="0"/>
      <w:divBdr>
        <w:top w:val="none" w:sz="0" w:space="0" w:color="auto"/>
        <w:left w:val="none" w:sz="0" w:space="0" w:color="auto"/>
        <w:bottom w:val="none" w:sz="0" w:space="0" w:color="auto"/>
        <w:right w:val="none" w:sz="0" w:space="0" w:color="auto"/>
      </w:divBdr>
    </w:div>
    <w:div w:id="827211554">
      <w:bodyDiv w:val="1"/>
      <w:marLeft w:val="0"/>
      <w:marRight w:val="0"/>
      <w:marTop w:val="0"/>
      <w:marBottom w:val="0"/>
      <w:divBdr>
        <w:top w:val="none" w:sz="0" w:space="0" w:color="auto"/>
        <w:left w:val="none" w:sz="0" w:space="0" w:color="auto"/>
        <w:bottom w:val="none" w:sz="0" w:space="0" w:color="auto"/>
        <w:right w:val="none" w:sz="0" w:space="0" w:color="auto"/>
      </w:divBdr>
    </w:div>
    <w:div w:id="828641295">
      <w:bodyDiv w:val="1"/>
      <w:marLeft w:val="0"/>
      <w:marRight w:val="0"/>
      <w:marTop w:val="0"/>
      <w:marBottom w:val="0"/>
      <w:divBdr>
        <w:top w:val="none" w:sz="0" w:space="0" w:color="auto"/>
        <w:left w:val="none" w:sz="0" w:space="0" w:color="auto"/>
        <w:bottom w:val="none" w:sz="0" w:space="0" w:color="auto"/>
        <w:right w:val="none" w:sz="0" w:space="0" w:color="auto"/>
      </w:divBdr>
    </w:div>
    <w:div w:id="866866683">
      <w:bodyDiv w:val="1"/>
      <w:marLeft w:val="0"/>
      <w:marRight w:val="0"/>
      <w:marTop w:val="0"/>
      <w:marBottom w:val="0"/>
      <w:divBdr>
        <w:top w:val="none" w:sz="0" w:space="0" w:color="auto"/>
        <w:left w:val="none" w:sz="0" w:space="0" w:color="auto"/>
        <w:bottom w:val="none" w:sz="0" w:space="0" w:color="auto"/>
        <w:right w:val="none" w:sz="0" w:space="0" w:color="auto"/>
      </w:divBdr>
    </w:div>
    <w:div w:id="1123353326">
      <w:bodyDiv w:val="1"/>
      <w:marLeft w:val="0"/>
      <w:marRight w:val="0"/>
      <w:marTop w:val="0"/>
      <w:marBottom w:val="0"/>
      <w:divBdr>
        <w:top w:val="none" w:sz="0" w:space="0" w:color="auto"/>
        <w:left w:val="none" w:sz="0" w:space="0" w:color="auto"/>
        <w:bottom w:val="none" w:sz="0" w:space="0" w:color="auto"/>
        <w:right w:val="none" w:sz="0" w:space="0" w:color="auto"/>
      </w:divBdr>
    </w:div>
    <w:div w:id="1215240649">
      <w:bodyDiv w:val="1"/>
      <w:marLeft w:val="0"/>
      <w:marRight w:val="0"/>
      <w:marTop w:val="0"/>
      <w:marBottom w:val="0"/>
      <w:divBdr>
        <w:top w:val="none" w:sz="0" w:space="0" w:color="auto"/>
        <w:left w:val="none" w:sz="0" w:space="0" w:color="auto"/>
        <w:bottom w:val="none" w:sz="0" w:space="0" w:color="auto"/>
        <w:right w:val="none" w:sz="0" w:space="0" w:color="auto"/>
      </w:divBdr>
    </w:div>
    <w:div w:id="1341657182">
      <w:bodyDiv w:val="1"/>
      <w:marLeft w:val="0"/>
      <w:marRight w:val="0"/>
      <w:marTop w:val="0"/>
      <w:marBottom w:val="0"/>
      <w:divBdr>
        <w:top w:val="none" w:sz="0" w:space="0" w:color="auto"/>
        <w:left w:val="none" w:sz="0" w:space="0" w:color="auto"/>
        <w:bottom w:val="none" w:sz="0" w:space="0" w:color="auto"/>
        <w:right w:val="none" w:sz="0" w:space="0" w:color="auto"/>
      </w:divBdr>
    </w:div>
    <w:div w:id="1567379088">
      <w:bodyDiv w:val="1"/>
      <w:marLeft w:val="0"/>
      <w:marRight w:val="0"/>
      <w:marTop w:val="0"/>
      <w:marBottom w:val="0"/>
      <w:divBdr>
        <w:top w:val="none" w:sz="0" w:space="0" w:color="auto"/>
        <w:left w:val="none" w:sz="0" w:space="0" w:color="auto"/>
        <w:bottom w:val="none" w:sz="0" w:space="0" w:color="auto"/>
        <w:right w:val="none" w:sz="0" w:space="0" w:color="auto"/>
      </w:divBdr>
    </w:div>
    <w:div w:id="1588616837">
      <w:bodyDiv w:val="1"/>
      <w:marLeft w:val="0"/>
      <w:marRight w:val="0"/>
      <w:marTop w:val="0"/>
      <w:marBottom w:val="0"/>
      <w:divBdr>
        <w:top w:val="none" w:sz="0" w:space="0" w:color="auto"/>
        <w:left w:val="none" w:sz="0" w:space="0" w:color="auto"/>
        <w:bottom w:val="none" w:sz="0" w:space="0" w:color="auto"/>
        <w:right w:val="none" w:sz="0" w:space="0" w:color="auto"/>
      </w:divBdr>
    </w:div>
    <w:div w:id="1650403545">
      <w:bodyDiv w:val="1"/>
      <w:marLeft w:val="0"/>
      <w:marRight w:val="0"/>
      <w:marTop w:val="0"/>
      <w:marBottom w:val="0"/>
      <w:divBdr>
        <w:top w:val="none" w:sz="0" w:space="0" w:color="auto"/>
        <w:left w:val="none" w:sz="0" w:space="0" w:color="auto"/>
        <w:bottom w:val="none" w:sz="0" w:space="0" w:color="auto"/>
        <w:right w:val="none" w:sz="0" w:space="0" w:color="auto"/>
      </w:divBdr>
    </w:div>
    <w:div w:id="1664504339">
      <w:bodyDiv w:val="1"/>
      <w:marLeft w:val="0"/>
      <w:marRight w:val="0"/>
      <w:marTop w:val="0"/>
      <w:marBottom w:val="0"/>
      <w:divBdr>
        <w:top w:val="none" w:sz="0" w:space="0" w:color="auto"/>
        <w:left w:val="none" w:sz="0" w:space="0" w:color="auto"/>
        <w:bottom w:val="none" w:sz="0" w:space="0" w:color="auto"/>
        <w:right w:val="none" w:sz="0" w:space="0" w:color="auto"/>
      </w:divBdr>
    </w:div>
    <w:div w:id="1694188436">
      <w:bodyDiv w:val="1"/>
      <w:marLeft w:val="0"/>
      <w:marRight w:val="0"/>
      <w:marTop w:val="0"/>
      <w:marBottom w:val="0"/>
      <w:divBdr>
        <w:top w:val="none" w:sz="0" w:space="0" w:color="auto"/>
        <w:left w:val="none" w:sz="0" w:space="0" w:color="auto"/>
        <w:bottom w:val="none" w:sz="0" w:space="0" w:color="auto"/>
        <w:right w:val="none" w:sz="0" w:space="0" w:color="auto"/>
      </w:divBdr>
    </w:div>
    <w:div w:id="1699162211">
      <w:bodyDiv w:val="1"/>
      <w:marLeft w:val="0"/>
      <w:marRight w:val="0"/>
      <w:marTop w:val="0"/>
      <w:marBottom w:val="0"/>
      <w:divBdr>
        <w:top w:val="none" w:sz="0" w:space="0" w:color="auto"/>
        <w:left w:val="none" w:sz="0" w:space="0" w:color="auto"/>
        <w:bottom w:val="none" w:sz="0" w:space="0" w:color="auto"/>
        <w:right w:val="none" w:sz="0" w:space="0" w:color="auto"/>
      </w:divBdr>
    </w:div>
    <w:div w:id="1852261269">
      <w:bodyDiv w:val="1"/>
      <w:marLeft w:val="0"/>
      <w:marRight w:val="0"/>
      <w:marTop w:val="0"/>
      <w:marBottom w:val="0"/>
      <w:divBdr>
        <w:top w:val="none" w:sz="0" w:space="0" w:color="auto"/>
        <w:left w:val="none" w:sz="0" w:space="0" w:color="auto"/>
        <w:bottom w:val="none" w:sz="0" w:space="0" w:color="auto"/>
        <w:right w:val="none" w:sz="0" w:space="0" w:color="auto"/>
      </w:divBdr>
    </w:div>
    <w:div w:id="1862283488">
      <w:bodyDiv w:val="1"/>
      <w:marLeft w:val="0"/>
      <w:marRight w:val="0"/>
      <w:marTop w:val="0"/>
      <w:marBottom w:val="0"/>
      <w:divBdr>
        <w:top w:val="none" w:sz="0" w:space="0" w:color="auto"/>
        <w:left w:val="none" w:sz="0" w:space="0" w:color="auto"/>
        <w:bottom w:val="none" w:sz="0" w:space="0" w:color="auto"/>
        <w:right w:val="none" w:sz="0" w:space="0" w:color="auto"/>
      </w:divBdr>
    </w:div>
    <w:div w:id="21377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redakcijas-datums/2015/01/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14590-maksatnespejas-likums/redakcijas-datums/2015/01/01" TargetMode="External"/><Relationship Id="rId4" Type="http://schemas.openxmlformats.org/officeDocument/2006/relationships/settings" Target="settings.xml"/><Relationship Id="rId9" Type="http://schemas.openxmlformats.org/officeDocument/2006/relationships/hyperlink" Target="http://likumi.lv/ta/id/246874-par-maksatnespejas-likuma-62-panta-pirmas-dalas-un-civilprocesa-likuma-363-2-panta-otras-dalas-normu-ciktal-tas-neparedz-tiesa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files/tautsaimniecibas_attistiba/makro/makro_66_lv.pdf" TargetMode="External"/><Relationship Id="rId1" Type="http://schemas.openxmlformats.org/officeDocument/2006/relationships/hyperlink" Target="https://www.em.gov.lv/files/tautsaimniecibas_attistiba/zin/2015_dec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CCDA-4EFF-44B7-B5FA-CABD5C93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68615</Words>
  <Characters>39111</Characters>
  <Application>Microsoft Office Word</Application>
  <DocSecurity>0</DocSecurity>
  <Lines>325</Lines>
  <Paragraphs>215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uzņēmējdarbības riska valsts nodevas apmēru 2017.-2019.gadam</vt:lpstr>
      <vt:lpstr>Informatīvais ziņojums par uzņēmējdarbības riska valsts nodevas apmēru 2017.-2019.gadam</vt:lpstr>
    </vt:vector>
  </TitlesOfParts>
  <Company>Tieslietu ministrija</Company>
  <LinksUpToDate>false</LinksUpToDate>
  <CharactersWithSpaces>107511</CharactersWithSpaces>
  <SharedDoc>false</SharedDoc>
  <HLinks>
    <vt:vector size="30" baseType="variant">
      <vt:variant>
        <vt:i4>1835010</vt:i4>
      </vt:variant>
      <vt:variant>
        <vt:i4>6</vt:i4>
      </vt:variant>
      <vt:variant>
        <vt:i4>0</vt:i4>
      </vt:variant>
      <vt:variant>
        <vt:i4>5</vt:i4>
      </vt:variant>
      <vt:variant>
        <vt:lpwstr>http://likumi.lv/ta/id/214590-maksatnespejas-likums/redakcijas-datums/2015/01/01</vt:lpwstr>
      </vt:variant>
      <vt:variant>
        <vt:lpwstr/>
      </vt:variant>
      <vt:variant>
        <vt:i4>7</vt:i4>
      </vt:variant>
      <vt:variant>
        <vt:i4>3</vt:i4>
      </vt:variant>
      <vt:variant>
        <vt:i4>0</vt:i4>
      </vt:variant>
      <vt:variant>
        <vt:i4>5</vt:i4>
      </vt:variant>
      <vt:variant>
        <vt:lpwstr>http://likumi.lv/ta/id/246874-par-maksatnespejas-likuma-62-panta-pirmas-dalas-un-civilprocesa-likuma-363-2-panta-otras-dalas-normu-ciktal-tas-neparedz-tiesas...</vt:lpwstr>
      </vt:variant>
      <vt:variant>
        <vt:lpwstr/>
      </vt:variant>
      <vt:variant>
        <vt:i4>1835010</vt:i4>
      </vt:variant>
      <vt:variant>
        <vt:i4>0</vt:i4>
      </vt:variant>
      <vt:variant>
        <vt:i4>0</vt:i4>
      </vt:variant>
      <vt:variant>
        <vt:i4>5</vt:i4>
      </vt:variant>
      <vt:variant>
        <vt:lpwstr>http://likumi.lv/ta/id/214590-maksatnespejas-likums/redakcijas-datums/2015/01/01</vt:lpwstr>
      </vt:variant>
      <vt:variant>
        <vt:lpwstr/>
      </vt:variant>
      <vt:variant>
        <vt:i4>3211334</vt:i4>
      </vt:variant>
      <vt:variant>
        <vt:i4>3</vt:i4>
      </vt:variant>
      <vt:variant>
        <vt:i4>0</vt:i4>
      </vt:variant>
      <vt:variant>
        <vt:i4>5</vt:i4>
      </vt:variant>
      <vt:variant>
        <vt:lpwstr>https://www.em.gov.lv/files/tautsaimniecibas_attistiba/makro/makro_66_lv.pdf</vt:lpwstr>
      </vt:variant>
      <vt:variant>
        <vt:lpwstr/>
      </vt:variant>
      <vt:variant>
        <vt:i4>2752580</vt:i4>
      </vt:variant>
      <vt:variant>
        <vt:i4>0</vt:i4>
      </vt:variant>
      <vt:variant>
        <vt:i4>0</vt:i4>
      </vt:variant>
      <vt:variant>
        <vt:i4>5</vt:i4>
      </vt:variant>
      <vt:variant>
        <vt:lpwstr>https://www.em.gov.lv/files/tautsaimniecibas_attistiba/zin/2015_dec_lv.pdf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uzņēmējdarbības riska valsts nodevas apmēru 2017.-2019.gadam</dc:title>
  <dc:subject>Informatīvais ziņojums</dc:subject>
  <dc:creator>Maksātnespējas administrācija</dc:creator>
  <cp:keywords/>
  <dc:description>B.Banga, 67099123, baiba.banga@mna.gov.lv</dc:description>
  <cp:lastModifiedBy>Alla Ličkovska</cp:lastModifiedBy>
  <cp:revision>11</cp:revision>
  <cp:lastPrinted>2016-06-27T06:44:00Z</cp:lastPrinted>
  <dcterms:created xsi:type="dcterms:W3CDTF">2016-07-18T08:26:00Z</dcterms:created>
  <dcterms:modified xsi:type="dcterms:W3CDTF">2016-07-19T07:55:00Z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