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45" w:rsidRDefault="00457923" w:rsidP="006E7773">
      <w:pPr>
        <w:jc w:val="right"/>
        <w:rPr>
          <w:rFonts w:ascii="Times New Roman" w:hAnsi="Times New Roman" w:cs="Times New Roman"/>
          <w:i/>
          <w:iCs/>
          <w:sz w:val="28"/>
          <w:szCs w:val="28"/>
        </w:rPr>
      </w:pPr>
      <w:r w:rsidRPr="00457923">
        <w:rPr>
          <w:rFonts w:ascii="Times New Roman" w:eastAsia="Times New Roman" w:hAnsi="Times New Roman"/>
          <w:noProof/>
          <w:sz w:val="28"/>
          <w:szCs w:val="28"/>
          <w:lang w:eastAsia="lv-LV" w:bidi="lo-LA"/>
        </w:rPr>
        <w:pict>
          <v:rect id="_x0000_s1026" style="position:absolute;left:0;text-align:left;margin-left:196.4pt;margin-top:-31.95pt;width:61.65pt;height:45.5pt;z-index:251658240" strokecolor="white [3212]"/>
        </w:pict>
      </w:r>
      <w:r w:rsidR="006E7773">
        <w:rPr>
          <w:rFonts w:ascii="Times New Roman" w:hAnsi="Times New Roman" w:cs="Times New Roman"/>
          <w:i/>
          <w:iCs/>
          <w:sz w:val="28"/>
          <w:szCs w:val="28"/>
        </w:rPr>
        <w:t>Projekts</w:t>
      </w:r>
    </w:p>
    <w:p w:rsidR="006E7773" w:rsidRDefault="006E7773" w:rsidP="006E7773">
      <w:pPr>
        <w:jc w:val="right"/>
        <w:rPr>
          <w:rFonts w:ascii="Times New Roman" w:hAnsi="Times New Roman" w:cs="Times New Roman"/>
          <w:i/>
          <w:iCs/>
          <w:sz w:val="28"/>
          <w:szCs w:val="28"/>
        </w:rPr>
      </w:pPr>
    </w:p>
    <w:p w:rsidR="006E7773" w:rsidRDefault="006E7773" w:rsidP="006E7773">
      <w:pPr>
        <w:jc w:val="right"/>
        <w:rPr>
          <w:rFonts w:ascii="Times New Roman" w:hAnsi="Times New Roman" w:cs="Times New Roman"/>
          <w:sz w:val="28"/>
          <w:szCs w:val="28"/>
        </w:rPr>
      </w:pPr>
    </w:p>
    <w:p w:rsidR="006E7773" w:rsidRDefault="006E7773" w:rsidP="006E7773">
      <w:pPr>
        <w:spacing w:before="120" w:after="120" w:line="240" w:lineRule="auto"/>
        <w:ind w:left="4536"/>
        <w:jc w:val="right"/>
        <w:rPr>
          <w:rFonts w:ascii="Times New Roman" w:eastAsia="Times New Roman" w:hAnsi="Times New Roman"/>
          <w:iCs/>
          <w:sz w:val="28"/>
          <w:szCs w:val="28"/>
        </w:rPr>
      </w:pPr>
      <w:r>
        <w:rPr>
          <w:rFonts w:ascii="Times New Roman" w:eastAsia="Times New Roman" w:hAnsi="Times New Roman"/>
          <w:sz w:val="28"/>
          <w:szCs w:val="28"/>
        </w:rPr>
        <w:t xml:space="preserve">Latvijas Republikas Saeimas </w:t>
      </w:r>
      <w:r w:rsidRPr="00F9160D">
        <w:rPr>
          <w:rFonts w:ascii="Times New Roman" w:eastAsia="Times New Roman" w:hAnsi="Times New Roman"/>
          <w:iCs/>
          <w:sz w:val="28"/>
          <w:szCs w:val="28"/>
        </w:rPr>
        <w:t>Publisko i</w:t>
      </w:r>
      <w:r>
        <w:rPr>
          <w:rFonts w:ascii="Times New Roman" w:eastAsia="Times New Roman" w:hAnsi="Times New Roman"/>
          <w:iCs/>
          <w:sz w:val="28"/>
          <w:szCs w:val="28"/>
        </w:rPr>
        <w:t>zdevumu un revīzijas komisijai</w:t>
      </w:r>
    </w:p>
    <w:p w:rsidR="006E7773" w:rsidRDefault="006E7773" w:rsidP="006E7773">
      <w:pPr>
        <w:spacing w:before="120" w:after="120" w:line="240" w:lineRule="auto"/>
        <w:ind w:left="4536"/>
        <w:jc w:val="right"/>
        <w:rPr>
          <w:rFonts w:ascii="Times New Roman" w:eastAsia="Times New Roman" w:hAnsi="Times New Roman"/>
          <w:iCs/>
          <w:sz w:val="28"/>
          <w:szCs w:val="28"/>
        </w:rPr>
      </w:pPr>
      <w:r>
        <w:rPr>
          <w:rFonts w:ascii="Times New Roman" w:eastAsia="Times New Roman" w:hAnsi="Times New Roman"/>
          <w:sz w:val="28"/>
          <w:szCs w:val="28"/>
        </w:rPr>
        <w:t xml:space="preserve">Latvijas Republikas Saeimas </w:t>
      </w:r>
      <w:r w:rsidRPr="00F9160D">
        <w:rPr>
          <w:rFonts w:ascii="Times New Roman" w:eastAsia="Times New Roman" w:hAnsi="Times New Roman"/>
          <w:iCs/>
          <w:sz w:val="28"/>
          <w:szCs w:val="28"/>
        </w:rPr>
        <w:t>Sociālo un darba lietu komisija</w:t>
      </w:r>
      <w:r>
        <w:rPr>
          <w:rFonts w:ascii="Times New Roman" w:eastAsia="Times New Roman" w:hAnsi="Times New Roman"/>
          <w:iCs/>
          <w:sz w:val="28"/>
          <w:szCs w:val="28"/>
        </w:rPr>
        <w:t>i</w:t>
      </w:r>
    </w:p>
    <w:p w:rsidR="006E7773" w:rsidRDefault="006E7773" w:rsidP="006E7773">
      <w:pPr>
        <w:jc w:val="right"/>
        <w:rPr>
          <w:rFonts w:ascii="Times New Roman" w:hAnsi="Times New Roman" w:cs="Times New Roman"/>
          <w:sz w:val="28"/>
          <w:szCs w:val="28"/>
        </w:rPr>
      </w:pPr>
    </w:p>
    <w:p w:rsidR="006E7773" w:rsidRDefault="006E7773" w:rsidP="006E7773">
      <w:pPr>
        <w:jc w:val="right"/>
        <w:rPr>
          <w:rFonts w:ascii="Times New Roman" w:hAnsi="Times New Roman" w:cs="Times New Roman"/>
          <w:sz w:val="28"/>
          <w:szCs w:val="28"/>
        </w:rPr>
      </w:pPr>
    </w:p>
    <w:p w:rsidR="006E7773" w:rsidRDefault="006E7773" w:rsidP="006E7773">
      <w:pPr>
        <w:tabs>
          <w:tab w:val="left" w:pos="4253"/>
          <w:tab w:val="left" w:pos="4962"/>
        </w:tabs>
        <w:spacing w:before="60" w:after="60" w:line="240" w:lineRule="auto"/>
        <w:ind w:right="4818"/>
        <w:jc w:val="both"/>
        <w:rPr>
          <w:rFonts w:ascii="Times New Roman" w:eastAsia="Times New Roman" w:hAnsi="Times New Roman"/>
          <w:i/>
          <w:sz w:val="28"/>
          <w:szCs w:val="28"/>
        </w:rPr>
      </w:pPr>
      <w:r w:rsidRPr="000A229A">
        <w:rPr>
          <w:rFonts w:ascii="Times New Roman" w:eastAsia="Times New Roman" w:hAnsi="Times New Roman"/>
          <w:i/>
          <w:sz w:val="28"/>
          <w:szCs w:val="28"/>
        </w:rPr>
        <w:t xml:space="preserve">Par </w:t>
      </w:r>
      <w:r>
        <w:rPr>
          <w:rFonts w:ascii="Times New Roman" w:eastAsia="Times New Roman" w:hAnsi="Times New Roman"/>
          <w:i/>
          <w:sz w:val="28"/>
          <w:szCs w:val="28"/>
        </w:rPr>
        <w:t>VSIA ”Paula Stradiņa klīniskā universitātes slimnīca” A korpusa 2.kārtas attīstību</w:t>
      </w:r>
    </w:p>
    <w:p w:rsidR="006E7773" w:rsidRDefault="006E7773" w:rsidP="006E7773">
      <w:pPr>
        <w:jc w:val="right"/>
        <w:rPr>
          <w:rFonts w:ascii="Times New Roman" w:hAnsi="Times New Roman" w:cs="Times New Roman"/>
          <w:sz w:val="28"/>
          <w:szCs w:val="28"/>
        </w:rPr>
      </w:pPr>
    </w:p>
    <w:p w:rsidR="006E7773" w:rsidRDefault="006E7773" w:rsidP="006E7773">
      <w:pPr>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Saskaņā ar </w:t>
      </w:r>
      <w:r>
        <w:rPr>
          <w:rFonts w:ascii="Times New Roman" w:eastAsia="Times New Roman" w:hAnsi="Times New Roman"/>
          <w:sz w:val="28"/>
          <w:szCs w:val="28"/>
        </w:rPr>
        <w:t xml:space="preserve">Latvijas Republikas Saeimas </w:t>
      </w:r>
      <w:r w:rsidRPr="00F9160D">
        <w:rPr>
          <w:rFonts w:ascii="Times New Roman" w:eastAsia="Times New Roman" w:hAnsi="Times New Roman"/>
          <w:iCs/>
          <w:sz w:val="28"/>
          <w:szCs w:val="28"/>
        </w:rPr>
        <w:t>Publisko i</w:t>
      </w:r>
      <w:r>
        <w:rPr>
          <w:rFonts w:ascii="Times New Roman" w:eastAsia="Times New Roman" w:hAnsi="Times New Roman"/>
          <w:iCs/>
          <w:sz w:val="28"/>
          <w:szCs w:val="28"/>
        </w:rPr>
        <w:t xml:space="preserve">zdevumu un revīzijas komisijas un </w:t>
      </w:r>
      <w:r>
        <w:rPr>
          <w:rFonts w:ascii="Times New Roman" w:eastAsia="Times New Roman" w:hAnsi="Times New Roman"/>
          <w:sz w:val="28"/>
          <w:szCs w:val="28"/>
        </w:rPr>
        <w:t xml:space="preserve">Saeimas </w:t>
      </w:r>
      <w:r w:rsidRPr="00F9160D">
        <w:rPr>
          <w:rFonts w:ascii="Times New Roman" w:eastAsia="Times New Roman" w:hAnsi="Times New Roman"/>
          <w:iCs/>
          <w:sz w:val="28"/>
          <w:szCs w:val="28"/>
        </w:rPr>
        <w:t>Sociālo un darba lietu komisija</w:t>
      </w:r>
      <w:r>
        <w:rPr>
          <w:rFonts w:ascii="Times New Roman" w:eastAsia="Times New Roman" w:hAnsi="Times New Roman"/>
          <w:iCs/>
          <w:sz w:val="28"/>
          <w:szCs w:val="28"/>
        </w:rPr>
        <w:t xml:space="preserve">s </w:t>
      </w:r>
      <w:r w:rsidRPr="00483607">
        <w:rPr>
          <w:rFonts w:ascii="Times New Roman" w:hAnsi="Times New Roman" w:cs="Times New Roman"/>
          <w:sz w:val="28"/>
          <w:szCs w:val="28"/>
        </w:rPr>
        <w:t>201</w:t>
      </w:r>
      <w:r>
        <w:rPr>
          <w:rFonts w:ascii="Times New Roman" w:hAnsi="Times New Roman" w:cs="Times New Roman"/>
          <w:sz w:val="28"/>
          <w:szCs w:val="28"/>
        </w:rPr>
        <w:t>6</w:t>
      </w:r>
      <w:r w:rsidRPr="00483607">
        <w:rPr>
          <w:rFonts w:ascii="Times New Roman" w:hAnsi="Times New Roman" w:cs="Times New Roman"/>
          <w:sz w:val="28"/>
          <w:szCs w:val="28"/>
        </w:rPr>
        <w:t xml:space="preserve">.gada </w:t>
      </w:r>
      <w:r>
        <w:rPr>
          <w:rFonts w:ascii="Times New Roman" w:hAnsi="Times New Roman" w:cs="Times New Roman"/>
          <w:sz w:val="28"/>
          <w:szCs w:val="28"/>
        </w:rPr>
        <w:t>16.jūnija</w:t>
      </w:r>
      <w:r w:rsidRPr="00483607">
        <w:rPr>
          <w:rFonts w:ascii="Times New Roman" w:hAnsi="Times New Roman" w:cs="Times New Roman"/>
          <w:sz w:val="28"/>
          <w:szCs w:val="28"/>
        </w:rPr>
        <w:t xml:space="preserve"> vēstuli Nr.</w:t>
      </w:r>
      <w:r>
        <w:rPr>
          <w:rFonts w:ascii="Times New Roman" w:hAnsi="Times New Roman" w:cs="Times New Roman"/>
          <w:sz w:val="28"/>
          <w:szCs w:val="28"/>
        </w:rPr>
        <w:t>142.9/12-100-12/16</w:t>
      </w:r>
      <w:r w:rsidRPr="00483607">
        <w:rPr>
          <w:rFonts w:ascii="Times New Roman" w:hAnsi="Times New Roman" w:cs="Times New Roman"/>
          <w:sz w:val="28"/>
          <w:szCs w:val="28"/>
        </w:rPr>
        <w:t xml:space="preserve"> „</w:t>
      </w:r>
      <w:r>
        <w:rPr>
          <w:rFonts w:ascii="Times New Roman" w:hAnsi="Times New Roman" w:cs="Times New Roman"/>
          <w:sz w:val="28"/>
          <w:szCs w:val="28"/>
        </w:rPr>
        <w:t>Par P.Stradiņa Klīniskās universitātes slimnīcas A korpusa 2.kārtas būvniecību</w:t>
      </w:r>
      <w:r w:rsidRPr="00483607">
        <w:rPr>
          <w:rFonts w:ascii="Times New Roman" w:hAnsi="Times New Roman" w:cs="Times New Roman"/>
          <w:sz w:val="28"/>
          <w:szCs w:val="28"/>
        </w:rPr>
        <w:t xml:space="preserve">” Ministru kabinets sniedz </w:t>
      </w:r>
      <w:r>
        <w:rPr>
          <w:rFonts w:ascii="Times New Roman" w:hAnsi="Times New Roman" w:cs="Times New Roman"/>
          <w:sz w:val="28"/>
          <w:szCs w:val="28"/>
        </w:rPr>
        <w:t>informāciju atbilstoši pieprasījumam</w:t>
      </w:r>
      <w:r w:rsidR="00E503FE">
        <w:rPr>
          <w:rFonts w:ascii="Times New Roman" w:hAnsi="Times New Roman" w:cs="Times New Roman"/>
          <w:sz w:val="28"/>
          <w:szCs w:val="28"/>
        </w:rPr>
        <w:t>.</w:t>
      </w:r>
    </w:p>
    <w:p w:rsidR="00E503FE" w:rsidRDefault="00E503FE" w:rsidP="006E7773">
      <w:pPr>
        <w:ind w:firstLine="720"/>
        <w:jc w:val="both"/>
        <w:rPr>
          <w:rFonts w:ascii="Times New Roman" w:hAnsi="Times New Roman" w:cs="Times New Roman"/>
          <w:sz w:val="28"/>
          <w:szCs w:val="28"/>
        </w:rPr>
      </w:pPr>
      <w:r>
        <w:rPr>
          <w:rFonts w:ascii="Times New Roman" w:hAnsi="Times New Roman" w:cs="Times New Roman"/>
          <w:sz w:val="28"/>
          <w:szCs w:val="28"/>
        </w:rPr>
        <w:t>Ministru kabineta 2016.gada 26.jūlijā sēdē</w:t>
      </w:r>
      <w:r w:rsidR="008E13EF">
        <w:rPr>
          <w:rFonts w:ascii="Times New Roman" w:hAnsi="Times New Roman" w:cs="Times New Roman"/>
          <w:sz w:val="28"/>
          <w:szCs w:val="28"/>
        </w:rPr>
        <w:t xml:space="preserve"> (turpmāk – Sēde)</w:t>
      </w:r>
      <w:r>
        <w:rPr>
          <w:rFonts w:ascii="Times New Roman" w:hAnsi="Times New Roman" w:cs="Times New Roman"/>
          <w:sz w:val="28"/>
          <w:szCs w:val="28"/>
        </w:rPr>
        <w:t xml:space="preserve"> izskatīts Veselības ministrijas sagatavotais informatīvais ziņojums „</w:t>
      </w:r>
      <w:r w:rsidRPr="00E503FE">
        <w:rPr>
          <w:rFonts w:ascii="Times New Roman" w:hAnsi="Times New Roman" w:cs="Times New Roman"/>
          <w:sz w:val="28"/>
          <w:szCs w:val="28"/>
        </w:rPr>
        <w:t>Par VSIA „Paula Stradiņa klīniskā universitātes slimnīca” A korpusa otrās kārtas attīstību</w:t>
      </w:r>
      <w:r>
        <w:rPr>
          <w:rFonts w:ascii="Times New Roman" w:hAnsi="Times New Roman" w:cs="Times New Roman"/>
          <w:sz w:val="28"/>
          <w:szCs w:val="28"/>
        </w:rPr>
        <w:t xml:space="preserve">” (turpmāk – Ziņojums) un attiecībā uz </w:t>
      </w:r>
      <w:r w:rsidRPr="00E503FE">
        <w:rPr>
          <w:rFonts w:ascii="Times New Roman" w:hAnsi="Times New Roman" w:cs="Times New Roman"/>
          <w:sz w:val="28"/>
          <w:szCs w:val="28"/>
        </w:rPr>
        <w:t>VSIA „Paula Stradiņa klīniskā universitātes slimnīca” (turpmāk – Slimnīca) A korpusa 2.kārtas attīstības projektu (turpmāk – Projekts)</w:t>
      </w:r>
      <w:r w:rsidR="00F542D1">
        <w:rPr>
          <w:rFonts w:ascii="Times New Roman" w:hAnsi="Times New Roman" w:cs="Times New Roman"/>
          <w:sz w:val="28"/>
          <w:szCs w:val="28"/>
        </w:rPr>
        <w:t xml:space="preserve"> pieņemti s</w:t>
      </w:r>
      <w:r w:rsidR="00ED3C81">
        <w:rPr>
          <w:rFonts w:ascii="Times New Roman" w:hAnsi="Times New Roman" w:cs="Times New Roman"/>
          <w:sz w:val="28"/>
          <w:szCs w:val="28"/>
        </w:rPr>
        <w:t>e</w:t>
      </w:r>
      <w:r w:rsidR="00F542D1">
        <w:rPr>
          <w:rFonts w:ascii="Times New Roman" w:hAnsi="Times New Roman" w:cs="Times New Roman"/>
          <w:sz w:val="28"/>
          <w:szCs w:val="28"/>
        </w:rPr>
        <w:t>kojoši valdības lēmumi:</w:t>
      </w:r>
    </w:p>
    <w:p w:rsidR="006E7773" w:rsidRDefault="00F542D1" w:rsidP="006E7773">
      <w:pPr>
        <w:pStyle w:val="ListParagraph"/>
        <w:numPr>
          <w:ilvl w:val="0"/>
          <w:numId w:val="1"/>
        </w:numPr>
        <w:ind w:left="0" w:firstLine="0"/>
        <w:jc w:val="both"/>
        <w:rPr>
          <w:rFonts w:ascii="Times New Roman" w:hAnsi="Times New Roman" w:cs="Times New Roman"/>
          <w:b/>
          <w:bCs/>
          <w:sz w:val="28"/>
          <w:szCs w:val="28"/>
        </w:rPr>
      </w:pPr>
      <w:r>
        <w:rPr>
          <w:rFonts w:ascii="Times New Roman" w:hAnsi="Times New Roman" w:cs="Times New Roman"/>
          <w:b/>
          <w:bCs/>
          <w:sz w:val="28"/>
          <w:szCs w:val="28"/>
        </w:rPr>
        <w:t>P</w:t>
      </w:r>
      <w:r w:rsidR="006E7773" w:rsidRPr="006E7773">
        <w:rPr>
          <w:rFonts w:ascii="Times New Roman" w:hAnsi="Times New Roman" w:cs="Times New Roman"/>
          <w:b/>
          <w:bCs/>
          <w:sz w:val="28"/>
          <w:szCs w:val="28"/>
        </w:rPr>
        <w:t>ar Slimnīca</w:t>
      </w:r>
      <w:r w:rsidR="00E503FE">
        <w:rPr>
          <w:rFonts w:ascii="Times New Roman" w:hAnsi="Times New Roman" w:cs="Times New Roman"/>
          <w:b/>
          <w:bCs/>
          <w:sz w:val="28"/>
          <w:szCs w:val="28"/>
        </w:rPr>
        <w:t>s Projekta</w:t>
      </w:r>
      <w:r w:rsidR="006E7773" w:rsidRPr="006E7773">
        <w:rPr>
          <w:rFonts w:ascii="Times New Roman" w:hAnsi="Times New Roman" w:cs="Times New Roman"/>
          <w:b/>
          <w:bCs/>
          <w:sz w:val="28"/>
          <w:szCs w:val="28"/>
        </w:rPr>
        <w:t xml:space="preserve"> finansēšanas modeli un avotiem, nodrošinot Eiropas Savienības (turpmāk – ES) fondu maksimālu līdzfinansējumu.</w:t>
      </w:r>
    </w:p>
    <w:p w:rsidR="007C723F" w:rsidRDefault="007C723F" w:rsidP="006E7773">
      <w:pPr>
        <w:ind w:firstLine="720"/>
        <w:jc w:val="both"/>
        <w:rPr>
          <w:rFonts w:ascii="Times New Roman" w:hAnsi="Times New Roman" w:cs="Times New Roman"/>
          <w:sz w:val="28"/>
          <w:szCs w:val="28"/>
        </w:rPr>
      </w:pPr>
      <w:r w:rsidRPr="007C723F">
        <w:rPr>
          <w:rFonts w:ascii="Times New Roman" w:hAnsi="Times New Roman" w:cs="Times New Roman"/>
          <w:sz w:val="28"/>
          <w:szCs w:val="28"/>
        </w:rPr>
        <w:t xml:space="preserve">Slimnīcas </w:t>
      </w:r>
      <w:r w:rsidR="00E503FE">
        <w:rPr>
          <w:rFonts w:ascii="Times New Roman" w:hAnsi="Times New Roman" w:cs="Times New Roman"/>
          <w:sz w:val="28"/>
          <w:szCs w:val="28"/>
        </w:rPr>
        <w:t>P</w:t>
      </w:r>
      <w:r w:rsidR="00BB24D8">
        <w:rPr>
          <w:rFonts w:ascii="Times New Roman" w:hAnsi="Times New Roman" w:cs="Times New Roman"/>
          <w:sz w:val="28"/>
          <w:szCs w:val="28"/>
        </w:rPr>
        <w:t>rojektam</w:t>
      </w:r>
      <w:r w:rsidRPr="007C723F">
        <w:rPr>
          <w:rFonts w:ascii="Times New Roman" w:hAnsi="Times New Roman" w:cs="Times New Roman"/>
          <w:sz w:val="28"/>
          <w:szCs w:val="28"/>
        </w:rPr>
        <w:t xml:space="preserve"> nepieciešamās </w:t>
      </w:r>
      <w:r w:rsidRPr="00294AC7">
        <w:rPr>
          <w:rFonts w:ascii="Times New Roman" w:hAnsi="Times New Roman" w:cs="Times New Roman"/>
          <w:sz w:val="28"/>
          <w:szCs w:val="28"/>
        </w:rPr>
        <w:t xml:space="preserve">izmaksas ir </w:t>
      </w:r>
      <w:r w:rsidR="00294AC7" w:rsidRPr="00294AC7">
        <w:rPr>
          <w:rFonts w:ascii="Times New Roman" w:hAnsi="Times New Roman" w:cs="Times New Roman"/>
          <w:bCs/>
          <w:sz w:val="28"/>
          <w:szCs w:val="28"/>
        </w:rPr>
        <w:t>91 068 678</w:t>
      </w:r>
      <w:r w:rsidRPr="00294AC7">
        <w:rPr>
          <w:rFonts w:ascii="Times New Roman" w:hAnsi="Times New Roman" w:cs="Times New Roman"/>
          <w:sz w:val="28"/>
          <w:szCs w:val="28"/>
        </w:rPr>
        <w:t xml:space="preserve"> </w:t>
      </w:r>
      <w:proofErr w:type="spellStart"/>
      <w:r w:rsidR="00E06857" w:rsidRPr="00294AC7">
        <w:rPr>
          <w:rFonts w:ascii="Times New Roman" w:hAnsi="Times New Roman" w:cs="Times New Roman"/>
          <w:i/>
          <w:sz w:val="28"/>
          <w:szCs w:val="28"/>
        </w:rPr>
        <w:t>euro</w:t>
      </w:r>
      <w:proofErr w:type="spellEnd"/>
      <w:r w:rsidRPr="007C723F">
        <w:rPr>
          <w:rFonts w:ascii="Times New Roman" w:hAnsi="Times New Roman" w:cs="Times New Roman"/>
          <w:sz w:val="28"/>
          <w:szCs w:val="28"/>
        </w:rPr>
        <w:t>.</w:t>
      </w:r>
    </w:p>
    <w:tbl>
      <w:tblPr>
        <w:tblStyle w:val="TableGrid"/>
        <w:tblW w:w="0" w:type="auto"/>
        <w:tblLook w:val="04A0"/>
      </w:tblPr>
      <w:tblGrid>
        <w:gridCol w:w="2802"/>
        <w:gridCol w:w="1842"/>
        <w:gridCol w:w="2127"/>
        <w:gridCol w:w="2516"/>
      </w:tblGrid>
      <w:tr w:rsidR="007C723F" w:rsidRPr="007C723F" w:rsidTr="00DF27F8">
        <w:tc>
          <w:tcPr>
            <w:tcW w:w="2802" w:type="dxa"/>
            <w:vAlign w:val="center"/>
          </w:tcPr>
          <w:p w:rsidR="007C723F" w:rsidRPr="007C723F" w:rsidRDefault="007C723F" w:rsidP="007C723F">
            <w:pPr>
              <w:spacing w:before="40" w:after="40" w:line="276" w:lineRule="auto"/>
              <w:jc w:val="center"/>
              <w:rPr>
                <w:rFonts w:ascii="Times New Roman" w:eastAsiaTheme="minorHAnsi" w:hAnsi="Times New Roman"/>
                <w:b/>
                <w:sz w:val="24"/>
                <w:szCs w:val="24"/>
                <w:lang w:eastAsia="en-US"/>
              </w:rPr>
            </w:pPr>
            <w:r w:rsidRPr="007C723F">
              <w:rPr>
                <w:rFonts w:ascii="Times New Roman" w:eastAsiaTheme="minorHAnsi" w:hAnsi="Times New Roman"/>
                <w:b/>
                <w:sz w:val="24"/>
                <w:szCs w:val="24"/>
                <w:lang w:eastAsia="en-US"/>
              </w:rPr>
              <w:t>Projekta darbība</w:t>
            </w:r>
          </w:p>
        </w:tc>
        <w:tc>
          <w:tcPr>
            <w:tcW w:w="1842" w:type="dxa"/>
            <w:vAlign w:val="center"/>
          </w:tcPr>
          <w:p w:rsidR="007C723F" w:rsidRPr="007C723F" w:rsidRDefault="007C723F" w:rsidP="007C723F">
            <w:pPr>
              <w:spacing w:before="40" w:after="40" w:line="276" w:lineRule="auto"/>
              <w:jc w:val="center"/>
              <w:rPr>
                <w:rFonts w:ascii="Times New Roman" w:eastAsiaTheme="minorHAnsi" w:hAnsi="Times New Roman"/>
                <w:b/>
                <w:sz w:val="24"/>
                <w:szCs w:val="24"/>
                <w:lang w:eastAsia="en-US"/>
              </w:rPr>
            </w:pPr>
            <w:r w:rsidRPr="007C723F">
              <w:rPr>
                <w:rFonts w:ascii="Times New Roman" w:eastAsiaTheme="minorHAnsi" w:hAnsi="Times New Roman"/>
                <w:b/>
                <w:sz w:val="24"/>
                <w:szCs w:val="24"/>
                <w:lang w:eastAsia="en-US"/>
              </w:rPr>
              <w:t>Daudzums</w:t>
            </w:r>
          </w:p>
        </w:tc>
        <w:tc>
          <w:tcPr>
            <w:tcW w:w="2127" w:type="dxa"/>
            <w:vAlign w:val="center"/>
          </w:tcPr>
          <w:p w:rsidR="007C723F" w:rsidRPr="007C723F" w:rsidRDefault="007C723F" w:rsidP="007C723F">
            <w:pPr>
              <w:spacing w:before="40" w:after="40" w:line="276" w:lineRule="auto"/>
              <w:jc w:val="center"/>
              <w:rPr>
                <w:rFonts w:ascii="Times New Roman" w:eastAsiaTheme="minorHAnsi" w:hAnsi="Times New Roman"/>
                <w:b/>
                <w:sz w:val="24"/>
                <w:szCs w:val="24"/>
                <w:lang w:eastAsia="en-US"/>
              </w:rPr>
            </w:pPr>
            <w:r w:rsidRPr="007C723F">
              <w:rPr>
                <w:rFonts w:ascii="Times New Roman" w:eastAsiaTheme="minorHAnsi" w:hAnsi="Times New Roman"/>
                <w:b/>
                <w:sz w:val="24"/>
                <w:szCs w:val="24"/>
                <w:lang w:eastAsia="en-US"/>
              </w:rPr>
              <w:t>Vienības izmaksas</w:t>
            </w:r>
          </w:p>
          <w:p w:rsidR="007C723F" w:rsidRPr="007C723F" w:rsidRDefault="007C723F" w:rsidP="007C723F">
            <w:pPr>
              <w:spacing w:before="40" w:after="40" w:line="276" w:lineRule="auto"/>
              <w:jc w:val="center"/>
              <w:rPr>
                <w:rFonts w:ascii="Times New Roman" w:eastAsiaTheme="minorHAnsi" w:hAnsi="Times New Roman"/>
                <w:b/>
                <w:sz w:val="24"/>
                <w:szCs w:val="24"/>
                <w:lang w:eastAsia="en-US"/>
              </w:rPr>
            </w:pPr>
            <w:r w:rsidRPr="007C723F">
              <w:rPr>
                <w:rFonts w:ascii="Times New Roman" w:eastAsiaTheme="minorHAnsi" w:hAnsi="Times New Roman"/>
                <w:b/>
                <w:sz w:val="24"/>
                <w:szCs w:val="24"/>
                <w:lang w:eastAsia="en-US"/>
              </w:rPr>
              <w:t>[</w:t>
            </w:r>
            <w:r w:rsidRPr="007C723F">
              <w:rPr>
                <w:rFonts w:ascii="Times New Roman" w:eastAsiaTheme="minorHAnsi" w:hAnsi="Times New Roman"/>
                <w:b/>
                <w:i/>
                <w:iCs/>
                <w:sz w:val="24"/>
                <w:szCs w:val="24"/>
                <w:lang w:eastAsia="en-US"/>
              </w:rPr>
              <w:t>euro ar PVN</w:t>
            </w:r>
            <w:r w:rsidRPr="007C723F">
              <w:rPr>
                <w:rFonts w:ascii="Times New Roman" w:eastAsiaTheme="minorHAnsi" w:hAnsi="Times New Roman"/>
                <w:b/>
                <w:sz w:val="24"/>
                <w:szCs w:val="24"/>
                <w:lang w:eastAsia="en-US"/>
              </w:rPr>
              <w:t>]</w:t>
            </w:r>
          </w:p>
        </w:tc>
        <w:tc>
          <w:tcPr>
            <w:tcW w:w="2516" w:type="dxa"/>
            <w:vAlign w:val="center"/>
          </w:tcPr>
          <w:p w:rsidR="007C723F" w:rsidRPr="007C723F" w:rsidRDefault="007C723F" w:rsidP="007C723F">
            <w:pPr>
              <w:spacing w:before="40" w:after="40" w:line="276" w:lineRule="auto"/>
              <w:jc w:val="center"/>
              <w:rPr>
                <w:rFonts w:ascii="Times New Roman" w:eastAsiaTheme="minorHAnsi" w:hAnsi="Times New Roman"/>
                <w:b/>
                <w:sz w:val="24"/>
                <w:szCs w:val="24"/>
                <w:lang w:eastAsia="en-US"/>
              </w:rPr>
            </w:pPr>
            <w:r w:rsidRPr="007C723F">
              <w:rPr>
                <w:rFonts w:ascii="Times New Roman" w:eastAsiaTheme="minorHAnsi" w:hAnsi="Times New Roman"/>
                <w:b/>
                <w:sz w:val="24"/>
                <w:szCs w:val="24"/>
                <w:lang w:eastAsia="en-US"/>
              </w:rPr>
              <w:t>Summa</w:t>
            </w:r>
          </w:p>
        </w:tc>
      </w:tr>
      <w:tr w:rsidR="00294AC7" w:rsidRPr="007C723F" w:rsidTr="000F42B9">
        <w:tc>
          <w:tcPr>
            <w:tcW w:w="2802" w:type="dxa"/>
          </w:tcPr>
          <w:p w:rsidR="00294AC7" w:rsidRPr="007C723F" w:rsidRDefault="00294AC7" w:rsidP="007C723F">
            <w:pPr>
              <w:spacing w:before="40" w:after="40" w:line="276" w:lineRule="auto"/>
              <w:jc w:val="both"/>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t>Projektēšana</w:t>
            </w:r>
          </w:p>
        </w:tc>
        <w:tc>
          <w:tcPr>
            <w:tcW w:w="1842" w:type="dxa"/>
          </w:tcPr>
          <w:p w:rsidR="00294AC7" w:rsidRPr="007C723F" w:rsidRDefault="00294AC7" w:rsidP="007C723F">
            <w:pPr>
              <w:spacing w:before="40" w:after="40" w:line="276" w:lineRule="auto"/>
              <w:jc w:val="center"/>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t>1 projekts</w:t>
            </w:r>
          </w:p>
        </w:tc>
        <w:tc>
          <w:tcPr>
            <w:tcW w:w="2127"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3 423 635</w:t>
            </w:r>
          </w:p>
        </w:tc>
        <w:tc>
          <w:tcPr>
            <w:tcW w:w="2516"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3 423 635</w:t>
            </w:r>
          </w:p>
        </w:tc>
      </w:tr>
      <w:tr w:rsidR="00294AC7" w:rsidRPr="007C723F" w:rsidTr="000F42B9">
        <w:tc>
          <w:tcPr>
            <w:tcW w:w="2802" w:type="dxa"/>
          </w:tcPr>
          <w:p w:rsidR="00294AC7" w:rsidRPr="007C723F" w:rsidRDefault="00294AC7" w:rsidP="007C723F">
            <w:pPr>
              <w:spacing w:before="40" w:after="40" w:line="276" w:lineRule="auto"/>
              <w:jc w:val="both"/>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t>Autoruzraudzība</w:t>
            </w:r>
          </w:p>
        </w:tc>
        <w:tc>
          <w:tcPr>
            <w:tcW w:w="1842" w:type="dxa"/>
          </w:tcPr>
          <w:p w:rsidR="00294AC7" w:rsidRPr="007C723F" w:rsidRDefault="00294AC7" w:rsidP="007C723F">
            <w:pPr>
              <w:spacing w:before="40" w:after="40" w:line="276" w:lineRule="auto"/>
              <w:jc w:val="center"/>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t>1 pakalpojums</w:t>
            </w:r>
          </w:p>
        </w:tc>
        <w:tc>
          <w:tcPr>
            <w:tcW w:w="2127"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684 727</w:t>
            </w:r>
          </w:p>
        </w:tc>
        <w:tc>
          <w:tcPr>
            <w:tcW w:w="2516"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684 727</w:t>
            </w:r>
          </w:p>
        </w:tc>
      </w:tr>
      <w:tr w:rsidR="00294AC7" w:rsidRPr="007C723F" w:rsidTr="000F42B9">
        <w:tc>
          <w:tcPr>
            <w:tcW w:w="2802" w:type="dxa"/>
          </w:tcPr>
          <w:p w:rsidR="00294AC7" w:rsidRPr="007C723F" w:rsidRDefault="00294AC7" w:rsidP="007C723F">
            <w:pPr>
              <w:spacing w:before="40" w:after="40" w:line="276" w:lineRule="auto"/>
              <w:jc w:val="both"/>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lastRenderedPageBreak/>
              <w:t>Būvniecība</w:t>
            </w:r>
          </w:p>
        </w:tc>
        <w:tc>
          <w:tcPr>
            <w:tcW w:w="1842" w:type="dxa"/>
          </w:tcPr>
          <w:p w:rsidR="00294AC7" w:rsidRPr="007C723F" w:rsidRDefault="00294AC7" w:rsidP="007C723F">
            <w:pPr>
              <w:spacing w:before="40" w:after="40" w:line="276" w:lineRule="auto"/>
              <w:jc w:val="center"/>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t>37 726 m</w:t>
            </w:r>
            <w:r w:rsidRPr="007C723F">
              <w:rPr>
                <w:rFonts w:ascii="Times New Roman" w:eastAsiaTheme="minorHAnsi" w:hAnsi="Times New Roman"/>
                <w:bCs/>
                <w:sz w:val="24"/>
                <w:szCs w:val="24"/>
                <w:vertAlign w:val="superscript"/>
                <w:lang w:eastAsia="en-US"/>
              </w:rPr>
              <w:t>2</w:t>
            </w:r>
          </w:p>
        </w:tc>
        <w:tc>
          <w:tcPr>
            <w:tcW w:w="2127"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1 815</w:t>
            </w:r>
          </w:p>
        </w:tc>
        <w:tc>
          <w:tcPr>
            <w:tcW w:w="2516"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68 472 690</w:t>
            </w:r>
          </w:p>
        </w:tc>
      </w:tr>
      <w:tr w:rsidR="00294AC7" w:rsidRPr="007C723F" w:rsidTr="000F42B9">
        <w:tc>
          <w:tcPr>
            <w:tcW w:w="2802" w:type="dxa"/>
          </w:tcPr>
          <w:p w:rsidR="00294AC7" w:rsidRPr="007C723F" w:rsidRDefault="00294AC7" w:rsidP="007C723F">
            <w:pPr>
              <w:spacing w:before="40" w:after="40" w:line="276" w:lineRule="auto"/>
              <w:jc w:val="both"/>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t>Būvuzraudzība</w:t>
            </w:r>
          </w:p>
        </w:tc>
        <w:tc>
          <w:tcPr>
            <w:tcW w:w="1842" w:type="dxa"/>
          </w:tcPr>
          <w:p w:rsidR="00294AC7" w:rsidRPr="007C723F" w:rsidRDefault="00294AC7" w:rsidP="007C723F">
            <w:pPr>
              <w:spacing w:before="40" w:after="40" w:line="276" w:lineRule="auto"/>
              <w:jc w:val="center"/>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t>1 pakalpojums</w:t>
            </w:r>
          </w:p>
        </w:tc>
        <w:tc>
          <w:tcPr>
            <w:tcW w:w="2127"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1 369 454</w:t>
            </w:r>
          </w:p>
        </w:tc>
        <w:tc>
          <w:tcPr>
            <w:tcW w:w="2516"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1 369 454</w:t>
            </w:r>
          </w:p>
        </w:tc>
      </w:tr>
      <w:tr w:rsidR="00294AC7" w:rsidRPr="007C723F" w:rsidTr="000F42B9">
        <w:tc>
          <w:tcPr>
            <w:tcW w:w="2802" w:type="dxa"/>
          </w:tcPr>
          <w:p w:rsidR="00294AC7" w:rsidRPr="007C723F" w:rsidRDefault="00294AC7" w:rsidP="007C723F">
            <w:pPr>
              <w:spacing w:before="40" w:after="40" w:line="276" w:lineRule="auto"/>
              <w:jc w:val="both"/>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t>Telpu aprīkošana</w:t>
            </w:r>
          </w:p>
        </w:tc>
        <w:tc>
          <w:tcPr>
            <w:tcW w:w="1842" w:type="dxa"/>
          </w:tcPr>
          <w:p w:rsidR="00294AC7" w:rsidRPr="007C723F" w:rsidRDefault="00294AC7" w:rsidP="007C723F">
            <w:pPr>
              <w:spacing w:before="40" w:after="40" w:line="276" w:lineRule="auto"/>
              <w:jc w:val="center"/>
              <w:rPr>
                <w:rFonts w:ascii="Times New Roman" w:eastAsiaTheme="minorHAnsi" w:hAnsi="Times New Roman"/>
                <w:bCs/>
                <w:sz w:val="24"/>
                <w:szCs w:val="24"/>
                <w:lang w:eastAsia="en-US"/>
              </w:rPr>
            </w:pPr>
            <w:r w:rsidRPr="007C723F">
              <w:rPr>
                <w:rFonts w:ascii="Times New Roman" w:eastAsiaTheme="minorHAnsi" w:hAnsi="Times New Roman"/>
                <w:bCs/>
                <w:sz w:val="24"/>
                <w:szCs w:val="24"/>
                <w:lang w:eastAsia="en-US"/>
              </w:rPr>
              <w:t>37 726 m</w:t>
            </w:r>
            <w:r w:rsidRPr="007C723F">
              <w:rPr>
                <w:rFonts w:ascii="Times New Roman" w:eastAsiaTheme="minorHAnsi" w:hAnsi="Times New Roman"/>
                <w:bCs/>
                <w:sz w:val="24"/>
                <w:szCs w:val="24"/>
                <w:vertAlign w:val="superscript"/>
                <w:lang w:eastAsia="en-US"/>
              </w:rPr>
              <w:t>2</w:t>
            </w:r>
          </w:p>
        </w:tc>
        <w:tc>
          <w:tcPr>
            <w:tcW w:w="2127"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453.75</w:t>
            </w:r>
          </w:p>
        </w:tc>
        <w:tc>
          <w:tcPr>
            <w:tcW w:w="2516" w:type="dxa"/>
            <w:vAlign w:val="bottom"/>
          </w:tcPr>
          <w:p w:rsidR="00294AC7" w:rsidRPr="00294AC7" w:rsidRDefault="00294AC7" w:rsidP="008F7D6E">
            <w:pPr>
              <w:jc w:val="right"/>
              <w:rPr>
                <w:rFonts w:ascii="Times New Roman" w:hAnsi="Times New Roman"/>
                <w:color w:val="000000"/>
                <w:sz w:val="24"/>
                <w:szCs w:val="24"/>
              </w:rPr>
            </w:pPr>
            <w:r w:rsidRPr="00294AC7">
              <w:rPr>
                <w:rFonts w:ascii="Times New Roman" w:hAnsi="Times New Roman"/>
                <w:bCs/>
                <w:color w:val="000000"/>
                <w:sz w:val="24"/>
                <w:szCs w:val="24"/>
              </w:rPr>
              <w:t>17 118 173</w:t>
            </w:r>
          </w:p>
        </w:tc>
      </w:tr>
      <w:tr w:rsidR="00294AC7" w:rsidRPr="007C723F" w:rsidTr="000F42B9">
        <w:tc>
          <w:tcPr>
            <w:tcW w:w="2802" w:type="dxa"/>
          </w:tcPr>
          <w:p w:rsidR="00294AC7" w:rsidRPr="007C723F" w:rsidRDefault="00294AC7" w:rsidP="007C723F">
            <w:pPr>
              <w:spacing w:before="40" w:after="40" w:line="276" w:lineRule="auto"/>
              <w:jc w:val="both"/>
              <w:rPr>
                <w:rFonts w:ascii="Times New Roman" w:eastAsiaTheme="minorHAnsi" w:hAnsi="Times New Roman"/>
                <w:b/>
                <w:sz w:val="24"/>
                <w:szCs w:val="24"/>
                <w:lang w:eastAsia="en-US"/>
              </w:rPr>
            </w:pPr>
            <w:r w:rsidRPr="007C723F">
              <w:rPr>
                <w:rFonts w:ascii="Times New Roman" w:eastAsiaTheme="minorHAnsi" w:hAnsi="Times New Roman"/>
                <w:b/>
                <w:sz w:val="24"/>
                <w:szCs w:val="24"/>
                <w:lang w:eastAsia="en-US"/>
              </w:rPr>
              <w:t>Kopā</w:t>
            </w:r>
          </w:p>
        </w:tc>
        <w:tc>
          <w:tcPr>
            <w:tcW w:w="1842" w:type="dxa"/>
          </w:tcPr>
          <w:p w:rsidR="00294AC7" w:rsidRPr="007C723F" w:rsidRDefault="00294AC7" w:rsidP="007C723F">
            <w:pPr>
              <w:spacing w:before="40" w:after="4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w:t>
            </w:r>
          </w:p>
        </w:tc>
        <w:tc>
          <w:tcPr>
            <w:tcW w:w="2127" w:type="dxa"/>
            <w:vAlign w:val="bottom"/>
          </w:tcPr>
          <w:p w:rsidR="00294AC7" w:rsidRPr="00294AC7" w:rsidRDefault="00294AC7" w:rsidP="008F7D6E">
            <w:pPr>
              <w:jc w:val="center"/>
              <w:rPr>
                <w:rFonts w:ascii="Times New Roman" w:hAnsi="Times New Roman"/>
                <w:b/>
                <w:bCs/>
                <w:color w:val="000000"/>
                <w:sz w:val="24"/>
                <w:szCs w:val="24"/>
              </w:rPr>
            </w:pPr>
            <w:r w:rsidRPr="00294AC7">
              <w:rPr>
                <w:rFonts w:ascii="Times New Roman" w:hAnsi="Times New Roman"/>
                <w:b/>
                <w:bCs/>
                <w:color w:val="000000"/>
                <w:sz w:val="24"/>
                <w:szCs w:val="24"/>
              </w:rPr>
              <w:t>-</w:t>
            </w:r>
          </w:p>
        </w:tc>
        <w:tc>
          <w:tcPr>
            <w:tcW w:w="2516" w:type="dxa"/>
            <w:vAlign w:val="bottom"/>
          </w:tcPr>
          <w:p w:rsidR="00294AC7" w:rsidRPr="004F0CF0" w:rsidRDefault="00294AC7" w:rsidP="004F0CF0">
            <w:pPr>
              <w:pStyle w:val="ListParagraph"/>
              <w:numPr>
                <w:ilvl w:val="0"/>
                <w:numId w:val="4"/>
              </w:numPr>
              <w:jc w:val="right"/>
              <w:rPr>
                <w:rFonts w:ascii="Times New Roman" w:hAnsi="Times New Roman"/>
                <w:b/>
                <w:bCs/>
                <w:color w:val="000000"/>
                <w:sz w:val="24"/>
                <w:szCs w:val="24"/>
              </w:rPr>
            </w:pPr>
            <w:r w:rsidRPr="004F0CF0">
              <w:rPr>
                <w:rFonts w:ascii="Times New Roman" w:hAnsi="Times New Roman"/>
                <w:b/>
                <w:bCs/>
                <w:color w:val="000000"/>
                <w:sz w:val="24"/>
                <w:szCs w:val="24"/>
              </w:rPr>
              <w:t>68 678</w:t>
            </w:r>
          </w:p>
        </w:tc>
      </w:tr>
    </w:tbl>
    <w:p w:rsidR="004F0CF0" w:rsidRDefault="004F0CF0" w:rsidP="004F0CF0">
      <w:pPr>
        <w:ind w:firstLine="720"/>
        <w:jc w:val="both"/>
        <w:rPr>
          <w:rFonts w:ascii="Times New Roman" w:hAnsi="Times New Roman" w:cs="Times New Roman"/>
          <w:bCs/>
          <w:sz w:val="28"/>
          <w:szCs w:val="28"/>
        </w:rPr>
      </w:pPr>
    </w:p>
    <w:p w:rsidR="004F0CF0" w:rsidRPr="004F0CF0" w:rsidRDefault="004F0CF0" w:rsidP="004F0CF0">
      <w:pPr>
        <w:ind w:firstLine="720"/>
        <w:jc w:val="both"/>
        <w:rPr>
          <w:rFonts w:ascii="Times New Roman" w:hAnsi="Times New Roman" w:cs="Times New Roman"/>
          <w:sz w:val="28"/>
          <w:szCs w:val="28"/>
        </w:rPr>
      </w:pPr>
      <w:r w:rsidRPr="004F0CF0">
        <w:rPr>
          <w:rFonts w:ascii="Times New Roman" w:hAnsi="Times New Roman" w:cs="Times New Roman"/>
          <w:bCs/>
          <w:sz w:val="28"/>
          <w:szCs w:val="28"/>
        </w:rPr>
        <w:t>Slimnīcas A korpusa otrās kārtas attīstības tiešās izmaksas paredzēts segt:</w:t>
      </w:r>
    </w:p>
    <w:p w:rsidR="004F0CF0" w:rsidRDefault="004F0CF0" w:rsidP="004F0CF0">
      <w:pPr>
        <w:pStyle w:val="ListParagraph"/>
        <w:numPr>
          <w:ilvl w:val="1"/>
          <w:numId w:val="2"/>
        </w:numPr>
        <w:spacing w:before="120" w:after="0" w:line="240" w:lineRule="auto"/>
        <w:contextualSpacing w:val="0"/>
        <w:jc w:val="both"/>
        <w:rPr>
          <w:rFonts w:ascii="Times New Roman" w:hAnsi="Times New Roman" w:cs="Times New Roman"/>
          <w:bCs/>
          <w:sz w:val="28"/>
          <w:szCs w:val="28"/>
        </w:rPr>
      </w:pPr>
      <w:r w:rsidRPr="004F0CF0">
        <w:rPr>
          <w:rFonts w:ascii="Times New Roman" w:hAnsi="Times New Roman" w:cs="Times New Roman"/>
          <w:bCs/>
          <w:sz w:val="28"/>
          <w:szCs w:val="28"/>
        </w:rPr>
        <w:t xml:space="preserve">75 687 788 </w:t>
      </w:r>
      <w:proofErr w:type="spellStart"/>
      <w:r w:rsidRPr="004F0CF0">
        <w:rPr>
          <w:rFonts w:ascii="Times New Roman" w:hAnsi="Times New Roman" w:cs="Times New Roman"/>
          <w:bCs/>
          <w:i/>
          <w:iCs/>
          <w:sz w:val="28"/>
          <w:szCs w:val="28"/>
        </w:rPr>
        <w:t>euro</w:t>
      </w:r>
      <w:proofErr w:type="spellEnd"/>
      <w:r w:rsidRPr="004F0CF0">
        <w:rPr>
          <w:rFonts w:ascii="Times New Roman" w:hAnsi="Times New Roman" w:cs="Times New Roman"/>
          <w:bCs/>
          <w:i/>
          <w:iCs/>
          <w:sz w:val="28"/>
          <w:szCs w:val="28"/>
        </w:rPr>
        <w:t xml:space="preserve"> </w:t>
      </w:r>
      <w:r w:rsidRPr="004F0CF0">
        <w:rPr>
          <w:rFonts w:ascii="Times New Roman" w:hAnsi="Times New Roman" w:cs="Times New Roman"/>
          <w:bCs/>
          <w:iCs/>
          <w:sz w:val="28"/>
          <w:szCs w:val="28"/>
        </w:rPr>
        <w:t>apmērā</w:t>
      </w:r>
      <w:r w:rsidRPr="004F0CF0">
        <w:rPr>
          <w:rFonts w:ascii="Times New Roman" w:hAnsi="Times New Roman" w:cs="Times New Roman"/>
          <w:bCs/>
          <w:i/>
          <w:iCs/>
          <w:sz w:val="28"/>
          <w:szCs w:val="28"/>
        </w:rPr>
        <w:t xml:space="preserve"> </w:t>
      </w:r>
      <w:r w:rsidRPr="004F0CF0">
        <w:rPr>
          <w:rFonts w:ascii="Times New Roman" w:hAnsi="Times New Roman" w:cs="Times New Roman"/>
          <w:bCs/>
          <w:iCs/>
          <w:sz w:val="28"/>
          <w:szCs w:val="28"/>
        </w:rPr>
        <w:t>no</w:t>
      </w:r>
      <w:r w:rsidRPr="004F0CF0">
        <w:rPr>
          <w:rFonts w:ascii="Times New Roman" w:hAnsi="Times New Roman" w:cs="Times New Roman"/>
          <w:bCs/>
          <w:sz w:val="28"/>
          <w:szCs w:val="28"/>
        </w:rPr>
        <w:t xml:space="preserve"> Eiropas Savienības fondu 2014.-2020.gada plānošanas perioda darbības programmas „Izaugsme un nodarbinātība” 9.3.2. specifiskā atbalsta mērķa „</w:t>
      </w:r>
      <w:r w:rsidRPr="004F0CF0">
        <w:rPr>
          <w:rFonts w:ascii="Times New Roman" w:hAnsi="Times New Roman" w:cs="Times New Roman"/>
          <w:bCs/>
          <w:i/>
          <w:iCs/>
          <w:sz w:val="28"/>
          <w:szCs w:val="28"/>
        </w:rPr>
        <w:t>Uzlabot kvalitatīvu veselības aprūpes pakalpojumu pieejamību, jo īpaši sociālās, teritoriālās atstumtības un nabadzības riskam pakļautajiem iedzīvotājiem,  attīstot veselības aprūpes infrastruktūru</w:t>
      </w:r>
      <w:r w:rsidRPr="004F0CF0">
        <w:rPr>
          <w:rFonts w:ascii="Times New Roman" w:hAnsi="Times New Roman" w:cs="Times New Roman"/>
          <w:bCs/>
          <w:sz w:val="28"/>
          <w:szCs w:val="28"/>
        </w:rPr>
        <w:t>” (turpmāk – SAM 9.3.2.) finansējuma ietvaros, novirzot Eiropas Reģionālās attīstības fonda finansējumu 85% apmērā, valsts budžeta līdzfinansējumu 9% apmērā un piesaistot privāto slimnīcas finansējumu 6% apmērā;</w:t>
      </w:r>
    </w:p>
    <w:p w:rsidR="004F0CF0" w:rsidRPr="004F0CF0" w:rsidRDefault="004F0CF0" w:rsidP="004F0CF0">
      <w:pPr>
        <w:pStyle w:val="ListParagraph"/>
        <w:numPr>
          <w:ilvl w:val="1"/>
          <w:numId w:val="2"/>
        </w:numPr>
        <w:spacing w:before="120" w:after="0" w:line="240" w:lineRule="auto"/>
        <w:contextualSpacing w:val="0"/>
        <w:jc w:val="both"/>
        <w:rPr>
          <w:rFonts w:ascii="Times New Roman" w:hAnsi="Times New Roman" w:cs="Times New Roman"/>
          <w:bCs/>
          <w:sz w:val="28"/>
          <w:szCs w:val="28"/>
        </w:rPr>
      </w:pPr>
      <w:r w:rsidRPr="004F0CF0">
        <w:rPr>
          <w:rFonts w:ascii="Times New Roman" w:hAnsi="Times New Roman" w:cs="Times New Roman"/>
          <w:bCs/>
          <w:sz w:val="28"/>
          <w:szCs w:val="28"/>
        </w:rPr>
        <w:t xml:space="preserve">15 380 890 </w:t>
      </w:r>
      <w:proofErr w:type="spellStart"/>
      <w:r w:rsidRPr="004F0CF0">
        <w:rPr>
          <w:rFonts w:ascii="Times New Roman" w:hAnsi="Times New Roman" w:cs="Times New Roman"/>
          <w:bCs/>
          <w:i/>
          <w:sz w:val="28"/>
          <w:szCs w:val="28"/>
        </w:rPr>
        <w:t>euro</w:t>
      </w:r>
      <w:proofErr w:type="spellEnd"/>
      <w:r w:rsidRPr="004F0CF0">
        <w:rPr>
          <w:rFonts w:ascii="Times New Roman" w:hAnsi="Times New Roman" w:cs="Times New Roman"/>
          <w:bCs/>
          <w:sz w:val="28"/>
          <w:szCs w:val="28"/>
        </w:rPr>
        <w:t xml:space="preserve"> apmērā no valsts budžeta 2021. – 2022.gadā.</w:t>
      </w:r>
    </w:p>
    <w:p w:rsidR="004F0CF0" w:rsidRDefault="004F0CF0" w:rsidP="006E7773">
      <w:pPr>
        <w:ind w:firstLine="720"/>
        <w:jc w:val="both"/>
        <w:rPr>
          <w:rFonts w:ascii="Times New Roman" w:hAnsi="Times New Roman" w:cs="Times New Roman"/>
          <w:sz w:val="28"/>
          <w:szCs w:val="28"/>
        </w:rPr>
      </w:pPr>
    </w:p>
    <w:p w:rsidR="007C723F" w:rsidRDefault="004F0CF0" w:rsidP="006E7773">
      <w:pPr>
        <w:ind w:firstLine="720"/>
        <w:jc w:val="both"/>
        <w:rPr>
          <w:rFonts w:ascii="Times New Roman" w:hAnsi="Times New Roman" w:cs="Times New Roman"/>
          <w:sz w:val="28"/>
          <w:szCs w:val="28"/>
        </w:rPr>
      </w:pPr>
      <w:r>
        <w:rPr>
          <w:rFonts w:ascii="Times New Roman" w:hAnsi="Times New Roman" w:cs="Times New Roman"/>
          <w:sz w:val="28"/>
          <w:szCs w:val="28"/>
        </w:rPr>
        <w:t>P</w:t>
      </w:r>
      <w:r w:rsidR="007C723F">
        <w:rPr>
          <w:rFonts w:ascii="Times New Roman" w:hAnsi="Times New Roman" w:cs="Times New Roman"/>
          <w:sz w:val="28"/>
          <w:szCs w:val="28"/>
        </w:rPr>
        <w:t xml:space="preserve">apildus no slimnīcas pašu līdzekļiem un citiem finansēšanas avotiem (t.sk. izmantojot privātās publiskās partnerības modeli) tiks risināti jautājumi par autostāvvietas </w:t>
      </w:r>
      <w:r w:rsidR="00BB24D8" w:rsidRPr="00BB24D8">
        <w:rPr>
          <w:rFonts w:ascii="Times New Roman" w:hAnsi="Times New Roman" w:cs="Times New Roman"/>
          <w:sz w:val="28"/>
          <w:szCs w:val="28"/>
        </w:rPr>
        <w:t>20</w:t>
      </w:r>
      <w:r w:rsidR="00F542D1">
        <w:rPr>
          <w:rFonts w:ascii="Times New Roman" w:hAnsi="Times New Roman" w:cs="Times New Roman"/>
          <w:sz w:val="28"/>
          <w:szCs w:val="28"/>
        </w:rPr>
        <w:t> </w:t>
      </w:r>
      <w:r w:rsidR="00BB24D8" w:rsidRPr="00BB24D8">
        <w:rPr>
          <w:rFonts w:ascii="Times New Roman" w:hAnsi="Times New Roman" w:cs="Times New Roman"/>
          <w:sz w:val="28"/>
          <w:szCs w:val="28"/>
        </w:rPr>
        <w:t>030 m² (541 automašīnu izvietošanai) izbūvi, kas ir nepieciešama, lai nodotu ekspluatācijā Slimnīcas A korpusa otro kārtu</w:t>
      </w:r>
      <w:r w:rsidR="00BB24D8">
        <w:rPr>
          <w:rFonts w:ascii="Times New Roman" w:hAnsi="Times New Roman" w:cs="Times New Roman"/>
          <w:sz w:val="28"/>
          <w:szCs w:val="28"/>
        </w:rPr>
        <w:t xml:space="preserve">, un par </w:t>
      </w:r>
      <w:r w:rsidR="00E503FE">
        <w:rPr>
          <w:rFonts w:ascii="Times New Roman" w:hAnsi="Times New Roman" w:cs="Times New Roman"/>
          <w:sz w:val="28"/>
          <w:szCs w:val="28"/>
        </w:rPr>
        <w:t>P</w:t>
      </w:r>
      <w:r w:rsidR="00BB24D8">
        <w:rPr>
          <w:rFonts w:ascii="Times New Roman" w:hAnsi="Times New Roman" w:cs="Times New Roman"/>
          <w:sz w:val="28"/>
          <w:szCs w:val="28"/>
        </w:rPr>
        <w:t>rojekta vadības kapacitātes nodrošināšanu</w:t>
      </w:r>
      <w:r w:rsidR="00BB24D8" w:rsidRPr="00BB24D8">
        <w:rPr>
          <w:rFonts w:ascii="Times New Roman" w:hAnsi="Times New Roman" w:cs="Times New Roman"/>
          <w:sz w:val="28"/>
          <w:szCs w:val="28"/>
        </w:rPr>
        <w:t xml:space="preserve">, piesaistot kompetentus speciālistus un izstrādājot tādu vadības sistēmu, kas ļaus minimizēt </w:t>
      </w:r>
      <w:r w:rsidR="00E503FE">
        <w:rPr>
          <w:rFonts w:ascii="Times New Roman" w:hAnsi="Times New Roman" w:cs="Times New Roman"/>
          <w:sz w:val="28"/>
          <w:szCs w:val="28"/>
        </w:rPr>
        <w:t>P</w:t>
      </w:r>
      <w:r w:rsidR="00BB24D8" w:rsidRPr="00BB24D8">
        <w:rPr>
          <w:rFonts w:ascii="Times New Roman" w:hAnsi="Times New Roman" w:cs="Times New Roman"/>
          <w:sz w:val="28"/>
          <w:szCs w:val="28"/>
        </w:rPr>
        <w:t>rojekta riskus.</w:t>
      </w:r>
    </w:p>
    <w:p w:rsidR="00BB24D8" w:rsidRDefault="00BB24D8" w:rsidP="006E7773">
      <w:pPr>
        <w:ind w:firstLine="720"/>
        <w:jc w:val="both"/>
        <w:rPr>
          <w:rFonts w:ascii="Times New Roman" w:hAnsi="Times New Roman" w:cs="Times New Roman"/>
          <w:sz w:val="28"/>
          <w:szCs w:val="28"/>
        </w:rPr>
      </w:pPr>
      <w:r>
        <w:rPr>
          <w:rFonts w:ascii="Times New Roman" w:hAnsi="Times New Roman" w:cs="Times New Roman"/>
          <w:sz w:val="28"/>
          <w:szCs w:val="28"/>
        </w:rPr>
        <w:t xml:space="preserve">Ņemot vērā ierobežoto laiku Slimnīcas </w:t>
      </w:r>
      <w:r w:rsidR="00E503FE">
        <w:rPr>
          <w:rFonts w:ascii="Times New Roman" w:hAnsi="Times New Roman" w:cs="Times New Roman"/>
          <w:sz w:val="28"/>
          <w:szCs w:val="28"/>
        </w:rPr>
        <w:t>P</w:t>
      </w:r>
      <w:r>
        <w:rPr>
          <w:rFonts w:ascii="Times New Roman" w:hAnsi="Times New Roman" w:cs="Times New Roman"/>
          <w:sz w:val="28"/>
          <w:szCs w:val="28"/>
        </w:rPr>
        <w:t xml:space="preserve">rojekta ieviešanai un to, ka ES fondu nosacījumi šobrīd neļauj piesaistīt finansējumu </w:t>
      </w:r>
      <w:r w:rsidR="00E503FE">
        <w:rPr>
          <w:rFonts w:ascii="Times New Roman" w:hAnsi="Times New Roman" w:cs="Times New Roman"/>
          <w:sz w:val="28"/>
          <w:szCs w:val="28"/>
        </w:rPr>
        <w:t>Proje</w:t>
      </w:r>
      <w:r>
        <w:rPr>
          <w:rFonts w:ascii="Times New Roman" w:hAnsi="Times New Roman" w:cs="Times New Roman"/>
          <w:sz w:val="28"/>
          <w:szCs w:val="28"/>
        </w:rPr>
        <w:t xml:space="preserve">ktam, līdz ES fondu finansējuma piesaistei nepieciešamo dokumentu apstiprināšanai </w:t>
      </w:r>
      <w:r w:rsidR="00E503FE">
        <w:rPr>
          <w:rFonts w:ascii="Times New Roman" w:hAnsi="Times New Roman" w:cs="Times New Roman"/>
          <w:sz w:val="28"/>
          <w:szCs w:val="28"/>
        </w:rPr>
        <w:t>Proje</w:t>
      </w:r>
      <w:r>
        <w:rPr>
          <w:rFonts w:ascii="Times New Roman" w:hAnsi="Times New Roman" w:cs="Times New Roman"/>
          <w:sz w:val="28"/>
          <w:szCs w:val="28"/>
        </w:rPr>
        <w:t xml:space="preserve">ktu paredzēts </w:t>
      </w:r>
      <w:proofErr w:type="spellStart"/>
      <w:r>
        <w:rPr>
          <w:rFonts w:ascii="Times New Roman" w:hAnsi="Times New Roman" w:cs="Times New Roman"/>
          <w:sz w:val="28"/>
          <w:szCs w:val="28"/>
        </w:rPr>
        <w:t>priekšfinansēt</w:t>
      </w:r>
      <w:proofErr w:type="spellEnd"/>
      <w:r>
        <w:rPr>
          <w:rFonts w:ascii="Times New Roman" w:hAnsi="Times New Roman" w:cs="Times New Roman"/>
          <w:sz w:val="28"/>
          <w:szCs w:val="28"/>
        </w:rPr>
        <w:t xml:space="preserve"> no valsts budžeta vēlāk refinansējot š</w:t>
      </w:r>
      <w:r w:rsidR="00F542D1">
        <w:rPr>
          <w:rFonts w:ascii="Times New Roman" w:hAnsi="Times New Roman" w:cs="Times New Roman"/>
          <w:sz w:val="28"/>
          <w:szCs w:val="28"/>
        </w:rPr>
        <w:t>ī</w:t>
      </w:r>
      <w:r>
        <w:rPr>
          <w:rFonts w:ascii="Times New Roman" w:hAnsi="Times New Roman" w:cs="Times New Roman"/>
          <w:sz w:val="28"/>
          <w:szCs w:val="28"/>
        </w:rPr>
        <w:t xml:space="preserve">s izmaksas no ES fondu finansējuma. </w:t>
      </w:r>
      <w:r w:rsidRPr="00BB24D8">
        <w:rPr>
          <w:rFonts w:ascii="Times New Roman" w:hAnsi="Times New Roman" w:cs="Times New Roman"/>
          <w:sz w:val="28"/>
          <w:szCs w:val="28"/>
        </w:rPr>
        <w:t xml:space="preserve">Lai mazinātu iespējamo ietekmi uz valsts budžetu, no valsts budžeta </w:t>
      </w:r>
      <w:r>
        <w:rPr>
          <w:rFonts w:ascii="Times New Roman" w:hAnsi="Times New Roman" w:cs="Times New Roman"/>
          <w:sz w:val="28"/>
          <w:szCs w:val="28"/>
        </w:rPr>
        <w:t>tiks finansētas</w:t>
      </w:r>
      <w:r w:rsidRPr="00BB24D8">
        <w:rPr>
          <w:rFonts w:ascii="Times New Roman" w:hAnsi="Times New Roman" w:cs="Times New Roman"/>
          <w:sz w:val="28"/>
          <w:szCs w:val="28"/>
        </w:rPr>
        <w:t xml:space="preserve"> tikai ar būvniecības projekta izstrādi saistītās izmaksas – </w:t>
      </w:r>
      <w:r w:rsidR="00294AC7" w:rsidRPr="00294AC7">
        <w:rPr>
          <w:rFonts w:ascii="Times New Roman" w:hAnsi="Times New Roman" w:cs="Times New Roman"/>
          <w:bCs/>
          <w:color w:val="000000"/>
          <w:sz w:val="28"/>
          <w:szCs w:val="28"/>
        </w:rPr>
        <w:t>3 423 635</w:t>
      </w:r>
      <w:r w:rsidR="00294AC7">
        <w:rPr>
          <w:bCs/>
          <w:color w:val="000000"/>
          <w:sz w:val="28"/>
          <w:szCs w:val="28"/>
        </w:rPr>
        <w:t xml:space="preserve"> </w:t>
      </w:r>
      <w:proofErr w:type="spellStart"/>
      <w:r w:rsidR="00E06857" w:rsidRPr="00E06857">
        <w:rPr>
          <w:rFonts w:ascii="Times New Roman" w:hAnsi="Times New Roman" w:cs="Times New Roman"/>
          <w:i/>
          <w:sz w:val="28"/>
          <w:szCs w:val="28"/>
        </w:rPr>
        <w:t>euro</w:t>
      </w:r>
      <w:proofErr w:type="spellEnd"/>
      <w:r w:rsidRPr="00BB24D8">
        <w:rPr>
          <w:rFonts w:ascii="Times New Roman" w:hAnsi="Times New Roman" w:cs="Times New Roman"/>
          <w:sz w:val="28"/>
          <w:szCs w:val="28"/>
        </w:rPr>
        <w:t xml:space="preserve"> (ar PVN) apmērā.</w:t>
      </w:r>
    </w:p>
    <w:p w:rsidR="006E7773" w:rsidRPr="00BB24D8" w:rsidRDefault="00F542D1" w:rsidP="00BB24D8">
      <w:pPr>
        <w:pStyle w:val="ListParagraph"/>
        <w:numPr>
          <w:ilvl w:val="0"/>
          <w:numId w:val="1"/>
        </w:numPr>
        <w:ind w:left="0" w:firstLine="0"/>
        <w:jc w:val="both"/>
        <w:rPr>
          <w:rFonts w:ascii="Times New Roman" w:hAnsi="Times New Roman" w:cs="Times New Roman"/>
          <w:sz w:val="28"/>
          <w:szCs w:val="28"/>
        </w:rPr>
      </w:pPr>
      <w:r>
        <w:rPr>
          <w:rFonts w:ascii="Times New Roman" w:hAnsi="Times New Roman" w:cs="Times New Roman"/>
          <w:b/>
          <w:bCs/>
          <w:sz w:val="28"/>
          <w:szCs w:val="28"/>
        </w:rPr>
        <w:t>P</w:t>
      </w:r>
      <w:r w:rsidR="00BB24D8" w:rsidRPr="006E7773">
        <w:rPr>
          <w:rFonts w:ascii="Times New Roman" w:hAnsi="Times New Roman" w:cs="Times New Roman"/>
          <w:b/>
          <w:bCs/>
          <w:sz w:val="28"/>
          <w:szCs w:val="28"/>
        </w:rPr>
        <w:t>ar</w:t>
      </w:r>
      <w:r w:rsidR="00BB24D8">
        <w:rPr>
          <w:rFonts w:ascii="Times New Roman" w:hAnsi="Times New Roman" w:cs="Times New Roman"/>
          <w:b/>
          <w:bCs/>
          <w:sz w:val="28"/>
          <w:szCs w:val="28"/>
        </w:rPr>
        <w:t xml:space="preserve"> Slimnīcas </w:t>
      </w:r>
      <w:r w:rsidR="00E503FE">
        <w:rPr>
          <w:rFonts w:ascii="Times New Roman" w:hAnsi="Times New Roman" w:cs="Times New Roman"/>
          <w:b/>
          <w:bCs/>
          <w:sz w:val="28"/>
          <w:szCs w:val="28"/>
        </w:rPr>
        <w:t>Proje</w:t>
      </w:r>
      <w:r w:rsidR="00BB24D8">
        <w:rPr>
          <w:rFonts w:ascii="Times New Roman" w:hAnsi="Times New Roman" w:cs="Times New Roman"/>
          <w:b/>
          <w:bCs/>
          <w:sz w:val="28"/>
          <w:szCs w:val="28"/>
        </w:rPr>
        <w:t>kta iepirkumu organizācijas nosacījumiem.</w:t>
      </w:r>
    </w:p>
    <w:p w:rsidR="00BB24D8" w:rsidRPr="00BB24D8" w:rsidRDefault="00BB24D8" w:rsidP="00BB24D8">
      <w:pPr>
        <w:ind w:firstLine="720"/>
        <w:jc w:val="both"/>
        <w:rPr>
          <w:rFonts w:ascii="Times New Roman" w:hAnsi="Times New Roman" w:cs="Times New Roman"/>
          <w:sz w:val="28"/>
          <w:szCs w:val="28"/>
        </w:rPr>
      </w:pPr>
      <w:r w:rsidRPr="00BB24D8">
        <w:rPr>
          <w:rFonts w:ascii="Times New Roman" w:hAnsi="Times New Roman" w:cs="Times New Roman"/>
          <w:sz w:val="28"/>
          <w:szCs w:val="28"/>
        </w:rPr>
        <w:t xml:space="preserve">Finanšu ministrijas un Iepirkuma uzraudzības biroja kopējā redzējumā par iespēju īstenot Slimnīcas </w:t>
      </w:r>
      <w:r w:rsidR="00E503FE">
        <w:rPr>
          <w:rFonts w:ascii="Times New Roman" w:hAnsi="Times New Roman" w:cs="Times New Roman"/>
          <w:sz w:val="28"/>
          <w:szCs w:val="28"/>
        </w:rPr>
        <w:t>Projektu</w:t>
      </w:r>
      <w:r w:rsidRPr="00BB24D8">
        <w:rPr>
          <w:rFonts w:ascii="Times New Roman" w:hAnsi="Times New Roman" w:cs="Times New Roman"/>
          <w:sz w:val="28"/>
          <w:szCs w:val="28"/>
        </w:rPr>
        <w:t xml:space="preserve"> ar minimizētiem finanšu riskiem tiek secināts, ka Slimnīca 2011.gadā 29.septembrī </w:t>
      </w:r>
      <w:r>
        <w:rPr>
          <w:rFonts w:ascii="Times New Roman" w:hAnsi="Times New Roman" w:cs="Times New Roman"/>
          <w:sz w:val="28"/>
          <w:szCs w:val="28"/>
        </w:rPr>
        <w:t>izsludinātajā</w:t>
      </w:r>
      <w:r w:rsidR="00E503FE">
        <w:rPr>
          <w:rFonts w:ascii="Times New Roman" w:hAnsi="Times New Roman" w:cs="Times New Roman"/>
          <w:sz w:val="28"/>
          <w:szCs w:val="28"/>
        </w:rPr>
        <w:t xml:space="preserve"> slēgtā konkursā</w:t>
      </w:r>
      <w:r w:rsidRPr="00BB24D8">
        <w:rPr>
          <w:rFonts w:ascii="Times New Roman" w:hAnsi="Times New Roman" w:cs="Times New Roman"/>
          <w:sz w:val="28"/>
          <w:szCs w:val="28"/>
        </w:rPr>
        <w:t xml:space="preserve"> “VSIA „Paula </w:t>
      </w:r>
      <w:r w:rsidRPr="00BB24D8">
        <w:rPr>
          <w:rFonts w:ascii="Times New Roman" w:hAnsi="Times New Roman" w:cs="Times New Roman"/>
          <w:sz w:val="28"/>
          <w:szCs w:val="28"/>
        </w:rPr>
        <w:lastRenderedPageBreak/>
        <w:t>Stradiņa klīniskā universitātes slimnīca” A korpusa projektēšana, autoruzraudzība, būvniecības darbu veikšana un iebūvējamo iekārtu piegāde, uzstādīšana un apkalpošana garantijas laikā” (turpmāk – Slēgts konkurss)</w:t>
      </w:r>
      <w:r w:rsidR="00E503FE">
        <w:rPr>
          <w:rFonts w:ascii="Times New Roman" w:hAnsi="Times New Roman" w:cs="Times New Roman"/>
          <w:sz w:val="28"/>
          <w:szCs w:val="28"/>
        </w:rPr>
        <w:t xml:space="preserve"> </w:t>
      </w:r>
      <w:r w:rsidRPr="00BB24D8">
        <w:rPr>
          <w:rFonts w:ascii="Times New Roman" w:hAnsi="Times New Roman" w:cs="Times New Roman"/>
          <w:sz w:val="28"/>
          <w:szCs w:val="28"/>
        </w:rPr>
        <w:t xml:space="preserve">ir paredzējusi iespēju slēgt līgumu par samazinātu apjomu un šo iespēju izmantojusi, noslēdzot iepirkuma līgumu par A korpusa </w:t>
      </w:r>
      <w:r w:rsidR="00E503FE">
        <w:rPr>
          <w:rFonts w:ascii="Times New Roman" w:hAnsi="Times New Roman" w:cs="Times New Roman"/>
          <w:sz w:val="28"/>
          <w:szCs w:val="28"/>
        </w:rPr>
        <w:t>1.</w:t>
      </w:r>
      <w:r w:rsidRPr="00BB24D8">
        <w:rPr>
          <w:rFonts w:ascii="Times New Roman" w:hAnsi="Times New Roman" w:cs="Times New Roman"/>
          <w:sz w:val="28"/>
          <w:szCs w:val="28"/>
        </w:rPr>
        <w:t xml:space="preserve">kārtas projektēšanu un būvniecību. Tā rezultātā nav pamatoti pēc vairākiem gadiem “atgriezties” iepirkuma procedūrā un piešķirt </w:t>
      </w:r>
      <w:r w:rsidR="00E503FE">
        <w:rPr>
          <w:rFonts w:ascii="Times New Roman" w:hAnsi="Times New Roman" w:cs="Times New Roman"/>
          <w:sz w:val="28"/>
          <w:szCs w:val="28"/>
        </w:rPr>
        <w:t>konkursa uzvarētājiem</w:t>
      </w:r>
      <w:r w:rsidRPr="00BB24D8">
        <w:rPr>
          <w:rFonts w:ascii="Times New Roman" w:hAnsi="Times New Roman" w:cs="Times New Roman"/>
          <w:sz w:val="28"/>
          <w:szCs w:val="28"/>
        </w:rPr>
        <w:t xml:space="preserve"> arī to iepirkuma daļu, no kuras Slimnīca atbilstoši nolikumā un uzaicinājumā noteiktajam atteicās, noslēdzot līgumu par samazinātu apjomu. Iepirkumu uzraudzības birojs nesecina, ka ir viennozīmīgi izsekojamas pasūtītāja tiesības slēgt papildu līgumu par A korpusa </w:t>
      </w:r>
      <w:r w:rsidR="00E503FE">
        <w:rPr>
          <w:rFonts w:ascii="Times New Roman" w:hAnsi="Times New Roman" w:cs="Times New Roman"/>
          <w:sz w:val="28"/>
          <w:szCs w:val="28"/>
        </w:rPr>
        <w:t>2.</w:t>
      </w:r>
      <w:r w:rsidRPr="00BB24D8">
        <w:rPr>
          <w:rFonts w:ascii="Times New Roman" w:hAnsi="Times New Roman" w:cs="Times New Roman"/>
          <w:sz w:val="28"/>
          <w:szCs w:val="28"/>
        </w:rPr>
        <w:t>kārtu, jo tādas nav noteiktas ne Slēgta konkursa ziņojumā, ne paziņojumā par iepirkuma procedūras rezultātiem, ne noslēgtajā iepirkuma līgumā. Situācija, kad ir konstatējams “aptuvens” pasūtītāja nodoms (kā tas faktiski ir konkrētajā situācijā), nevis skaidri atrunātas iespējas, no publisko iepirkumu regulējuma viedokļa vērtējama kā tāda, kad šādas iespējas tomēr nav noteiktas.</w:t>
      </w:r>
    </w:p>
    <w:p w:rsidR="00BB24D8" w:rsidRPr="00BB24D8" w:rsidRDefault="00BB24D8" w:rsidP="00BB24D8">
      <w:pPr>
        <w:ind w:firstLine="720"/>
        <w:jc w:val="both"/>
        <w:rPr>
          <w:rFonts w:ascii="Times New Roman" w:hAnsi="Times New Roman" w:cs="Times New Roman"/>
          <w:sz w:val="28"/>
          <w:szCs w:val="28"/>
        </w:rPr>
      </w:pPr>
      <w:r w:rsidRPr="00BB24D8">
        <w:rPr>
          <w:rFonts w:ascii="Times New Roman" w:hAnsi="Times New Roman" w:cs="Times New Roman"/>
          <w:sz w:val="28"/>
          <w:szCs w:val="28"/>
        </w:rPr>
        <w:t xml:space="preserve">Finanšu ministrijas un Iepirkuma uzraudzības biroja izvērtējumā norādīts, ka konkrētajā gadījumā, ja Slimnīca slēgtu līgumu par A korpusa </w:t>
      </w:r>
      <w:r w:rsidR="00E503FE">
        <w:rPr>
          <w:rFonts w:ascii="Times New Roman" w:hAnsi="Times New Roman" w:cs="Times New Roman"/>
          <w:sz w:val="28"/>
          <w:szCs w:val="28"/>
        </w:rPr>
        <w:t>2.</w:t>
      </w:r>
      <w:r w:rsidRPr="00BB24D8">
        <w:rPr>
          <w:rFonts w:ascii="Times New Roman" w:hAnsi="Times New Roman" w:cs="Times New Roman"/>
          <w:sz w:val="28"/>
          <w:szCs w:val="28"/>
        </w:rPr>
        <w:t xml:space="preserve">kārtas projektēšanu un būvniecību Slēgta konkursa ietvaros, ir ievērojams risks ar augstu varbūtības iestāšanās pakāpi un iespējamā “riska cena” 115,4 </w:t>
      </w:r>
      <w:proofErr w:type="spellStart"/>
      <w:r w:rsidRPr="00E503FE">
        <w:rPr>
          <w:rFonts w:ascii="Times New Roman" w:hAnsi="Times New Roman" w:cs="Times New Roman"/>
          <w:i/>
          <w:iCs/>
          <w:sz w:val="28"/>
          <w:szCs w:val="28"/>
        </w:rPr>
        <w:t>milj.euro</w:t>
      </w:r>
      <w:proofErr w:type="spellEnd"/>
      <w:r w:rsidRPr="00BB24D8">
        <w:rPr>
          <w:rFonts w:ascii="Times New Roman" w:hAnsi="Times New Roman" w:cs="Times New Roman"/>
          <w:sz w:val="28"/>
          <w:szCs w:val="28"/>
        </w:rPr>
        <w:t xml:space="preserve"> ar tieši negatīvu ietekmi uz valsts budžetu, kas ir nepieņemami augsta:</w:t>
      </w:r>
    </w:p>
    <w:p w:rsidR="00BB24D8" w:rsidRPr="00E503FE" w:rsidRDefault="00BB24D8" w:rsidP="00E503FE">
      <w:pPr>
        <w:pStyle w:val="ListParagraph"/>
        <w:numPr>
          <w:ilvl w:val="0"/>
          <w:numId w:val="3"/>
        </w:numPr>
        <w:jc w:val="both"/>
        <w:rPr>
          <w:rFonts w:ascii="Times New Roman" w:hAnsi="Times New Roman" w:cs="Times New Roman"/>
          <w:sz w:val="28"/>
          <w:szCs w:val="28"/>
        </w:rPr>
      </w:pPr>
      <w:r w:rsidRPr="00E503FE">
        <w:rPr>
          <w:rFonts w:ascii="Times New Roman" w:hAnsi="Times New Roman" w:cs="Times New Roman"/>
          <w:sz w:val="28"/>
          <w:szCs w:val="28"/>
        </w:rPr>
        <w:t>situācija var tikt vērtēta kā būtisks iepirkuma pārkāpums saistībā ar neatļautiem (prettiesiskiem) būtiskiem līguma grozījumiem;</w:t>
      </w:r>
    </w:p>
    <w:p w:rsidR="00BB24D8" w:rsidRPr="00BB24D8" w:rsidRDefault="00BB24D8" w:rsidP="00E503FE">
      <w:pPr>
        <w:pStyle w:val="ListParagraph"/>
        <w:numPr>
          <w:ilvl w:val="0"/>
          <w:numId w:val="3"/>
        </w:numPr>
        <w:jc w:val="both"/>
        <w:rPr>
          <w:rFonts w:ascii="Times New Roman" w:hAnsi="Times New Roman" w:cs="Times New Roman"/>
          <w:sz w:val="28"/>
          <w:szCs w:val="28"/>
        </w:rPr>
      </w:pPr>
      <w:r w:rsidRPr="00BB24D8">
        <w:rPr>
          <w:rFonts w:ascii="Times New Roman" w:hAnsi="Times New Roman" w:cs="Times New Roman"/>
          <w:sz w:val="28"/>
          <w:szCs w:val="28"/>
        </w:rPr>
        <w:t>saskaņā ar Eiropas Komisijas un attiecīgi Vadošās iestādes vadlīnijām</w:t>
      </w:r>
      <w:r w:rsidRPr="00E503FE">
        <w:rPr>
          <w:rFonts w:ascii="Times New Roman" w:hAnsi="Times New Roman" w:cs="Times New Roman"/>
          <w:sz w:val="28"/>
          <w:szCs w:val="28"/>
          <w:vertAlign w:val="superscript"/>
        </w:rPr>
        <w:footnoteReference w:id="1"/>
      </w:r>
      <w:r w:rsidRPr="00BB24D8">
        <w:rPr>
          <w:rFonts w:ascii="Times New Roman" w:hAnsi="Times New Roman" w:cs="Times New Roman"/>
          <w:sz w:val="28"/>
          <w:szCs w:val="28"/>
        </w:rPr>
        <w:t xml:space="preserve"> sagaidāma finanšu korekcija </w:t>
      </w:r>
      <w:r w:rsidR="00F32C0D" w:rsidRPr="00BB24D8">
        <w:rPr>
          <w:rFonts w:ascii="Times New Roman" w:hAnsi="Times New Roman" w:cs="Times New Roman"/>
          <w:sz w:val="28"/>
          <w:szCs w:val="28"/>
        </w:rPr>
        <w:t xml:space="preserve">ne tikai 100% </w:t>
      </w:r>
      <w:r w:rsidR="00F32C0D">
        <w:rPr>
          <w:rFonts w:ascii="Times New Roman" w:hAnsi="Times New Roman" w:cs="Times New Roman"/>
          <w:sz w:val="28"/>
          <w:szCs w:val="28"/>
        </w:rPr>
        <w:t>(</w:t>
      </w:r>
      <w:r w:rsidRPr="00BB24D8">
        <w:rPr>
          <w:rFonts w:ascii="Times New Roman" w:hAnsi="Times New Roman" w:cs="Times New Roman"/>
          <w:sz w:val="28"/>
          <w:szCs w:val="28"/>
        </w:rPr>
        <w:t xml:space="preserve">ES fondu publiskā atbalsta finansējuma samazinājums) (aptuveni 109,7 </w:t>
      </w:r>
      <w:proofErr w:type="spellStart"/>
      <w:r w:rsidRPr="00E503FE">
        <w:rPr>
          <w:rFonts w:ascii="Times New Roman" w:hAnsi="Times New Roman" w:cs="Times New Roman"/>
          <w:i/>
          <w:iCs/>
          <w:sz w:val="28"/>
          <w:szCs w:val="28"/>
        </w:rPr>
        <w:t>milj</w:t>
      </w:r>
      <w:r w:rsidR="00E503FE" w:rsidRPr="00E503FE">
        <w:rPr>
          <w:rFonts w:ascii="Times New Roman" w:hAnsi="Times New Roman" w:cs="Times New Roman"/>
          <w:i/>
          <w:iCs/>
          <w:sz w:val="28"/>
          <w:szCs w:val="28"/>
        </w:rPr>
        <w:t>.</w:t>
      </w:r>
      <w:r w:rsidRPr="00E503FE">
        <w:rPr>
          <w:rFonts w:ascii="Times New Roman" w:hAnsi="Times New Roman" w:cs="Times New Roman"/>
          <w:i/>
          <w:iCs/>
          <w:sz w:val="28"/>
          <w:szCs w:val="28"/>
        </w:rPr>
        <w:t>euro</w:t>
      </w:r>
      <w:proofErr w:type="spellEnd"/>
      <w:r w:rsidRPr="00E503FE">
        <w:rPr>
          <w:rFonts w:ascii="Times New Roman" w:hAnsi="Times New Roman" w:cs="Times New Roman"/>
          <w:sz w:val="28"/>
          <w:szCs w:val="28"/>
          <w:vertAlign w:val="superscript"/>
        </w:rPr>
        <w:footnoteReference w:id="2"/>
      </w:r>
      <w:r w:rsidRPr="00BB24D8">
        <w:rPr>
          <w:rFonts w:ascii="Times New Roman" w:hAnsi="Times New Roman" w:cs="Times New Roman"/>
          <w:sz w:val="28"/>
          <w:szCs w:val="28"/>
        </w:rPr>
        <w:t>) apmērā no papildus līguma summas, bet arī p</w:t>
      </w:r>
      <w:r w:rsidR="00E503FE">
        <w:rPr>
          <w:rFonts w:ascii="Times New Roman" w:hAnsi="Times New Roman" w:cs="Times New Roman"/>
          <w:sz w:val="28"/>
          <w:szCs w:val="28"/>
        </w:rPr>
        <w:t xml:space="preserve">apildus 25% (aptuveni 5,7 </w:t>
      </w:r>
      <w:proofErr w:type="spellStart"/>
      <w:r w:rsidR="00E503FE" w:rsidRPr="00E503FE">
        <w:rPr>
          <w:rFonts w:ascii="Times New Roman" w:hAnsi="Times New Roman" w:cs="Times New Roman"/>
          <w:i/>
          <w:iCs/>
          <w:sz w:val="28"/>
          <w:szCs w:val="28"/>
        </w:rPr>
        <w:t>milj.</w:t>
      </w:r>
      <w:r w:rsidRPr="00E503FE">
        <w:rPr>
          <w:rFonts w:ascii="Times New Roman" w:hAnsi="Times New Roman" w:cs="Times New Roman"/>
          <w:i/>
          <w:iCs/>
          <w:sz w:val="28"/>
          <w:szCs w:val="28"/>
        </w:rPr>
        <w:t>euro</w:t>
      </w:r>
      <w:proofErr w:type="spellEnd"/>
      <w:r w:rsidRPr="00BB24D8">
        <w:rPr>
          <w:rFonts w:ascii="Times New Roman" w:hAnsi="Times New Roman" w:cs="Times New Roman"/>
          <w:sz w:val="28"/>
          <w:szCs w:val="28"/>
        </w:rPr>
        <w:t>) apmērā no esošā līguma</w:t>
      </w:r>
      <w:r w:rsidR="00F32C0D">
        <w:rPr>
          <w:rFonts w:ascii="Times New Roman" w:hAnsi="Times New Roman" w:cs="Times New Roman"/>
          <w:sz w:val="28"/>
          <w:szCs w:val="28"/>
        </w:rPr>
        <w:t xml:space="preserve"> summas</w:t>
      </w:r>
      <w:r w:rsidRPr="00BB24D8">
        <w:rPr>
          <w:rFonts w:ascii="Times New Roman" w:hAnsi="Times New Roman" w:cs="Times New Roman"/>
          <w:sz w:val="28"/>
          <w:szCs w:val="28"/>
        </w:rPr>
        <w:t xml:space="preserve"> par pirmās kārtas projektēšanu un būvniecību, kas tiek īstenots 2007.-2013.gada plānošanas periodā.</w:t>
      </w:r>
    </w:p>
    <w:p w:rsidR="00BB24D8" w:rsidRDefault="00BB24D8" w:rsidP="00BB24D8">
      <w:pPr>
        <w:ind w:firstLine="720"/>
        <w:jc w:val="both"/>
        <w:rPr>
          <w:rFonts w:ascii="Times New Roman" w:hAnsi="Times New Roman" w:cs="Times New Roman"/>
          <w:sz w:val="28"/>
          <w:szCs w:val="28"/>
        </w:rPr>
      </w:pPr>
      <w:r w:rsidRPr="00BB24D8">
        <w:rPr>
          <w:rFonts w:ascii="Times New Roman" w:hAnsi="Times New Roman" w:cs="Times New Roman"/>
          <w:sz w:val="28"/>
          <w:szCs w:val="28"/>
        </w:rPr>
        <w:lastRenderedPageBreak/>
        <w:t xml:space="preserve">Ņemot vērā Finanšu ministrijas un Iepirkumu uzraudzības biroja identificēto finanšu risku 115,4 </w:t>
      </w:r>
      <w:proofErr w:type="spellStart"/>
      <w:r w:rsidRPr="00BB24D8">
        <w:rPr>
          <w:rFonts w:ascii="Times New Roman" w:hAnsi="Times New Roman" w:cs="Times New Roman"/>
          <w:sz w:val="28"/>
          <w:szCs w:val="28"/>
        </w:rPr>
        <w:t>milj.</w:t>
      </w:r>
      <w:r w:rsidR="00E06857" w:rsidRPr="00E06857">
        <w:rPr>
          <w:rFonts w:ascii="Times New Roman" w:hAnsi="Times New Roman" w:cs="Times New Roman"/>
          <w:i/>
          <w:sz w:val="28"/>
          <w:szCs w:val="28"/>
        </w:rPr>
        <w:t>euro</w:t>
      </w:r>
      <w:proofErr w:type="spellEnd"/>
      <w:r w:rsidRPr="00BB24D8">
        <w:rPr>
          <w:rFonts w:ascii="Times New Roman" w:hAnsi="Times New Roman" w:cs="Times New Roman"/>
          <w:sz w:val="28"/>
          <w:szCs w:val="28"/>
        </w:rPr>
        <w:t xml:space="preserve"> apmērā ar tieš</w:t>
      </w:r>
      <w:r w:rsidR="00F32C0D">
        <w:rPr>
          <w:rFonts w:ascii="Times New Roman" w:hAnsi="Times New Roman" w:cs="Times New Roman"/>
          <w:sz w:val="28"/>
          <w:szCs w:val="28"/>
        </w:rPr>
        <w:t>u</w:t>
      </w:r>
      <w:r w:rsidRPr="00BB24D8">
        <w:rPr>
          <w:rFonts w:ascii="Times New Roman" w:hAnsi="Times New Roman" w:cs="Times New Roman"/>
          <w:sz w:val="28"/>
          <w:szCs w:val="28"/>
        </w:rPr>
        <w:t xml:space="preserve"> negatīvu ietekmi uz valsts budžetu, secināms, ka Slēgta konkursa izmantošana jauno saistību uzņemšanai nav pieņemama. Tādējādi paredzēts organizēt jaun</w:t>
      </w:r>
      <w:r w:rsidR="00326038">
        <w:rPr>
          <w:rFonts w:ascii="Times New Roman" w:hAnsi="Times New Roman" w:cs="Times New Roman"/>
          <w:sz w:val="28"/>
          <w:szCs w:val="28"/>
        </w:rPr>
        <w:t>as</w:t>
      </w:r>
      <w:r w:rsidRPr="00BB24D8">
        <w:rPr>
          <w:rFonts w:ascii="Times New Roman" w:hAnsi="Times New Roman" w:cs="Times New Roman"/>
          <w:sz w:val="28"/>
          <w:szCs w:val="28"/>
        </w:rPr>
        <w:t xml:space="preserve"> iepirkumu procedūras, piesaistot būvprojekta izstrādātāju un būvdarbu veicēju konkursa kārtībā.</w:t>
      </w:r>
    </w:p>
    <w:p w:rsidR="00E503FE" w:rsidRPr="00E503FE" w:rsidRDefault="00326038" w:rsidP="00E503FE">
      <w:pPr>
        <w:pStyle w:val="ListParagraph"/>
        <w:numPr>
          <w:ilvl w:val="0"/>
          <w:numId w:val="1"/>
        </w:numPr>
        <w:ind w:left="0" w:firstLine="0"/>
        <w:jc w:val="both"/>
        <w:rPr>
          <w:rFonts w:ascii="Times New Roman" w:hAnsi="Times New Roman" w:cs="Times New Roman"/>
          <w:sz w:val="28"/>
          <w:szCs w:val="28"/>
        </w:rPr>
      </w:pPr>
      <w:r>
        <w:rPr>
          <w:rFonts w:ascii="Times New Roman" w:hAnsi="Times New Roman" w:cs="Times New Roman"/>
          <w:b/>
          <w:bCs/>
          <w:sz w:val="28"/>
          <w:szCs w:val="28"/>
        </w:rPr>
        <w:t>P</w:t>
      </w:r>
      <w:r w:rsidR="00E503FE" w:rsidRPr="006E7773">
        <w:rPr>
          <w:rFonts w:ascii="Times New Roman" w:hAnsi="Times New Roman" w:cs="Times New Roman"/>
          <w:b/>
          <w:bCs/>
          <w:sz w:val="28"/>
          <w:szCs w:val="28"/>
        </w:rPr>
        <w:t>ar</w:t>
      </w:r>
      <w:r w:rsidR="00E503FE">
        <w:rPr>
          <w:rFonts w:ascii="Times New Roman" w:hAnsi="Times New Roman" w:cs="Times New Roman"/>
          <w:b/>
          <w:bCs/>
          <w:sz w:val="28"/>
          <w:szCs w:val="28"/>
        </w:rPr>
        <w:t xml:space="preserve"> galveno veicamo darbu (procesa soļu), kas saistīti ar Slimnīcas Projektu, izpildes termiņiem un atbildīgajām amatpersonām.</w:t>
      </w:r>
    </w:p>
    <w:p w:rsidR="00E503FE" w:rsidRDefault="009F1DBF" w:rsidP="00E503FE">
      <w:pPr>
        <w:ind w:firstLine="720"/>
        <w:jc w:val="both"/>
        <w:rPr>
          <w:rFonts w:ascii="Times New Roman" w:hAnsi="Times New Roman" w:cs="Times New Roman"/>
          <w:sz w:val="28"/>
          <w:szCs w:val="28"/>
        </w:rPr>
      </w:pPr>
      <w:r>
        <w:rPr>
          <w:rFonts w:ascii="Times New Roman" w:hAnsi="Times New Roman" w:cs="Times New Roman"/>
          <w:sz w:val="28"/>
          <w:szCs w:val="28"/>
        </w:rPr>
        <w:t>Ziņojum</w:t>
      </w:r>
      <w:r w:rsidR="00326038">
        <w:rPr>
          <w:rFonts w:ascii="Times New Roman" w:hAnsi="Times New Roman" w:cs="Times New Roman"/>
          <w:sz w:val="28"/>
          <w:szCs w:val="28"/>
        </w:rPr>
        <w:t>ā</w:t>
      </w:r>
      <w:r>
        <w:rPr>
          <w:rFonts w:ascii="Times New Roman" w:hAnsi="Times New Roman" w:cs="Times New Roman"/>
          <w:sz w:val="28"/>
          <w:szCs w:val="28"/>
        </w:rPr>
        <w:t xml:space="preserve"> ir identificēti vairāki ar Slimnīcas Projekta virzību saistītie procesi, kuri jau tiek regulēti ārējos normatīvajos aktos, kā arī M</w:t>
      </w:r>
      <w:r w:rsidR="008E13EF">
        <w:rPr>
          <w:rFonts w:ascii="Times New Roman" w:hAnsi="Times New Roman" w:cs="Times New Roman"/>
          <w:sz w:val="28"/>
          <w:szCs w:val="28"/>
        </w:rPr>
        <w:t>inistru kabineta Sēdes protokolā</w:t>
      </w:r>
      <w:r>
        <w:rPr>
          <w:rFonts w:ascii="Times New Roman" w:hAnsi="Times New Roman" w:cs="Times New Roman"/>
          <w:sz w:val="28"/>
          <w:szCs w:val="28"/>
        </w:rPr>
        <w:t xml:space="preserve"> noteikti papildu uzdevumi, tai skaitā:</w:t>
      </w:r>
    </w:p>
    <w:p w:rsidR="009F1DBF" w:rsidRDefault="009F1DBF" w:rsidP="009F1DBF">
      <w:pPr>
        <w:pStyle w:val="ListParagraph"/>
        <w:numPr>
          <w:ilvl w:val="0"/>
          <w:numId w:val="3"/>
        </w:numPr>
        <w:jc w:val="both"/>
        <w:rPr>
          <w:rFonts w:ascii="Times New Roman" w:hAnsi="Times New Roman" w:cs="Times New Roman"/>
          <w:sz w:val="28"/>
          <w:szCs w:val="28"/>
        </w:rPr>
      </w:pPr>
      <w:r w:rsidRPr="009F1DBF">
        <w:rPr>
          <w:rFonts w:ascii="Times New Roman" w:hAnsi="Times New Roman" w:cs="Times New Roman"/>
          <w:sz w:val="28"/>
          <w:szCs w:val="28"/>
        </w:rPr>
        <w:t>Veselības ministrijai līdz 201</w:t>
      </w:r>
      <w:r w:rsidR="00DF27F8">
        <w:rPr>
          <w:rFonts w:ascii="Times New Roman" w:hAnsi="Times New Roman" w:cs="Times New Roman"/>
          <w:sz w:val="28"/>
          <w:szCs w:val="28"/>
        </w:rPr>
        <w:t>6</w:t>
      </w:r>
      <w:r w:rsidRPr="009F1DBF">
        <w:rPr>
          <w:rFonts w:ascii="Times New Roman" w:hAnsi="Times New Roman" w:cs="Times New Roman"/>
          <w:sz w:val="28"/>
          <w:szCs w:val="28"/>
        </w:rPr>
        <w:t xml:space="preserve">.gada 26.augustam izstrādāt un iesniegt zināšanai Ministru kabinetā rīcības plānu par Pasaules bankas pētījuma rezultātu integrēšanu nacionālajā politikas plānošanas sistēmā un </w:t>
      </w:r>
      <w:r w:rsidR="00326038">
        <w:rPr>
          <w:rFonts w:ascii="Times New Roman" w:hAnsi="Times New Roman" w:cs="Times New Roman"/>
          <w:sz w:val="28"/>
          <w:szCs w:val="28"/>
        </w:rPr>
        <w:t>ES</w:t>
      </w:r>
      <w:r w:rsidRPr="009F1DBF">
        <w:rPr>
          <w:rFonts w:ascii="Times New Roman" w:hAnsi="Times New Roman" w:cs="Times New Roman"/>
          <w:sz w:val="28"/>
          <w:szCs w:val="28"/>
        </w:rPr>
        <w:t xml:space="preserve"> fondu ieviešanas nosacījumos, tai skaitā nosākot rīcību attiecībā uz </w:t>
      </w:r>
      <w:r w:rsidR="00326038">
        <w:rPr>
          <w:rFonts w:ascii="Times New Roman" w:hAnsi="Times New Roman" w:cs="Times New Roman"/>
          <w:sz w:val="28"/>
          <w:szCs w:val="28"/>
        </w:rPr>
        <w:t>ES</w:t>
      </w:r>
      <w:r w:rsidRPr="009F1DBF">
        <w:rPr>
          <w:rFonts w:ascii="Times New Roman" w:hAnsi="Times New Roman" w:cs="Times New Roman"/>
          <w:sz w:val="28"/>
          <w:szCs w:val="28"/>
        </w:rPr>
        <w:t xml:space="preserve"> fondu p</w:t>
      </w:r>
      <w:r>
        <w:rPr>
          <w:rFonts w:ascii="Times New Roman" w:hAnsi="Times New Roman" w:cs="Times New Roman"/>
          <w:sz w:val="28"/>
          <w:szCs w:val="28"/>
        </w:rPr>
        <w:t>lānošanas dokumentu grozījumiem;</w:t>
      </w:r>
    </w:p>
    <w:p w:rsidR="009F1DBF" w:rsidRDefault="009F1DBF" w:rsidP="009F1DBF">
      <w:pPr>
        <w:pStyle w:val="ListParagraph"/>
        <w:numPr>
          <w:ilvl w:val="0"/>
          <w:numId w:val="3"/>
        </w:numPr>
        <w:jc w:val="both"/>
        <w:rPr>
          <w:rFonts w:ascii="Times New Roman" w:hAnsi="Times New Roman" w:cs="Times New Roman"/>
          <w:sz w:val="28"/>
          <w:szCs w:val="28"/>
        </w:rPr>
      </w:pPr>
      <w:r w:rsidRPr="009F1DBF">
        <w:rPr>
          <w:rFonts w:ascii="Times New Roman" w:hAnsi="Times New Roman" w:cs="Times New Roman"/>
          <w:sz w:val="28"/>
          <w:szCs w:val="28"/>
        </w:rPr>
        <w:t>Veselības ministrijai sadarbībā ar Finanšu ministriju</w:t>
      </w:r>
      <w:r w:rsidR="00326038">
        <w:rPr>
          <w:rFonts w:ascii="Times New Roman" w:hAnsi="Times New Roman" w:cs="Times New Roman"/>
          <w:sz w:val="28"/>
          <w:szCs w:val="28"/>
        </w:rPr>
        <w:t>,</w:t>
      </w:r>
      <w:r w:rsidRPr="009F1DBF">
        <w:rPr>
          <w:rFonts w:ascii="Times New Roman" w:hAnsi="Times New Roman" w:cs="Times New Roman"/>
          <w:sz w:val="28"/>
          <w:szCs w:val="28"/>
        </w:rPr>
        <w:t xml:space="preserve"> līdz slimnīcas lielā projekta iesnieguma iesniegšana</w:t>
      </w:r>
      <w:r w:rsidR="00326038">
        <w:rPr>
          <w:rFonts w:ascii="Times New Roman" w:hAnsi="Times New Roman" w:cs="Times New Roman"/>
          <w:sz w:val="28"/>
          <w:szCs w:val="28"/>
        </w:rPr>
        <w:t>i</w:t>
      </w:r>
      <w:r w:rsidRPr="009F1DBF">
        <w:rPr>
          <w:rFonts w:ascii="Times New Roman" w:hAnsi="Times New Roman" w:cs="Times New Roman"/>
          <w:sz w:val="28"/>
          <w:szCs w:val="28"/>
        </w:rPr>
        <w:t xml:space="preserve"> Centrālajā finanšu un līgumu aģentūrā</w:t>
      </w:r>
      <w:r w:rsidR="00326038">
        <w:rPr>
          <w:rFonts w:ascii="Times New Roman" w:hAnsi="Times New Roman" w:cs="Times New Roman"/>
          <w:sz w:val="28"/>
          <w:szCs w:val="28"/>
        </w:rPr>
        <w:t>,</w:t>
      </w:r>
      <w:r w:rsidRPr="009F1DBF">
        <w:rPr>
          <w:rFonts w:ascii="Times New Roman" w:hAnsi="Times New Roman" w:cs="Times New Roman"/>
          <w:sz w:val="28"/>
          <w:szCs w:val="28"/>
        </w:rPr>
        <w:t xml:space="preserve"> vienoties par projekta īstenošanas un uzraudzības kapacitātes stiprināšanas pasākumiem, tai skaitā par nepieciešamo kārtību un procedūru izstrādi projekta īstenošanas un uzr</w:t>
      </w:r>
      <w:r>
        <w:rPr>
          <w:rFonts w:ascii="Times New Roman" w:hAnsi="Times New Roman" w:cs="Times New Roman"/>
          <w:sz w:val="28"/>
          <w:szCs w:val="28"/>
        </w:rPr>
        <w:t>audzības procesa pilnveidošanai;</w:t>
      </w:r>
    </w:p>
    <w:p w:rsidR="009F1DBF" w:rsidRPr="009F1DBF" w:rsidRDefault="00326038" w:rsidP="009F1DBF">
      <w:pPr>
        <w:pStyle w:val="ListParagraph"/>
        <w:numPr>
          <w:ilvl w:val="0"/>
          <w:numId w:val="1"/>
        </w:numPr>
        <w:spacing w:before="240"/>
        <w:ind w:left="0" w:firstLine="0"/>
        <w:contextualSpacing w:val="0"/>
        <w:jc w:val="both"/>
        <w:rPr>
          <w:rFonts w:ascii="Times New Roman" w:hAnsi="Times New Roman" w:cs="Times New Roman"/>
          <w:sz w:val="28"/>
          <w:szCs w:val="28"/>
        </w:rPr>
      </w:pPr>
      <w:r>
        <w:rPr>
          <w:rFonts w:ascii="Times New Roman" w:hAnsi="Times New Roman" w:cs="Times New Roman"/>
          <w:b/>
          <w:bCs/>
          <w:sz w:val="28"/>
          <w:szCs w:val="28"/>
        </w:rPr>
        <w:t>P</w:t>
      </w:r>
      <w:r w:rsidR="009F1DBF" w:rsidRPr="006E7773">
        <w:rPr>
          <w:rFonts w:ascii="Times New Roman" w:hAnsi="Times New Roman" w:cs="Times New Roman"/>
          <w:b/>
          <w:bCs/>
          <w:sz w:val="28"/>
          <w:szCs w:val="28"/>
        </w:rPr>
        <w:t>ar</w:t>
      </w:r>
      <w:r w:rsidR="009F1DBF">
        <w:rPr>
          <w:rFonts w:ascii="Times New Roman" w:hAnsi="Times New Roman" w:cs="Times New Roman"/>
          <w:b/>
          <w:bCs/>
          <w:sz w:val="28"/>
          <w:szCs w:val="28"/>
        </w:rPr>
        <w:t xml:space="preserve"> Slimnīcas Projekta progresa atskaitēm.</w:t>
      </w:r>
    </w:p>
    <w:p w:rsidR="009F1DBF" w:rsidRPr="009F1DBF" w:rsidRDefault="00036E9C" w:rsidP="009F1DBF">
      <w:pPr>
        <w:ind w:firstLine="720"/>
        <w:jc w:val="both"/>
        <w:rPr>
          <w:rFonts w:ascii="Times New Roman" w:hAnsi="Times New Roman" w:cs="Times New Roman"/>
          <w:sz w:val="28"/>
          <w:szCs w:val="28"/>
        </w:rPr>
      </w:pPr>
      <w:r>
        <w:rPr>
          <w:rFonts w:ascii="Times New Roman" w:hAnsi="Times New Roman" w:cs="Times New Roman"/>
          <w:sz w:val="28"/>
          <w:szCs w:val="28"/>
        </w:rPr>
        <w:t xml:space="preserve">Slimnīcas Projekta </w:t>
      </w:r>
      <w:r w:rsidR="008E13EF">
        <w:rPr>
          <w:rFonts w:ascii="Times New Roman" w:hAnsi="Times New Roman" w:cs="Times New Roman"/>
          <w:sz w:val="28"/>
          <w:szCs w:val="28"/>
        </w:rPr>
        <w:t xml:space="preserve">ikdienas </w:t>
      </w:r>
      <w:r>
        <w:rPr>
          <w:rFonts w:ascii="Times New Roman" w:hAnsi="Times New Roman" w:cs="Times New Roman"/>
          <w:sz w:val="28"/>
          <w:szCs w:val="28"/>
        </w:rPr>
        <w:t>uzraudzība tiks nodrošināta atbilstoši ES fondu regulējumā par</w:t>
      </w:r>
      <w:r w:rsidR="008E13EF">
        <w:rPr>
          <w:rFonts w:ascii="Times New Roman" w:hAnsi="Times New Roman" w:cs="Times New Roman"/>
          <w:sz w:val="28"/>
          <w:szCs w:val="28"/>
        </w:rPr>
        <w:t>edzētajai uzraudzības kārtībai. Papildus Ministru kabineta Sēdes protokolā noteikts pienākums</w:t>
      </w:r>
      <w:r w:rsidR="00326038">
        <w:rPr>
          <w:rFonts w:ascii="Times New Roman" w:hAnsi="Times New Roman" w:cs="Times New Roman"/>
          <w:sz w:val="28"/>
          <w:szCs w:val="28"/>
        </w:rPr>
        <w:t>-</w:t>
      </w:r>
      <w:r w:rsidR="008E13EF">
        <w:rPr>
          <w:rFonts w:ascii="Times New Roman" w:hAnsi="Times New Roman" w:cs="Times New Roman"/>
          <w:sz w:val="28"/>
          <w:szCs w:val="28"/>
        </w:rPr>
        <w:t xml:space="preserve"> </w:t>
      </w:r>
      <w:r w:rsidR="008E13EF" w:rsidRPr="008E13EF">
        <w:rPr>
          <w:rFonts w:ascii="Times New Roman" w:hAnsi="Times New Roman" w:cs="Times New Roman"/>
          <w:sz w:val="28"/>
          <w:szCs w:val="28"/>
        </w:rPr>
        <w:t>Veselības ministrijai reizi gadā līdz 1.maijam izstrādāt un iesniegt zināšanai Ministru kabinetā progresa pārskatu par Slimnīcas A korpusa otrās kārtas īstenošanas gaitu iepriekšējā gadā</w:t>
      </w:r>
      <w:r w:rsidR="008E13EF">
        <w:rPr>
          <w:rFonts w:ascii="Times New Roman" w:hAnsi="Times New Roman" w:cs="Times New Roman"/>
          <w:sz w:val="28"/>
          <w:szCs w:val="28"/>
        </w:rPr>
        <w:t>.</w:t>
      </w:r>
    </w:p>
    <w:p w:rsidR="009F1DBF" w:rsidRPr="00E503FE" w:rsidRDefault="00326038" w:rsidP="009F1DBF">
      <w:pPr>
        <w:pStyle w:val="ListParagraph"/>
        <w:numPr>
          <w:ilvl w:val="0"/>
          <w:numId w:val="1"/>
        </w:numPr>
        <w:spacing w:before="240"/>
        <w:ind w:left="0" w:firstLine="0"/>
        <w:contextualSpacing w:val="0"/>
        <w:jc w:val="both"/>
        <w:rPr>
          <w:rFonts w:ascii="Times New Roman" w:hAnsi="Times New Roman" w:cs="Times New Roman"/>
          <w:sz w:val="28"/>
          <w:szCs w:val="28"/>
        </w:rPr>
      </w:pPr>
      <w:r>
        <w:rPr>
          <w:rFonts w:ascii="Times New Roman" w:hAnsi="Times New Roman" w:cs="Times New Roman"/>
          <w:b/>
          <w:bCs/>
          <w:sz w:val="28"/>
          <w:szCs w:val="28"/>
        </w:rPr>
        <w:t>P</w:t>
      </w:r>
      <w:r w:rsidR="009F1DBF" w:rsidRPr="009F1DBF">
        <w:rPr>
          <w:rFonts w:ascii="Times New Roman" w:hAnsi="Times New Roman" w:cs="Times New Roman"/>
          <w:b/>
          <w:bCs/>
          <w:sz w:val="28"/>
          <w:szCs w:val="28"/>
        </w:rPr>
        <w:t>ar</w:t>
      </w:r>
      <w:r w:rsidR="009F1DBF">
        <w:rPr>
          <w:rFonts w:ascii="Times New Roman" w:hAnsi="Times New Roman" w:cs="Times New Roman"/>
          <w:b/>
          <w:bCs/>
          <w:sz w:val="28"/>
          <w:szCs w:val="28"/>
        </w:rPr>
        <w:t xml:space="preserve"> citiem ar Slimnīcas Projektu saistītajiem nosacījumiem, kas uzlabos projekta realizācijas kvalitāti un paātrinās būvniecību.</w:t>
      </w:r>
      <w:r w:rsidR="009F1DBF" w:rsidRPr="009F1DBF">
        <w:rPr>
          <w:rFonts w:ascii="Times New Roman" w:hAnsi="Times New Roman" w:cs="Times New Roman"/>
          <w:sz w:val="28"/>
          <w:szCs w:val="28"/>
        </w:rPr>
        <w:t xml:space="preserve"> </w:t>
      </w:r>
    </w:p>
    <w:p w:rsidR="008E13EF" w:rsidRDefault="008E13EF" w:rsidP="008E13EF">
      <w:pPr>
        <w:ind w:firstLine="720"/>
        <w:jc w:val="both"/>
        <w:rPr>
          <w:rFonts w:ascii="Times New Roman" w:hAnsi="Times New Roman" w:cs="Times New Roman"/>
          <w:sz w:val="28"/>
          <w:szCs w:val="28"/>
        </w:rPr>
      </w:pPr>
      <w:r>
        <w:rPr>
          <w:rFonts w:ascii="Times New Roman" w:hAnsi="Times New Roman" w:cs="Times New Roman"/>
          <w:sz w:val="28"/>
          <w:szCs w:val="28"/>
        </w:rPr>
        <w:t>Papildus jau augstāk minētajam Ministru kabineta Sēdes protokola uzdevumi attiecībā uz Slimnīcas Projekta realizācijas kvalitātes un ātruma palielināšanu paredz:</w:t>
      </w:r>
    </w:p>
    <w:p w:rsidR="008E13EF" w:rsidRDefault="008E13EF" w:rsidP="008E13EF">
      <w:pPr>
        <w:pStyle w:val="ListParagraph"/>
        <w:numPr>
          <w:ilvl w:val="0"/>
          <w:numId w:val="3"/>
        </w:numPr>
        <w:jc w:val="both"/>
        <w:rPr>
          <w:rFonts w:ascii="Times New Roman" w:hAnsi="Times New Roman" w:cs="Times New Roman"/>
          <w:sz w:val="28"/>
          <w:szCs w:val="28"/>
        </w:rPr>
      </w:pPr>
      <w:r w:rsidRPr="009F1DBF">
        <w:rPr>
          <w:rFonts w:ascii="Times New Roman" w:hAnsi="Times New Roman" w:cs="Times New Roman"/>
          <w:sz w:val="28"/>
          <w:szCs w:val="28"/>
        </w:rPr>
        <w:lastRenderedPageBreak/>
        <w:t>Veselības ministrijai (</w:t>
      </w:r>
      <w:r>
        <w:rPr>
          <w:rFonts w:ascii="Times New Roman" w:hAnsi="Times New Roman" w:cs="Times New Roman"/>
          <w:sz w:val="28"/>
          <w:szCs w:val="28"/>
        </w:rPr>
        <w:t>S</w:t>
      </w:r>
      <w:r w:rsidRPr="009F1DBF">
        <w:rPr>
          <w:rFonts w:ascii="Times New Roman" w:hAnsi="Times New Roman" w:cs="Times New Roman"/>
          <w:sz w:val="28"/>
          <w:szCs w:val="28"/>
        </w:rPr>
        <w:t xml:space="preserve">limnīcai) līdz </w:t>
      </w:r>
      <w:r w:rsidR="00326038">
        <w:rPr>
          <w:rFonts w:ascii="Times New Roman" w:hAnsi="Times New Roman" w:cs="Times New Roman"/>
          <w:sz w:val="28"/>
          <w:szCs w:val="28"/>
        </w:rPr>
        <w:t>S</w:t>
      </w:r>
      <w:r w:rsidRPr="009F1DBF">
        <w:rPr>
          <w:rFonts w:ascii="Times New Roman" w:hAnsi="Times New Roman" w:cs="Times New Roman"/>
          <w:sz w:val="28"/>
          <w:szCs w:val="28"/>
        </w:rPr>
        <w:t xml:space="preserve">limnīcas lielā projekta iesnieguma </w:t>
      </w:r>
      <w:r w:rsidR="00ED3C81" w:rsidRPr="009F1DBF">
        <w:rPr>
          <w:rFonts w:ascii="Times New Roman" w:hAnsi="Times New Roman" w:cs="Times New Roman"/>
          <w:sz w:val="28"/>
          <w:szCs w:val="28"/>
        </w:rPr>
        <w:t>iesniegšan</w:t>
      </w:r>
      <w:r w:rsidR="00ED3C81">
        <w:rPr>
          <w:rFonts w:ascii="Times New Roman" w:hAnsi="Times New Roman" w:cs="Times New Roman"/>
          <w:sz w:val="28"/>
          <w:szCs w:val="28"/>
        </w:rPr>
        <w:t>ai</w:t>
      </w:r>
      <w:r w:rsidRPr="009F1DBF">
        <w:rPr>
          <w:rFonts w:ascii="Times New Roman" w:hAnsi="Times New Roman" w:cs="Times New Roman"/>
          <w:sz w:val="28"/>
          <w:szCs w:val="28"/>
        </w:rPr>
        <w:t xml:space="preserve"> Centrālajā finanšu un līgumu aģentūrā izveidot projekta sabiedriskās uzraudzības grupu vai pēc būtības līdzīgu uzraudzības padomi vai forumu, kas ļautu novērst un mazināt ar </w:t>
      </w:r>
      <w:r w:rsidR="00326038">
        <w:rPr>
          <w:rFonts w:ascii="Times New Roman" w:hAnsi="Times New Roman" w:cs="Times New Roman"/>
          <w:sz w:val="28"/>
          <w:szCs w:val="28"/>
        </w:rPr>
        <w:t>P</w:t>
      </w:r>
      <w:r w:rsidRPr="009F1DBF">
        <w:rPr>
          <w:rFonts w:ascii="Times New Roman" w:hAnsi="Times New Roman" w:cs="Times New Roman"/>
          <w:sz w:val="28"/>
          <w:szCs w:val="28"/>
        </w:rPr>
        <w:t>rojekta ieviešanu saistītos riskus un veicinātu atklātību un galveno ieinteresēt</w:t>
      </w:r>
      <w:r>
        <w:rPr>
          <w:rFonts w:ascii="Times New Roman" w:hAnsi="Times New Roman" w:cs="Times New Roman"/>
          <w:sz w:val="28"/>
          <w:szCs w:val="28"/>
        </w:rPr>
        <w:t>o partneru iesaisti un atbalstu;</w:t>
      </w:r>
    </w:p>
    <w:p w:rsidR="008E13EF" w:rsidRDefault="008E13EF" w:rsidP="008E13EF">
      <w:pPr>
        <w:pStyle w:val="ListParagraph"/>
        <w:numPr>
          <w:ilvl w:val="0"/>
          <w:numId w:val="3"/>
        </w:numPr>
        <w:jc w:val="both"/>
        <w:rPr>
          <w:rFonts w:ascii="Times New Roman" w:hAnsi="Times New Roman" w:cs="Times New Roman"/>
          <w:sz w:val="28"/>
          <w:szCs w:val="28"/>
        </w:rPr>
      </w:pPr>
      <w:r w:rsidRPr="009F1DBF">
        <w:rPr>
          <w:rFonts w:ascii="Times New Roman" w:hAnsi="Times New Roman" w:cs="Times New Roman"/>
          <w:sz w:val="28"/>
          <w:szCs w:val="28"/>
        </w:rPr>
        <w:t>Veselības ministrijai (</w:t>
      </w:r>
      <w:r>
        <w:rPr>
          <w:rFonts w:ascii="Times New Roman" w:hAnsi="Times New Roman" w:cs="Times New Roman"/>
          <w:sz w:val="28"/>
          <w:szCs w:val="28"/>
        </w:rPr>
        <w:t>S</w:t>
      </w:r>
      <w:r w:rsidRPr="009F1DBF">
        <w:rPr>
          <w:rFonts w:ascii="Times New Roman" w:hAnsi="Times New Roman" w:cs="Times New Roman"/>
          <w:sz w:val="28"/>
          <w:szCs w:val="28"/>
        </w:rPr>
        <w:t xml:space="preserve">limnīcai), izstrādājot lielā projekta iesniegumu, izmaksu un ieguvumu analīzē iekļaut informāciju par </w:t>
      </w:r>
      <w:r w:rsidR="00326038">
        <w:rPr>
          <w:rFonts w:ascii="Times New Roman" w:hAnsi="Times New Roman" w:cs="Times New Roman"/>
          <w:sz w:val="28"/>
          <w:szCs w:val="28"/>
        </w:rPr>
        <w:t>S</w:t>
      </w:r>
      <w:r w:rsidRPr="009F1DBF">
        <w:rPr>
          <w:rFonts w:ascii="Times New Roman" w:hAnsi="Times New Roman" w:cs="Times New Roman"/>
          <w:sz w:val="28"/>
          <w:szCs w:val="28"/>
        </w:rPr>
        <w:t>limnīcas uzturēšanas izmaksām projekta dzīves ciklā.</w:t>
      </w:r>
      <w:r w:rsidRPr="008E13EF">
        <w:rPr>
          <w:rFonts w:ascii="Times New Roman" w:hAnsi="Times New Roman" w:cs="Times New Roman"/>
          <w:sz w:val="28"/>
          <w:szCs w:val="28"/>
        </w:rPr>
        <w:t xml:space="preserve"> </w:t>
      </w:r>
    </w:p>
    <w:p w:rsidR="008E13EF" w:rsidRDefault="008E13EF" w:rsidP="008E13EF">
      <w:pPr>
        <w:pStyle w:val="BodyText"/>
        <w:tabs>
          <w:tab w:val="right" w:pos="9214"/>
        </w:tabs>
        <w:jc w:val="both"/>
        <w:rPr>
          <w:b w:val="0"/>
        </w:rPr>
      </w:pPr>
    </w:p>
    <w:p w:rsidR="008E13EF" w:rsidRDefault="008E13EF" w:rsidP="008E13EF">
      <w:pPr>
        <w:pStyle w:val="BodyText"/>
        <w:tabs>
          <w:tab w:val="right" w:pos="9214"/>
        </w:tabs>
        <w:jc w:val="both"/>
        <w:rPr>
          <w:b w:val="0"/>
        </w:rPr>
      </w:pPr>
    </w:p>
    <w:p w:rsidR="008E13EF" w:rsidRDefault="008E13EF" w:rsidP="008E13EF">
      <w:pPr>
        <w:pStyle w:val="BodyText"/>
        <w:tabs>
          <w:tab w:val="right" w:pos="9214"/>
        </w:tabs>
        <w:jc w:val="both"/>
        <w:rPr>
          <w:b w:val="0"/>
        </w:rPr>
      </w:pPr>
    </w:p>
    <w:p w:rsidR="008E13EF" w:rsidRPr="00051D72" w:rsidRDefault="008E13EF" w:rsidP="008E13EF">
      <w:pPr>
        <w:pStyle w:val="BodyText"/>
        <w:tabs>
          <w:tab w:val="right" w:pos="9072"/>
        </w:tabs>
        <w:jc w:val="both"/>
        <w:rPr>
          <w:b w:val="0"/>
        </w:rPr>
      </w:pPr>
      <w:r w:rsidRPr="00051D72">
        <w:rPr>
          <w:b w:val="0"/>
        </w:rPr>
        <w:t>Ministru prezident</w:t>
      </w:r>
      <w:r>
        <w:rPr>
          <w:b w:val="0"/>
        </w:rPr>
        <w:t>s</w:t>
      </w:r>
      <w:r w:rsidRPr="00051D72">
        <w:rPr>
          <w:b w:val="0"/>
        </w:rPr>
        <w:tab/>
      </w:r>
      <w:proofErr w:type="spellStart"/>
      <w:r>
        <w:rPr>
          <w:b w:val="0"/>
        </w:rPr>
        <w:t>M.Kučinskis</w:t>
      </w:r>
      <w:proofErr w:type="spellEnd"/>
    </w:p>
    <w:p w:rsidR="008E13EF" w:rsidRDefault="008E13EF" w:rsidP="008E13EF">
      <w:pPr>
        <w:pStyle w:val="BodyText"/>
        <w:tabs>
          <w:tab w:val="right" w:pos="9072"/>
        </w:tabs>
        <w:jc w:val="both"/>
        <w:rPr>
          <w:b w:val="0"/>
        </w:rPr>
      </w:pPr>
    </w:p>
    <w:p w:rsidR="008E13EF" w:rsidRDefault="008E13EF" w:rsidP="008E13EF">
      <w:pPr>
        <w:pStyle w:val="BodyText"/>
        <w:tabs>
          <w:tab w:val="right" w:pos="9072"/>
        </w:tabs>
        <w:jc w:val="both"/>
        <w:rPr>
          <w:b w:val="0"/>
        </w:rPr>
      </w:pPr>
    </w:p>
    <w:p w:rsidR="008E13EF" w:rsidRPr="008E13EF" w:rsidRDefault="008E13EF" w:rsidP="008E13EF">
      <w:pPr>
        <w:pStyle w:val="BodyText"/>
        <w:tabs>
          <w:tab w:val="right" w:pos="9072"/>
        </w:tabs>
        <w:jc w:val="both"/>
        <w:rPr>
          <w:b w:val="0"/>
        </w:rPr>
      </w:pPr>
    </w:p>
    <w:p w:rsidR="008E13EF" w:rsidRPr="008E13EF" w:rsidRDefault="008E13EF" w:rsidP="008E13EF">
      <w:pPr>
        <w:pStyle w:val="BodyText"/>
        <w:tabs>
          <w:tab w:val="right" w:pos="9072"/>
        </w:tabs>
        <w:jc w:val="both"/>
        <w:rPr>
          <w:b w:val="0"/>
        </w:rPr>
      </w:pPr>
      <w:r w:rsidRPr="008E13EF">
        <w:rPr>
          <w:b w:val="0"/>
        </w:rPr>
        <w:t>Veselības ministre</w:t>
      </w:r>
      <w:r w:rsidRPr="008E13EF">
        <w:rPr>
          <w:b w:val="0"/>
        </w:rPr>
        <w:tab/>
      </w:r>
      <w:proofErr w:type="spellStart"/>
      <w:r w:rsidRPr="008E13EF">
        <w:rPr>
          <w:b w:val="0"/>
        </w:rPr>
        <w:t>A.Čakša</w:t>
      </w:r>
      <w:proofErr w:type="spellEnd"/>
    </w:p>
    <w:p w:rsidR="008E13EF" w:rsidRDefault="008E13EF" w:rsidP="008E13EF">
      <w:pPr>
        <w:pStyle w:val="BodyText"/>
        <w:tabs>
          <w:tab w:val="right" w:pos="9072"/>
        </w:tabs>
        <w:jc w:val="both"/>
        <w:rPr>
          <w:b w:val="0"/>
        </w:rPr>
      </w:pPr>
    </w:p>
    <w:p w:rsidR="008E13EF" w:rsidRDefault="008E13EF" w:rsidP="008E13EF">
      <w:pPr>
        <w:pStyle w:val="BodyText"/>
        <w:tabs>
          <w:tab w:val="right" w:pos="9072"/>
        </w:tabs>
        <w:jc w:val="both"/>
        <w:rPr>
          <w:b w:val="0"/>
        </w:rPr>
      </w:pPr>
    </w:p>
    <w:p w:rsidR="008E13EF" w:rsidRPr="008E13EF" w:rsidRDefault="008E13EF" w:rsidP="008E13EF">
      <w:pPr>
        <w:pStyle w:val="BodyText"/>
        <w:tabs>
          <w:tab w:val="right" w:pos="9072"/>
        </w:tabs>
        <w:jc w:val="both"/>
        <w:rPr>
          <w:b w:val="0"/>
        </w:rPr>
      </w:pPr>
    </w:p>
    <w:p w:rsidR="008E13EF" w:rsidRDefault="00A71DA8" w:rsidP="008E13EF">
      <w:pPr>
        <w:pStyle w:val="BodyText"/>
        <w:tabs>
          <w:tab w:val="right" w:pos="9072"/>
        </w:tabs>
        <w:jc w:val="both"/>
        <w:rPr>
          <w:b w:val="0"/>
        </w:rPr>
      </w:pPr>
      <w:r>
        <w:rPr>
          <w:b w:val="0"/>
        </w:rPr>
        <w:t>V</w:t>
      </w:r>
      <w:r w:rsidR="008E13EF" w:rsidRPr="008E13EF">
        <w:rPr>
          <w:b w:val="0"/>
        </w:rPr>
        <w:t>alsts sekretār</w:t>
      </w:r>
      <w:r>
        <w:rPr>
          <w:b w:val="0"/>
        </w:rPr>
        <w:t>e</w:t>
      </w:r>
      <w:r w:rsidR="008E13EF" w:rsidRPr="008E13EF">
        <w:rPr>
          <w:b w:val="0"/>
        </w:rPr>
        <w:tab/>
      </w:r>
      <w:proofErr w:type="spellStart"/>
      <w:r>
        <w:rPr>
          <w:b w:val="0"/>
        </w:rPr>
        <w:t>S.Zvidriņa</w:t>
      </w:r>
      <w:proofErr w:type="spellEnd"/>
    </w:p>
    <w:p w:rsidR="008E13EF" w:rsidRDefault="008E13EF" w:rsidP="008E13EF">
      <w:pPr>
        <w:pStyle w:val="BodyText"/>
        <w:tabs>
          <w:tab w:val="right" w:pos="9072"/>
        </w:tabs>
        <w:jc w:val="both"/>
        <w:rPr>
          <w:b w:val="0"/>
        </w:rPr>
      </w:pPr>
    </w:p>
    <w:p w:rsidR="008E13EF" w:rsidRDefault="008E13EF" w:rsidP="008E13EF">
      <w:pPr>
        <w:pStyle w:val="BodyText"/>
        <w:tabs>
          <w:tab w:val="right" w:pos="9072"/>
        </w:tabs>
        <w:jc w:val="both"/>
        <w:rPr>
          <w:b w:val="0"/>
        </w:rPr>
      </w:pPr>
    </w:p>
    <w:p w:rsidR="008E13EF" w:rsidRDefault="008E13EF" w:rsidP="008E13EF">
      <w:pPr>
        <w:pStyle w:val="BodyText"/>
        <w:tabs>
          <w:tab w:val="right" w:pos="9072"/>
        </w:tabs>
        <w:jc w:val="both"/>
        <w:rPr>
          <w:b w:val="0"/>
        </w:rPr>
      </w:pPr>
    </w:p>
    <w:p w:rsidR="008E13EF" w:rsidRDefault="008E13EF" w:rsidP="008E13EF">
      <w:pPr>
        <w:pStyle w:val="BodyText"/>
        <w:tabs>
          <w:tab w:val="right" w:pos="9072"/>
        </w:tabs>
        <w:jc w:val="both"/>
        <w:rPr>
          <w:b w:val="0"/>
        </w:rPr>
      </w:pPr>
    </w:p>
    <w:p w:rsidR="00A57704" w:rsidRDefault="00A57704" w:rsidP="008E13EF">
      <w:pPr>
        <w:pStyle w:val="BodyText"/>
        <w:tabs>
          <w:tab w:val="right" w:pos="9072"/>
        </w:tabs>
        <w:jc w:val="both"/>
        <w:rPr>
          <w:b w:val="0"/>
        </w:rPr>
      </w:pPr>
    </w:p>
    <w:p w:rsidR="00A57704" w:rsidRDefault="00A57704" w:rsidP="008E13EF">
      <w:pPr>
        <w:pStyle w:val="BodyText"/>
        <w:tabs>
          <w:tab w:val="right" w:pos="9072"/>
        </w:tabs>
        <w:jc w:val="both"/>
        <w:rPr>
          <w:b w:val="0"/>
        </w:rPr>
      </w:pPr>
    </w:p>
    <w:p w:rsidR="00A57704" w:rsidRDefault="00A57704" w:rsidP="008E13EF">
      <w:pPr>
        <w:pStyle w:val="BodyText"/>
        <w:tabs>
          <w:tab w:val="right" w:pos="9072"/>
        </w:tabs>
        <w:jc w:val="both"/>
        <w:rPr>
          <w:b w:val="0"/>
        </w:rPr>
      </w:pPr>
    </w:p>
    <w:p w:rsidR="00A57704" w:rsidRDefault="00A57704" w:rsidP="008E13EF">
      <w:pPr>
        <w:pStyle w:val="BodyText"/>
        <w:tabs>
          <w:tab w:val="right" w:pos="9072"/>
        </w:tabs>
        <w:jc w:val="both"/>
        <w:rPr>
          <w:b w:val="0"/>
        </w:rPr>
      </w:pPr>
    </w:p>
    <w:p w:rsidR="00A57704" w:rsidRDefault="00A57704" w:rsidP="008E13EF">
      <w:pPr>
        <w:pStyle w:val="BodyText"/>
        <w:tabs>
          <w:tab w:val="right" w:pos="9072"/>
        </w:tabs>
        <w:jc w:val="both"/>
        <w:rPr>
          <w:b w:val="0"/>
        </w:rPr>
      </w:pPr>
    </w:p>
    <w:p w:rsidR="008E13EF" w:rsidRDefault="008E13EF" w:rsidP="008E13EF">
      <w:pPr>
        <w:pStyle w:val="BodyText"/>
        <w:tabs>
          <w:tab w:val="right" w:pos="9072"/>
        </w:tabs>
        <w:jc w:val="both"/>
        <w:rPr>
          <w:b w:val="0"/>
        </w:rPr>
      </w:pPr>
    </w:p>
    <w:p w:rsidR="008E13EF" w:rsidRDefault="008E13EF" w:rsidP="008E13EF">
      <w:pPr>
        <w:pStyle w:val="BodyText"/>
        <w:tabs>
          <w:tab w:val="right" w:pos="9072"/>
        </w:tabs>
        <w:jc w:val="both"/>
        <w:rPr>
          <w:b w:val="0"/>
        </w:rPr>
      </w:pPr>
    </w:p>
    <w:p w:rsidR="00A57704" w:rsidRPr="003F74C9" w:rsidRDefault="004F0CF0" w:rsidP="00A57704">
      <w:pPr>
        <w:pStyle w:val="BodyText"/>
        <w:tabs>
          <w:tab w:val="right" w:pos="9072"/>
        </w:tabs>
        <w:jc w:val="both"/>
        <w:rPr>
          <w:b w:val="0"/>
          <w:sz w:val="20"/>
          <w:szCs w:val="20"/>
          <w:lang w:val="en-US"/>
        </w:rPr>
      </w:pPr>
      <w:r>
        <w:rPr>
          <w:b w:val="0"/>
          <w:sz w:val="20"/>
          <w:szCs w:val="20"/>
        </w:rPr>
        <w:t>0</w:t>
      </w:r>
      <w:r w:rsidR="00A71DA8">
        <w:rPr>
          <w:b w:val="0"/>
          <w:sz w:val="20"/>
          <w:szCs w:val="20"/>
        </w:rPr>
        <w:t>8</w:t>
      </w:r>
      <w:r>
        <w:rPr>
          <w:b w:val="0"/>
          <w:sz w:val="20"/>
          <w:szCs w:val="20"/>
        </w:rPr>
        <w:t>.08</w:t>
      </w:r>
      <w:r w:rsidR="00A57704" w:rsidRPr="00A57704">
        <w:rPr>
          <w:b w:val="0"/>
          <w:sz w:val="20"/>
          <w:szCs w:val="20"/>
        </w:rPr>
        <w:t xml:space="preserve">.2016 </w:t>
      </w:r>
      <w:r w:rsidR="00A71DA8">
        <w:rPr>
          <w:b w:val="0"/>
          <w:sz w:val="20"/>
          <w:szCs w:val="20"/>
        </w:rPr>
        <w:t>15:49</w:t>
      </w:r>
    </w:p>
    <w:p w:rsidR="00A57704" w:rsidRDefault="004F0CF0" w:rsidP="00A57704">
      <w:pPr>
        <w:pStyle w:val="BodyText"/>
        <w:tabs>
          <w:tab w:val="right" w:pos="9072"/>
        </w:tabs>
        <w:jc w:val="both"/>
        <w:rPr>
          <w:b w:val="0"/>
          <w:sz w:val="20"/>
          <w:szCs w:val="20"/>
        </w:rPr>
      </w:pPr>
      <w:r w:rsidRPr="004F0CF0">
        <w:rPr>
          <w:b w:val="0"/>
          <w:sz w:val="20"/>
          <w:szCs w:val="20"/>
        </w:rPr>
        <w:t>11</w:t>
      </w:r>
      <w:r w:rsidR="00A71DA8">
        <w:rPr>
          <w:b w:val="0"/>
          <w:sz w:val="20"/>
          <w:szCs w:val="20"/>
        </w:rPr>
        <w:t>19</w:t>
      </w:r>
    </w:p>
    <w:p w:rsidR="00A57704" w:rsidRPr="00A57704" w:rsidRDefault="00A57704" w:rsidP="00A57704">
      <w:pPr>
        <w:pStyle w:val="BodyText"/>
        <w:tabs>
          <w:tab w:val="right" w:pos="9072"/>
        </w:tabs>
        <w:jc w:val="both"/>
        <w:rPr>
          <w:b w:val="0"/>
          <w:sz w:val="20"/>
          <w:szCs w:val="20"/>
        </w:rPr>
      </w:pPr>
    </w:p>
    <w:p w:rsidR="00A57704" w:rsidRPr="00A57704" w:rsidRDefault="00A57704" w:rsidP="00A57704">
      <w:pPr>
        <w:pStyle w:val="BodyText"/>
        <w:tabs>
          <w:tab w:val="right" w:pos="9072"/>
        </w:tabs>
        <w:jc w:val="both"/>
        <w:rPr>
          <w:b w:val="0"/>
          <w:sz w:val="20"/>
          <w:szCs w:val="20"/>
        </w:rPr>
      </w:pPr>
      <w:r w:rsidRPr="00A57704">
        <w:rPr>
          <w:b w:val="0"/>
          <w:sz w:val="20"/>
          <w:szCs w:val="20"/>
        </w:rPr>
        <w:t>J.Blaževičs</w:t>
      </w:r>
    </w:p>
    <w:p w:rsidR="00A57704" w:rsidRPr="00A57704" w:rsidRDefault="00A57704" w:rsidP="00A57704">
      <w:pPr>
        <w:pStyle w:val="BodyText"/>
        <w:tabs>
          <w:tab w:val="right" w:pos="9072"/>
        </w:tabs>
        <w:jc w:val="both"/>
        <w:rPr>
          <w:b w:val="0"/>
          <w:sz w:val="20"/>
          <w:szCs w:val="20"/>
        </w:rPr>
      </w:pPr>
      <w:r w:rsidRPr="00A57704">
        <w:rPr>
          <w:b w:val="0"/>
          <w:sz w:val="20"/>
          <w:szCs w:val="20"/>
        </w:rPr>
        <w:t>Investīciju un Eiropas Savienības fondu</w:t>
      </w:r>
    </w:p>
    <w:p w:rsidR="00A57704" w:rsidRPr="00A57704" w:rsidRDefault="00A57704" w:rsidP="00A57704">
      <w:pPr>
        <w:pStyle w:val="BodyText"/>
        <w:tabs>
          <w:tab w:val="right" w:pos="9072"/>
        </w:tabs>
        <w:jc w:val="both"/>
        <w:rPr>
          <w:b w:val="0"/>
          <w:sz w:val="20"/>
          <w:szCs w:val="20"/>
        </w:rPr>
      </w:pPr>
      <w:r w:rsidRPr="00A57704">
        <w:rPr>
          <w:b w:val="0"/>
          <w:sz w:val="20"/>
          <w:szCs w:val="20"/>
        </w:rPr>
        <w:t>uzraudzības departamenta direktors</w:t>
      </w:r>
    </w:p>
    <w:p w:rsidR="00A57704" w:rsidRPr="00A57704" w:rsidRDefault="00A57704" w:rsidP="00A57704">
      <w:pPr>
        <w:pStyle w:val="BodyText"/>
        <w:tabs>
          <w:tab w:val="right" w:pos="9072"/>
        </w:tabs>
        <w:jc w:val="both"/>
        <w:rPr>
          <w:b w:val="0"/>
          <w:sz w:val="20"/>
          <w:szCs w:val="20"/>
        </w:rPr>
      </w:pPr>
      <w:r w:rsidRPr="00A57704">
        <w:rPr>
          <w:b w:val="0"/>
          <w:sz w:val="20"/>
          <w:szCs w:val="20"/>
        </w:rPr>
        <w:t>Tālr.: 67876 046</w:t>
      </w:r>
    </w:p>
    <w:p w:rsidR="008E13EF" w:rsidRPr="00A57704" w:rsidRDefault="00A57704" w:rsidP="00A57704">
      <w:pPr>
        <w:pStyle w:val="BodyText"/>
        <w:tabs>
          <w:tab w:val="right" w:pos="9072"/>
        </w:tabs>
        <w:jc w:val="both"/>
        <w:rPr>
          <w:b w:val="0"/>
          <w:sz w:val="20"/>
          <w:szCs w:val="20"/>
        </w:rPr>
      </w:pPr>
      <w:r w:rsidRPr="00A57704">
        <w:rPr>
          <w:b w:val="0"/>
          <w:sz w:val="20"/>
          <w:szCs w:val="20"/>
        </w:rPr>
        <w:t>Jevgenijs.Blazevics@vm.gov.lv</w:t>
      </w:r>
    </w:p>
    <w:sectPr w:rsidR="008E13EF" w:rsidRPr="00A57704" w:rsidSect="006E7773">
      <w:headerReference w:type="default" r:id="rId7"/>
      <w:footerReference w:type="default" r:id="rId8"/>
      <w:pgSz w:w="11906" w:h="16838"/>
      <w:pgMar w:top="1134"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0D" w:rsidRDefault="00F32C0D" w:rsidP="00BB24D8">
      <w:pPr>
        <w:spacing w:after="0" w:line="240" w:lineRule="auto"/>
      </w:pPr>
      <w:r>
        <w:separator/>
      </w:r>
    </w:p>
  </w:endnote>
  <w:endnote w:type="continuationSeparator" w:id="0">
    <w:p w:rsidR="00F32C0D" w:rsidRDefault="00F32C0D" w:rsidP="00BB2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Unicode MS"/>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0D" w:rsidRPr="009F1DBF" w:rsidRDefault="00F32C0D" w:rsidP="009F1DBF">
    <w:pPr>
      <w:pStyle w:val="Footer"/>
      <w:jc w:val="both"/>
      <w:rPr>
        <w:rFonts w:ascii="Times New Roman" w:hAnsi="Times New Roman" w:cs="Times New Roman"/>
      </w:rPr>
    </w:pPr>
    <w:r w:rsidRPr="009F1DBF">
      <w:rPr>
        <w:rFonts w:ascii="Times New Roman" w:hAnsi="Times New Roman" w:cs="Times New Roman"/>
      </w:rPr>
      <w:t>VM</w:t>
    </w:r>
    <w:r>
      <w:rPr>
        <w:rFonts w:ascii="Times New Roman" w:hAnsi="Times New Roman" w:cs="Times New Roman"/>
      </w:rPr>
      <w:t>vest</w:t>
    </w:r>
    <w:r w:rsidRPr="009F1DBF">
      <w:rPr>
        <w:rFonts w:ascii="Times New Roman" w:hAnsi="Times New Roman" w:cs="Times New Roman"/>
      </w:rPr>
      <w:t>_</w:t>
    </w:r>
    <w:r w:rsidR="004F0CF0">
      <w:rPr>
        <w:rFonts w:ascii="Times New Roman" w:hAnsi="Times New Roman" w:cs="Times New Roman"/>
      </w:rPr>
      <w:t>0</w:t>
    </w:r>
    <w:r w:rsidR="00A71DA8">
      <w:rPr>
        <w:rFonts w:ascii="Times New Roman" w:hAnsi="Times New Roman" w:cs="Times New Roman"/>
      </w:rPr>
      <w:t>8</w:t>
    </w:r>
    <w:r w:rsidR="004F0CF0">
      <w:rPr>
        <w:rFonts w:ascii="Times New Roman" w:hAnsi="Times New Roman" w:cs="Times New Roman"/>
      </w:rPr>
      <w:t>08</w:t>
    </w:r>
    <w:r w:rsidRPr="009F1DBF">
      <w:rPr>
        <w:rFonts w:ascii="Times New Roman" w:hAnsi="Times New Roman" w:cs="Times New Roman"/>
      </w:rPr>
      <w:t>16_PSKUS_A2</w:t>
    </w:r>
    <w:r w:rsidRPr="009F1DBF">
      <w:rPr>
        <w:rFonts w:ascii="Times New Roman" w:hAnsi="Times New Roman" w:cs="Times New Roman"/>
        <w:b/>
        <w:bCs/>
      </w:rPr>
      <w:t xml:space="preserve">; </w:t>
    </w:r>
    <w:bookmarkStart w:id="0" w:name="OLE_LINK1"/>
    <w:bookmarkStart w:id="1" w:name="OLE_LINK2"/>
    <w:r w:rsidRPr="009F1DBF">
      <w:rPr>
        <w:rFonts w:ascii="Times New Roman" w:hAnsi="Times New Roman" w:cs="Times New Roman"/>
      </w:rPr>
      <w:t>Atbildes vēstules projekts uz Saeimas Sociālo un darba lietu komisijas un Publisko izdevumu un revīzijas komisijas 2016. gada 16. jūnija vēstuli Nr. 142.9/12-100-12/16 „Par P.Stradiņa Klīniskās universitātes slimnīcas A korpusa 2.kārtas būvniecību”</w:t>
    </w:r>
    <w:bookmarkEnd w:id="0"/>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0D" w:rsidRDefault="00F32C0D" w:rsidP="00BB24D8">
      <w:pPr>
        <w:spacing w:after="0" w:line="240" w:lineRule="auto"/>
      </w:pPr>
      <w:r>
        <w:separator/>
      </w:r>
    </w:p>
  </w:footnote>
  <w:footnote w:type="continuationSeparator" w:id="0">
    <w:p w:rsidR="00F32C0D" w:rsidRDefault="00F32C0D" w:rsidP="00BB24D8">
      <w:pPr>
        <w:spacing w:after="0" w:line="240" w:lineRule="auto"/>
      </w:pPr>
      <w:r>
        <w:continuationSeparator/>
      </w:r>
    </w:p>
  </w:footnote>
  <w:footnote w:id="1">
    <w:p w:rsidR="00F32C0D" w:rsidRPr="008F2FBB" w:rsidRDefault="00F32C0D" w:rsidP="00BB24D8">
      <w:pPr>
        <w:pStyle w:val="FootnoteText"/>
        <w:rPr>
          <w:lang w:val="lv-LV"/>
        </w:rPr>
      </w:pPr>
      <w:r>
        <w:rPr>
          <w:rStyle w:val="FootnoteReference"/>
        </w:rPr>
        <w:footnoteRef/>
      </w:r>
      <w:r w:rsidRPr="008F2FBB">
        <w:rPr>
          <w:lang w:val="lv-LV"/>
        </w:rPr>
        <w:t xml:space="preserve"> Eiropas Komisijas 19.12.2013. Vadlīniju par finanšu korekcijām iepirkumu pārkāpumu gadījumā 2.1.sadaļas 22.punkts </w:t>
      </w:r>
      <w:hyperlink r:id="rId1" w:history="1">
        <w:r w:rsidRPr="008F2FBB">
          <w:rPr>
            <w:rStyle w:val="Hyperlink"/>
            <w:lang w:val="lv-LV"/>
          </w:rPr>
          <w:t>http://ec.europa.eu/regional_policy/sources/docoffic/cocof/2013/cocof_13_9527_annexe_en.pdf</w:t>
        </w:r>
      </w:hyperlink>
      <w:r w:rsidRPr="008F2FBB">
        <w:rPr>
          <w:lang w:val="lv-LV"/>
        </w:rPr>
        <w:t xml:space="preserve">; Finanšu ministrijas 30.10.2015. vadlīniju Nr. 2.7.  Vadlīnijas par finanšu korekciju piemērošanu, ziņošanu par Eiropas Savienības fondu ieviešanā konstatētajām neatbilstībām, neatbilstoši veikto izdevumu atgūšanu 2014.-2020.gada plānošanas periodā 5.pielikuma 35.punkts - </w:t>
      </w:r>
      <w:hyperlink r:id="rId2" w:history="1">
        <w:r w:rsidRPr="008F2FBB">
          <w:rPr>
            <w:rStyle w:val="Hyperlink"/>
            <w:lang w:val="lv-LV"/>
          </w:rPr>
          <w:t>http://www.esfondi.lv/vadlinijas--skaidrojumi</w:t>
        </w:r>
      </w:hyperlink>
      <w:r w:rsidRPr="008F2FBB">
        <w:rPr>
          <w:lang w:val="lv-LV"/>
        </w:rPr>
        <w:t xml:space="preserve"> </w:t>
      </w:r>
    </w:p>
  </w:footnote>
  <w:footnote w:id="2">
    <w:p w:rsidR="00F32C0D" w:rsidRPr="008F2FBB" w:rsidRDefault="00F32C0D" w:rsidP="00BB24D8">
      <w:pPr>
        <w:pStyle w:val="FootnoteText"/>
        <w:rPr>
          <w:lang w:val="lv-LV"/>
        </w:rPr>
      </w:pPr>
      <w:r>
        <w:rPr>
          <w:rStyle w:val="FootnoteReference"/>
        </w:rPr>
        <w:footnoteRef/>
      </w:r>
      <w:r w:rsidRPr="008F2FBB">
        <w:rPr>
          <w:lang w:val="lv-LV"/>
        </w:rPr>
        <w:t xml:space="preserve"> Ja pieņem, ka otrās kārtas projektēšanas un būvniecības izmaksas ir 129,1 </w:t>
      </w:r>
      <w:proofErr w:type="spellStart"/>
      <w:r w:rsidRPr="008F2FBB">
        <w:rPr>
          <w:lang w:val="lv-LV"/>
        </w:rPr>
        <w:t>milj</w:t>
      </w:r>
      <w:proofErr w:type="spellEnd"/>
      <w:r w:rsidRPr="008F2FBB">
        <w:rPr>
          <w:lang w:val="lv-LV"/>
        </w:rPr>
        <w:t xml:space="preserve"> </w:t>
      </w:r>
      <w:proofErr w:type="spellStart"/>
      <w:r w:rsidRPr="008F2FBB">
        <w:rPr>
          <w:i/>
          <w:lang w:val="lv-LV"/>
        </w:rPr>
        <w:t>euro</w:t>
      </w:r>
      <w:proofErr w:type="spellEnd"/>
      <w:r w:rsidRPr="008F2FBB">
        <w:rPr>
          <w:i/>
          <w:lang w:val="lv-LV"/>
        </w:rPr>
        <w:t xml:space="preserve"> </w:t>
      </w:r>
      <w:r w:rsidRPr="008F2FBB">
        <w:rPr>
          <w:lang w:val="lv-LV"/>
        </w:rPr>
        <w:t>ar 85% ES fondu atbalsta likmi.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23219"/>
      <w:docPartObj>
        <w:docPartGallery w:val="Page Numbers (Top of Page)"/>
        <w:docPartUnique/>
      </w:docPartObj>
    </w:sdtPr>
    <w:sdtContent>
      <w:p w:rsidR="00F32C0D" w:rsidRDefault="00457923">
        <w:pPr>
          <w:pStyle w:val="Header"/>
          <w:jc w:val="center"/>
        </w:pPr>
        <w:fldSimple w:instr=" PAGE   \* MERGEFORMAT ">
          <w:r w:rsidR="00A71DA8">
            <w:rPr>
              <w:noProof/>
            </w:rPr>
            <w:t>5</w:t>
          </w:r>
        </w:fldSimple>
      </w:p>
    </w:sdtContent>
  </w:sdt>
  <w:p w:rsidR="00F32C0D" w:rsidRDefault="00F32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43958"/>
    <w:multiLevelType w:val="hybridMultilevel"/>
    <w:tmpl w:val="C1F09F06"/>
    <w:lvl w:ilvl="0" w:tplc="6E4CF176">
      <w:start w:val="1"/>
      <w:numFmt w:val="decimal"/>
      <w:lvlText w:val="[%1.]"/>
      <w:lvlJc w:val="left"/>
      <w:pPr>
        <w:ind w:left="644" w:hanging="360"/>
      </w:pPr>
      <w:rPr>
        <w:rFonts w:hint="default"/>
        <w:b w:val="0"/>
        <w:bCs/>
        <w:color w:val="auto"/>
      </w:rPr>
    </w:lvl>
    <w:lvl w:ilvl="1" w:tplc="04260005">
      <w:start w:val="1"/>
      <w:numFmt w:val="bullet"/>
      <w:lvlText w:val=""/>
      <w:lvlJc w:val="left"/>
      <w:pPr>
        <w:ind w:left="1364" w:hanging="360"/>
      </w:pPr>
      <w:rPr>
        <w:rFonts w:ascii="Wingdings" w:hAnsi="Wingdings" w:hint="default"/>
      </w:r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7888458F"/>
    <w:multiLevelType w:val="hybridMultilevel"/>
    <w:tmpl w:val="8500DFB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7DF503CA"/>
    <w:multiLevelType w:val="multilevel"/>
    <w:tmpl w:val="42A2A59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F28719D"/>
    <w:multiLevelType w:val="hybridMultilevel"/>
    <w:tmpl w:val="7A163246"/>
    <w:lvl w:ilvl="0" w:tplc="4A725A7A">
      <w:start w:val="9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7773"/>
    <w:rsid w:val="00036E9C"/>
    <w:rsid w:val="000B3B0B"/>
    <w:rsid w:val="00183653"/>
    <w:rsid w:val="00294AC7"/>
    <w:rsid w:val="002D57AB"/>
    <w:rsid w:val="00326038"/>
    <w:rsid w:val="0039064F"/>
    <w:rsid w:val="00391372"/>
    <w:rsid w:val="003F74C9"/>
    <w:rsid w:val="003F7FD9"/>
    <w:rsid w:val="00404E2D"/>
    <w:rsid w:val="00457923"/>
    <w:rsid w:val="004F0CF0"/>
    <w:rsid w:val="00572521"/>
    <w:rsid w:val="005D3A24"/>
    <w:rsid w:val="005F6A85"/>
    <w:rsid w:val="006003D8"/>
    <w:rsid w:val="00691D89"/>
    <w:rsid w:val="006A7DA2"/>
    <w:rsid w:val="006E7773"/>
    <w:rsid w:val="007C723F"/>
    <w:rsid w:val="007D6862"/>
    <w:rsid w:val="00832A03"/>
    <w:rsid w:val="00877645"/>
    <w:rsid w:val="00881BF7"/>
    <w:rsid w:val="0089241E"/>
    <w:rsid w:val="008D4445"/>
    <w:rsid w:val="008E13EF"/>
    <w:rsid w:val="00995FE4"/>
    <w:rsid w:val="009F1DBF"/>
    <w:rsid w:val="00A57704"/>
    <w:rsid w:val="00A71DA8"/>
    <w:rsid w:val="00AC0CE0"/>
    <w:rsid w:val="00B36851"/>
    <w:rsid w:val="00BB24D8"/>
    <w:rsid w:val="00C14894"/>
    <w:rsid w:val="00CB4122"/>
    <w:rsid w:val="00D40265"/>
    <w:rsid w:val="00D70CD6"/>
    <w:rsid w:val="00DA67A8"/>
    <w:rsid w:val="00DF18F8"/>
    <w:rsid w:val="00DF27F8"/>
    <w:rsid w:val="00E06857"/>
    <w:rsid w:val="00E2442F"/>
    <w:rsid w:val="00E47BAF"/>
    <w:rsid w:val="00E503FE"/>
    <w:rsid w:val="00EB47F5"/>
    <w:rsid w:val="00ED3C81"/>
    <w:rsid w:val="00EE2828"/>
    <w:rsid w:val="00EF1930"/>
    <w:rsid w:val="00F32C0D"/>
    <w:rsid w:val="00F542D1"/>
    <w:rsid w:val="00F715DA"/>
    <w:rsid w:val="00F94B98"/>
    <w:rsid w:val="00FB5848"/>
    <w:rsid w:val="00FC3B5E"/>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6E7773"/>
    <w:pPr>
      <w:ind w:left="720"/>
      <w:contextualSpacing/>
    </w:pPr>
  </w:style>
  <w:style w:type="character" w:customStyle="1" w:styleId="ListParagraphChar">
    <w:name w:val="List Paragraph Char"/>
    <w:aliases w:val="H&amp;P List Paragraph Char,2 Char"/>
    <w:basedOn w:val="DefaultParagraphFont"/>
    <w:link w:val="ListParagraph"/>
    <w:uiPriority w:val="34"/>
    <w:locked/>
    <w:rsid w:val="007C723F"/>
  </w:style>
  <w:style w:type="table" w:styleId="TableGrid">
    <w:name w:val="Table Grid"/>
    <w:basedOn w:val="TableNormal"/>
    <w:uiPriority w:val="59"/>
    <w:rsid w:val="007C723F"/>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24D8"/>
    <w:rPr>
      <w:rFonts w:cs="Times New Roman"/>
      <w:color w:val="0000FF"/>
      <w:u w:val="single"/>
    </w:rPr>
  </w:style>
  <w:style w:type="paragraph" w:styleId="FootnoteText">
    <w:name w:val="footnote text"/>
    <w:basedOn w:val="Normal"/>
    <w:link w:val="FootnoteTextChar"/>
    <w:semiHidden/>
    <w:unhideWhenUsed/>
    <w:rsid w:val="00BB24D8"/>
    <w:pPr>
      <w:widowControl w:val="0"/>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semiHidden/>
    <w:rsid w:val="00BB24D8"/>
    <w:rPr>
      <w:rFonts w:ascii="Times New Roman" w:eastAsia="Calibri" w:hAnsi="Times New Roman" w:cs="Times New Roman"/>
      <w:sz w:val="20"/>
      <w:szCs w:val="20"/>
      <w:lang w:val="en-US"/>
    </w:rPr>
  </w:style>
  <w:style w:type="character" w:styleId="FootnoteReference">
    <w:name w:val="footnote reference"/>
    <w:aliases w:val="Footnote Reference Number,Footnote symbol"/>
    <w:uiPriority w:val="99"/>
    <w:rsid w:val="00BB24D8"/>
    <w:rPr>
      <w:vertAlign w:val="superscript"/>
    </w:rPr>
  </w:style>
  <w:style w:type="paragraph" w:styleId="Header">
    <w:name w:val="header"/>
    <w:basedOn w:val="Normal"/>
    <w:link w:val="HeaderChar"/>
    <w:uiPriority w:val="99"/>
    <w:unhideWhenUsed/>
    <w:rsid w:val="009F1D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1DBF"/>
  </w:style>
  <w:style w:type="paragraph" w:styleId="Footer">
    <w:name w:val="footer"/>
    <w:basedOn w:val="Normal"/>
    <w:link w:val="FooterChar"/>
    <w:uiPriority w:val="99"/>
    <w:unhideWhenUsed/>
    <w:rsid w:val="009F1D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1DBF"/>
  </w:style>
  <w:style w:type="paragraph" w:styleId="BalloonText">
    <w:name w:val="Balloon Text"/>
    <w:basedOn w:val="Normal"/>
    <w:link w:val="BalloonTextChar"/>
    <w:uiPriority w:val="99"/>
    <w:semiHidden/>
    <w:unhideWhenUsed/>
    <w:rsid w:val="009F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BF"/>
    <w:rPr>
      <w:rFonts w:ascii="Tahoma" w:hAnsi="Tahoma" w:cs="Tahoma"/>
      <w:sz w:val="16"/>
      <w:szCs w:val="16"/>
    </w:rPr>
  </w:style>
  <w:style w:type="paragraph" w:styleId="BodyText">
    <w:name w:val="Body Text"/>
    <w:basedOn w:val="Normal"/>
    <w:link w:val="BodyTextChar"/>
    <w:rsid w:val="008E13EF"/>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8E13EF"/>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F542D1"/>
    <w:rPr>
      <w:sz w:val="16"/>
      <w:szCs w:val="16"/>
    </w:rPr>
  </w:style>
  <w:style w:type="paragraph" w:styleId="CommentText">
    <w:name w:val="annotation text"/>
    <w:basedOn w:val="Normal"/>
    <w:link w:val="CommentTextChar"/>
    <w:uiPriority w:val="99"/>
    <w:semiHidden/>
    <w:unhideWhenUsed/>
    <w:rsid w:val="00F542D1"/>
    <w:pPr>
      <w:spacing w:line="240" w:lineRule="auto"/>
    </w:pPr>
    <w:rPr>
      <w:sz w:val="20"/>
      <w:szCs w:val="20"/>
    </w:rPr>
  </w:style>
  <w:style w:type="character" w:customStyle="1" w:styleId="CommentTextChar">
    <w:name w:val="Comment Text Char"/>
    <w:basedOn w:val="DefaultParagraphFont"/>
    <w:link w:val="CommentText"/>
    <w:uiPriority w:val="99"/>
    <w:semiHidden/>
    <w:rsid w:val="00F542D1"/>
    <w:rPr>
      <w:sz w:val="20"/>
      <w:szCs w:val="20"/>
    </w:rPr>
  </w:style>
  <w:style w:type="paragraph" w:styleId="CommentSubject">
    <w:name w:val="annotation subject"/>
    <w:basedOn w:val="CommentText"/>
    <w:next w:val="CommentText"/>
    <w:link w:val="CommentSubjectChar"/>
    <w:uiPriority w:val="99"/>
    <w:semiHidden/>
    <w:unhideWhenUsed/>
    <w:rsid w:val="00F542D1"/>
    <w:rPr>
      <w:b/>
      <w:bCs/>
    </w:rPr>
  </w:style>
  <w:style w:type="character" w:customStyle="1" w:styleId="CommentSubjectChar">
    <w:name w:val="Comment Subject Char"/>
    <w:basedOn w:val="CommentTextChar"/>
    <w:link w:val="CommentSubject"/>
    <w:uiPriority w:val="99"/>
    <w:semiHidden/>
    <w:rsid w:val="00F542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vadlinijas--skaidrojumi" TargetMode="External"/><Relationship Id="rId1" Type="http://schemas.openxmlformats.org/officeDocument/2006/relationships/hyperlink" Target="http://ec.europa.eu/regional_policy/sources/docoffic/cocof/2013/cocof_13_9527_annex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5354</Words>
  <Characters>3052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Atbildes vēstules projekts uz Saeimas Sociālo un darba lietu komisijas un Publisko izdevumu un revīzijas komisijas 2016. gada 16. jūnija vēstuli Nr. 142.9/12-100-12/16 „Par P.Stradiņa Klīniskās universitātes slimnīcas A korpusa 2.kārtas būvniecību”</vt:lpstr>
    </vt:vector>
  </TitlesOfParts>
  <Company>VM</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vēstules projekts uz Saeimas Sociālo un darba lietu komisijas un Publisko izdevumu un revīzijas komisijas 2016. gada 16. jūnija vēstuli Nr. 142.9/12-100-12/16 „Par P.Stradiņa Klīniskās universitātes slimnīcas A korpusa 2.kārtas būvniecību”</dc:title>
  <dc:subject>Atbildes vēstules projekts</dc:subject>
  <dc:creator>Veselības ministrija</dc:creator>
  <dc:description>Jevgenijs Blaževičs
Tālr.:  67876 046
Jevgenijs.Blazevics@vm.gov.lv</dc:description>
  <cp:lastModifiedBy>atomsone</cp:lastModifiedBy>
  <cp:revision>8</cp:revision>
  <cp:lastPrinted>2016-07-15T08:36:00Z</cp:lastPrinted>
  <dcterms:created xsi:type="dcterms:W3CDTF">2016-07-15T13:11:00Z</dcterms:created>
  <dcterms:modified xsi:type="dcterms:W3CDTF">2016-08-08T12:49:00Z</dcterms:modified>
</cp:coreProperties>
</file>