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D0D" w:rsidRPr="00BD566E" w:rsidRDefault="00A56D0D" w:rsidP="00A56D0D">
      <w:pPr>
        <w:pStyle w:val="naislab"/>
        <w:spacing w:before="0" w:beforeAutospacing="0" w:after="0" w:afterAutospacing="0"/>
        <w:jc w:val="center"/>
        <w:rPr>
          <w:b/>
          <w:lang w:val="lv-LV"/>
        </w:rPr>
      </w:pPr>
      <w:r w:rsidRPr="00BD566E">
        <w:rPr>
          <w:b/>
          <w:lang w:val="lv-LV"/>
        </w:rPr>
        <w:t>Ministru kabineta noteikumu projekta</w:t>
      </w:r>
    </w:p>
    <w:p w:rsidR="00A56D0D" w:rsidRPr="00BD566E" w:rsidRDefault="00A56D0D" w:rsidP="00A56D0D">
      <w:pPr>
        <w:jc w:val="center"/>
        <w:rPr>
          <w:b/>
          <w:szCs w:val="28"/>
          <w:lang w:val="lv-LV"/>
        </w:rPr>
      </w:pPr>
      <w:r w:rsidRPr="00BD566E">
        <w:rPr>
          <w:b/>
          <w:bCs/>
          <w:lang w:val="lv-LV"/>
        </w:rPr>
        <w:t>„</w:t>
      </w:r>
      <w:bookmarkStart w:id="0" w:name="OLE_LINK7"/>
      <w:bookmarkStart w:id="1" w:name="OLE_LINK8"/>
      <w:r w:rsidRPr="00BD566E">
        <w:rPr>
          <w:b/>
          <w:szCs w:val="28"/>
          <w:lang w:val="lv-LV"/>
        </w:rPr>
        <w:t xml:space="preserve">Grozījumi Ministru kabineta 2010.gada 2.februāra noteikumos </w:t>
      </w:r>
    </w:p>
    <w:p w:rsidR="00A56D0D" w:rsidRPr="00BD566E" w:rsidRDefault="00A56D0D" w:rsidP="00A56D0D">
      <w:pPr>
        <w:jc w:val="center"/>
        <w:rPr>
          <w:lang w:val="lv-LV"/>
        </w:rPr>
      </w:pPr>
      <w:r w:rsidRPr="00BD566E">
        <w:rPr>
          <w:b/>
          <w:szCs w:val="28"/>
          <w:lang w:val="lv-LV"/>
        </w:rPr>
        <w:t>Nr.104 „Pārtikas uzņēmumu atzīšanas un reģistrācijas kārtība””</w:t>
      </w:r>
    </w:p>
    <w:p w:rsidR="00A56D0D" w:rsidRDefault="00A56D0D" w:rsidP="00A56D0D">
      <w:pPr>
        <w:pStyle w:val="naisf"/>
        <w:spacing w:before="0" w:beforeAutospacing="0" w:after="0" w:afterAutospacing="0"/>
        <w:jc w:val="center"/>
        <w:rPr>
          <w:b/>
          <w:lang w:val="lv-LV"/>
        </w:rPr>
      </w:pPr>
      <w:r w:rsidRPr="00BD566E">
        <w:rPr>
          <w:b/>
          <w:lang w:val="lv-LV"/>
        </w:rPr>
        <w:t>sākotnējās ietekmes novērtējuma ziņojums</w:t>
      </w:r>
      <w:r w:rsidRPr="00BD566E">
        <w:rPr>
          <w:b/>
          <w:bCs/>
          <w:lang w:val="lv-LV"/>
        </w:rPr>
        <w:t xml:space="preserve"> (anotācija)</w:t>
      </w:r>
    </w:p>
    <w:p w:rsidR="00A56D0D" w:rsidRPr="00A5142F" w:rsidRDefault="00A56D0D" w:rsidP="00A56D0D">
      <w:pPr>
        <w:pStyle w:val="naisf"/>
        <w:spacing w:before="0" w:beforeAutospacing="0" w:after="0" w:afterAutospacing="0"/>
        <w:jc w:val="center"/>
        <w:rPr>
          <w:b/>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2552"/>
        <w:gridCol w:w="6125"/>
      </w:tblGrid>
      <w:tr w:rsidR="00A56D0D" w:rsidRPr="00381B0F" w:rsidTr="0086291C">
        <w:tc>
          <w:tcPr>
            <w:tcW w:w="5000" w:type="pct"/>
            <w:gridSpan w:val="3"/>
            <w:vAlign w:val="center"/>
          </w:tcPr>
          <w:bookmarkEnd w:id="0"/>
          <w:bookmarkEnd w:id="1"/>
          <w:p w:rsidR="00A56D0D" w:rsidRPr="00BD566E" w:rsidRDefault="00A56D0D" w:rsidP="0086291C">
            <w:pPr>
              <w:jc w:val="center"/>
              <w:rPr>
                <w:b/>
                <w:bCs/>
                <w:lang w:val="lv-LV" w:eastAsia="lv-LV"/>
              </w:rPr>
            </w:pPr>
            <w:r w:rsidRPr="00BD566E">
              <w:rPr>
                <w:b/>
                <w:bCs/>
                <w:lang w:val="lv-LV" w:eastAsia="lv-LV"/>
              </w:rPr>
              <w:t>I. Tiesību akta projekta izstrādes nepieciešamība</w:t>
            </w:r>
          </w:p>
        </w:tc>
      </w:tr>
      <w:tr w:rsidR="00A56D0D" w:rsidRPr="00381B0F" w:rsidTr="0086291C">
        <w:tc>
          <w:tcPr>
            <w:tcW w:w="250" w:type="pct"/>
          </w:tcPr>
          <w:p w:rsidR="00A56D0D" w:rsidRPr="00BD566E" w:rsidRDefault="00A56D0D" w:rsidP="0086291C">
            <w:pPr>
              <w:jc w:val="center"/>
              <w:rPr>
                <w:lang w:val="lv-LV" w:eastAsia="lv-LV"/>
              </w:rPr>
            </w:pPr>
            <w:r w:rsidRPr="00BD566E">
              <w:rPr>
                <w:lang w:val="lv-LV" w:eastAsia="lv-LV"/>
              </w:rPr>
              <w:t>1.</w:t>
            </w:r>
          </w:p>
        </w:tc>
        <w:tc>
          <w:tcPr>
            <w:tcW w:w="1397" w:type="pct"/>
          </w:tcPr>
          <w:p w:rsidR="00A56D0D" w:rsidRPr="00BD566E" w:rsidRDefault="00A56D0D" w:rsidP="0086291C">
            <w:pPr>
              <w:jc w:val="both"/>
              <w:rPr>
                <w:lang w:val="lv-LV" w:eastAsia="lv-LV"/>
              </w:rPr>
            </w:pPr>
            <w:r w:rsidRPr="00BD566E">
              <w:rPr>
                <w:lang w:val="lv-LV" w:eastAsia="lv-LV"/>
              </w:rPr>
              <w:t>Pamatojums</w:t>
            </w:r>
          </w:p>
        </w:tc>
        <w:tc>
          <w:tcPr>
            <w:tcW w:w="3353" w:type="pct"/>
          </w:tcPr>
          <w:p w:rsidR="00CD141A" w:rsidRPr="00CD141A" w:rsidRDefault="0064015B" w:rsidP="00CD141A">
            <w:pPr>
              <w:pStyle w:val="izdotisask"/>
              <w:widowControl w:val="0"/>
              <w:jc w:val="both"/>
              <w:outlineLvl w:val="0"/>
              <w:rPr>
                <w:iCs/>
                <w:sz w:val="24"/>
              </w:rPr>
            </w:pPr>
            <w:hyperlink r:id="rId6" w:tgtFrame="_blank" w:history="1">
              <w:r w:rsidR="00CD141A" w:rsidRPr="00CD141A">
                <w:rPr>
                  <w:iCs/>
                  <w:sz w:val="24"/>
                </w:rPr>
                <w:t>Pārtikas aprites uzraudzības likuma</w:t>
              </w:r>
            </w:hyperlink>
            <w:r w:rsidR="00CD141A" w:rsidRPr="00CD141A">
              <w:rPr>
                <w:iCs/>
                <w:sz w:val="24"/>
              </w:rPr>
              <w:t xml:space="preserve"> </w:t>
            </w:r>
            <w:hyperlink r:id="rId7" w:anchor="p5" w:tgtFrame="_blank" w:history="1">
              <w:r w:rsidR="00CD141A" w:rsidRPr="00CD141A">
                <w:rPr>
                  <w:iCs/>
                  <w:sz w:val="24"/>
                </w:rPr>
                <w:t>5. panta</w:t>
              </w:r>
            </w:hyperlink>
            <w:r w:rsidR="00CD141A" w:rsidRPr="00CD141A">
              <w:rPr>
                <w:iCs/>
                <w:sz w:val="24"/>
              </w:rPr>
              <w:t xml:space="preserve"> ceturt</w:t>
            </w:r>
            <w:r w:rsidR="00381B0F">
              <w:rPr>
                <w:iCs/>
                <w:sz w:val="24"/>
              </w:rPr>
              <w:t>ā</w:t>
            </w:r>
            <w:r w:rsidR="00CD141A" w:rsidRPr="00CD141A">
              <w:rPr>
                <w:iCs/>
                <w:sz w:val="24"/>
              </w:rPr>
              <w:t xml:space="preserve"> daļ</w:t>
            </w:r>
            <w:r w:rsidR="00381B0F">
              <w:rPr>
                <w:iCs/>
                <w:sz w:val="24"/>
              </w:rPr>
              <w:t>a,</w:t>
            </w:r>
            <w:r w:rsidR="00CD141A" w:rsidRPr="00CD141A">
              <w:rPr>
                <w:iCs/>
                <w:sz w:val="24"/>
              </w:rPr>
              <w:t xml:space="preserve"> </w:t>
            </w:r>
            <w:hyperlink r:id="rId8" w:tgtFrame="_blank" w:history="1">
              <w:r w:rsidR="00CD141A" w:rsidRPr="00CD141A">
                <w:rPr>
                  <w:iCs/>
                  <w:sz w:val="24"/>
                </w:rPr>
                <w:t>Brīvas pakalpojumu sniegšanas likuma</w:t>
              </w:r>
            </w:hyperlink>
            <w:r w:rsidR="00CD141A" w:rsidRPr="00CD141A">
              <w:rPr>
                <w:iCs/>
                <w:sz w:val="24"/>
              </w:rPr>
              <w:t xml:space="preserve"> </w:t>
            </w:r>
            <w:hyperlink r:id="rId9" w:anchor="p15" w:tgtFrame="_blank" w:history="1">
              <w:r w:rsidR="00CD141A" w:rsidRPr="00CD141A">
                <w:rPr>
                  <w:iCs/>
                  <w:sz w:val="24"/>
                </w:rPr>
                <w:t>15. panta</w:t>
              </w:r>
            </w:hyperlink>
            <w:r w:rsidR="00CD141A" w:rsidRPr="00CD141A">
              <w:rPr>
                <w:iCs/>
                <w:sz w:val="24"/>
              </w:rPr>
              <w:t xml:space="preserve"> piekt</w:t>
            </w:r>
            <w:r w:rsidR="00381B0F">
              <w:rPr>
                <w:iCs/>
                <w:sz w:val="24"/>
              </w:rPr>
              <w:t>ā</w:t>
            </w:r>
            <w:r w:rsidR="00CD141A" w:rsidRPr="00CD141A">
              <w:rPr>
                <w:iCs/>
                <w:sz w:val="24"/>
              </w:rPr>
              <w:t xml:space="preserve"> daļ</w:t>
            </w:r>
            <w:r w:rsidR="00381B0F">
              <w:rPr>
                <w:iCs/>
                <w:sz w:val="24"/>
              </w:rPr>
              <w:t>a,</w:t>
            </w:r>
          </w:p>
          <w:p w:rsidR="00CD141A" w:rsidRPr="00CD141A" w:rsidRDefault="0064015B" w:rsidP="00CD141A">
            <w:pPr>
              <w:jc w:val="both"/>
              <w:rPr>
                <w:bCs/>
                <w:lang w:val="lv-LV" w:eastAsia="lv-LV"/>
              </w:rPr>
            </w:pPr>
            <w:r>
              <w:rPr>
                <w:lang w:val="lv-LV"/>
              </w:rPr>
              <w:t>Ministru kabineta 2014.gada 2.</w:t>
            </w:r>
            <w:r w:rsidR="00CD141A" w:rsidRPr="00CD141A">
              <w:rPr>
                <w:lang w:val="lv-LV"/>
              </w:rPr>
              <w:t>septembra sēdes protokola Nr. 46 32. § 4. punkts</w:t>
            </w:r>
            <w:r w:rsidR="00381B0F">
              <w:rPr>
                <w:bCs/>
                <w:lang w:val="lv-LV" w:eastAsia="lv-LV"/>
              </w:rPr>
              <w:t>,</w:t>
            </w:r>
          </w:p>
          <w:p w:rsidR="00A56D0D" w:rsidRPr="00CD141A" w:rsidRDefault="0064015B" w:rsidP="00CD141A">
            <w:pPr>
              <w:pStyle w:val="izdotisask"/>
              <w:widowControl w:val="0"/>
              <w:jc w:val="both"/>
              <w:outlineLvl w:val="0"/>
              <w:rPr>
                <w:sz w:val="24"/>
              </w:rPr>
            </w:pPr>
            <w:r>
              <w:rPr>
                <w:sz w:val="24"/>
              </w:rPr>
              <w:t>Ministru kabineta 2015.gada 20.</w:t>
            </w:r>
            <w:r w:rsidR="00CD141A" w:rsidRPr="00CD141A">
              <w:rPr>
                <w:sz w:val="24"/>
              </w:rPr>
              <w:t>oktobra sēdes protokola Nr. 55 19. § 1. punkts.</w:t>
            </w:r>
          </w:p>
        </w:tc>
      </w:tr>
      <w:tr w:rsidR="00A56D0D" w:rsidRPr="0064015B" w:rsidTr="0086291C">
        <w:tc>
          <w:tcPr>
            <w:tcW w:w="250" w:type="pct"/>
          </w:tcPr>
          <w:p w:rsidR="00A56D0D" w:rsidRPr="00BD566E" w:rsidRDefault="00A56D0D" w:rsidP="0086291C">
            <w:pPr>
              <w:jc w:val="center"/>
              <w:rPr>
                <w:lang w:val="lv-LV" w:eastAsia="lv-LV"/>
              </w:rPr>
            </w:pPr>
            <w:r w:rsidRPr="00BD566E">
              <w:rPr>
                <w:lang w:val="lv-LV" w:eastAsia="lv-LV"/>
              </w:rPr>
              <w:t>2.</w:t>
            </w:r>
          </w:p>
        </w:tc>
        <w:tc>
          <w:tcPr>
            <w:tcW w:w="1397" w:type="pct"/>
          </w:tcPr>
          <w:p w:rsidR="00A56D0D" w:rsidRPr="00BD566E" w:rsidRDefault="00A56D0D" w:rsidP="0086291C">
            <w:pPr>
              <w:jc w:val="both"/>
              <w:rPr>
                <w:lang w:val="lv-LV"/>
              </w:rPr>
            </w:pPr>
            <w:r w:rsidRPr="00BD566E">
              <w:rPr>
                <w:lang w:val="lv-LV" w:eastAsia="lv-LV"/>
              </w:rPr>
              <w:t xml:space="preserve">Pašreizējā situācija </w:t>
            </w:r>
            <w:r w:rsidRPr="00BD566E">
              <w:rPr>
                <w:lang w:val="lv-LV"/>
              </w:rPr>
              <w:t>un problēmas, kuru risināšanai tiesību akta projekts izstrādāts, tiesiskā regulējuma mērķis un būtība.</w:t>
            </w:r>
          </w:p>
        </w:tc>
        <w:tc>
          <w:tcPr>
            <w:tcW w:w="3353" w:type="pct"/>
          </w:tcPr>
          <w:p w:rsidR="00A53C05" w:rsidRPr="00A53C05" w:rsidRDefault="00A56D0D" w:rsidP="00A53C05">
            <w:pPr>
              <w:jc w:val="both"/>
              <w:rPr>
                <w:lang w:val="lv-LV"/>
              </w:rPr>
            </w:pPr>
            <w:r w:rsidRPr="00BD566E">
              <w:rPr>
                <w:lang w:val="lv-LV"/>
              </w:rPr>
              <w:t>Patlaban spēkā ir Ministru kabineta 2010.gada 2.februāra noteikumi Nr.104 „Pārtikas uzņēmumu atzīšanas un reģistrācijas kārtība” (turpmāk – noteikumi Nr.104).</w:t>
            </w:r>
            <w:r w:rsidR="00CD141A">
              <w:rPr>
                <w:lang w:val="lv-LV"/>
              </w:rPr>
              <w:t xml:space="preserve"> </w:t>
            </w:r>
            <w:r w:rsidR="00381B0F">
              <w:rPr>
                <w:lang w:val="lv-LV"/>
              </w:rPr>
              <w:t>Ievērojot</w:t>
            </w:r>
            <w:r w:rsidRPr="002439AA">
              <w:rPr>
                <w:lang w:val="lv-LV"/>
              </w:rPr>
              <w:t xml:space="preserve"> </w:t>
            </w:r>
            <w:r w:rsidRPr="00951484">
              <w:rPr>
                <w:szCs w:val="26"/>
                <w:lang w:val="lv-LV"/>
              </w:rPr>
              <w:t>Ministru kabineta 201</w:t>
            </w:r>
            <w:r>
              <w:rPr>
                <w:szCs w:val="26"/>
                <w:lang w:val="lv-LV"/>
              </w:rPr>
              <w:t>5</w:t>
            </w:r>
            <w:r w:rsidRPr="00951484">
              <w:rPr>
                <w:szCs w:val="26"/>
                <w:lang w:val="lv-LV"/>
              </w:rPr>
              <w:t>.gada 2</w:t>
            </w:r>
            <w:r>
              <w:rPr>
                <w:szCs w:val="26"/>
                <w:lang w:val="lv-LV"/>
              </w:rPr>
              <w:t>0</w:t>
            </w:r>
            <w:r w:rsidRPr="00951484">
              <w:rPr>
                <w:szCs w:val="26"/>
                <w:lang w:val="lv-LV"/>
              </w:rPr>
              <w:t>.</w:t>
            </w:r>
            <w:r>
              <w:rPr>
                <w:szCs w:val="26"/>
                <w:lang w:val="lv-LV"/>
              </w:rPr>
              <w:t>oktob</w:t>
            </w:r>
            <w:r w:rsidRPr="00951484">
              <w:rPr>
                <w:szCs w:val="26"/>
                <w:lang w:val="lv-LV"/>
              </w:rPr>
              <w:t>ra sēdē nolemto (protokola Nr.4</w:t>
            </w:r>
            <w:r>
              <w:rPr>
                <w:szCs w:val="26"/>
                <w:lang w:val="lv-LV"/>
              </w:rPr>
              <w:t>5</w:t>
            </w:r>
            <w:r w:rsidRPr="00951484">
              <w:rPr>
                <w:szCs w:val="26"/>
                <w:lang w:val="lv-LV"/>
              </w:rPr>
              <w:t xml:space="preserve"> </w:t>
            </w:r>
            <w:r>
              <w:rPr>
                <w:szCs w:val="26"/>
                <w:lang w:val="lv-LV"/>
              </w:rPr>
              <w:t>19</w:t>
            </w:r>
            <w:r w:rsidRPr="00951484">
              <w:rPr>
                <w:szCs w:val="26"/>
                <w:lang w:val="lv-LV"/>
              </w:rPr>
              <w:t>.§</w:t>
            </w:r>
            <w:r>
              <w:rPr>
                <w:szCs w:val="26"/>
                <w:lang w:val="lv-LV"/>
              </w:rPr>
              <w:t xml:space="preserve"> 1.punkts</w:t>
            </w:r>
            <w:r w:rsidRPr="00951484">
              <w:rPr>
                <w:szCs w:val="26"/>
                <w:lang w:val="lv-LV"/>
              </w:rPr>
              <w:t>)</w:t>
            </w:r>
            <w:r>
              <w:rPr>
                <w:szCs w:val="26"/>
                <w:lang w:val="lv-LV"/>
              </w:rPr>
              <w:t xml:space="preserve"> par Valsts kontroles norādītajiem visu ministriju pienākumiem būvniecības jomas sakārtošanā, kā arī izvērtējot Pārtikas un veterinārā</w:t>
            </w:r>
            <w:r w:rsidRPr="00951484">
              <w:rPr>
                <w:szCs w:val="26"/>
                <w:lang w:val="lv-LV"/>
              </w:rPr>
              <w:t xml:space="preserve"> </w:t>
            </w:r>
            <w:r>
              <w:rPr>
                <w:szCs w:val="26"/>
                <w:lang w:val="lv-LV"/>
              </w:rPr>
              <w:t xml:space="preserve">dienesta (turpmāk – dienests) funkcijas, atbildību un pilnvaras, </w:t>
            </w:r>
            <w:r w:rsidRPr="00951484">
              <w:rPr>
                <w:szCs w:val="26"/>
                <w:lang w:val="lv-LV"/>
              </w:rPr>
              <w:t>noteikum</w:t>
            </w:r>
            <w:r>
              <w:rPr>
                <w:szCs w:val="26"/>
                <w:lang w:val="lv-LV"/>
              </w:rPr>
              <w:t xml:space="preserve">os Nr.104 ir </w:t>
            </w:r>
            <w:r w:rsidR="00381B0F">
              <w:rPr>
                <w:szCs w:val="26"/>
                <w:lang w:val="lv-LV"/>
              </w:rPr>
              <w:t>jāizdara</w:t>
            </w:r>
            <w:r>
              <w:rPr>
                <w:szCs w:val="26"/>
                <w:lang w:val="lv-LV"/>
              </w:rPr>
              <w:t xml:space="preserve"> grozījum</w:t>
            </w:r>
            <w:r w:rsidR="00381B0F">
              <w:rPr>
                <w:szCs w:val="26"/>
                <w:lang w:val="lv-LV"/>
              </w:rPr>
              <w:t>i</w:t>
            </w:r>
            <w:r>
              <w:rPr>
                <w:szCs w:val="26"/>
                <w:lang w:val="lv-LV"/>
              </w:rPr>
              <w:t xml:space="preserve">, nosakot, ka </w:t>
            </w:r>
            <w:r w:rsidR="00381B0F" w:rsidRPr="00C23395">
              <w:rPr>
                <w:szCs w:val="26"/>
                <w:lang w:val="lv-LV"/>
              </w:rPr>
              <w:t>dienests</w:t>
            </w:r>
            <w:r w:rsidR="00381B0F">
              <w:rPr>
                <w:szCs w:val="26"/>
                <w:lang w:val="lv-LV"/>
              </w:rPr>
              <w:t>,</w:t>
            </w:r>
            <w:r w:rsidR="00381B0F" w:rsidRPr="00C23395">
              <w:rPr>
                <w:szCs w:val="26"/>
                <w:lang w:val="lv-LV"/>
              </w:rPr>
              <w:t xml:space="preserve"> </w:t>
            </w:r>
            <w:r w:rsidRPr="00C23395">
              <w:rPr>
                <w:szCs w:val="26"/>
                <w:lang w:val="lv-LV"/>
              </w:rPr>
              <w:t xml:space="preserve">uzsākot </w:t>
            </w:r>
            <w:r w:rsidRPr="00C23395">
              <w:rPr>
                <w:lang w:val="lv-LV"/>
              </w:rPr>
              <w:t>pārtikas uzņēmumu</w:t>
            </w:r>
            <w:r w:rsidRPr="00C23395">
              <w:rPr>
                <w:szCs w:val="26"/>
                <w:lang w:val="lv-LV"/>
              </w:rPr>
              <w:t xml:space="preserve"> reģistrācijas vai atzīšanas procesu</w:t>
            </w:r>
            <w:r w:rsidR="00B62CF9" w:rsidRPr="00C23395">
              <w:rPr>
                <w:szCs w:val="26"/>
                <w:lang w:val="lv-LV"/>
              </w:rPr>
              <w:t>,</w:t>
            </w:r>
            <w:r w:rsidRPr="00C23395">
              <w:rPr>
                <w:szCs w:val="26"/>
                <w:lang w:val="lv-LV"/>
              </w:rPr>
              <w:t xml:space="preserve"> pārbauda</w:t>
            </w:r>
            <w:r w:rsidR="00381B0F">
              <w:rPr>
                <w:szCs w:val="26"/>
                <w:lang w:val="lv-LV"/>
              </w:rPr>
              <w:t>, vai</w:t>
            </w:r>
            <w:r w:rsidRPr="00C23395">
              <w:rPr>
                <w:szCs w:val="26"/>
                <w:lang w:val="lv-LV"/>
              </w:rPr>
              <w:t xml:space="preserve"> </w:t>
            </w:r>
            <w:r w:rsidR="00381B0F">
              <w:rPr>
                <w:lang w:val="lv-LV"/>
              </w:rPr>
              <w:t>akts par</w:t>
            </w:r>
            <w:r w:rsidR="00381B0F" w:rsidRPr="00C23395">
              <w:rPr>
                <w:lang w:val="lv-LV"/>
              </w:rPr>
              <w:t xml:space="preserve"> </w:t>
            </w:r>
            <w:r w:rsidR="00477BD0" w:rsidRPr="00C23395">
              <w:rPr>
                <w:lang w:val="lv-LV"/>
              </w:rPr>
              <w:t>pārtikas uzņēmuma</w:t>
            </w:r>
            <w:r w:rsidR="00622FA1" w:rsidRPr="00C23395">
              <w:rPr>
                <w:lang w:val="lv-LV"/>
              </w:rPr>
              <w:t xml:space="preserve"> būves</w:t>
            </w:r>
            <w:r w:rsidR="00477BD0" w:rsidRPr="00C23395">
              <w:rPr>
                <w:lang w:val="lv-LV"/>
              </w:rPr>
              <w:t xml:space="preserve"> vai telpu grupas pieņemšan</w:t>
            </w:r>
            <w:r w:rsidR="00381B0F">
              <w:rPr>
                <w:lang w:val="lv-LV"/>
              </w:rPr>
              <w:t>u</w:t>
            </w:r>
            <w:r w:rsidR="00477BD0" w:rsidRPr="00C23395">
              <w:rPr>
                <w:lang w:val="lv-LV"/>
              </w:rPr>
              <w:t xml:space="preserve"> ekspluatācijā </w:t>
            </w:r>
            <w:r w:rsidR="00381B0F">
              <w:rPr>
                <w:lang w:val="lv-LV"/>
              </w:rPr>
              <w:t xml:space="preserve">ir </w:t>
            </w:r>
            <w:r w:rsidR="00477BD0" w:rsidRPr="00C23395">
              <w:rPr>
                <w:lang w:val="lv-LV"/>
              </w:rPr>
              <w:t>reģistr</w:t>
            </w:r>
            <w:r w:rsidR="00381B0F">
              <w:rPr>
                <w:lang w:val="lv-LV"/>
              </w:rPr>
              <w:t>ēts</w:t>
            </w:r>
            <w:r w:rsidR="00477BD0" w:rsidRPr="00C23395">
              <w:rPr>
                <w:lang w:val="lv-LV"/>
              </w:rPr>
              <w:t xml:space="preserve"> Nekustamā īpašuma valsts kadastra </w:t>
            </w:r>
            <w:r w:rsidR="00B62CF9" w:rsidRPr="00C23395">
              <w:rPr>
                <w:lang w:val="lv-LV"/>
              </w:rPr>
              <w:t>informācijas sistēmā</w:t>
            </w:r>
            <w:r w:rsidR="00B57CD3" w:rsidRPr="00C23395">
              <w:rPr>
                <w:lang w:val="lv-LV"/>
              </w:rPr>
              <w:t xml:space="preserve"> </w:t>
            </w:r>
            <w:r w:rsidR="005F6D35" w:rsidRPr="005F6D35">
              <w:rPr>
                <w:lang w:val="lv-LV"/>
              </w:rPr>
              <w:t xml:space="preserve">un </w:t>
            </w:r>
            <w:r w:rsidR="00381B0F">
              <w:rPr>
                <w:lang w:val="lv-LV"/>
              </w:rPr>
              <w:t>vai</w:t>
            </w:r>
            <w:r w:rsidR="005F6D35" w:rsidRPr="005F6D35">
              <w:rPr>
                <w:lang w:val="lv-LV"/>
              </w:rPr>
              <w:t xml:space="preserve"> reģistrētais lietošanas veids atbilst </w:t>
            </w:r>
            <w:r w:rsidR="00381B0F">
              <w:rPr>
                <w:lang w:val="lv-LV"/>
              </w:rPr>
              <w:t xml:space="preserve">attiecīgā uzņēmuma </w:t>
            </w:r>
            <w:r w:rsidR="005F6D35" w:rsidRPr="005F6D35">
              <w:rPr>
                <w:lang w:val="lv-LV"/>
              </w:rPr>
              <w:t>veicamajai darbībai.</w:t>
            </w:r>
            <w:r w:rsidR="00477BD0" w:rsidRPr="00C23395">
              <w:rPr>
                <w:lang w:val="lv-LV"/>
              </w:rPr>
              <w:t xml:space="preserve"> </w:t>
            </w:r>
            <w:r w:rsidR="00393ED5" w:rsidRPr="00C23395">
              <w:rPr>
                <w:lang w:val="lv-LV"/>
              </w:rPr>
              <w:t>Noteikumos ir noteikta prasība, ka</w:t>
            </w:r>
            <w:r w:rsidR="00393ED5" w:rsidRPr="00393ED5">
              <w:rPr>
                <w:lang w:val="lv-LV"/>
              </w:rPr>
              <w:t xml:space="preserve"> būvēm un telpu grupām, kurās atrodas </w:t>
            </w:r>
            <w:r w:rsidR="00393ED5" w:rsidRPr="002069C3">
              <w:rPr>
                <w:lang w:val="lv-LV"/>
              </w:rPr>
              <w:t>pārtikas uzņēmum</w:t>
            </w:r>
            <w:r w:rsidR="00393ED5">
              <w:rPr>
                <w:szCs w:val="26"/>
                <w:lang w:val="lv-LV"/>
              </w:rPr>
              <w:t>s</w:t>
            </w:r>
            <w:r w:rsidR="00381B0F">
              <w:rPr>
                <w:szCs w:val="26"/>
                <w:lang w:val="lv-LV"/>
              </w:rPr>
              <w:t>,</w:t>
            </w:r>
            <w:r w:rsidR="00393ED5">
              <w:rPr>
                <w:szCs w:val="26"/>
                <w:lang w:val="lv-LV"/>
              </w:rPr>
              <w:t xml:space="preserve"> </w:t>
            </w:r>
            <w:r w:rsidR="00393ED5" w:rsidRPr="00393ED5">
              <w:rPr>
                <w:lang w:val="lv-LV"/>
              </w:rPr>
              <w:t xml:space="preserve">ir jābūt nodotām ekspluatācijā, kā arī </w:t>
            </w:r>
            <w:r w:rsidR="00381B0F">
              <w:rPr>
                <w:lang w:val="lv-LV"/>
              </w:rPr>
              <w:t xml:space="preserve">to </w:t>
            </w:r>
            <w:r w:rsidR="00393ED5" w:rsidRPr="00393ED5">
              <w:rPr>
                <w:lang w:val="lv-LV"/>
              </w:rPr>
              <w:t>lietošanas veid</w:t>
            </w:r>
            <w:r w:rsidR="00381B0F">
              <w:rPr>
                <w:lang w:val="lv-LV"/>
              </w:rPr>
              <w:t>am</w:t>
            </w:r>
            <w:r w:rsidR="00393ED5" w:rsidRPr="00393ED5">
              <w:rPr>
                <w:lang w:val="lv-LV"/>
              </w:rPr>
              <w:t xml:space="preserve"> </w:t>
            </w:r>
            <w:r w:rsidR="00381B0F">
              <w:rPr>
                <w:lang w:val="lv-LV"/>
              </w:rPr>
              <w:t>jā</w:t>
            </w:r>
            <w:r w:rsidR="00393ED5" w:rsidRPr="00393ED5">
              <w:rPr>
                <w:lang w:val="lv-LV"/>
              </w:rPr>
              <w:t>atbilst veicamajai darbībai.</w:t>
            </w:r>
            <w:r w:rsidR="00A53C05">
              <w:rPr>
                <w:lang w:val="lv-LV"/>
              </w:rPr>
              <w:t xml:space="preserve"> </w:t>
            </w:r>
            <w:r w:rsidR="00C40EAB">
              <w:rPr>
                <w:lang w:val="lv-LV"/>
              </w:rPr>
              <w:t>P</w:t>
            </w:r>
            <w:r w:rsidR="00C40EAB" w:rsidRPr="00C23395">
              <w:rPr>
                <w:lang w:val="lv-LV"/>
              </w:rPr>
              <w:t>ārtikas uzņēmum</w:t>
            </w:r>
            <w:r w:rsidR="00C40EAB">
              <w:rPr>
                <w:lang w:val="lv-LV"/>
              </w:rPr>
              <w:t>s,</w:t>
            </w:r>
            <w:r w:rsidR="00A53C05" w:rsidRPr="00C40EAB">
              <w:rPr>
                <w:lang w:val="lv-LV"/>
              </w:rPr>
              <w:t xml:space="preserve"> kur</w:t>
            </w:r>
            <w:r w:rsidR="00381B0F">
              <w:rPr>
                <w:lang w:val="lv-LV"/>
              </w:rPr>
              <w:t>a</w:t>
            </w:r>
            <w:r w:rsidR="00A53C05" w:rsidRPr="00C40EAB">
              <w:rPr>
                <w:lang w:val="lv-LV"/>
              </w:rPr>
              <w:t xml:space="preserve"> dokumentācija ne</w:t>
            </w:r>
            <w:r w:rsidR="00381B0F">
              <w:rPr>
                <w:lang w:val="lv-LV"/>
              </w:rPr>
              <w:t>būs</w:t>
            </w:r>
            <w:r w:rsidR="00A53C05" w:rsidRPr="00C40EAB">
              <w:rPr>
                <w:lang w:val="lv-LV"/>
              </w:rPr>
              <w:t xml:space="preserve"> sakārtota līdz 2021.gada 31.decembrim, tiks izslēgt</w:t>
            </w:r>
            <w:r w:rsidR="00381B0F">
              <w:rPr>
                <w:lang w:val="lv-LV"/>
              </w:rPr>
              <w:t>s</w:t>
            </w:r>
            <w:r w:rsidR="00A53C05" w:rsidRPr="00C40EAB">
              <w:rPr>
                <w:lang w:val="lv-LV"/>
              </w:rPr>
              <w:t xml:space="preserve"> no Pārtikas un veterinārā dienesta uzraudzības objektu reģistra.</w:t>
            </w:r>
          </w:p>
          <w:p w:rsidR="00A56D0D" w:rsidRPr="004001A1" w:rsidRDefault="00A56D0D" w:rsidP="0086291C">
            <w:pPr>
              <w:tabs>
                <w:tab w:val="left" w:pos="1134"/>
              </w:tabs>
              <w:jc w:val="both"/>
              <w:rPr>
                <w:sz w:val="22"/>
                <w:szCs w:val="26"/>
                <w:lang w:val="lv-LV"/>
              </w:rPr>
            </w:pPr>
            <w:r>
              <w:rPr>
                <w:lang w:val="lv-LV"/>
              </w:rPr>
              <w:t xml:space="preserve">Saskaņā ar </w:t>
            </w:r>
            <w:r w:rsidRPr="00951484">
              <w:rPr>
                <w:szCs w:val="26"/>
                <w:lang w:val="lv-LV"/>
              </w:rPr>
              <w:t>Ministru kabineta 2014.gada 2.septembra sēdē nolemto (protokola Nr.46 32.§)</w:t>
            </w:r>
            <w:r>
              <w:rPr>
                <w:szCs w:val="26"/>
                <w:lang w:val="lv-LV"/>
              </w:rPr>
              <w:t xml:space="preserve"> noteikumi Nr.104</w:t>
            </w:r>
            <w:r w:rsidRPr="00951484">
              <w:rPr>
                <w:szCs w:val="26"/>
                <w:lang w:val="lv-LV"/>
              </w:rPr>
              <w:t xml:space="preserve"> </w:t>
            </w:r>
            <w:r w:rsidR="00381B0F">
              <w:rPr>
                <w:szCs w:val="26"/>
                <w:lang w:val="lv-LV"/>
              </w:rPr>
              <w:t xml:space="preserve">ir </w:t>
            </w:r>
            <w:r w:rsidRPr="00951484">
              <w:rPr>
                <w:szCs w:val="26"/>
                <w:lang w:val="lv-LV"/>
              </w:rPr>
              <w:t xml:space="preserve">precizēti, </w:t>
            </w:r>
            <w:r w:rsidR="00381B0F">
              <w:rPr>
                <w:szCs w:val="26"/>
                <w:lang w:val="lv-LV"/>
              </w:rPr>
              <w:t xml:space="preserve">tajos </w:t>
            </w:r>
            <w:r w:rsidRPr="00951484">
              <w:rPr>
                <w:szCs w:val="26"/>
                <w:lang w:val="lv-LV"/>
              </w:rPr>
              <w:t>nosakot informāciju</w:t>
            </w:r>
            <w:r>
              <w:rPr>
                <w:szCs w:val="26"/>
                <w:lang w:val="lv-LV"/>
              </w:rPr>
              <w:t xml:space="preserve">, </w:t>
            </w:r>
            <w:r w:rsidRPr="00AD68D5">
              <w:rPr>
                <w:szCs w:val="26"/>
                <w:lang w:val="lv-LV"/>
              </w:rPr>
              <w:t>kas</w:t>
            </w:r>
            <w:r>
              <w:rPr>
                <w:szCs w:val="26"/>
                <w:lang w:val="lv-LV"/>
              </w:rPr>
              <w:t xml:space="preserve"> dienestam ir jānosūta </w:t>
            </w:r>
            <w:r w:rsidR="005E181D">
              <w:rPr>
                <w:szCs w:val="26"/>
                <w:lang w:val="lv-LV"/>
              </w:rPr>
              <w:t>pašvaldībām.</w:t>
            </w:r>
          </w:p>
          <w:p w:rsidR="00B16C00" w:rsidRDefault="00A56D0D" w:rsidP="00A53C05">
            <w:pPr>
              <w:pStyle w:val="Bezatstarpm"/>
              <w:jc w:val="both"/>
              <w:rPr>
                <w:rFonts w:ascii="Times New Roman" w:hAnsi="Times New Roman"/>
                <w:sz w:val="24"/>
                <w:szCs w:val="24"/>
              </w:rPr>
            </w:pPr>
            <w:r w:rsidRPr="0024457A">
              <w:rPr>
                <w:rFonts w:ascii="Times New Roman" w:hAnsi="Times New Roman"/>
                <w:sz w:val="24"/>
                <w:szCs w:val="24"/>
              </w:rPr>
              <w:t>Lai dienests saņemtu nepieciešamo informāciju, noteikumos Nr. 104 ir nepie</w:t>
            </w:r>
            <w:r w:rsidR="00F32513">
              <w:rPr>
                <w:rFonts w:ascii="Times New Roman" w:hAnsi="Times New Roman"/>
                <w:sz w:val="24"/>
                <w:szCs w:val="24"/>
              </w:rPr>
              <w:t>s</w:t>
            </w:r>
            <w:r w:rsidRPr="0024457A">
              <w:rPr>
                <w:rFonts w:ascii="Times New Roman" w:hAnsi="Times New Roman"/>
                <w:sz w:val="24"/>
                <w:szCs w:val="24"/>
              </w:rPr>
              <w:t>ciešams norādīt sadarbības ierosinājumu Valsts zemes dienestam. Ievērojot noteikumos Nr. </w:t>
            </w:r>
            <w:r>
              <w:rPr>
                <w:rFonts w:ascii="Times New Roman" w:hAnsi="Times New Roman"/>
                <w:sz w:val="24"/>
                <w:szCs w:val="24"/>
              </w:rPr>
              <w:t>10</w:t>
            </w:r>
            <w:r w:rsidRPr="0024457A">
              <w:rPr>
                <w:rFonts w:ascii="Times New Roman" w:hAnsi="Times New Roman"/>
                <w:sz w:val="24"/>
                <w:szCs w:val="24"/>
              </w:rPr>
              <w:t>4 ietverto jauno punktu, iestādes sadarbosies, pamatojoties uz Valsts pārvaldes iekārtas likuma 54. pantā noteikto.</w:t>
            </w:r>
            <w:r w:rsidR="00B16C00">
              <w:rPr>
                <w:rFonts w:ascii="Times New Roman" w:hAnsi="Times New Roman"/>
                <w:sz w:val="24"/>
                <w:szCs w:val="24"/>
              </w:rPr>
              <w:t xml:space="preserve"> </w:t>
            </w:r>
          </w:p>
          <w:p w:rsidR="00A53C05" w:rsidRPr="000B6EFF" w:rsidRDefault="00381B0F" w:rsidP="00A53C05">
            <w:pPr>
              <w:pStyle w:val="Bezatstarpm"/>
              <w:jc w:val="both"/>
              <w:rPr>
                <w:rFonts w:ascii="Times New Roman" w:hAnsi="Times New Roman"/>
                <w:sz w:val="24"/>
                <w:szCs w:val="24"/>
              </w:rPr>
            </w:pPr>
            <w:r>
              <w:rPr>
                <w:rFonts w:ascii="Times New Roman" w:hAnsi="Times New Roman"/>
                <w:sz w:val="24"/>
                <w:szCs w:val="24"/>
              </w:rPr>
              <w:t xml:space="preserve">Patlaban </w:t>
            </w:r>
            <w:r w:rsidR="00B16C00" w:rsidRPr="00790D9C">
              <w:rPr>
                <w:rFonts w:ascii="Times New Roman" w:hAnsi="Times New Roman"/>
                <w:sz w:val="24"/>
                <w:szCs w:val="24"/>
              </w:rPr>
              <w:t>valstī nav vienota</w:t>
            </w:r>
            <w:r>
              <w:rPr>
                <w:rFonts w:ascii="Times New Roman" w:hAnsi="Times New Roman"/>
                <w:sz w:val="24"/>
                <w:szCs w:val="24"/>
              </w:rPr>
              <w:t>s</w:t>
            </w:r>
            <w:r w:rsidR="00B16C00" w:rsidRPr="00790D9C">
              <w:rPr>
                <w:rFonts w:ascii="Times New Roman" w:hAnsi="Times New Roman"/>
                <w:sz w:val="24"/>
                <w:szCs w:val="24"/>
              </w:rPr>
              <w:t xml:space="preserve"> informācijas sistēma</w:t>
            </w:r>
            <w:r>
              <w:rPr>
                <w:rFonts w:ascii="Times New Roman" w:hAnsi="Times New Roman"/>
                <w:sz w:val="24"/>
                <w:szCs w:val="24"/>
              </w:rPr>
              <w:t>s</w:t>
            </w:r>
            <w:r w:rsidR="00B16C00" w:rsidRPr="00790D9C">
              <w:rPr>
                <w:rFonts w:ascii="Times New Roman" w:hAnsi="Times New Roman"/>
                <w:sz w:val="24"/>
                <w:szCs w:val="24"/>
              </w:rPr>
              <w:t xml:space="preserve">, kurā būtu pieejama dati par ēku nodošanu ekspluatācijā, </w:t>
            </w:r>
            <w:r>
              <w:rPr>
                <w:rFonts w:ascii="Times New Roman" w:hAnsi="Times New Roman"/>
                <w:sz w:val="24"/>
                <w:szCs w:val="24"/>
              </w:rPr>
              <w:t>turklāt šī</w:t>
            </w:r>
            <w:r w:rsidRPr="00790D9C">
              <w:rPr>
                <w:rFonts w:ascii="Times New Roman" w:hAnsi="Times New Roman"/>
                <w:sz w:val="24"/>
                <w:szCs w:val="24"/>
              </w:rPr>
              <w:t xml:space="preserve"> informācija</w:t>
            </w:r>
            <w:r w:rsidRPr="00790D9C" w:rsidDel="00381B0F">
              <w:rPr>
                <w:rFonts w:ascii="Times New Roman" w:hAnsi="Times New Roman"/>
                <w:sz w:val="24"/>
                <w:szCs w:val="24"/>
              </w:rPr>
              <w:t xml:space="preserve"> </w:t>
            </w:r>
            <w:r>
              <w:rPr>
                <w:rFonts w:ascii="Times New Roman" w:hAnsi="Times New Roman"/>
                <w:sz w:val="24"/>
                <w:szCs w:val="24"/>
              </w:rPr>
              <w:t xml:space="preserve">nav </w:t>
            </w:r>
            <w:r w:rsidRPr="00790D9C">
              <w:rPr>
                <w:rFonts w:ascii="Times New Roman" w:hAnsi="Times New Roman"/>
                <w:sz w:val="24"/>
                <w:szCs w:val="24"/>
              </w:rPr>
              <w:t xml:space="preserve">pieejama </w:t>
            </w:r>
            <w:r w:rsidR="008769B6">
              <w:rPr>
                <w:rFonts w:ascii="Times New Roman" w:hAnsi="Times New Roman"/>
                <w:sz w:val="24"/>
                <w:szCs w:val="24"/>
              </w:rPr>
              <w:t>visām būvvaldēm</w:t>
            </w:r>
            <w:r w:rsidR="00B16C00" w:rsidRPr="00790D9C">
              <w:rPr>
                <w:rFonts w:ascii="Times New Roman" w:hAnsi="Times New Roman"/>
                <w:sz w:val="24"/>
                <w:szCs w:val="24"/>
              </w:rPr>
              <w:t xml:space="preserve">. </w:t>
            </w:r>
            <w:r w:rsidR="008769B6">
              <w:rPr>
                <w:rFonts w:ascii="Times New Roman" w:hAnsi="Times New Roman"/>
                <w:sz w:val="24"/>
                <w:szCs w:val="24"/>
              </w:rPr>
              <w:t xml:space="preserve">Dienestam saziņa ar pašvaldībām būtu liels slogs, lai noskaidrotu attiecīgo informāciju. Datus </w:t>
            </w:r>
            <w:r w:rsidR="008769B6" w:rsidRPr="00586B33">
              <w:rPr>
                <w:rFonts w:ascii="Times New Roman" w:hAnsi="Times New Roman"/>
                <w:sz w:val="24"/>
                <w:szCs w:val="24"/>
              </w:rPr>
              <w:t xml:space="preserve">par būvju nodošanu ekspluatācijā </w:t>
            </w:r>
            <w:r w:rsidR="008769B6">
              <w:rPr>
                <w:rFonts w:ascii="Times New Roman" w:hAnsi="Times New Roman"/>
                <w:sz w:val="24"/>
                <w:szCs w:val="24"/>
              </w:rPr>
              <w:t xml:space="preserve">ir nepieciešams </w:t>
            </w:r>
            <w:r w:rsidR="008769B6" w:rsidRPr="00586B33">
              <w:rPr>
                <w:rFonts w:ascii="Times New Roman" w:hAnsi="Times New Roman"/>
                <w:sz w:val="24"/>
                <w:szCs w:val="24"/>
              </w:rPr>
              <w:t>iegūt viegli pieejamā veidā.</w:t>
            </w:r>
            <w:r w:rsidR="008769B6">
              <w:rPr>
                <w:rFonts w:ascii="Times New Roman" w:hAnsi="Times New Roman"/>
                <w:sz w:val="24"/>
                <w:szCs w:val="24"/>
              </w:rPr>
              <w:t xml:space="preserve"> Tā kā </w:t>
            </w:r>
            <w:r w:rsidR="008769B6" w:rsidRPr="00892A3A">
              <w:rPr>
                <w:rFonts w:ascii="Times New Roman" w:hAnsi="Times New Roman"/>
                <w:sz w:val="24"/>
                <w:szCs w:val="24"/>
              </w:rPr>
              <w:t xml:space="preserve">Valsts zemes dienests gada laikā informāciju </w:t>
            </w:r>
            <w:r w:rsidR="008769B6">
              <w:rPr>
                <w:rFonts w:ascii="Times New Roman" w:hAnsi="Times New Roman"/>
                <w:sz w:val="24"/>
                <w:szCs w:val="24"/>
              </w:rPr>
              <w:t>par to, vai akts par</w:t>
            </w:r>
            <w:r w:rsidR="008769B6" w:rsidRPr="00892A3A">
              <w:rPr>
                <w:rFonts w:ascii="Times New Roman" w:hAnsi="Times New Roman"/>
                <w:sz w:val="24"/>
                <w:szCs w:val="24"/>
              </w:rPr>
              <w:t xml:space="preserve"> būves vai telpu grupas pieņemšan</w:t>
            </w:r>
            <w:r w:rsidR="008769B6">
              <w:rPr>
                <w:rFonts w:ascii="Times New Roman" w:hAnsi="Times New Roman"/>
                <w:sz w:val="24"/>
                <w:szCs w:val="24"/>
              </w:rPr>
              <w:t>u</w:t>
            </w:r>
            <w:r w:rsidR="008769B6" w:rsidRPr="00892A3A">
              <w:rPr>
                <w:rFonts w:ascii="Times New Roman" w:hAnsi="Times New Roman"/>
                <w:sz w:val="24"/>
                <w:szCs w:val="24"/>
              </w:rPr>
              <w:t xml:space="preserve"> ekspluatācijā </w:t>
            </w:r>
            <w:r w:rsidR="008769B6">
              <w:rPr>
                <w:rFonts w:ascii="Times New Roman" w:hAnsi="Times New Roman"/>
                <w:sz w:val="24"/>
                <w:szCs w:val="24"/>
              </w:rPr>
              <w:t xml:space="preserve">ir </w:t>
            </w:r>
            <w:r w:rsidR="008769B6" w:rsidRPr="00892A3A">
              <w:rPr>
                <w:rFonts w:ascii="Times New Roman" w:hAnsi="Times New Roman"/>
                <w:sz w:val="24"/>
                <w:szCs w:val="24"/>
              </w:rPr>
              <w:t>reģistr</w:t>
            </w:r>
            <w:r w:rsidR="008769B6">
              <w:rPr>
                <w:rFonts w:ascii="Times New Roman" w:hAnsi="Times New Roman"/>
                <w:sz w:val="24"/>
                <w:szCs w:val="24"/>
              </w:rPr>
              <w:t>ēts,</w:t>
            </w:r>
            <w:r w:rsidR="008769B6" w:rsidRPr="00892A3A">
              <w:rPr>
                <w:rFonts w:ascii="Times New Roman" w:hAnsi="Times New Roman"/>
                <w:sz w:val="24"/>
                <w:szCs w:val="24"/>
              </w:rPr>
              <w:t xml:space="preserve"> plāno ievietot Nekustamā īpašuma valsts kadastra informācijas </w:t>
            </w:r>
            <w:r w:rsidR="008769B6" w:rsidRPr="00892A3A">
              <w:rPr>
                <w:rFonts w:ascii="Times New Roman" w:hAnsi="Times New Roman"/>
                <w:sz w:val="24"/>
                <w:szCs w:val="24"/>
              </w:rPr>
              <w:lastRenderedPageBreak/>
              <w:t>sistēmā, noteikumos</w:t>
            </w:r>
            <w:r w:rsidR="008769B6">
              <w:rPr>
                <w:rFonts w:ascii="Times New Roman" w:hAnsi="Times New Roman"/>
                <w:sz w:val="24"/>
                <w:szCs w:val="24"/>
              </w:rPr>
              <w:t xml:space="preserve"> jāparedz</w:t>
            </w:r>
            <w:r w:rsidR="008769B6" w:rsidRPr="00892A3A">
              <w:rPr>
                <w:rFonts w:ascii="Times New Roman" w:hAnsi="Times New Roman"/>
                <w:sz w:val="24"/>
                <w:szCs w:val="24"/>
              </w:rPr>
              <w:t>, ka informāciju par būvju nodošanu ekspluatācijā dienests pārbaudīs tikai tad, kad Valsts zemes dienests būs pilnveidojis Nekustamā īpašuma valsts kadastra informācijas sistēmu.</w:t>
            </w:r>
          </w:p>
          <w:p w:rsidR="00A56D0D" w:rsidRPr="00B8250A" w:rsidRDefault="00A56D0D" w:rsidP="0086291C">
            <w:pPr>
              <w:pStyle w:val="Bezatstarpm"/>
              <w:jc w:val="both"/>
              <w:rPr>
                <w:rFonts w:ascii="Times New Roman" w:hAnsi="Times New Roman"/>
                <w:sz w:val="24"/>
                <w:szCs w:val="24"/>
              </w:rPr>
            </w:pPr>
            <w:r>
              <w:rPr>
                <w:rFonts w:ascii="Times New Roman" w:hAnsi="Times New Roman"/>
                <w:sz w:val="24"/>
                <w:szCs w:val="24"/>
              </w:rPr>
              <w:t xml:space="preserve">Lai nodrošinātu </w:t>
            </w:r>
            <w:r w:rsidRPr="00B8250A">
              <w:rPr>
                <w:rFonts w:ascii="Times New Roman" w:hAnsi="Times New Roman"/>
                <w:sz w:val="24"/>
                <w:szCs w:val="24"/>
              </w:rPr>
              <w:t>noteikumu jauno normu izpildi</w:t>
            </w:r>
            <w:r w:rsidR="008769B6">
              <w:rPr>
                <w:rFonts w:ascii="Times New Roman" w:hAnsi="Times New Roman"/>
                <w:sz w:val="24"/>
                <w:szCs w:val="24"/>
              </w:rPr>
              <w:t>,</w:t>
            </w:r>
            <w:r w:rsidRPr="00B8250A">
              <w:rPr>
                <w:rFonts w:ascii="Times New Roman" w:hAnsi="Times New Roman"/>
                <w:sz w:val="24"/>
                <w:szCs w:val="24"/>
              </w:rPr>
              <w:t xml:space="preserve"> dienestam nepieciešamas 13 pieejas Nekustamā īpašuma valsts kadastra informācijas sistēma</w:t>
            </w:r>
            <w:r>
              <w:rPr>
                <w:rFonts w:ascii="Times New Roman" w:hAnsi="Times New Roman"/>
                <w:sz w:val="24"/>
                <w:szCs w:val="24"/>
              </w:rPr>
              <w:t>i (11 pieejas teritoriālajām struktūrvienībām un divas – centrālajai pārvaldei).</w:t>
            </w:r>
            <w:r w:rsidR="003A61A8">
              <w:rPr>
                <w:rFonts w:ascii="Times New Roman" w:hAnsi="Times New Roman"/>
                <w:sz w:val="24"/>
                <w:szCs w:val="24"/>
              </w:rPr>
              <w:t xml:space="preserve"> </w:t>
            </w:r>
            <w:r w:rsidR="006032B4">
              <w:rPr>
                <w:rFonts w:ascii="Times New Roman" w:hAnsi="Times New Roman"/>
                <w:sz w:val="24"/>
                <w:szCs w:val="24"/>
              </w:rPr>
              <w:t>Ar šīm pieejām dienests nodrošinās informācijas ieguvi ne tikai par pārtikas uzņēmumiem, bet arī pārējiem objektu veidiem, k</w:t>
            </w:r>
            <w:r w:rsidR="008769B6">
              <w:rPr>
                <w:rFonts w:ascii="Times New Roman" w:hAnsi="Times New Roman"/>
                <w:sz w:val="24"/>
                <w:szCs w:val="24"/>
              </w:rPr>
              <w:t>a</w:t>
            </w:r>
            <w:r w:rsidR="006032B4">
              <w:rPr>
                <w:rFonts w:ascii="Times New Roman" w:hAnsi="Times New Roman"/>
                <w:sz w:val="24"/>
                <w:szCs w:val="24"/>
              </w:rPr>
              <w:t>m nepieciešama reģistrācija dienesta uzraudzības objektu reģistrā</w:t>
            </w:r>
            <w:r w:rsidR="00A70E2B">
              <w:rPr>
                <w:rFonts w:ascii="Times New Roman" w:hAnsi="Times New Roman"/>
                <w:sz w:val="24"/>
                <w:szCs w:val="24"/>
              </w:rPr>
              <w:t xml:space="preserve"> (piemēram, dzīvnieku barības apritē iesaistīt</w:t>
            </w:r>
            <w:r w:rsidR="008769B6">
              <w:rPr>
                <w:rFonts w:ascii="Times New Roman" w:hAnsi="Times New Roman"/>
                <w:sz w:val="24"/>
                <w:szCs w:val="24"/>
              </w:rPr>
              <w:t>ajiem</w:t>
            </w:r>
            <w:r w:rsidR="00A70E2B">
              <w:rPr>
                <w:rFonts w:ascii="Times New Roman" w:hAnsi="Times New Roman"/>
                <w:sz w:val="24"/>
                <w:szCs w:val="24"/>
              </w:rPr>
              <w:t xml:space="preserve"> uzņēmumi</w:t>
            </w:r>
            <w:r w:rsidR="008769B6">
              <w:rPr>
                <w:rFonts w:ascii="Times New Roman" w:hAnsi="Times New Roman"/>
                <w:sz w:val="24"/>
                <w:szCs w:val="24"/>
              </w:rPr>
              <w:t>em</w:t>
            </w:r>
            <w:r w:rsidR="00A70E2B">
              <w:rPr>
                <w:rFonts w:ascii="Times New Roman" w:hAnsi="Times New Roman"/>
                <w:sz w:val="24"/>
                <w:szCs w:val="24"/>
              </w:rPr>
              <w:t>, dzīvnieku patversm</w:t>
            </w:r>
            <w:r w:rsidR="008769B6">
              <w:rPr>
                <w:rFonts w:ascii="Times New Roman" w:hAnsi="Times New Roman"/>
                <w:sz w:val="24"/>
                <w:szCs w:val="24"/>
              </w:rPr>
              <w:t>ēm</w:t>
            </w:r>
            <w:r w:rsidR="00A70E2B">
              <w:rPr>
                <w:rFonts w:ascii="Times New Roman" w:hAnsi="Times New Roman"/>
                <w:sz w:val="24"/>
                <w:szCs w:val="24"/>
              </w:rPr>
              <w:t>, veterinārmedicīniskās darbības uzņēmumi</w:t>
            </w:r>
            <w:r w:rsidR="008769B6">
              <w:rPr>
                <w:rFonts w:ascii="Times New Roman" w:hAnsi="Times New Roman"/>
                <w:sz w:val="24"/>
                <w:szCs w:val="24"/>
              </w:rPr>
              <w:t>em</w:t>
            </w:r>
            <w:r w:rsidR="00A70E2B">
              <w:rPr>
                <w:rFonts w:ascii="Times New Roman" w:hAnsi="Times New Roman"/>
                <w:sz w:val="24"/>
                <w:szCs w:val="24"/>
              </w:rPr>
              <w:t>, dzīvnieku savākšanas centri</w:t>
            </w:r>
            <w:r w:rsidR="008769B6">
              <w:rPr>
                <w:rFonts w:ascii="Times New Roman" w:hAnsi="Times New Roman"/>
                <w:sz w:val="24"/>
                <w:szCs w:val="24"/>
              </w:rPr>
              <w:t>em</w:t>
            </w:r>
            <w:r w:rsidR="00A70E2B">
              <w:rPr>
                <w:rFonts w:ascii="Times New Roman" w:hAnsi="Times New Roman"/>
                <w:sz w:val="24"/>
                <w:szCs w:val="24"/>
              </w:rPr>
              <w:t xml:space="preserve"> u.c.)</w:t>
            </w:r>
            <w:r w:rsidR="006032B4">
              <w:rPr>
                <w:rFonts w:ascii="Times New Roman" w:hAnsi="Times New Roman"/>
                <w:sz w:val="24"/>
                <w:szCs w:val="24"/>
              </w:rPr>
              <w:t>.</w:t>
            </w:r>
          </w:p>
          <w:p w:rsidR="00A56D0D" w:rsidRDefault="00A56D0D" w:rsidP="0086291C">
            <w:pPr>
              <w:pStyle w:val="Bezatstarpm"/>
              <w:jc w:val="both"/>
              <w:rPr>
                <w:rFonts w:ascii="Times New Roman" w:hAnsi="Times New Roman"/>
                <w:sz w:val="24"/>
                <w:szCs w:val="24"/>
              </w:rPr>
            </w:pPr>
            <w:r w:rsidRPr="00A02EBD">
              <w:rPr>
                <w:rFonts w:ascii="Times New Roman" w:hAnsi="Times New Roman"/>
                <w:sz w:val="24"/>
                <w:szCs w:val="24"/>
              </w:rPr>
              <w:t xml:space="preserve">Noteikumu projektā tiek reglamentēta dienesta rīcība gadījumos, ja </w:t>
            </w:r>
            <w:r w:rsidR="008769B6">
              <w:rPr>
                <w:rFonts w:ascii="Times New Roman" w:hAnsi="Times New Roman"/>
                <w:sz w:val="24"/>
                <w:szCs w:val="24"/>
              </w:rPr>
              <w:t xml:space="preserve">tās </w:t>
            </w:r>
            <w:r w:rsidRPr="00A02EBD">
              <w:rPr>
                <w:rFonts w:ascii="Times New Roman" w:hAnsi="Times New Roman"/>
                <w:sz w:val="24"/>
                <w:szCs w:val="24"/>
              </w:rPr>
              <w:t>būve</w:t>
            </w:r>
            <w:r>
              <w:rPr>
                <w:rFonts w:ascii="Times New Roman" w:hAnsi="Times New Roman"/>
                <w:sz w:val="24"/>
                <w:szCs w:val="24"/>
              </w:rPr>
              <w:t>s</w:t>
            </w:r>
            <w:r w:rsidRPr="00A02EBD">
              <w:rPr>
                <w:rFonts w:ascii="Times New Roman" w:hAnsi="Times New Roman"/>
                <w:sz w:val="24"/>
                <w:szCs w:val="24"/>
              </w:rPr>
              <w:t xml:space="preserve"> vai būves telpu grupa</w:t>
            </w:r>
            <w:r>
              <w:rPr>
                <w:rFonts w:ascii="Times New Roman" w:hAnsi="Times New Roman"/>
                <w:sz w:val="24"/>
                <w:szCs w:val="24"/>
              </w:rPr>
              <w:t>s</w:t>
            </w:r>
            <w:r w:rsidR="008769B6" w:rsidRPr="00064A48">
              <w:rPr>
                <w:rFonts w:ascii="Times New Roman" w:hAnsi="Times New Roman"/>
                <w:sz w:val="24"/>
                <w:szCs w:val="24"/>
              </w:rPr>
              <w:t xml:space="preserve"> funkcija</w:t>
            </w:r>
            <w:r w:rsidRPr="00A02EBD">
              <w:rPr>
                <w:rFonts w:ascii="Times New Roman" w:hAnsi="Times New Roman"/>
                <w:sz w:val="24"/>
                <w:szCs w:val="24"/>
              </w:rPr>
              <w:t xml:space="preserve">, kurā plānots ierīkot pārtikas uzņēmumu, </w:t>
            </w:r>
            <w:r w:rsidRPr="00064A48">
              <w:rPr>
                <w:rFonts w:ascii="Times New Roman" w:hAnsi="Times New Roman"/>
                <w:sz w:val="24"/>
                <w:szCs w:val="24"/>
              </w:rPr>
              <w:t>neatbilst Nekustamā īpašuma kadastra informācijas sistēmā reģistrētajam lietošanas veidam</w:t>
            </w:r>
            <w:r w:rsidRPr="00A02EBD">
              <w:rPr>
                <w:rFonts w:ascii="Times New Roman" w:hAnsi="Times New Roman"/>
                <w:sz w:val="24"/>
                <w:szCs w:val="24"/>
              </w:rPr>
              <w:t>.</w:t>
            </w:r>
          </w:p>
          <w:p w:rsidR="00A56D0D" w:rsidRDefault="00A56D0D" w:rsidP="0086291C">
            <w:pPr>
              <w:pStyle w:val="Bezatstarpm"/>
              <w:jc w:val="both"/>
              <w:rPr>
                <w:rFonts w:ascii="Times New Roman" w:hAnsi="Times New Roman"/>
                <w:sz w:val="24"/>
                <w:szCs w:val="24"/>
              </w:rPr>
            </w:pPr>
            <w:r>
              <w:rPr>
                <w:rFonts w:ascii="Times New Roman" w:hAnsi="Times New Roman"/>
                <w:sz w:val="24"/>
                <w:szCs w:val="24"/>
              </w:rPr>
              <w:t xml:space="preserve">Lai nodrošinātu operatīvu atbilstošas informācijas iegūšanu </w:t>
            </w:r>
            <w:r w:rsidRPr="00064A48">
              <w:rPr>
                <w:rFonts w:ascii="Times New Roman" w:hAnsi="Times New Roman"/>
                <w:sz w:val="24"/>
                <w:szCs w:val="24"/>
              </w:rPr>
              <w:t>Nekustamā īpašuma kadastra informācijas sistēmā</w:t>
            </w:r>
            <w:r>
              <w:rPr>
                <w:rFonts w:ascii="Times New Roman" w:hAnsi="Times New Roman"/>
                <w:sz w:val="24"/>
                <w:szCs w:val="24"/>
              </w:rPr>
              <w:t>, nepieciešams pa</w:t>
            </w:r>
            <w:r w:rsidR="008769B6">
              <w:rPr>
                <w:rFonts w:ascii="Times New Roman" w:hAnsi="Times New Roman"/>
                <w:sz w:val="24"/>
                <w:szCs w:val="24"/>
              </w:rPr>
              <w:t>p</w:t>
            </w:r>
            <w:r>
              <w:rPr>
                <w:rFonts w:ascii="Times New Roman" w:hAnsi="Times New Roman"/>
                <w:sz w:val="24"/>
                <w:szCs w:val="24"/>
              </w:rPr>
              <w:t>i</w:t>
            </w:r>
            <w:r w:rsidR="008769B6">
              <w:rPr>
                <w:rFonts w:ascii="Times New Roman" w:hAnsi="Times New Roman"/>
                <w:sz w:val="24"/>
                <w:szCs w:val="24"/>
              </w:rPr>
              <w:t>l</w:t>
            </w:r>
            <w:r>
              <w:rPr>
                <w:rFonts w:ascii="Times New Roman" w:hAnsi="Times New Roman"/>
                <w:sz w:val="24"/>
                <w:szCs w:val="24"/>
              </w:rPr>
              <w:t xml:space="preserve">dināt noteikumu Nr.104 pielikumu, paredzot, </w:t>
            </w:r>
            <w:r w:rsidRPr="0068663A">
              <w:rPr>
                <w:rFonts w:ascii="Times New Roman" w:hAnsi="Times New Roman"/>
                <w:sz w:val="24"/>
                <w:szCs w:val="24"/>
              </w:rPr>
              <w:t xml:space="preserve">ka </w:t>
            </w:r>
            <w:bookmarkStart w:id="2" w:name="469544"/>
            <w:bookmarkEnd w:id="2"/>
            <w:r w:rsidRPr="0068663A">
              <w:rPr>
                <w:rFonts w:ascii="Times New Roman" w:hAnsi="Times New Roman"/>
                <w:sz w:val="24"/>
                <w:szCs w:val="24"/>
              </w:rPr>
              <w:t>i</w:t>
            </w:r>
            <w:r w:rsidRPr="0068663A">
              <w:rPr>
                <w:rFonts w:ascii="Times New Roman" w:hAnsi="Times New Roman"/>
                <w:bCs/>
                <w:sz w:val="24"/>
                <w:szCs w:val="24"/>
              </w:rPr>
              <w:t>esniegumā pārtikas uzņēmuma atzīšanai vai reģistrācijai</w:t>
            </w:r>
            <w:r w:rsidRPr="00B0251E">
              <w:rPr>
                <w:rFonts w:ascii="Times New Roman" w:hAnsi="Times New Roman"/>
                <w:sz w:val="24"/>
                <w:szCs w:val="24"/>
              </w:rPr>
              <w:t xml:space="preserve"> </w:t>
            </w:r>
            <w:r>
              <w:rPr>
                <w:rFonts w:ascii="Times New Roman" w:hAnsi="Times New Roman"/>
                <w:sz w:val="24"/>
                <w:szCs w:val="24"/>
              </w:rPr>
              <w:t>tiek norādīts arī attiecīgās būves, telpas vai telpu grupas kadastra apzīmējums.</w:t>
            </w:r>
          </w:p>
          <w:p w:rsidR="00C23395" w:rsidRPr="00C23395" w:rsidRDefault="008769B6" w:rsidP="008769B6">
            <w:pPr>
              <w:pStyle w:val="Bezatstarpm"/>
              <w:jc w:val="both"/>
              <w:rPr>
                <w:rFonts w:ascii="Times New Roman" w:hAnsi="Times New Roman"/>
                <w:sz w:val="24"/>
                <w:szCs w:val="24"/>
              </w:rPr>
            </w:pPr>
            <w:r>
              <w:rPr>
                <w:rFonts w:ascii="Times New Roman" w:hAnsi="Times New Roman"/>
                <w:sz w:val="24"/>
                <w:szCs w:val="24"/>
              </w:rPr>
              <w:t>Tā kā</w:t>
            </w:r>
            <w:r w:rsidR="00C23395" w:rsidRPr="000B6EFF">
              <w:rPr>
                <w:rFonts w:ascii="Times New Roman" w:hAnsi="Times New Roman"/>
                <w:sz w:val="24"/>
                <w:szCs w:val="24"/>
              </w:rPr>
              <w:t xml:space="preserve"> 2015.gada 1.jūlijā stājās spēkā jauni nosacījumi par publiskajām ēkām (Ministru kabineta 2015.gada 30.jūnija noteikumi Nr.331 “Noteikumi par Latvijas būvnormatīvu LBN 208-15 "Publiskas būves"), pārreģistrējot telpu grupas lietošanas veida atbilstību veicamajai darbībai, vienlai</w:t>
            </w:r>
            <w:r>
              <w:rPr>
                <w:rFonts w:ascii="Times New Roman" w:hAnsi="Times New Roman"/>
                <w:sz w:val="24"/>
                <w:szCs w:val="24"/>
              </w:rPr>
              <w:t>kus</w:t>
            </w:r>
            <w:r w:rsidR="00C23395" w:rsidRPr="000B6EFF">
              <w:rPr>
                <w:rFonts w:ascii="Times New Roman" w:hAnsi="Times New Roman"/>
                <w:sz w:val="24"/>
                <w:szCs w:val="24"/>
              </w:rPr>
              <w:t xml:space="preserve"> tiek pārbaudīta arī vides pieejamība. </w:t>
            </w:r>
            <w:r>
              <w:rPr>
                <w:rFonts w:ascii="Times New Roman" w:hAnsi="Times New Roman"/>
                <w:sz w:val="24"/>
                <w:szCs w:val="24"/>
              </w:rPr>
              <w:t>Lai nodrošinātu v</w:t>
            </w:r>
            <w:r w:rsidR="00C23395" w:rsidRPr="000B6EFF">
              <w:rPr>
                <w:rFonts w:ascii="Times New Roman" w:hAnsi="Times New Roman"/>
                <w:sz w:val="24"/>
                <w:szCs w:val="24"/>
              </w:rPr>
              <w:t>ides pieejamīb</w:t>
            </w:r>
            <w:r>
              <w:rPr>
                <w:rFonts w:ascii="Times New Roman" w:hAnsi="Times New Roman"/>
                <w:sz w:val="24"/>
                <w:szCs w:val="24"/>
              </w:rPr>
              <w:t>u,</w:t>
            </w:r>
            <w:r w:rsidR="00C23395">
              <w:rPr>
                <w:rFonts w:ascii="Times New Roman" w:hAnsi="Times New Roman"/>
                <w:sz w:val="24"/>
                <w:szCs w:val="24"/>
              </w:rPr>
              <w:t xml:space="preserve"> daudziem</w:t>
            </w:r>
            <w:r w:rsidR="00C23395" w:rsidRPr="000B6EFF">
              <w:rPr>
                <w:rFonts w:ascii="Times New Roman" w:hAnsi="Times New Roman"/>
                <w:sz w:val="24"/>
                <w:szCs w:val="24"/>
              </w:rPr>
              <w:t xml:space="preserve"> </w:t>
            </w:r>
            <w:r w:rsidR="00C23395">
              <w:rPr>
                <w:rFonts w:ascii="Times New Roman" w:hAnsi="Times New Roman"/>
                <w:bCs/>
                <w:sz w:val="24"/>
                <w:szCs w:val="24"/>
              </w:rPr>
              <w:t>pārtikas uzņēmumiem</w:t>
            </w:r>
            <w:r w:rsidR="00C23395" w:rsidRPr="000B6EFF">
              <w:rPr>
                <w:rFonts w:ascii="Times New Roman" w:hAnsi="Times New Roman"/>
                <w:sz w:val="24"/>
                <w:szCs w:val="24"/>
              </w:rPr>
              <w:t xml:space="preserve"> </w:t>
            </w:r>
            <w:r>
              <w:rPr>
                <w:rFonts w:ascii="Times New Roman" w:hAnsi="Times New Roman"/>
                <w:sz w:val="24"/>
                <w:szCs w:val="24"/>
              </w:rPr>
              <w:t>būs jā</w:t>
            </w:r>
            <w:r w:rsidR="00C23395" w:rsidRPr="000B6EFF">
              <w:rPr>
                <w:rFonts w:ascii="Times New Roman" w:hAnsi="Times New Roman"/>
                <w:sz w:val="24"/>
                <w:szCs w:val="24"/>
              </w:rPr>
              <w:t>vei</w:t>
            </w:r>
            <w:r>
              <w:rPr>
                <w:rFonts w:ascii="Times New Roman" w:hAnsi="Times New Roman"/>
                <w:sz w:val="24"/>
                <w:szCs w:val="24"/>
              </w:rPr>
              <w:t>c</w:t>
            </w:r>
            <w:r w:rsidR="00C23395" w:rsidRPr="000B6EFF">
              <w:rPr>
                <w:rFonts w:ascii="Times New Roman" w:hAnsi="Times New Roman"/>
                <w:sz w:val="24"/>
                <w:szCs w:val="24"/>
              </w:rPr>
              <w:t xml:space="preserve"> pārbūv</w:t>
            </w:r>
            <w:r>
              <w:rPr>
                <w:rFonts w:ascii="Times New Roman" w:hAnsi="Times New Roman"/>
                <w:sz w:val="24"/>
                <w:szCs w:val="24"/>
              </w:rPr>
              <w:t>e</w:t>
            </w:r>
            <w:r w:rsidR="00C23395" w:rsidRPr="000B6EFF">
              <w:rPr>
                <w:rFonts w:ascii="Times New Roman" w:hAnsi="Times New Roman"/>
                <w:sz w:val="24"/>
                <w:szCs w:val="24"/>
              </w:rPr>
              <w:t xml:space="preserve">, </w:t>
            </w:r>
            <w:r>
              <w:rPr>
                <w:rFonts w:ascii="Times New Roman" w:hAnsi="Times New Roman"/>
                <w:sz w:val="24"/>
                <w:szCs w:val="24"/>
              </w:rPr>
              <w:t>bet</w:t>
            </w:r>
            <w:r w:rsidR="00C23395" w:rsidRPr="000B6EFF">
              <w:rPr>
                <w:rFonts w:ascii="Times New Roman" w:hAnsi="Times New Roman"/>
                <w:sz w:val="24"/>
                <w:szCs w:val="24"/>
              </w:rPr>
              <w:t xml:space="preserve"> projekta izstrādei, saskaņošanai un pārbūvei ir nepieciešami trīs līdz pieci gadi. Tādēļ ir </w:t>
            </w:r>
            <w:r>
              <w:rPr>
                <w:rFonts w:ascii="Times New Roman" w:hAnsi="Times New Roman"/>
                <w:sz w:val="24"/>
                <w:szCs w:val="24"/>
              </w:rPr>
              <w:t>jā</w:t>
            </w:r>
            <w:r w:rsidR="00B16C00">
              <w:rPr>
                <w:rFonts w:ascii="Times New Roman" w:hAnsi="Times New Roman"/>
                <w:sz w:val="24"/>
                <w:szCs w:val="24"/>
              </w:rPr>
              <w:t>papildin</w:t>
            </w:r>
            <w:r>
              <w:rPr>
                <w:rFonts w:ascii="Times New Roman" w:hAnsi="Times New Roman"/>
                <w:sz w:val="24"/>
                <w:szCs w:val="24"/>
              </w:rPr>
              <w:t>a</w:t>
            </w:r>
            <w:r w:rsidR="00C23395" w:rsidRPr="000B6EFF">
              <w:rPr>
                <w:rFonts w:ascii="Times New Roman" w:hAnsi="Times New Roman"/>
                <w:sz w:val="24"/>
                <w:szCs w:val="24"/>
              </w:rPr>
              <w:t xml:space="preserve"> </w:t>
            </w:r>
            <w:r w:rsidR="00C23395">
              <w:rPr>
                <w:rFonts w:ascii="Times New Roman" w:hAnsi="Times New Roman"/>
                <w:sz w:val="24"/>
                <w:szCs w:val="24"/>
              </w:rPr>
              <w:t>noteikum</w:t>
            </w:r>
            <w:r>
              <w:rPr>
                <w:rFonts w:ascii="Times New Roman" w:hAnsi="Times New Roman"/>
                <w:sz w:val="24"/>
                <w:szCs w:val="24"/>
              </w:rPr>
              <w:t>u</w:t>
            </w:r>
            <w:r w:rsidR="00C23395">
              <w:rPr>
                <w:rFonts w:ascii="Times New Roman" w:hAnsi="Times New Roman"/>
                <w:sz w:val="24"/>
                <w:szCs w:val="24"/>
              </w:rPr>
              <w:t xml:space="preserve"> Nr.104</w:t>
            </w:r>
            <w:r w:rsidR="00C23395" w:rsidRPr="000B6EFF">
              <w:rPr>
                <w:rFonts w:ascii="Times New Roman" w:hAnsi="Times New Roman"/>
                <w:sz w:val="24"/>
                <w:szCs w:val="24"/>
              </w:rPr>
              <w:t xml:space="preserve"> noslēguma jautājum</w:t>
            </w:r>
            <w:r>
              <w:rPr>
                <w:rFonts w:ascii="Times New Roman" w:hAnsi="Times New Roman"/>
                <w:sz w:val="24"/>
                <w:szCs w:val="24"/>
              </w:rPr>
              <w:t>s</w:t>
            </w:r>
            <w:r w:rsidR="00B16C00">
              <w:rPr>
                <w:rFonts w:ascii="Times New Roman" w:hAnsi="Times New Roman"/>
                <w:sz w:val="24"/>
                <w:szCs w:val="24"/>
              </w:rPr>
              <w:t>,</w:t>
            </w:r>
            <w:r w:rsidR="00C23395" w:rsidRPr="000B6EFF">
              <w:rPr>
                <w:rFonts w:ascii="Times New Roman" w:hAnsi="Times New Roman"/>
                <w:sz w:val="24"/>
                <w:szCs w:val="24"/>
              </w:rPr>
              <w:t xml:space="preserve"> </w:t>
            </w:r>
            <w:r w:rsidR="00B16C00">
              <w:rPr>
                <w:rFonts w:ascii="Times New Roman" w:hAnsi="Times New Roman"/>
                <w:sz w:val="24"/>
                <w:szCs w:val="24"/>
              </w:rPr>
              <w:t>nosakot</w:t>
            </w:r>
            <w:r>
              <w:rPr>
                <w:rFonts w:ascii="Times New Roman" w:hAnsi="Times New Roman"/>
                <w:sz w:val="24"/>
                <w:szCs w:val="24"/>
              </w:rPr>
              <w:t>, ka</w:t>
            </w:r>
            <w:r w:rsidR="00C23395" w:rsidRPr="000B6EFF">
              <w:rPr>
                <w:rFonts w:ascii="Times New Roman" w:hAnsi="Times New Roman"/>
                <w:sz w:val="24"/>
                <w:szCs w:val="24"/>
              </w:rPr>
              <w:t xml:space="preserve"> datu aktualizācijas termiņ</w:t>
            </w:r>
            <w:r>
              <w:rPr>
                <w:rFonts w:ascii="Times New Roman" w:hAnsi="Times New Roman"/>
                <w:sz w:val="24"/>
                <w:szCs w:val="24"/>
              </w:rPr>
              <w:t>š ir</w:t>
            </w:r>
            <w:r w:rsidR="00C23395" w:rsidRPr="000B6EFF">
              <w:rPr>
                <w:rFonts w:ascii="Times New Roman" w:hAnsi="Times New Roman"/>
                <w:sz w:val="24"/>
                <w:szCs w:val="24"/>
              </w:rPr>
              <w:t xml:space="preserve"> </w:t>
            </w:r>
            <w:r w:rsidR="00B16C00">
              <w:rPr>
                <w:rFonts w:ascii="Times New Roman" w:hAnsi="Times New Roman"/>
                <w:sz w:val="24"/>
                <w:szCs w:val="24"/>
              </w:rPr>
              <w:t>piec</w:t>
            </w:r>
            <w:r>
              <w:rPr>
                <w:rFonts w:ascii="Times New Roman" w:hAnsi="Times New Roman"/>
                <w:sz w:val="24"/>
                <w:szCs w:val="24"/>
              </w:rPr>
              <w:t>i</w:t>
            </w:r>
            <w:r w:rsidR="00B16C00">
              <w:rPr>
                <w:rFonts w:ascii="Times New Roman" w:hAnsi="Times New Roman"/>
                <w:sz w:val="24"/>
                <w:szCs w:val="24"/>
              </w:rPr>
              <w:t xml:space="preserve"> gad</w:t>
            </w:r>
            <w:r>
              <w:rPr>
                <w:rFonts w:ascii="Times New Roman" w:hAnsi="Times New Roman"/>
                <w:sz w:val="24"/>
                <w:szCs w:val="24"/>
              </w:rPr>
              <w:t>i</w:t>
            </w:r>
            <w:r w:rsidR="00C23395" w:rsidRPr="000B6EFF">
              <w:rPr>
                <w:rFonts w:ascii="Times New Roman" w:hAnsi="Times New Roman"/>
                <w:sz w:val="24"/>
                <w:szCs w:val="24"/>
              </w:rPr>
              <w:t>.</w:t>
            </w:r>
          </w:p>
        </w:tc>
      </w:tr>
      <w:tr w:rsidR="00A56D0D" w:rsidRPr="00E80F69" w:rsidTr="0086291C">
        <w:tc>
          <w:tcPr>
            <w:tcW w:w="250" w:type="pct"/>
          </w:tcPr>
          <w:p w:rsidR="00A56D0D" w:rsidRPr="00E80F69" w:rsidRDefault="00A56D0D" w:rsidP="0086291C">
            <w:pPr>
              <w:jc w:val="center"/>
              <w:rPr>
                <w:lang w:val="lv-LV" w:eastAsia="lv-LV"/>
              </w:rPr>
            </w:pPr>
            <w:r w:rsidRPr="00E80F69">
              <w:rPr>
                <w:lang w:val="lv-LV" w:eastAsia="lv-LV"/>
              </w:rPr>
              <w:lastRenderedPageBreak/>
              <w:t>3.</w:t>
            </w:r>
          </w:p>
        </w:tc>
        <w:tc>
          <w:tcPr>
            <w:tcW w:w="1397" w:type="pct"/>
          </w:tcPr>
          <w:p w:rsidR="00A56D0D" w:rsidRPr="00E80F69" w:rsidRDefault="00A56D0D" w:rsidP="0086291C">
            <w:pPr>
              <w:jc w:val="both"/>
              <w:rPr>
                <w:lang w:val="lv-LV" w:eastAsia="lv-LV"/>
              </w:rPr>
            </w:pPr>
            <w:r w:rsidRPr="00E80F69">
              <w:rPr>
                <w:lang w:val="lv-LV" w:eastAsia="lv-LV"/>
              </w:rPr>
              <w:t>Projekta izstrādē iesaistītās institūcijas</w:t>
            </w:r>
          </w:p>
        </w:tc>
        <w:tc>
          <w:tcPr>
            <w:tcW w:w="3353" w:type="pct"/>
          </w:tcPr>
          <w:p w:rsidR="00A56D0D" w:rsidRPr="00E80F69" w:rsidRDefault="00A56D0D" w:rsidP="0086291C">
            <w:pPr>
              <w:jc w:val="both"/>
              <w:rPr>
                <w:highlight w:val="yellow"/>
                <w:lang w:val="lv-LV" w:eastAsia="lv-LV"/>
              </w:rPr>
            </w:pPr>
            <w:r w:rsidRPr="00E80F69">
              <w:rPr>
                <w:color w:val="000000"/>
                <w:lang w:val="lv-LV"/>
              </w:rPr>
              <w:t xml:space="preserve">Pārtikas un veterinārais dienests </w:t>
            </w:r>
          </w:p>
        </w:tc>
      </w:tr>
      <w:tr w:rsidR="00A56D0D" w:rsidRPr="0064015B" w:rsidTr="0086291C">
        <w:tc>
          <w:tcPr>
            <w:tcW w:w="250" w:type="pct"/>
          </w:tcPr>
          <w:p w:rsidR="00A56D0D" w:rsidRPr="00E80F69" w:rsidRDefault="00A56D0D" w:rsidP="0086291C">
            <w:pPr>
              <w:jc w:val="center"/>
              <w:rPr>
                <w:lang w:val="lv-LV" w:eastAsia="lv-LV"/>
              </w:rPr>
            </w:pPr>
            <w:r w:rsidRPr="00E80F69">
              <w:rPr>
                <w:lang w:val="lv-LV" w:eastAsia="lv-LV"/>
              </w:rPr>
              <w:t>4.</w:t>
            </w:r>
          </w:p>
        </w:tc>
        <w:tc>
          <w:tcPr>
            <w:tcW w:w="1397" w:type="pct"/>
          </w:tcPr>
          <w:p w:rsidR="00A56D0D" w:rsidRDefault="00A56D0D" w:rsidP="0086291C">
            <w:pPr>
              <w:jc w:val="both"/>
              <w:rPr>
                <w:lang w:val="lv-LV" w:eastAsia="lv-LV"/>
              </w:rPr>
            </w:pPr>
            <w:r w:rsidRPr="00E80F69">
              <w:rPr>
                <w:lang w:val="lv-LV" w:eastAsia="lv-LV"/>
              </w:rPr>
              <w:t>Cita informācija</w:t>
            </w:r>
          </w:p>
          <w:p w:rsidR="00A56D0D" w:rsidRDefault="00A56D0D" w:rsidP="0086291C">
            <w:pPr>
              <w:rPr>
                <w:lang w:val="lv-LV" w:eastAsia="lv-LV"/>
              </w:rPr>
            </w:pPr>
          </w:p>
          <w:p w:rsidR="00A56D0D" w:rsidRPr="00CC3123" w:rsidRDefault="00A56D0D" w:rsidP="0086291C">
            <w:pPr>
              <w:jc w:val="center"/>
              <w:rPr>
                <w:lang w:val="lv-LV" w:eastAsia="lv-LV"/>
              </w:rPr>
            </w:pPr>
          </w:p>
        </w:tc>
        <w:tc>
          <w:tcPr>
            <w:tcW w:w="3353" w:type="pct"/>
          </w:tcPr>
          <w:p w:rsidR="00A56D0D" w:rsidRDefault="00A56D0D" w:rsidP="0086291C">
            <w:pPr>
              <w:tabs>
                <w:tab w:val="left" w:pos="1134"/>
              </w:tabs>
              <w:jc w:val="both"/>
              <w:rPr>
                <w:szCs w:val="26"/>
                <w:lang w:val="lv-LV"/>
              </w:rPr>
            </w:pPr>
            <w:r>
              <w:rPr>
                <w:szCs w:val="26"/>
                <w:lang w:val="lv-LV"/>
              </w:rPr>
              <w:t>Ministru kabineta 2005.gada 22.februāra noteikum</w:t>
            </w:r>
            <w:r w:rsidR="008769B6">
              <w:rPr>
                <w:szCs w:val="26"/>
                <w:lang w:val="lv-LV"/>
              </w:rPr>
              <w:t>os</w:t>
            </w:r>
            <w:r>
              <w:rPr>
                <w:szCs w:val="26"/>
                <w:lang w:val="lv-LV"/>
              </w:rPr>
              <w:t xml:space="preserve"> Nr.142 “Pārtikas un veterinārā dienesta nolikums” (turpmāk – noteikumi Nr.142) no</w:t>
            </w:r>
            <w:r w:rsidR="008769B6">
              <w:rPr>
                <w:szCs w:val="26"/>
                <w:lang w:val="lv-LV"/>
              </w:rPr>
              <w:t>teikts</w:t>
            </w:r>
            <w:r>
              <w:rPr>
                <w:szCs w:val="26"/>
                <w:lang w:val="lv-LV"/>
              </w:rPr>
              <w:t>, ka d</w:t>
            </w:r>
            <w:r w:rsidRPr="000073DE">
              <w:rPr>
                <w:szCs w:val="26"/>
                <w:lang w:val="lv-LV"/>
              </w:rPr>
              <w:t>ienesta darbības mērķis ir nodrošināt patērētājiem nekaitīgas un drošas pārtikas, dzīvnieku barības, dzīvnieku izcelsmes blakusproduktu (kas nav derīgi cilvēku patēriņam) un veterināro zāļu kvalificētu un efektīvu valsts uzraudzību un apriti, kā arī dzīvnieku veselības un labturības, ciltsdarba, nepārtikas preču drošuma un fitosanitāro robežkontroles prasību ievērošanu.</w:t>
            </w:r>
            <w:r>
              <w:rPr>
                <w:szCs w:val="26"/>
                <w:lang w:val="lv-LV"/>
              </w:rPr>
              <w:t xml:space="preserve"> Savukārt d</w:t>
            </w:r>
            <w:r w:rsidRPr="000073DE">
              <w:rPr>
                <w:szCs w:val="26"/>
                <w:lang w:val="lv-LV"/>
              </w:rPr>
              <w:t xml:space="preserve">ienesta funkcijas atbilstoši </w:t>
            </w:r>
            <w:r>
              <w:rPr>
                <w:szCs w:val="26"/>
                <w:lang w:val="lv-LV"/>
              </w:rPr>
              <w:t xml:space="preserve">noteikumiem Nr.142 </w:t>
            </w:r>
            <w:r w:rsidRPr="000073DE">
              <w:rPr>
                <w:szCs w:val="26"/>
                <w:lang w:val="lv-LV"/>
              </w:rPr>
              <w:t xml:space="preserve">ir īstenot valsts uzraudzību un kontroli pārtikas (tai skaitā materiālu un izstrādājumu, kas paredzēti saskarei ar pārtiku), dzīvnieku </w:t>
            </w:r>
            <w:r w:rsidRPr="000073DE">
              <w:rPr>
                <w:szCs w:val="26"/>
                <w:lang w:val="lv-LV"/>
              </w:rPr>
              <w:lastRenderedPageBreak/>
              <w:t>barības, dzīvnieku izcelsmes blakusproduktu (kas nav derīgi cilvēku patēriņam), veterināro zāļu aprites, dzīvnieku veselības, labturības un ciltsdarba jomā, kā arī nodrošināt nepārtikas preču drošuma un fitosanitāro robežkontroli.</w:t>
            </w:r>
          </w:p>
          <w:p w:rsidR="00A56D0D" w:rsidRDefault="00A56D0D" w:rsidP="0086291C">
            <w:pPr>
              <w:tabs>
                <w:tab w:val="left" w:pos="1134"/>
              </w:tabs>
              <w:jc w:val="both"/>
              <w:rPr>
                <w:szCs w:val="26"/>
                <w:lang w:val="lv-LV"/>
              </w:rPr>
            </w:pPr>
            <w:r>
              <w:rPr>
                <w:szCs w:val="26"/>
                <w:lang w:val="lv-LV"/>
              </w:rPr>
              <w:t>Ņemot vērā dienesta pilnvaras un iespējas, kā arī Valsts kontroles doto uzdevumu, dienests kadastra informācijas sistēmā var pārbaudīt būvju un telpu grupu lietošanas veida atbilstību plānotajai darbībai, pirms uzsāk jaun</w:t>
            </w:r>
            <w:r w:rsidR="008769B6">
              <w:rPr>
                <w:szCs w:val="26"/>
                <w:lang w:val="lv-LV"/>
              </w:rPr>
              <w:t>a</w:t>
            </w:r>
            <w:r>
              <w:rPr>
                <w:szCs w:val="26"/>
                <w:lang w:val="lv-LV"/>
              </w:rPr>
              <w:t xml:space="preserve"> pārtikas uzņēmuma reģistrācij</w:t>
            </w:r>
            <w:r w:rsidR="008769B6">
              <w:rPr>
                <w:szCs w:val="26"/>
                <w:lang w:val="lv-LV"/>
              </w:rPr>
              <w:t>u</w:t>
            </w:r>
            <w:r>
              <w:rPr>
                <w:szCs w:val="26"/>
                <w:lang w:val="lv-LV"/>
              </w:rPr>
              <w:t xml:space="preserve"> un atzīšan</w:t>
            </w:r>
            <w:r w:rsidR="008769B6">
              <w:rPr>
                <w:szCs w:val="26"/>
                <w:lang w:val="lv-LV"/>
              </w:rPr>
              <w:t>u</w:t>
            </w:r>
            <w:r>
              <w:rPr>
                <w:szCs w:val="26"/>
                <w:lang w:val="lv-LV"/>
              </w:rPr>
              <w:t>.</w:t>
            </w:r>
          </w:p>
          <w:p w:rsidR="00A56D0D" w:rsidRPr="00E80F69" w:rsidRDefault="00A56D0D" w:rsidP="008769B6">
            <w:pPr>
              <w:pStyle w:val="Sarakstarindkopa"/>
              <w:ind w:left="0"/>
              <w:jc w:val="both"/>
              <w:rPr>
                <w:color w:val="000000"/>
                <w:lang w:val="lv-LV"/>
              </w:rPr>
            </w:pPr>
            <w:r>
              <w:rPr>
                <w:szCs w:val="26"/>
                <w:lang w:val="lv-LV"/>
              </w:rPr>
              <w:t>Paredzamie grozījumi neatceļ spēkā esošās normas vispārēj</w:t>
            </w:r>
            <w:r w:rsidR="008769B6">
              <w:rPr>
                <w:szCs w:val="26"/>
                <w:lang w:val="lv-LV"/>
              </w:rPr>
              <w:t>os</w:t>
            </w:r>
            <w:r>
              <w:rPr>
                <w:szCs w:val="26"/>
                <w:lang w:val="lv-LV"/>
              </w:rPr>
              <w:t xml:space="preserve"> </w:t>
            </w:r>
            <w:r w:rsidR="008769B6">
              <w:rPr>
                <w:szCs w:val="26"/>
                <w:lang w:val="lv-LV"/>
              </w:rPr>
              <w:t>tiesību aktos</w:t>
            </w:r>
            <w:r>
              <w:rPr>
                <w:szCs w:val="26"/>
                <w:lang w:val="lv-LV"/>
              </w:rPr>
              <w:t xml:space="preserve">, kā arī neliedz atbildīgajām valsts un pašvaldības iestādēm </w:t>
            </w:r>
            <w:r w:rsidR="008769B6">
              <w:rPr>
                <w:szCs w:val="26"/>
                <w:lang w:val="lv-LV"/>
              </w:rPr>
              <w:t>pildīt</w:t>
            </w:r>
            <w:r>
              <w:rPr>
                <w:szCs w:val="26"/>
                <w:lang w:val="lv-LV"/>
              </w:rPr>
              <w:t xml:space="preserve"> to pienākumus vispārējo prasību kontrolē un uzraudzībā.</w:t>
            </w:r>
          </w:p>
        </w:tc>
      </w:tr>
    </w:tbl>
    <w:p w:rsidR="00A56D0D" w:rsidRPr="00E80F69" w:rsidRDefault="00A56D0D" w:rsidP="00A56D0D">
      <w:pPr>
        <w:rPr>
          <w:sz w:val="28"/>
          <w:szCs w:val="28"/>
          <w:lang w:val="lv-LV"/>
        </w:rPr>
      </w:pPr>
    </w:p>
    <w:tbl>
      <w:tblPr>
        <w:tblW w:w="4920"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56"/>
        <w:gridCol w:w="2552"/>
        <w:gridCol w:w="6125"/>
      </w:tblGrid>
      <w:tr w:rsidR="00A56D0D" w:rsidRPr="0064015B" w:rsidTr="0086291C">
        <w:tc>
          <w:tcPr>
            <w:tcW w:w="0" w:type="auto"/>
            <w:gridSpan w:val="3"/>
            <w:tcBorders>
              <w:top w:val="outset" w:sz="6" w:space="0" w:color="auto"/>
              <w:bottom w:val="outset" w:sz="6" w:space="0" w:color="auto"/>
            </w:tcBorders>
          </w:tcPr>
          <w:p w:rsidR="00A56D0D" w:rsidRPr="00E80F69" w:rsidRDefault="00A56D0D" w:rsidP="0086291C">
            <w:pPr>
              <w:jc w:val="center"/>
              <w:rPr>
                <w:b/>
                <w:sz w:val="28"/>
                <w:szCs w:val="28"/>
                <w:lang w:val="lv-LV"/>
              </w:rPr>
            </w:pPr>
            <w:r w:rsidRPr="00E80F69">
              <w:rPr>
                <w:b/>
                <w:szCs w:val="28"/>
                <w:lang w:val="lv-LV"/>
              </w:rPr>
              <w:t>II. Tiesību akta projekta ietekme uz sabiedrību,</w:t>
            </w:r>
            <w:r w:rsidRPr="00E80F69">
              <w:rPr>
                <w:b/>
                <w:bCs/>
                <w:szCs w:val="28"/>
                <w:lang w:val="lv-LV"/>
              </w:rPr>
              <w:t xml:space="preserve"> tautsaimniecības attīstību un administratīvo slogu</w:t>
            </w:r>
          </w:p>
        </w:tc>
      </w:tr>
      <w:tr w:rsidR="00A56D0D" w:rsidRPr="0064015B" w:rsidTr="0086291C">
        <w:tc>
          <w:tcPr>
            <w:tcW w:w="250" w:type="pct"/>
            <w:tcBorders>
              <w:top w:val="outset" w:sz="6" w:space="0" w:color="auto"/>
              <w:right w:val="outset" w:sz="6" w:space="0" w:color="auto"/>
            </w:tcBorders>
          </w:tcPr>
          <w:p w:rsidR="00A56D0D" w:rsidRPr="00E80F69" w:rsidRDefault="00A56D0D" w:rsidP="0086291C">
            <w:pPr>
              <w:jc w:val="center"/>
              <w:rPr>
                <w:lang w:val="lv-LV"/>
              </w:rPr>
            </w:pPr>
            <w:r w:rsidRPr="00E80F69">
              <w:rPr>
                <w:lang w:val="lv-LV"/>
              </w:rPr>
              <w:t>1.</w:t>
            </w:r>
          </w:p>
        </w:tc>
        <w:tc>
          <w:tcPr>
            <w:tcW w:w="1397" w:type="pct"/>
            <w:tcBorders>
              <w:top w:val="outset" w:sz="6" w:space="0" w:color="auto"/>
              <w:left w:val="outset" w:sz="6" w:space="0" w:color="auto"/>
              <w:right w:val="outset" w:sz="6" w:space="0" w:color="auto"/>
            </w:tcBorders>
          </w:tcPr>
          <w:p w:rsidR="00A56D0D" w:rsidRPr="00E80F69" w:rsidRDefault="00A56D0D" w:rsidP="0086291C">
            <w:pPr>
              <w:jc w:val="both"/>
              <w:rPr>
                <w:lang w:val="lv-LV"/>
              </w:rPr>
            </w:pPr>
            <w:r w:rsidRPr="00E80F69">
              <w:rPr>
                <w:lang w:val="lv-LV"/>
              </w:rPr>
              <w:t>Sabiedrības mērķgrupas, kuras tiesiskais regulējums ietekmē vai varētu ietekmēt</w:t>
            </w:r>
          </w:p>
        </w:tc>
        <w:tc>
          <w:tcPr>
            <w:tcW w:w="3353" w:type="pct"/>
            <w:tcBorders>
              <w:top w:val="outset" w:sz="6" w:space="0" w:color="auto"/>
              <w:left w:val="outset" w:sz="6" w:space="0" w:color="auto"/>
            </w:tcBorders>
          </w:tcPr>
          <w:p w:rsidR="00A56D0D" w:rsidRPr="00A578AE" w:rsidRDefault="00A56D0D" w:rsidP="005C6596">
            <w:pPr>
              <w:snapToGrid w:val="0"/>
              <w:ind w:right="150"/>
              <w:jc w:val="both"/>
              <w:rPr>
                <w:lang w:val="lv-LV"/>
              </w:rPr>
            </w:pPr>
            <w:r>
              <w:rPr>
                <w:lang w:val="lv-LV"/>
              </w:rPr>
              <w:t>Noteikumu p</w:t>
            </w:r>
            <w:r w:rsidRPr="009D24BA">
              <w:rPr>
                <w:lang w:val="lv-LV"/>
              </w:rPr>
              <w:t xml:space="preserve">rojekta tiesiskais regulējums attieksies uz pārtikas uzņēmumiem, kas </w:t>
            </w:r>
            <w:r w:rsidRPr="009D24BA">
              <w:rPr>
                <w:color w:val="000000"/>
                <w:lang w:val="lv-LV"/>
              </w:rPr>
              <w:t>plāno iesaistīties pārtikas apritē</w:t>
            </w:r>
            <w:r>
              <w:rPr>
                <w:color w:val="000000"/>
                <w:lang w:val="lv-LV"/>
              </w:rPr>
              <w:t xml:space="preserve">. </w:t>
            </w:r>
            <w:r w:rsidRPr="00E80F69">
              <w:rPr>
                <w:lang w:val="lv-LV"/>
              </w:rPr>
              <w:t>Dienesta uzraudzības objektu reģistrā 201</w:t>
            </w:r>
            <w:r>
              <w:rPr>
                <w:lang w:val="lv-LV"/>
              </w:rPr>
              <w:t>6</w:t>
            </w:r>
            <w:r w:rsidRPr="00E80F69">
              <w:rPr>
                <w:lang w:val="lv-LV"/>
              </w:rPr>
              <w:t xml:space="preserve">.gada </w:t>
            </w:r>
            <w:r>
              <w:rPr>
                <w:lang w:val="lv-LV"/>
              </w:rPr>
              <w:t xml:space="preserve">sākumā </w:t>
            </w:r>
            <w:r w:rsidR="008769B6">
              <w:rPr>
                <w:lang w:val="lv-LV"/>
              </w:rPr>
              <w:t>bija</w:t>
            </w:r>
            <w:r w:rsidRPr="004C1BC9">
              <w:rPr>
                <w:lang w:val="lv-LV"/>
              </w:rPr>
              <w:t xml:space="preserve"> </w:t>
            </w:r>
            <w:r>
              <w:rPr>
                <w:lang w:val="lv-LV" w:eastAsia="lv-LV"/>
              </w:rPr>
              <w:t>35412</w:t>
            </w:r>
            <w:r w:rsidR="008769B6">
              <w:rPr>
                <w:lang w:val="lv-LV"/>
              </w:rPr>
              <w:t xml:space="preserve"> u</w:t>
            </w:r>
            <w:r w:rsidR="008769B6" w:rsidRPr="004C1BC9">
              <w:rPr>
                <w:lang w:val="lv-LV"/>
              </w:rPr>
              <w:t>zņēmumu</w:t>
            </w:r>
            <w:r>
              <w:rPr>
                <w:lang w:val="lv-LV" w:eastAsia="lv-LV"/>
              </w:rPr>
              <w:t>, tai skaitā</w:t>
            </w:r>
            <w:r w:rsidRPr="004C1BC9">
              <w:rPr>
                <w:lang w:val="lv-LV" w:eastAsia="lv-LV"/>
              </w:rPr>
              <w:t xml:space="preserve"> 1250 atzīti. </w:t>
            </w:r>
            <w:r w:rsidR="008769B6">
              <w:rPr>
                <w:lang w:val="lv-LV" w:eastAsia="lv-LV"/>
              </w:rPr>
              <w:t>Starp tiem</w:t>
            </w:r>
            <w:r w:rsidRPr="004C1BC9">
              <w:rPr>
                <w:lang w:val="lv-LV" w:eastAsia="lv-LV"/>
              </w:rPr>
              <w:t xml:space="preserve"> ir arī dzīvnieku izcelsmes blakusproduktu uzņēmumi un saskarei ar pārtiku paredzēto materiālu un izstrādājumu aprite</w:t>
            </w:r>
            <w:r>
              <w:rPr>
                <w:lang w:val="lv-LV" w:eastAsia="lv-LV"/>
              </w:rPr>
              <w:t>s</w:t>
            </w:r>
            <w:r w:rsidRPr="004C1BC9">
              <w:rPr>
                <w:lang w:val="lv-LV" w:eastAsia="lv-LV"/>
              </w:rPr>
              <w:t xml:space="preserve"> uzņēmumi.</w:t>
            </w:r>
            <w:r w:rsidRPr="004C1BC9">
              <w:rPr>
                <w:lang w:val="lv-LV"/>
              </w:rPr>
              <w:t xml:space="preserve"> No jauna atz</w:t>
            </w:r>
            <w:r>
              <w:rPr>
                <w:lang w:val="lv-LV"/>
              </w:rPr>
              <w:t xml:space="preserve">īti 2013.gadā </w:t>
            </w:r>
            <w:r w:rsidR="008769B6">
              <w:rPr>
                <w:lang w:val="lv-LV"/>
              </w:rPr>
              <w:t>tika</w:t>
            </w:r>
            <w:r>
              <w:rPr>
                <w:lang w:val="lv-LV"/>
              </w:rPr>
              <w:t xml:space="preserve"> 100, 2014.gadā –</w:t>
            </w:r>
            <w:r w:rsidRPr="004C1BC9">
              <w:rPr>
                <w:lang w:val="lv-LV"/>
              </w:rPr>
              <w:t xml:space="preserve"> 70</w:t>
            </w:r>
            <w:r w:rsidR="008769B6">
              <w:rPr>
                <w:lang w:val="lv-LV"/>
              </w:rPr>
              <w:t xml:space="preserve"> un</w:t>
            </w:r>
            <w:r w:rsidRPr="004C1BC9">
              <w:rPr>
                <w:lang w:val="lv-LV"/>
              </w:rPr>
              <w:t xml:space="preserve"> 2015.gadā </w:t>
            </w:r>
            <w:r>
              <w:rPr>
                <w:lang w:val="lv-LV"/>
              </w:rPr>
              <w:t>–</w:t>
            </w:r>
            <w:r w:rsidRPr="004C1BC9">
              <w:rPr>
                <w:lang w:val="lv-LV"/>
              </w:rPr>
              <w:t xml:space="preserve"> 89</w:t>
            </w:r>
            <w:r w:rsidR="008769B6">
              <w:rPr>
                <w:lang w:val="lv-LV"/>
              </w:rPr>
              <w:t xml:space="preserve"> uzņēmumi</w:t>
            </w:r>
            <w:r w:rsidRPr="004C1BC9">
              <w:rPr>
                <w:lang w:val="lv-LV"/>
              </w:rPr>
              <w:t>. No jauna reģistr</w:t>
            </w:r>
            <w:r>
              <w:rPr>
                <w:lang w:val="lv-LV"/>
              </w:rPr>
              <w:t xml:space="preserve">ēti 2013.gadā </w:t>
            </w:r>
            <w:r w:rsidR="008769B6">
              <w:rPr>
                <w:lang w:val="lv-LV"/>
              </w:rPr>
              <w:t>tika</w:t>
            </w:r>
            <w:r>
              <w:rPr>
                <w:lang w:val="lv-LV"/>
              </w:rPr>
              <w:t xml:space="preserve"> 3668, 2014.gadā –</w:t>
            </w:r>
            <w:r w:rsidRPr="004C1BC9">
              <w:rPr>
                <w:lang w:val="lv-LV"/>
              </w:rPr>
              <w:t xml:space="preserve"> 3217</w:t>
            </w:r>
            <w:r w:rsidR="008769B6">
              <w:rPr>
                <w:lang w:val="lv-LV"/>
              </w:rPr>
              <w:t xml:space="preserve"> un</w:t>
            </w:r>
            <w:r w:rsidRPr="004C1BC9">
              <w:rPr>
                <w:lang w:val="lv-LV"/>
              </w:rPr>
              <w:t xml:space="preserve"> 2015.gadā – 3265</w:t>
            </w:r>
            <w:r w:rsidR="008769B6">
              <w:rPr>
                <w:lang w:val="lv-LV"/>
              </w:rPr>
              <w:t xml:space="preserve"> uzņēmumi</w:t>
            </w:r>
            <w:r w:rsidRPr="004C1BC9">
              <w:rPr>
                <w:lang w:val="lv-LV"/>
              </w:rPr>
              <w:t xml:space="preserve">. </w:t>
            </w:r>
            <w:r w:rsidR="008769B6">
              <w:rPr>
                <w:lang w:val="lv-LV"/>
              </w:rPr>
              <w:t>D</w:t>
            </w:r>
            <w:r w:rsidRPr="004C1BC9">
              <w:rPr>
                <w:lang w:val="lv-LV"/>
              </w:rPr>
              <w:t xml:space="preserve">arbību </w:t>
            </w:r>
            <w:r w:rsidR="008769B6" w:rsidRPr="004C1BC9">
              <w:rPr>
                <w:lang w:val="lv-LV"/>
              </w:rPr>
              <w:t>2013.gadā</w:t>
            </w:r>
            <w:r w:rsidR="008769B6">
              <w:rPr>
                <w:lang w:val="lv-LV"/>
              </w:rPr>
              <w:t xml:space="preserve"> ir pārtraukuši </w:t>
            </w:r>
            <w:r w:rsidR="005C6596" w:rsidRPr="004C1BC9">
              <w:rPr>
                <w:lang w:val="lv-LV"/>
              </w:rPr>
              <w:t>3202</w:t>
            </w:r>
            <w:r w:rsidR="005C6596">
              <w:rPr>
                <w:lang w:val="lv-LV"/>
              </w:rPr>
              <w:t xml:space="preserve"> </w:t>
            </w:r>
            <w:r w:rsidR="005C6596" w:rsidRPr="004C1BC9">
              <w:rPr>
                <w:lang w:val="lv-LV"/>
              </w:rPr>
              <w:t>uzņēmum</w:t>
            </w:r>
            <w:r w:rsidR="005C6596">
              <w:rPr>
                <w:lang w:val="lv-LV"/>
              </w:rPr>
              <w:t>i</w:t>
            </w:r>
            <w:r w:rsidRPr="004C1BC9">
              <w:rPr>
                <w:lang w:val="lv-LV"/>
              </w:rPr>
              <w:t xml:space="preserve">, 2014.gadā </w:t>
            </w:r>
            <w:r w:rsidR="005C6596">
              <w:rPr>
                <w:lang w:val="lv-LV"/>
              </w:rPr>
              <w:t xml:space="preserve">– </w:t>
            </w:r>
            <w:r w:rsidR="005C6596" w:rsidRPr="004C1BC9">
              <w:rPr>
                <w:lang w:val="lv-LV"/>
              </w:rPr>
              <w:t>2321</w:t>
            </w:r>
            <w:r w:rsidR="005C6596">
              <w:rPr>
                <w:lang w:val="lv-LV"/>
              </w:rPr>
              <w:t xml:space="preserve"> uzņēmums </w:t>
            </w:r>
            <w:r w:rsidR="008769B6">
              <w:rPr>
                <w:lang w:val="lv-LV"/>
              </w:rPr>
              <w:t xml:space="preserve">un </w:t>
            </w:r>
            <w:r w:rsidRPr="004C1BC9">
              <w:rPr>
                <w:lang w:val="lv-LV"/>
              </w:rPr>
              <w:t>2015.gadā – 2444</w:t>
            </w:r>
            <w:r w:rsidR="005C6596">
              <w:rPr>
                <w:lang w:val="lv-LV"/>
              </w:rPr>
              <w:t xml:space="preserve"> uzņēmumi, un attiecīgi</w:t>
            </w:r>
            <w:r w:rsidR="005C6596" w:rsidRPr="004C1BC9">
              <w:rPr>
                <w:lang w:val="lv-LV"/>
              </w:rPr>
              <w:t xml:space="preserve"> </w:t>
            </w:r>
            <w:r w:rsidR="005C6596">
              <w:rPr>
                <w:lang w:val="lv-LV"/>
              </w:rPr>
              <w:t xml:space="preserve">ir </w:t>
            </w:r>
            <w:r w:rsidR="005C6596" w:rsidRPr="004C1BC9">
              <w:rPr>
                <w:lang w:val="lv-LV"/>
              </w:rPr>
              <w:t xml:space="preserve">apturēta </w:t>
            </w:r>
            <w:r w:rsidR="005C6596">
              <w:rPr>
                <w:lang w:val="lv-LV"/>
              </w:rPr>
              <w:t xml:space="preserve">to </w:t>
            </w:r>
            <w:r w:rsidR="005C6596" w:rsidRPr="004C1BC9">
              <w:rPr>
                <w:lang w:val="lv-LV"/>
              </w:rPr>
              <w:t>darbība</w:t>
            </w:r>
            <w:r w:rsidR="005C6596">
              <w:rPr>
                <w:lang w:val="lv-LV"/>
              </w:rPr>
              <w:t>.</w:t>
            </w:r>
          </w:p>
        </w:tc>
      </w:tr>
      <w:tr w:rsidR="00A56D0D" w:rsidRPr="0064015B" w:rsidTr="0086291C">
        <w:tc>
          <w:tcPr>
            <w:tcW w:w="250" w:type="pct"/>
            <w:tcBorders>
              <w:top w:val="outset" w:sz="6" w:space="0" w:color="auto"/>
              <w:right w:val="outset" w:sz="6" w:space="0" w:color="auto"/>
            </w:tcBorders>
          </w:tcPr>
          <w:p w:rsidR="00A56D0D" w:rsidRPr="00E80F69" w:rsidRDefault="00A56D0D" w:rsidP="0086291C">
            <w:pPr>
              <w:jc w:val="center"/>
              <w:rPr>
                <w:lang w:val="lv-LV"/>
              </w:rPr>
            </w:pPr>
            <w:r w:rsidRPr="00E80F69">
              <w:rPr>
                <w:lang w:val="lv-LV"/>
              </w:rPr>
              <w:t>2.</w:t>
            </w:r>
          </w:p>
        </w:tc>
        <w:tc>
          <w:tcPr>
            <w:tcW w:w="1397" w:type="pct"/>
            <w:tcBorders>
              <w:top w:val="outset" w:sz="6" w:space="0" w:color="auto"/>
              <w:left w:val="outset" w:sz="6" w:space="0" w:color="auto"/>
              <w:right w:val="outset" w:sz="6" w:space="0" w:color="auto"/>
            </w:tcBorders>
          </w:tcPr>
          <w:p w:rsidR="00A56D0D" w:rsidRPr="00E80F69" w:rsidRDefault="00A56D0D" w:rsidP="0086291C">
            <w:pPr>
              <w:widowControl w:val="0"/>
              <w:jc w:val="both"/>
              <w:rPr>
                <w:lang w:val="lv-LV"/>
              </w:rPr>
            </w:pPr>
            <w:r w:rsidRPr="00E80F69">
              <w:rPr>
                <w:lang w:val="lv-LV"/>
              </w:rPr>
              <w:t>Tiesiskā regulējuma ietekme uz tautsaimniecību un administratīvo slogu</w:t>
            </w:r>
          </w:p>
        </w:tc>
        <w:tc>
          <w:tcPr>
            <w:tcW w:w="3353" w:type="pct"/>
            <w:tcBorders>
              <w:top w:val="outset" w:sz="6" w:space="0" w:color="auto"/>
              <w:left w:val="outset" w:sz="6" w:space="0" w:color="auto"/>
            </w:tcBorders>
          </w:tcPr>
          <w:p w:rsidR="00A56D0D" w:rsidRPr="009275EA" w:rsidRDefault="00A56D0D" w:rsidP="00EE4786">
            <w:pPr>
              <w:pStyle w:val="naiskr"/>
              <w:spacing w:before="0" w:beforeAutospacing="0" w:after="0" w:afterAutospacing="0"/>
              <w:jc w:val="both"/>
              <w:rPr>
                <w:color w:val="000000"/>
                <w:sz w:val="26"/>
                <w:szCs w:val="26"/>
              </w:rPr>
            </w:pPr>
            <w:r>
              <w:rPr>
                <w:szCs w:val="26"/>
              </w:rPr>
              <w:t>A</w:t>
            </w:r>
            <w:r w:rsidRPr="009275EA">
              <w:rPr>
                <w:szCs w:val="26"/>
              </w:rPr>
              <w:t xml:space="preserve">dministratīvais slogs </w:t>
            </w:r>
            <w:r w:rsidRPr="009275EA">
              <w:rPr>
                <w:color w:val="000000"/>
                <w:szCs w:val="26"/>
              </w:rPr>
              <w:t>p</w:t>
            </w:r>
            <w:r w:rsidRPr="009275EA">
              <w:rPr>
                <w:szCs w:val="26"/>
              </w:rPr>
              <w:t>ārtikas uzņēmumiem, k</w:t>
            </w:r>
            <w:r w:rsidR="005C6596">
              <w:rPr>
                <w:szCs w:val="26"/>
              </w:rPr>
              <w:t>as</w:t>
            </w:r>
            <w:r w:rsidRPr="009275EA">
              <w:rPr>
                <w:szCs w:val="26"/>
              </w:rPr>
              <w:t xml:space="preserve"> uzsāks atzīš</w:t>
            </w:r>
            <w:r>
              <w:rPr>
                <w:szCs w:val="26"/>
              </w:rPr>
              <w:t>anas un reģistrācijas procedūru</w:t>
            </w:r>
            <w:r w:rsidR="005C6596">
              <w:rPr>
                <w:szCs w:val="26"/>
              </w:rPr>
              <w:t>,</w:t>
            </w:r>
            <w:r>
              <w:rPr>
                <w:szCs w:val="26"/>
              </w:rPr>
              <w:t xml:space="preserve"> netiks palielināts,</w:t>
            </w:r>
            <w:r w:rsidRPr="009275EA">
              <w:rPr>
                <w:szCs w:val="26"/>
              </w:rPr>
              <w:t xml:space="preserve"> jo </w:t>
            </w:r>
            <w:r w:rsidRPr="009275EA">
              <w:rPr>
                <w:color w:val="000000"/>
                <w:szCs w:val="26"/>
              </w:rPr>
              <w:t>dienestam būs pieeja Nekustamā īpašuma valsts kadastra informācijas sistēma</w:t>
            </w:r>
            <w:r>
              <w:rPr>
                <w:color w:val="000000"/>
                <w:szCs w:val="26"/>
              </w:rPr>
              <w:t>i</w:t>
            </w:r>
            <w:r w:rsidRPr="009275EA">
              <w:rPr>
                <w:color w:val="000000"/>
                <w:szCs w:val="26"/>
              </w:rPr>
              <w:t xml:space="preserve">, kurā ir norādīta </w:t>
            </w:r>
            <w:r w:rsidRPr="009275EA">
              <w:rPr>
                <w:szCs w:val="26"/>
              </w:rPr>
              <w:t>informācija</w:t>
            </w:r>
            <w:r w:rsidRPr="009275EA">
              <w:rPr>
                <w:color w:val="000000"/>
                <w:szCs w:val="26"/>
              </w:rPr>
              <w:t xml:space="preserve"> </w:t>
            </w:r>
            <w:r w:rsidRPr="009275EA">
              <w:rPr>
                <w:szCs w:val="26"/>
              </w:rPr>
              <w:t>attiecīgās būves vai t</w:t>
            </w:r>
            <w:r w:rsidRPr="009275EA">
              <w:rPr>
                <w:color w:val="000000"/>
                <w:szCs w:val="26"/>
              </w:rPr>
              <w:t>elpu grupu lietošanas veid</w:t>
            </w:r>
            <w:r>
              <w:rPr>
                <w:color w:val="000000"/>
                <w:szCs w:val="26"/>
              </w:rPr>
              <w:t>u</w:t>
            </w:r>
            <w:r w:rsidRPr="009275EA">
              <w:rPr>
                <w:color w:val="000000"/>
                <w:szCs w:val="26"/>
              </w:rPr>
              <w:t>.</w:t>
            </w:r>
          </w:p>
        </w:tc>
      </w:tr>
      <w:tr w:rsidR="00A56D0D" w:rsidRPr="0064015B" w:rsidTr="0086291C">
        <w:tc>
          <w:tcPr>
            <w:tcW w:w="250" w:type="pct"/>
            <w:tcBorders>
              <w:top w:val="outset" w:sz="6" w:space="0" w:color="auto"/>
              <w:right w:val="outset" w:sz="6" w:space="0" w:color="auto"/>
            </w:tcBorders>
          </w:tcPr>
          <w:p w:rsidR="00A56D0D" w:rsidRPr="00E80F69" w:rsidRDefault="00A56D0D" w:rsidP="0086291C">
            <w:pPr>
              <w:pStyle w:val="Paraststmeklis"/>
              <w:spacing w:before="0" w:beforeAutospacing="0" w:after="0" w:afterAutospacing="0"/>
              <w:rPr>
                <w:lang w:val="lv-LV"/>
              </w:rPr>
            </w:pPr>
            <w:r w:rsidRPr="00E80F69">
              <w:rPr>
                <w:lang w:val="lv-LV"/>
              </w:rPr>
              <w:t>3.</w:t>
            </w:r>
          </w:p>
        </w:tc>
        <w:tc>
          <w:tcPr>
            <w:tcW w:w="1397" w:type="pct"/>
            <w:tcBorders>
              <w:top w:val="outset" w:sz="6" w:space="0" w:color="auto"/>
              <w:left w:val="outset" w:sz="6" w:space="0" w:color="auto"/>
              <w:right w:val="outset" w:sz="6" w:space="0" w:color="auto"/>
            </w:tcBorders>
          </w:tcPr>
          <w:p w:rsidR="00A56D0D" w:rsidRPr="00E80F69" w:rsidRDefault="00A56D0D" w:rsidP="0086291C">
            <w:pPr>
              <w:pStyle w:val="Paraststmeklis"/>
              <w:spacing w:before="0" w:beforeAutospacing="0" w:after="0" w:afterAutospacing="0"/>
              <w:jc w:val="both"/>
              <w:rPr>
                <w:lang w:val="lv-LV"/>
              </w:rPr>
            </w:pPr>
            <w:r w:rsidRPr="00E80F69">
              <w:rPr>
                <w:lang w:val="lv-LV"/>
              </w:rPr>
              <w:t>Administratīvo izmaksu monetārs novērtējums</w:t>
            </w:r>
          </w:p>
        </w:tc>
        <w:tc>
          <w:tcPr>
            <w:tcW w:w="3353" w:type="pct"/>
            <w:tcBorders>
              <w:top w:val="outset" w:sz="6" w:space="0" w:color="auto"/>
              <w:left w:val="outset" w:sz="6" w:space="0" w:color="auto"/>
            </w:tcBorders>
          </w:tcPr>
          <w:p w:rsidR="00A56D0D" w:rsidRPr="007E5B33" w:rsidRDefault="00B6569D" w:rsidP="0086291C">
            <w:pPr>
              <w:jc w:val="both"/>
              <w:rPr>
                <w:color w:val="000000"/>
                <w:lang w:val="lv-LV"/>
              </w:rPr>
            </w:pPr>
            <w:r w:rsidRPr="006022C3">
              <w:rPr>
                <w:lang w:val="lv-LV"/>
              </w:rPr>
              <w:t xml:space="preserve">Administratīvo izmaksu novērtējums mērķgrupai, ko veido juridiskas personas, nepārsniedz 2000 </w:t>
            </w:r>
            <w:r w:rsidRPr="006022C3">
              <w:rPr>
                <w:i/>
                <w:iCs/>
                <w:lang w:val="lv-LV"/>
              </w:rPr>
              <w:t>euro</w:t>
            </w:r>
            <w:r w:rsidRPr="006022C3">
              <w:rPr>
                <w:lang w:val="lv-LV"/>
              </w:rPr>
              <w:t xml:space="preserve"> gadā, bet fiziskām personām nepārsniedz 200 </w:t>
            </w:r>
            <w:r w:rsidRPr="006022C3">
              <w:rPr>
                <w:i/>
                <w:iCs/>
                <w:lang w:val="lv-LV"/>
              </w:rPr>
              <w:t>euro</w:t>
            </w:r>
            <w:r w:rsidRPr="006022C3">
              <w:rPr>
                <w:lang w:val="lv-LV"/>
              </w:rPr>
              <w:t>.</w:t>
            </w:r>
          </w:p>
        </w:tc>
      </w:tr>
      <w:tr w:rsidR="00A56D0D" w:rsidRPr="00E80F69" w:rsidTr="0086291C">
        <w:tc>
          <w:tcPr>
            <w:tcW w:w="250" w:type="pct"/>
            <w:tcBorders>
              <w:top w:val="outset" w:sz="6" w:space="0" w:color="auto"/>
              <w:bottom w:val="outset" w:sz="6" w:space="0" w:color="auto"/>
              <w:right w:val="outset" w:sz="6" w:space="0" w:color="auto"/>
            </w:tcBorders>
          </w:tcPr>
          <w:p w:rsidR="00A56D0D" w:rsidRPr="00E80F69" w:rsidRDefault="00A56D0D" w:rsidP="0086291C">
            <w:pPr>
              <w:pStyle w:val="Paraststmeklis"/>
              <w:spacing w:before="0" w:beforeAutospacing="0" w:after="0" w:afterAutospacing="0"/>
              <w:rPr>
                <w:lang w:val="lv-LV"/>
              </w:rPr>
            </w:pPr>
            <w:r w:rsidRPr="00E80F69">
              <w:rPr>
                <w:lang w:val="lv-LV"/>
              </w:rPr>
              <w:t>4.</w:t>
            </w:r>
          </w:p>
        </w:tc>
        <w:tc>
          <w:tcPr>
            <w:tcW w:w="1397" w:type="pct"/>
            <w:tcBorders>
              <w:top w:val="outset" w:sz="6" w:space="0" w:color="auto"/>
              <w:left w:val="outset" w:sz="6" w:space="0" w:color="auto"/>
              <w:bottom w:val="outset" w:sz="6" w:space="0" w:color="auto"/>
              <w:right w:val="outset" w:sz="6" w:space="0" w:color="auto"/>
            </w:tcBorders>
          </w:tcPr>
          <w:p w:rsidR="00A56D0D" w:rsidRPr="00E80F69" w:rsidRDefault="00A56D0D" w:rsidP="0086291C">
            <w:pPr>
              <w:jc w:val="both"/>
              <w:rPr>
                <w:lang w:val="lv-LV"/>
              </w:rPr>
            </w:pPr>
            <w:r w:rsidRPr="00E80F69">
              <w:rPr>
                <w:lang w:val="lv-LV"/>
              </w:rPr>
              <w:t>Cita informācija</w:t>
            </w:r>
          </w:p>
        </w:tc>
        <w:tc>
          <w:tcPr>
            <w:tcW w:w="3353" w:type="pct"/>
            <w:tcBorders>
              <w:top w:val="outset" w:sz="6" w:space="0" w:color="auto"/>
              <w:left w:val="outset" w:sz="6" w:space="0" w:color="auto"/>
              <w:bottom w:val="outset" w:sz="6" w:space="0" w:color="auto"/>
            </w:tcBorders>
          </w:tcPr>
          <w:p w:rsidR="00A56D0D" w:rsidRPr="00E80F69" w:rsidRDefault="00A56D0D" w:rsidP="0086291C">
            <w:pPr>
              <w:widowControl w:val="0"/>
              <w:jc w:val="both"/>
              <w:rPr>
                <w:lang w:val="lv-LV"/>
              </w:rPr>
            </w:pPr>
            <w:r w:rsidRPr="00E80F69">
              <w:rPr>
                <w:color w:val="000000"/>
                <w:lang w:val="lv-LV"/>
              </w:rPr>
              <w:t>Nav.</w:t>
            </w:r>
          </w:p>
        </w:tc>
      </w:tr>
    </w:tbl>
    <w:p w:rsidR="00A56D0D" w:rsidRPr="00E80F69" w:rsidRDefault="00A56D0D" w:rsidP="00A56D0D">
      <w:pPr>
        <w:jc w:val="both"/>
        <w:rPr>
          <w:szCs w:val="28"/>
          <w:lang w:val="lv-LV" w:eastAsia="lv-LV"/>
        </w:rPr>
      </w:pPr>
    </w:p>
    <w:tbl>
      <w:tblPr>
        <w:tblW w:w="5005"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412"/>
        <w:gridCol w:w="982"/>
        <w:gridCol w:w="1389"/>
        <w:gridCol w:w="1163"/>
        <w:gridCol w:w="1015"/>
        <w:gridCol w:w="1179"/>
      </w:tblGrid>
      <w:tr w:rsidR="00A56D0D" w:rsidRPr="0064015B" w:rsidTr="0086291C">
        <w:tc>
          <w:tcPr>
            <w:tcW w:w="5000" w:type="pct"/>
            <w:gridSpan w:val="6"/>
            <w:tcBorders>
              <w:top w:val="outset" w:sz="6" w:space="0" w:color="000000"/>
              <w:left w:val="outset" w:sz="6" w:space="0" w:color="000000"/>
              <w:bottom w:val="outset" w:sz="6" w:space="0" w:color="000000"/>
              <w:right w:val="outset" w:sz="6" w:space="0" w:color="000000"/>
            </w:tcBorders>
          </w:tcPr>
          <w:p w:rsidR="00A56D0D" w:rsidRPr="00A81039" w:rsidRDefault="00A56D0D" w:rsidP="0086291C">
            <w:pPr>
              <w:pStyle w:val="Paraststmeklis"/>
              <w:spacing w:before="0" w:beforeAutospacing="0" w:after="0" w:afterAutospacing="0"/>
              <w:jc w:val="center"/>
              <w:rPr>
                <w:b/>
                <w:bCs/>
                <w:lang w:val="lv-LV"/>
              </w:rPr>
            </w:pPr>
            <w:r w:rsidRPr="00A81039">
              <w:rPr>
                <w:b/>
                <w:bCs/>
                <w:lang w:val="lv-LV"/>
              </w:rPr>
              <w:t>III. Tiesību akta projekta ietekme uz valsts budžetu un pašvaldību budžetiem</w:t>
            </w:r>
          </w:p>
        </w:tc>
      </w:tr>
      <w:tr w:rsidR="00A56D0D" w:rsidRPr="009E2709" w:rsidTr="0086291C">
        <w:tc>
          <w:tcPr>
            <w:tcW w:w="1867" w:type="pct"/>
            <w:vMerge w:val="restart"/>
            <w:tcBorders>
              <w:top w:val="outset" w:sz="6" w:space="0" w:color="000000"/>
              <w:left w:val="outset" w:sz="6" w:space="0" w:color="000000"/>
              <w:bottom w:val="outset" w:sz="6" w:space="0" w:color="000000"/>
              <w:right w:val="outset" w:sz="6" w:space="0" w:color="000000"/>
            </w:tcBorders>
            <w:vAlign w:val="center"/>
          </w:tcPr>
          <w:p w:rsidR="00A56D0D" w:rsidRPr="009E2709" w:rsidRDefault="00A56D0D" w:rsidP="0086291C">
            <w:pPr>
              <w:pStyle w:val="Paraststmeklis"/>
              <w:spacing w:before="0" w:beforeAutospacing="0" w:after="0" w:afterAutospacing="0"/>
              <w:jc w:val="center"/>
              <w:rPr>
                <w:b/>
                <w:bCs/>
                <w:lang w:val="lv-LV"/>
              </w:rPr>
            </w:pPr>
            <w:r w:rsidRPr="009E2709">
              <w:rPr>
                <w:b/>
                <w:bCs/>
                <w:lang w:val="lv-LV"/>
              </w:rPr>
              <w:t>Rādītāji</w:t>
            </w:r>
          </w:p>
        </w:tc>
        <w:tc>
          <w:tcPr>
            <w:tcW w:w="1297" w:type="pct"/>
            <w:gridSpan w:val="2"/>
            <w:vMerge w:val="restart"/>
            <w:tcBorders>
              <w:top w:val="outset" w:sz="6" w:space="0" w:color="000000"/>
              <w:left w:val="outset" w:sz="6" w:space="0" w:color="000000"/>
              <w:bottom w:val="outset" w:sz="6" w:space="0" w:color="000000"/>
              <w:right w:val="outset" w:sz="6" w:space="0" w:color="000000"/>
            </w:tcBorders>
            <w:vAlign w:val="center"/>
          </w:tcPr>
          <w:p w:rsidR="00A56D0D" w:rsidRPr="009E2709" w:rsidRDefault="00A56D0D" w:rsidP="008735B6">
            <w:pPr>
              <w:pStyle w:val="Paraststmeklis"/>
              <w:spacing w:before="0" w:beforeAutospacing="0" w:after="0" w:afterAutospacing="0"/>
              <w:jc w:val="center"/>
              <w:rPr>
                <w:b/>
                <w:bCs/>
                <w:lang w:val="lv-LV"/>
              </w:rPr>
            </w:pPr>
            <w:r>
              <w:rPr>
                <w:b/>
                <w:bCs/>
                <w:lang w:val="lv-LV"/>
              </w:rPr>
              <w:t>201</w:t>
            </w:r>
            <w:r w:rsidR="008735B6">
              <w:rPr>
                <w:b/>
                <w:bCs/>
                <w:lang w:val="lv-LV"/>
              </w:rPr>
              <w:t>7</w:t>
            </w:r>
            <w:r>
              <w:rPr>
                <w:b/>
                <w:bCs/>
                <w:lang w:val="lv-LV"/>
              </w:rPr>
              <w:t>.</w:t>
            </w:r>
            <w:r w:rsidRPr="009E2709">
              <w:rPr>
                <w:b/>
                <w:bCs/>
                <w:lang w:val="lv-LV"/>
              </w:rPr>
              <w:t>gads</w:t>
            </w:r>
          </w:p>
        </w:tc>
        <w:tc>
          <w:tcPr>
            <w:tcW w:w="1836" w:type="pct"/>
            <w:gridSpan w:val="3"/>
            <w:tcBorders>
              <w:top w:val="outset" w:sz="6" w:space="0" w:color="000000"/>
              <w:left w:val="outset" w:sz="6" w:space="0" w:color="000000"/>
              <w:bottom w:val="outset" w:sz="6" w:space="0" w:color="000000"/>
              <w:right w:val="outset" w:sz="6" w:space="0" w:color="000000"/>
            </w:tcBorders>
            <w:vAlign w:val="center"/>
          </w:tcPr>
          <w:p w:rsidR="00A56D0D" w:rsidRPr="009E2709" w:rsidRDefault="00A56D0D" w:rsidP="0086291C">
            <w:pPr>
              <w:pStyle w:val="Paraststmeklis"/>
              <w:spacing w:before="0" w:beforeAutospacing="0" w:after="0" w:afterAutospacing="0"/>
              <w:jc w:val="center"/>
              <w:rPr>
                <w:lang w:val="lv-LV"/>
              </w:rPr>
            </w:pPr>
            <w:r w:rsidRPr="009E2709">
              <w:rPr>
                <w:lang w:val="lv-LV"/>
              </w:rPr>
              <w:t>Turpmākie trīs gadi (</w:t>
            </w:r>
            <w:r w:rsidRPr="009E2709">
              <w:rPr>
                <w:i/>
                <w:lang w:val="lv-LV"/>
              </w:rPr>
              <w:t>euro</w:t>
            </w:r>
            <w:r w:rsidRPr="009E2709">
              <w:rPr>
                <w:lang w:val="lv-LV"/>
              </w:rPr>
              <w:t>)</w:t>
            </w:r>
          </w:p>
        </w:tc>
      </w:tr>
      <w:tr w:rsidR="00A56D0D" w:rsidRPr="009E2709" w:rsidTr="0086291C">
        <w:tc>
          <w:tcPr>
            <w:tcW w:w="1867" w:type="pct"/>
            <w:vMerge/>
            <w:tcBorders>
              <w:top w:val="outset" w:sz="6" w:space="0" w:color="000000"/>
              <w:left w:val="outset" w:sz="6" w:space="0" w:color="000000"/>
              <w:bottom w:val="outset" w:sz="6" w:space="0" w:color="000000"/>
              <w:right w:val="outset" w:sz="6" w:space="0" w:color="000000"/>
            </w:tcBorders>
            <w:vAlign w:val="center"/>
          </w:tcPr>
          <w:p w:rsidR="00A56D0D" w:rsidRPr="009E2709" w:rsidRDefault="00A56D0D" w:rsidP="0086291C">
            <w:pPr>
              <w:rPr>
                <w:b/>
                <w:bCs/>
                <w:lang w:val="lv-LV"/>
              </w:rPr>
            </w:pPr>
          </w:p>
        </w:tc>
        <w:tc>
          <w:tcPr>
            <w:tcW w:w="1297" w:type="pct"/>
            <w:gridSpan w:val="2"/>
            <w:vMerge/>
            <w:tcBorders>
              <w:top w:val="outset" w:sz="6" w:space="0" w:color="000000"/>
              <w:left w:val="outset" w:sz="6" w:space="0" w:color="000000"/>
              <w:bottom w:val="outset" w:sz="6" w:space="0" w:color="000000"/>
              <w:right w:val="outset" w:sz="6" w:space="0" w:color="000000"/>
            </w:tcBorders>
            <w:vAlign w:val="center"/>
          </w:tcPr>
          <w:p w:rsidR="00A56D0D" w:rsidRPr="009E2709" w:rsidRDefault="00A56D0D" w:rsidP="0086291C">
            <w:pPr>
              <w:rPr>
                <w:b/>
                <w:bCs/>
                <w:lang w:val="lv-LV"/>
              </w:rPr>
            </w:pPr>
          </w:p>
        </w:tc>
        <w:tc>
          <w:tcPr>
            <w:tcW w:w="636" w:type="pct"/>
            <w:tcBorders>
              <w:top w:val="outset" w:sz="6" w:space="0" w:color="000000"/>
              <w:left w:val="outset" w:sz="6" w:space="0" w:color="000000"/>
              <w:bottom w:val="outset" w:sz="6" w:space="0" w:color="000000"/>
              <w:right w:val="outset" w:sz="6" w:space="0" w:color="000000"/>
            </w:tcBorders>
            <w:vAlign w:val="center"/>
          </w:tcPr>
          <w:p w:rsidR="00A56D0D" w:rsidRPr="009E2709" w:rsidRDefault="00A56D0D" w:rsidP="008735B6">
            <w:pPr>
              <w:pStyle w:val="Paraststmeklis"/>
              <w:spacing w:before="0" w:beforeAutospacing="0" w:after="0" w:afterAutospacing="0"/>
              <w:jc w:val="center"/>
              <w:rPr>
                <w:b/>
                <w:bCs/>
                <w:lang w:val="lv-LV"/>
              </w:rPr>
            </w:pPr>
            <w:r>
              <w:rPr>
                <w:b/>
                <w:bCs/>
                <w:lang w:val="lv-LV"/>
              </w:rPr>
              <w:t>201</w:t>
            </w:r>
            <w:r w:rsidR="008735B6">
              <w:rPr>
                <w:b/>
                <w:bCs/>
                <w:lang w:val="lv-LV"/>
              </w:rPr>
              <w:t>8</w:t>
            </w:r>
            <w:r>
              <w:rPr>
                <w:b/>
                <w:bCs/>
                <w:lang w:val="lv-LV"/>
              </w:rPr>
              <w:t>.</w:t>
            </w:r>
          </w:p>
        </w:tc>
        <w:tc>
          <w:tcPr>
            <w:tcW w:w="555" w:type="pct"/>
            <w:tcBorders>
              <w:top w:val="outset" w:sz="6" w:space="0" w:color="000000"/>
              <w:left w:val="outset" w:sz="6" w:space="0" w:color="000000"/>
              <w:bottom w:val="outset" w:sz="6" w:space="0" w:color="000000"/>
              <w:right w:val="outset" w:sz="6" w:space="0" w:color="000000"/>
            </w:tcBorders>
            <w:vAlign w:val="center"/>
          </w:tcPr>
          <w:p w:rsidR="00A56D0D" w:rsidRPr="009E2709" w:rsidRDefault="00A56D0D" w:rsidP="008735B6">
            <w:pPr>
              <w:pStyle w:val="Paraststmeklis"/>
              <w:spacing w:before="0" w:beforeAutospacing="0" w:after="0" w:afterAutospacing="0"/>
              <w:jc w:val="center"/>
              <w:rPr>
                <w:b/>
                <w:bCs/>
                <w:lang w:val="lv-LV"/>
              </w:rPr>
            </w:pPr>
            <w:r>
              <w:rPr>
                <w:b/>
                <w:bCs/>
                <w:lang w:val="lv-LV"/>
              </w:rPr>
              <w:t>201</w:t>
            </w:r>
            <w:r w:rsidR="008735B6">
              <w:rPr>
                <w:b/>
                <w:bCs/>
                <w:lang w:val="lv-LV"/>
              </w:rPr>
              <w:t>9</w:t>
            </w:r>
            <w:r>
              <w:rPr>
                <w:b/>
                <w:bCs/>
                <w:lang w:val="lv-LV"/>
              </w:rPr>
              <w:t>.</w:t>
            </w:r>
          </w:p>
        </w:tc>
        <w:tc>
          <w:tcPr>
            <w:tcW w:w="645" w:type="pct"/>
            <w:tcBorders>
              <w:top w:val="outset" w:sz="6" w:space="0" w:color="000000"/>
              <w:left w:val="outset" w:sz="6" w:space="0" w:color="000000"/>
              <w:bottom w:val="outset" w:sz="6" w:space="0" w:color="000000"/>
              <w:right w:val="outset" w:sz="6" w:space="0" w:color="000000"/>
            </w:tcBorders>
            <w:vAlign w:val="center"/>
          </w:tcPr>
          <w:p w:rsidR="00A56D0D" w:rsidRPr="009E2709" w:rsidRDefault="00A56D0D" w:rsidP="008735B6">
            <w:pPr>
              <w:pStyle w:val="Paraststmeklis"/>
              <w:spacing w:before="0" w:beforeAutospacing="0" w:after="0" w:afterAutospacing="0"/>
              <w:jc w:val="center"/>
              <w:rPr>
                <w:b/>
                <w:bCs/>
                <w:lang w:val="lv-LV"/>
              </w:rPr>
            </w:pPr>
            <w:r>
              <w:rPr>
                <w:b/>
                <w:bCs/>
                <w:lang w:val="lv-LV"/>
              </w:rPr>
              <w:t>2</w:t>
            </w:r>
            <w:r w:rsidR="008735B6">
              <w:rPr>
                <w:b/>
                <w:bCs/>
                <w:lang w:val="lv-LV"/>
              </w:rPr>
              <w:t>020</w:t>
            </w:r>
            <w:r>
              <w:rPr>
                <w:b/>
                <w:bCs/>
                <w:lang w:val="lv-LV"/>
              </w:rPr>
              <w:t>.</w:t>
            </w:r>
          </w:p>
        </w:tc>
      </w:tr>
      <w:tr w:rsidR="00A56D0D" w:rsidRPr="00381B0F" w:rsidTr="0086291C">
        <w:tc>
          <w:tcPr>
            <w:tcW w:w="1867" w:type="pct"/>
            <w:vMerge/>
            <w:tcBorders>
              <w:top w:val="outset" w:sz="6" w:space="0" w:color="000000"/>
              <w:left w:val="outset" w:sz="6" w:space="0" w:color="000000"/>
              <w:bottom w:val="outset" w:sz="6" w:space="0" w:color="000000"/>
              <w:right w:val="outset" w:sz="6" w:space="0" w:color="000000"/>
            </w:tcBorders>
            <w:vAlign w:val="center"/>
          </w:tcPr>
          <w:p w:rsidR="00A56D0D" w:rsidRPr="009E2709" w:rsidRDefault="00A56D0D" w:rsidP="0086291C">
            <w:pPr>
              <w:rPr>
                <w:b/>
                <w:bCs/>
                <w:lang w:val="lv-LV"/>
              </w:rPr>
            </w:pPr>
          </w:p>
        </w:tc>
        <w:tc>
          <w:tcPr>
            <w:tcW w:w="537" w:type="pct"/>
            <w:tcBorders>
              <w:top w:val="outset" w:sz="6" w:space="0" w:color="000000"/>
              <w:left w:val="outset" w:sz="6" w:space="0" w:color="000000"/>
              <w:bottom w:val="outset" w:sz="6" w:space="0" w:color="000000"/>
              <w:right w:val="outset" w:sz="6" w:space="0" w:color="000000"/>
            </w:tcBorders>
            <w:vAlign w:val="center"/>
          </w:tcPr>
          <w:p w:rsidR="00A56D0D" w:rsidRPr="009E2709" w:rsidRDefault="00A56D0D" w:rsidP="0086291C">
            <w:pPr>
              <w:pStyle w:val="Paraststmeklis"/>
              <w:spacing w:before="0" w:beforeAutospacing="0" w:after="0" w:afterAutospacing="0"/>
              <w:jc w:val="center"/>
              <w:rPr>
                <w:lang w:val="lv-LV"/>
              </w:rPr>
            </w:pPr>
            <w:r w:rsidRPr="009E2709">
              <w:rPr>
                <w:lang w:val="lv-LV"/>
              </w:rPr>
              <w:t xml:space="preserve">saskaņā ar valsts budžetu kārtējam </w:t>
            </w:r>
            <w:r w:rsidRPr="009E2709">
              <w:rPr>
                <w:lang w:val="lv-LV"/>
              </w:rPr>
              <w:lastRenderedPageBreak/>
              <w:t>gadam</w:t>
            </w:r>
          </w:p>
        </w:tc>
        <w:tc>
          <w:tcPr>
            <w:tcW w:w="760" w:type="pct"/>
            <w:tcBorders>
              <w:top w:val="outset" w:sz="6" w:space="0" w:color="000000"/>
              <w:left w:val="outset" w:sz="6" w:space="0" w:color="000000"/>
              <w:bottom w:val="outset" w:sz="6" w:space="0" w:color="000000"/>
              <w:right w:val="outset" w:sz="6" w:space="0" w:color="000000"/>
            </w:tcBorders>
            <w:vAlign w:val="center"/>
          </w:tcPr>
          <w:p w:rsidR="00A56D0D" w:rsidRPr="009E2709" w:rsidRDefault="00A56D0D" w:rsidP="0086291C">
            <w:pPr>
              <w:pStyle w:val="Paraststmeklis"/>
              <w:spacing w:before="0" w:beforeAutospacing="0" w:after="0" w:afterAutospacing="0"/>
              <w:jc w:val="center"/>
              <w:rPr>
                <w:lang w:val="lv-LV"/>
              </w:rPr>
            </w:pPr>
            <w:r w:rsidRPr="009E2709">
              <w:rPr>
                <w:lang w:val="lv-LV"/>
              </w:rPr>
              <w:lastRenderedPageBreak/>
              <w:t xml:space="preserve">izmaiņas kārtējā gadā, salīdzinot ar budžetu </w:t>
            </w:r>
            <w:r w:rsidRPr="009E2709">
              <w:rPr>
                <w:lang w:val="lv-LV"/>
              </w:rPr>
              <w:lastRenderedPageBreak/>
              <w:t>kārtējam gadam</w:t>
            </w:r>
          </w:p>
        </w:tc>
        <w:tc>
          <w:tcPr>
            <w:tcW w:w="636" w:type="pct"/>
            <w:tcBorders>
              <w:top w:val="outset" w:sz="6" w:space="0" w:color="000000"/>
              <w:left w:val="outset" w:sz="6" w:space="0" w:color="000000"/>
              <w:bottom w:val="outset" w:sz="6" w:space="0" w:color="000000"/>
              <w:right w:val="outset" w:sz="6" w:space="0" w:color="000000"/>
            </w:tcBorders>
            <w:vAlign w:val="center"/>
          </w:tcPr>
          <w:p w:rsidR="00A56D0D" w:rsidRPr="009E2709" w:rsidRDefault="00A56D0D" w:rsidP="0086291C">
            <w:pPr>
              <w:pStyle w:val="Paraststmeklis"/>
              <w:spacing w:before="0" w:beforeAutospacing="0" w:after="0" w:afterAutospacing="0"/>
              <w:jc w:val="center"/>
              <w:rPr>
                <w:lang w:val="lv-LV"/>
              </w:rPr>
            </w:pPr>
            <w:r w:rsidRPr="009E2709">
              <w:rPr>
                <w:lang w:val="lv-LV"/>
              </w:rPr>
              <w:lastRenderedPageBreak/>
              <w:t>izmaiņas, salīdzinot ar kārtējo (n) gadu</w:t>
            </w:r>
          </w:p>
        </w:tc>
        <w:tc>
          <w:tcPr>
            <w:tcW w:w="555" w:type="pct"/>
            <w:tcBorders>
              <w:top w:val="outset" w:sz="6" w:space="0" w:color="000000"/>
              <w:left w:val="outset" w:sz="6" w:space="0" w:color="000000"/>
              <w:bottom w:val="outset" w:sz="6" w:space="0" w:color="000000"/>
              <w:right w:val="outset" w:sz="6" w:space="0" w:color="000000"/>
            </w:tcBorders>
            <w:vAlign w:val="center"/>
          </w:tcPr>
          <w:p w:rsidR="00A56D0D" w:rsidRPr="009E2709" w:rsidRDefault="00A56D0D" w:rsidP="0086291C">
            <w:pPr>
              <w:pStyle w:val="Paraststmeklis"/>
              <w:spacing w:before="0" w:beforeAutospacing="0" w:after="0" w:afterAutospacing="0"/>
              <w:jc w:val="center"/>
              <w:rPr>
                <w:lang w:val="lv-LV"/>
              </w:rPr>
            </w:pPr>
            <w:r w:rsidRPr="009E2709">
              <w:rPr>
                <w:lang w:val="lv-LV"/>
              </w:rPr>
              <w:t>izmaiņas, salīdzinot ar kārtējo (n) gadu</w:t>
            </w:r>
          </w:p>
        </w:tc>
        <w:tc>
          <w:tcPr>
            <w:tcW w:w="645" w:type="pct"/>
            <w:tcBorders>
              <w:top w:val="outset" w:sz="6" w:space="0" w:color="000000"/>
              <w:left w:val="outset" w:sz="6" w:space="0" w:color="000000"/>
              <w:bottom w:val="outset" w:sz="6" w:space="0" w:color="000000"/>
              <w:right w:val="outset" w:sz="6" w:space="0" w:color="000000"/>
            </w:tcBorders>
            <w:vAlign w:val="center"/>
          </w:tcPr>
          <w:p w:rsidR="00A56D0D" w:rsidRPr="009E2709" w:rsidRDefault="00A56D0D" w:rsidP="0086291C">
            <w:pPr>
              <w:pStyle w:val="Paraststmeklis"/>
              <w:spacing w:before="0" w:beforeAutospacing="0" w:after="0" w:afterAutospacing="0"/>
              <w:jc w:val="center"/>
              <w:rPr>
                <w:lang w:val="lv-LV"/>
              </w:rPr>
            </w:pPr>
            <w:r w:rsidRPr="009E2709">
              <w:rPr>
                <w:lang w:val="lv-LV"/>
              </w:rPr>
              <w:t>izmaiņas, salīdzinot ar kārtējo (n) gadu</w:t>
            </w:r>
          </w:p>
        </w:tc>
      </w:tr>
      <w:tr w:rsidR="00A56D0D" w:rsidRPr="009E2709" w:rsidTr="0086291C">
        <w:tc>
          <w:tcPr>
            <w:tcW w:w="1867" w:type="pct"/>
            <w:tcBorders>
              <w:top w:val="outset" w:sz="6" w:space="0" w:color="000000"/>
              <w:left w:val="outset" w:sz="6" w:space="0" w:color="000000"/>
              <w:bottom w:val="outset" w:sz="6" w:space="0" w:color="000000"/>
              <w:right w:val="outset" w:sz="6" w:space="0" w:color="000000"/>
            </w:tcBorders>
            <w:vAlign w:val="center"/>
          </w:tcPr>
          <w:p w:rsidR="00A56D0D" w:rsidRPr="009E2709" w:rsidRDefault="00A56D0D" w:rsidP="0086291C">
            <w:pPr>
              <w:pStyle w:val="Paraststmeklis"/>
              <w:spacing w:before="0" w:beforeAutospacing="0" w:after="0" w:afterAutospacing="0"/>
              <w:jc w:val="center"/>
              <w:rPr>
                <w:lang w:val="lv-LV"/>
              </w:rPr>
            </w:pPr>
            <w:r w:rsidRPr="009E2709">
              <w:rPr>
                <w:lang w:val="lv-LV"/>
              </w:rPr>
              <w:t>1</w:t>
            </w:r>
          </w:p>
        </w:tc>
        <w:tc>
          <w:tcPr>
            <w:tcW w:w="537" w:type="pct"/>
            <w:tcBorders>
              <w:top w:val="outset" w:sz="6" w:space="0" w:color="000000"/>
              <w:left w:val="outset" w:sz="6" w:space="0" w:color="000000"/>
              <w:bottom w:val="outset" w:sz="6" w:space="0" w:color="000000"/>
              <w:right w:val="outset" w:sz="6" w:space="0" w:color="000000"/>
            </w:tcBorders>
            <w:vAlign w:val="center"/>
          </w:tcPr>
          <w:p w:rsidR="00A56D0D" w:rsidRPr="009E2709" w:rsidRDefault="00A56D0D" w:rsidP="0086291C">
            <w:pPr>
              <w:pStyle w:val="Paraststmeklis"/>
              <w:spacing w:before="0" w:beforeAutospacing="0" w:after="0" w:afterAutospacing="0"/>
              <w:jc w:val="center"/>
              <w:rPr>
                <w:lang w:val="lv-LV"/>
              </w:rPr>
            </w:pPr>
            <w:r w:rsidRPr="009E2709">
              <w:rPr>
                <w:lang w:val="lv-LV"/>
              </w:rPr>
              <w:t>2</w:t>
            </w:r>
          </w:p>
        </w:tc>
        <w:tc>
          <w:tcPr>
            <w:tcW w:w="760" w:type="pct"/>
            <w:tcBorders>
              <w:top w:val="outset" w:sz="6" w:space="0" w:color="000000"/>
              <w:left w:val="outset" w:sz="6" w:space="0" w:color="000000"/>
              <w:bottom w:val="outset" w:sz="6" w:space="0" w:color="000000"/>
              <w:right w:val="outset" w:sz="6" w:space="0" w:color="000000"/>
            </w:tcBorders>
            <w:vAlign w:val="center"/>
          </w:tcPr>
          <w:p w:rsidR="00A56D0D" w:rsidRPr="009E2709" w:rsidRDefault="00A56D0D" w:rsidP="0086291C">
            <w:pPr>
              <w:pStyle w:val="Paraststmeklis"/>
              <w:spacing w:before="0" w:beforeAutospacing="0" w:after="0" w:afterAutospacing="0"/>
              <w:jc w:val="center"/>
              <w:rPr>
                <w:lang w:val="lv-LV"/>
              </w:rPr>
            </w:pPr>
            <w:r w:rsidRPr="009E2709">
              <w:rPr>
                <w:lang w:val="lv-LV"/>
              </w:rPr>
              <w:t>3</w:t>
            </w:r>
          </w:p>
        </w:tc>
        <w:tc>
          <w:tcPr>
            <w:tcW w:w="636" w:type="pct"/>
            <w:tcBorders>
              <w:top w:val="outset" w:sz="6" w:space="0" w:color="000000"/>
              <w:left w:val="outset" w:sz="6" w:space="0" w:color="000000"/>
              <w:bottom w:val="outset" w:sz="6" w:space="0" w:color="000000"/>
              <w:right w:val="outset" w:sz="6" w:space="0" w:color="000000"/>
            </w:tcBorders>
            <w:vAlign w:val="center"/>
          </w:tcPr>
          <w:p w:rsidR="00A56D0D" w:rsidRPr="009E2709" w:rsidRDefault="00A56D0D" w:rsidP="0086291C">
            <w:pPr>
              <w:pStyle w:val="Paraststmeklis"/>
              <w:spacing w:before="0" w:beforeAutospacing="0" w:after="0" w:afterAutospacing="0"/>
              <w:jc w:val="center"/>
              <w:rPr>
                <w:lang w:val="lv-LV"/>
              </w:rPr>
            </w:pPr>
            <w:r w:rsidRPr="009E2709">
              <w:rPr>
                <w:lang w:val="lv-LV"/>
              </w:rPr>
              <w:t>4</w:t>
            </w:r>
          </w:p>
        </w:tc>
        <w:tc>
          <w:tcPr>
            <w:tcW w:w="555" w:type="pct"/>
            <w:tcBorders>
              <w:top w:val="outset" w:sz="6" w:space="0" w:color="000000"/>
              <w:left w:val="outset" w:sz="6" w:space="0" w:color="000000"/>
              <w:bottom w:val="outset" w:sz="6" w:space="0" w:color="000000"/>
              <w:right w:val="outset" w:sz="6" w:space="0" w:color="000000"/>
            </w:tcBorders>
            <w:vAlign w:val="center"/>
          </w:tcPr>
          <w:p w:rsidR="00A56D0D" w:rsidRPr="009E2709" w:rsidRDefault="00A56D0D" w:rsidP="0086291C">
            <w:pPr>
              <w:pStyle w:val="Paraststmeklis"/>
              <w:spacing w:before="0" w:beforeAutospacing="0" w:after="0" w:afterAutospacing="0"/>
              <w:jc w:val="center"/>
              <w:rPr>
                <w:lang w:val="lv-LV"/>
              </w:rPr>
            </w:pPr>
            <w:r w:rsidRPr="009E2709">
              <w:rPr>
                <w:lang w:val="lv-LV"/>
              </w:rPr>
              <w:t>5</w:t>
            </w:r>
          </w:p>
        </w:tc>
        <w:tc>
          <w:tcPr>
            <w:tcW w:w="645" w:type="pct"/>
            <w:tcBorders>
              <w:top w:val="outset" w:sz="6" w:space="0" w:color="000000"/>
              <w:left w:val="outset" w:sz="6" w:space="0" w:color="000000"/>
              <w:bottom w:val="outset" w:sz="6" w:space="0" w:color="000000"/>
              <w:right w:val="outset" w:sz="6" w:space="0" w:color="000000"/>
            </w:tcBorders>
            <w:vAlign w:val="center"/>
          </w:tcPr>
          <w:p w:rsidR="00A56D0D" w:rsidRPr="009E2709" w:rsidRDefault="00A56D0D" w:rsidP="0086291C">
            <w:pPr>
              <w:pStyle w:val="Paraststmeklis"/>
              <w:spacing w:before="0" w:beforeAutospacing="0" w:after="0" w:afterAutospacing="0"/>
              <w:jc w:val="center"/>
              <w:rPr>
                <w:lang w:val="lv-LV"/>
              </w:rPr>
            </w:pPr>
            <w:r w:rsidRPr="009E2709">
              <w:rPr>
                <w:lang w:val="lv-LV"/>
              </w:rPr>
              <w:t>6</w:t>
            </w:r>
          </w:p>
        </w:tc>
      </w:tr>
      <w:tr w:rsidR="007E5B33" w:rsidRPr="009E2709" w:rsidTr="0086291C">
        <w:tc>
          <w:tcPr>
            <w:tcW w:w="1867"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pStyle w:val="Paraststmeklis"/>
              <w:spacing w:before="0" w:beforeAutospacing="0" w:after="0" w:afterAutospacing="0"/>
              <w:jc w:val="both"/>
              <w:rPr>
                <w:lang w:val="lv-LV"/>
              </w:rPr>
            </w:pPr>
            <w:r w:rsidRPr="009E2709">
              <w:rPr>
                <w:lang w:val="lv-LV"/>
              </w:rPr>
              <w:t>1. Budžeta ieņēmumi:</w:t>
            </w:r>
          </w:p>
        </w:tc>
        <w:tc>
          <w:tcPr>
            <w:tcW w:w="537" w:type="pct"/>
            <w:tcBorders>
              <w:top w:val="outset" w:sz="6" w:space="0" w:color="000000"/>
              <w:left w:val="outset" w:sz="6" w:space="0" w:color="000000"/>
              <w:bottom w:val="outset" w:sz="6" w:space="0" w:color="000000"/>
              <w:right w:val="outset" w:sz="6" w:space="0" w:color="000000"/>
            </w:tcBorders>
          </w:tcPr>
          <w:p w:rsidR="007E5B33" w:rsidRPr="00043211" w:rsidRDefault="007E5B33" w:rsidP="007E5B33">
            <w:pPr>
              <w:jc w:val="center"/>
              <w:rPr>
                <w:lang w:val="lv-LV"/>
              </w:rPr>
            </w:pPr>
            <w:r w:rsidRPr="00043211">
              <w:rPr>
                <w:lang w:val="lv-LV"/>
              </w:rPr>
              <w:t>0</w:t>
            </w:r>
          </w:p>
        </w:tc>
        <w:tc>
          <w:tcPr>
            <w:tcW w:w="760" w:type="pct"/>
            <w:tcBorders>
              <w:top w:val="outset" w:sz="6" w:space="0" w:color="000000"/>
              <w:left w:val="outset" w:sz="6" w:space="0" w:color="000000"/>
              <w:bottom w:val="outset" w:sz="6" w:space="0" w:color="000000"/>
              <w:right w:val="outset" w:sz="6" w:space="0" w:color="000000"/>
            </w:tcBorders>
          </w:tcPr>
          <w:p w:rsidR="007E5B33" w:rsidRPr="00043211" w:rsidRDefault="007E5B33" w:rsidP="007E5B33">
            <w:pPr>
              <w:jc w:val="center"/>
              <w:rPr>
                <w:lang w:val="lv-LV"/>
              </w:rPr>
            </w:pPr>
            <w:r w:rsidRPr="00043211">
              <w:rPr>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7E5B33" w:rsidRPr="00043211" w:rsidRDefault="007E5B33" w:rsidP="007E5B33">
            <w:pPr>
              <w:jc w:val="center"/>
              <w:rPr>
                <w:lang w:val="lv-LV"/>
              </w:rPr>
            </w:pPr>
            <w:r w:rsidRPr="00043211">
              <w:rPr>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7E5B33" w:rsidRPr="00043211" w:rsidRDefault="007E5B33" w:rsidP="007E5B33">
            <w:pPr>
              <w:jc w:val="center"/>
              <w:rPr>
                <w:lang w:val="lv-LV"/>
              </w:rPr>
            </w:pPr>
            <w:r w:rsidRPr="00043211">
              <w:rPr>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7E5B33" w:rsidRPr="00043211" w:rsidRDefault="007E5B33" w:rsidP="007E5B33">
            <w:pPr>
              <w:jc w:val="center"/>
              <w:rPr>
                <w:lang w:val="lv-LV"/>
              </w:rPr>
            </w:pPr>
            <w:r w:rsidRPr="00043211">
              <w:rPr>
                <w:lang w:val="lv-LV"/>
              </w:rPr>
              <w:t>0</w:t>
            </w:r>
          </w:p>
        </w:tc>
      </w:tr>
      <w:tr w:rsidR="007E5B33" w:rsidRPr="009E2709" w:rsidTr="0086291C">
        <w:tc>
          <w:tcPr>
            <w:tcW w:w="1867"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pStyle w:val="Paraststmeklis"/>
              <w:spacing w:before="0" w:beforeAutospacing="0" w:after="0" w:afterAutospacing="0"/>
              <w:jc w:val="both"/>
              <w:rPr>
                <w:lang w:val="lv-LV"/>
              </w:rPr>
            </w:pPr>
            <w:r w:rsidRPr="009E2709">
              <w:rPr>
                <w:lang w:val="lv-LV"/>
              </w:rPr>
              <w:t>1.1. valsts pamatbudžets, tai skaitā ieņēmumi no maksas pakalpojumiem un citi pašu ieņēmumi</w:t>
            </w:r>
          </w:p>
        </w:tc>
        <w:tc>
          <w:tcPr>
            <w:tcW w:w="537"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r>
              <w:rPr>
                <w:lang w:val="lv-LV"/>
              </w:rPr>
              <w:t>0</w:t>
            </w:r>
          </w:p>
        </w:tc>
        <w:tc>
          <w:tcPr>
            <w:tcW w:w="760"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r>
              <w:rPr>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r>
              <w:rPr>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r>
              <w:rPr>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r>
              <w:rPr>
                <w:lang w:val="lv-LV"/>
              </w:rPr>
              <w:t>0</w:t>
            </w:r>
          </w:p>
        </w:tc>
      </w:tr>
      <w:tr w:rsidR="007E5B33" w:rsidRPr="009E2709" w:rsidTr="0086291C">
        <w:tc>
          <w:tcPr>
            <w:tcW w:w="1867"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pStyle w:val="Paraststmeklis"/>
              <w:spacing w:before="0" w:beforeAutospacing="0" w:after="0" w:afterAutospacing="0"/>
              <w:jc w:val="both"/>
              <w:rPr>
                <w:lang w:val="lv-LV"/>
              </w:rPr>
            </w:pPr>
            <w:r w:rsidRPr="009E2709">
              <w:rPr>
                <w:lang w:val="lv-LV"/>
              </w:rPr>
              <w:t>1.2. valsts speciālais budžets</w:t>
            </w:r>
          </w:p>
        </w:tc>
        <w:tc>
          <w:tcPr>
            <w:tcW w:w="537"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c>
          <w:tcPr>
            <w:tcW w:w="760"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c>
          <w:tcPr>
            <w:tcW w:w="636"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c>
          <w:tcPr>
            <w:tcW w:w="555"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c>
          <w:tcPr>
            <w:tcW w:w="645"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r>
      <w:tr w:rsidR="007E5B33" w:rsidRPr="009E2709" w:rsidTr="0086291C">
        <w:trPr>
          <w:trHeight w:val="158"/>
        </w:trPr>
        <w:tc>
          <w:tcPr>
            <w:tcW w:w="1867"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pStyle w:val="Paraststmeklis"/>
              <w:spacing w:before="0" w:beforeAutospacing="0" w:after="0" w:afterAutospacing="0"/>
              <w:jc w:val="both"/>
              <w:rPr>
                <w:lang w:val="lv-LV"/>
              </w:rPr>
            </w:pPr>
            <w:r w:rsidRPr="009E2709">
              <w:rPr>
                <w:lang w:val="lv-LV"/>
              </w:rPr>
              <w:t>1.3. pašvaldību budžets</w:t>
            </w:r>
          </w:p>
        </w:tc>
        <w:tc>
          <w:tcPr>
            <w:tcW w:w="537"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c>
          <w:tcPr>
            <w:tcW w:w="760"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c>
          <w:tcPr>
            <w:tcW w:w="636"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c>
          <w:tcPr>
            <w:tcW w:w="555"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c>
          <w:tcPr>
            <w:tcW w:w="645"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r>
      <w:tr w:rsidR="007E5B33" w:rsidRPr="009E2709" w:rsidTr="0086291C">
        <w:tc>
          <w:tcPr>
            <w:tcW w:w="1867"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pStyle w:val="Paraststmeklis"/>
              <w:spacing w:before="0" w:beforeAutospacing="0" w:after="0" w:afterAutospacing="0"/>
              <w:jc w:val="both"/>
              <w:rPr>
                <w:lang w:val="lv-LV"/>
              </w:rPr>
            </w:pPr>
            <w:r w:rsidRPr="009E2709">
              <w:rPr>
                <w:lang w:val="lv-LV"/>
              </w:rPr>
              <w:t>2. Budžeta izdevumi:</w:t>
            </w:r>
          </w:p>
        </w:tc>
        <w:tc>
          <w:tcPr>
            <w:tcW w:w="537" w:type="pct"/>
            <w:tcBorders>
              <w:top w:val="outset" w:sz="6" w:space="0" w:color="000000"/>
              <w:left w:val="outset" w:sz="6" w:space="0" w:color="000000"/>
              <w:bottom w:val="outset" w:sz="6" w:space="0" w:color="000000"/>
              <w:right w:val="outset" w:sz="6" w:space="0" w:color="000000"/>
            </w:tcBorders>
          </w:tcPr>
          <w:p w:rsidR="007E5B33" w:rsidRPr="00043211" w:rsidRDefault="007E5B33" w:rsidP="007E5B33">
            <w:pPr>
              <w:jc w:val="center"/>
              <w:rPr>
                <w:lang w:val="lv-LV"/>
              </w:rPr>
            </w:pPr>
            <w:r w:rsidRPr="00043211">
              <w:rPr>
                <w:lang w:val="lv-LV"/>
              </w:rPr>
              <w:t>0</w:t>
            </w:r>
          </w:p>
        </w:tc>
        <w:tc>
          <w:tcPr>
            <w:tcW w:w="760" w:type="pct"/>
            <w:tcBorders>
              <w:top w:val="outset" w:sz="6" w:space="0" w:color="000000"/>
              <w:left w:val="outset" w:sz="6" w:space="0" w:color="000000"/>
              <w:bottom w:val="outset" w:sz="6" w:space="0" w:color="000000"/>
              <w:right w:val="outset" w:sz="6" w:space="0" w:color="000000"/>
            </w:tcBorders>
          </w:tcPr>
          <w:p w:rsidR="007E5B33" w:rsidRPr="00043211" w:rsidRDefault="00450E23" w:rsidP="00673BE2">
            <w:pPr>
              <w:jc w:val="center"/>
              <w:rPr>
                <w:lang w:val="lv-LV"/>
              </w:rPr>
            </w:pPr>
            <w:r>
              <w:rPr>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7E5B33" w:rsidRPr="00043211" w:rsidRDefault="00450E23" w:rsidP="00450E23">
            <w:pPr>
              <w:jc w:val="center"/>
              <w:rPr>
                <w:lang w:val="lv-LV"/>
              </w:rPr>
            </w:pPr>
            <w:r>
              <w:rPr>
                <w:lang w:val="lv-LV"/>
              </w:rPr>
              <w:t>16,6</w:t>
            </w:r>
          </w:p>
        </w:tc>
        <w:tc>
          <w:tcPr>
            <w:tcW w:w="555" w:type="pct"/>
            <w:tcBorders>
              <w:top w:val="outset" w:sz="6" w:space="0" w:color="000000"/>
              <w:left w:val="outset" w:sz="6" w:space="0" w:color="000000"/>
              <w:bottom w:val="outset" w:sz="6" w:space="0" w:color="000000"/>
              <w:right w:val="outset" w:sz="6" w:space="0" w:color="000000"/>
            </w:tcBorders>
          </w:tcPr>
          <w:p w:rsidR="007E5B33" w:rsidRPr="00043211" w:rsidRDefault="007E5B33" w:rsidP="007E5B33">
            <w:pPr>
              <w:jc w:val="center"/>
              <w:rPr>
                <w:lang w:val="lv-LV"/>
              </w:rPr>
            </w:pPr>
            <w:r>
              <w:rPr>
                <w:lang w:val="lv-LV"/>
              </w:rPr>
              <w:t>15,3</w:t>
            </w:r>
          </w:p>
        </w:tc>
        <w:tc>
          <w:tcPr>
            <w:tcW w:w="645" w:type="pct"/>
            <w:tcBorders>
              <w:top w:val="outset" w:sz="6" w:space="0" w:color="000000"/>
              <w:left w:val="outset" w:sz="6" w:space="0" w:color="000000"/>
              <w:bottom w:val="outset" w:sz="6" w:space="0" w:color="000000"/>
              <w:right w:val="outset" w:sz="6" w:space="0" w:color="000000"/>
            </w:tcBorders>
          </w:tcPr>
          <w:p w:rsidR="007E5B33" w:rsidRPr="00043211" w:rsidRDefault="007E5B33" w:rsidP="007E5B33">
            <w:pPr>
              <w:jc w:val="center"/>
              <w:rPr>
                <w:lang w:val="lv-LV"/>
              </w:rPr>
            </w:pPr>
            <w:r>
              <w:rPr>
                <w:lang w:val="lv-LV"/>
              </w:rPr>
              <w:t>15,3</w:t>
            </w:r>
          </w:p>
        </w:tc>
      </w:tr>
      <w:tr w:rsidR="007E5B33" w:rsidRPr="009E2709" w:rsidTr="0086291C">
        <w:tc>
          <w:tcPr>
            <w:tcW w:w="1867"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pStyle w:val="Paraststmeklis"/>
              <w:spacing w:before="0" w:beforeAutospacing="0" w:after="0" w:afterAutospacing="0"/>
              <w:jc w:val="both"/>
              <w:rPr>
                <w:lang w:val="lv-LV"/>
              </w:rPr>
            </w:pPr>
            <w:r w:rsidRPr="009E2709">
              <w:rPr>
                <w:lang w:val="lv-LV"/>
              </w:rPr>
              <w:t>2.1. valsts pamatbudžets</w:t>
            </w:r>
          </w:p>
        </w:tc>
        <w:tc>
          <w:tcPr>
            <w:tcW w:w="537" w:type="pct"/>
            <w:tcBorders>
              <w:top w:val="outset" w:sz="6" w:space="0" w:color="000000"/>
              <w:left w:val="outset" w:sz="6" w:space="0" w:color="000000"/>
              <w:bottom w:val="outset" w:sz="6" w:space="0" w:color="000000"/>
              <w:right w:val="outset" w:sz="6" w:space="0" w:color="000000"/>
            </w:tcBorders>
          </w:tcPr>
          <w:p w:rsidR="007E5B33" w:rsidRPr="00043211" w:rsidRDefault="007E5B33" w:rsidP="007E5B33">
            <w:pPr>
              <w:jc w:val="center"/>
              <w:rPr>
                <w:lang w:val="lv-LV"/>
              </w:rPr>
            </w:pPr>
            <w:r w:rsidRPr="00043211">
              <w:rPr>
                <w:lang w:val="lv-LV"/>
              </w:rPr>
              <w:t>0</w:t>
            </w:r>
          </w:p>
        </w:tc>
        <w:tc>
          <w:tcPr>
            <w:tcW w:w="760" w:type="pct"/>
            <w:tcBorders>
              <w:top w:val="outset" w:sz="6" w:space="0" w:color="000000"/>
              <w:left w:val="outset" w:sz="6" w:space="0" w:color="000000"/>
              <w:bottom w:val="outset" w:sz="6" w:space="0" w:color="000000"/>
              <w:right w:val="outset" w:sz="6" w:space="0" w:color="000000"/>
            </w:tcBorders>
          </w:tcPr>
          <w:p w:rsidR="007E5B33" w:rsidRPr="00043211" w:rsidRDefault="00450E23" w:rsidP="00673BE2">
            <w:pPr>
              <w:jc w:val="center"/>
              <w:rPr>
                <w:lang w:val="lv-LV"/>
              </w:rPr>
            </w:pPr>
            <w:r>
              <w:rPr>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7E5B33" w:rsidRPr="00043211" w:rsidRDefault="00450E23" w:rsidP="007E5B33">
            <w:pPr>
              <w:jc w:val="center"/>
              <w:rPr>
                <w:lang w:val="lv-LV"/>
              </w:rPr>
            </w:pPr>
            <w:r>
              <w:rPr>
                <w:lang w:val="lv-LV"/>
              </w:rPr>
              <w:t>16,6</w:t>
            </w:r>
          </w:p>
        </w:tc>
        <w:tc>
          <w:tcPr>
            <w:tcW w:w="555" w:type="pct"/>
            <w:tcBorders>
              <w:top w:val="outset" w:sz="6" w:space="0" w:color="000000"/>
              <w:left w:val="outset" w:sz="6" w:space="0" w:color="000000"/>
              <w:bottom w:val="outset" w:sz="6" w:space="0" w:color="000000"/>
              <w:right w:val="outset" w:sz="6" w:space="0" w:color="000000"/>
            </w:tcBorders>
          </w:tcPr>
          <w:p w:rsidR="007E5B33" w:rsidRPr="00043211" w:rsidRDefault="007E5B33" w:rsidP="007E5B33">
            <w:pPr>
              <w:jc w:val="center"/>
              <w:rPr>
                <w:lang w:val="lv-LV"/>
              </w:rPr>
            </w:pPr>
            <w:r>
              <w:rPr>
                <w:lang w:val="lv-LV"/>
              </w:rPr>
              <w:t>15,3</w:t>
            </w:r>
          </w:p>
        </w:tc>
        <w:tc>
          <w:tcPr>
            <w:tcW w:w="645" w:type="pct"/>
            <w:tcBorders>
              <w:top w:val="outset" w:sz="6" w:space="0" w:color="000000"/>
              <w:left w:val="outset" w:sz="6" w:space="0" w:color="000000"/>
              <w:bottom w:val="outset" w:sz="6" w:space="0" w:color="000000"/>
              <w:right w:val="outset" w:sz="6" w:space="0" w:color="000000"/>
            </w:tcBorders>
          </w:tcPr>
          <w:p w:rsidR="007E5B33" w:rsidRPr="00043211" w:rsidRDefault="007E5B33" w:rsidP="007E5B33">
            <w:pPr>
              <w:jc w:val="center"/>
              <w:rPr>
                <w:lang w:val="lv-LV"/>
              </w:rPr>
            </w:pPr>
            <w:r>
              <w:rPr>
                <w:lang w:val="lv-LV"/>
              </w:rPr>
              <w:t>15,3</w:t>
            </w:r>
          </w:p>
        </w:tc>
      </w:tr>
      <w:tr w:rsidR="007E5B33" w:rsidRPr="009E2709" w:rsidTr="0086291C">
        <w:tc>
          <w:tcPr>
            <w:tcW w:w="1867"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pStyle w:val="Paraststmeklis"/>
              <w:spacing w:before="0" w:beforeAutospacing="0" w:after="0" w:afterAutospacing="0"/>
              <w:jc w:val="both"/>
              <w:rPr>
                <w:lang w:val="lv-LV"/>
              </w:rPr>
            </w:pPr>
            <w:r w:rsidRPr="009E2709">
              <w:rPr>
                <w:lang w:val="lv-LV"/>
              </w:rPr>
              <w:t>2.2. valsts speciālais budžets</w:t>
            </w:r>
          </w:p>
        </w:tc>
        <w:tc>
          <w:tcPr>
            <w:tcW w:w="537"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c>
          <w:tcPr>
            <w:tcW w:w="760"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c>
          <w:tcPr>
            <w:tcW w:w="636"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c>
          <w:tcPr>
            <w:tcW w:w="555"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c>
          <w:tcPr>
            <w:tcW w:w="645"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r>
      <w:tr w:rsidR="007E5B33" w:rsidRPr="009E2709" w:rsidTr="0086291C">
        <w:tc>
          <w:tcPr>
            <w:tcW w:w="1867"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pStyle w:val="Paraststmeklis"/>
              <w:spacing w:before="0" w:beforeAutospacing="0" w:after="0" w:afterAutospacing="0"/>
              <w:jc w:val="both"/>
              <w:rPr>
                <w:lang w:val="lv-LV"/>
              </w:rPr>
            </w:pPr>
            <w:r w:rsidRPr="009E2709">
              <w:rPr>
                <w:lang w:val="lv-LV"/>
              </w:rPr>
              <w:t>2.3. pašvaldību budžets</w:t>
            </w:r>
          </w:p>
        </w:tc>
        <w:tc>
          <w:tcPr>
            <w:tcW w:w="537"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c>
          <w:tcPr>
            <w:tcW w:w="760"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c>
          <w:tcPr>
            <w:tcW w:w="636"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c>
          <w:tcPr>
            <w:tcW w:w="555"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c>
          <w:tcPr>
            <w:tcW w:w="645"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r>
      <w:tr w:rsidR="007E5B33" w:rsidRPr="00F04E49" w:rsidTr="0086291C">
        <w:tc>
          <w:tcPr>
            <w:tcW w:w="1867"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pStyle w:val="Paraststmeklis"/>
              <w:spacing w:before="0" w:beforeAutospacing="0" w:after="0" w:afterAutospacing="0"/>
              <w:jc w:val="both"/>
              <w:rPr>
                <w:lang w:val="lv-LV"/>
              </w:rPr>
            </w:pPr>
            <w:r w:rsidRPr="009E2709">
              <w:rPr>
                <w:lang w:val="lv-LV"/>
              </w:rPr>
              <w:t>3. Finansiālā ietekme:</w:t>
            </w:r>
          </w:p>
        </w:tc>
        <w:tc>
          <w:tcPr>
            <w:tcW w:w="537" w:type="pct"/>
            <w:tcBorders>
              <w:top w:val="outset" w:sz="6" w:space="0" w:color="000000"/>
              <w:left w:val="outset" w:sz="6" w:space="0" w:color="000000"/>
              <w:bottom w:val="outset" w:sz="6" w:space="0" w:color="000000"/>
              <w:right w:val="outset" w:sz="6" w:space="0" w:color="000000"/>
            </w:tcBorders>
            <w:vAlign w:val="center"/>
          </w:tcPr>
          <w:p w:rsidR="007E5B33" w:rsidRPr="00F04E49" w:rsidRDefault="007E5B33" w:rsidP="007E5B33">
            <w:pPr>
              <w:jc w:val="center"/>
              <w:rPr>
                <w:lang w:val="lv-LV"/>
              </w:rPr>
            </w:pPr>
            <w:r w:rsidRPr="00F04E49">
              <w:rPr>
                <w:lang w:val="lv-LV"/>
              </w:rPr>
              <w:t>0</w:t>
            </w:r>
          </w:p>
        </w:tc>
        <w:tc>
          <w:tcPr>
            <w:tcW w:w="760" w:type="pct"/>
            <w:tcBorders>
              <w:top w:val="outset" w:sz="6" w:space="0" w:color="000000"/>
              <w:left w:val="outset" w:sz="6" w:space="0" w:color="000000"/>
              <w:bottom w:val="outset" w:sz="6" w:space="0" w:color="000000"/>
              <w:right w:val="outset" w:sz="6" w:space="0" w:color="000000"/>
            </w:tcBorders>
          </w:tcPr>
          <w:p w:rsidR="007E5B33" w:rsidRPr="00F04E49" w:rsidRDefault="00450E23" w:rsidP="00673BE2">
            <w:pPr>
              <w:jc w:val="center"/>
              <w:rPr>
                <w:lang w:val="lv-LV"/>
              </w:rPr>
            </w:pPr>
            <w:r>
              <w:rPr>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7E5B33" w:rsidRPr="00F04E49" w:rsidRDefault="00450E23" w:rsidP="007E5B33">
            <w:pPr>
              <w:jc w:val="center"/>
              <w:rPr>
                <w:lang w:val="lv-LV"/>
              </w:rPr>
            </w:pPr>
            <w:r>
              <w:rPr>
                <w:lang w:val="lv-LV"/>
              </w:rPr>
              <w:t>–16,6</w:t>
            </w:r>
          </w:p>
        </w:tc>
        <w:tc>
          <w:tcPr>
            <w:tcW w:w="555" w:type="pct"/>
            <w:tcBorders>
              <w:top w:val="outset" w:sz="6" w:space="0" w:color="000000"/>
              <w:left w:val="outset" w:sz="6" w:space="0" w:color="000000"/>
              <w:bottom w:val="outset" w:sz="6" w:space="0" w:color="000000"/>
              <w:right w:val="outset" w:sz="6" w:space="0" w:color="000000"/>
            </w:tcBorders>
          </w:tcPr>
          <w:p w:rsidR="007E5B33" w:rsidRPr="00F04E49" w:rsidRDefault="007E5B33" w:rsidP="007E5B33">
            <w:pPr>
              <w:jc w:val="center"/>
              <w:rPr>
                <w:lang w:val="lv-LV"/>
              </w:rPr>
            </w:pPr>
            <w:r w:rsidRPr="00F04E49">
              <w:rPr>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7E5B33" w:rsidRPr="00F04E49" w:rsidRDefault="007E5B33" w:rsidP="007E5B33">
            <w:pPr>
              <w:jc w:val="center"/>
              <w:rPr>
                <w:lang w:val="lv-LV"/>
              </w:rPr>
            </w:pPr>
            <w:r w:rsidRPr="00F04E49">
              <w:rPr>
                <w:lang w:val="lv-LV"/>
              </w:rPr>
              <w:t>0</w:t>
            </w:r>
          </w:p>
        </w:tc>
      </w:tr>
      <w:tr w:rsidR="007E5B33" w:rsidRPr="009E2709" w:rsidTr="0086291C">
        <w:tc>
          <w:tcPr>
            <w:tcW w:w="1867"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pStyle w:val="Paraststmeklis"/>
              <w:spacing w:before="0" w:beforeAutospacing="0" w:after="0" w:afterAutospacing="0"/>
              <w:jc w:val="both"/>
              <w:rPr>
                <w:lang w:val="lv-LV"/>
              </w:rPr>
            </w:pPr>
            <w:r w:rsidRPr="009E2709">
              <w:rPr>
                <w:lang w:val="lv-LV"/>
              </w:rPr>
              <w:t>3.1. valsts pamatbudžets</w:t>
            </w:r>
          </w:p>
        </w:tc>
        <w:tc>
          <w:tcPr>
            <w:tcW w:w="537"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r>
              <w:rPr>
                <w:lang w:val="lv-LV"/>
              </w:rPr>
              <w:t>0</w:t>
            </w:r>
          </w:p>
        </w:tc>
        <w:tc>
          <w:tcPr>
            <w:tcW w:w="760" w:type="pct"/>
            <w:tcBorders>
              <w:top w:val="outset" w:sz="6" w:space="0" w:color="000000"/>
              <w:left w:val="outset" w:sz="6" w:space="0" w:color="000000"/>
              <w:bottom w:val="outset" w:sz="6" w:space="0" w:color="000000"/>
              <w:right w:val="outset" w:sz="6" w:space="0" w:color="000000"/>
            </w:tcBorders>
          </w:tcPr>
          <w:p w:rsidR="007E5B33" w:rsidRPr="009E2709" w:rsidRDefault="00450E23" w:rsidP="00673BE2">
            <w:pPr>
              <w:jc w:val="center"/>
              <w:rPr>
                <w:lang w:val="lv-LV"/>
              </w:rPr>
            </w:pPr>
            <w:r>
              <w:rPr>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7E5B33" w:rsidRPr="009E2709" w:rsidRDefault="00450E23" w:rsidP="007E5B33">
            <w:pPr>
              <w:jc w:val="center"/>
              <w:rPr>
                <w:lang w:val="lv-LV"/>
              </w:rPr>
            </w:pPr>
            <w:r>
              <w:rPr>
                <w:b/>
                <w:lang w:val="lv-LV"/>
              </w:rPr>
              <w:t>–</w:t>
            </w:r>
            <w:r>
              <w:rPr>
                <w:lang w:val="lv-LV"/>
              </w:rPr>
              <w:t>16,6</w:t>
            </w:r>
          </w:p>
        </w:tc>
        <w:tc>
          <w:tcPr>
            <w:tcW w:w="555"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r>
              <w:rPr>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r>
              <w:rPr>
                <w:lang w:val="lv-LV"/>
              </w:rPr>
              <w:t>0</w:t>
            </w:r>
          </w:p>
        </w:tc>
      </w:tr>
      <w:tr w:rsidR="007E5B33" w:rsidRPr="009E2709" w:rsidTr="0086291C">
        <w:tc>
          <w:tcPr>
            <w:tcW w:w="1867"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pStyle w:val="Paraststmeklis"/>
              <w:spacing w:before="0" w:beforeAutospacing="0" w:after="0" w:afterAutospacing="0"/>
              <w:jc w:val="both"/>
              <w:rPr>
                <w:lang w:val="lv-LV"/>
              </w:rPr>
            </w:pPr>
            <w:r w:rsidRPr="009E2709">
              <w:rPr>
                <w:lang w:val="lv-LV"/>
              </w:rPr>
              <w:t>3.2. speciālais budžets</w:t>
            </w:r>
          </w:p>
        </w:tc>
        <w:tc>
          <w:tcPr>
            <w:tcW w:w="537"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c>
          <w:tcPr>
            <w:tcW w:w="760"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c>
          <w:tcPr>
            <w:tcW w:w="636"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c>
          <w:tcPr>
            <w:tcW w:w="555"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c>
          <w:tcPr>
            <w:tcW w:w="645"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r>
      <w:tr w:rsidR="007E5B33" w:rsidRPr="009E2709" w:rsidTr="0086291C">
        <w:tc>
          <w:tcPr>
            <w:tcW w:w="1867"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pStyle w:val="Paraststmeklis"/>
              <w:spacing w:before="0" w:beforeAutospacing="0" w:after="0" w:afterAutospacing="0"/>
              <w:jc w:val="both"/>
              <w:rPr>
                <w:lang w:val="lv-LV"/>
              </w:rPr>
            </w:pPr>
            <w:r w:rsidRPr="009E2709">
              <w:rPr>
                <w:lang w:val="lv-LV"/>
              </w:rPr>
              <w:t>3.3. pašvaldību budžets</w:t>
            </w:r>
          </w:p>
        </w:tc>
        <w:tc>
          <w:tcPr>
            <w:tcW w:w="537"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c>
          <w:tcPr>
            <w:tcW w:w="760"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c>
          <w:tcPr>
            <w:tcW w:w="636"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c>
          <w:tcPr>
            <w:tcW w:w="555"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c>
          <w:tcPr>
            <w:tcW w:w="645"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r>
      <w:tr w:rsidR="007E5B33" w:rsidRPr="009E2709" w:rsidTr="0086291C">
        <w:trPr>
          <w:trHeight w:val="310"/>
        </w:trPr>
        <w:tc>
          <w:tcPr>
            <w:tcW w:w="1867" w:type="pct"/>
            <w:vMerge w:val="restar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pStyle w:val="Paraststmeklis"/>
              <w:spacing w:before="0" w:beforeAutospacing="0" w:after="0" w:afterAutospacing="0"/>
              <w:jc w:val="both"/>
              <w:rPr>
                <w:lang w:val="lv-LV"/>
              </w:rPr>
            </w:pPr>
            <w:r w:rsidRPr="009E2709">
              <w:rPr>
                <w:lang w:val="lv-LV"/>
              </w:rPr>
              <w:t>4. Finanšu līdzekļi papildu izde</w:t>
            </w:r>
            <w:r w:rsidRPr="009E2709">
              <w:rPr>
                <w:lang w:val="lv-LV"/>
              </w:rPr>
              <w:softHyphen/>
              <w:t>vumu finansēšanai (kompensējošu izdevumu samazinājumu norāda ar "+" zīmi)</w:t>
            </w:r>
          </w:p>
        </w:tc>
        <w:tc>
          <w:tcPr>
            <w:tcW w:w="537" w:type="pct"/>
            <w:vMerge w:val="restart"/>
            <w:tcBorders>
              <w:top w:val="outset" w:sz="6" w:space="0" w:color="000000"/>
              <w:left w:val="outset" w:sz="6" w:space="0" w:color="000000"/>
              <w:bottom w:val="outset" w:sz="6" w:space="0" w:color="000000"/>
              <w:right w:val="outset" w:sz="6" w:space="0" w:color="000000"/>
            </w:tcBorders>
            <w:vAlign w:val="center"/>
          </w:tcPr>
          <w:p w:rsidR="007E5B33" w:rsidRPr="009E2709" w:rsidRDefault="007E5B33" w:rsidP="007E5B33">
            <w:pPr>
              <w:pStyle w:val="Paraststmeklis"/>
              <w:spacing w:before="0" w:beforeAutospacing="0" w:after="0" w:afterAutospacing="0"/>
              <w:jc w:val="center"/>
              <w:rPr>
                <w:lang w:val="lv-LV"/>
              </w:rPr>
            </w:pPr>
            <w:r w:rsidRPr="009E2709">
              <w:rPr>
                <w:lang w:val="lv-LV"/>
              </w:rPr>
              <w:t>X</w:t>
            </w:r>
          </w:p>
        </w:tc>
        <w:tc>
          <w:tcPr>
            <w:tcW w:w="760" w:type="pct"/>
            <w:vMerge w:val="restart"/>
            <w:tcBorders>
              <w:top w:val="outset" w:sz="6" w:space="0" w:color="000000"/>
              <w:left w:val="outset" w:sz="6" w:space="0" w:color="000000"/>
              <w:right w:val="outset" w:sz="6" w:space="0" w:color="000000"/>
            </w:tcBorders>
          </w:tcPr>
          <w:p w:rsidR="007E5B33" w:rsidRPr="009E2709" w:rsidRDefault="007E5B33" w:rsidP="007E5B33">
            <w:pPr>
              <w:jc w:val="center"/>
              <w:rPr>
                <w:lang w:val="lv-LV"/>
              </w:rPr>
            </w:pPr>
          </w:p>
        </w:tc>
        <w:tc>
          <w:tcPr>
            <w:tcW w:w="636"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c>
          <w:tcPr>
            <w:tcW w:w="555"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c>
          <w:tcPr>
            <w:tcW w:w="645"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r>
      <w:tr w:rsidR="007E5B33" w:rsidRPr="009E2709" w:rsidTr="0086291C">
        <w:tc>
          <w:tcPr>
            <w:tcW w:w="1867" w:type="pct"/>
            <w:vMerge/>
            <w:tcBorders>
              <w:top w:val="outset" w:sz="6" w:space="0" w:color="000000"/>
              <w:left w:val="outset" w:sz="6" w:space="0" w:color="000000"/>
              <w:bottom w:val="outset" w:sz="6" w:space="0" w:color="000000"/>
              <w:right w:val="outset" w:sz="6" w:space="0" w:color="000000"/>
            </w:tcBorders>
            <w:vAlign w:val="center"/>
          </w:tcPr>
          <w:p w:rsidR="007E5B33" w:rsidRPr="009E2709" w:rsidRDefault="007E5B33" w:rsidP="007E5B33">
            <w:pPr>
              <w:jc w:val="both"/>
              <w:rPr>
                <w:lang w:val="lv-LV"/>
              </w:rPr>
            </w:pPr>
          </w:p>
        </w:tc>
        <w:tc>
          <w:tcPr>
            <w:tcW w:w="537" w:type="pct"/>
            <w:vMerge/>
            <w:tcBorders>
              <w:top w:val="outset" w:sz="6" w:space="0" w:color="000000"/>
              <w:left w:val="outset" w:sz="6" w:space="0" w:color="000000"/>
              <w:bottom w:val="outset" w:sz="6" w:space="0" w:color="000000"/>
              <w:right w:val="outset" w:sz="6" w:space="0" w:color="000000"/>
            </w:tcBorders>
            <w:vAlign w:val="center"/>
          </w:tcPr>
          <w:p w:rsidR="007E5B33" w:rsidRPr="009E2709" w:rsidRDefault="007E5B33" w:rsidP="007E5B33">
            <w:pPr>
              <w:jc w:val="center"/>
              <w:rPr>
                <w:lang w:val="lv-LV"/>
              </w:rPr>
            </w:pPr>
          </w:p>
        </w:tc>
        <w:tc>
          <w:tcPr>
            <w:tcW w:w="760" w:type="pct"/>
            <w:vMerge/>
            <w:tcBorders>
              <w:left w:val="outset" w:sz="6" w:space="0" w:color="000000"/>
              <w:right w:val="outset" w:sz="6" w:space="0" w:color="000000"/>
            </w:tcBorders>
          </w:tcPr>
          <w:p w:rsidR="007E5B33" w:rsidRPr="009E2709" w:rsidRDefault="007E5B33" w:rsidP="007E5B33">
            <w:pPr>
              <w:jc w:val="center"/>
              <w:rPr>
                <w:lang w:val="lv-LV"/>
              </w:rPr>
            </w:pPr>
          </w:p>
        </w:tc>
        <w:tc>
          <w:tcPr>
            <w:tcW w:w="636"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c>
          <w:tcPr>
            <w:tcW w:w="555"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c>
          <w:tcPr>
            <w:tcW w:w="645"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r>
      <w:tr w:rsidR="007E5B33" w:rsidRPr="009E2709" w:rsidTr="0086291C">
        <w:tc>
          <w:tcPr>
            <w:tcW w:w="1867" w:type="pct"/>
            <w:vMerge/>
            <w:tcBorders>
              <w:top w:val="outset" w:sz="6" w:space="0" w:color="000000"/>
              <w:left w:val="outset" w:sz="6" w:space="0" w:color="000000"/>
              <w:bottom w:val="outset" w:sz="6" w:space="0" w:color="000000"/>
              <w:right w:val="outset" w:sz="6" w:space="0" w:color="000000"/>
            </w:tcBorders>
            <w:vAlign w:val="center"/>
          </w:tcPr>
          <w:p w:rsidR="007E5B33" w:rsidRPr="009E2709" w:rsidRDefault="007E5B33" w:rsidP="007E5B33">
            <w:pPr>
              <w:jc w:val="both"/>
              <w:rPr>
                <w:lang w:val="lv-LV"/>
              </w:rPr>
            </w:pPr>
          </w:p>
        </w:tc>
        <w:tc>
          <w:tcPr>
            <w:tcW w:w="537" w:type="pct"/>
            <w:vMerge/>
            <w:tcBorders>
              <w:top w:val="outset" w:sz="6" w:space="0" w:color="000000"/>
              <w:left w:val="outset" w:sz="6" w:space="0" w:color="000000"/>
              <w:bottom w:val="outset" w:sz="6" w:space="0" w:color="000000"/>
              <w:right w:val="outset" w:sz="6" w:space="0" w:color="000000"/>
            </w:tcBorders>
            <w:vAlign w:val="center"/>
          </w:tcPr>
          <w:p w:rsidR="007E5B33" w:rsidRPr="009E2709" w:rsidRDefault="007E5B33" w:rsidP="007E5B33">
            <w:pPr>
              <w:jc w:val="center"/>
              <w:rPr>
                <w:lang w:val="lv-LV"/>
              </w:rPr>
            </w:pPr>
          </w:p>
        </w:tc>
        <w:tc>
          <w:tcPr>
            <w:tcW w:w="760" w:type="pct"/>
            <w:vMerge/>
            <w:tcBorders>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c>
          <w:tcPr>
            <w:tcW w:w="636"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c>
          <w:tcPr>
            <w:tcW w:w="555"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c>
          <w:tcPr>
            <w:tcW w:w="645"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r>
      <w:tr w:rsidR="007E5B33" w:rsidRPr="009E2709" w:rsidTr="0086291C">
        <w:tc>
          <w:tcPr>
            <w:tcW w:w="1867"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pStyle w:val="Paraststmeklis"/>
              <w:spacing w:before="0" w:beforeAutospacing="0" w:after="0" w:afterAutospacing="0"/>
              <w:jc w:val="both"/>
              <w:rPr>
                <w:lang w:val="lv-LV"/>
              </w:rPr>
            </w:pPr>
            <w:r w:rsidRPr="009E2709">
              <w:rPr>
                <w:lang w:val="lv-LV"/>
              </w:rPr>
              <w:t>5. Precizēta finansiālā ietekme:</w:t>
            </w:r>
          </w:p>
        </w:tc>
        <w:tc>
          <w:tcPr>
            <w:tcW w:w="537" w:type="pct"/>
            <w:vMerge w:val="restart"/>
            <w:tcBorders>
              <w:top w:val="outset" w:sz="6" w:space="0" w:color="000000"/>
              <w:left w:val="outset" w:sz="6" w:space="0" w:color="000000"/>
              <w:bottom w:val="outset" w:sz="6" w:space="0" w:color="000000"/>
              <w:right w:val="outset" w:sz="6" w:space="0" w:color="000000"/>
            </w:tcBorders>
            <w:vAlign w:val="center"/>
          </w:tcPr>
          <w:p w:rsidR="007E5B33" w:rsidRPr="009E2709" w:rsidRDefault="007E5B33" w:rsidP="007E5B33">
            <w:pPr>
              <w:pStyle w:val="Paraststmeklis"/>
              <w:spacing w:before="0" w:beforeAutospacing="0" w:after="0" w:afterAutospacing="0"/>
              <w:jc w:val="center"/>
              <w:rPr>
                <w:lang w:val="lv-LV"/>
              </w:rPr>
            </w:pPr>
            <w:r w:rsidRPr="009E2709">
              <w:rPr>
                <w:lang w:val="lv-LV"/>
              </w:rPr>
              <w:t>X</w:t>
            </w:r>
          </w:p>
        </w:tc>
        <w:tc>
          <w:tcPr>
            <w:tcW w:w="760" w:type="pct"/>
            <w:vMerge w:val="restart"/>
            <w:tcBorders>
              <w:top w:val="outset" w:sz="6" w:space="0" w:color="000000"/>
              <w:left w:val="outset" w:sz="6" w:space="0" w:color="000000"/>
              <w:right w:val="outset" w:sz="6" w:space="0" w:color="000000"/>
            </w:tcBorders>
          </w:tcPr>
          <w:p w:rsidR="007E5B33" w:rsidRPr="009E2709" w:rsidRDefault="007E5B33" w:rsidP="007E5B33">
            <w:pPr>
              <w:jc w:val="center"/>
              <w:rPr>
                <w:lang w:val="lv-LV"/>
              </w:rPr>
            </w:pPr>
          </w:p>
        </w:tc>
        <w:tc>
          <w:tcPr>
            <w:tcW w:w="636" w:type="pct"/>
            <w:tcBorders>
              <w:top w:val="outset" w:sz="6" w:space="0" w:color="000000"/>
              <w:left w:val="outset" w:sz="6" w:space="0" w:color="000000"/>
              <w:bottom w:val="outset" w:sz="6" w:space="0" w:color="000000"/>
              <w:right w:val="outset" w:sz="6" w:space="0" w:color="000000"/>
            </w:tcBorders>
          </w:tcPr>
          <w:p w:rsidR="007E5B33" w:rsidRPr="009E2709" w:rsidRDefault="00783372" w:rsidP="007E5B33">
            <w:pPr>
              <w:jc w:val="center"/>
              <w:rPr>
                <w:lang w:val="lv-LV"/>
              </w:rPr>
            </w:pPr>
            <w:r>
              <w:rPr>
                <w:lang w:val="lv-LV"/>
              </w:rPr>
              <w:t>–16,6</w:t>
            </w:r>
          </w:p>
        </w:tc>
        <w:tc>
          <w:tcPr>
            <w:tcW w:w="555" w:type="pct"/>
            <w:tcBorders>
              <w:top w:val="outset" w:sz="6" w:space="0" w:color="000000"/>
              <w:left w:val="outset" w:sz="6" w:space="0" w:color="000000"/>
              <w:bottom w:val="outset" w:sz="6" w:space="0" w:color="000000"/>
              <w:right w:val="outset" w:sz="6" w:space="0" w:color="000000"/>
            </w:tcBorders>
          </w:tcPr>
          <w:p w:rsidR="007E5B33" w:rsidRPr="009E2709" w:rsidRDefault="005C6596" w:rsidP="007E5B33">
            <w:pPr>
              <w:jc w:val="center"/>
              <w:rPr>
                <w:lang w:val="lv-LV"/>
              </w:rPr>
            </w:pPr>
            <w:r>
              <w:rPr>
                <w:b/>
                <w:lang w:val="lv-LV"/>
              </w:rPr>
              <w:t>–</w:t>
            </w:r>
            <w:r w:rsidR="007E5B33">
              <w:rPr>
                <w:lang w:val="lv-LV"/>
              </w:rPr>
              <w:t>15,3</w:t>
            </w:r>
          </w:p>
        </w:tc>
        <w:tc>
          <w:tcPr>
            <w:tcW w:w="645" w:type="pct"/>
            <w:tcBorders>
              <w:top w:val="outset" w:sz="6" w:space="0" w:color="000000"/>
              <w:left w:val="outset" w:sz="6" w:space="0" w:color="000000"/>
              <w:bottom w:val="outset" w:sz="6" w:space="0" w:color="000000"/>
              <w:right w:val="outset" w:sz="6" w:space="0" w:color="000000"/>
            </w:tcBorders>
          </w:tcPr>
          <w:p w:rsidR="007E5B33" w:rsidRPr="009E2709" w:rsidRDefault="005C6596" w:rsidP="007E5B33">
            <w:pPr>
              <w:jc w:val="center"/>
              <w:rPr>
                <w:lang w:val="lv-LV"/>
              </w:rPr>
            </w:pPr>
            <w:r>
              <w:rPr>
                <w:b/>
                <w:lang w:val="lv-LV"/>
              </w:rPr>
              <w:t>–</w:t>
            </w:r>
            <w:r w:rsidR="007E5B33">
              <w:rPr>
                <w:lang w:val="lv-LV"/>
              </w:rPr>
              <w:t>15,3</w:t>
            </w:r>
          </w:p>
        </w:tc>
      </w:tr>
      <w:tr w:rsidR="007E5B33" w:rsidRPr="009E2709" w:rsidTr="0086291C">
        <w:tc>
          <w:tcPr>
            <w:tcW w:w="1867"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pStyle w:val="Paraststmeklis"/>
              <w:spacing w:before="0" w:beforeAutospacing="0" w:after="0" w:afterAutospacing="0"/>
              <w:jc w:val="both"/>
              <w:rPr>
                <w:lang w:val="lv-LV"/>
              </w:rPr>
            </w:pPr>
            <w:r w:rsidRPr="009E2709">
              <w:rPr>
                <w:lang w:val="lv-LV"/>
              </w:rPr>
              <w:t>5.1. valsts pamatbudžets</w:t>
            </w:r>
          </w:p>
        </w:tc>
        <w:tc>
          <w:tcPr>
            <w:tcW w:w="537" w:type="pct"/>
            <w:vMerge/>
            <w:tcBorders>
              <w:top w:val="outset" w:sz="6" w:space="0" w:color="000000"/>
              <w:left w:val="outset" w:sz="6" w:space="0" w:color="000000"/>
              <w:bottom w:val="outset" w:sz="6" w:space="0" w:color="000000"/>
              <w:right w:val="outset" w:sz="6" w:space="0" w:color="000000"/>
            </w:tcBorders>
            <w:vAlign w:val="center"/>
          </w:tcPr>
          <w:p w:rsidR="007E5B33" w:rsidRPr="009E2709" w:rsidRDefault="007E5B33" w:rsidP="007E5B33">
            <w:pPr>
              <w:jc w:val="center"/>
              <w:rPr>
                <w:lang w:val="lv-LV"/>
              </w:rPr>
            </w:pPr>
          </w:p>
        </w:tc>
        <w:tc>
          <w:tcPr>
            <w:tcW w:w="760" w:type="pct"/>
            <w:vMerge/>
            <w:tcBorders>
              <w:left w:val="outset" w:sz="6" w:space="0" w:color="000000"/>
              <w:right w:val="outset" w:sz="6" w:space="0" w:color="000000"/>
            </w:tcBorders>
          </w:tcPr>
          <w:p w:rsidR="007E5B33" w:rsidRPr="009E2709" w:rsidRDefault="007E5B33" w:rsidP="007E5B33">
            <w:pPr>
              <w:jc w:val="center"/>
              <w:rPr>
                <w:lang w:val="lv-LV"/>
              </w:rPr>
            </w:pPr>
          </w:p>
        </w:tc>
        <w:tc>
          <w:tcPr>
            <w:tcW w:w="636" w:type="pct"/>
            <w:tcBorders>
              <w:top w:val="outset" w:sz="6" w:space="0" w:color="000000"/>
              <w:left w:val="outset" w:sz="6" w:space="0" w:color="000000"/>
              <w:bottom w:val="outset" w:sz="6" w:space="0" w:color="000000"/>
              <w:right w:val="outset" w:sz="6" w:space="0" w:color="000000"/>
            </w:tcBorders>
          </w:tcPr>
          <w:p w:rsidR="007E5B33" w:rsidRPr="009E2709" w:rsidRDefault="00783372" w:rsidP="007E5B33">
            <w:pPr>
              <w:jc w:val="center"/>
              <w:rPr>
                <w:lang w:val="lv-LV"/>
              </w:rPr>
            </w:pPr>
            <w:r>
              <w:rPr>
                <w:lang w:val="lv-LV"/>
              </w:rPr>
              <w:t>–16,6</w:t>
            </w:r>
          </w:p>
        </w:tc>
        <w:tc>
          <w:tcPr>
            <w:tcW w:w="555" w:type="pct"/>
            <w:tcBorders>
              <w:top w:val="outset" w:sz="6" w:space="0" w:color="000000"/>
              <w:left w:val="outset" w:sz="6" w:space="0" w:color="000000"/>
              <w:bottom w:val="outset" w:sz="6" w:space="0" w:color="000000"/>
              <w:right w:val="outset" w:sz="6" w:space="0" w:color="000000"/>
            </w:tcBorders>
          </w:tcPr>
          <w:p w:rsidR="007E5B33" w:rsidRPr="009E2709" w:rsidRDefault="005C6596" w:rsidP="007E5B33">
            <w:pPr>
              <w:jc w:val="center"/>
              <w:rPr>
                <w:lang w:val="lv-LV"/>
              </w:rPr>
            </w:pPr>
            <w:r>
              <w:rPr>
                <w:b/>
                <w:lang w:val="lv-LV"/>
              </w:rPr>
              <w:t>–</w:t>
            </w:r>
            <w:r w:rsidR="007E5B33">
              <w:rPr>
                <w:lang w:val="lv-LV"/>
              </w:rPr>
              <w:t>15,3</w:t>
            </w:r>
          </w:p>
        </w:tc>
        <w:tc>
          <w:tcPr>
            <w:tcW w:w="645" w:type="pct"/>
            <w:tcBorders>
              <w:top w:val="outset" w:sz="6" w:space="0" w:color="000000"/>
              <w:left w:val="outset" w:sz="6" w:space="0" w:color="000000"/>
              <w:bottom w:val="outset" w:sz="6" w:space="0" w:color="000000"/>
              <w:right w:val="outset" w:sz="6" w:space="0" w:color="000000"/>
            </w:tcBorders>
          </w:tcPr>
          <w:p w:rsidR="007E5B33" w:rsidRPr="009E2709" w:rsidRDefault="005C6596" w:rsidP="007E5B33">
            <w:pPr>
              <w:jc w:val="center"/>
              <w:rPr>
                <w:lang w:val="lv-LV"/>
              </w:rPr>
            </w:pPr>
            <w:r>
              <w:rPr>
                <w:b/>
                <w:lang w:val="lv-LV"/>
              </w:rPr>
              <w:t>–</w:t>
            </w:r>
            <w:r w:rsidR="007E5B33">
              <w:rPr>
                <w:lang w:val="lv-LV"/>
              </w:rPr>
              <w:t>15,3</w:t>
            </w:r>
          </w:p>
        </w:tc>
      </w:tr>
      <w:tr w:rsidR="007E5B33" w:rsidRPr="009E2709" w:rsidTr="0086291C">
        <w:tc>
          <w:tcPr>
            <w:tcW w:w="1867"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pStyle w:val="Paraststmeklis"/>
              <w:spacing w:before="0" w:beforeAutospacing="0" w:after="0" w:afterAutospacing="0"/>
              <w:jc w:val="both"/>
              <w:rPr>
                <w:lang w:val="lv-LV"/>
              </w:rPr>
            </w:pPr>
            <w:r w:rsidRPr="009E2709">
              <w:rPr>
                <w:lang w:val="lv-LV"/>
              </w:rPr>
              <w:t>5.2. speciālais budžets</w:t>
            </w:r>
          </w:p>
        </w:tc>
        <w:tc>
          <w:tcPr>
            <w:tcW w:w="537" w:type="pct"/>
            <w:vMerge/>
            <w:tcBorders>
              <w:top w:val="outset" w:sz="6" w:space="0" w:color="000000"/>
              <w:left w:val="outset" w:sz="6" w:space="0" w:color="000000"/>
              <w:bottom w:val="outset" w:sz="6" w:space="0" w:color="000000"/>
              <w:right w:val="outset" w:sz="6" w:space="0" w:color="000000"/>
            </w:tcBorders>
            <w:vAlign w:val="center"/>
          </w:tcPr>
          <w:p w:rsidR="007E5B33" w:rsidRPr="009E2709" w:rsidRDefault="007E5B33" w:rsidP="007E5B33">
            <w:pPr>
              <w:jc w:val="center"/>
              <w:rPr>
                <w:lang w:val="lv-LV"/>
              </w:rPr>
            </w:pPr>
          </w:p>
        </w:tc>
        <w:tc>
          <w:tcPr>
            <w:tcW w:w="760" w:type="pct"/>
            <w:vMerge/>
            <w:tcBorders>
              <w:left w:val="outset" w:sz="6" w:space="0" w:color="000000"/>
              <w:right w:val="outset" w:sz="6" w:space="0" w:color="000000"/>
            </w:tcBorders>
          </w:tcPr>
          <w:p w:rsidR="007E5B33" w:rsidRPr="009E2709" w:rsidRDefault="007E5B33" w:rsidP="007E5B33">
            <w:pPr>
              <w:jc w:val="center"/>
              <w:rPr>
                <w:lang w:val="lv-LV"/>
              </w:rPr>
            </w:pPr>
          </w:p>
        </w:tc>
        <w:tc>
          <w:tcPr>
            <w:tcW w:w="636"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c>
          <w:tcPr>
            <w:tcW w:w="555"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c>
          <w:tcPr>
            <w:tcW w:w="645"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r>
      <w:tr w:rsidR="007E5B33" w:rsidRPr="009E2709" w:rsidTr="0086291C">
        <w:tc>
          <w:tcPr>
            <w:tcW w:w="1867"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pStyle w:val="Paraststmeklis"/>
              <w:spacing w:before="0" w:beforeAutospacing="0" w:after="0" w:afterAutospacing="0"/>
              <w:jc w:val="both"/>
              <w:rPr>
                <w:lang w:val="lv-LV"/>
              </w:rPr>
            </w:pPr>
            <w:r w:rsidRPr="009E2709">
              <w:rPr>
                <w:lang w:val="lv-LV"/>
              </w:rPr>
              <w:t>5.3. pašvaldību budžets</w:t>
            </w:r>
          </w:p>
        </w:tc>
        <w:tc>
          <w:tcPr>
            <w:tcW w:w="537" w:type="pct"/>
            <w:vMerge/>
            <w:tcBorders>
              <w:top w:val="outset" w:sz="6" w:space="0" w:color="000000"/>
              <w:left w:val="outset" w:sz="6" w:space="0" w:color="000000"/>
              <w:bottom w:val="outset" w:sz="6" w:space="0" w:color="000000"/>
              <w:right w:val="outset" w:sz="6" w:space="0" w:color="000000"/>
            </w:tcBorders>
            <w:vAlign w:val="center"/>
          </w:tcPr>
          <w:p w:rsidR="007E5B33" w:rsidRPr="009E2709" w:rsidRDefault="007E5B33" w:rsidP="007E5B33">
            <w:pPr>
              <w:jc w:val="center"/>
              <w:rPr>
                <w:lang w:val="lv-LV"/>
              </w:rPr>
            </w:pPr>
          </w:p>
        </w:tc>
        <w:tc>
          <w:tcPr>
            <w:tcW w:w="760" w:type="pct"/>
            <w:vMerge/>
            <w:tcBorders>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c>
          <w:tcPr>
            <w:tcW w:w="636"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c>
          <w:tcPr>
            <w:tcW w:w="555"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c>
          <w:tcPr>
            <w:tcW w:w="645"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jc w:val="center"/>
              <w:rPr>
                <w:lang w:val="lv-LV"/>
              </w:rPr>
            </w:pPr>
          </w:p>
        </w:tc>
      </w:tr>
      <w:tr w:rsidR="007E5B33" w:rsidRPr="00647B0C" w:rsidTr="0086291C">
        <w:tc>
          <w:tcPr>
            <w:tcW w:w="1867"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pStyle w:val="Paraststmeklis"/>
              <w:spacing w:before="0" w:beforeAutospacing="0" w:after="0" w:afterAutospacing="0"/>
              <w:jc w:val="both"/>
              <w:rPr>
                <w:lang w:val="lv-LV"/>
              </w:rPr>
            </w:pPr>
            <w:r w:rsidRPr="009E2709">
              <w:rPr>
                <w:lang w:val="lv-LV"/>
              </w:rPr>
              <w:t>6. Detalizēts ieņēmumu un izdevu</w:t>
            </w:r>
            <w:r w:rsidRPr="009E2709">
              <w:rPr>
                <w:lang w:val="lv-LV"/>
              </w:rPr>
              <w:softHyphen/>
              <w:t>mu aprēķins (ja nepieciešams, detalizētu ieņēmumu un izdevumu aprēķinu var pievienot anotācijas pielikumā):</w:t>
            </w:r>
          </w:p>
        </w:tc>
        <w:tc>
          <w:tcPr>
            <w:tcW w:w="3133" w:type="pct"/>
            <w:gridSpan w:val="5"/>
            <w:vMerge w:val="restart"/>
            <w:tcBorders>
              <w:top w:val="outset" w:sz="6" w:space="0" w:color="000000"/>
              <w:left w:val="outset" w:sz="6" w:space="0" w:color="000000"/>
              <w:bottom w:val="outset" w:sz="6" w:space="0" w:color="000000"/>
              <w:right w:val="outset" w:sz="6" w:space="0" w:color="000000"/>
            </w:tcBorders>
          </w:tcPr>
          <w:p w:rsidR="007E5B33" w:rsidRDefault="007E5B33" w:rsidP="007E5B33">
            <w:pPr>
              <w:pStyle w:val="Sarakstarindkopa"/>
              <w:ind w:left="0"/>
              <w:jc w:val="both"/>
              <w:rPr>
                <w:color w:val="000000"/>
                <w:lang w:val="lv-LV"/>
              </w:rPr>
            </w:pPr>
            <w:r w:rsidRPr="00647B0C">
              <w:rPr>
                <w:lang w:val="lv-LV"/>
              </w:rPr>
              <w:t>Papildinot noteikumus Nr.104 ar 27.</w:t>
            </w:r>
            <w:r w:rsidRPr="00647B0C">
              <w:rPr>
                <w:vertAlign w:val="superscript"/>
                <w:lang w:val="lv-LV"/>
              </w:rPr>
              <w:t xml:space="preserve">2 </w:t>
            </w:r>
            <w:r w:rsidRPr="00647B0C">
              <w:rPr>
                <w:lang w:val="lv-LV"/>
              </w:rPr>
              <w:t xml:space="preserve">punktu, ir </w:t>
            </w:r>
            <w:r w:rsidRPr="00647B0C">
              <w:rPr>
                <w:bCs/>
                <w:lang w:val="lv-LV" w:eastAsia="lv-LV"/>
              </w:rPr>
              <w:t>nepieciešams noteikt d</w:t>
            </w:r>
            <w:r w:rsidRPr="00647B0C">
              <w:rPr>
                <w:lang w:val="lv-LV"/>
              </w:rPr>
              <w:t xml:space="preserve">ienestam jaunas funkcijas, kas </w:t>
            </w:r>
            <w:r w:rsidR="006A35A3">
              <w:rPr>
                <w:lang w:val="lv-LV"/>
              </w:rPr>
              <w:t>neietilpst</w:t>
            </w:r>
            <w:r w:rsidRPr="00647B0C">
              <w:rPr>
                <w:lang w:val="lv-LV"/>
              </w:rPr>
              <w:t xml:space="preserve"> tā kompetencē</w:t>
            </w:r>
            <w:r w:rsidR="00380D61">
              <w:rPr>
                <w:lang w:val="lv-LV"/>
              </w:rPr>
              <w:t>.</w:t>
            </w:r>
            <w:r w:rsidR="005B2A61">
              <w:rPr>
                <w:lang w:val="lv-LV"/>
              </w:rPr>
              <w:t xml:space="preserve"> </w:t>
            </w:r>
            <w:r w:rsidRPr="00647B0C">
              <w:rPr>
                <w:lang w:val="lv-LV"/>
              </w:rPr>
              <w:t xml:space="preserve">Lai dienestam </w:t>
            </w:r>
            <w:r w:rsidR="005C6596">
              <w:rPr>
                <w:lang w:val="lv-LV"/>
              </w:rPr>
              <w:t xml:space="preserve">būtu </w:t>
            </w:r>
            <w:r w:rsidRPr="00647B0C">
              <w:rPr>
                <w:lang w:val="lv-LV"/>
              </w:rPr>
              <w:t>iespēj</w:t>
            </w:r>
            <w:r w:rsidR="005C6596">
              <w:rPr>
                <w:lang w:val="lv-LV"/>
              </w:rPr>
              <w:t>a</w:t>
            </w:r>
            <w:r w:rsidRPr="00647B0C">
              <w:rPr>
                <w:lang w:val="lv-LV"/>
              </w:rPr>
              <w:t xml:space="preserve"> nosūtīt pašvaldībām informāciju par pārtikas uzņēmumiem, kas iepriekšējā mēnesī svītroti no dienes</w:t>
            </w:r>
            <w:r w:rsidR="009E72D3">
              <w:rPr>
                <w:lang w:val="lv-LV"/>
              </w:rPr>
              <w:t>ta uzraudzības objektu reģistra, jānodrošina jaun</w:t>
            </w:r>
            <w:r w:rsidR="005C6596">
              <w:rPr>
                <w:lang w:val="lv-LV"/>
              </w:rPr>
              <w:t>a</w:t>
            </w:r>
            <w:r w:rsidR="009E72D3">
              <w:rPr>
                <w:lang w:val="lv-LV"/>
              </w:rPr>
              <w:t xml:space="preserve"> darbavieta</w:t>
            </w:r>
            <w:r w:rsidR="00380D61">
              <w:rPr>
                <w:lang w:val="lv-LV"/>
              </w:rPr>
              <w:t>, kurai</w:t>
            </w:r>
            <w:r w:rsidR="009E72D3">
              <w:rPr>
                <w:lang w:val="lv-LV"/>
              </w:rPr>
              <w:t xml:space="preserve"> </w:t>
            </w:r>
            <w:r w:rsidR="005C6596">
              <w:rPr>
                <w:lang w:val="lv-LV"/>
              </w:rPr>
              <w:t>ik gadu</w:t>
            </w:r>
            <w:r w:rsidR="005C6596" w:rsidRPr="00647B0C">
              <w:rPr>
                <w:lang w:val="lv-LV"/>
              </w:rPr>
              <w:t xml:space="preserve"> </w:t>
            </w:r>
            <w:r w:rsidRPr="00647B0C">
              <w:rPr>
                <w:lang w:val="lv-LV"/>
              </w:rPr>
              <w:t>ir nepieciešams</w:t>
            </w:r>
            <w:r w:rsidR="00E04DB3">
              <w:rPr>
                <w:lang w:val="lv-LV"/>
              </w:rPr>
              <w:t xml:space="preserve"> </w:t>
            </w:r>
            <w:r w:rsidRPr="00647B0C">
              <w:rPr>
                <w:lang w:val="lv-LV"/>
              </w:rPr>
              <w:t>valsts budžeta finansējum</w:t>
            </w:r>
            <w:r w:rsidRPr="00A56D0D">
              <w:rPr>
                <w:lang w:val="lv-LV"/>
              </w:rPr>
              <w:t xml:space="preserve">s </w:t>
            </w:r>
            <w:r w:rsidR="00902AEA" w:rsidRPr="00647B0C">
              <w:rPr>
                <w:lang w:val="lv-LV"/>
              </w:rPr>
              <w:t>15</w:t>
            </w:r>
            <w:r w:rsidR="00902AEA">
              <w:rPr>
                <w:lang w:val="lv-LV"/>
              </w:rPr>
              <w:t> </w:t>
            </w:r>
            <w:r w:rsidR="00902AEA" w:rsidRPr="00647B0C">
              <w:rPr>
                <w:lang w:val="lv-LV"/>
              </w:rPr>
              <w:t>322</w:t>
            </w:r>
            <w:r w:rsidRPr="00A56D0D">
              <w:rPr>
                <w:bCs/>
                <w:color w:val="000000"/>
                <w:lang w:val="lv-LV"/>
              </w:rPr>
              <w:t xml:space="preserve"> </w:t>
            </w:r>
            <w:r w:rsidRPr="00A56D0D">
              <w:rPr>
                <w:bCs/>
                <w:i/>
                <w:color w:val="000000"/>
                <w:lang w:val="lv-LV"/>
              </w:rPr>
              <w:t xml:space="preserve">euro </w:t>
            </w:r>
            <w:r w:rsidRPr="00A56D0D">
              <w:rPr>
                <w:bCs/>
                <w:color w:val="000000"/>
                <w:lang w:val="lv-LV"/>
              </w:rPr>
              <w:t>apmērā.</w:t>
            </w:r>
            <w:r w:rsidRPr="00A56D0D">
              <w:rPr>
                <w:lang w:val="lv-LV"/>
              </w:rPr>
              <w:t xml:space="preserve"> Funkcijas nodrošināšanai ir nepieciešamas 1</w:t>
            </w:r>
            <w:r w:rsidR="003B3A82">
              <w:rPr>
                <w:lang w:val="lv-LV"/>
              </w:rPr>
              <w:t> </w:t>
            </w:r>
            <w:r w:rsidRPr="00A56D0D">
              <w:rPr>
                <w:lang w:val="lv-LV"/>
              </w:rPr>
              <w:t xml:space="preserve">750 darba stundas gadā, jo </w:t>
            </w:r>
            <w:r w:rsidR="003B3A82">
              <w:rPr>
                <w:lang w:val="lv-LV"/>
              </w:rPr>
              <w:t xml:space="preserve">informācijas sagatavošanai par </w:t>
            </w:r>
            <w:r w:rsidRPr="00A56D0D">
              <w:rPr>
                <w:lang w:val="lv-LV"/>
              </w:rPr>
              <w:t>vienu uzņēmumu</w:t>
            </w:r>
            <w:r w:rsidR="005C6596" w:rsidRPr="00A56D0D">
              <w:rPr>
                <w:lang w:val="lv-LV"/>
              </w:rPr>
              <w:t xml:space="preserve"> tiks patērētas vidēji 30 minūtes</w:t>
            </w:r>
            <w:r w:rsidRPr="00A56D0D">
              <w:rPr>
                <w:lang w:val="lv-LV"/>
              </w:rPr>
              <w:t xml:space="preserve">. Izmaksas par tiešajiem izdevumiem </w:t>
            </w:r>
            <w:r w:rsidR="005C6596">
              <w:rPr>
                <w:lang w:val="lv-LV"/>
              </w:rPr>
              <w:t>veido</w:t>
            </w:r>
            <w:r w:rsidR="005C6596" w:rsidRPr="00A56D0D">
              <w:rPr>
                <w:lang w:val="lv-LV"/>
              </w:rPr>
              <w:t xml:space="preserve"> </w:t>
            </w:r>
            <w:r w:rsidRPr="00A56D0D">
              <w:rPr>
                <w:lang w:val="lv-LV"/>
              </w:rPr>
              <w:t>14</w:t>
            </w:r>
            <w:r w:rsidR="003D65D4">
              <w:rPr>
                <w:lang w:val="lv-LV"/>
              </w:rPr>
              <w:t> </w:t>
            </w:r>
            <w:r w:rsidRPr="00A56D0D">
              <w:rPr>
                <w:lang w:val="lv-LV"/>
              </w:rPr>
              <w:t xml:space="preserve">965,52 </w:t>
            </w:r>
            <w:r w:rsidRPr="00A56D0D">
              <w:rPr>
                <w:i/>
                <w:color w:val="000000"/>
                <w:lang w:val="lv-LV"/>
              </w:rPr>
              <w:t>euro</w:t>
            </w:r>
            <w:r w:rsidRPr="00A56D0D">
              <w:rPr>
                <w:color w:val="000000"/>
                <w:lang w:val="lv-LV"/>
              </w:rPr>
              <w:t xml:space="preserve">: </w:t>
            </w:r>
            <w:r w:rsidRPr="00A56D0D">
              <w:rPr>
                <w:lang w:val="lv-LV"/>
              </w:rPr>
              <w:t xml:space="preserve">eksperta likme mēnesī </w:t>
            </w:r>
            <w:r w:rsidR="005C6596">
              <w:rPr>
                <w:lang w:val="lv-LV"/>
              </w:rPr>
              <w:t xml:space="preserve">– </w:t>
            </w:r>
            <w:r w:rsidRPr="00A56D0D">
              <w:rPr>
                <w:lang w:val="lv-LV"/>
              </w:rPr>
              <w:t xml:space="preserve">970 </w:t>
            </w:r>
            <w:r w:rsidRPr="00A56D0D">
              <w:rPr>
                <w:i/>
                <w:color w:val="000000"/>
                <w:lang w:val="lv-LV"/>
              </w:rPr>
              <w:t>euro</w:t>
            </w:r>
            <w:r w:rsidRPr="00A56D0D">
              <w:rPr>
                <w:lang w:val="lv-LV"/>
              </w:rPr>
              <w:t xml:space="preserve">, darba devēja valsts sociālās apdrošināšanas obligātās iemaksas mēnesī </w:t>
            </w:r>
            <w:r w:rsidR="005C6596">
              <w:rPr>
                <w:lang w:val="lv-LV"/>
              </w:rPr>
              <w:t xml:space="preserve">– </w:t>
            </w:r>
            <w:r w:rsidRPr="00A56D0D">
              <w:rPr>
                <w:color w:val="000000"/>
                <w:lang w:val="lv-LV"/>
              </w:rPr>
              <w:t>228,82</w:t>
            </w:r>
            <w:r w:rsidRPr="00A56D0D">
              <w:rPr>
                <w:i/>
                <w:color w:val="000000"/>
                <w:lang w:val="lv-LV"/>
              </w:rPr>
              <w:t xml:space="preserve"> euro</w:t>
            </w:r>
            <w:r w:rsidRPr="00A56D0D">
              <w:rPr>
                <w:lang w:val="lv-LV"/>
              </w:rPr>
              <w:t xml:space="preserve">, </w:t>
            </w:r>
            <w:r w:rsidRPr="00A56D0D">
              <w:rPr>
                <w:color w:val="000000"/>
                <w:lang w:val="lv-LV"/>
              </w:rPr>
              <w:t xml:space="preserve">piemaksa par aizvietošanu (30% + VSAOI) </w:t>
            </w:r>
            <w:r w:rsidR="005C6596">
              <w:rPr>
                <w:color w:val="000000"/>
                <w:lang w:val="lv-LV"/>
              </w:rPr>
              <w:t xml:space="preserve">– </w:t>
            </w:r>
            <w:r w:rsidRPr="00A56D0D">
              <w:rPr>
                <w:color w:val="000000"/>
                <w:lang w:val="lv-LV"/>
              </w:rPr>
              <w:t>359,65</w:t>
            </w:r>
            <w:r w:rsidRPr="00A56D0D">
              <w:rPr>
                <w:i/>
                <w:color w:val="000000"/>
                <w:lang w:val="lv-LV"/>
              </w:rPr>
              <w:t xml:space="preserve"> euro,</w:t>
            </w:r>
            <w:r w:rsidRPr="00A56D0D">
              <w:rPr>
                <w:lang w:val="lv-LV"/>
              </w:rPr>
              <w:t xml:space="preserve"> veselības un nelaimes gadījumu apdrošināšana </w:t>
            </w:r>
            <w:r w:rsidR="005C6596">
              <w:rPr>
                <w:lang w:val="lv-LV"/>
              </w:rPr>
              <w:t xml:space="preserve">– </w:t>
            </w:r>
            <w:r w:rsidRPr="00A56D0D">
              <w:rPr>
                <w:lang w:val="lv-LV"/>
              </w:rPr>
              <w:t>220</w:t>
            </w:r>
            <w:r w:rsidRPr="00A56D0D">
              <w:rPr>
                <w:i/>
                <w:color w:val="000000"/>
                <w:lang w:val="lv-LV"/>
              </w:rPr>
              <w:t xml:space="preserve"> euro.</w:t>
            </w:r>
            <w:r w:rsidRPr="00A56D0D">
              <w:rPr>
                <w:color w:val="000000"/>
                <w:lang w:val="lv-LV"/>
              </w:rPr>
              <w:t xml:space="preserve"> Aprēķins: (</w:t>
            </w:r>
            <w:r w:rsidRPr="00A56D0D">
              <w:rPr>
                <w:lang w:val="lv-LV"/>
              </w:rPr>
              <w:t>970</w:t>
            </w:r>
            <w:r w:rsidRPr="00A56D0D">
              <w:rPr>
                <w:i/>
                <w:color w:val="000000"/>
                <w:lang w:val="lv-LV"/>
              </w:rPr>
              <w:t xml:space="preserve"> euro</w:t>
            </w:r>
            <w:r w:rsidRPr="00A56D0D">
              <w:rPr>
                <w:lang w:val="lv-LV"/>
              </w:rPr>
              <w:t xml:space="preserve"> + 228,82</w:t>
            </w:r>
            <w:r w:rsidRPr="00A56D0D">
              <w:rPr>
                <w:i/>
                <w:color w:val="000000"/>
                <w:lang w:val="lv-LV"/>
              </w:rPr>
              <w:t xml:space="preserve"> euro</w:t>
            </w:r>
            <w:r w:rsidRPr="00A56D0D">
              <w:rPr>
                <w:lang w:val="lv-LV"/>
              </w:rPr>
              <w:t xml:space="preserve">) x 12 mēneši + </w:t>
            </w:r>
            <w:r w:rsidRPr="00A56D0D">
              <w:rPr>
                <w:color w:val="000000"/>
                <w:lang w:val="lv-LV"/>
              </w:rPr>
              <w:t>359,65</w:t>
            </w:r>
            <w:r w:rsidRPr="00A56D0D">
              <w:rPr>
                <w:i/>
                <w:color w:val="000000"/>
                <w:lang w:val="lv-LV"/>
              </w:rPr>
              <w:t xml:space="preserve"> euro</w:t>
            </w:r>
            <w:r w:rsidRPr="00A56D0D">
              <w:rPr>
                <w:color w:val="000000"/>
                <w:lang w:val="lv-LV"/>
              </w:rPr>
              <w:t xml:space="preserve"> + 220 </w:t>
            </w:r>
            <w:r w:rsidRPr="00A56D0D">
              <w:rPr>
                <w:i/>
                <w:color w:val="000000"/>
                <w:lang w:val="lv-LV"/>
              </w:rPr>
              <w:t>euro=</w:t>
            </w:r>
            <w:r w:rsidRPr="00A56D0D">
              <w:rPr>
                <w:color w:val="000000"/>
                <w:lang w:val="lv-LV"/>
              </w:rPr>
              <w:t xml:space="preserve"> 14</w:t>
            </w:r>
            <w:r w:rsidR="00306CF9">
              <w:rPr>
                <w:color w:val="000000"/>
                <w:lang w:val="lv-LV"/>
              </w:rPr>
              <w:t> </w:t>
            </w:r>
            <w:r w:rsidRPr="00A56D0D">
              <w:rPr>
                <w:color w:val="000000"/>
                <w:lang w:val="lv-LV"/>
              </w:rPr>
              <w:t xml:space="preserve">965,52 </w:t>
            </w:r>
            <w:r w:rsidRPr="00A56D0D">
              <w:rPr>
                <w:i/>
                <w:color w:val="000000"/>
                <w:lang w:val="lv-LV"/>
              </w:rPr>
              <w:t>euro</w:t>
            </w:r>
            <w:r w:rsidRPr="00A56D0D">
              <w:rPr>
                <w:color w:val="000000"/>
                <w:lang w:val="lv-LV"/>
              </w:rPr>
              <w:t xml:space="preserve"> gadā. </w:t>
            </w:r>
          </w:p>
          <w:p w:rsidR="005C6596" w:rsidRDefault="00673BE2" w:rsidP="007E5B33">
            <w:pPr>
              <w:pStyle w:val="Sarakstarindkopa"/>
              <w:ind w:left="0"/>
              <w:jc w:val="both"/>
              <w:rPr>
                <w:lang w:val="lv-LV"/>
              </w:rPr>
            </w:pPr>
            <w:r w:rsidRPr="00A56D0D">
              <w:rPr>
                <w:lang w:val="lv-LV"/>
              </w:rPr>
              <w:t xml:space="preserve">Vienreizējās izmaksas, kas ietver datorkomplekta (dators, printeris, licences) </w:t>
            </w:r>
            <w:r w:rsidR="005C6596" w:rsidRPr="00A56D0D">
              <w:rPr>
                <w:lang w:val="lv-LV"/>
              </w:rPr>
              <w:t>iegādi</w:t>
            </w:r>
            <w:r w:rsidR="005C6596">
              <w:rPr>
                <w:lang w:val="lv-LV"/>
              </w:rPr>
              <w:t>,</w:t>
            </w:r>
            <w:r w:rsidR="005C6596" w:rsidRPr="00A56D0D">
              <w:rPr>
                <w:lang w:val="lv-LV"/>
              </w:rPr>
              <w:t xml:space="preserve"> i</w:t>
            </w:r>
            <w:r w:rsidR="005C6596">
              <w:rPr>
                <w:lang w:val="lv-LV"/>
              </w:rPr>
              <w:t>r</w:t>
            </w:r>
            <w:r w:rsidR="005C6596" w:rsidRPr="00A56D0D">
              <w:rPr>
                <w:lang w:val="lv-LV"/>
              </w:rPr>
              <w:t xml:space="preserve"> </w:t>
            </w:r>
            <w:r w:rsidRPr="00A56D0D">
              <w:rPr>
                <w:lang w:val="lv-LV"/>
              </w:rPr>
              <w:t xml:space="preserve">1300 </w:t>
            </w:r>
            <w:r w:rsidRPr="00A56D0D">
              <w:rPr>
                <w:i/>
                <w:lang w:val="lv-LV"/>
              </w:rPr>
              <w:t>euro</w:t>
            </w:r>
            <w:r w:rsidRPr="00A56D0D">
              <w:rPr>
                <w:lang w:val="lv-LV"/>
              </w:rPr>
              <w:t xml:space="preserve">, </w:t>
            </w:r>
            <w:r w:rsidR="005C6596">
              <w:rPr>
                <w:lang w:val="lv-LV"/>
              </w:rPr>
              <w:t>un tās</w:t>
            </w:r>
            <w:r w:rsidRPr="00A56D0D">
              <w:rPr>
                <w:lang w:val="lv-LV"/>
              </w:rPr>
              <w:t xml:space="preserve"> netiek </w:t>
            </w:r>
            <w:r w:rsidRPr="00A56D0D">
              <w:rPr>
                <w:lang w:val="lv-LV"/>
              </w:rPr>
              <w:lastRenderedPageBreak/>
              <w:t xml:space="preserve">ietvertas turpmāko gadu aprēķinos. </w:t>
            </w:r>
          </w:p>
          <w:p w:rsidR="007E5B33" w:rsidRPr="00A56D0D" w:rsidRDefault="005C6596" w:rsidP="007E5B33">
            <w:pPr>
              <w:pStyle w:val="Sarakstarindkopa"/>
              <w:ind w:left="0"/>
              <w:jc w:val="both"/>
              <w:rPr>
                <w:lang w:val="lv-LV"/>
              </w:rPr>
            </w:pPr>
            <w:r>
              <w:rPr>
                <w:lang w:val="lv-LV"/>
              </w:rPr>
              <w:t>Turklāt</w:t>
            </w:r>
            <w:r w:rsidR="007E5B33" w:rsidRPr="00A56D0D">
              <w:rPr>
                <w:lang w:val="lv-LV"/>
              </w:rPr>
              <w:t xml:space="preserve"> dienestam ir nepieciešams finansējums netiešiem izdevumiem 356,86 </w:t>
            </w:r>
            <w:r w:rsidR="007E5B33" w:rsidRPr="00A56D0D">
              <w:rPr>
                <w:i/>
                <w:lang w:val="lv-LV"/>
              </w:rPr>
              <w:t>euro</w:t>
            </w:r>
            <w:r w:rsidR="007E5B33" w:rsidRPr="00A56D0D">
              <w:rPr>
                <w:lang w:val="lv-LV"/>
              </w:rPr>
              <w:t xml:space="preserve"> apmērā: 137,61</w:t>
            </w:r>
            <w:r w:rsidR="007E5B33" w:rsidRPr="00A56D0D">
              <w:rPr>
                <w:i/>
                <w:lang w:val="lv-LV"/>
              </w:rPr>
              <w:t xml:space="preserve"> euro</w:t>
            </w:r>
            <w:r w:rsidR="007E5B33" w:rsidRPr="00A56D0D">
              <w:rPr>
                <w:lang w:val="lv-LV"/>
              </w:rPr>
              <w:t xml:space="preserve"> par sakaru pakalpojumiem (telefonsarunas, internets), 72,25 </w:t>
            </w:r>
            <w:r w:rsidR="007E5B33" w:rsidRPr="00A56D0D">
              <w:rPr>
                <w:i/>
                <w:lang w:val="lv-LV"/>
              </w:rPr>
              <w:t>euro</w:t>
            </w:r>
            <w:r w:rsidR="007E5B33" w:rsidRPr="00A56D0D">
              <w:rPr>
                <w:lang w:val="lv-LV"/>
              </w:rPr>
              <w:t xml:space="preserve"> </w:t>
            </w:r>
            <w:r w:rsidR="009A5CA4">
              <w:rPr>
                <w:lang w:val="lv-LV"/>
              </w:rPr>
              <w:t xml:space="preserve">par </w:t>
            </w:r>
            <w:r w:rsidR="007E5B33" w:rsidRPr="00A56D0D">
              <w:rPr>
                <w:lang w:val="lv-LV"/>
              </w:rPr>
              <w:t>informācijas tehnoloģijas pakalpojum</w:t>
            </w:r>
            <w:r w:rsidR="009A5CA4">
              <w:rPr>
                <w:lang w:val="lv-LV"/>
              </w:rPr>
              <w:t>u</w:t>
            </w:r>
            <w:r w:rsidR="007E5B33" w:rsidRPr="00A56D0D">
              <w:rPr>
                <w:lang w:val="lv-LV"/>
              </w:rPr>
              <w:t xml:space="preserve"> (licenču atjaunošana, datubāžu uzturēšana), 147</w:t>
            </w:r>
            <w:r w:rsidR="007E5B33" w:rsidRPr="00A56D0D">
              <w:rPr>
                <w:i/>
                <w:lang w:val="lv-LV"/>
              </w:rPr>
              <w:t xml:space="preserve"> euro</w:t>
            </w:r>
            <w:r w:rsidR="007E5B33" w:rsidRPr="00A56D0D">
              <w:rPr>
                <w:lang w:val="lv-LV"/>
              </w:rPr>
              <w:t xml:space="preserve"> biroja preces</w:t>
            </w:r>
            <w:r w:rsidR="009A5CA4">
              <w:rPr>
                <w:lang w:val="lv-LV"/>
              </w:rPr>
              <w:t xml:space="preserve"> iegādei</w:t>
            </w:r>
            <w:r w:rsidR="007E5B33" w:rsidRPr="00A56D0D">
              <w:rPr>
                <w:lang w:val="lv-LV"/>
              </w:rPr>
              <w:t xml:space="preserve"> (veidlapas, toneri, kancelejas preces)</w:t>
            </w:r>
            <w:r w:rsidR="007E5B33" w:rsidRPr="00A56D0D">
              <w:rPr>
                <w:i/>
                <w:lang w:val="lv-LV"/>
              </w:rPr>
              <w:t>.</w:t>
            </w:r>
            <w:r w:rsidR="007E5B33" w:rsidRPr="00A56D0D">
              <w:rPr>
                <w:lang w:val="lv-LV"/>
              </w:rPr>
              <w:t xml:space="preserve"> </w:t>
            </w:r>
            <w:r w:rsidR="007E5B33" w:rsidRPr="00A56D0D">
              <w:rPr>
                <w:color w:val="000000"/>
                <w:lang w:val="lv-LV"/>
              </w:rPr>
              <w:t xml:space="preserve">Aprēķins: </w:t>
            </w:r>
            <w:r w:rsidR="007E5B33" w:rsidRPr="00A56D0D">
              <w:rPr>
                <w:lang w:val="lv-LV"/>
              </w:rPr>
              <w:t>356,86</w:t>
            </w:r>
            <w:r w:rsidR="007E5B33" w:rsidRPr="00A56D0D">
              <w:rPr>
                <w:i/>
                <w:lang w:val="lv-LV"/>
              </w:rPr>
              <w:t xml:space="preserve"> euro</w:t>
            </w:r>
            <w:r w:rsidR="007E5B33" w:rsidRPr="00A56D0D">
              <w:rPr>
                <w:lang w:val="lv-LV"/>
              </w:rPr>
              <w:t xml:space="preserve"> + 137,61</w:t>
            </w:r>
            <w:r w:rsidR="007E5B33" w:rsidRPr="00A56D0D">
              <w:rPr>
                <w:i/>
                <w:lang w:val="lv-LV"/>
              </w:rPr>
              <w:t xml:space="preserve"> euro</w:t>
            </w:r>
            <w:r w:rsidR="007E5B33" w:rsidRPr="00A56D0D">
              <w:rPr>
                <w:lang w:val="lv-LV"/>
              </w:rPr>
              <w:t xml:space="preserve"> + 147</w:t>
            </w:r>
            <w:r w:rsidR="007E5B33" w:rsidRPr="00A56D0D">
              <w:rPr>
                <w:i/>
                <w:lang w:val="lv-LV"/>
              </w:rPr>
              <w:t xml:space="preserve"> euro</w:t>
            </w:r>
            <w:r w:rsidR="007E5B33" w:rsidRPr="00A56D0D">
              <w:rPr>
                <w:color w:val="000000"/>
                <w:lang w:val="lv-LV"/>
              </w:rPr>
              <w:t xml:space="preserve"> = 356,86 </w:t>
            </w:r>
            <w:r w:rsidR="007E5B33" w:rsidRPr="00A56D0D">
              <w:rPr>
                <w:i/>
                <w:color w:val="000000"/>
                <w:lang w:val="lv-LV"/>
              </w:rPr>
              <w:t>euro.</w:t>
            </w:r>
          </w:p>
          <w:p w:rsidR="007E5B33" w:rsidRPr="00A36A9C" w:rsidRDefault="00673BE2" w:rsidP="00902AEA">
            <w:pPr>
              <w:pStyle w:val="Paraststmeklis"/>
              <w:tabs>
                <w:tab w:val="left" w:pos="720"/>
              </w:tabs>
              <w:spacing w:before="0" w:beforeAutospacing="0"/>
              <w:jc w:val="both"/>
              <w:rPr>
                <w:lang w:val="lv-LV"/>
              </w:rPr>
            </w:pPr>
            <w:r w:rsidRPr="00647B0C">
              <w:rPr>
                <w:lang w:val="lv-LV"/>
              </w:rPr>
              <w:t>Finansējuma pieprasījums turpmākos gados ir nepieciešams 15</w:t>
            </w:r>
            <w:r>
              <w:rPr>
                <w:lang w:val="lv-LV"/>
              </w:rPr>
              <w:t> </w:t>
            </w:r>
            <w:r w:rsidRPr="00647B0C">
              <w:rPr>
                <w:lang w:val="lv-LV"/>
              </w:rPr>
              <w:t>322</w:t>
            </w:r>
            <w:r w:rsidRPr="00647B0C">
              <w:rPr>
                <w:i/>
                <w:lang w:val="lv-LV"/>
              </w:rPr>
              <w:t xml:space="preserve"> euro</w:t>
            </w:r>
            <w:r w:rsidRPr="00647B0C">
              <w:rPr>
                <w:lang w:val="lv-LV"/>
              </w:rPr>
              <w:t xml:space="preserve"> apmērā</w:t>
            </w:r>
            <w:r>
              <w:rPr>
                <w:lang w:val="lv-LV"/>
              </w:rPr>
              <w:t xml:space="preserve">. </w:t>
            </w:r>
            <w:r w:rsidRPr="00A56D0D">
              <w:rPr>
                <w:color w:val="000000"/>
                <w:lang w:val="lv-LV"/>
              </w:rPr>
              <w:t>Aprēķins:</w:t>
            </w:r>
            <w:r>
              <w:rPr>
                <w:color w:val="000000"/>
                <w:lang w:val="lv-LV"/>
              </w:rPr>
              <w:t xml:space="preserve"> </w:t>
            </w:r>
            <w:r w:rsidRPr="00A56D0D">
              <w:rPr>
                <w:lang w:val="lv-LV"/>
              </w:rPr>
              <w:t>1</w:t>
            </w:r>
            <w:r w:rsidRPr="00A56D0D">
              <w:rPr>
                <w:bCs/>
                <w:color w:val="000000"/>
                <w:lang w:val="lv-LV"/>
              </w:rPr>
              <w:t>6</w:t>
            </w:r>
            <w:r>
              <w:rPr>
                <w:bCs/>
                <w:color w:val="000000"/>
                <w:lang w:val="lv-LV"/>
              </w:rPr>
              <w:t> </w:t>
            </w:r>
            <w:r w:rsidRPr="00A56D0D">
              <w:rPr>
                <w:bCs/>
                <w:color w:val="000000"/>
                <w:lang w:val="lv-LV"/>
              </w:rPr>
              <w:t xml:space="preserve">622 </w:t>
            </w:r>
            <w:r w:rsidRPr="00A56D0D">
              <w:rPr>
                <w:bCs/>
                <w:i/>
                <w:color w:val="000000"/>
                <w:lang w:val="lv-LV"/>
              </w:rPr>
              <w:t>euro</w:t>
            </w:r>
            <w:r w:rsidR="005C6596">
              <w:rPr>
                <w:bCs/>
                <w:color w:val="000000"/>
                <w:lang w:val="lv-LV"/>
              </w:rPr>
              <w:t> –</w:t>
            </w:r>
            <w:r>
              <w:rPr>
                <w:bCs/>
                <w:color w:val="000000"/>
                <w:lang w:val="lv-LV"/>
              </w:rPr>
              <w:t xml:space="preserve"> </w:t>
            </w:r>
            <w:r w:rsidRPr="00A56D0D">
              <w:rPr>
                <w:lang w:val="lv-LV"/>
              </w:rPr>
              <w:t xml:space="preserve">1300 </w:t>
            </w:r>
            <w:r w:rsidRPr="00A56D0D">
              <w:rPr>
                <w:i/>
                <w:lang w:val="lv-LV"/>
              </w:rPr>
              <w:t>euro</w:t>
            </w:r>
            <w:r>
              <w:rPr>
                <w:lang w:val="lv-LV"/>
              </w:rPr>
              <w:t xml:space="preserve"> = </w:t>
            </w:r>
            <w:r w:rsidRPr="00647B0C">
              <w:rPr>
                <w:lang w:val="lv-LV"/>
              </w:rPr>
              <w:t>15</w:t>
            </w:r>
            <w:r>
              <w:rPr>
                <w:lang w:val="lv-LV"/>
              </w:rPr>
              <w:t> </w:t>
            </w:r>
            <w:r w:rsidRPr="00647B0C">
              <w:rPr>
                <w:lang w:val="lv-LV"/>
              </w:rPr>
              <w:t>322</w:t>
            </w:r>
            <w:r w:rsidRPr="00647B0C">
              <w:rPr>
                <w:i/>
                <w:lang w:val="lv-LV"/>
              </w:rPr>
              <w:t xml:space="preserve"> euro</w:t>
            </w:r>
            <w:r>
              <w:rPr>
                <w:i/>
                <w:lang w:val="lv-LV"/>
              </w:rPr>
              <w:t>.</w:t>
            </w:r>
          </w:p>
        </w:tc>
      </w:tr>
      <w:tr w:rsidR="007E5B33" w:rsidRPr="00F00D7C" w:rsidTr="0086291C">
        <w:tc>
          <w:tcPr>
            <w:tcW w:w="1867"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pStyle w:val="Paraststmeklis"/>
              <w:spacing w:before="0" w:beforeAutospacing="0" w:after="0" w:afterAutospacing="0"/>
              <w:rPr>
                <w:lang w:val="lv-LV"/>
              </w:rPr>
            </w:pPr>
            <w:r w:rsidRPr="009E2709">
              <w:rPr>
                <w:lang w:val="lv-LV"/>
              </w:rPr>
              <w:t>6.1. detalizēts ieņēmumu aprēķins</w:t>
            </w:r>
          </w:p>
        </w:tc>
        <w:tc>
          <w:tcPr>
            <w:tcW w:w="3133" w:type="pct"/>
            <w:gridSpan w:val="5"/>
            <w:vMerge/>
            <w:tcBorders>
              <w:top w:val="outset" w:sz="6" w:space="0" w:color="000000"/>
              <w:left w:val="outset" w:sz="6" w:space="0" w:color="000000"/>
              <w:bottom w:val="outset" w:sz="6" w:space="0" w:color="000000"/>
              <w:right w:val="outset" w:sz="6" w:space="0" w:color="000000"/>
            </w:tcBorders>
            <w:vAlign w:val="center"/>
          </w:tcPr>
          <w:p w:rsidR="007E5B33" w:rsidRPr="009E2709" w:rsidRDefault="007E5B33" w:rsidP="007E5B33">
            <w:pPr>
              <w:jc w:val="center"/>
              <w:rPr>
                <w:lang w:val="lv-LV"/>
              </w:rPr>
            </w:pPr>
          </w:p>
        </w:tc>
      </w:tr>
      <w:tr w:rsidR="007E5B33" w:rsidRPr="00F00D7C" w:rsidTr="0086291C">
        <w:tc>
          <w:tcPr>
            <w:tcW w:w="1867"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pStyle w:val="Paraststmeklis"/>
              <w:spacing w:before="0" w:beforeAutospacing="0" w:after="0" w:afterAutospacing="0"/>
              <w:rPr>
                <w:lang w:val="lv-LV"/>
              </w:rPr>
            </w:pPr>
            <w:r w:rsidRPr="009E2709">
              <w:rPr>
                <w:lang w:val="lv-LV"/>
              </w:rPr>
              <w:t>6.2. detalizēts izdevumu aprēķins</w:t>
            </w:r>
          </w:p>
        </w:tc>
        <w:tc>
          <w:tcPr>
            <w:tcW w:w="3133" w:type="pct"/>
            <w:gridSpan w:val="5"/>
            <w:vMerge/>
            <w:tcBorders>
              <w:top w:val="outset" w:sz="6" w:space="0" w:color="000000"/>
              <w:left w:val="outset" w:sz="6" w:space="0" w:color="000000"/>
              <w:bottom w:val="outset" w:sz="6" w:space="0" w:color="000000"/>
              <w:right w:val="outset" w:sz="6" w:space="0" w:color="000000"/>
            </w:tcBorders>
            <w:vAlign w:val="center"/>
          </w:tcPr>
          <w:p w:rsidR="007E5B33" w:rsidRPr="009E2709" w:rsidRDefault="007E5B33" w:rsidP="007E5B33">
            <w:pPr>
              <w:jc w:val="center"/>
              <w:rPr>
                <w:lang w:val="lv-LV"/>
              </w:rPr>
            </w:pPr>
          </w:p>
        </w:tc>
      </w:tr>
      <w:tr w:rsidR="007E5B33" w:rsidRPr="0064015B" w:rsidTr="0086291C">
        <w:tc>
          <w:tcPr>
            <w:tcW w:w="1867" w:type="pct"/>
            <w:tcBorders>
              <w:top w:val="outset" w:sz="6" w:space="0" w:color="000000"/>
              <w:left w:val="outset" w:sz="6" w:space="0" w:color="000000"/>
              <w:bottom w:val="outset" w:sz="6" w:space="0" w:color="000000"/>
              <w:right w:val="outset" w:sz="6" w:space="0" w:color="000000"/>
            </w:tcBorders>
          </w:tcPr>
          <w:p w:rsidR="007E5B33" w:rsidRPr="009E2709" w:rsidRDefault="007E5B33" w:rsidP="007E5B33">
            <w:pPr>
              <w:pStyle w:val="Paraststmeklis"/>
              <w:spacing w:before="0" w:beforeAutospacing="0" w:after="0" w:afterAutospacing="0"/>
              <w:rPr>
                <w:lang w:val="lv-LV"/>
              </w:rPr>
            </w:pPr>
            <w:r w:rsidRPr="009E2709">
              <w:rPr>
                <w:lang w:val="lv-LV"/>
              </w:rPr>
              <w:t>7. Cita informācija</w:t>
            </w:r>
          </w:p>
        </w:tc>
        <w:tc>
          <w:tcPr>
            <w:tcW w:w="3133" w:type="pct"/>
            <w:gridSpan w:val="5"/>
            <w:tcBorders>
              <w:top w:val="outset" w:sz="6" w:space="0" w:color="000000"/>
              <w:left w:val="outset" w:sz="6" w:space="0" w:color="000000"/>
              <w:bottom w:val="outset" w:sz="6" w:space="0" w:color="000000"/>
              <w:right w:val="outset" w:sz="6" w:space="0" w:color="000000"/>
            </w:tcBorders>
          </w:tcPr>
          <w:p w:rsidR="007E5B33" w:rsidRDefault="00135C21" w:rsidP="005C6596">
            <w:pPr>
              <w:pStyle w:val="Sarakstarindkopa"/>
              <w:ind w:left="0"/>
              <w:contextualSpacing w:val="0"/>
              <w:jc w:val="both"/>
              <w:rPr>
                <w:lang w:val="lv-LV"/>
              </w:rPr>
            </w:pPr>
            <w:r>
              <w:rPr>
                <w:lang w:val="lv-LV"/>
              </w:rPr>
              <w:t>Ar minēto finansējumu tiks nodrošināta informācijas nosūtīšan</w:t>
            </w:r>
            <w:r w:rsidR="005C6596">
              <w:rPr>
                <w:lang w:val="lv-LV"/>
              </w:rPr>
              <w:t>a</w:t>
            </w:r>
            <w:r>
              <w:rPr>
                <w:lang w:val="lv-LV"/>
              </w:rPr>
              <w:t xml:space="preserve"> pašvaldībām par </w:t>
            </w:r>
            <w:r w:rsidR="005C6596">
              <w:rPr>
                <w:lang w:val="lv-LV"/>
              </w:rPr>
              <w:t xml:space="preserve">jebkuru </w:t>
            </w:r>
            <w:r>
              <w:rPr>
                <w:lang w:val="lv-LV"/>
              </w:rPr>
              <w:t>dienesta uzraudzības objektu svītrošanu no reģistra.</w:t>
            </w:r>
          </w:p>
          <w:p w:rsidR="0039423E" w:rsidRPr="0039423E" w:rsidRDefault="0039423E" w:rsidP="0039423E">
            <w:pPr>
              <w:pStyle w:val="Sarakstarindkopa"/>
              <w:ind w:left="0"/>
              <w:contextualSpacing w:val="0"/>
              <w:jc w:val="both"/>
              <w:rPr>
                <w:lang w:val="lv-LV"/>
              </w:rPr>
            </w:pPr>
            <w:r w:rsidRPr="0039423E">
              <w:rPr>
                <w:lang w:val="lv-LV"/>
              </w:rPr>
              <w:t>Finansējums 2018.gadam un turpmākajiem gadiem tiks pieprasīts 2018.gada budžeta projekta izstrādes procesā,  iesniedzot MK kopā ar visu ministriju un citu centrālo valsts iestāžu pieprasījumiem jaunajām politikas iniciatīvām.</w:t>
            </w:r>
          </w:p>
        </w:tc>
      </w:tr>
    </w:tbl>
    <w:p w:rsidR="00A56D0D" w:rsidRPr="00E80F69" w:rsidRDefault="00A56D0D" w:rsidP="00A56D0D">
      <w:pPr>
        <w:pStyle w:val="naisf"/>
        <w:spacing w:before="0" w:beforeAutospacing="0" w:after="0" w:afterAutospacing="0"/>
        <w:rPr>
          <w:i/>
          <w:color w:val="000000"/>
          <w:szCs w:val="22"/>
          <w:lang w:val="lv-LV"/>
        </w:rPr>
      </w:pPr>
      <w:r w:rsidRPr="00E80F69">
        <w:rPr>
          <w:i/>
          <w:color w:val="000000"/>
          <w:szCs w:val="22"/>
          <w:lang w:val="lv-LV"/>
        </w:rPr>
        <w:t>Anotācijas IV un V sadaļa – projekts šīs jomas neskar.</w:t>
      </w:r>
    </w:p>
    <w:p w:rsidR="00A56D0D" w:rsidRPr="00E80F69" w:rsidRDefault="00A56D0D" w:rsidP="00A56D0D">
      <w:pPr>
        <w:pStyle w:val="naisf"/>
        <w:spacing w:before="0" w:beforeAutospacing="0" w:after="0" w:afterAutospacing="0"/>
        <w:rPr>
          <w:color w:val="000000"/>
          <w:szCs w:val="22"/>
          <w:lang w:val="lv-LV"/>
        </w:rPr>
      </w:pPr>
    </w:p>
    <w:tbl>
      <w:tblPr>
        <w:tblW w:w="4968"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96"/>
        <w:gridCol w:w="2582"/>
        <w:gridCol w:w="6095"/>
      </w:tblGrid>
      <w:tr w:rsidR="00A56D0D" w:rsidRPr="0064015B" w:rsidTr="0086291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A56D0D" w:rsidRPr="00E80F69" w:rsidRDefault="00A56D0D" w:rsidP="0086291C">
            <w:pPr>
              <w:jc w:val="center"/>
              <w:rPr>
                <w:b/>
                <w:bCs/>
                <w:sz w:val="28"/>
                <w:szCs w:val="28"/>
                <w:lang w:val="lv-LV" w:eastAsia="lv-LV"/>
              </w:rPr>
            </w:pPr>
            <w:r w:rsidRPr="00E80F69">
              <w:rPr>
                <w:b/>
                <w:bCs/>
                <w:szCs w:val="28"/>
                <w:lang w:val="lv-LV" w:eastAsia="lv-LV"/>
              </w:rPr>
              <w:t xml:space="preserve">VI. Sabiedrības līdzdalība </w:t>
            </w:r>
            <w:r w:rsidRPr="00E80F69">
              <w:rPr>
                <w:b/>
                <w:bCs/>
                <w:szCs w:val="28"/>
                <w:lang w:val="lv-LV"/>
              </w:rPr>
              <w:t>un komunikācijas aktivitātes</w:t>
            </w:r>
          </w:p>
        </w:tc>
      </w:tr>
      <w:tr w:rsidR="00A56D0D" w:rsidRPr="00381B0F" w:rsidTr="00862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8" w:type="pct"/>
          </w:tcPr>
          <w:p w:rsidR="00A56D0D" w:rsidRPr="00E80F69" w:rsidRDefault="00A56D0D" w:rsidP="0086291C">
            <w:pPr>
              <w:rPr>
                <w:lang w:val="lv-LV" w:eastAsia="lv-LV"/>
              </w:rPr>
            </w:pPr>
            <w:r w:rsidRPr="00E80F69">
              <w:rPr>
                <w:lang w:val="lv-LV" w:eastAsia="lv-LV"/>
              </w:rPr>
              <w:t>1.</w:t>
            </w:r>
          </w:p>
        </w:tc>
        <w:tc>
          <w:tcPr>
            <w:tcW w:w="1423" w:type="pct"/>
          </w:tcPr>
          <w:p w:rsidR="00A56D0D" w:rsidRPr="00E80F69" w:rsidRDefault="00A56D0D" w:rsidP="0086291C">
            <w:pPr>
              <w:jc w:val="both"/>
              <w:rPr>
                <w:lang w:val="lv-LV" w:eastAsia="lv-LV"/>
              </w:rPr>
            </w:pPr>
            <w:r w:rsidRPr="00E80F69">
              <w:rPr>
                <w:lang w:val="lv-LV" w:eastAsia="lv-LV"/>
              </w:rPr>
              <w:t>Plānotās sabiedrības līdzdalības un komunikācijas aktivitātes saistībā ar projektu</w:t>
            </w:r>
          </w:p>
        </w:tc>
        <w:tc>
          <w:tcPr>
            <w:tcW w:w="3359" w:type="pct"/>
          </w:tcPr>
          <w:p w:rsidR="00A56D0D" w:rsidRPr="00E80F69" w:rsidRDefault="00A56D0D" w:rsidP="0086291C">
            <w:pPr>
              <w:jc w:val="both"/>
              <w:rPr>
                <w:lang w:val="lv-LV"/>
              </w:rPr>
            </w:pPr>
            <w:r w:rsidRPr="00E80F69">
              <w:rPr>
                <w:iCs/>
                <w:lang w:val="lv-LV"/>
              </w:rPr>
              <w:t>Projekts tiks ievietots Zemkopības ministrijas tīmekļa vietnē publiskai apspriešanai.</w:t>
            </w:r>
          </w:p>
        </w:tc>
      </w:tr>
      <w:tr w:rsidR="00A56D0D" w:rsidRPr="0064015B" w:rsidTr="00862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8" w:type="pct"/>
          </w:tcPr>
          <w:p w:rsidR="00A56D0D" w:rsidRPr="00E80F69" w:rsidRDefault="00A56D0D" w:rsidP="0086291C">
            <w:pPr>
              <w:rPr>
                <w:lang w:val="lv-LV" w:eastAsia="lv-LV"/>
              </w:rPr>
            </w:pPr>
            <w:r w:rsidRPr="00E80F69">
              <w:rPr>
                <w:lang w:val="lv-LV" w:eastAsia="lv-LV"/>
              </w:rPr>
              <w:t>2.</w:t>
            </w:r>
          </w:p>
        </w:tc>
        <w:tc>
          <w:tcPr>
            <w:tcW w:w="1423" w:type="pct"/>
          </w:tcPr>
          <w:p w:rsidR="00A56D0D" w:rsidRPr="00E80F69" w:rsidRDefault="00A56D0D" w:rsidP="0086291C">
            <w:pPr>
              <w:jc w:val="both"/>
              <w:rPr>
                <w:lang w:val="lv-LV" w:eastAsia="lv-LV"/>
              </w:rPr>
            </w:pPr>
            <w:r w:rsidRPr="00E80F69">
              <w:rPr>
                <w:lang w:val="lv-LV" w:eastAsia="lv-LV"/>
              </w:rPr>
              <w:t>Sabiedrības līdzdalība projekta izstrādē</w:t>
            </w:r>
          </w:p>
        </w:tc>
        <w:tc>
          <w:tcPr>
            <w:tcW w:w="3359" w:type="pct"/>
          </w:tcPr>
          <w:p w:rsidR="00A56D0D" w:rsidRPr="00E80F69" w:rsidRDefault="00A56D0D" w:rsidP="0086291C">
            <w:pPr>
              <w:jc w:val="both"/>
              <w:rPr>
                <w:lang w:val="lv-LV"/>
              </w:rPr>
            </w:pPr>
            <w:r w:rsidRPr="00E80F69">
              <w:rPr>
                <w:lang w:val="lv-LV" w:eastAsia="lv-LV"/>
              </w:rPr>
              <w:t xml:space="preserve">Projekts </w:t>
            </w:r>
            <w:r>
              <w:rPr>
                <w:lang w:val="lv-LV" w:eastAsia="lv-LV"/>
              </w:rPr>
              <w:t xml:space="preserve">tiks </w:t>
            </w:r>
            <w:r w:rsidRPr="00E80F69">
              <w:rPr>
                <w:lang w:val="lv-LV" w:eastAsia="lv-LV"/>
              </w:rPr>
              <w:t xml:space="preserve">nosūtīts saskaņošanai biedrībām „Lauksaimnieku organizāciju sadarbības padome”, </w:t>
            </w:r>
            <w:r w:rsidRPr="00E80F69">
              <w:rPr>
                <w:lang w:val="lv-LV"/>
              </w:rPr>
              <w:t xml:space="preserve">„Latvijas Pārtikas uzņēmumu federācija”, „Latvijas Pārtikas tirgotāju asociācija, ”Latvijas tirgotāju asociācija” </w:t>
            </w:r>
            <w:r w:rsidRPr="00E80F69">
              <w:rPr>
                <w:lang w:val="lv-LV" w:eastAsia="lv-LV"/>
              </w:rPr>
              <w:t>„Zemnieku saeima”</w:t>
            </w:r>
            <w:r w:rsidRPr="00E80F69">
              <w:rPr>
                <w:lang w:val="lv-LV"/>
              </w:rPr>
              <w:t>, „Latvijas Lauksaimniecības kooperatīvu asociācija”</w:t>
            </w:r>
            <w:r>
              <w:rPr>
                <w:lang w:val="lv-LV"/>
              </w:rPr>
              <w:t xml:space="preserve"> un „Latvijas Pašvaldību savienība”</w:t>
            </w:r>
            <w:r w:rsidRPr="00E80F69">
              <w:rPr>
                <w:lang w:val="lv-LV"/>
              </w:rPr>
              <w:t>.</w:t>
            </w:r>
            <w:r>
              <w:rPr>
                <w:lang w:val="lv-LV"/>
              </w:rPr>
              <w:t xml:space="preserve"> </w:t>
            </w:r>
          </w:p>
        </w:tc>
      </w:tr>
      <w:tr w:rsidR="00A56D0D" w:rsidRPr="00E80F69" w:rsidTr="00862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8" w:type="pct"/>
          </w:tcPr>
          <w:p w:rsidR="00A56D0D" w:rsidRPr="00E80F69" w:rsidRDefault="00A56D0D" w:rsidP="0086291C">
            <w:pPr>
              <w:rPr>
                <w:lang w:val="lv-LV" w:eastAsia="lv-LV"/>
              </w:rPr>
            </w:pPr>
            <w:r w:rsidRPr="00E80F69">
              <w:rPr>
                <w:lang w:val="lv-LV" w:eastAsia="lv-LV"/>
              </w:rPr>
              <w:t>3.</w:t>
            </w:r>
          </w:p>
        </w:tc>
        <w:tc>
          <w:tcPr>
            <w:tcW w:w="1423" w:type="pct"/>
          </w:tcPr>
          <w:p w:rsidR="00A56D0D" w:rsidRPr="007B55A3" w:rsidRDefault="00A56D0D" w:rsidP="0086291C">
            <w:pPr>
              <w:jc w:val="both"/>
              <w:rPr>
                <w:lang w:val="lv-LV" w:eastAsia="lv-LV"/>
              </w:rPr>
            </w:pPr>
            <w:r w:rsidRPr="007B55A3">
              <w:rPr>
                <w:lang w:val="lv-LV" w:eastAsia="lv-LV"/>
              </w:rPr>
              <w:t>Sabiedrības līdzdalības rezultāti</w:t>
            </w:r>
          </w:p>
        </w:tc>
        <w:tc>
          <w:tcPr>
            <w:tcW w:w="3359" w:type="pct"/>
          </w:tcPr>
          <w:p w:rsidR="00A56D0D" w:rsidRPr="007B55A3" w:rsidRDefault="00A56D0D" w:rsidP="0086291C">
            <w:pPr>
              <w:jc w:val="both"/>
              <w:rPr>
                <w:rFonts w:eastAsia="Arial Unicode MS"/>
                <w:lang w:val="lv-LV" w:eastAsia="lv-LV"/>
              </w:rPr>
            </w:pPr>
            <w:r w:rsidRPr="007B55A3">
              <w:rPr>
                <w:color w:val="000000"/>
                <w:lang w:val="lv-LV"/>
              </w:rPr>
              <w:t>Projekts šo jomu neskar.</w:t>
            </w:r>
          </w:p>
        </w:tc>
      </w:tr>
      <w:tr w:rsidR="00A56D0D" w:rsidRPr="00E80F69" w:rsidTr="00862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8" w:type="pct"/>
          </w:tcPr>
          <w:p w:rsidR="00A56D0D" w:rsidRPr="00E80F69" w:rsidRDefault="00A56D0D" w:rsidP="0086291C">
            <w:pPr>
              <w:rPr>
                <w:lang w:val="lv-LV" w:eastAsia="lv-LV"/>
              </w:rPr>
            </w:pPr>
            <w:r w:rsidRPr="00E80F69">
              <w:rPr>
                <w:lang w:val="lv-LV" w:eastAsia="lv-LV"/>
              </w:rPr>
              <w:t>4.</w:t>
            </w:r>
          </w:p>
        </w:tc>
        <w:tc>
          <w:tcPr>
            <w:tcW w:w="1423" w:type="pct"/>
          </w:tcPr>
          <w:p w:rsidR="00A56D0D" w:rsidRPr="00E80F69" w:rsidRDefault="00A56D0D" w:rsidP="0086291C">
            <w:pPr>
              <w:jc w:val="both"/>
              <w:rPr>
                <w:lang w:val="lv-LV" w:eastAsia="lv-LV"/>
              </w:rPr>
            </w:pPr>
            <w:r w:rsidRPr="00E80F69">
              <w:rPr>
                <w:lang w:val="lv-LV" w:eastAsia="lv-LV"/>
              </w:rPr>
              <w:t>Cita informācija</w:t>
            </w:r>
          </w:p>
        </w:tc>
        <w:tc>
          <w:tcPr>
            <w:tcW w:w="3359" w:type="pct"/>
          </w:tcPr>
          <w:p w:rsidR="00A56D0D" w:rsidRPr="00E80F69" w:rsidRDefault="00A56D0D" w:rsidP="0086291C">
            <w:pPr>
              <w:rPr>
                <w:rFonts w:eastAsia="Arial Unicode MS"/>
                <w:lang w:val="lv-LV"/>
              </w:rPr>
            </w:pPr>
            <w:r w:rsidRPr="00E80F69">
              <w:rPr>
                <w:rFonts w:eastAsia="Arial Unicode MS"/>
                <w:lang w:val="lv-LV"/>
              </w:rPr>
              <w:t>Nav</w:t>
            </w:r>
          </w:p>
        </w:tc>
      </w:tr>
    </w:tbl>
    <w:p w:rsidR="00A56D0D" w:rsidRPr="00E80F69" w:rsidRDefault="00A56D0D" w:rsidP="00A56D0D">
      <w:pPr>
        <w:rPr>
          <w:sz w:val="28"/>
          <w:szCs w:val="28"/>
          <w:u w:val="single"/>
          <w:lang w:val="lv-LV"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1"/>
        <w:gridCol w:w="2559"/>
        <w:gridCol w:w="5982"/>
      </w:tblGrid>
      <w:tr w:rsidR="00A56D0D" w:rsidRPr="0064015B" w:rsidTr="0086291C">
        <w:trPr>
          <w:trHeight w:val="222"/>
        </w:trPr>
        <w:tc>
          <w:tcPr>
            <w:tcW w:w="5000" w:type="pct"/>
            <w:gridSpan w:val="3"/>
            <w:tcBorders>
              <w:top w:val="outset" w:sz="6" w:space="0" w:color="000000"/>
              <w:bottom w:val="outset" w:sz="6" w:space="0" w:color="000000"/>
            </w:tcBorders>
          </w:tcPr>
          <w:p w:rsidR="00A56D0D" w:rsidRPr="00E80F69" w:rsidRDefault="00A56D0D" w:rsidP="0086291C">
            <w:pPr>
              <w:jc w:val="center"/>
              <w:rPr>
                <w:b/>
                <w:bCs/>
                <w:sz w:val="28"/>
                <w:lang w:val="lv-LV" w:eastAsia="lv-LV"/>
              </w:rPr>
            </w:pPr>
            <w:r w:rsidRPr="00E80F69">
              <w:rPr>
                <w:b/>
                <w:bCs/>
                <w:lang w:val="lv-LV" w:eastAsia="lv-LV"/>
              </w:rPr>
              <w:t>VII. Tiesību akta projekta izpildes nodrošināšana un tās ietekme uz institūcijām</w:t>
            </w:r>
          </w:p>
        </w:tc>
      </w:tr>
      <w:tr w:rsidR="00A56D0D" w:rsidRPr="00E80F69" w:rsidTr="0086291C">
        <w:tc>
          <w:tcPr>
            <w:tcW w:w="0" w:type="auto"/>
            <w:tcBorders>
              <w:top w:val="outset" w:sz="6" w:space="0" w:color="000000"/>
              <w:bottom w:val="outset" w:sz="6" w:space="0" w:color="000000"/>
              <w:right w:val="outset" w:sz="6" w:space="0" w:color="000000"/>
            </w:tcBorders>
          </w:tcPr>
          <w:p w:rsidR="00A56D0D" w:rsidRPr="00E80F69" w:rsidRDefault="00A56D0D" w:rsidP="0086291C">
            <w:pPr>
              <w:rPr>
                <w:lang w:val="lv-LV" w:eastAsia="lv-LV"/>
              </w:rPr>
            </w:pPr>
            <w:r w:rsidRPr="00E80F69">
              <w:rPr>
                <w:lang w:val="lv-LV" w:eastAsia="lv-LV"/>
              </w:rPr>
              <w:t>1.</w:t>
            </w:r>
          </w:p>
        </w:tc>
        <w:tc>
          <w:tcPr>
            <w:tcW w:w="1406" w:type="pct"/>
            <w:tcBorders>
              <w:top w:val="outset" w:sz="6" w:space="0" w:color="000000"/>
              <w:left w:val="outset" w:sz="6" w:space="0" w:color="000000"/>
              <w:bottom w:val="outset" w:sz="6" w:space="0" w:color="000000"/>
              <w:right w:val="outset" w:sz="6" w:space="0" w:color="000000"/>
            </w:tcBorders>
          </w:tcPr>
          <w:p w:rsidR="00A56D0D" w:rsidRPr="00E80F69" w:rsidRDefault="00A56D0D" w:rsidP="0086291C">
            <w:pPr>
              <w:jc w:val="both"/>
              <w:rPr>
                <w:lang w:val="lv-LV" w:eastAsia="lv-LV"/>
              </w:rPr>
            </w:pPr>
            <w:r w:rsidRPr="00E80F69">
              <w:rPr>
                <w:lang w:val="lv-LV" w:eastAsia="lv-LV"/>
              </w:rPr>
              <w:t>Projekta izpildē iesaistītās institūcijas</w:t>
            </w:r>
          </w:p>
        </w:tc>
        <w:tc>
          <w:tcPr>
            <w:tcW w:w="3286" w:type="pct"/>
            <w:tcBorders>
              <w:top w:val="outset" w:sz="6" w:space="0" w:color="000000"/>
              <w:left w:val="outset" w:sz="6" w:space="0" w:color="000000"/>
              <w:bottom w:val="outset" w:sz="6" w:space="0" w:color="000000"/>
            </w:tcBorders>
          </w:tcPr>
          <w:p w:rsidR="00A56D0D" w:rsidRPr="00E80F69" w:rsidRDefault="00A56D0D" w:rsidP="0086291C">
            <w:pPr>
              <w:pStyle w:val="Kjene"/>
              <w:tabs>
                <w:tab w:val="clear" w:pos="4153"/>
                <w:tab w:val="clear" w:pos="8306"/>
              </w:tabs>
              <w:snapToGrid/>
              <w:jc w:val="both"/>
              <w:rPr>
                <w:rFonts w:ascii="Times New Roman" w:hAnsi="Times New Roman"/>
                <w:sz w:val="24"/>
                <w:szCs w:val="24"/>
                <w:lang w:val="lv-LV"/>
              </w:rPr>
            </w:pPr>
            <w:r w:rsidRPr="00E80F69">
              <w:rPr>
                <w:rFonts w:ascii="Times New Roman" w:hAnsi="Times New Roman"/>
                <w:sz w:val="24"/>
                <w:szCs w:val="24"/>
                <w:lang w:val="lv-LV"/>
              </w:rPr>
              <w:t>Pārtikas un veterinārais dienests</w:t>
            </w:r>
          </w:p>
        </w:tc>
      </w:tr>
      <w:tr w:rsidR="00A56D0D" w:rsidRPr="00E80F69" w:rsidTr="0086291C">
        <w:tc>
          <w:tcPr>
            <w:tcW w:w="0" w:type="auto"/>
            <w:tcBorders>
              <w:top w:val="outset" w:sz="6" w:space="0" w:color="000000"/>
              <w:bottom w:val="outset" w:sz="6" w:space="0" w:color="000000"/>
              <w:right w:val="outset" w:sz="6" w:space="0" w:color="000000"/>
            </w:tcBorders>
          </w:tcPr>
          <w:p w:rsidR="00A56D0D" w:rsidRPr="00E80F69" w:rsidRDefault="00A56D0D" w:rsidP="0086291C">
            <w:pPr>
              <w:rPr>
                <w:lang w:val="lv-LV" w:eastAsia="lv-LV"/>
              </w:rPr>
            </w:pPr>
            <w:r w:rsidRPr="00E80F69">
              <w:rPr>
                <w:lang w:val="lv-LV" w:eastAsia="lv-LV"/>
              </w:rPr>
              <w:t>2.</w:t>
            </w:r>
          </w:p>
        </w:tc>
        <w:tc>
          <w:tcPr>
            <w:tcW w:w="1406" w:type="pct"/>
            <w:tcBorders>
              <w:top w:val="outset" w:sz="6" w:space="0" w:color="000000"/>
              <w:left w:val="outset" w:sz="6" w:space="0" w:color="000000"/>
              <w:bottom w:val="outset" w:sz="6" w:space="0" w:color="000000"/>
              <w:right w:val="outset" w:sz="6" w:space="0" w:color="000000"/>
            </w:tcBorders>
          </w:tcPr>
          <w:p w:rsidR="00A56D0D" w:rsidRPr="00E80F69" w:rsidRDefault="00A56D0D" w:rsidP="0086291C">
            <w:pPr>
              <w:jc w:val="both"/>
              <w:rPr>
                <w:lang w:val="lv-LV"/>
              </w:rPr>
            </w:pPr>
            <w:r w:rsidRPr="00E80F69">
              <w:rPr>
                <w:lang w:val="lv-LV"/>
              </w:rPr>
              <w:t>Projekta izpildes ietekme uz pārvaldes funkcijām un institucionālo struktūru.</w:t>
            </w:r>
          </w:p>
          <w:p w:rsidR="00A56D0D" w:rsidRPr="00E80F69" w:rsidRDefault="00A56D0D" w:rsidP="0086291C">
            <w:pPr>
              <w:ind w:firstLine="300"/>
              <w:jc w:val="both"/>
              <w:rPr>
                <w:lang w:val="lv-LV"/>
              </w:rPr>
            </w:pPr>
            <w:r w:rsidRPr="00E80F69">
              <w:rPr>
                <w:lang w:val="lv-LV"/>
              </w:rPr>
              <w:t xml:space="preserve">Jaunu institūciju izveide, esošu institūciju likvidācija vai reorganizācija, to ietekme uz institūcijas </w:t>
            </w:r>
            <w:r w:rsidRPr="00E80F69">
              <w:rPr>
                <w:lang w:val="lv-LV"/>
              </w:rPr>
              <w:lastRenderedPageBreak/>
              <w:t>cilvēkresursiem</w:t>
            </w:r>
          </w:p>
        </w:tc>
        <w:tc>
          <w:tcPr>
            <w:tcW w:w="3286" w:type="pct"/>
            <w:tcBorders>
              <w:top w:val="outset" w:sz="6" w:space="0" w:color="000000"/>
              <w:left w:val="outset" w:sz="6" w:space="0" w:color="000000"/>
              <w:bottom w:val="outset" w:sz="6" w:space="0" w:color="000000"/>
            </w:tcBorders>
          </w:tcPr>
          <w:p w:rsidR="00A56D0D" w:rsidRPr="00E80F69" w:rsidRDefault="00A56D0D" w:rsidP="0086291C">
            <w:pPr>
              <w:pStyle w:val="naiskr"/>
              <w:spacing w:before="0" w:beforeAutospacing="0" w:after="0" w:afterAutospacing="0"/>
              <w:jc w:val="both"/>
            </w:pPr>
            <w:r w:rsidRPr="00295CCA">
              <w:rPr>
                <w:color w:val="000000"/>
              </w:rPr>
              <w:lastRenderedPageBreak/>
              <w:t>Projekts šo jomu neskar.</w:t>
            </w:r>
          </w:p>
        </w:tc>
      </w:tr>
      <w:tr w:rsidR="00A56D0D" w:rsidRPr="00E80F69" w:rsidTr="0086291C">
        <w:tc>
          <w:tcPr>
            <w:tcW w:w="0" w:type="auto"/>
            <w:tcBorders>
              <w:top w:val="outset" w:sz="6" w:space="0" w:color="000000"/>
              <w:bottom w:val="outset" w:sz="6" w:space="0" w:color="000000"/>
              <w:right w:val="outset" w:sz="6" w:space="0" w:color="000000"/>
            </w:tcBorders>
          </w:tcPr>
          <w:p w:rsidR="00A56D0D" w:rsidRPr="00E80F69" w:rsidRDefault="00A56D0D" w:rsidP="0086291C">
            <w:pPr>
              <w:rPr>
                <w:lang w:val="lv-LV" w:eastAsia="lv-LV"/>
              </w:rPr>
            </w:pPr>
            <w:r w:rsidRPr="00E80F69">
              <w:rPr>
                <w:lang w:val="lv-LV" w:eastAsia="lv-LV"/>
              </w:rPr>
              <w:t>3.</w:t>
            </w:r>
          </w:p>
        </w:tc>
        <w:tc>
          <w:tcPr>
            <w:tcW w:w="1406" w:type="pct"/>
            <w:tcBorders>
              <w:top w:val="outset" w:sz="6" w:space="0" w:color="000000"/>
              <w:left w:val="outset" w:sz="6" w:space="0" w:color="000000"/>
              <w:bottom w:val="outset" w:sz="6" w:space="0" w:color="000000"/>
              <w:right w:val="outset" w:sz="6" w:space="0" w:color="000000"/>
            </w:tcBorders>
          </w:tcPr>
          <w:p w:rsidR="00A56D0D" w:rsidRPr="00E80F69" w:rsidRDefault="00A56D0D" w:rsidP="0086291C">
            <w:pPr>
              <w:jc w:val="both"/>
              <w:rPr>
                <w:lang w:val="lv-LV" w:eastAsia="lv-LV"/>
              </w:rPr>
            </w:pPr>
            <w:r w:rsidRPr="00E80F69">
              <w:rPr>
                <w:lang w:val="lv-LV" w:eastAsia="lv-LV"/>
              </w:rPr>
              <w:t>Cita informācija</w:t>
            </w:r>
          </w:p>
        </w:tc>
        <w:tc>
          <w:tcPr>
            <w:tcW w:w="3286" w:type="pct"/>
            <w:tcBorders>
              <w:top w:val="outset" w:sz="6" w:space="0" w:color="000000"/>
              <w:left w:val="outset" w:sz="6" w:space="0" w:color="000000"/>
              <w:bottom w:val="outset" w:sz="6" w:space="0" w:color="000000"/>
            </w:tcBorders>
          </w:tcPr>
          <w:p w:rsidR="00A56D0D" w:rsidRPr="00E80F69" w:rsidRDefault="00A56D0D" w:rsidP="0086291C">
            <w:pPr>
              <w:pStyle w:val="Kjene"/>
              <w:tabs>
                <w:tab w:val="clear" w:pos="4153"/>
                <w:tab w:val="clear" w:pos="8306"/>
              </w:tabs>
              <w:snapToGrid/>
              <w:jc w:val="both"/>
              <w:rPr>
                <w:rFonts w:ascii="Times New Roman" w:hAnsi="Times New Roman"/>
                <w:sz w:val="24"/>
                <w:szCs w:val="24"/>
                <w:lang w:val="lv-LV"/>
              </w:rPr>
            </w:pPr>
            <w:r w:rsidRPr="00E80F69">
              <w:rPr>
                <w:rFonts w:ascii="Times New Roman" w:hAnsi="Times New Roman"/>
                <w:sz w:val="24"/>
                <w:szCs w:val="24"/>
                <w:lang w:val="lv-LV"/>
              </w:rPr>
              <w:t>Nav.</w:t>
            </w:r>
          </w:p>
        </w:tc>
      </w:tr>
    </w:tbl>
    <w:p w:rsidR="00A56D0D" w:rsidRDefault="00A56D0D" w:rsidP="00A56D0D">
      <w:pPr>
        <w:rPr>
          <w:bCs/>
          <w:kern w:val="32"/>
          <w:lang w:val="lv-LV"/>
        </w:rPr>
      </w:pPr>
    </w:p>
    <w:p w:rsidR="00A56D0D" w:rsidRPr="00A5142F" w:rsidRDefault="00A56D0D" w:rsidP="00A56D0D">
      <w:pPr>
        <w:rPr>
          <w:lang w:val="lv-LV"/>
        </w:rPr>
      </w:pPr>
    </w:p>
    <w:p w:rsidR="00A56D0D" w:rsidRPr="00E80F69" w:rsidRDefault="00A56D0D" w:rsidP="00A56D0D">
      <w:pPr>
        <w:pStyle w:val="Virsraksts1"/>
        <w:keepNext w:val="0"/>
        <w:widowControl w:val="0"/>
        <w:jc w:val="left"/>
        <w:rPr>
          <w:rFonts w:ascii="Times New Roman" w:hAnsi="Times New Roman"/>
          <w:b w:val="0"/>
          <w:sz w:val="24"/>
          <w:szCs w:val="24"/>
          <w:lang w:val="lv-LV"/>
        </w:rPr>
      </w:pPr>
      <w:r w:rsidRPr="00E80F69">
        <w:rPr>
          <w:rFonts w:ascii="Times New Roman" w:hAnsi="Times New Roman"/>
          <w:b w:val="0"/>
          <w:sz w:val="24"/>
          <w:szCs w:val="24"/>
          <w:lang w:val="lv-LV"/>
        </w:rPr>
        <w:t>Zemkopības ministrs</w:t>
      </w:r>
      <w:r w:rsidRPr="00E80F69">
        <w:rPr>
          <w:rFonts w:ascii="Times New Roman" w:hAnsi="Times New Roman"/>
          <w:b w:val="0"/>
          <w:sz w:val="24"/>
          <w:szCs w:val="24"/>
          <w:lang w:val="lv-LV"/>
        </w:rPr>
        <w:tab/>
      </w:r>
      <w:r w:rsidRPr="00E80F69">
        <w:rPr>
          <w:rFonts w:ascii="Times New Roman" w:hAnsi="Times New Roman"/>
          <w:b w:val="0"/>
          <w:sz w:val="24"/>
          <w:szCs w:val="24"/>
          <w:lang w:val="lv-LV"/>
        </w:rPr>
        <w:tab/>
      </w:r>
      <w:r w:rsidRPr="00E80F69">
        <w:rPr>
          <w:rFonts w:ascii="Times New Roman" w:hAnsi="Times New Roman"/>
          <w:b w:val="0"/>
          <w:sz w:val="24"/>
          <w:szCs w:val="24"/>
          <w:lang w:val="lv-LV"/>
        </w:rPr>
        <w:tab/>
      </w:r>
      <w:r w:rsidRPr="00E80F69">
        <w:rPr>
          <w:rFonts w:ascii="Times New Roman" w:hAnsi="Times New Roman"/>
          <w:b w:val="0"/>
          <w:sz w:val="24"/>
          <w:szCs w:val="24"/>
          <w:lang w:val="lv-LV"/>
        </w:rPr>
        <w:tab/>
      </w:r>
      <w:r w:rsidRPr="00E80F69">
        <w:rPr>
          <w:rFonts w:ascii="Times New Roman" w:hAnsi="Times New Roman"/>
          <w:b w:val="0"/>
          <w:sz w:val="24"/>
          <w:szCs w:val="24"/>
          <w:lang w:val="lv-LV"/>
        </w:rPr>
        <w:tab/>
      </w:r>
      <w:r w:rsidRPr="00E80F69">
        <w:rPr>
          <w:rFonts w:ascii="Times New Roman" w:hAnsi="Times New Roman"/>
          <w:b w:val="0"/>
          <w:sz w:val="24"/>
          <w:szCs w:val="24"/>
          <w:lang w:val="lv-LV"/>
        </w:rPr>
        <w:tab/>
      </w:r>
      <w:r w:rsidRPr="00E80F69">
        <w:rPr>
          <w:rFonts w:ascii="Times New Roman" w:hAnsi="Times New Roman"/>
          <w:b w:val="0"/>
          <w:sz w:val="24"/>
          <w:szCs w:val="24"/>
          <w:lang w:val="lv-LV"/>
        </w:rPr>
        <w:tab/>
      </w:r>
      <w:r w:rsidRPr="00E80F69">
        <w:rPr>
          <w:rFonts w:ascii="Times New Roman" w:hAnsi="Times New Roman"/>
          <w:b w:val="0"/>
          <w:sz w:val="24"/>
          <w:szCs w:val="24"/>
          <w:lang w:val="lv-LV"/>
        </w:rPr>
        <w:tab/>
      </w:r>
      <w:r w:rsidRPr="00E80F69">
        <w:rPr>
          <w:rFonts w:ascii="Times New Roman" w:hAnsi="Times New Roman"/>
          <w:b w:val="0"/>
          <w:sz w:val="24"/>
          <w:szCs w:val="24"/>
          <w:lang w:val="lv-LV"/>
        </w:rPr>
        <w:tab/>
        <w:t>J.Dūklavs</w:t>
      </w:r>
    </w:p>
    <w:p w:rsidR="00A56D0D" w:rsidRPr="00BD566E" w:rsidRDefault="00A56D0D" w:rsidP="00A56D0D">
      <w:pPr>
        <w:rPr>
          <w:lang w:val="lv-LV"/>
        </w:rPr>
      </w:pPr>
    </w:p>
    <w:p w:rsidR="00A56D0D" w:rsidRPr="00BD566E" w:rsidRDefault="00A56D0D" w:rsidP="00A56D0D">
      <w:pPr>
        <w:rPr>
          <w:lang w:val="lv-LV"/>
        </w:rPr>
      </w:pPr>
    </w:p>
    <w:p w:rsidR="00A56D0D" w:rsidRPr="00DE6184" w:rsidRDefault="00A56D0D" w:rsidP="00A56D0D">
      <w:pPr>
        <w:rPr>
          <w:lang w:val="lv-LV"/>
        </w:rPr>
      </w:pPr>
    </w:p>
    <w:p w:rsidR="00A56D0D" w:rsidRDefault="00A56D0D" w:rsidP="00A56D0D">
      <w:pPr>
        <w:rPr>
          <w:sz w:val="20"/>
          <w:szCs w:val="20"/>
          <w:lang w:val="lv-LV"/>
        </w:rPr>
      </w:pPr>
    </w:p>
    <w:p w:rsidR="00A56D0D" w:rsidRDefault="00A56D0D" w:rsidP="00A56D0D">
      <w:pPr>
        <w:rPr>
          <w:sz w:val="20"/>
          <w:szCs w:val="20"/>
          <w:lang w:val="lv-LV"/>
        </w:rPr>
      </w:pPr>
    </w:p>
    <w:p w:rsidR="00A56D0D" w:rsidRDefault="00A56D0D" w:rsidP="00A56D0D">
      <w:pPr>
        <w:rPr>
          <w:sz w:val="20"/>
          <w:szCs w:val="20"/>
          <w:lang w:val="lv-LV"/>
        </w:rPr>
      </w:pPr>
    </w:p>
    <w:p w:rsidR="00A56D0D" w:rsidRDefault="00A56D0D" w:rsidP="00A56D0D">
      <w:pPr>
        <w:tabs>
          <w:tab w:val="left" w:pos="1244"/>
        </w:tabs>
        <w:rPr>
          <w:sz w:val="20"/>
          <w:szCs w:val="20"/>
          <w:lang w:val="lv-LV"/>
        </w:rPr>
      </w:pPr>
    </w:p>
    <w:p w:rsidR="0064015B" w:rsidRDefault="0064015B" w:rsidP="00A56D0D">
      <w:pPr>
        <w:tabs>
          <w:tab w:val="left" w:pos="1244"/>
        </w:tabs>
        <w:rPr>
          <w:sz w:val="20"/>
          <w:szCs w:val="20"/>
          <w:lang w:val="lv-LV"/>
        </w:rPr>
      </w:pPr>
    </w:p>
    <w:p w:rsidR="0064015B" w:rsidRDefault="0064015B" w:rsidP="00A56D0D">
      <w:pPr>
        <w:tabs>
          <w:tab w:val="left" w:pos="1244"/>
        </w:tabs>
        <w:rPr>
          <w:sz w:val="20"/>
          <w:szCs w:val="20"/>
          <w:lang w:val="lv-LV"/>
        </w:rPr>
      </w:pPr>
    </w:p>
    <w:p w:rsidR="0064015B" w:rsidRDefault="0064015B" w:rsidP="00A56D0D">
      <w:pPr>
        <w:tabs>
          <w:tab w:val="left" w:pos="1244"/>
        </w:tabs>
        <w:rPr>
          <w:sz w:val="20"/>
          <w:szCs w:val="20"/>
          <w:lang w:val="lv-LV"/>
        </w:rPr>
      </w:pPr>
    </w:p>
    <w:p w:rsidR="0064015B" w:rsidRDefault="0064015B" w:rsidP="00A56D0D">
      <w:pPr>
        <w:tabs>
          <w:tab w:val="left" w:pos="1244"/>
        </w:tabs>
        <w:rPr>
          <w:sz w:val="20"/>
          <w:szCs w:val="20"/>
          <w:lang w:val="lv-LV"/>
        </w:rPr>
      </w:pPr>
    </w:p>
    <w:p w:rsidR="0064015B" w:rsidRDefault="0064015B" w:rsidP="00A56D0D">
      <w:pPr>
        <w:tabs>
          <w:tab w:val="left" w:pos="1244"/>
        </w:tabs>
        <w:rPr>
          <w:sz w:val="20"/>
          <w:szCs w:val="20"/>
          <w:lang w:val="lv-LV"/>
        </w:rPr>
      </w:pPr>
    </w:p>
    <w:p w:rsidR="0064015B" w:rsidRDefault="0064015B" w:rsidP="00A56D0D">
      <w:pPr>
        <w:tabs>
          <w:tab w:val="left" w:pos="1244"/>
        </w:tabs>
        <w:rPr>
          <w:sz w:val="20"/>
          <w:szCs w:val="20"/>
          <w:lang w:val="lv-LV"/>
        </w:rPr>
      </w:pPr>
    </w:p>
    <w:p w:rsidR="0064015B" w:rsidRDefault="0064015B" w:rsidP="00A56D0D">
      <w:pPr>
        <w:tabs>
          <w:tab w:val="left" w:pos="1244"/>
        </w:tabs>
        <w:rPr>
          <w:sz w:val="20"/>
          <w:szCs w:val="20"/>
          <w:lang w:val="lv-LV"/>
        </w:rPr>
      </w:pPr>
    </w:p>
    <w:p w:rsidR="0064015B" w:rsidRDefault="0064015B" w:rsidP="00A56D0D">
      <w:pPr>
        <w:tabs>
          <w:tab w:val="left" w:pos="1244"/>
        </w:tabs>
        <w:rPr>
          <w:sz w:val="20"/>
          <w:szCs w:val="20"/>
          <w:lang w:val="lv-LV"/>
        </w:rPr>
      </w:pPr>
    </w:p>
    <w:p w:rsidR="0064015B" w:rsidRDefault="0064015B" w:rsidP="00A56D0D">
      <w:pPr>
        <w:tabs>
          <w:tab w:val="left" w:pos="1244"/>
        </w:tabs>
        <w:rPr>
          <w:sz w:val="20"/>
          <w:szCs w:val="20"/>
          <w:lang w:val="lv-LV"/>
        </w:rPr>
      </w:pPr>
    </w:p>
    <w:p w:rsidR="0064015B" w:rsidRDefault="0064015B" w:rsidP="00A56D0D">
      <w:pPr>
        <w:tabs>
          <w:tab w:val="left" w:pos="1244"/>
        </w:tabs>
        <w:rPr>
          <w:sz w:val="20"/>
          <w:szCs w:val="20"/>
          <w:lang w:val="lv-LV"/>
        </w:rPr>
      </w:pPr>
    </w:p>
    <w:p w:rsidR="0064015B" w:rsidRDefault="0064015B" w:rsidP="00A56D0D">
      <w:pPr>
        <w:tabs>
          <w:tab w:val="left" w:pos="1244"/>
        </w:tabs>
        <w:rPr>
          <w:sz w:val="20"/>
          <w:szCs w:val="20"/>
          <w:lang w:val="lv-LV"/>
        </w:rPr>
      </w:pPr>
    </w:p>
    <w:p w:rsidR="0064015B" w:rsidRDefault="0064015B" w:rsidP="00A56D0D">
      <w:pPr>
        <w:tabs>
          <w:tab w:val="left" w:pos="1244"/>
        </w:tabs>
        <w:rPr>
          <w:sz w:val="20"/>
          <w:szCs w:val="20"/>
          <w:lang w:val="lv-LV"/>
        </w:rPr>
      </w:pPr>
    </w:p>
    <w:p w:rsidR="0064015B" w:rsidRDefault="0064015B" w:rsidP="00A56D0D">
      <w:pPr>
        <w:tabs>
          <w:tab w:val="left" w:pos="1244"/>
        </w:tabs>
        <w:rPr>
          <w:sz w:val="20"/>
          <w:szCs w:val="20"/>
          <w:lang w:val="lv-LV"/>
        </w:rPr>
      </w:pPr>
    </w:p>
    <w:p w:rsidR="0064015B" w:rsidRDefault="0064015B" w:rsidP="00A56D0D">
      <w:pPr>
        <w:tabs>
          <w:tab w:val="left" w:pos="1244"/>
        </w:tabs>
        <w:rPr>
          <w:sz w:val="20"/>
          <w:szCs w:val="20"/>
          <w:lang w:val="lv-LV"/>
        </w:rPr>
      </w:pPr>
    </w:p>
    <w:p w:rsidR="0064015B" w:rsidRDefault="0064015B" w:rsidP="00A56D0D">
      <w:pPr>
        <w:tabs>
          <w:tab w:val="left" w:pos="1244"/>
        </w:tabs>
        <w:rPr>
          <w:sz w:val="20"/>
          <w:szCs w:val="20"/>
          <w:lang w:val="lv-LV"/>
        </w:rPr>
      </w:pPr>
    </w:p>
    <w:p w:rsidR="0064015B" w:rsidRDefault="0064015B" w:rsidP="00A56D0D">
      <w:pPr>
        <w:tabs>
          <w:tab w:val="left" w:pos="1244"/>
        </w:tabs>
        <w:rPr>
          <w:sz w:val="20"/>
          <w:szCs w:val="20"/>
          <w:lang w:val="lv-LV"/>
        </w:rPr>
      </w:pPr>
    </w:p>
    <w:p w:rsidR="0064015B" w:rsidRDefault="0064015B" w:rsidP="00A56D0D">
      <w:pPr>
        <w:tabs>
          <w:tab w:val="left" w:pos="1244"/>
        </w:tabs>
        <w:rPr>
          <w:sz w:val="20"/>
          <w:szCs w:val="20"/>
          <w:lang w:val="lv-LV"/>
        </w:rPr>
      </w:pPr>
    </w:p>
    <w:p w:rsidR="0064015B" w:rsidRDefault="0064015B" w:rsidP="00A56D0D">
      <w:pPr>
        <w:tabs>
          <w:tab w:val="left" w:pos="1244"/>
        </w:tabs>
        <w:rPr>
          <w:sz w:val="20"/>
          <w:szCs w:val="20"/>
          <w:lang w:val="lv-LV"/>
        </w:rPr>
      </w:pPr>
    </w:p>
    <w:p w:rsidR="0064015B" w:rsidRDefault="0064015B" w:rsidP="00A56D0D">
      <w:pPr>
        <w:tabs>
          <w:tab w:val="left" w:pos="1244"/>
        </w:tabs>
        <w:rPr>
          <w:sz w:val="20"/>
          <w:szCs w:val="20"/>
          <w:lang w:val="lv-LV"/>
        </w:rPr>
      </w:pPr>
    </w:p>
    <w:p w:rsidR="0064015B" w:rsidRDefault="0064015B" w:rsidP="00A56D0D">
      <w:pPr>
        <w:tabs>
          <w:tab w:val="left" w:pos="1244"/>
        </w:tabs>
        <w:rPr>
          <w:sz w:val="20"/>
          <w:szCs w:val="20"/>
          <w:lang w:val="lv-LV"/>
        </w:rPr>
      </w:pPr>
    </w:p>
    <w:p w:rsidR="0064015B" w:rsidRDefault="0064015B" w:rsidP="00A56D0D">
      <w:pPr>
        <w:tabs>
          <w:tab w:val="left" w:pos="1244"/>
        </w:tabs>
        <w:rPr>
          <w:sz w:val="20"/>
          <w:szCs w:val="20"/>
          <w:lang w:val="lv-LV"/>
        </w:rPr>
      </w:pPr>
    </w:p>
    <w:p w:rsidR="0064015B" w:rsidRDefault="0064015B" w:rsidP="00A56D0D">
      <w:pPr>
        <w:tabs>
          <w:tab w:val="left" w:pos="1244"/>
        </w:tabs>
        <w:rPr>
          <w:sz w:val="20"/>
          <w:szCs w:val="20"/>
          <w:lang w:val="lv-LV"/>
        </w:rPr>
      </w:pPr>
    </w:p>
    <w:p w:rsidR="0064015B" w:rsidRDefault="0064015B" w:rsidP="00A56D0D">
      <w:pPr>
        <w:tabs>
          <w:tab w:val="left" w:pos="1244"/>
        </w:tabs>
        <w:rPr>
          <w:sz w:val="20"/>
          <w:szCs w:val="20"/>
          <w:lang w:val="lv-LV"/>
        </w:rPr>
      </w:pPr>
    </w:p>
    <w:p w:rsidR="0064015B" w:rsidRDefault="0064015B" w:rsidP="00A56D0D">
      <w:pPr>
        <w:tabs>
          <w:tab w:val="left" w:pos="1244"/>
        </w:tabs>
        <w:rPr>
          <w:sz w:val="20"/>
          <w:szCs w:val="20"/>
          <w:lang w:val="lv-LV"/>
        </w:rPr>
      </w:pPr>
    </w:p>
    <w:p w:rsidR="0064015B" w:rsidRDefault="0064015B" w:rsidP="00A56D0D">
      <w:pPr>
        <w:tabs>
          <w:tab w:val="left" w:pos="1244"/>
        </w:tabs>
        <w:rPr>
          <w:sz w:val="20"/>
          <w:szCs w:val="20"/>
          <w:lang w:val="lv-LV"/>
        </w:rPr>
      </w:pPr>
    </w:p>
    <w:p w:rsidR="0064015B" w:rsidRDefault="0064015B" w:rsidP="00A56D0D">
      <w:pPr>
        <w:tabs>
          <w:tab w:val="left" w:pos="1244"/>
        </w:tabs>
        <w:rPr>
          <w:sz w:val="20"/>
          <w:szCs w:val="20"/>
          <w:lang w:val="lv-LV"/>
        </w:rPr>
      </w:pPr>
    </w:p>
    <w:p w:rsidR="0064015B" w:rsidRDefault="0064015B" w:rsidP="00A56D0D">
      <w:pPr>
        <w:tabs>
          <w:tab w:val="left" w:pos="1244"/>
        </w:tabs>
        <w:rPr>
          <w:sz w:val="20"/>
          <w:szCs w:val="20"/>
          <w:lang w:val="lv-LV"/>
        </w:rPr>
      </w:pPr>
    </w:p>
    <w:p w:rsidR="0064015B" w:rsidRDefault="0064015B" w:rsidP="00A56D0D">
      <w:pPr>
        <w:tabs>
          <w:tab w:val="left" w:pos="1244"/>
        </w:tabs>
        <w:rPr>
          <w:sz w:val="20"/>
          <w:szCs w:val="20"/>
          <w:lang w:val="lv-LV"/>
        </w:rPr>
      </w:pPr>
    </w:p>
    <w:p w:rsidR="0064015B" w:rsidRDefault="0064015B" w:rsidP="00A56D0D">
      <w:pPr>
        <w:tabs>
          <w:tab w:val="left" w:pos="1244"/>
        </w:tabs>
        <w:rPr>
          <w:sz w:val="20"/>
          <w:szCs w:val="20"/>
          <w:lang w:val="lv-LV"/>
        </w:rPr>
      </w:pPr>
    </w:p>
    <w:p w:rsidR="0064015B" w:rsidRDefault="0064015B" w:rsidP="00A56D0D">
      <w:pPr>
        <w:tabs>
          <w:tab w:val="left" w:pos="1244"/>
        </w:tabs>
        <w:rPr>
          <w:sz w:val="20"/>
          <w:szCs w:val="20"/>
          <w:lang w:val="lv-LV"/>
        </w:rPr>
      </w:pPr>
    </w:p>
    <w:p w:rsidR="0064015B" w:rsidRDefault="0064015B" w:rsidP="00A56D0D">
      <w:pPr>
        <w:tabs>
          <w:tab w:val="left" w:pos="1244"/>
        </w:tabs>
        <w:rPr>
          <w:sz w:val="20"/>
          <w:szCs w:val="20"/>
          <w:lang w:val="lv-LV"/>
        </w:rPr>
      </w:pPr>
    </w:p>
    <w:p w:rsidR="0064015B" w:rsidRDefault="0064015B" w:rsidP="00A56D0D">
      <w:pPr>
        <w:tabs>
          <w:tab w:val="left" w:pos="1244"/>
        </w:tabs>
        <w:rPr>
          <w:sz w:val="20"/>
          <w:szCs w:val="20"/>
          <w:lang w:val="lv-LV"/>
        </w:rPr>
      </w:pPr>
    </w:p>
    <w:p w:rsidR="0064015B" w:rsidRDefault="0064015B" w:rsidP="00A56D0D">
      <w:pPr>
        <w:tabs>
          <w:tab w:val="left" w:pos="1244"/>
        </w:tabs>
        <w:rPr>
          <w:sz w:val="20"/>
          <w:szCs w:val="20"/>
          <w:lang w:val="lv-LV"/>
        </w:rPr>
      </w:pPr>
    </w:p>
    <w:p w:rsidR="0064015B" w:rsidRDefault="0064015B" w:rsidP="00A56D0D">
      <w:pPr>
        <w:tabs>
          <w:tab w:val="left" w:pos="1244"/>
        </w:tabs>
        <w:rPr>
          <w:sz w:val="20"/>
          <w:szCs w:val="20"/>
          <w:lang w:val="lv-LV"/>
        </w:rPr>
      </w:pPr>
    </w:p>
    <w:p w:rsidR="0064015B" w:rsidRDefault="0064015B" w:rsidP="00A56D0D">
      <w:pPr>
        <w:tabs>
          <w:tab w:val="left" w:pos="1244"/>
        </w:tabs>
        <w:rPr>
          <w:sz w:val="20"/>
          <w:szCs w:val="20"/>
          <w:lang w:val="lv-LV"/>
        </w:rPr>
      </w:pPr>
    </w:p>
    <w:p w:rsidR="0064015B" w:rsidRDefault="0064015B" w:rsidP="00A56D0D">
      <w:pPr>
        <w:tabs>
          <w:tab w:val="left" w:pos="1244"/>
        </w:tabs>
        <w:rPr>
          <w:sz w:val="20"/>
          <w:szCs w:val="20"/>
          <w:lang w:val="lv-LV"/>
        </w:rPr>
      </w:pPr>
    </w:p>
    <w:p w:rsidR="0064015B" w:rsidRDefault="0064015B" w:rsidP="00A56D0D">
      <w:pPr>
        <w:tabs>
          <w:tab w:val="left" w:pos="1244"/>
        </w:tabs>
        <w:rPr>
          <w:sz w:val="20"/>
          <w:szCs w:val="20"/>
          <w:lang w:val="lv-LV"/>
        </w:rPr>
      </w:pPr>
    </w:p>
    <w:p w:rsidR="0064015B" w:rsidRDefault="0064015B" w:rsidP="00A56D0D">
      <w:pPr>
        <w:tabs>
          <w:tab w:val="left" w:pos="1244"/>
        </w:tabs>
        <w:rPr>
          <w:sz w:val="20"/>
          <w:szCs w:val="20"/>
          <w:lang w:val="lv-LV"/>
        </w:rPr>
      </w:pPr>
    </w:p>
    <w:p w:rsidR="0064015B" w:rsidRDefault="0064015B" w:rsidP="00A56D0D">
      <w:pPr>
        <w:tabs>
          <w:tab w:val="left" w:pos="1244"/>
        </w:tabs>
        <w:rPr>
          <w:sz w:val="20"/>
          <w:szCs w:val="20"/>
          <w:lang w:val="lv-LV"/>
        </w:rPr>
      </w:pPr>
    </w:p>
    <w:p w:rsidR="0064015B" w:rsidRDefault="0064015B" w:rsidP="00A56D0D">
      <w:pPr>
        <w:tabs>
          <w:tab w:val="left" w:pos="1244"/>
        </w:tabs>
        <w:rPr>
          <w:sz w:val="20"/>
          <w:szCs w:val="20"/>
          <w:lang w:val="lv-LV"/>
        </w:rPr>
      </w:pPr>
    </w:p>
    <w:p w:rsidR="0064015B" w:rsidRDefault="0064015B" w:rsidP="00A56D0D">
      <w:pPr>
        <w:tabs>
          <w:tab w:val="left" w:pos="1244"/>
        </w:tabs>
        <w:rPr>
          <w:sz w:val="20"/>
          <w:szCs w:val="20"/>
          <w:lang w:val="lv-LV"/>
        </w:rPr>
      </w:pPr>
    </w:p>
    <w:p w:rsidR="0064015B" w:rsidRDefault="0064015B" w:rsidP="00A56D0D">
      <w:pPr>
        <w:tabs>
          <w:tab w:val="left" w:pos="1244"/>
        </w:tabs>
        <w:rPr>
          <w:sz w:val="20"/>
          <w:szCs w:val="20"/>
          <w:lang w:val="lv-LV"/>
        </w:rPr>
      </w:pPr>
    </w:p>
    <w:p w:rsidR="00A56D0D" w:rsidRDefault="00A56D0D" w:rsidP="00A56D0D">
      <w:pPr>
        <w:rPr>
          <w:sz w:val="20"/>
          <w:szCs w:val="20"/>
          <w:lang w:val="lv-LV"/>
        </w:rPr>
      </w:pPr>
    </w:p>
    <w:p w:rsidR="00A56D0D" w:rsidRDefault="0064015B" w:rsidP="00A56D0D">
      <w:pPr>
        <w:rPr>
          <w:sz w:val="20"/>
          <w:szCs w:val="20"/>
          <w:lang w:val="lv-LV"/>
        </w:rPr>
      </w:pPr>
      <w:r>
        <w:rPr>
          <w:sz w:val="20"/>
          <w:szCs w:val="20"/>
          <w:lang w:val="lv-LV"/>
        </w:rPr>
        <w:t>08.08.2016. 13:04</w:t>
      </w:r>
    </w:p>
    <w:p w:rsidR="0064015B" w:rsidRDefault="0064015B" w:rsidP="00A56D0D">
      <w:pPr>
        <w:rPr>
          <w:sz w:val="20"/>
          <w:lang w:val="lv-LV"/>
        </w:rPr>
      </w:pPr>
      <w:r>
        <w:rPr>
          <w:sz w:val="20"/>
          <w:lang w:val="lv-LV"/>
        </w:rPr>
        <w:fldChar w:fldCharType="begin"/>
      </w:r>
      <w:r>
        <w:rPr>
          <w:sz w:val="20"/>
          <w:lang w:val="lv-LV"/>
        </w:rPr>
        <w:instrText xml:space="preserve"> NUMWORDS   \* MERGEFORMAT </w:instrText>
      </w:r>
      <w:r>
        <w:rPr>
          <w:sz w:val="20"/>
          <w:lang w:val="lv-LV"/>
        </w:rPr>
        <w:fldChar w:fldCharType="separate"/>
      </w:r>
      <w:r>
        <w:rPr>
          <w:noProof/>
          <w:sz w:val="20"/>
          <w:lang w:val="lv-LV"/>
        </w:rPr>
        <w:t>1540</w:t>
      </w:r>
      <w:r>
        <w:rPr>
          <w:sz w:val="20"/>
          <w:lang w:val="lv-LV"/>
        </w:rPr>
        <w:fldChar w:fldCharType="end"/>
      </w:r>
    </w:p>
    <w:p w:rsidR="00A56D0D" w:rsidRPr="00DE6184" w:rsidRDefault="00A56D0D" w:rsidP="00A56D0D">
      <w:pPr>
        <w:rPr>
          <w:sz w:val="20"/>
          <w:szCs w:val="20"/>
          <w:lang w:val="lv-LV"/>
        </w:rPr>
      </w:pPr>
      <w:bookmarkStart w:id="3" w:name="_GoBack"/>
      <w:bookmarkEnd w:id="3"/>
      <w:r>
        <w:rPr>
          <w:sz w:val="20"/>
          <w:szCs w:val="20"/>
          <w:lang w:val="lv-LV"/>
        </w:rPr>
        <w:t>L</w:t>
      </w:r>
      <w:r w:rsidRPr="00DE6184">
        <w:rPr>
          <w:sz w:val="20"/>
          <w:szCs w:val="20"/>
          <w:lang w:val="lv-LV"/>
        </w:rPr>
        <w:t>.</w:t>
      </w:r>
      <w:r>
        <w:rPr>
          <w:sz w:val="20"/>
          <w:szCs w:val="20"/>
          <w:lang w:val="lv-LV"/>
        </w:rPr>
        <w:t>Jirgensone</w:t>
      </w:r>
    </w:p>
    <w:p w:rsidR="00FA003C" w:rsidRPr="0064015B" w:rsidRDefault="00A56D0D" w:rsidP="00A56D0D">
      <w:pPr>
        <w:rPr>
          <w:sz w:val="20"/>
          <w:szCs w:val="20"/>
          <w:lang w:val="lv-LV"/>
        </w:rPr>
      </w:pPr>
      <w:r w:rsidRPr="00990536">
        <w:rPr>
          <w:sz w:val="20"/>
          <w:szCs w:val="20"/>
          <w:lang w:val="lv-LV"/>
        </w:rPr>
        <w:t>67027</w:t>
      </w:r>
      <w:r>
        <w:rPr>
          <w:sz w:val="20"/>
          <w:szCs w:val="20"/>
          <w:lang w:val="lv-LV"/>
        </w:rPr>
        <w:t>115</w:t>
      </w:r>
      <w:r w:rsidRPr="00990536">
        <w:rPr>
          <w:sz w:val="20"/>
          <w:szCs w:val="20"/>
          <w:lang w:val="lv-LV"/>
        </w:rPr>
        <w:t xml:space="preserve">, </w:t>
      </w:r>
      <w:r>
        <w:rPr>
          <w:sz w:val="20"/>
          <w:szCs w:val="20"/>
          <w:lang w:val="lv-LV"/>
        </w:rPr>
        <w:t>Liene</w:t>
      </w:r>
      <w:r w:rsidRPr="00990536">
        <w:rPr>
          <w:sz w:val="20"/>
          <w:szCs w:val="20"/>
          <w:lang w:val="lv-LV"/>
        </w:rPr>
        <w:t>.</w:t>
      </w:r>
      <w:r>
        <w:rPr>
          <w:sz w:val="20"/>
          <w:szCs w:val="20"/>
          <w:lang w:val="lv-LV"/>
        </w:rPr>
        <w:t>Jirgensone</w:t>
      </w:r>
      <w:r w:rsidRPr="00990536">
        <w:rPr>
          <w:sz w:val="20"/>
          <w:szCs w:val="20"/>
          <w:lang w:val="lv-LV"/>
        </w:rPr>
        <w:t>@zm.gov.lv</w:t>
      </w:r>
    </w:p>
    <w:sectPr w:rsidR="00FA003C" w:rsidRPr="0064015B" w:rsidSect="0064015B">
      <w:headerReference w:type="even" r:id="rId10"/>
      <w:headerReference w:type="default" r:id="rId11"/>
      <w:footerReference w:type="even" r:id="rId12"/>
      <w:footerReference w:type="default" r:id="rId13"/>
      <w:footerReference w:type="first" r:id="rId14"/>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51A" w:rsidRDefault="0067451A" w:rsidP="00463CAF">
      <w:r>
        <w:separator/>
      </w:r>
    </w:p>
  </w:endnote>
  <w:endnote w:type="continuationSeparator" w:id="0">
    <w:p w:rsidR="0067451A" w:rsidRDefault="0067451A" w:rsidP="0046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206" w:rsidRDefault="0064015B" w:rsidP="007B4206">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2D3" w:rsidRPr="003C2073" w:rsidRDefault="00D4110D" w:rsidP="007B4206">
    <w:pPr>
      <w:pStyle w:val="naislab"/>
      <w:spacing w:before="0" w:beforeAutospacing="0" w:after="0" w:afterAutospacing="0"/>
      <w:jc w:val="both"/>
      <w:rPr>
        <w:sz w:val="20"/>
        <w:szCs w:val="20"/>
        <w:lang w:val="lv-LV"/>
      </w:rPr>
    </w:pPr>
    <w:r w:rsidRPr="003C2073">
      <w:rPr>
        <w:sz w:val="20"/>
        <w:szCs w:val="20"/>
        <w:lang w:val="lv-LV"/>
      </w:rPr>
      <w:t>ZM</w:t>
    </w:r>
    <w:r>
      <w:rPr>
        <w:sz w:val="20"/>
        <w:szCs w:val="20"/>
        <w:lang w:val="lv-LV"/>
      </w:rPr>
      <w:t>A</w:t>
    </w:r>
    <w:r w:rsidRPr="003C2073">
      <w:rPr>
        <w:sz w:val="20"/>
        <w:szCs w:val="20"/>
        <w:lang w:val="lv-LV"/>
      </w:rPr>
      <w:t>not_</w:t>
    </w:r>
    <w:r w:rsidR="006E3832">
      <w:rPr>
        <w:sz w:val="20"/>
        <w:szCs w:val="20"/>
        <w:lang w:val="lv-LV"/>
      </w:rPr>
      <w:t>0</w:t>
    </w:r>
    <w:r w:rsidR="00A57D1F">
      <w:rPr>
        <w:sz w:val="20"/>
        <w:szCs w:val="20"/>
        <w:lang w:val="lv-LV"/>
      </w:rPr>
      <w:t>8</w:t>
    </w:r>
    <w:r>
      <w:rPr>
        <w:sz w:val="20"/>
        <w:szCs w:val="20"/>
        <w:lang w:val="lv-LV"/>
      </w:rPr>
      <w:t>0</w:t>
    </w:r>
    <w:r w:rsidR="006E3832">
      <w:rPr>
        <w:sz w:val="20"/>
        <w:szCs w:val="20"/>
        <w:lang w:val="lv-LV"/>
      </w:rPr>
      <w:t>8</w:t>
    </w:r>
    <w:r>
      <w:rPr>
        <w:sz w:val="20"/>
        <w:szCs w:val="20"/>
        <w:lang w:val="lv-LV"/>
      </w:rPr>
      <w:t>16_partuzn</w:t>
    </w:r>
    <w:r w:rsidRPr="003C2073">
      <w:rPr>
        <w:sz w:val="20"/>
        <w:szCs w:val="20"/>
        <w:lang w:val="lv-LV"/>
      </w:rPr>
      <w:t>; Ministru kabineta noteikumu projekta „Gr</w:t>
    </w:r>
    <w:r>
      <w:rPr>
        <w:sz w:val="20"/>
        <w:szCs w:val="20"/>
        <w:lang w:val="lv-LV"/>
      </w:rPr>
      <w:t>ozījumi Ministru kabineta 2010.gada 2.</w:t>
    </w:r>
    <w:r w:rsidRPr="003C2073">
      <w:rPr>
        <w:sz w:val="20"/>
        <w:szCs w:val="20"/>
        <w:lang w:val="lv-LV"/>
      </w:rPr>
      <w:t>februāra noteikumos Nr.104 „Pārtikas uzņēmumu atzīšanas un reģistrācijas kārtība</w:t>
    </w:r>
    <w:r w:rsidRPr="003C2073">
      <w:rPr>
        <w:bCs/>
        <w:sz w:val="20"/>
        <w:szCs w:val="20"/>
        <w:lang w:val="lv-LV"/>
      </w:rPr>
      <w:t xml:space="preserve">”” </w:t>
    </w:r>
    <w:r w:rsidRPr="003C2073">
      <w:rPr>
        <w:sz w:val="20"/>
        <w:szCs w:val="20"/>
        <w:lang w:val="lv-LV"/>
      </w:rPr>
      <w:t>sākotnējās ietekmes novērtējuma ziņojums</w:t>
    </w:r>
    <w:r w:rsidRPr="003C2073">
      <w:rPr>
        <w:bCs/>
        <w:sz w:val="20"/>
        <w:szCs w:val="20"/>
        <w:lang w:val="lv-LV"/>
      </w:rPr>
      <w:t xml:space="preserve">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2D3" w:rsidRPr="007F67EB" w:rsidRDefault="0064015B" w:rsidP="007F67EB">
    <w:pPr>
      <w:pStyle w:val="naislab"/>
      <w:spacing w:before="0" w:beforeAutospacing="0" w:after="0" w:afterAutospacing="0"/>
      <w:jc w:val="both"/>
      <w:rPr>
        <w:sz w:val="20"/>
        <w:szCs w:val="20"/>
        <w:lang w:val="lv-LV"/>
      </w:rPr>
    </w:pPr>
    <w:r w:rsidRPr="0064015B">
      <w:rPr>
        <w:sz w:val="20"/>
        <w:szCs w:val="20"/>
        <w:lang w:val="lv-LV"/>
      </w:rPr>
      <w:t>ZMAnot_080816_partuzn</w:t>
    </w:r>
    <w:r w:rsidR="00D4110D" w:rsidRPr="003C2073">
      <w:rPr>
        <w:sz w:val="20"/>
        <w:szCs w:val="20"/>
        <w:lang w:val="lv-LV"/>
      </w:rPr>
      <w:t>; Ministru kabineta noteikumu projekta „Grozījumi Ministru kabineta 2010.gada 2.februāra noteikumos Nr.104 „Pārtikas uzņēmumu atzīšanas un reģistrācijas kārtība</w:t>
    </w:r>
    <w:r w:rsidR="00D4110D" w:rsidRPr="003C2073">
      <w:rPr>
        <w:bCs/>
        <w:sz w:val="20"/>
        <w:szCs w:val="20"/>
        <w:lang w:val="lv-LV"/>
      </w:rPr>
      <w:t xml:space="preserve">”” </w:t>
    </w:r>
    <w:r w:rsidR="00D4110D" w:rsidRPr="003C2073">
      <w:rPr>
        <w:sz w:val="20"/>
        <w:szCs w:val="20"/>
        <w:lang w:val="lv-LV"/>
      </w:rPr>
      <w:t>sākotnējās ietekmes novērtējuma ziņojums</w:t>
    </w:r>
    <w:r w:rsidR="00D4110D" w:rsidRPr="003C2073">
      <w:rPr>
        <w:bCs/>
        <w:sz w:val="20"/>
        <w:szCs w:val="20"/>
        <w:lang w:val="lv-LV"/>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51A" w:rsidRDefault="0067451A" w:rsidP="00463CAF">
      <w:r>
        <w:separator/>
      </w:r>
    </w:p>
  </w:footnote>
  <w:footnote w:type="continuationSeparator" w:id="0">
    <w:p w:rsidR="0067451A" w:rsidRDefault="0067451A" w:rsidP="00463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2D3" w:rsidRDefault="00D4110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622D3" w:rsidRDefault="0064015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2D3" w:rsidRDefault="00D4110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4015B">
      <w:rPr>
        <w:rStyle w:val="Lappusesnumurs"/>
        <w:noProof/>
      </w:rPr>
      <w:t>5</w:t>
    </w:r>
    <w:r>
      <w:rPr>
        <w:rStyle w:val="Lappusesnumurs"/>
      </w:rPr>
      <w:fldChar w:fldCharType="end"/>
    </w:r>
  </w:p>
  <w:p w:rsidR="001622D3" w:rsidRDefault="0064015B" w:rsidP="007B4206">
    <w:pPr>
      <w:pStyle w:val="Galvene"/>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D0D"/>
    <w:rsid w:val="00000AC7"/>
    <w:rsid w:val="0000147A"/>
    <w:rsid w:val="00053FC4"/>
    <w:rsid w:val="000D0C90"/>
    <w:rsid w:val="000E227E"/>
    <w:rsid w:val="00135C21"/>
    <w:rsid w:val="001575C4"/>
    <w:rsid w:val="001833C4"/>
    <w:rsid w:val="001A1183"/>
    <w:rsid w:val="00235C4A"/>
    <w:rsid w:val="00265240"/>
    <w:rsid w:val="00270F3C"/>
    <w:rsid w:val="002743BE"/>
    <w:rsid w:val="00275700"/>
    <w:rsid w:val="0027686D"/>
    <w:rsid w:val="00292A3A"/>
    <w:rsid w:val="002A4889"/>
    <w:rsid w:val="002D6466"/>
    <w:rsid w:val="00306CF9"/>
    <w:rsid w:val="0035674E"/>
    <w:rsid w:val="00380C38"/>
    <w:rsid w:val="00380D61"/>
    <w:rsid w:val="00381B0F"/>
    <w:rsid w:val="003836BD"/>
    <w:rsid w:val="00393ED5"/>
    <w:rsid w:val="0039423E"/>
    <w:rsid w:val="003A61A8"/>
    <w:rsid w:val="003B3A82"/>
    <w:rsid w:val="003C3780"/>
    <w:rsid w:val="003D2684"/>
    <w:rsid w:val="003D65D4"/>
    <w:rsid w:val="004448A8"/>
    <w:rsid w:val="00450E23"/>
    <w:rsid w:val="0045265E"/>
    <w:rsid w:val="00463CAF"/>
    <w:rsid w:val="0046616A"/>
    <w:rsid w:val="00477BD0"/>
    <w:rsid w:val="00492332"/>
    <w:rsid w:val="004F3520"/>
    <w:rsid w:val="00527BFF"/>
    <w:rsid w:val="00533392"/>
    <w:rsid w:val="005649A1"/>
    <w:rsid w:val="00575924"/>
    <w:rsid w:val="005B2A61"/>
    <w:rsid w:val="005C6596"/>
    <w:rsid w:val="005E181D"/>
    <w:rsid w:val="005F115E"/>
    <w:rsid w:val="005F6D35"/>
    <w:rsid w:val="005F71B7"/>
    <w:rsid w:val="006032B4"/>
    <w:rsid w:val="00603687"/>
    <w:rsid w:val="0061193A"/>
    <w:rsid w:val="00615355"/>
    <w:rsid w:val="00622FA1"/>
    <w:rsid w:val="00627790"/>
    <w:rsid w:val="0064015B"/>
    <w:rsid w:val="00641964"/>
    <w:rsid w:val="0065377F"/>
    <w:rsid w:val="00673BE2"/>
    <w:rsid w:val="0067451A"/>
    <w:rsid w:val="006A35A3"/>
    <w:rsid w:val="006B015A"/>
    <w:rsid w:val="006E01C1"/>
    <w:rsid w:val="006E2A51"/>
    <w:rsid w:val="006E3832"/>
    <w:rsid w:val="00715740"/>
    <w:rsid w:val="007419CB"/>
    <w:rsid w:val="00745D3F"/>
    <w:rsid w:val="00783372"/>
    <w:rsid w:val="007E5B33"/>
    <w:rsid w:val="007E600D"/>
    <w:rsid w:val="008034E1"/>
    <w:rsid w:val="008232F5"/>
    <w:rsid w:val="0083249D"/>
    <w:rsid w:val="00837CB9"/>
    <w:rsid w:val="008735B6"/>
    <w:rsid w:val="008769B6"/>
    <w:rsid w:val="00895D7B"/>
    <w:rsid w:val="008A6265"/>
    <w:rsid w:val="008F68B6"/>
    <w:rsid w:val="00901DFB"/>
    <w:rsid w:val="00902AEA"/>
    <w:rsid w:val="00911D0D"/>
    <w:rsid w:val="00921043"/>
    <w:rsid w:val="0094308B"/>
    <w:rsid w:val="009720B9"/>
    <w:rsid w:val="009729F4"/>
    <w:rsid w:val="009A5CA4"/>
    <w:rsid w:val="009C1C47"/>
    <w:rsid w:val="009E72D3"/>
    <w:rsid w:val="009F4EBF"/>
    <w:rsid w:val="009F5BA0"/>
    <w:rsid w:val="00A00D43"/>
    <w:rsid w:val="00A32CA6"/>
    <w:rsid w:val="00A53C05"/>
    <w:rsid w:val="00A56D0D"/>
    <w:rsid w:val="00A57D1F"/>
    <w:rsid w:val="00A70E2B"/>
    <w:rsid w:val="00AA05BE"/>
    <w:rsid w:val="00AA1B1F"/>
    <w:rsid w:val="00AA79C4"/>
    <w:rsid w:val="00AB07B9"/>
    <w:rsid w:val="00AC7AA2"/>
    <w:rsid w:val="00B16C00"/>
    <w:rsid w:val="00B360E7"/>
    <w:rsid w:val="00B51F54"/>
    <w:rsid w:val="00B56136"/>
    <w:rsid w:val="00B57CD3"/>
    <w:rsid w:val="00B62CF9"/>
    <w:rsid w:val="00B6569D"/>
    <w:rsid w:val="00B93D61"/>
    <w:rsid w:val="00BC5266"/>
    <w:rsid w:val="00BC7E1F"/>
    <w:rsid w:val="00BD5F2A"/>
    <w:rsid w:val="00C22E07"/>
    <w:rsid w:val="00C23395"/>
    <w:rsid w:val="00C40EAB"/>
    <w:rsid w:val="00C511CF"/>
    <w:rsid w:val="00CD141A"/>
    <w:rsid w:val="00CD2907"/>
    <w:rsid w:val="00CF6E55"/>
    <w:rsid w:val="00D4110D"/>
    <w:rsid w:val="00D46102"/>
    <w:rsid w:val="00D50BB5"/>
    <w:rsid w:val="00D66EFA"/>
    <w:rsid w:val="00D84B2E"/>
    <w:rsid w:val="00DA79E4"/>
    <w:rsid w:val="00DB435E"/>
    <w:rsid w:val="00DD4F3B"/>
    <w:rsid w:val="00DE3806"/>
    <w:rsid w:val="00E04DB3"/>
    <w:rsid w:val="00E829E7"/>
    <w:rsid w:val="00E931F4"/>
    <w:rsid w:val="00EB24ED"/>
    <w:rsid w:val="00EC09E3"/>
    <w:rsid w:val="00EE4786"/>
    <w:rsid w:val="00F00D7C"/>
    <w:rsid w:val="00F32513"/>
    <w:rsid w:val="00F76270"/>
    <w:rsid w:val="00F85808"/>
    <w:rsid w:val="00F906EB"/>
    <w:rsid w:val="00FA003C"/>
    <w:rsid w:val="00FA3041"/>
    <w:rsid w:val="00FB1254"/>
    <w:rsid w:val="00FF62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7D646-E1A8-4DE4-96EE-2B87FBB4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56D0D"/>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9"/>
    <w:qFormat/>
    <w:rsid w:val="00A56D0D"/>
    <w:pPr>
      <w:keepNext/>
      <w:jc w:val="center"/>
      <w:outlineLvl w:val="0"/>
    </w:pPr>
    <w:rPr>
      <w:rFonts w:ascii="Cambria" w:hAnsi="Cambria"/>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A56D0D"/>
    <w:rPr>
      <w:rFonts w:ascii="Cambria" w:eastAsia="Times New Roman" w:hAnsi="Cambria" w:cs="Times New Roman"/>
      <w:b/>
      <w:bCs/>
      <w:kern w:val="32"/>
      <w:sz w:val="32"/>
      <w:szCs w:val="32"/>
      <w:lang w:val="en-GB"/>
    </w:rPr>
  </w:style>
  <w:style w:type="paragraph" w:customStyle="1" w:styleId="naisf">
    <w:name w:val="naisf"/>
    <w:basedOn w:val="Parasts"/>
    <w:uiPriority w:val="99"/>
    <w:rsid w:val="00A56D0D"/>
    <w:pPr>
      <w:spacing w:before="100" w:beforeAutospacing="1" w:after="100" w:afterAutospacing="1"/>
      <w:jc w:val="both"/>
    </w:pPr>
  </w:style>
  <w:style w:type="paragraph" w:styleId="Paraststmeklis">
    <w:name w:val="Normal (Web)"/>
    <w:basedOn w:val="Parasts"/>
    <w:rsid w:val="00A56D0D"/>
    <w:pPr>
      <w:spacing w:before="100" w:beforeAutospacing="1" w:after="100" w:afterAutospacing="1"/>
    </w:pPr>
  </w:style>
  <w:style w:type="paragraph" w:styleId="Kjene">
    <w:name w:val="footer"/>
    <w:basedOn w:val="Parasts"/>
    <w:link w:val="KjeneRakstz"/>
    <w:uiPriority w:val="99"/>
    <w:rsid w:val="00A56D0D"/>
    <w:pPr>
      <w:tabs>
        <w:tab w:val="center" w:pos="4153"/>
        <w:tab w:val="right" w:pos="8306"/>
      </w:tabs>
      <w:snapToGrid w:val="0"/>
    </w:pPr>
    <w:rPr>
      <w:rFonts w:ascii="RimTimes" w:hAnsi="RimTimes"/>
      <w:sz w:val="28"/>
      <w:szCs w:val="20"/>
      <w:lang w:val="x-none"/>
    </w:rPr>
  </w:style>
  <w:style w:type="character" w:customStyle="1" w:styleId="KjeneRakstz">
    <w:name w:val="Kājene Rakstz."/>
    <w:basedOn w:val="Noklusjumarindkopasfonts"/>
    <w:link w:val="Kjene"/>
    <w:uiPriority w:val="99"/>
    <w:rsid w:val="00A56D0D"/>
    <w:rPr>
      <w:rFonts w:ascii="RimTimes" w:eastAsia="Times New Roman" w:hAnsi="RimTimes" w:cs="Times New Roman"/>
      <w:sz w:val="28"/>
      <w:szCs w:val="20"/>
      <w:lang w:val="x-none"/>
    </w:rPr>
  </w:style>
  <w:style w:type="paragraph" w:customStyle="1" w:styleId="naislab">
    <w:name w:val="naislab"/>
    <w:basedOn w:val="Parasts"/>
    <w:uiPriority w:val="99"/>
    <w:rsid w:val="00A56D0D"/>
    <w:pPr>
      <w:spacing w:before="100" w:beforeAutospacing="1" w:after="100" w:afterAutospacing="1"/>
      <w:jc w:val="right"/>
    </w:pPr>
  </w:style>
  <w:style w:type="paragraph" w:styleId="Galvene">
    <w:name w:val="header"/>
    <w:basedOn w:val="Parasts"/>
    <w:link w:val="GalveneRakstz"/>
    <w:uiPriority w:val="99"/>
    <w:rsid w:val="00A56D0D"/>
    <w:pPr>
      <w:tabs>
        <w:tab w:val="center" w:pos="4153"/>
        <w:tab w:val="right" w:pos="8306"/>
      </w:tabs>
    </w:pPr>
  </w:style>
  <w:style w:type="character" w:customStyle="1" w:styleId="GalveneRakstz">
    <w:name w:val="Galvene Rakstz."/>
    <w:basedOn w:val="Noklusjumarindkopasfonts"/>
    <w:link w:val="Galvene"/>
    <w:uiPriority w:val="99"/>
    <w:rsid w:val="00A56D0D"/>
    <w:rPr>
      <w:rFonts w:ascii="Times New Roman" w:eastAsia="Times New Roman" w:hAnsi="Times New Roman" w:cs="Times New Roman"/>
      <w:sz w:val="24"/>
      <w:szCs w:val="24"/>
      <w:lang w:val="en-GB"/>
    </w:rPr>
  </w:style>
  <w:style w:type="character" w:styleId="Lappusesnumurs">
    <w:name w:val="page number"/>
    <w:uiPriority w:val="99"/>
    <w:rsid w:val="00A56D0D"/>
    <w:rPr>
      <w:rFonts w:cs="Times New Roman"/>
    </w:rPr>
  </w:style>
  <w:style w:type="paragraph" w:customStyle="1" w:styleId="naiskr">
    <w:name w:val="naiskr"/>
    <w:basedOn w:val="Parasts"/>
    <w:uiPriority w:val="99"/>
    <w:rsid w:val="00A56D0D"/>
    <w:pPr>
      <w:spacing w:before="100" w:beforeAutospacing="1" w:after="100" w:afterAutospacing="1"/>
    </w:pPr>
    <w:rPr>
      <w:lang w:val="lv-LV" w:eastAsia="lv-LV"/>
    </w:rPr>
  </w:style>
  <w:style w:type="paragraph" w:styleId="Bezatstarpm">
    <w:name w:val="No Spacing"/>
    <w:uiPriority w:val="1"/>
    <w:qFormat/>
    <w:rsid w:val="00A56D0D"/>
    <w:pPr>
      <w:spacing w:after="0" w:line="240" w:lineRule="auto"/>
    </w:pPr>
    <w:rPr>
      <w:rFonts w:ascii="Calibri" w:eastAsia="Times New Roman" w:hAnsi="Calibri" w:cs="Times New Roman"/>
    </w:rPr>
  </w:style>
  <w:style w:type="paragraph" w:styleId="Sarakstarindkopa">
    <w:name w:val="List Paragraph"/>
    <w:basedOn w:val="Parasts"/>
    <w:uiPriority w:val="34"/>
    <w:qFormat/>
    <w:rsid w:val="00A56D0D"/>
    <w:pPr>
      <w:ind w:left="720"/>
      <w:contextualSpacing/>
    </w:pPr>
  </w:style>
  <w:style w:type="paragraph" w:styleId="Balonteksts">
    <w:name w:val="Balloon Text"/>
    <w:basedOn w:val="Parasts"/>
    <w:link w:val="BalontekstsRakstz"/>
    <w:uiPriority w:val="99"/>
    <w:semiHidden/>
    <w:unhideWhenUsed/>
    <w:rsid w:val="00F00D7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00D7C"/>
    <w:rPr>
      <w:rFonts w:ascii="Segoe UI" w:eastAsia="Times New Roman" w:hAnsi="Segoe UI" w:cs="Segoe UI"/>
      <w:sz w:val="18"/>
      <w:szCs w:val="18"/>
      <w:lang w:val="en-GB"/>
    </w:rPr>
  </w:style>
  <w:style w:type="character" w:styleId="Izteiksmgs">
    <w:name w:val="Strong"/>
    <w:basedOn w:val="Noklusjumarindkopasfonts"/>
    <w:uiPriority w:val="22"/>
    <w:qFormat/>
    <w:rsid w:val="00527BFF"/>
    <w:rPr>
      <w:b/>
      <w:bCs/>
    </w:rPr>
  </w:style>
  <w:style w:type="paragraph" w:customStyle="1" w:styleId="izdotisask">
    <w:name w:val="izdoti_sask."/>
    <w:basedOn w:val="Parasts"/>
    <w:rsid w:val="00CD141A"/>
    <w:pPr>
      <w:jc w:val="right"/>
    </w:pPr>
    <w:rPr>
      <w:sz w:val="28"/>
      <w:lang w:val="lv-LV"/>
    </w:rPr>
  </w:style>
  <w:style w:type="paragraph" w:styleId="Komentrateksts">
    <w:name w:val="annotation text"/>
    <w:basedOn w:val="Parasts"/>
    <w:link w:val="KomentratekstsRakstz"/>
    <w:uiPriority w:val="99"/>
    <w:semiHidden/>
    <w:unhideWhenUsed/>
    <w:rsid w:val="00CD141A"/>
    <w:rPr>
      <w:sz w:val="20"/>
      <w:szCs w:val="20"/>
    </w:rPr>
  </w:style>
  <w:style w:type="character" w:customStyle="1" w:styleId="KomentratekstsRakstz">
    <w:name w:val="Komentāra teksts Rakstz."/>
    <w:basedOn w:val="Noklusjumarindkopasfonts"/>
    <w:link w:val="Komentrateksts"/>
    <w:uiPriority w:val="99"/>
    <w:semiHidden/>
    <w:rsid w:val="00CD141A"/>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semiHidden/>
    <w:rsid w:val="00CD141A"/>
    <w:rPr>
      <w:b/>
      <w:bCs/>
    </w:rPr>
  </w:style>
  <w:style w:type="character" w:customStyle="1" w:styleId="KomentratmaRakstz">
    <w:name w:val="Komentāra tēma Rakstz."/>
    <w:basedOn w:val="KomentratekstsRakstz"/>
    <w:link w:val="Komentratma"/>
    <w:semiHidden/>
    <w:rsid w:val="00CD141A"/>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08269-brivas-pakalpojumu-sniegsanas-likums"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likumi.lv/ta/id/47184-partikas-aprites-uzraudzibas-likums"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ikumi.lv/ta/id/47184-partikas-aprites-uzraudzibas-likums"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likumi.lv/ta/id/208269-brivas-pakalpojumu-sniegsanas-likums" TargetMode="Externa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2979</TotalTime>
  <Pages>6</Pages>
  <Words>1620</Words>
  <Characters>11195</Characters>
  <Application>Microsoft Office Word</Application>
  <DocSecurity>0</DocSecurity>
  <Lines>508</Lines>
  <Paragraphs>183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Jirgensone</dc:creator>
  <cp:keywords/>
  <dc:description/>
  <cp:lastModifiedBy>Sanita Žagare</cp:lastModifiedBy>
  <cp:revision>49</cp:revision>
  <cp:lastPrinted>2016-08-04T06:27:00Z</cp:lastPrinted>
  <dcterms:created xsi:type="dcterms:W3CDTF">2016-07-25T05:56:00Z</dcterms:created>
  <dcterms:modified xsi:type="dcterms:W3CDTF">2016-08-08T10:05:00Z</dcterms:modified>
</cp:coreProperties>
</file>