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C9631" w14:textId="3276705A" w:rsidR="00A97E7D" w:rsidRPr="00FE190C" w:rsidRDefault="008F42E1" w:rsidP="007854FF">
      <w:pPr>
        <w:pStyle w:val="Heading3"/>
        <w:spacing w:before="0"/>
        <w:jc w:val="center"/>
        <w:rPr>
          <w:rFonts w:ascii="Times New Roman" w:eastAsia="Times New Roman" w:hAnsi="Times New Roman" w:cs="Times New Roman"/>
          <w:b/>
          <w:color w:val="000000" w:themeColor="text1"/>
          <w:sz w:val="22"/>
          <w:szCs w:val="22"/>
          <w:lang w:eastAsia="x-none"/>
        </w:rPr>
      </w:pPr>
      <w:r w:rsidRPr="00FE190C">
        <w:rPr>
          <w:rFonts w:ascii="Times New Roman" w:eastAsia="Times New Roman" w:hAnsi="Times New Roman" w:cs="Times New Roman"/>
          <w:b/>
          <w:bCs/>
          <w:color w:val="000000" w:themeColor="text1"/>
          <w:sz w:val="22"/>
          <w:szCs w:val="22"/>
          <w:lang w:eastAsia="lv-LV"/>
        </w:rPr>
        <w:t>Ministru kabineta noteikum</w:t>
      </w:r>
      <w:r w:rsidR="00146E31" w:rsidRPr="00FE190C">
        <w:rPr>
          <w:rFonts w:ascii="Times New Roman" w:eastAsia="Times New Roman" w:hAnsi="Times New Roman" w:cs="Times New Roman"/>
          <w:b/>
          <w:bCs/>
          <w:color w:val="000000" w:themeColor="text1"/>
          <w:sz w:val="22"/>
          <w:szCs w:val="22"/>
          <w:lang w:eastAsia="lv-LV"/>
        </w:rPr>
        <w:t>u</w:t>
      </w:r>
      <w:r w:rsidRPr="00FE190C">
        <w:rPr>
          <w:rFonts w:ascii="Times New Roman" w:eastAsia="Times New Roman" w:hAnsi="Times New Roman" w:cs="Times New Roman"/>
          <w:b/>
          <w:bCs/>
          <w:color w:val="000000" w:themeColor="text1"/>
          <w:sz w:val="22"/>
          <w:szCs w:val="22"/>
          <w:lang w:eastAsia="lv-LV"/>
        </w:rPr>
        <w:t xml:space="preserve"> </w:t>
      </w:r>
      <w:r w:rsidR="00A97E7D" w:rsidRPr="00FE190C">
        <w:rPr>
          <w:rFonts w:ascii="Times New Roman" w:eastAsia="Times New Roman" w:hAnsi="Times New Roman" w:cs="Times New Roman"/>
          <w:b/>
          <w:bCs/>
          <w:color w:val="000000" w:themeColor="text1"/>
          <w:sz w:val="22"/>
          <w:szCs w:val="22"/>
          <w:lang w:eastAsia="lv-LV"/>
        </w:rPr>
        <w:t>projekta „</w:t>
      </w:r>
      <w:r w:rsidR="007854FF" w:rsidRPr="00FE190C">
        <w:rPr>
          <w:rFonts w:ascii="Times New Roman" w:eastAsia="Times New Roman" w:hAnsi="Times New Roman" w:cs="Times New Roman"/>
          <w:b/>
          <w:color w:val="000000" w:themeColor="text1"/>
          <w:sz w:val="22"/>
          <w:szCs w:val="22"/>
          <w:lang w:val="x-none" w:eastAsia="x-none"/>
        </w:rPr>
        <w:t>Grozījum</w:t>
      </w:r>
      <w:r w:rsidR="007854FF" w:rsidRPr="00FE190C">
        <w:rPr>
          <w:rFonts w:ascii="Times New Roman" w:eastAsia="Times New Roman" w:hAnsi="Times New Roman" w:cs="Times New Roman"/>
          <w:b/>
          <w:color w:val="000000" w:themeColor="text1"/>
          <w:sz w:val="22"/>
          <w:szCs w:val="22"/>
          <w:lang w:eastAsia="x-none"/>
        </w:rPr>
        <w:t>i</w:t>
      </w:r>
      <w:r w:rsidR="007854FF" w:rsidRPr="00FE190C">
        <w:rPr>
          <w:rFonts w:ascii="Times New Roman" w:eastAsia="Times New Roman" w:hAnsi="Times New Roman" w:cs="Times New Roman"/>
          <w:b/>
          <w:color w:val="000000" w:themeColor="text1"/>
          <w:sz w:val="22"/>
          <w:szCs w:val="22"/>
          <w:lang w:val="x-none" w:eastAsia="x-none"/>
        </w:rPr>
        <w:t xml:space="preserve"> Ministru kabineta </w:t>
      </w:r>
      <w:r w:rsidR="007854FF" w:rsidRPr="00FE190C">
        <w:rPr>
          <w:rFonts w:ascii="Times New Roman" w:eastAsia="Times New Roman" w:hAnsi="Times New Roman" w:cs="Times New Roman"/>
          <w:b/>
          <w:bCs/>
          <w:color w:val="000000" w:themeColor="text1"/>
          <w:sz w:val="22"/>
          <w:szCs w:val="22"/>
          <w:lang w:eastAsia="x-none"/>
        </w:rPr>
        <w:t>2014.gada 20.maija</w:t>
      </w:r>
      <w:r w:rsidR="007854FF" w:rsidRPr="00FE190C">
        <w:rPr>
          <w:rFonts w:ascii="Times New Roman" w:eastAsia="Times New Roman" w:hAnsi="Times New Roman" w:cs="Times New Roman"/>
          <w:b/>
          <w:color w:val="000000" w:themeColor="text1"/>
          <w:sz w:val="22"/>
          <w:szCs w:val="22"/>
          <w:lang w:val="x-none" w:eastAsia="x-none"/>
        </w:rPr>
        <w:t xml:space="preserve"> noteikumos Nr.</w:t>
      </w:r>
      <w:r w:rsidR="007854FF" w:rsidRPr="00FE190C">
        <w:rPr>
          <w:rFonts w:ascii="Times New Roman" w:eastAsia="Times New Roman" w:hAnsi="Times New Roman" w:cs="Times New Roman"/>
          <w:b/>
          <w:color w:val="000000" w:themeColor="text1"/>
          <w:sz w:val="22"/>
          <w:szCs w:val="22"/>
          <w:lang w:eastAsia="x-none"/>
        </w:rPr>
        <w:t xml:space="preserve"> 25</w:t>
      </w:r>
      <w:r w:rsidR="00E9125B" w:rsidRPr="00FE190C">
        <w:rPr>
          <w:rFonts w:ascii="Times New Roman" w:eastAsia="Times New Roman" w:hAnsi="Times New Roman" w:cs="Times New Roman"/>
          <w:b/>
          <w:color w:val="000000" w:themeColor="text1"/>
          <w:sz w:val="22"/>
          <w:szCs w:val="22"/>
          <w:lang w:eastAsia="x-none"/>
        </w:rPr>
        <w:t>5</w:t>
      </w:r>
      <w:r w:rsidR="007854FF" w:rsidRPr="00FE190C">
        <w:rPr>
          <w:rFonts w:ascii="Times New Roman" w:eastAsia="Times New Roman" w:hAnsi="Times New Roman" w:cs="Times New Roman"/>
          <w:b/>
          <w:color w:val="000000" w:themeColor="text1"/>
          <w:sz w:val="22"/>
          <w:szCs w:val="22"/>
          <w:lang w:eastAsia="x-none"/>
        </w:rPr>
        <w:t xml:space="preserve"> </w:t>
      </w:r>
      <w:r w:rsidR="007854FF" w:rsidRPr="00FE190C">
        <w:rPr>
          <w:rFonts w:ascii="Times New Roman" w:eastAsia="Times New Roman" w:hAnsi="Times New Roman" w:cs="Times New Roman"/>
          <w:b/>
          <w:color w:val="000000" w:themeColor="text1"/>
          <w:sz w:val="22"/>
          <w:szCs w:val="22"/>
          <w:lang w:val="x-none" w:eastAsia="x-none"/>
        </w:rPr>
        <w:t>„</w:t>
      </w:r>
      <w:r w:rsidR="007854FF" w:rsidRPr="00FE190C">
        <w:rPr>
          <w:rFonts w:ascii="Times New Roman" w:eastAsia="Times New Roman" w:hAnsi="Times New Roman" w:cs="Times New Roman"/>
          <w:b/>
          <w:color w:val="000000" w:themeColor="text1"/>
          <w:sz w:val="22"/>
          <w:szCs w:val="22"/>
          <w:lang w:eastAsia="x-none"/>
        </w:rPr>
        <w:t xml:space="preserve">Noteikumi par </w:t>
      </w:r>
      <w:r w:rsidR="00E9125B" w:rsidRPr="00FE190C">
        <w:rPr>
          <w:rFonts w:ascii="Times New Roman" w:eastAsia="Times New Roman" w:hAnsi="Times New Roman" w:cs="Times New Roman"/>
          <w:b/>
          <w:color w:val="000000" w:themeColor="text1"/>
          <w:sz w:val="22"/>
          <w:szCs w:val="22"/>
          <w:lang w:eastAsia="x-none"/>
        </w:rPr>
        <w:t>distances līgumu</w:t>
      </w:r>
      <w:r w:rsidR="007854FF" w:rsidRPr="00FE190C">
        <w:rPr>
          <w:rFonts w:ascii="Times New Roman" w:eastAsia="Times New Roman" w:hAnsi="Times New Roman" w:cs="Times New Roman"/>
          <w:b/>
          <w:color w:val="000000" w:themeColor="text1"/>
          <w:sz w:val="22"/>
          <w:szCs w:val="22"/>
          <w:lang w:val="x-none" w:eastAsia="x-none"/>
        </w:rPr>
        <w:t>”</w:t>
      </w:r>
      <w:r w:rsidR="007854FF" w:rsidRPr="00FE190C">
        <w:rPr>
          <w:rFonts w:ascii="Times New Roman" w:eastAsia="Times New Roman" w:hAnsi="Times New Roman" w:cs="Times New Roman"/>
          <w:b/>
          <w:color w:val="000000" w:themeColor="text1"/>
          <w:sz w:val="22"/>
          <w:szCs w:val="22"/>
          <w:lang w:eastAsia="x-none"/>
        </w:rPr>
        <w:t xml:space="preserve"> </w:t>
      </w:r>
    </w:p>
    <w:p w14:paraId="3E6AAFB7" w14:textId="77777777" w:rsidR="00A97E7D" w:rsidRPr="00FE190C" w:rsidRDefault="00A97E7D" w:rsidP="00A97E7D">
      <w:pPr>
        <w:jc w:val="center"/>
        <w:rPr>
          <w:rFonts w:ascii="Times New Roman" w:eastAsia="Times New Roman" w:hAnsi="Times New Roman" w:cs="Times New Roman"/>
          <w:b/>
          <w:bCs/>
          <w:lang w:eastAsia="lv-LV"/>
        </w:rPr>
      </w:pPr>
      <w:r w:rsidRPr="00FE190C">
        <w:rPr>
          <w:rFonts w:ascii="Times New Roman" w:eastAsia="Times New Roman" w:hAnsi="Times New Roman" w:cs="Times New Roman"/>
          <w:b/>
          <w:bCs/>
          <w:lang w:eastAsia="lv-LV"/>
        </w:rPr>
        <w:t>sākotnējās ietekmes novērtējuma ziņojums (anotācija)</w:t>
      </w:r>
    </w:p>
    <w:p w14:paraId="1DE3D81F" w14:textId="77777777" w:rsidR="00A97E7D" w:rsidRPr="00FE190C" w:rsidRDefault="00A97E7D" w:rsidP="00BC0505">
      <w:pPr>
        <w:rPr>
          <w:rFonts w:ascii="Times New Roman" w:eastAsia="Times New Roman" w:hAnsi="Times New Roman" w:cs="Times New Roman"/>
          <w:b/>
          <w:bCs/>
          <w:lang w:eastAsia="lv-LV"/>
        </w:rPr>
      </w:pPr>
    </w:p>
    <w:tbl>
      <w:tblPr>
        <w:tblW w:w="5453" w:type="pct"/>
        <w:tblInd w:w="-567"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893"/>
      </w:tblGrid>
      <w:tr w:rsidR="00A97E7D" w:rsidRPr="00FE190C" w14:paraId="06AAAB73" w14:textId="77777777" w:rsidTr="00722F5C">
        <w:trPr>
          <w:trHeight w:val="128"/>
        </w:trPr>
        <w:tc>
          <w:tcPr>
            <w:tcW w:w="5000" w:type="pct"/>
            <w:tcBorders>
              <w:top w:val="nil"/>
              <w:left w:val="nil"/>
              <w:bottom w:val="nil"/>
              <w:right w:val="nil"/>
            </w:tcBorders>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09"/>
              <w:gridCol w:w="2908"/>
              <w:gridCol w:w="6406"/>
            </w:tblGrid>
            <w:tr w:rsidR="0057037A" w:rsidRPr="00FE190C" w14:paraId="2F3986F5" w14:textId="77777777" w:rsidTr="0036293E">
              <w:trPr>
                <w:trHeight w:val="405"/>
                <w:tblCellSpacing w:w="15" w:type="dxa"/>
              </w:trPr>
              <w:tc>
                <w:tcPr>
                  <w:tcW w:w="4968" w:type="pct"/>
                  <w:gridSpan w:val="3"/>
                  <w:vAlign w:val="center"/>
                  <w:hideMark/>
                </w:tcPr>
                <w:p w14:paraId="5EF31A01" w14:textId="77777777" w:rsidR="00A97E7D" w:rsidRPr="00FE190C" w:rsidRDefault="00A97E7D" w:rsidP="00544C0B">
                  <w:pPr>
                    <w:jc w:val="center"/>
                    <w:rPr>
                      <w:rFonts w:ascii="Times New Roman" w:eastAsia="Times New Roman" w:hAnsi="Times New Roman" w:cs="Times New Roman"/>
                      <w:b/>
                      <w:bCs/>
                      <w:lang w:eastAsia="lv-LV"/>
                    </w:rPr>
                  </w:pPr>
                  <w:r w:rsidRPr="00FE190C">
                    <w:rPr>
                      <w:rFonts w:ascii="Times New Roman" w:eastAsia="Times New Roman" w:hAnsi="Times New Roman" w:cs="Times New Roman"/>
                      <w:b/>
                      <w:bCs/>
                      <w:lang w:eastAsia="lv-LV"/>
                    </w:rPr>
                    <w:t>I. Tiesību akta projekta izstrādes nepieciešamība</w:t>
                  </w:r>
                </w:p>
              </w:tc>
            </w:tr>
            <w:tr w:rsidR="0057037A" w:rsidRPr="00FE190C" w14:paraId="37B6805D" w14:textId="77777777" w:rsidTr="0036293E">
              <w:trPr>
                <w:trHeight w:val="405"/>
                <w:tblCellSpacing w:w="15" w:type="dxa"/>
              </w:trPr>
              <w:tc>
                <w:tcPr>
                  <w:tcW w:w="237" w:type="pct"/>
                  <w:hideMark/>
                </w:tcPr>
                <w:p w14:paraId="4CFB42BD" w14:textId="77777777" w:rsidR="00A97E7D" w:rsidRPr="00FE190C" w:rsidRDefault="00A97E7D" w:rsidP="00544C0B">
                  <w:pPr>
                    <w:jc w:val="cente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1.</w:t>
                  </w:r>
                </w:p>
              </w:tc>
              <w:tc>
                <w:tcPr>
                  <w:tcW w:w="1474" w:type="pct"/>
                  <w:hideMark/>
                </w:tcPr>
                <w:p w14:paraId="5E3C2F6A"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Pamatojums</w:t>
                  </w:r>
                </w:p>
              </w:tc>
              <w:tc>
                <w:tcPr>
                  <w:tcW w:w="3224" w:type="pct"/>
                  <w:hideMark/>
                </w:tcPr>
                <w:p w14:paraId="45F3DEC8" w14:textId="40CD978A" w:rsidR="00720700" w:rsidRPr="00FE190C" w:rsidRDefault="00536867" w:rsidP="00C457B7">
                  <w:pPr>
                    <w:ind w:right="115" w:firstLine="557"/>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Noteikumu projekts izstrādāts, lai novērstu nepilnības</w:t>
                  </w:r>
                  <w:r w:rsidR="002E1BC4" w:rsidRPr="00FE190C">
                    <w:rPr>
                      <w:rFonts w:ascii="Times New Roman" w:eastAsia="Times New Roman" w:hAnsi="Times New Roman" w:cs="Times New Roman"/>
                      <w:lang w:eastAsia="lv-LV"/>
                    </w:rPr>
                    <w:t xml:space="preserve">, kuras radušās, ieviešot </w:t>
                  </w:r>
                  <w:r w:rsidRPr="00FE190C">
                    <w:rPr>
                      <w:rFonts w:ascii="Times New Roman" w:hAnsi="Times New Roman" w:cs="Times New Roman"/>
                      <w:i/>
                      <w:color w:val="000000"/>
                    </w:rPr>
                    <w:t xml:space="preserve">Eiropas Parlamenta un Padomes </w:t>
                  </w:r>
                  <w:r w:rsidR="00C457B7">
                    <w:rPr>
                      <w:rFonts w:ascii="Times New Roman" w:hAnsi="Times New Roman" w:cs="Times New Roman"/>
                      <w:i/>
                      <w:color w:val="000000"/>
                    </w:rPr>
                    <w:t xml:space="preserve">2011.gada 25.oktobra </w:t>
                  </w:r>
                  <w:r w:rsidRPr="00FE190C">
                    <w:rPr>
                      <w:rFonts w:ascii="Times New Roman" w:hAnsi="Times New Roman" w:cs="Times New Roman"/>
                      <w:i/>
                      <w:color w:val="000000"/>
                    </w:rPr>
                    <w:t>Direktīv</w:t>
                  </w:r>
                  <w:r w:rsidR="002E1BC4" w:rsidRPr="00FE190C">
                    <w:rPr>
                      <w:rFonts w:ascii="Times New Roman" w:hAnsi="Times New Roman" w:cs="Times New Roman"/>
                      <w:i/>
                      <w:color w:val="000000"/>
                    </w:rPr>
                    <w:t>u</w:t>
                  </w:r>
                  <w:r w:rsidRPr="00FE190C">
                    <w:rPr>
                      <w:rFonts w:ascii="Times New Roman" w:hAnsi="Times New Roman" w:cs="Times New Roman"/>
                      <w:i/>
                      <w:color w:val="000000"/>
                    </w:rPr>
                    <w:t xml:space="preserve"> 2011/83/ES</w:t>
                  </w:r>
                  <w:r w:rsidR="00752ECC">
                    <w:rPr>
                      <w:rFonts w:ascii="Times New Roman" w:hAnsi="Times New Roman" w:cs="Times New Roman"/>
                      <w:i/>
                      <w:color w:val="000000"/>
                    </w:rPr>
                    <w:t xml:space="preserve"> </w:t>
                  </w:r>
                  <w:r w:rsidRPr="00FE190C">
                    <w:rPr>
                      <w:rFonts w:ascii="Times New Roman" w:hAnsi="Times New Roman" w:cs="Times New Roman"/>
                      <w:i/>
                      <w:color w:val="000000"/>
                    </w:rPr>
                    <w:t>par patērētāju tiesībām un ar ko groza Padomes Direktīvu 93/13/EEK un Eiropas Parlamenta un Padomes Direktīvu 1999/44/EK un atceļ Padomes Direktīvu 85/577/EEK un Eiropas Parlamenta un Padomes Direktīvu 97/7/EK</w:t>
                  </w:r>
                  <w:r w:rsidRPr="00FE190C">
                    <w:rPr>
                      <w:rFonts w:ascii="Times New Roman" w:hAnsi="Times New Roman" w:cs="Times New Roman"/>
                      <w:color w:val="000000"/>
                    </w:rPr>
                    <w:t xml:space="preserve"> </w:t>
                  </w:r>
                  <w:r w:rsidR="007A4DCE" w:rsidRPr="00FE190C">
                    <w:rPr>
                      <w:rFonts w:ascii="Times New Roman" w:hAnsi="Times New Roman" w:cs="Times New Roman"/>
                      <w:color w:val="000000"/>
                    </w:rPr>
                    <w:t>(turpmāk  - D</w:t>
                  </w:r>
                  <w:r w:rsidR="002E1BC4" w:rsidRPr="00FE190C">
                    <w:rPr>
                      <w:rFonts w:ascii="Times New Roman" w:hAnsi="Times New Roman" w:cs="Times New Roman"/>
                      <w:color w:val="000000"/>
                    </w:rPr>
                    <w:t xml:space="preserve">irektīva 2011/83/ES), </w:t>
                  </w:r>
                  <w:r w:rsidRPr="00FE190C">
                    <w:rPr>
                      <w:rFonts w:ascii="Times New Roman" w:hAnsi="Times New Roman" w:cs="Times New Roman"/>
                      <w:color w:val="000000"/>
                    </w:rPr>
                    <w:t>uz kurām norādīts Eiropas Komisijas ierosinātajā EU Pilot lietā Nr.7</w:t>
                  </w:r>
                  <w:r w:rsidR="00697F03" w:rsidRPr="00FE190C">
                    <w:rPr>
                      <w:rFonts w:ascii="Times New Roman" w:hAnsi="Times New Roman" w:cs="Times New Roman"/>
                      <w:color w:val="000000"/>
                    </w:rPr>
                    <w:t>8</w:t>
                  </w:r>
                  <w:r w:rsidRPr="00FE190C">
                    <w:rPr>
                      <w:rFonts w:ascii="Times New Roman" w:hAnsi="Times New Roman" w:cs="Times New Roman"/>
                      <w:color w:val="000000"/>
                    </w:rPr>
                    <w:t xml:space="preserve">00/15/JUST.  </w:t>
                  </w:r>
                </w:p>
              </w:tc>
            </w:tr>
            <w:tr w:rsidR="0057037A" w:rsidRPr="00FE190C" w14:paraId="1B19E031" w14:textId="77777777" w:rsidTr="0036293E">
              <w:trPr>
                <w:trHeight w:val="465"/>
                <w:tblCellSpacing w:w="15" w:type="dxa"/>
              </w:trPr>
              <w:tc>
                <w:tcPr>
                  <w:tcW w:w="237" w:type="pct"/>
                  <w:hideMark/>
                </w:tcPr>
                <w:p w14:paraId="6F67443A" w14:textId="5ADA1104" w:rsidR="00A97E7D" w:rsidRPr="00FE190C" w:rsidRDefault="00A97E7D" w:rsidP="00544C0B">
                  <w:pPr>
                    <w:jc w:val="cente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2.</w:t>
                  </w:r>
                </w:p>
              </w:tc>
              <w:tc>
                <w:tcPr>
                  <w:tcW w:w="1474" w:type="pct"/>
                  <w:hideMark/>
                </w:tcPr>
                <w:p w14:paraId="67B15A1B" w14:textId="44FB5C42" w:rsidR="0095531A"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Pašreizējā situācija un problēmas, kuru risināšanai tiesību akta projekts izstrādāts, tiesiskā regulējuma mērķis un būtība</w:t>
                  </w:r>
                </w:p>
                <w:p w14:paraId="1D91C779" w14:textId="77777777" w:rsidR="0095531A" w:rsidRPr="00FE190C" w:rsidRDefault="0095531A" w:rsidP="0095531A">
                  <w:pPr>
                    <w:rPr>
                      <w:rFonts w:ascii="Times New Roman" w:eastAsia="Times New Roman" w:hAnsi="Times New Roman" w:cs="Times New Roman"/>
                      <w:lang w:eastAsia="lv-LV"/>
                    </w:rPr>
                  </w:pPr>
                </w:p>
                <w:p w14:paraId="5B79DB09" w14:textId="77777777" w:rsidR="0095531A" w:rsidRPr="00FE190C" w:rsidRDefault="0095531A" w:rsidP="0095531A">
                  <w:pPr>
                    <w:rPr>
                      <w:rFonts w:ascii="Times New Roman" w:eastAsia="Times New Roman" w:hAnsi="Times New Roman" w:cs="Times New Roman"/>
                      <w:lang w:eastAsia="lv-LV"/>
                    </w:rPr>
                  </w:pPr>
                </w:p>
                <w:p w14:paraId="3AA2ECC6" w14:textId="77777777" w:rsidR="0095531A" w:rsidRPr="00FE190C" w:rsidRDefault="0095531A" w:rsidP="0095531A">
                  <w:pPr>
                    <w:rPr>
                      <w:rFonts w:ascii="Times New Roman" w:eastAsia="Times New Roman" w:hAnsi="Times New Roman" w:cs="Times New Roman"/>
                      <w:lang w:eastAsia="lv-LV"/>
                    </w:rPr>
                  </w:pPr>
                </w:p>
                <w:p w14:paraId="2E6E00A8" w14:textId="77777777" w:rsidR="0095531A" w:rsidRPr="00FE190C" w:rsidRDefault="0095531A" w:rsidP="0095531A">
                  <w:pPr>
                    <w:rPr>
                      <w:rFonts w:ascii="Times New Roman" w:eastAsia="Times New Roman" w:hAnsi="Times New Roman" w:cs="Times New Roman"/>
                      <w:lang w:eastAsia="lv-LV"/>
                    </w:rPr>
                  </w:pPr>
                </w:p>
                <w:p w14:paraId="433B58FB" w14:textId="77777777" w:rsidR="0095531A" w:rsidRPr="00FE190C" w:rsidRDefault="0095531A" w:rsidP="0095531A">
                  <w:pPr>
                    <w:rPr>
                      <w:rFonts w:ascii="Times New Roman" w:eastAsia="Times New Roman" w:hAnsi="Times New Roman" w:cs="Times New Roman"/>
                      <w:lang w:eastAsia="lv-LV"/>
                    </w:rPr>
                  </w:pPr>
                </w:p>
                <w:p w14:paraId="3E2C6D5E" w14:textId="77777777" w:rsidR="0095531A" w:rsidRPr="00FE190C" w:rsidRDefault="0095531A" w:rsidP="0095531A">
                  <w:pPr>
                    <w:rPr>
                      <w:rFonts w:ascii="Times New Roman" w:eastAsia="Times New Roman" w:hAnsi="Times New Roman" w:cs="Times New Roman"/>
                      <w:lang w:eastAsia="lv-LV"/>
                    </w:rPr>
                  </w:pPr>
                </w:p>
                <w:p w14:paraId="60EA84F2" w14:textId="77777777" w:rsidR="0095531A" w:rsidRPr="00FE190C" w:rsidRDefault="0095531A" w:rsidP="0095531A">
                  <w:pPr>
                    <w:rPr>
                      <w:rFonts w:ascii="Times New Roman" w:eastAsia="Times New Roman" w:hAnsi="Times New Roman" w:cs="Times New Roman"/>
                      <w:lang w:eastAsia="lv-LV"/>
                    </w:rPr>
                  </w:pPr>
                </w:p>
                <w:p w14:paraId="01EFBC3B" w14:textId="77777777" w:rsidR="0095531A" w:rsidRPr="00FE190C" w:rsidRDefault="0095531A" w:rsidP="0095531A">
                  <w:pPr>
                    <w:rPr>
                      <w:rFonts w:ascii="Times New Roman" w:eastAsia="Times New Roman" w:hAnsi="Times New Roman" w:cs="Times New Roman"/>
                      <w:lang w:eastAsia="lv-LV"/>
                    </w:rPr>
                  </w:pPr>
                </w:p>
                <w:p w14:paraId="6D57255E" w14:textId="77777777" w:rsidR="0095531A" w:rsidRPr="00FE190C" w:rsidRDefault="0095531A" w:rsidP="0095531A">
                  <w:pPr>
                    <w:rPr>
                      <w:rFonts w:ascii="Times New Roman" w:eastAsia="Times New Roman" w:hAnsi="Times New Roman" w:cs="Times New Roman"/>
                      <w:lang w:eastAsia="lv-LV"/>
                    </w:rPr>
                  </w:pPr>
                </w:p>
                <w:p w14:paraId="3F43AF72" w14:textId="77777777" w:rsidR="0095531A" w:rsidRPr="00FE190C" w:rsidRDefault="0095531A" w:rsidP="0095531A">
                  <w:pPr>
                    <w:rPr>
                      <w:rFonts w:ascii="Times New Roman" w:eastAsia="Times New Roman" w:hAnsi="Times New Roman" w:cs="Times New Roman"/>
                      <w:lang w:eastAsia="lv-LV"/>
                    </w:rPr>
                  </w:pPr>
                </w:p>
                <w:p w14:paraId="1C9F5F97" w14:textId="77777777" w:rsidR="0095531A" w:rsidRPr="00FE190C" w:rsidRDefault="0095531A" w:rsidP="00DD3605">
                  <w:pPr>
                    <w:jc w:val="center"/>
                    <w:rPr>
                      <w:rFonts w:ascii="Times New Roman" w:eastAsia="Times New Roman" w:hAnsi="Times New Roman" w:cs="Times New Roman"/>
                      <w:lang w:eastAsia="lv-LV"/>
                    </w:rPr>
                  </w:pPr>
                </w:p>
                <w:p w14:paraId="38470E14" w14:textId="77777777" w:rsidR="0095531A" w:rsidRPr="00FE190C" w:rsidRDefault="0095531A" w:rsidP="0095531A">
                  <w:pPr>
                    <w:rPr>
                      <w:rFonts w:ascii="Times New Roman" w:eastAsia="Times New Roman" w:hAnsi="Times New Roman" w:cs="Times New Roman"/>
                      <w:lang w:eastAsia="lv-LV"/>
                    </w:rPr>
                  </w:pPr>
                </w:p>
                <w:p w14:paraId="5FB5E129" w14:textId="77777777" w:rsidR="0095531A" w:rsidRPr="00FE190C" w:rsidRDefault="0095531A" w:rsidP="0095531A">
                  <w:pPr>
                    <w:rPr>
                      <w:rFonts w:ascii="Times New Roman" w:eastAsia="Times New Roman" w:hAnsi="Times New Roman" w:cs="Times New Roman"/>
                      <w:lang w:eastAsia="lv-LV"/>
                    </w:rPr>
                  </w:pPr>
                </w:p>
                <w:p w14:paraId="138A94F9" w14:textId="77777777" w:rsidR="0095531A" w:rsidRPr="00FE190C" w:rsidRDefault="0095531A" w:rsidP="0095531A">
                  <w:pPr>
                    <w:rPr>
                      <w:rFonts w:ascii="Times New Roman" w:eastAsia="Times New Roman" w:hAnsi="Times New Roman" w:cs="Times New Roman"/>
                      <w:lang w:eastAsia="lv-LV"/>
                    </w:rPr>
                  </w:pPr>
                </w:p>
                <w:p w14:paraId="7E9A6E11" w14:textId="77777777" w:rsidR="0095531A" w:rsidRPr="00FE190C" w:rsidRDefault="0095531A" w:rsidP="0095531A">
                  <w:pPr>
                    <w:rPr>
                      <w:rFonts w:ascii="Times New Roman" w:eastAsia="Times New Roman" w:hAnsi="Times New Roman" w:cs="Times New Roman"/>
                      <w:lang w:eastAsia="lv-LV"/>
                    </w:rPr>
                  </w:pPr>
                </w:p>
                <w:p w14:paraId="3A55FC8B" w14:textId="77777777" w:rsidR="0095531A" w:rsidRPr="00FE190C" w:rsidRDefault="0095531A" w:rsidP="0095531A">
                  <w:pPr>
                    <w:rPr>
                      <w:rFonts w:ascii="Times New Roman" w:eastAsia="Times New Roman" w:hAnsi="Times New Roman" w:cs="Times New Roman"/>
                      <w:lang w:eastAsia="lv-LV"/>
                    </w:rPr>
                  </w:pPr>
                </w:p>
                <w:p w14:paraId="7A0F2DA2" w14:textId="3EA5FFC3" w:rsidR="00D57E2F" w:rsidRPr="00FE190C" w:rsidRDefault="00D57E2F" w:rsidP="0095531A">
                  <w:pPr>
                    <w:rPr>
                      <w:rFonts w:ascii="Times New Roman" w:eastAsia="Times New Roman" w:hAnsi="Times New Roman" w:cs="Times New Roman"/>
                      <w:lang w:eastAsia="lv-LV"/>
                    </w:rPr>
                  </w:pPr>
                </w:p>
                <w:p w14:paraId="2D45E764" w14:textId="77777777" w:rsidR="00D57E2F" w:rsidRPr="00FE190C" w:rsidRDefault="00D57E2F" w:rsidP="00D57E2F">
                  <w:pPr>
                    <w:rPr>
                      <w:rFonts w:ascii="Times New Roman" w:eastAsia="Times New Roman" w:hAnsi="Times New Roman" w:cs="Times New Roman"/>
                      <w:lang w:eastAsia="lv-LV"/>
                    </w:rPr>
                  </w:pPr>
                </w:p>
                <w:p w14:paraId="140CEB22" w14:textId="77777777" w:rsidR="00D57E2F" w:rsidRPr="00FE190C" w:rsidRDefault="00D57E2F" w:rsidP="00D57E2F">
                  <w:pPr>
                    <w:rPr>
                      <w:rFonts w:ascii="Times New Roman" w:eastAsia="Times New Roman" w:hAnsi="Times New Roman" w:cs="Times New Roman"/>
                      <w:lang w:eastAsia="lv-LV"/>
                    </w:rPr>
                  </w:pPr>
                </w:p>
                <w:p w14:paraId="3026E72C" w14:textId="77777777" w:rsidR="00D57E2F" w:rsidRPr="00FE190C" w:rsidRDefault="00D57E2F" w:rsidP="00D57E2F">
                  <w:pPr>
                    <w:rPr>
                      <w:rFonts w:ascii="Times New Roman" w:eastAsia="Times New Roman" w:hAnsi="Times New Roman" w:cs="Times New Roman"/>
                      <w:lang w:eastAsia="lv-LV"/>
                    </w:rPr>
                  </w:pPr>
                </w:p>
                <w:p w14:paraId="34359B08" w14:textId="77777777" w:rsidR="00D57E2F" w:rsidRPr="00FE190C" w:rsidRDefault="00D57E2F" w:rsidP="00D57E2F">
                  <w:pPr>
                    <w:rPr>
                      <w:rFonts w:ascii="Times New Roman" w:eastAsia="Times New Roman" w:hAnsi="Times New Roman" w:cs="Times New Roman"/>
                      <w:lang w:eastAsia="lv-LV"/>
                    </w:rPr>
                  </w:pPr>
                </w:p>
                <w:p w14:paraId="3B1305C0" w14:textId="77777777" w:rsidR="00D57E2F" w:rsidRPr="00FE190C" w:rsidRDefault="00D57E2F" w:rsidP="00D57E2F">
                  <w:pPr>
                    <w:rPr>
                      <w:rFonts w:ascii="Times New Roman" w:eastAsia="Times New Roman" w:hAnsi="Times New Roman" w:cs="Times New Roman"/>
                      <w:lang w:eastAsia="lv-LV"/>
                    </w:rPr>
                  </w:pPr>
                </w:p>
                <w:p w14:paraId="4CD87569" w14:textId="77777777" w:rsidR="00D57E2F" w:rsidRPr="00FE190C" w:rsidRDefault="00D57E2F" w:rsidP="00D57E2F">
                  <w:pPr>
                    <w:rPr>
                      <w:rFonts w:ascii="Times New Roman" w:eastAsia="Times New Roman" w:hAnsi="Times New Roman" w:cs="Times New Roman"/>
                      <w:lang w:eastAsia="lv-LV"/>
                    </w:rPr>
                  </w:pPr>
                </w:p>
                <w:p w14:paraId="0151A340" w14:textId="63D065A6" w:rsidR="00A97E7D" w:rsidRPr="00FE190C" w:rsidRDefault="00A97E7D" w:rsidP="00D57E2F">
                  <w:pPr>
                    <w:rPr>
                      <w:rFonts w:ascii="Times New Roman" w:eastAsia="Times New Roman" w:hAnsi="Times New Roman" w:cs="Times New Roman"/>
                      <w:lang w:eastAsia="lv-LV"/>
                    </w:rPr>
                  </w:pPr>
                </w:p>
              </w:tc>
              <w:tc>
                <w:tcPr>
                  <w:tcW w:w="3224" w:type="pct"/>
                  <w:hideMark/>
                </w:tcPr>
                <w:p w14:paraId="42E0236E" w14:textId="60FE84AF" w:rsidR="00203F33" w:rsidRPr="00FE190C" w:rsidRDefault="002E1BC4" w:rsidP="002E1BC4">
                  <w:pPr>
                    <w:ind w:right="115" w:firstLine="557"/>
                    <w:jc w:val="both"/>
                    <w:rPr>
                      <w:rFonts w:ascii="Times New Roman" w:hAnsi="Times New Roman" w:cs="Times New Roman"/>
                      <w:color w:val="000000"/>
                    </w:rPr>
                  </w:pPr>
                  <w:r w:rsidRPr="00FE190C">
                    <w:rPr>
                      <w:rFonts w:ascii="Times New Roman" w:hAnsi="Times New Roman" w:cs="Times New Roman"/>
                      <w:color w:val="000000"/>
                    </w:rPr>
                    <w:t xml:space="preserve">Direktīva 2011/83/ES Latvijas tiesību aktos </w:t>
                  </w:r>
                  <w:r w:rsidR="00752ECC">
                    <w:rPr>
                      <w:rFonts w:ascii="Times New Roman" w:hAnsi="Times New Roman" w:cs="Times New Roman"/>
                      <w:color w:val="000000"/>
                    </w:rPr>
                    <w:t>ir</w:t>
                  </w:r>
                  <w:r w:rsidRPr="00FE190C">
                    <w:rPr>
                      <w:rFonts w:ascii="Times New Roman" w:hAnsi="Times New Roman" w:cs="Times New Roman"/>
                      <w:color w:val="000000"/>
                    </w:rPr>
                    <w:t xml:space="preserve"> ieviesta ar</w:t>
                  </w:r>
                  <w:r w:rsidR="00203F33" w:rsidRPr="00FE190C">
                    <w:rPr>
                      <w:rFonts w:ascii="Times New Roman" w:hAnsi="Times New Roman" w:cs="Times New Roman"/>
                      <w:color w:val="000000"/>
                    </w:rPr>
                    <w:t xml:space="preserve">: </w:t>
                  </w:r>
                </w:p>
                <w:p w14:paraId="11C7D6E6" w14:textId="77777777" w:rsidR="00203F33" w:rsidRPr="00FE190C" w:rsidRDefault="00203F33" w:rsidP="002E1BC4">
                  <w:pPr>
                    <w:ind w:right="115" w:firstLine="557"/>
                    <w:jc w:val="both"/>
                    <w:rPr>
                      <w:rFonts w:ascii="Times New Roman" w:hAnsi="Times New Roman" w:cs="Times New Roman"/>
                      <w:color w:val="000000"/>
                    </w:rPr>
                  </w:pPr>
                  <w:r w:rsidRPr="00FE190C">
                    <w:rPr>
                      <w:rFonts w:ascii="Times New Roman" w:hAnsi="Times New Roman" w:cs="Times New Roman"/>
                      <w:color w:val="000000"/>
                    </w:rPr>
                    <w:t xml:space="preserve">1) </w:t>
                  </w:r>
                  <w:r w:rsidR="002E1BC4" w:rsidRPr="00FE190C">
                    <w:rPr>
                      <w:rFonts w:ascii="Times New Roman" w:hAnsi="Times New Roman" w:cs="Times New Roman"/>
                      <w:color w:val="000000"/>
                    </w:rPr>
                    <w:t xml:space="preserve"> 2014.gada 24.aprīļa likumu “Grozījumi Patērētāju tiesību aizsardzības likumā”, </w:t>
                  </w:r>
                </w:p>
                <w:p w14:paraId="0D02DDD4" w14:textId="35B0FF68" w:rsidR="00203F33" w:rsidRPr="00FE190C" w:rsidRDefault="00203F33" w:rsidP="002E1BC4">
                  <w:pPr>
                    <w:ind w:right="115" w:firstLine="557"/>
                    <w:jc w:val="both"/>
                    <w:rPr>
                      <w:rFonts w:ascii="Times New Roman" w:hAnsi="Times New Roman" w:cs="Times New Roman"/>
                      <w:color w:val="000000"/>
                    </w:rPr>
                  </w:pPr>
                  <w:r w:rsidRPr="00FE190C">
                    <w:rPr>
                      <w:rFonts w:ascii="Times New Roman" w:hAnsi="Times New Roman" w:cs="Times New Roman"/>
                      <w:color w:val="000000"/>
                    </w:rPr>
                    <w:t xml:space="preserve">2) </w:t>
                  </w:r>
                  <w:r w:rsidR="002E1BC4" w:rsidRPr="00FE190C">
                    <w:rPr>
                      <w:rFonts w:ascii="Times New Roman" w:hAnsi="Times New Roman" w:cs="Times New Roman"/>
                      <w:color w:val="000000"/>
                    </w:rPr>
                    <w:t>Ministru kabineta 2014.gada 20.maija noteikumiem Nr.254 “Noteikumi par līgumu, kas nos</w:t>
                  </w:r>
                  <w:r w:rsidRPr="00FE190C">
                    <w:rPr>
                      <w:rFonts w:ascii="Times New Roman" w:hAnsi="Times New Roman" w:cs="Times New Roman"/>
                      <w:color w:val="000000"/>
                    </w:rPr>
                    <w:t xml:space="preserve">lēgts ārpus </w:t>
                  </w:r>
                  <w:r w:rsidR="004A21CD" w:rsidRPr="00FE190C">
                    <w:rPr>
                      <w:rFonts w:ascii="Times New Roman" w:hAnsi="Times New Roman" w:cs="Times New Roman"/>
                      <w:color w:val="000000"/>
                    </w:rPr>
                    <w:t>pastāvīgās tirdzniecības vai pakalpojumu sniegšanas vietas</w:t>
                  </w:r>
                  <w:r w:rsidRPr="00FE190C">
                    <w:rPr>
                      <w:rFonts w:ascii="Times New Roman" w:hAnsi="Times New Roman" w:cs="Times New Roman"/>
                      <w:color w:val="000000"/>
                    </w:rPr>
                    <w:t>”;</w:t>
                  </w:r>
                </w:p>
                <w:p w14:paraId="6CBFCDA9" w14:textId="4D711A12" w:rsidR="002E1BC4" w:rsidRPr="00FE190C" w:rsidRDefault="00203F33" w:rsidP="002E1BC4">
                  <w:pPr>
                    <w:ind w:right="115" w:firstLine="557"/>
                    <w:jc w:val="both"/>
                    <w:rPr>
                      <w:rFonts w:ascii="Times New Roman" w:hAnsi="Times New Roman" w:cs="Times New Roman"/>
                      <w:color w:val="000000"/>
                    </w:rPr>
                  </w:pPr>
                  <w:r w:rsidRPr="00FE190C">
                    <w:rPr>
                      <w:rFonts w:ascii="Times New Roman" w:hAnsi="Times New Roman" w:cs="Times New Roman"/>
                      <w:color w:val="000000"/>
                    </w:rPr>
                    <w:t xml:space="preserve">3) </w:t>
                  </w:r>
                  <w:r w:rsidR="002E1BC4" w:rsidRPr="00FE190C">
                    <w:rPr>
                      <w:rFonts w:ascii="Times New Roman" w:hAnsi="Times New Roman" w:cs="Times New Roman"/>
                      <w:color w:val="000000"/>
                    </w:rPr>
                    <w:t xml:space="preserve">Ministru kabineta 2014.gada 20.maija noteikumiem Nr.255 “Noteikumi par distances līgumiem”. </w:t>
                  </w:r>
                </w:p>
                <w:p w14:paraId="350221B7" w14:textId="44CDE7FD" w:rsidR="009C76E1" w:rsidRPr="00FE190C" w:rsidRDefault="002E1BC4" w:rsidP="009C76E1">
                  <w:pPr>
                    <w:ind w:right="115" w:firstLine="557"/>
                    <w:jc w:val="both"/>
                    <w:rPr>
                      <w:rFonts w:ascii="Times New Roman" w:hAnsi="Times New Roman" w:cs="Times New Roman"/>
                      <w:color w:val="000000"/>
                    </w:rPr>
                  </w:pPr>
                  <w:r w:rsidRPr="00FE190C">
                    <w:rPr>
                      <w:rFonts w:ascii="Times New Roman" w:hAnsi="Times New Roman" w:cs="Times New Roman"/>
                      <w:color w:val="000000"/>
                    </w:rPr>
                    <w:t>2015.gada 17.augustā</w:t>
                  </w:r>
                  <w:r w:rsidRPr="00FE190C">
                    <w:rPr>
                      <w:rFonts w:ascii="Times New Roman" w:hAnsi="Times New Roman" w:cs="Times New Roman"/>
                    </w:rPr>
                    <w:t xml:space="preserve"> </w:t>
                  </w:r>
                  <w:r w:rsidRPr="00FE190C">
                    <w:rPr>
                      <w:rFonts w:ascii="Times New Roman" w:hAnsi="Times New Roman" w:cs="Times New Roman"/>
                      <w:color w:val="000000"/>
                    </w:rPr>
                    <w:t xml:space="preserve">Ekonomikas ministrija saņēma Eiropas Komisijas 2015.gada 5.augusta informācijas pieprasījumu EU Pilot lietā Nr.7900/15/JUST par </w:t>
                  </w:r>
                  <w:r w:rsidR="007A4DCE" w:rsidRPr="00FE190C">
                    <w:rPr>
                      <w:rFonts w:ascii="Times New Roman" w:hAnsi="Times New Roman" w:cs="Times New Roman"/>
                      <w:color w:val="000000"/>
                    </w:rPr>
                    <w:t>D</w:t>
                  </w:r>
                  <w:r w:rsidRPr="00FE190C">
                    <w:rPr>
                      <w:rFonts w:ascii="Times New Roman" w:hAnsi="Times New Roman" w:cs="Times New Roman"/>
                      <w:color w:val="000000"/>
                    </w:rPr>
                    <w:t>irektīvas 2011/83/ES ieviešanu Latvijā, kurā norādīj</w:t>
                  </w:r>
                  <w:r w:rsidR="007A4DCE" w:rsidRPr="00FE190C">
                    <w:rPr>
                      <w:rFonts w:ascii="Times New Roman" w:hAnsi="Times New Roman" w:cs="Times New Roman"/>
                      <w:color w:val="000000"/>
                    </w:rPr>
                    <w:t>a uz nepilnībām, ieviešot D</w:t>
                  </w:r>
                  <w:r w:rsidRPr="00FE190C">
                    <w:rPr>
                      <w:rFonts w:ascii="Times New Roman" w:hAnsi="Times New Roman" w:cs="Times New Roman"/>
                      <w:color w:val="000000"/>
                    </w:rPr>
                    <w:t>irektīvu</w:t>
                  </w:r>
                  <w:r w:rsidR="007A4DCE" w:rsidRPr="00FE190C">
                    <w:rPr>
                      <w:rFonts w:ascii="Times New Roman" w:hAnsi="Times New Roman" w:cs="Times New Roman"/>
                      <w:color w:val="000000"/>
                    </w:rPr>
                    <w:t xml:space="preserve"> – 2011/83/ES</w:t>
                  </w:r>
                  <w:r w:rsidRPr="00FE190C">
                    <w:rPr>
                      <w:rFonts w:ascii="Times New Roman" w:hAnsi="Times New Roman" w:cs="Times New Roman"/>
                      <w:color w:val="000000"/>
                    </w:rPr>
                    <w:t>. Ņemot vērā iepriekšminēto, ir sagatavoti grozījumi Ministru kabineta 2014.gada 20.maija noteikumos Nr.25</w:t>
                  </w:r>
                  <w:r w:rsidR="00E9125B" w:rsidRPr="00FE190C">
                    <w:rPr>
                      <w:rFonts w:ascii="Times New Roman" w:hAnsi="Times New Roman" w:cs="Times New Roman"/>
                      <w:color w:val="000000"/>
                    </w:rPr>
                    <w:t>5</w:t>
                  </w:r>
                  <w:r w:rsidRPr="00FE190C">
                    <w:rPr>
                      <w:rFonts w:ascii="Times New Roman" w:hAnsi="Times New Roman" w:cs="Times New Roman"/>
                      <w:color w:val="000000"/>
                    </w:rPr>
                    <w:t xml:space="preserve"> “Noteikumi par</w:t>
                  </w:r>
                  <w:r w:rsidR="00E9125B" w:rsidRPr="00FE190C">
                    <w:rPr>
                      <w:rFonts w:ascii="Times New Roman" w:hAnsi="Times New Roman" w:cs="Times New Roman"/>
                      <w:color w:val="000000"/>
                    </w:rPr>
                    <w:t xml:space="preserve"> distances</w:t>
                  </w:r>
                  <w:r w:rsidRPr="00FE190C">
                    <w:rPr>
                      <w:rFonts w:ascii="Times New Roman" w:hAnsi="Times New Roman" w:cs="Times New Roman"/>
                      <w:color w:val="000000"/>
                    </w:rPr>
                    <w:t xml:space="preserve"> līgumu”, kas novērš Eiropas Komisijas EU Pilot lietā Nr.7</w:t>
                  </w:r>
                  <w:r w:rsidR="00697F03" w:rsidRPr="00FE190C">
                    <w:rPr>
                      <w:rFonts w:ascii="Times New Roman" w:hAnsi="Times New Roman" w:cs="Times New Roman"/>
                      <w:color w:val="000000"/>
                    </w:rPr>
                    <w:t>8</w:t>
                  </w:r>
                  <w:r w:rsidRPr="00FE190C">
                    <w:rPr>
                      <w:rFonts w:ascii="Times New Roman" w:hAnsi="Times New Roman" w:cs="Times New Roman"/>
                      <w:color w:val="000000"/>
                    </w:rPr>
                    <w:t xml:space="preserve">00/15/JUST minētās nepilnības. </w:t>
                  </w:r>
                </w:p>
                <w:p w14:paraId="78C01AF6" w14:textId="77777777" w:rsidR="009C76E1" w:rsidRPr="00FE190C" w:rsidRDefault="00F43B2B" w:rsidP="009C76E1">
                  <w:pPr>
                    <w:ind w:right="115" w:firstLine="557"/>
                    <w:jc w:val="both"/>
                    <w:rPr>
                      <w:rFonts w:ascii="Times New Roman" w:hAnsi="Times New Roman" w:cs="Times New Roman"/>
                      <w:color w:val="000000"/>
                    </w:rPr>
                  </w:pPr>
                  <w:r w:rsidRPr="00FE190C">
                    <w:rPr>
                      <w:rFonts w:ascii="Times New Roman" w:hAnsi="Times New Roman" w:cs="Times New Roman"/>
                      <w:color w:val="000000"/>
                    </w:rPr>
                    <w:t>Saskaņā ar Patērētāju tiesību aizsardzības likuma 10.panta pirmo daļu d</w:t>
                  </w:r>
                  <w:r w:rsidRPr="00FE190C">
                    <w:rPr>
                      <w:rFonts w:ascii="Times New Roman" w:hAnsi="Times New Roman" w:cs="Times New Roman"/>
                    </w:rPr>
                    <w:t>istances līgums ir patērētāja un pārdevēja vai pakalpojuma sniedzēja vienošanās, ko tie noslēguši, vienlaikus neatrodoties vienā un tajā pašā vietā, bet līdz līguma slēgšanas brīdim un līguma slēgšanas brīdī izmantojot vienu vai vairākus distances saziņas līdzekļus, kā arī organizētu preču pārdošanas vai pakalpojumu sniegšanas shēmu. Par distances saziņas līdzekļiem uzskatāmi tālrunis, tīmeklis, elektroniskais pasts, televīzija, fakss, katalogs, presē publicētās reklāmas, kurām pievienots pasūtījuma kupons, un citi informācijas nosūtīšanas un pārraidīšanas distances līdzekļi.</w:t>
                  </w:r>
                </w:p>
                <w:p w14:paraId="4A0196E9" w14:textId="67B08E32" w:rsidR="009C76E1" w:rsidRDefault="00C132FB" w:rsidP="009C76E1">
                  <w:pPr>
                    <w:ind w:right="115" w:firstLine="557"/>
                    <w:jc w:val="both"/>
                    <w:rPr>
                      <w:rFonts w:ascii="Times New Roman" w:hAnsi="Times New Roman" w:cs="Times New Roman"/>
                      <w:color w:val="000000"/>
                    </w:rPr>
                  </w:pPr>
                  <w:r w:rsidRPr="00FE190C">
                    <w:rPr>
                      <w:rFonts w:ascii="Times New Roman" w:hAnsi="Times New Roman" w:cs="Times New Roman"/>
                      <w:color w:val="000000"/>
                    </w:rPr>
                    <w:t xml:space="preserve">Noteikumu projekta 1.punkts </w:t>
                  </w:r>
                  <w:r w:rsidR="0094287B" w:rsidRPr="00FE190C">
                    <w:rPr>
                      <w:rFonts w:ascii="Times New Roman" w:hAnsi="Times New Roman" w:cs="Times New Roman"/>
                      <w:color w:val="000000"/>
                    </w:rPr>
                    <w:t>paredz precizēt noteikumu 2.7.apakšpunktā ietverto norādi uz finanšu pakalpojumiem</w:t>
                  </w:r>
                  <w:r w:rsidR="000C7E61" w:rsidRPr="00FE190C">
                    <w:rPr>
                      <w:rFonts w:ascii="Times New Roman" w:hAnsi="Times New Roman" w:cs="Times New Roman"/>
                      <w:color w:val="000000"/>
                    </w:rPr>
                    <w:t>,</w:t>
                  </w:r>
                  <w:r w:rsidR="0094287B" w:rsidRPr="00FE190C">
                    <w:rPr>
                      <w:rFonts w:ascii="Times New Roman" w:hAnsi="Times New Roman" w:cs="Times New Roman"/>
                      <w:color w:val="000000"/>
                    </w:rPr>
                    <w:t xml:space="preserve"> </w:t>
                  </w:r>
                  <w:r w:rsidR="007A4DCE" w:rsidRPr="00FE190C">
                    <w:rPr>
                      <w:rFonts w:ascii="Times New Roman" w:hAnsi="Times New Roman" w:cs="Times New Roman"/>
                      <w:color w:val="000000"/>
                    </w:rPr>
                    <w:t>atbilstoši D</w:t>
                  </w:r>
                  <w:r w:rsidR="00E963D0" w:rsidRPr="00FE190C">
                    <w:rPr>
                      <w:rFonts w:ascii="Times New Roman" w:hAnsi="Times New Roman" w:cs="Times New Roman"/>
                      <w:color w:val="000000"/>
                    </w:rPr>
                    <w:t>irektīvas 2011/83/ES</w:t>
                  </w:r>
                  <w:r w:rsidR="000C7E61" w:rsidRPr="00FE190C">
                    <w:rPr>
                      <w:rFonts w:ascii="Times New Roman" w:hAnsi="Times New Roman" w:cs="Times New Roman"/>
                      <w:color w:val="000000"/>
                    </w:rPr>
                    <w:t xml:space="preserve"> 2.panta 12.punktam</w:t>
                  </w:r>
                  <w:r w:rsidR="00025704" w:rsidRPr="00FE190C">
                    <w:rPr>
                      <w:rFonts w:ascii="Times New Roman" w:hAnsi="Times New Roman" w:cs="Times New Roman"/>
                      <w:color w:val="000000"/>
                    </w:rPr>
                    <w:t xml:space="preserve"> nosakot</w:t>
                  </w:r>
                  <w:r w:rsidR="0094287B" w:rsidRPr="00FE190C">
                    <w:rPr>
                      <w:rFonts w:ascii="Times New Roman" w:hAnsi="Times New Roman" w:cs="Times New Roman"/>
                      <w:color w:val="000000"/>
                    </w:rPr>
                    <w:t xml:space="preserve">, kādi pakalpojumi ir uzskatāmi par finanšu pakalpojumiem </w:t>
                  </w:r>
                  <w:r w:rsidR="00025704" w:rsidRPr="00FE190C">
                    <w:rPr>
                      <w:rFonts w:ascii="Times New Roman" w:hAnsi="Times New Roman" w:cs="Times New Roman"/>
                      <w:color w:val="000000"/>
                    </w:rPr>
                    <w:t>šo noteikumu</w:t>
                  </w:r>
                  <w:r w:rsidR="0094287B" w:rsidRPr="00FE190C">
                    <w:rPr>
                      <w:rFonts w:ascii="Times New Roman" w:hAnsi="Times New Roman" w:cs="Times New Roman"/>
                      <w:color w:val="000000"/>
                    </w:rPr>
                    <w:t xml:space="preserve"> izpratnē</w:t>
                  </w:r>
                  <w:r w:rsidR="00E963D0" w:rsidRPr="00FE190C">
                    <w:rPr>
                      <w:rFonts w:ascii="Times New Roman" w:hAnsi="Times New Roman" w:cs="Times New Roman"/>
                      <w:color w:val="000000"/>
                    </w:rPr>
                    <w:t>, t.i. -</w:t>
                  </w:r>
                  <w:r w:rsidR="0094287B" w:rsidRPr="00FE190C">
                    <w:rPr>
                      <w:rFonts w:ascii="Times New Roman" w:hAnsi="Times New Roman" w:cs="Times New Roman"/>
                      <w:color w:val="000000"/>
                    </w:rPr>
                    <w:t xml:space="preserve"> kredītiestādes, kreditēšanas (arī patērētāju kreditēšanas), apdrošināšanas, privāto pensiju, ieguldījumu vai maksājumu pakalpojumi. </w:t>
                  </w:r>
                </w:p>
                <w:p w14:paraId="4599ED75" w14:textId="55F411F6" w:rsidR="00FC1B7F" w:rsidRPr="00FE190C" w:rsidRDefault="00FC1B7F" w:rsidP="009C76E1">
                  <w:pPr>
                    <w:ind w:right="115" w:firstLine="557"/>
                    <w:jc w:val="both"/>
                    <w:rPr>
                      <w:rFonts w:ascii="Times New Roman" w:hAnsi="Times New Roman" w:cs="Times New Roman"/>
                      <w:color w:val="000000"/>
                    </w:rPr>
                  </w:pPr>
                  <w:r>
                    <w:rPr>
                      <w:rFonts w:ascii="Times New Roman" w:hAnsi="Times New Roman" w:cs="Times New Roman"/>
                      <w:color w:val="000000"/>
                    </w:rPr>
                    <w:t>Noteikumu proj</w:t>
                  </w:r>
                  <w:r w:rsidR="00752ECC">
                    <w:rPr>
                      <w:rFonts w:ascii="Times New Roman" w:hAnsi="Times New Roman" w:cs="Times New Roman"/>
                      <w:color w:val="000000"/>
                    </w:rPr>
                    <w:t>ek</w:t>
                  </w:r>
                  <w:r>
                    <w:rPr>
                      <w:rFonts w:ascii="Times New Roman" w:hAnsi="Times New Roman" w:cs="Times New Roman"/>
                      <w:color w:val="000000"/>
                    </w:rPr>
                    <w:t>ts precizēt noteikumu 2.10.punktu, nosakot, ka noteikumu prasības nav piemērojamas tiem līgumiem, ko sagatavojis notārs, tiesu izpildītājs vai cita valsts amatpersonai pielīdzināma persona.</w:t>
                  </w:r>
                </w:p>
                <w:p w14:paraId="32AC3140" w14:textId="4ADC03D8" w:rsidR="009C76E1" w:rsidRPr="00FE190C" w:rsidRDefault="001561B0" w:rsidP="009C76E1">
                  <w:pPr>
                    <w:ind w:right="115" w:firstLine="557"/>
                    <w:jc w:val="both"/>
                    <w:rPr>
                      <w:rFonts w:ascii="Times New Roman" w:hAnsi="Times New Roman" w:cs="Times New Roman"/>
                      <w:color w:val="000000"/>
                    </w:rPr>
                  </w:pPr>
                  <w:r w:rsidRPr="00FE190C">
                    <w:rPr>
                      <w:rFonts w:ascii="Times New Roman" w:hAnsi="Times New Roman" w:cs="Times New Roman"/>
                      <w:color w:val="000000"/>
                    </w:rPr>
                    <w:t>Ņemot vērā, ka azartspēļu jomu regulē speciālās tiesību normas (Azartspēļu u</w:t>
                  </w:r>
                  <w:r w:rsidR="007A4DCE" w:rsidRPr="00FE190C">
                    <w:rPr>
                      <w:rFonts w:ascii="Times New Roman" w:hAnsi="Times New Roman" w:cs="Times New Roman"/>
                      <w:color w:val="000000"/>
                    </w:rPr>
                    <w:t>n izložu likums) un atbilstoši D</w:t>
                  </w:r>
                  <w:r w:rsidRPr="00FE190C">
                    <w:rPr>
                      <w:rFonts w:ascii="Times New Roman" w:hAnsi="Times New Roman" w:cs="Times New Roman"/>
                      <w:color w:val="000000"/>
                    </w:rPr>
                    <w:t xml:space="preserve">irektīvas 2011/83/ES </w:t>
                  </w:r>
                  <w:r w:rsidRPr="00FE190C">
                    <w:rPr>
                      <w:rFonts w:ascii="Times New Roman" w:hAnsi="Times New Roman" w:cs="Times New Roman"/>
                      <w:color w:val="000000"/>
                    </w:rPr>
                    <w:lastRenderedPageBreak/>
                    <w:t xml:space="preserve">3.panta 3.punkta c) apakšpunktam, </w:t>
                  </w:r>
                  <w:r w:rsidR="00ED311F">
                    <w:rPr>
                      <w:rFonts w:ascii="Times New Roman" w:hAnsi="Times New Roman" w:cs="Times New Roman"/>
                      <w:color w:val="000000"/>
                    </w:rPr>
                    <w:t>n</w:t>
                  </w:r>
                  <w:r w:rsidR="00D57E2F" w:rsidRPr="00FE190C">
                    <w:rPr>
                      <w:rFonts w:ascii="Times New Roman" w:hAnsi="Times New Roman" w:cs="Times New Roman"/>
                    </w:rPr>
                    <w:t>ormatīvajos aktos azartspēles, izlozes vai loterijas var tikt iedalītas dažādi, tādēļ noteikumu projektā ir noteikts, ka noteikumi neattiecas uz tām azartspēlēm, izlozēm vai loterijām, kas ir minētas Azartspēļu un izložu likumā</w:t>
                  </w:r>
                  <w:r w:rsidR="00A617DF">
                    <w:rPr>
                      <w:rFonts w:ascii="Times New Roman" w:hAnsi="Times New Roman" w:cs="Times New Roman"/>
                    </w:rPr>
                    <w:t>.</w:t>
                  </w:r>
                </w:p>
                <w:p w14:paraId="2C5A5705" w14:textId="3A628C95" w:rsidR="009C76E1" w:rsidRPr="00FE190C" w:rsidRDefault="00FB751E" w:rsidP="009C76E1">
                  <w:pPr>
                    <w:ind w:right="115" w:firstLine="557"/>
                    <w:jc w:val="both"/>
                    <w:rPr>
                      <w:rFonts w:ascii="Times New Roman" w:hAnsi="Times New Roman" w:cs="Times New Roman"/>
                      <w:bCs/>
                      <w:iCs/>
                    </w:rPr>
                  </w:pPr>
                  <w:r w:rsidRPr="00FE190C">
                    <w:rPr>
                      <w:rFonts w:ascii="Times New Roman" w:hAnsi="Times New Roman" w:cs="Times New Roman"/>
                      <w:bCs/>
                      <w:iCs/>
                    </w:rPr>
                    <w:t>Saskaņā ar spēkā esošo noteikumu 5.3.apakšpunkta redakciju pārdevēj</w:t>
                  </w:r>
                  <w:r w:rsidR="00203F33" w:rsidRPr="00FE190C">
                    <w:rPr>
                      <w:rFonts w:ascii="Times New Roman" w:hAnsi="Times New Roman" w:cs="Times New Roman"/>
                      <w:bCs/>
                      <w:iCs/>
                    </w:rPr>
                    <w:t>am</w:t>
                  </w:r>
                  <w:r w:rsidRPr="00FE190C">
                    <w:rPr>
                      <w:rFonts w:ascii="Times New Roman" w:hAnsi="Times New Roman" w:cs="Times New Roman"/>
                      <w:bCs/>
                      <w:iCs/>
                    </w:rPr>
                    <w:t xml:space="preserve"> vai pakalpojumu sniedzējam ir pienākums sniegt patērētājam informāciju par pārdevēja vai pakalpojuma sniedzēja juridisko adresi, tālruņa un faksa numuru un elektroniskā pasta adresi, ja tāda ir</w:t>
                  </w:r>
                  <w:r w:rsidR="009E457A" w:rsidRPr="00FE190C">
                    <w:rPr>
                      <w:rFonts w:ascii="Times New Roman" w:hAnsi="Times New Roman" w:cs="Times New Roman"/>
                      <w:bCs/>
                      <w:iCs/>
                    </w:rPr>
                    <w:t xml:space="preserve">, tādējādi minētā norma netieši pārdevējam vai pakalpojuma sniedzējam uzliek pienākumu nodrošināt, </w:t>
                  </w:r>
                  <w:r w:rsidR="000C7E61" w:rsidRPr="00FE190C">
                    <w:rPr>
                      <w:rFonts w:ascii="Times New Roman" w:hAnsi="Times New Roman" w:cs="Times New Roman"/>
                      <w:bCs/>
                      <w:iCs/>
                    </w:rPr>
                    <w:t>lai</w:t>
                  </w:r>
                  <w:r w:rsidR="009E457A" w:rsidRPr="00FE190C">
                    <w:rPr>
                      <w:rFonts w:ascii="Times New Roman" w:hAnsi="Times New Roman" w:cs="Times New Roman"/>
                      <w:bCs/>
                      <w:iCs/>
                    </w:rPr>
                    <w:t xml:space="preserve"> ar pārdevēju vai pakalpojuma sniedzēju </w:t>
                  </w:r>
                  <w:r w:rsidR="000C7E61" w:rsidRPr="00FE190C">
                    <w:rPr>
                      <w:rFonts w:ascii="Times New Roman" w:hAnsi="Times New Roman" w:cs="Times New Roman"/>
                      <w:bCs/>
                      <w:iCs/>
                    </w:rPr>
                    <w:t>būtu</w:t>
                  </w:r>
                  <w:r w:rsidR="009E457A" w:rsidRPr="00FE190C">
                    <w:rPr>
                      <w:rFonts w:ascii="Times New Roman" w:hAnsi="Times New Roman" w:cs="Times New Roman"/>
                      <w:bCs/>
                      <w:iCs/>
                    </w:rPr>
                    <w:t xml:space="preserve"> iespējams sazināties pa tālruni vai faksu. Direktīvas</w:t>
                  </w:r>
                  <w:r w:rsidR="000C7E61" w:rsidRPr="00FE190C">
                    <w:rPr>
                      <w:rFonts w:ascii="Times New Roman" w:hAnsi="Times New Roman" w:cs="Times New Roman"/>
                      <w:bCs/>
                      <w:iCs/>
                    </w:rPr>
                    <w:t xml:space="preserve"> </w:t>
                  </w:r>
                  <w:r w:rsidR="000C7E61" w:rsidRPr="00FE190C">
                    <w:rPr>
                      <w:rFonts w:ascii="Times New Roman" w:hAnsi="Times New Roman" w:cs="Times New Roman"/>
                      <w:color w:val="000000"/>
                    </w:rPr>
                    <w:t>2011/83/ES</w:t>
                  </w:r>
                  <w:r w:rsidR="009E457A" w:rsidRPr="00FE190C">
                    <w:rPr>
                      <w:rFonts w:ascii="Times New Roman" w:hAnsi="Times New Roman" w:cs="Times New Roman"/>
                      <w:bCs/>
                      <w:iCs/>
                    </w:rPr>
                    <w:t xml:space="preserve"> 6.panta 1.punkta c) apakšpunkts šādu pienākumu pārdevējam vai pakalpojumu sniedzējam neuzliek. Ņemot vērā minēto, noteikumu pr</w:t>
                  </w:r>
                  <w:r w:rsidR="000C7E61" w:rsidRPr="00FE190C">
                    <w:rPr>
                      <w:rFonts w:ascii="Times New Roman" w:hAnsi="Times New Roman" w:cs="Times New Roman"/>
                      <w:bCs/>
                      <w:iCs/>
                    </w:rPr>
                    <w:t>ojekta</w:t>
                  </w:r>
                  <w:r w:rsidR="009E457A" w:rsidRPr="00FE190C">
                    <w:rPr>
                      <w:rFonts w:ascii="Times New Roman" w:hAnsi="Times New Roman" w:cs="Times New Roman"/>
                      <w:bCs/>
                      <w:iCs/>
                    </w:rPr>
                    <w:t xml:space="preserve"> </w:t>
                  </w:r>
                  <w:r w:rsidR="00752ECC">
                    <w:rPr>
                      <w:rFonts w:ascii="Times New Roman" w:hAnsi="Times New Roman" w:cs="Times New Roman"/>
                      <w:bCs/>
                      <w:iCs/>
                    </w:rPr>
                    <w:t>4</w:t>
                  </w:r>
                  <w:r w:rsidR="009E457A" w:rsidRPr="00FE190C">
                    <w:rPr>
                      <w:rFonts w:ascii="Times New Roman" w:hAnsi="Times New Roman" w:cs="Times New Roman"/>
                      <w:bCs/>
                      <w:iCs/>
                    </w:rPr>
                    <w:t>.punkts precizē noteikumu 5.3.apakšpunktu, nosakot, ka pārdevējs vai pakalpojumu sniedzējs sniedz informāciju par juridisko adresi un, ja attiecināms, tālruņa, faksa vai e-pasta adresi.</w:t>
                  </w:r>
                  <w:r w:rsidR="00E9125B" w:rsidRPr="00FE190C">
                    <w:rPr>
                      <w:rFonts w:ascii="Times New Roman" w:hAnsi="Times New Roman" w:cs="Times New Roman"/>
                      <w:bCs/>
                      <w:iCs/>
                    </w:rPr>
                    <w:t xml:space="preserve">   </w:t>
                  </w:r>
                </w:p>
                <w:p w14:paraId="2EB5784E" w14:textId="575C597D" w:rsidR="007A4DCE" w:rsidRPr="00FE190C" w:rsidRDefault="007A4DCE" w:rsidP="009C76E1">
                  <w:pPr>
                    <w:ind w:right="115" w:firstLine="557"/>
                    <w:jc w:val="both"/>
                    <w:rPr>
                      <w:rFonts w:ascii="Times New Roman" w:hAnsi="Times New Roman" w:cs="Times New Roman"/>
                      <w:color w:val="000000"/>
                    </w:rPr>
                  </w:pPr>
                  <w:r w:rsidRPr="00FE190C">
                    <w:rPr>
                      <w:rFonts w:ascii="Times New Roman" w:hAnsi="Times New Roman" w:cs="Times New Roman"/>
                      <w:bCs/>
                      <w:iCs/>
                    </w:rPr>
                    <w:t xml:space="preserve">Noteikumu projekta 5.11.apakspunktā ir noteikts, ka pārdevējs informē patērētāju par </w:t>
                  </w:r>
                  <w:r w:rsidRPr="00FE190C">
                    <w:rPr>
                      <w:rFonts w:ascii="Times New Roman" w:hAnsi="Times New Roman" w:cs="Times New Roman"/>
                    </w:rPr>
                    <w:t>to, ka atteikuma tiesību izmantošanas gadījumā patērētājs sedz ar preces atpakaļ atdošanu saistītās izmaksas, piemēram, pasta izdevumus, kurjera izdevumus, un, ja preci tās īpašību dēļ parasti nevar nosūtīt atpakaļ pa pastu, informācija par šo izmaksu apmēru.</w:t>
                  </w:r>
                </w:p>
                <w:p w14:paraId="3E8860C8" w14:textId="7407EB0E" w:rsidR="009C76E1" w:rsidRPr="00FE190C" w:rsidRDefault="00E9125B" w:rsidP="009C76E1">
                  <w:pPr>
                    <w:ind w:right="115" w:firstLine="557"/>
                    <w:jc w:val="both"/>
                    <w:rPr>
                      <w:rFonts w:ascii="Times New Roman" w:hAnsi="Times New Roman" w:cs="Times New Roman"/>
                      <w:color w:val="000000"/>
                    </w:rPr>
                  </w:pPr>
                  <w:r w:rsidRPr="00FE190C">
                    <w:rPr>
                      <w:rFonts w:ascii="Times New Roman" w:hAnsi="Times New Roman" w:cs="Times New Roman"/>
                      <w:bCs/>
                      <w:iCs/>
                    </w:rPr>
                    <w:t xml:space="preserve">Noteikumu projekts precizē noteikumu 5.14.apakšpunktu atbilstoši </w:t>
                  </w:r>
                  <w:r w:rsidR="007A4DCE" w:rsidRPr="00FE190C">
                    <w:rPr>
                      <w:rFonts w:ascii="Times New Roman" w:hAnsi="Times New Roman" w:cs="Times New Roman"/>
                      <w:bCs/>
                      <w:iCs/>
                    </w:rPr>
                    <w:t>D</w:t>
                  </w:r>
                  <w:r w:rsidRPr="00FE190C">
                    <w:rPr>
                      <w:rFonts w:ascii="Times New Roman" w:hAnsi="Times New Roman" w:cs="Times New Roman"/>
                      <w:bCs/>
                      <w:iCs/>
                    </w:rPr>
                    <w:t>irektīvas 2011/83/ES</w:t>
                  </w:r>
                  <w:r w:rsidR="002A4E27" w:rsidRPr="00FE190C">
                    <w:rPr>
                      <w:rFonts w:ascii="Times New Roman" w:hAnsi="Times New Roman" w:cs="Times New Roman"/>
                      <w:bCs/>
                      <w:iCs/>
                    </w:rPr>
                    <w:t xml:space="preserve"> 6.panta 1.punkta l) </w:t>
                  </w:r>
                  <w:r w:rsidRPr="00FE190C">
                    <w:rPr>
                      <w:rFonts w:ascii="Times New Roman" w:hAnsi="Times New Roman" w:cs="Times New Roman"/>
                      <w:bCs/>
                      <w:iCs/>
                    </w:rPr>
                    <w:t xml:space="preserve">apakšpunkta prasībām, saskaņā ar kurām pārdevējam vai pakalpojuma sniedzējam ir pienākums sniegt atgādinājumu par patērētāja likumīgajām tiesībām, tādējādi nodrošinot, ka pārdevējam vai pakalpojumu sniedzējam netiek uzlikts pienākums sniegt patērētājam visu tiesību aktos noteikto informāciju par patērētāja tiesībām, bet tikai atgādinājumu par </w:t>
                  </w:r>
                  <w:r w:rsidR="002A4E27" w:rsidRPr="00FE190C">
                    <w:rPr>
                      <w:rFonts w:ascii="Times New Roman" w:hAnsi="Times New Roman" w:cs="Times New Roman"/>
                      <w:bCs/>
                      <w:iCs/>
                    </w:rPr>
                    <w:t>tām</w:t>
                  </w:r>
                  <w:r w:rsidRPr="00FE190C">
                    <w:rPr>
                      <w:rFonts w:ascii="Times New Roman" w:hAnsi="Times New Roman" w:cs="Times New Roman"/>
                      <w:bCs/>
                      <w:iCs/>
                    </w:rPr>
                    <w:t xml:space="preserve">. </w:t>
                  </w:r>
                </w:p>
                <w:p w14:paraId="47BB2241" w14:textId="25D37874" w:rsidR="009C76E1" w:rsidRPr="00FE190C" w:rsidRDefault="001B6946" w:rsidP="009C76E1">
                  <w:pPr>
                    <w:ind w:right="115" w:firstLine="557"/>
                    <w:jc w:val="both"/>
                    <w:rPr>
                      <w:rFonts w:ascii="Times New Roman" w:hAnsi="Times New Roman" w:cs="Times New Roman"/>
                      <w:color w:val="000000"/>
                    </w:rPr>
                  </w:pPr>
                  <w:r w:rsidRPr="00FE190C">
                    <w:rPr>
                      <w:rFonts w:ascii="Times New Roman" w:hAnsi="Times New Roman" w:cs="Times New Roman"/>
                      <w:bCs/>
                      <w:iCs/>
                    </w:rPr>
                    <w:t>Noteikumu projekts paredz papildināt noteikumus</w:t>
                  </w:r>
                  <w:r w:rsidR="00774D92" w:rsidRPr="00FE190C">
                    <w:rPr>
                      <w:rFonts w:ascii="Times New Roman" w:hAnsi="Times New Roman" w:cs="Times New Roman"/>
                      <w:bCs/>
                      <w:iCs/>
                    </w:rPr>
                    <w:t xml:space="preserve"> ar jaunu 1</w:t>
                  </w:r>
                  <w:r w:rsidR="00840094" w:rsidRPr="00FE190C">
                    <w:rPr>
                      <w:rFonts w:ascii="Times New Roman" w:hAnsi="Times New Roman" w:cs="Times New Roman"/>
                      <w:bCs/>
                      <w:iCs/>
                    </w:rPr>
                    <w:t>9</w:t>
                  </w:r>
                  <w:r w:rsidR="003616CA" w:rsidRPr="00FE190C">
                    <w:rPr>
                      <w:rFonts w:ascii="Times New Roman" w:hAnsi="Times New Roman" w:cs="Times New Roman"/>
                      <w:bCs/>
                      <w:iCs/>
                    </w:rPr>
                    <w:t>.</w:t>
                  </w:r>
                  <w:r w:rsidR="00774D92" w:rsidRPr="00FE190C">
                    <w:rPr>
                      <w:rFonts w:ascii="Times New Roman" w:hAnsi="Times New Roman" w:cs="Times New Roman"/>
                      <w:bCs/>
                      <w:iCs/>
                      <w:vertAlign w:val="superscript"/>
                    </w:rPr>
                    <w:t>1</w:t>
                  </w:r>
                  <w:r w:rsidR="003616CA" w:rsidRPr="00FE190C">
                    <w:rPr>
                      <w:rFonts w:ascii="Times New Roman" w:hAnsi="Times New Roman" w:cs="Times New Roman"/>
                      <w:bCs/>
                      <w:iCs/>
                      <w:vertAlign w:val="superscript"/>
                    </w:rPr>
                    <w:t xml:space="preserve"> </w:t>
                  </w:r>
                  <w:r w:rsidR="00774D92" w:rsidRPr="00FE190C">
                    <w:rPr>
                      <w:rFonts w:ascii="Times New Roman" w:hAnsi="Times New Roman" w:cs="Times New Roman"/>
                      <w:bCs/>
                      <w:iCs/>
                    </w:rPr>
                    <w:t xml:space="preserve">punktu, lai nodrošinātu, ka gadījumos, kad </w:t>
                  </w:r>
                  <w:r w:rsidR="0095743E" w:rsidRPr="00FE190C">
                    <w:rPr>
                      <w:rFonts w:ascii="Times New Roman" w:hAnsi="Times New Roman" w:cs="Times New Roman"/>
                      <w:bCs/>
                      <w:iCs/>
                    </w:rPr>
                    <w:t>saskaņā ar līgumu tiek sniegts pakalpojums, gan pārdota prece</w:t>
                  </w:r>
                  <w:r w:rsidR="00774D92" w:rsidRPr="00FE190C">
                    <w:rPr>
                      <w:rFonts w:ascii="Times New Roman" w:hAnsi="Times New Roman" w:cs="Times New Roman"/>
                      <w:bCs/>
                      <w:iCs/>
                    </w:rPr>
                    <w:t>, atteikuma tiesību termiņ</w:t>
                  </w:r>
                  <w:r w:rsidR="00ED311F">
                    <w:rPr>
                      <w:rFonts w:ascii="Times New Roman" w:hAnsi="Times New Roman" w:cs="Times New Roman"/>
                      <w:bCs/>
                      <w:iCs/>
                    </w:rPr>
                    <w:t>š</w:t>
                  </w:r>
                  <w:r w:rsidR="00774D92" w:rsidRPr="00FE190C">
                    <w:rPr>
                      <w:rFonts w:ascii="Times New Roman" w:hAnsi="Times New Roman" w:cs="Times New Roman"/>
                      <w:bCs/>
                      <w:iCs/>
                    </w:rPr>
                    <w:t xml:space="preserve"> </w:t>
                  </w:r>
                  <w:r w:rsidR="00F4294A" w:rsidRPr="00FE190C">
                    <w:rPr>
                      <w:rFonts w:ascii="Times New Roman" w:hAnsi="Times New Roman" w:cs="Times New Roman"/>
                      <w:bCs/>
                      <w:iCs/>
                    </w:rPr>
                    <w:t>ir aprēķināms saskaņā ar noteikumiem, kas regulē preces vai preču piegādi (19.2., 19.3., 19.4., 19.5.apakšpunkts</w:t>
                  </w:r>
                  <w:r w:rsidR="00203F33" w:rsidRPr="00FE190C">
                    <w:rPr>
                      <w:rFonts w:ascii="Times New Roman" w:hAnsi="Times New Roman" w:cs="Times New Roman"/>
                      <w:bCs/>
                      <w:iCs/>
                    </w:rPr>
                    <w:t xml:space="preserve">), kā to nosaka </w:t>
                  </w:r>
                  <w:r w:rsidR="007A4DCE" w:rsidRPr="00FE190C">
                    <w:rPr>
                      <w:rFonts w:ascii="Times New Roman" w:hAnsi="Times New Roman" w:cs="Times New Roman"/>
                      <w:bCs/>
                      <w:iCs/>
                    </w:rPr>
                    <w:t>D</w:t>
                  </w:r>
                  <w:r w:rsidR="00203F33" w:rsidRPr="00FE190C">
                    <w:rPr>
                      <w:rFonts w:ascii="Times New Roman" w:hAnsi="Times New Roman" w:cs="Times New Roman"/>
                      <w:bCs/>
                      <w:iCs/>
                    </w:rPr>
                    <w:t>irektīvas 2011/83/ES 9.pant</w:t>
                  </w:r>
                  <w:r w:rsidRPr="00FE190C">
                    <w:rPr>
                      <w:rFonts w:ascii="Times New Roman" w:hAnsi="Times New Roman" w:cs="Times New Roman"/>
                      <w:bCs/>
                      <w:iCs/>
                    </w:rPr>
                    <w:t>a 2.punkta a) apakšpunkts</w:t>
                  </w:r>
                  <w:r w:rsidR="00203F33" w:rsidRPr="00FE190C">
                    <w:rPr>
                      <w:rFonts w:ascii="Times New Roman" w:hAnsi="Times New Roman" w:cs="Times New Roman"/>
                      <w:bCs/>
                      <w:iCs/>
                    </w:rPr>
                    <w:t>.</w:t>
                  </w:r>
                  <w:r w:rsidR="0095743E" w:rsidRPr="00FE190C">
                    <w:rPr>
                      <w:rFonts w:ascii="Times New Roman" w:hAnsi="Times New Roman" w:cs="Times New Roman"/>
                      <w:bCs/>
                      <w:iCs/>
                    </w:rPr>
                    <w:t xml:space="preserve"> Šādos gadījumos patērētājs ir tiesīgs atkāpties no līguma kopumā, t.i., atteikties gan no pakalpojuma, gan no preces.</w:t>
                  </w:r>
                  <w:r w:rsidR="00366031" w:rsidRPr="00FE190C">
                    <w:rPr>
                      <w:rFonts w:ascii="Times New Roman" w:hAnsi="Times New Roman" w:cs="Times New Roman"/>
                      <w:bCs/>
                      <w:iCs/>
                    </w:rPr>
                    <w:t xml:space="preserve"> </w:t>
                  </w:r>
                </w:p>
                <w:p w14:paraId="62D65A33" w14:textId="77777777" w:rsidR="009C76E1" w:rsidRPr="00FE190C" w:rsidRDefault="008351A8" w:rsidP="009C76E1">
                  <w:pPr>
                    <w:ind w:right="115" w:firstLine="557"/>
                    <w:jc w:val="both"/>
                    <w:rPr>
                      <w:rFonts w:ascii="Times New Roman" w:hAnsi="Times New Roman" w:cs="Times New Roman"/>
                      <w:color w:val="000000"/>
                    </w:rPr>
                  </w:pPr>
                  <w:r w:rsidRPr="00FE190C">
                    <w:rPr>
                      <w:rFonts w:ascii="Times New Roman" w:hAnsi="Times New Roman" w:cs="Times New Roman"/>
                      <w:bCs/>
                      <w:iCs/>
                    </w:rPr>
                    <w:t>Minētais pants tika papildināts, pamatojoties uz Direktīvas 2011/83/ES 2.panta 5.</w:t>
                  </w:r>
                  <w:r w:rsidRPr="00FE190C">
                    <w:rPr>
                      <w:rFonts w:ascii="Times New Roman" w:hAnsi="Times New Roman" w:cs="Times New Roman"/>
                    </w:rPr>
                    <w:t xml:space="preserve"> un 6.punktu, ņemot vērā, ka Civillikumā nav tāda termina kā </w:t>
                  </w:r>
                  <w:r w:rsidRPr="00FE190C">
                    <w:rPr>
                      <w:rFonts w:ascii="Times New Roman" w:hAnsi="Times New Roman" w:cs="Times New Roman"/>
                      <w:iCs/>
                    </w:rPr>
                    <w:t>pakalpojuma līgums</w:t>
                  </w:r>
                  <w:r w:rsidRPr="00FE190C">
                    <w:rPr>
                      <w:rFonts w:ascii="Times New Roman" w:hAnsi="Times New Roman" w:cs="Times New Roman"/>
                      <w:i/>
                      <w:iCs/>
                    </w:rPr>
                    <w:t>,</w:t>
                  </w:r>
                  <w:r w:rsidRPr="00FE190C">
                    <w:rPr>
                      <w:rFonts w:ascii="Times New Roman" w:hAnsi="Times New Roman" w:cs="Times New Roman"/>
                    </w:rPr>
                    <w:t xml:space="preserve"> citā veidā bija nepieciešams pārņemt Direktīvas 2011/83/ES prasības.</w:t>
                  </w:r>
                </w:p>
                <w:p w14:paraId="4EEA35CA" w14:textId="77777777" w:rsidR="00752ECC" w:rsidRPr="00FE190C" w:rsidRDefault="00752ECC" w:rsidP="00752ECC">
                  <w:pPr>
                    <w:ind w:right="115" w:firstLine="557"/>
                    <w:jc w:val="both"/>
                    <w:rPr>
                      <w:rFonts w:ascii="Times New Roman" w:hAnsi="Times New Roman" w:cs="Times New Roman"/>
                      <w:color w:val="000000"/>
                    </w:rPr>
                  </w:pPr>
                  <w:r>
                    <w:rPr>
                      <w:rFonts w:ascii="Times New Roman" w:hAnsi="Times New Roman" w:cs="Times New Roman"/>
                      <w:color w:val="000000"/>
                    </w:rPr>
                    <w:t xml:space="preserve">Noteikumu projekts </w:t>
                  </w:r>
                  <w:r w:rsidRPr="00FE190C">
                    <w:rPr>
                      <w:rFonts w:ascii="Times New Roman" w:hAnsi="Times New Roman" w:cs="Times New Roman"/>
                      <w:color w:val="000000"/>
                    </w:rPr>
                    <w:t>paredz papildināt noteikumus 19.</w:t>
                  </w:r>
                  <w:r w:rsidRPr="00752ECC">
                    <w:rPr>
                      <w:rFonts w:ascii="Times New Roman" w:hAnsi="Times New Roman" w:cs="Times New Roman"/>
                      <w:color w:val="000000"/>
                      <w:vertAlign w:val="superscript"/>
                    </w:rPr>
                    <w:t>1</w:t>
                  </w:r>
                  <w:r w:rsidRPr="00FE190C">
                    <w:rPr>
                      <w:rFonts w:ascii="Times New Roman" w:hAnsi="Times New Roman" w:cs="Times New Roman"/>
                      <w:color w:val="000000"/>
                    </w:rPr>
                    <w:t xml:space="preserve"> punktu, kurā ir noteikts, kad atteikuma tiesību termiņu sāk skaitīt līgumiem, kuros līguma priekšmets ietver gan preces pārdošanu, gan pakalpojuma sniegšanu. </w:t>
                  </w:r>
                </w:p>
                <w:p w14:paraId="0EC8D302" w14:textId="38E828DB" w:rsidR="009C76E1" w:rsidRPr="00FE190C" w:rsidRDefault="00FB5A29" w:rsidP="009C76E1">
                  <w:pPr>
                    <w:ind w:right="115" w:firstLine="557"/>
                    <w:jc w:val="both"/>
                    <w:rPr>
                      <w:rFonts w:ascii="Times New Roman" w:hAnsi="Times New Roman" w:cs="Times New Roman"/>
                      <w:bCs/>
                      <w:iCs/>
                    </w:rPr>
                  </w:pPr>
                  <w:r w:rsidRPr="00FE190C">
                    <w:rPr>
                      <w:rFonts w:ascii="Times New Roman" w:hAnsi="Times New Roman" w:cs="Times New Roman"/>
                      <w:bCs/>
                      <w:iCs/>
                    </w:rPr>
                    <w:t xml:space="preserve">Noteikumu projekta </w:t>
                  </w:r>
                  <w:r w:rsidR="00752ECC">
                    <w:rPr>
                      <w:rFonts w:ascii="Times New Roman" w:hAnsi="Times New Roman" w:cs="Times New Roman"/>
                      <w:bCs/>
                      <w:iCs/>
                    </w:rPr>
                    <w:t>8</w:t>
                  </w:r>
                  <w:r w:rsidRPr="00FE190C">
                    <w:rPr>
                      <w:rFonts w:ascii="Times New Roman" w:hAnsi="Times New Roman" w:cs="Times New Roman"/>
                      <w:bCs/>
                      <w:iCs/>
                    </w:rPr>
                    <w:t xml:space="preserve">.punkts precizē noteikumu </w:t>
                  </w:r>
                  <w:r w:rsidR="00840094" w:rsidRPr="00FE190C">
                    <w:rPr>
                      <w:rFonts w:ascii="Times New Roman" w:hAnsi="Times New Roman" w:cs="Times New Roman"/>
                      <w:bCs/>
                      <w:iCs/>
                    </w:rPr>
                    <w:t>20</w:t>
                  </w:r>
                  <w:r w:rsidRPr="00FE190C">
                    <w:rPr>
                      <w:rFonts w:ascii="Times New Roman" w:hAnsi="Times New Roman" w:cs="Times New Roman"/>
                      <w:bCs/>
                      <w:iCs/>
                    </w:rPr>
                    <w:t>.punktu ar mērķi noteikt, ka gadījumos, kad patērētājs nav saņēmis noteikumu 5.10.apakšpun</w:t>
                  </w:r>
                  <w:r w:rsidR="001B6946" w:rsidRPr="00FE190C">
                    <w:rPr>
                      <w:rFonts w:ascii="Times New Roman" w:hAnsi="Times New Roman" w:cs="Times New Roman"/>
                      <w:bCs/>
                      <w:iCs/>
                    </w:rPr>
                    <w:t>ktā</w:t>
                  </w:r>
                  <w:r w:rsidRPr="00FE190C">
                    <w:rPr>
                      <w:rFonts w:ascii="Times New Roman" w:hAnsi="Times New Roman" w:cs="Times New Roman"/>
                      <w:bCs/>
                      <w:iCs/>
                    </w:rPr>
                    <w:t xml:space="preserve"> minēto informāciju, patērētājs ir tiesīgs izmantot atteikuma tiesības viena gada un četrpadsmit dienu laikā (un nevis viena gada laikā, kā to nosaka spēkā esošā</w:t>
                  </w:r>
                  <w:r w:rsidR="00FC12E3" w:rsidRPr="00FE190C">
                    <w:rPr>
                      <w:rFonts w:ascii="Times New Roman" w:hAnsi="Times New Roman" w:cs="Times New Roman"/>
                      <w:bCs/>
                      <w:iCs/>
                    </w:rPr>
                    <w:t xml:space="preserve"> noteikumu</w:t>
                  </w:r>
                  <w:r w:rsidRPr="00FE190C">
                    <w:rPr>
                      <w:rFonts w:ascii="Times New Roman" w:hAnsi="Times New Roman" w:cs="Times New Roman"/>
                      <w:bCs/>
                      <w:iCs/>
                    </w:rPr>
                    <w:t xml:space="preserve"> </w:t>
                  </w:r>
                  <w:r w:rsidR="00840094" w:rsidRPr="00FE190C">
                    <w:rPr>
                      <w:rFonts w:ascii="Times New Roman" w:hAnsi="Times New Roman" w:cs="Times New Roman"/>
                      <w:bCs/>
                      <w:iCs/>
                    </w:rPr>
                    <w:t>20</w:t>
                  </w:r>
                  <w:r w:rsidRPr="00FE190C">
                    <w:rPr>
                      <w:rFonts w:ascii="Times New Roman" w:hAnsi="Times New Roman" w:cs="Times New Roman"/>
                      <w:bCs/>
                      <w:iCs/>
                    </w:rPr>
                    <w:t xml:space="preserve">.punkta redakcija). </w:t>
                  </w:r>
                </w:p>
                <w:p w14:paraId="034B4CF1" w14:textId="7A527AF2" w:rsidR="00000609" w:rsidRDefault="00000609" w:rsidP="004E270D">
                  <w:pPr>
                    <w:ind w:right="115" w:firstLine="557"/>
                    <w:jc w:val="both"/>
                    <w:rPr>
                      <w:rFonts w:ascii="Times New Roman" w:hAnsi="Times New Roman" w:cs="Times New Roman"/>
                      <w:color w:val="000000"/>
                    </w:rPr>
                  </w:pPr>
                  <w:r>
                    <w:rPr>
                      <w:rFonts w:ascii="Times New Roman" w:hAnsi="Times New Roman" w:cs="Times New Roman"/>
                      <w:color w:val="000000"/>
                    </w:rPr>
                    <w:lastRenderedPageBreak/>
                    <w:t xml:space="preserve">Noteikumu projekta 9.punkts papildina noteikumu 22.1.punktu, paredzot, ka konkrētais punkts neattiecas uz līgumiem, </w:t>
                  </w:r>
                  <w:r w:rsidRPr="00FE190C">
                    <w:rPr>
                      <w:rFonts w:ascii="Times New Roman" w:hAnsi="Times New Roman" w:cs="Times New Roman"/>
                      <w:color w:val="000000"/>
                    </w:rPr>
                    <w:t>kuros līguma priekšmets ietver gan preces pārdošanu, gan pakalpojuma sniegšanu</w:t>
                  </w:r>
                  <w:r>
                    <w:rPr>
                      <w:rFonts w:ascii="Times New Roman" w:hAnsi="Times New Roman" w:cs="Times New Roman"/>
                      <w:color w:val="000000"/>
                    </w:rPr>
                    <w:t>.</w:t>
                  </w:r>
                </w:p>
                <w:p w14:paraId="598F3DBE" w14:textId="24DDB691" w:rsidR="004E270D" w:rsidRDefault="002214E7" w:rsidP="004E270D">
                  <w:pPr>
                    <w:ind w:right="115" w:firstLine="557"/>
                    <w:jc w:val="both"/>
                    <w:rPr>
                      <w:rFonts w:ascii="Times New Roman" w:hAnsi="Times New Roman" w:cs="Times New Roman"/>
                      <w:color w:val="000000"/>
                    </w:rPr>
                  </w:pPr>
                  <w:r w:rsidRPr="00FE190C">
                    <w:rPr>
                      <w:rFonts w:ascii="Times New Roman" w:hAnsi="Times New Roman" w:cs="Times New Roman"/>
                      <w:bCs/>
                      <w:iCs/>
                    </w:rPr>
                    <w:t xml:space="preserve">Saskaņā ar </w:t>
                  </w:r>
                  <w:r w:rsidRPr="00FE190C">
                    <w:rPr>
                      <w:rFonts w:ascii="Times New Roman" w:hAnsi="Times New Roman" w:cs="Times New Roman"/>
                      <w:color w:val="000000"/>
                    </w:rPr>
                    <w:t>Ministru kabineta 2014.gada 20.maija noteikum</w:t>
                  </w:r>
                  <w:r w:rsidR="005C79F0" w:rsidRPr="00FE190C">
                    <w:rPr>
                      <w:rFonts w:ascii="Times New Roman" w:hAnsi="Times New Roman" w:cs="Times New Roman"/>
                      <w:color w:val="000000"/>
                    </w:rPr>
                    <w:t>u</w:t>
                  </w:r>
                  <w:r w:rsidRPr="00FE190C">
                    <w:rPr>
                      <w:rFonts w:ascii="Times New Roman" w:hAnsi="Times New Roman" w:cs="Times New Roman"/>
                      <w:color w:val="000000"/>
                    </w:rPr>
                    <w:t xml:space="preserve"> Nr.255 “Noteikumi par distances līgumu” 22.3.apakšpunktu atteikumu tiesības nav izmantojamas, ja prece tiek </w:t>
                  </w:r>
                  <w:proofErr w:type="spellStart"/>
                  <w:r w:rsidRPr="00FE190C">
                    <w:rPr>
                      <w:rFonts w:ascii="Times New Roman" w:hAnsi="Times New Roman" w:cs="Times New Roman"/>
                      <w:color w:val="000000"/>
                    </w:rPr>
                    <w:t>izgatavatota</w:t>
                  </w:r>
                  <w:proofErr w:type="spellEnd"/>
                  <w:r w:rsidRPr="00FE190C">
                    <w:rPr>
                      <w:rFonts w:ascii="Times New Roman" w:hAnsi="Times New Roman" w:cs="Times New Roman"/>
                      <w:color w:val="000000"/>
                    </w:rPr>
                    <w:t xml:space="preserve"> pēc patērētāja norādījumiem vai prece ir nepārprotami personalizēta. Attiecībā uz minēto apakšpunktu norādāms, ka, ja prece ir izgatavota iepriekš un, piemēram, salikta kopā pēc patērētāja norādījumiem (piemēram, saliekamā māja), tad šādos gadījumos patērētājs ir tiesīgs izmantot atteikuma tiesības.</w:t>
                  </w:r>
                  <w:r w:rsidR="004E270D">
                    <w:rPr>
                      <w:rFonts w:ascii="Times New Roman" w:hAnsi="Times New Roman" w:cs="Times New Roman"/>
                      <w:color w:val="000000"/>
                    </w:rPr>
                    <w:t xml:space="preserve"> </w:t>
                  </w:r>
                </w:p>
                <w:p w14:paraId="01AB138E" w14:textId="527D5AE9" w:rsidR="00790102" w:rsidRPr="004E270D" w:rsidRDefault="00790102" w:rsidP="004E270D">
                  <w:pPr>
                    <w:ind w:right="115" w:firstLine="557"/>
                    <w:jc w:val="both"/>
                    <w:rPr>
                      <w:rFonts w:ascii="Times New Roman" w:hAnsi="Times New Roman" w:cs="Times New Roman"/>
                      <w:color w:val="000000"/>
                    </w:rPr>
                  </w:pPr>
                </w:p>
              </w:tc>
            </w:tr>
            <w:tr w:rsidR="0057037A" w:rsidRPr="00FE190C" w14:paraId="0FC36326" w14:textId="77777777" w:rsidTr="0036293E">
              <w:trPr>
                <w:trHeight w:val="465"/>
                <w:tblCellSpacing w:w="15" w:type="dxa"/>
              </w:trPr>
              <w:tc>
                <w:tcPr>
                  <w:tcW w:w="237" w:type="pct"/>
                  <w:hideMark/>
                </w:tcPr>
                <w:p w14:paraId="4ABA74B8" w14:textId="7AD36262" w:rsidR="00A97E7D" w:rsidRPr="00FE190C" w:rsidRDefault="00A97E7D" w:rsidP="00544C0B">
                  <w:pPr>
                    <w:jc w:val="cente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lastRenderedPageBreak/>
                    <w:t>3.</w:t>
                  </w:r>
                </w:p>
              </w:tc>
              <w:tc>
                <w:tcPr>
                  <w:tcW w:w="1474" w:type="pct"/>
                  <w:hideMark/>
                </w:tcPr>
                <w:p w14:paraId="5A79C924" w14:textId="727EB14A" w:rsidR="00A97E7D" w:rsidRPr="00FE190C" w:rsidRDefault="00A97E7D" w:rsidP="008B232C">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Projekta izstrādē iesaistītās institūcijas</w:t>
                  </w:r>
                </w:p>
              </w:tc>
              <w:tc>
                <w:tcPr>
                  <w:tcW w:w="3224" w:type="pct"/>
                  <w:hideMark/>
                </w:tcPr>
                <w:p w14:paraId="0D26421F" w14:textId="0DE62A7E" w:rsidR="00A97E7D" w:rsidRPr="00FE190C" w:rsidRDefault="003256F1" w:rsidP="00544C0B">
                  <w:pPr>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Patērētāju tiesību aizsardzības centrs</w:t>
                  </w:r>
                </w:p>
              </w:tc>
            </w:tr>
            <w:tr w:rsidR="0057037A" w:rsidRPr="00FE190C" w14:paraId="0EE3967E" w14:textId="77777777" w:rsidTr="0036293E">
              <w:trPr>
                <w:tblCellSpacing w:w="15" w:type="dxa"/>
              </w:trPr>
              <w:tc>
                <w:tcPr>
                  <w:tcW w:w="237" w:type="pct"/>
                  <w:hideMark/>
                </w:tcPr>
                <w:p w14:paraId="55BF7202" w14:textId="77777777" w:rsidR="00A97E7D" w:rsidRPr="00FE190C" w:rsidRDefault="00A97E7D" w:rsidP="00544C0B">
                  <w:pPr>
                    <w:jc w:val="cente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4.</w:t>
                  </w:r>
                </w:p>
              </w:tc>
              <w:tc>
                <w:tcPr>
                  <w:tcW w:w="1474" w:type="pct"/>
                  <w:hideMark/>
                </w:tcPr>
                <w:p w14:paraId="2C85A253"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Cita informācija</w:t>
                  </w:r>
                </w:p>
              </w:tc>
              <w:tc>
                <w:tcPr>
                  <w:tcW w:w="3224" w:type="pct"/>
                  <w:hideMark/>
                </w:tcPr>
                <w:p w14:paraId="29C607EC" w14:textId="77777777" w:rsidR="007A4DCE" w:rsidRPr="00FE190C" w:rsidRDefault="007A4DCE" w:rsidP="007A4DCE">
                  <w:pPr>
                    <w:pStyle w:val="Normal1"/>
                    <w:jc w:val="both"/>
                    <w:rPr>
                      <w:rFonts w:ascii="Times New Roman" w:hAnsi="Times New Roman"/>
                      <w:color w:val="000000"/>
                    </w:rPr>
                  </w:pPr>
                  <w:r w:rsidRPr="00FE190C">
                    <w:rPr>
                      <w:rFonts w:ascii="Times New Roman" w:hAnsi="Times New Roman"/>
                    </w:rPr>
                    <w:t xml:space="preserve">Citi </w:t>
                  </w:r>
                  <w:r w:rsidRPr="00FE190C">
                    <w:rPr>
                      <w:rFonts w:ascii="Times New Roman" w:hAnsi="Times New Roman"/>
                      <w:color w:val="000000"/>
                    </w:rPr>
                    <w:t>Eiropas Komisijas EU Pilot lietā Nr.7800/15/JUST norādītie iebildumi, precizējot citus normatīvos aktus, tika saskaņoti:</w:t>
                  </w:r>
                </w:p>
                <w:p w14:paraId="2D2ABEAE" w14:textId="77777777" w:rsidR="007A4DCE" w:rsidRPr="00FE190C" w:rsidRDefault="007A4DCE" w:rsidP="007A4DCE">
                  <w:pPr>
                    <w:pStyle w:val="Normal1"/>
                    <w:numPr>
                      <w:ilvl w:val="0"/>
                      <w:numId w:val="2"/>
                    </w:numPr>
                    <w:jc w:val="both"/>
                    <w:rPr>
                      <w:rFonts w:ascii="Times New Roman" w:hAnsi="Times New Roman"/>
                    </w:rPr>
                  </w:pPr>
                  <w:r w:rsidRPr="00FE190C">
                    <w:rPr>
                      <w:rFonts w:ascii="Times New Roman" w:hAnsi="Times New Roman"/>
                    </w:rPr>
                    <w:t xml:space="preserve">Definīcijas: </w:t>
                  </w:r>
                </w:p>
                <w:p w14:paraId="5BE1D9CC" w14:textId="77777777" w:rsidR="007A4DCE" w:rsidRPr="00FE190C" w:rsidRDefault="007A4DCE" w:rsidP="007A4DCE">
                  <w:pPr>
                    <w:pStyle w:val="Normal1"/>
                    <w:numPr>
                      <w:ilvl w:val="0"/>
                      <w:numId w:val="3"/>
                    </w:numPr>
                    <w:jc w:val="both"/>
                    <w:rPr>
                      <w:rFonts w:ascii="Times New Roman" w:hAnsi="Times New Roman"/>
                    </w:rPr>
                  </w:pPr>
                  <w:r w:rsidRPr="00FE190C">
                    <w:rPr>
                      <w:rFonts w:ascii="Times New Roman" w:hAnsi="Times New Roman"/>
                    </w:rPr>
                    <w:t>“pēc patērētāja specifikācijām izgatavota prece” – Latvija uzskatīja, ka iebildums nav pamatots;</w:t>
                  </w:r>
                </w:p>
                <w:p w14:paraId="026D56FB" w14:textId="77777777" w:rsidR="007A4DCE" w:rsidRPr="00FE190C" w:rsidRDefault="007A4DCE" w:rsidP="007A4DCE">
                  <w:pPr>
                    <w:pStyle w:val="Normal1"/>
                    <w:numPr>
                      <w:ilvl w:val="0"/>
                      <w:numId w:val="3"/>
                    </w:numPr>
                    <w:jc w:val="both"/>
                    <w:rPr>
                      <w:rFonts w:ascii="Times New Roman" w:hAnsi="Times New Roman"/>
                    </w:rPr>
                  </w:pPr>
                  <w:r w:rsidRPr="00FE190C">
                    <w:rPr>
                      <w:rFonts w:ascii="Times New Roman" w:hAnsi="Times New Roman"/>
                    </w:rPr>
                    <w:t>“pārdošanas līgums” - Latvija uzskatīja, ka iebildums nav pamatots;</w:t>
                  </w:r>
                </w:p>
                <w:p w14:paraId="37AE95EE" w14:textId="77777777" w:rsidR="007A4DCE" w:rsidRPr="00FE190C" w:rsidRDefault="007A4DCE" w:rsidP="007A4DCE">
                  <w:pPr>
                    <w:pStyle w:val="Normal1"/>
                    <w:numPr>
                      <w:ilvl w:val="0"/>
                      <w:numId w:val="3"/>
                    </w:numPr>
                    <w:jc w:val="both"/>
                    <w:rPr>
                      <w:rFonts w:ascii="Times New Roman" w:hAnsi="Times New Roman"/>
                    </w:rPr>
                  </w:pPr>
                  <w:r w:rsidRPr="00FE190C">
                    <w:rPr>
                      <w:rFonts w:ascii="Times New Roman" w:hAnsi="Times New Roman"/>
                    </w:rPr>
                    <w:t>“pakalpojuma līgums” - Latvija uzskatīja, ka iebildums nav pamatots;</w:t>
                  </w:r>
                </w:p>
                <w:p w14:paraId="3FBA8E86" w14:textId="77777777" w:rsidR="007A4DCE" w:rsidRPr="00FE190C" w:rsidRDefault="007A4DCE" w:rsidP="007A4DCE">
                  <w:pPr>
                    <w:pStyle w:val="Normal1"/>
                    <w:numPr>
                      <w:ilvl w:val="0"/>
                      <w:numId w:val="3"/>
                    </w:numPr>
                    <w:ind w:right="7"/>
                    <w:jc w:val="both"/>
                    <w:rPr>
                      <w:rFonts w:ascii="Times New Roman" w:hAnsi="Times New Roman"/>
                    </w:rPr>
                  </w:pPr>
                  <w:r w:rsidRPr="00FE190C">
                    <w:rPr>
                      <w:rFonts w:ascii="Times New Roman" w:hAnsi="Times New Roman"/>
                    </w:rPr>
                    <w:t>“finanšu pakalpojums” - Latvija uzskatīja, ka iebildums ir daļēji pamatots. Precizēts Ministru kabineta 2014.gada 20.maija noteikumu Nr.254 “Noteikumi par līgumu, kas noslēgts ārpus uzņēmuma telpām” 2.7.apakšpunkts un Ministru kabineta 2014.gada 20.maija noteikumu Nr.255 “Noteikumi par distances līgumiem” 2.7.apakšpunkts;</w:t>
                  </w:r>
                </w:p>
                <w:p w14:paraId="72FA8AF6" w14:textId="77777777" w:rsidR="007A4DCE" w:rsidRPr="00FE190C" w:rsidRDefault="007A4DCE" w:rsidP="007A4DCE">
                  <w:pPr>
                    <w:pStyle w:val="Normal1"/>
                    <w:numPr>
                      <w:ilvl w:val="0"/>
                      <w:numId w:val="3"/>
                    </w:numPr>
                    <w:jc w:val="both"/>
                    <w:rPr>
                      <w:rFonts w:ascii="Times New Roman" w:hAnsi="Times New Roman"/>
                    </w:rPr>
                  </w:pPr>
                  <w:r w:rsidRPr="00FE190C">
                    <w:rPr>
                      <w:rFonts w:ascii="Times New Roman" w:hAnsi="Times New Roman"/>
                    </w:rPr>
                    <w:t>“papildus līgums” – Precizēts Patērētāju tiesību aizsardzības likuma 12.panta (12) daļa;</w:t>
                  </w:r>
                </w:p>
                <w:p w14:paraId="10B1E8DF" w14:textId="77777777" w:rsidR="007A4DCE" w:rsidRPr="00FE190C" w:rsidRDefault="007A4DCE" w:rsidP="007A4DCE">
                  <w:pPr>
                    <w:pStyle w:val="Normal1"/>
                    <w:numPr>
                      <w:ilvl w:val="0"/>
                      <w:numId w:val="3"/>
                    </w:numPr>
                    <w:jc w:val="both"/>
                    <w:rPr>
                      <w:rFonts w:ascii="Times New Roman" w:hAnsi="Times New Roman"/>
                    </w:rPr>
                  </w:pPr>
                  <w:r w:rsidRPr="00FE190C">
                    <w:rPr>
                      <w:rFonts w:ascii="Times New Roman" w:hAnsi="Times New Roman"/>
                    </w:rPr>
                    <w:t>“uzņēmuma telpas” - Latvija uzskatīja, ka iebildums nav pamatots;</w:t>
                  </w:r>
                </w:p>
                <w:p w14:paraId="143F5CE6" w14:textId="77777777" w:rsidR="007A4DCE" w:rsidRPr="00FE190C" w:rsidRDefault="007A4DCE" w:rsidP="007A4DCE">
                  <w:pPr>
                    <w:pStyle w:val="Normal1"/>
                    <w:numPr>
                      <w:ilvl w:val="0"/>
                      <w:numId w:val="3"/>
                    </w:numPr>
                    <w:tabs>
                      <w:tab w:val="left" w:pos="1913"/>
                      <w:tab w:val="center" w:pos="4916"/>
                    </w:tabs>
                    <w:rPr>
                      <w:rFonts w:ascii="Times New Roman" w:hAnsi="Times New Roman"/>
                    </w:rPr>
                  </w:pPr>
                  <w:r w:rsidRPr="00FE190C">
                    <w:rPr>
                      <w:rFonts w:ascii="Times New Roman" w:hAnsi="Times New Roman"/>
                    </w:rPr>
                    <w:t>“atklāta izsole” - Latvija uzskatīja, ka iebildums nav pamatots;</w:t>
                  </w:r>
                  <w:r w:rsidRPr="00FE190C">
                    <w:rPr>
                      <w:rFonts w:ascii="Times New Roman" w:hAnsi="Times New Roman"/>
                    </w:rPr>
                    <w:tab/>
                  </w:r>
                  <w:r w:rsidRPr="00FE190C">
                    <w:rPr>
                      <w:rFonts w:ascii="Times New Roman" w:hAnsi="Times New Roman"/>
                    </w:rPr>
                    <w:tab/>
                  </w:r>
                  <w:r w:rsidRPr="00FE190C">
                    <w:rPr>
                      <w:rFonts w:ascii="Times New Roman" w:hAnsi="Times New Roman"/>
                    </w:rPr>
                    <w:tab/>
                  </w:r>
                </w:p>
                <w:p w14:paraId="5DDBABA2" w14:textId="77777777" w:rsidR="007A4DCE" w:rsidRPr="00FE190C" w:rsidRDefault="007A4DCE" w:rsidP="007A4DCE">
                  <w:pPr>
                    <w:pStyle w:val="Normal1"/>
                    <w:numPr>
                      <w:ilvl w:val="0"/>
                      <w:numId w:val="2"/>
                    </w:numPr>
                    <w:jc w:val="both"/>
                    <w:rPr>
                      <w:rFonts w:ascii="Times New Roman" w:hAnsi="Times New Roman"/>
                    </w:rPr>
                  </w:pPr>
                  <w:r w:rsidRPr="00FE190C">
                    <w:rPr>
                      <w:rFonts w:ascii="Times New Roman" w:hAnsi="Times New Roman"/>
                    </w:rPr>
                    <w:t>Direktīvas 2011/83/ES 3.panta 3.punkts. Precizēts Patērētāju tiesību aizsardzības likuma 4.</w:t>
                  </w:r>
                  <w:r w:rsidRPr="00FE190C">
                    <w:rPr>
                      <w:rFonts w:ascii="Times New Roman" w:hAnsi="Times New Roman"/>
                      <w:vertAlign w:val="superscript"/>
                    </w:rPr>
                    <w:t>1</w:t>
                  </w:r>
                  <w:r w:rsidRPr="00FE190C">
                    <w:rPr>
                      <w:rFonts w:ascii="Times New Roman" w:hAnsi="Times New Roman"/>
                    </w:rPr>
                    <w:t xml:space="preserve"> panta trešās daļas 10.punkts;</w:t>
                  </w:r>
                </w:p>
                <w:p w14:paraId="4F545C03" w14:textId="77777777" w:rsidR="007A4DCE" w:rsidRPr="00FE190C" w:rsidRDefault="007A4DCE" w:rsidP="007A4DCE">
                  <w:pPr>
                    <w:pStyle w:val="Normal1"/>
                    <w:numPr>
                      <w:ilvl w:val="0"/>
                      <w:numId w:val="2"/>
                    </w:numPr>
                    <w:jc w:val="both"/>
                    <w:rPr>
                      <w:rFonts w:ascii="Times New Roman" w:hAnsi="Times New Roman"/>
                    </w:rPr>
                  </w:pPr>
                  <w:r w:rsidRPr="00FE190C">
                    <w:rPr>
                      <w:rFonts w:ascii="Times New Roman" w:hAnsi="Times New Roman"/>
                    </w:rPr>
                    <w:t>Direktīvas 2011/83/ES 5.pants. Precizēts Patērētāju tiesību aizsardzības likuma 17.panta pirmās daļas 1. un 7.punkts;</w:t>
                  </w:r>
                </w:p>
                <w:p w14:paraId="725ACA16" w14:textId="77777777" w:rsidR="007A4DCE" w:rsidRPr="00FE190C" w:rsidRDefault="007A4DCE" w:rsidP="007A4DCE">
                  <w:pPr>
                    <w:pStyle w:val="Normal1"/>
                    <w:numPr>
                      <w:ilvl w:val="0"/>
                      <w:numId w:val="2"/>
                    </w:numPr>
                    <w:jc w:val="both"/>
                    <w:rPr>
                      <w:rFonts w:ascii="Times New Roman" w:hAnsi="Times New Roman"/>
                    </w:rPr>
                  </w:pPr>
                  <w:r w:rsidRPr="00FE190C">
                    <w:rPr>
                      <w:rFonts w:ascii="Times New Roman" w:hAnsi="Times New Roman"/>
                    </w:rPr>
                    <w:t>Direktīvas 2011/83/ES 6.pants. Precizēts Ministru kabineta 2014.gada 20.maija noteikumu Nr.254 “Noteikumi par līgumu, kas noslēgts ārpus uzņēmuma telpām” 5.3., 5.11., 5.14.apakšpunkts un 8.punkts un  Ministru kabineta 2014.gada 20.maija noteikumu Nr.255 “Noteikumi par distances līgumiem” 5.3., 5.11., 5.14.apakšpunkts un 8.punkts;</w:t>
                  </w:r>
                </w:p>
                <w:p w14:paraId="20079685" w14:textId="77777777" w:rsidR="007A4DCE" w:rsidRPr="00FE190C" w:rsidRDefault="007A4DCE" w:rsidP="007A4DCE">
                  <w:pPr>
                    <w:pStyle w:val="Normal1"/>
                    <w:numPr>
                      <w:ilvl w:val="0"/>
                      <w:numId w:val="2"/>
                    </w:numPr>
                    <w:jc w:val="both"/>
                    <w:rPr>
                      <w:rFonts w:ascii="Times New Roman" w:hAnsi="Times New Roman"/>
                    </w:rPr>
                  </w:pPr>
                  <w:r w:rsidRPr="00FE190C">
                    <w:rPr>
                      <w:rFonts w:ascii="Times New Roman" w:hAnsi="Times New Roman"/>
                    </w:rPr>
                    <w:t>Direktīvas 2011/83/ES 9.pants. Papildināti Ministru kabineta 2014.gada 20.maija noteikumu Nr.254 “Noteikumi par līgumu, kas noslēgts ārpus uzņēmuma telpām” ar 15.</w:t>
                  </w:r>
                  <w:r w:rsidRPr="00FE190C">
                    <w:rPr>
                      <w:rFonts w:ascii="Times New Roman" w:hAnsi="Times New Roman"/>
                      <w:vertAlign w:val="superscript"/>
                    </w:rPr>
                    <w:t>1</w:t>
                  </w:r>
                  <w:r w:rsidRPr="00FE190C">
                    <w:rPr>
                      <w:rFonts w:ascii="Times New Roman" w:hAnsi="Times New Roman"/>
                    </w:rPr>
                    <w:t xml:space="preserve"> punktu </w:t>
                  </w:r>
                  <w:r w:rsidRPr="00FE190C">
                    <w:rPr>
                      <w:rFonts w:ascii="Times New Roman" w:hAnsi="Times New Roman"/>
                    </w:rPr>
                    <w:lastRenderedPageBreak/>
                    <w:t>un  Ministru kabineta 2014.gada 20.maija noteikumu Nr.255 “Noteikumi par distances līgumiem” 19.</w:t>
                  </w:r>
                  <w:r w:rsidRPr="00FE190C">
                    <w:rPr>
                      <w:rFonts w:ascii="Times New Roman" w:hAnsi="Times New Roman"/>
                      <w:vertAlign w:val="superscript"/>
                    </w:rPr>
                    <w:t>1</w:t>
                  </w:r>
                  <w:r w:rsidRPr="00FE190C">
                    <w:rPr>
                      <w:rFonts w:ascii="Times New Roman" w:hAnsi="Times New Roman"/>
                    </w:rPr>
                    <w:t xml:space="preserve"> punktu;</w:t>
                  </w:r>
                </w:p>
                <w:p w14:paraId="5E262EC7" w14:textId="77777777" w:rsidR="007A4DCE" w:rsidRPr="00FE190C" w:rsidRDefault="007A4DCE" w:rsidP="007A4DCE">
                  <w:pPr>
                    <w:pStyle w:val="Normal1"/>
                    <w:numPr>
                      <w:ilvl w:val="0"/>
                      <w:numId w:val="2"/>
                    </w:numPr>
                    <w:jc w:val="both"/>
                    <w:rPr>
                      <w:rFonts w:ascii="Times New Roman" w:hAnsi="Times New Roman"/>
                    </w:rPr>
                  </w:pPr>
                  <w:r w:rsidRPr="00FE190C">
                    <w:rPr>
                      <w:rFonts w:ascii="Times New Roman" w:hAnsi="Times New Roman"/>
                    </w:rPr>
                    <w:t>Direktīvas 2011/83/ES 10.pants. Precizēts Ministru kabineta noteikumu “Noteikumi par distances līgumu” 20.punkts un Ministru kabineta noteikumu “Noteikumi par līgumu, kas noslēgts ārpus uzņēmuma telpām” 16.punkts;</w:t>
                  </w:r>
                </w:p>
                <w:p w14:paraId="79DD668D" w14:textId="77777777" w:rsidR="007A4DCE" w:rsidRPr="00FE190C" w:rsidRDefault="007A4DCE" w:rsidP="007A4DCE">
                  <w:pPr>
                    <w:pStyle w:val="Normal1"/>
                    <w:numPr>
                      <w:ilvl w:val="0"/>
                      <w:numId w:val="2"/>
                    </w:numPr>
                    <w:jc w:val="both"/>
                    <w:rPr>
                      <w:rFonts w:ascii="Times New Roman" w:hAnsi="Times New Roman"/>
                    </w:rPr>
                  </w:pPr>
                  <w:r w:rsidRPr="00FE190C">
                    <w:rPr>
                      <w:rFonts w:ascii="Times New Roman" w:hAnsi="Times New Roman"/>
                    </w:rPr>
                    <w:t>Direktīvas 2011/83/ES 14.pants. Precizēta Patērētāju tiesību aizsardzības likuma 12.panta (10) daļa;</w:t>
                  </w:r>
                </w:p>
                <w:p w14:paraId="3DB41C65" w14:textId="77777777" w:rsidR="007A4DCE" w:rsidRPr="00FE190C" w:rsidRDefault="007A4DCE" w:rsidP="007A4DCE">
                  <w:pPr>
                    <w:pStyle w:val="Normal1"/>
                    <w:numPr>
                      <w:ilvl w:val="0"/>
                      <w:numId w:val="2"/>
                    </w:numPr>
                    <w:jc w:val="both"/>
                    <w:rPr>
                      <w:rFonts w:ascii="Times New Roman" w:hAnsi="Times New Roman"/>
                    </w:rPr>
                  </w:pPr>
                  <w:r w:rsidRPr="00FE190C">
                    <w:rPr>
                      <w:rFonts w:ascii="Times New Roman" w:hAnsi="Times New Roman"/>
                    </w:rPr>
                    <w:t>Direktīvas 2011/83/ES 15.pants. Precizēta Patērētāju tiesību aizsardzības likuma 12.panta (12) daļa;</w:t>
                  </w:r>
                </w:p>
                <w:p w14:paraId="5D804976" w14:textId="77777777" w:rsidR="006F085F" w:rsidRPr="00FE190C" w:rsidRDefault="007A4DCE" w:rsidP="007A4DCE">
                  <w:pPr>
                    <w:pStyle w:val="Normal1"/>
                    <w:numPr>
                      <w:ilvl w:val="0"/>
                      <w:numId w:val="2"/>
                    </w:numPr>
                    <w:jc w:val="both"/>
                    <w:rPr>
                      <w:rFonts w:ascii="Times New Roman" w:hAnsi="Times New Roman"/>
                    </w:rPr>
                  </w:pPr>
                  <w:r w:rsidRPr="00FE190C">
                    <w:rPr>
                      <w:rFonts w:ascii="Times New Roman" w:hAnsi="Times New Roman"/>
                    </w:rPr>
                    <w:t>Direktīvas 2011/83/ES 16.pants. Latvija uzskatīja, ka iebildums nav pamatots;</w:t>
                  </w:r>
                </w:p>
                <w:p w14:paraId="2ECD23CF" w14:textId="1D8F1E0B" w:rsidR="00A97E7D" w:rsidRPr="00FE190C" w:rsidRDefault="007A4DCE" w:rsidP="007A4DCE">
                  <w:pPr>
                    <w:pStyle w:val="Normal1"/>
                    <w:numPr>
                      <w:ilvl w:val="0"/>
                      <w:numId w:val="2"/>
                    </w:numPr>
                    <w:jc w:val="both"/>
                    <w:rPr>
                      <w:rFonts w:ascii="Times New Roman" w:hAnsi="Times New Roman"/>
                      <w:b/>
                    </w:rPr>
                  </w:pPr>
                  <w:r w:rsidRPr="00FE190C">
                    <w:rPr>
                      <w:rFonts w:ascii="Times New Roman" w:hAnsi="Times New Roman"/>
                    </w:rPr>
                    <w:t>Direktīvas 2011/83/ES 25.pants. Latvija uzskatīja, ka iebildums nav pamatots.</w:t>
                  </w:r>
                </w:p>
              </w:tc>
            </w:tr>
          </w:tbl>
          <w:p w14:paraId="4C110E87"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lastRenderedPageBreak/>
              <w:t>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35"/>
              <w:gridCol w:w="3004"/>
              <w:gridCol w:w="6284"/>
            </w:tblGrid>
            <w:tr w:rsidR="0057037A" w:rsidRPr="00FE190C" w14:paraId="23DEDB04" w14:textId="77777777" w:rsidTr="0036293E">
              <w:trPr>
                <w:trHeight w:val="555"/>
                <w:tblCellSpacing w:w="15" w:type="dxa"/>
              </w:trPr>
              <w:tc>
                <w:tcPr>
                  <w:tcW w:w="4968" w:type="pct"/>
                  <w:gridSpan w:val="3"/>
                  <w:vAlign w:val="center"/>
                  <w:hideMark/>
                </w:tcPr>
                <w:p w14:paraId="45673812" w14:textId="77777777" w:rsidR="00A97E7D" w:rsidRPr="00FE190C" w:rsidRDefault="00A97E7D" w:rsidP="00544C0B">
                  <w:pPr>
                    <w:jc w:val="center"/>
                    <w:rPr>
                      <w:rFonts w:ascii="Times New Roman" w:eastAsia="Times New Roman" w:hAnsi="Times New Roman" w:cs="Times New Roman"/>
                      <w:b/>
                      <w:bCs/>
                      <w:lang w:eastAsia="lv-LV"/>
                    </w:rPr>
                  </w:pPr>
                  <w:r w:rsidRPr="00FE190C">
                    <w:rPr>
                      <w:rFonts w:ascii="Times New Roman" w:eastAsia="Times New Roman" w:hAnsi="Times New Roman" w:cs="Times New Roman"/>
                      <w:b/>
                      <w:bCs/>
                      <w:lang w:eastAsia="lv-LV"/>
                    </w:rPr>
                    <w:t>II. Tiesību akta projekta ietekme uz sabiedrību, tautsaimniecības attīstību un administratīvo slogu</w:t>
                  </w:r>
                </w:p>
              </w:tc>
            </w:tr>
            <w:tr w:rsidR="0057037A" w:rsidRPr="00FE190C" w14:paraId="2F469FD7" w14:textId="77777777" w:rsidTr="0036293E">
              <w:trPr>
                <w:trHeight w:val="465"/>
                <w:tblCellSpacing w:w="15" w:type="dxa"/>
              </w:trPr>
              <w:tc>
                <w:tcPr>
                  <w:tcW w:w="251" w:type="pct"/>
                  <w:hideMark/>
                </w:tcPr>
                <w:p w14:paraId="3784DF14"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1.</w:t>
                  </w:r>
                </w:p>
              </w:tc>
              <w:tc>
                <w:tcPr>
                  <w:tcW w:w="1523" w:type="pct"/>
                  <w:hideMark/>
                </w:tcPr>
                <w:p w14:paraId="7F6EC5B3"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 xml:space="preserve">Sabiedrības </w:t>
                  </w:r>
                  <w:proofErr w:type="spellStart"/>
                  <w:r w:rsidRPr="00FE190C">
                    <w:rPr>
                      <w:rFonts w:ascii="Times New Roman" w:eastAsia="Times New Roman" w:hAnsi="Times New Roman" w:cs="Times New Roman"/>
                      <w:lang w:eastAsia="lv-LV"/>
                    </w:rPr>
                    <w:t>mērķgrupas</w:t>
                  </w:r>
                  <w:proofErr w:type="spellEnd"/>
                  <w:r w:rsidRPr="00FE190C">
                    <w:rPr>
                      <w:rFonts w:ascii="Times New Roman" w:eastAsia="Times New Roman" w:hAnsi="Times New Roman" w:cs="Times New Roman"/>
                      <w:lang w:eastAsia="lv-LV"/>
                    </w:rPr>
                    <w:t>, kuras tiesiskais regulējums ietekmē vai varētu ietekmēt</w:t>
                  </w:r>
                </w:p>
              </w:tc>
              <w:tc>
                <w:tcPr>
                  <w:tcW w:w="3162" w:type="pct"/>
                  <w:hideMark/>
                </w:tcPr>
                <w:p w14:paraId="227CEB77" w14:textId="0E09AD3A" w:rsidR="00641CAB" w:rsidRPr="00FE190C" w:rsidRDefault="00641CAB" w:rsidP="00641CAB">
                  <w:pPr>
                    <w:jc w:val="both"/>
                    <w:rPr>
                      <w:rFonts w:ascii="Times New Roman" w:eastAsia="Calibri" w:hAnsi="Times New Roman" w:cs="Times New Roman"/>
                    </w:rPr>
                  </w:pPr>
                  <w:r w:rsidRPr="00FE190C">
                    <w:rPr>
                      <w:rFonts w:ascii="Times New Roman" w:eastAsia="Calibri" w:hAnsi="Times New Roman" w:cs="Times New Roman"/>
                    </w:rPr>
                    <w:t xml:space="preserve">Patērētāji (~ 2 miljoni Latvijas iedzīvotāju, kā arī, ņemot vērā </w:t>
                  </w:r>
                  <w:r w:rsidR="007A4DCE" w:rsidRPr="00FE190C">
                    <w:rPr>
                      <w:rFonts w:ascii="Times New Roman" w:eastAsia="Calibri" w:hAnsi="Times New Roman" w:cs="Times New Roman"/>
                    </w:rPr>
                    <w:t>D</w:t>
                  </w:r>
                  <w:r w:rsidRPr="00FE190C">
                    <w:rPr>
                      <w:rFonts w:ascii="Times New Roman" w:eastAsia="Calibri" w:hAnsi="Times New Roman" w:cs="Times New Roman"/>
                    </w:rPr>
                    <w:t xml:space="preserve">irektīvas </w:t>
                  </w:r>
                  <w:r w:rsidR="001B6946" w:rsidRPr="00FE190C">
                    <w:rPr>
                      <w:rFonts w:ascii="Times New Roman" w:eastAsia="Calibri" w:hAnsi="Times New Roman" w:cs="Times New Roman"/>
                    </w:rPr>
                    <w:t>2011/83/ES</w:t>
                  </w:r>
                  <w:r w:rsidRPr="00FE190C">
                    <w:rPr>
                      <w:rFonts w:ascii="Times New Roman" w:eastAsia="Calibri" w:hAnsi="Times New Roman" w:cs="Times New Roman"/>
                    </w:rPr>
                    <w:t xml:space="preserve"> mērķi – vienota Eiropas Savienības iekšējā tirgus izveidi – direktīvas ieviešana Latvijā skars arī ~ 503 miljonus ES patērētāju). </w:t>
                  </w:r>
                </w:p>
                <w:p w14:paraId="52F5BEA4" w14:textId="6622504E" w:rsidR="00641CAB" w:rsidRPr="00FE190C" w:rsidRDefault="00641CAB" w:rsidP="00641CAB">
                  <w:pPr>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Saimnieciskās darbības veicēji, kas piedāvā preces vai pakalpojumus patērētājiem</w:t>
                  </w:r>
                  <w:r w:rsidR="001B6946" w:rsidRPr="00FE190C">
                    <w:rPr>
                      <w:rFonts w:ascii="Times New Roman" w:eastAsia="Times New Roman" w:hAnsi="Times New Roman" w:cs="Times New Roman"/>
                      <w:lang w:eastAsia="lv-LV"/>
                    </w:rPr>
                    <w:t xml:space="preserve"> un slēdz</w:t>
                  </w:r>
                  <w:r w:rsidR="004C4A4D" w:rsidRPr="00FE190C">
                    <w:rPr>
                      <w:rFonts w:ascii="Times New Roman" w:eastAsia="Times New Roman" w:hAnsi="Times New Roman" w:cs="Times New Roman"/>
                      <w:lang w:eastAsia="lv-LV"/>
                    </w:rPr>
                    <w:t xml:space="preserve"> distances </w:t>
                  </w:r>
                  <w:r w:rsidRPr="00FE190C">
                    <w:rPr>
                      <w:rFonts w:ascii="Times New Roman" w:hAnsi="Times New Roman" w:cs="Times New Roman"/>
                      <w:color w:val="000000"/>
                    </w:rPr>
                    <w:t>līgumus</w:t>
                  </w:r>
                  <w:r w:rsidR="004C4A4D" w:rsidRPr="00FE190C">
                    <w:rPr>
                      <w:rFonts w:ascii="Times New Roman" w:hAnsi="Times New Roman" w:cs="Times New Roman"/>
                      <w:color w:val="000000"/>
                    </w:rPr>
                    <w:t xml:space="preserve">. </w:t>
                  </w:r>
                  <w:r w:rsidRPr="00FE190C">
                    <w:rPr>
                      <w:rFonts w:ascii="Times New Roman" w:hAnsi="Times New Roman" w:cs="Times New Roman"/>
                      <w:color w:val="000000"/>
                    </w:rPr>
                    <w:t xml:space="preserve"> </w:t>
                  </w:r>
                </w:p>
                <w:p w14:paraId="658120D5" w14:textId="46EE2348" w:rsidR="00641CAB" w:rsidRPr="00FE190C" w:rsidRDefault="00722F5C" w:rsidP="00641CAB">
                  <w:pPr>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 xml:space="preserve">Noteikumu projekts paredz precizēt </w:t>
                  </w:r>
                  <w:proofErr w:type="spellStart"/>
                  <w:r w:rsidRPr="00FE190C">
                    <w:rPr>
                      <w:rFonts w:ascii="Times New Roman" w:eastAsia="Times New Roman" w:hAnsi="Times New Roman" w:cs="Times New Roman"/>
                      <w:lang w:eastAsia="lv-LV"/>
                    </w:rPr>
                    <w:t>atsevšķas</w:t>
                  </w:r>
                  <w:proofErr w:type="spellEnd"/>
                  <w:r w:rsidRPr="00FE190C">
                    <w:rPr>
                      <w:rFonts w:ascii="Times New Roman" w:eastAsia="Times New Roman" w:hAnsi="Times New Roman" w:cs="Times New Roman"/>
                      <w:lang w:eastAsia="lv-LV"/>
                    </w:rPr>
                    <w:t xml:space="preserve"> nepilnības noteikumos, kuras nav vērtējamas kā būtiskas</w:t>
                  </w:r>
                  <w:r w:rsidR="00641CAB" w:rsidRPr="00FE190C">
                    <w:rPr>
                      <w:rFonts w:ascii="Times New Roman" w:eastAsia="Times New Roman" w:hAnsi="Times New Roman" w:cs="Times New Roman"/>
                      <w:lang w:eastAsia="lv-LV"/>
                    </w:rPr>
                    <w:t>.</w:t>
                  </w:r>
                </w:p>
                <w:p w14:paraId="57A35026" w14:textId="59270183" w:rsidR="00A97E7D" w:rsidRPr="00FE190C" w:rsidRDefault="00A97E7D" w:rsidP="005F2931">
                  <w:pPr>
                    <w:ind w:left="57" w:right="57"/>
                    <w:jc w:val="both"/>
                    <w:rPr>
                      <w:rFonts w:ascii="Times New Roman" w:eastAsia="Times New Roman" w:hAnsi="Times New Roman" w:cs="Times New Roman"/>
                      <w:lang w:eastAsia="lv-LV"/>
                    </w:rPr>
                  </w:pPr>
                </w:p>
              </w:tc>
            </w:tr>
            <w:tr w:rsidR="0057037A" w:rsidRPr="00FE190C" w14:paraId="53E7E011" w14:textId="77777777" w:rsidTr="0036293E">
              <w:trPr>
                <w:trHeight w:val="510"/>
                <w:tblCellSpacing w:w="15" w:type="dxa"/>
              </w:trPr>
              <w:tc>
                <w:tcPr>
                  <w:tcW w:w="251" w:type="pct"/>
                  <w:hideMark/>
                </w:tcPr>
                <w:p w14:paraId="436ED35F"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2.</w:t>
                  </w:r>
                </w:p>
              </w:tc>
              <w:tc>
                <w:tcPr>
                  <w:tcW w:w="1523" w:type="pct"/>
                  <w:hideMark/>
                </w:tcPr>
                <w:p w14:paraId="0DAFBC4E"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Tiesiskā regulējuma ietekme uz tautsaimniecību un administratīvo slogu</w:t>
                  </w:r>
                </w:p>
              </w:tc>
              <w:tc>
                <w:tcPr>
                  <w:tcW w:w="3162" w:type="pct"/>
                  <w:hideMark/>
                </w:tcPr>
                <w:p w14:paraId="29D7B92E" w14:textId="38C0F5C9" w:rsidR="00A45217" w:rsidRPr="00FE190C" w:rsidRDefault="00DE4B04" w:rsidP="00F46E5E">
                  <w:pPr>
                    <w:ind w:left="57" w:right="57"/>
                    <w:jc w:val="both"/>
                    <w:rPr>
                      <w:rFonts w:ascii="Times New Roman" w:eastAsia="Times New Roman" w:hAnsi="Times New Roman" w:cs="Times New Roman"/>
                      <w:lang w:eastAsia="lv-LV"/>
                    </w:rPr>
                  </w:pPr>
                  <w:r w:rsidRPr="00FE190C">
                    <w:rPr>
                      <w:rFonts w:ascii="Times New Roman" w:hAnsi="Times New Roman" w:cs="Times New Roman"/>
                      <w:iCs/>
                    </w:rPr>
                    <w:t>Projekts šo jomu neskar</w:t>
                  </w:r>
                </w:p>
              </w:tc>
            </w:tr>
            <w:tr w:rsidR="0057037A" w:rsidRPr="00FE190C" w14:paraId="0CE5EC06" w14:textId="77777777" w:rsidTr="0036293E">
              <w:trPr>
                <w:trHeight w:val="510"/>
                <w:tblCellSpacing w:w="15" w:type="dxa"/>
              </w:trPr>
              <w:tc>
                <w:tcPr>
                  <w:tcW w:w="251" w:type="pct"/>
                  <w:hideMark/>
                </w:tcPr>
                <w:p w14:paraId="018BDB86"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3.</w:t>
                  </w:r>
                </w:p>
              </w:tc>
              <w:tc>
                <w:tcPr>
                  <w:tcW w:w="1523" w:type="pct"/>
                  <w:hideMark/>
                </w:tcPr>
                <w:p w14:paraId="6D715402"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Administratīvo izmaksu monetārs novērtējums</w:t>
                  </w:r>
                </w:p>
              </w:tc>
              <w:tc>
                <w:tcPr>
                  <w:tcW w:w="3162" w:type="pct"/>
                  <w:hideMark/>
                </w:tcPr>
                <w:p w14:paraId="32A8B2F3" w14:textId="5DA1F669" w:rsidR="00171D2E" w:rsidRPr="00FE190C" w:rsidRDefault="00DE4B04" w:rsidP="005F2931">
                  <w:pPr>
                    <w:pStyle w:val="naiskr"/>
                    <w:spacing w:before="0" w:after="80"/>
                    <w:ind w:left="57" w:right="57"/>
                    <w:jc w:val="both"/>
                    <w:rPr>
                      <w:iCs/>
                      <w:sz w:val="22"/>
                      <w:szCs w:val="22"/>
                    </w:rPr>
                  </w:pPr>
                  <w:r w:rsidRPr="00FE190C">
                    <w:rPr>
                      <w:iCs/>
                      <w:sz w:val="22"/>
                      <w:szCs w:val="22"/>
                    </w:rPr>
                    <w:t>Projekts šo jomu neskar</w:t>
                  </w:r>
                </w:p>
              </w:tc>
            </w:tr>
            <w:tr w:rsidR="0057037A" w:rsidRPr="00FE190C" w14:paraId="2292874A" w14:textId="77777777" w:rsidTr="0036293E">
              <w:trPr>
                <w:trHeight w:val="345"/>
                <w:tblCellSpacing w:w="15" w:type="dxa"/>
              </w:trPr>
              <w:tc>
                <w:tcPr>
                  <w:tcW w:w="251" w:type="pct"/>
                  <w:hideMark/>
                </w:tcPr>
                <w:p w14:paraId="6B9C4A30" w14:textId="4D27EBE2"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4.</w:t>
                  </w:r>
                </w:p>
              </w:tc>
              <w:tc>
                <w:tcPr>
                  <w:tcW w:w="1523" w:type="pct"/>
                  <w:hideMark/>
                </w:tcPr>
                <w:p w14:paraId="65D7137D"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Cita informācija</w:t>
                  </w:r>
                </w:p>
              </w:tc>
              <w:tc>
                <w:tcPr>
                  <w:tcW w:w="3162" w:type="pct"/>
                  <w:hideMark/>
                </w:tcPr>
                <w:p w14:paraId="140518BB" w14:textId="01644F42" w:rsidR="00A97E7D" w:rsidRPr="00FE190C" w:rsidRDefault="007522CA" w:rsidP="008B232C">
                  <w:pPr>
                    <w:ind w:left="57" w:right="57"/>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Nav</w:t>
                  </w:r>
                </w:p>
              </w:tc>
            </w:tr>
          </w:tbl>
          <w:p w14:paraId="36CE8CF2" w14:textId="1A3D514F" w:rsidR="00722F5C"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 </w:t>
            </w:r>
          </w:p>
          <w:tbl>
            <w:tblPr>
              <w:tblW w:w="9819" w:type="dxa"/>
              <w:jc w:val="center"/>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1E0" w:firstRow="1" w:lastRow="1" w:firstColumn="1" w:lastColumn="1" w:noHBand="0" w:noVBand="0"/>
            </w:tblPr>
            <w:tblGrid>
              <w:gridCol w:w="527"/>
              <w:gridCol w:w="3551"/>
              <w:gridCol w:w="5741"/>
            </w:tblGrid>
            <w:tr w:rsidR="00722F5C" w:rsidRPr="00FE190C" w14:paraId="474446B4" w14:textId="77777777" w:rsidTr="005F243F">
              <w:trPr>
                <w:tblCellSpacing w:w="20" w:type="dxa"/>
                <w:jc w:val="center"/>
              </w:trPr>
              <w:tc>
                <w:tcPr>
                  <w:tcW w:w="9739" w:type="dxa"/>
                  <w:gridSpan w:val="3"/>
                  <w:hideMark/>
                </w:tcPr>
                <w:p w14:paraId="4F2B32AF" w14:textId="77777777" w:rsidR="00722F5C" w:rsidRPr="00FE190C" w:rsidRDefault="00722F5C" w:rsidP="00722F5C">
                  <w:pPr>
                    <w:jc w:val="both"/>
                    <w:rPr>
                      <w:rFonts w:ascii="Times New Roman" w:eastAsia="Times New Roman" w:hAnsi="Times New Roman" w:cs="Times New Roman"/>
                      <w:b/>
                      <w:bCs/>
                      <w:lang w:eastAsia="lv-LV"/>
                    </w:rPr>
                  </w:pPr>
                  <w:r w:rsidRPr="00FE190C">
                    <w:rPr>
                      <w:rFonts w:ascii="Times New Roman" w:eastAsia="Times New Roman" w:hAnsi="Times New Roman" w:cs="Times New Roman"/>
                      <w:b/>
                      <w:bCs/>
                      <w:lang w:eastAsia="lv-LV"/>
                    </w:rPr>
                    <w:t>V. Tiesību akta projekta atbilstība Latvijas Republikas starptautiskajām saistībām</w:t>
                  </w:r>
                </w:p>
              </w:tc>
            </w:tr>
            <w:tr w:rsidR="00722F5C" w:rsidRPr="00FE190C" w14:paraId="4BE869FE" w14:textId="77777777" w:rsidTr="005F243F">
              <w:trPr>
                <w:tblCellSpacing w:w="20" w:type="dxa"/>
                <w:jc w:val="center"/>
              </w:trPr>
              <w:tc>
                <w:tcPr>
                  <w:tcW w:w="467" w:type="dxa"/>
                  <w:hideMark/>
                </w:tcPr>
                <w:p w14:paraId="21594D25" w14:textId="77777777" w:rsidR="00722F5C" w:rsidRPr="00FE190C" w:rsidRDefault="00722F5C" w:rsidP="00722F5C">
                  <w:pPr>
                    <w:tabs>
                      <w:tab w:val="left" w:pos="2628"/>
                    </w:tabs>
                    <w:jc w:val="both"/>
                    <w:rPr>
                      <w:rFonts w:ascii="Times New Roman" w:eastAsia="Times New Roman" w:hAnsi="Times New Roman" w:cs="Times New Roman"/>
                      <w:iCs/>
                      <w:lang w:eastAsia="lv-LV"/>
                    </w:rPr>
                  </w:pPr>
                  <w:r w:rsidRPr="00FE190C">
                    <w:rPr>
                      <w:rFonts w:ascii="Times New Roman" w:eastAsia="Times New Roman" w:hAnsi="Times New Roman" w:cs="Times New Roman"/>
                      <w:iCs/>
                      <w:lang w:eastAsia="lv-LV"/>
                    </w:rPr>
                    <w:t>1.</w:t>
                  </w:r>
                </w:p>
              </w:tc>
              <w:tc>
                <w:tcPr>
                  <w:tcW w:w="3511" w:type="dxa"/>
                  <w:hideMark/>
                </w:tcPr>
                <w:p w14:paraId="79F1518A" w14:textId="77777777" w:rsidR="00722F5C" w:rsidRPr="00FE190C" w:rsidRDefault="00722F5C" w:rsidP="00722F5C">
                  <w:pPr>
                    <w:tabs>
                      <w:tab w:val="left" w:pos="2628"/>
                    </w:tabs>
                    <w:jc w:val="both"/>
                    <w:rPr>
                      <w:rFonts w:ascii="Times New Roman" w:eastAsia="Times New Roman" w:hAnsi="Times New Roman" w:cs="Times New Roman"/>
                      <w:iCs/>
                      <w:lang w:eastAsia="lv-LV"/>
                    </w:rPr>
                  </w:pPr>
                  <w:r w:rsidRPr="00FE190C">
                    <w:rPr>
                      <w:rFonts w:ascii="Times New Roman" w:eastAsia="Times New Roman" w:hAnsi="Times New Roman" w:cs="Times New Roman"/>
                      <w:lang w:eastAsia="lv-LV"/>
                    </w:rPr>
                    <w:t>Saistības pret Eiropas Savienību</w:t>
                  </w:r>
                </w:p>
              </w:tc>
              <w:tc>
                <w:tcPr>
                  <w:tcW w:w="5681" w:type="dxa"/>
                </w:tcPr>
                <w:p w14:paraId="39D217D0" w14:textId="21EF566A" w:rsidR="00722F5C" w:rsidRPr="00FE190C" w:rsidRDefault="00970B4E" w:rsidP="00970B4E">
                  <w:pPr>
                    <w:ind w:right="34"/>
                    <w:jc w:val="both"/>
                    <w:rPr>
                      <w:rFonts w:ascii="Times New Roman" w:eastAsia="Times New Roman" w:hAnsi="Times New Roman" w:cs="Times New Roman"/>
                      <w:bCs/>
                      <w:color w:val="000000"/>
                      <w:lang w:eastAsia="lv-LV"/>
                    </w:rPr>
                  </w:pPr>
                  <w:r w:rsidRPr="00FE190C">
                    <w:rPr>
                      <w:rFonts w:ascii="Times New Roman" w:hAnsi="Times New Roman" w:cs="Times New Roman"/>
                      <w:i/>
                      <w:color w:val="000000"/>
                    </w:rPr>
                    <w:t>Eiropas Parlamenta un Padomes</w:t>
                  </w:r>
                  <w:r w:rsidR="009257C0" w:rsidRPr="00FE190C">
                    <w:rPr>
                      <w:rFonts w:ascii="Times New Roman" w:hAnsi="Times New Roman" w:cs="Times New Roman"/>
                      <w:i/>
                      <w:color w:val="000000"/>
                    </w:rPr>
                    <w:t xml:space="preserve"> 2011.gada 25.oktobra </w:t>
                  </w:r>
                  <w:r w:rsidRPr="00FE190C">
                    <w:rPr>
                      <w:rFonts w:ascii="Times New Roman" w:hAnsi="Times New Roman" w:cs="Times New Roman"/>
                      <w:i/>
                      <w:color w:val="000000"/>
                    </w:rPr>
                    <w:t xml:space="preserve"> Direktīva 2011/83/ES par patērētāju tiesībām</w:t>
                  </w:r>
                  <w:r w:rsidR="001B6946" w:rsidRPr="00FE190C">
                    <w:rPr>
                      <w:rFonts w:ascii="Times New Roman" w:hAnsi="Times New Roman" w:cs="Times New Roman"/>
                      <w:i/>
                      <w:color w:val="000000"/>
                    </w:rPr>
                    <w:t xml:space="preserve"> un ar ko groza Padomes Direktīvu 93/13/EEK un Eiropas Parlamenta un Padomes Direktīvu 1999/44/EK un atceļ Padomes Direktīvu 85/577/EEK un Eiropas Parlamenta un Padomes Direktīvu 97/7/EK</w:t>
                  </w:r>
                </w:p>
              </w:tc>
            </w:tr>
            <w:tr w:rsidR="00722F5C" w:rsidRPr="00FE190C" w14:paraId="50A02305" w14:textId="77777777" w:rsidTr="005F243F">
              <w:trPr>
                <w:tblCellSpacing w:w="20" w:type="dxa"/>
                <w:jc w:val="center"/>
              </w:trPr>
              <w:tc>
                <w:tcPr>
                  <w:tcW w:w="467" w:type="dxa"/>
                  <w:hideMark/>
                </w:tcPr>
                <w:p w14:paraId="2E37108A" w14:textId="77777777" w:rsidR="00722F5C" w:rsidRPr="00FE190C" w:rsidRDefault="00722F5C" w:rsidP="00722F5C">
                  <w:pPr>
                    <w:tabs>
                      <w:tab w:val="left" w:pos="2628"/>
                    </w:tabs>
                    <w:jc w:val="both"/>
                    <w:rPr>
                      <w:rFonts w:ascii="Times New Roman" w:eastAsia="Times New Roman" w:hAnsi="Times New Roman" w:cs="Times New Roman"/>
                      <w:iCs/>
                      <w:lang w:eastAsia="lv-LV"/>
                    </w:rPr>
                  </w:pPr>
                  <w:r w:rsidRPr="00FE190C">
                    <w:rPr>
                      <w:rFonts w:ascii="Times New Roman" w:eastAsia="Times New Roman" w:hAnsi="Times New Roman" w:cs="Times New Roman"/>
                      <w:iCs/>
                      <w:lang w:eastAsia="lv-LV"/>
                    </w:rPr>
                    <w:t>2.</w:t>
                  </w:r>
                </w:p>
              </w:tc>
              <w:tc>
                <w:tcPr>
                  <w:tcW w:w="3511" w:type="dxa"/>
                  <w:hideMark/>
                </w:tcPr>
                <w:p w14:paraId="11823AC1" w14:textId="77777777" w:rsidR="00722F5C" w:rsidRPr="00FE190C" w:rsidRDefault="00722F5C" w:rsidP="00722F5C">
                  <w:pPr>
                    <w:tabs>
                      <w:tab w:val="left" w:pos="2628"/>
                    </w:tabs>
                    <w:jc w:val="both"/>
                    <w:rPr>
                      <w:rFonts w:ascii="Times New Roman" w:eastAsia="Times New Roman" w:hAnsi="Times New Roman" w:cs="Times New Roman"/>
                      <w:iCs/>
                      <w:lang w:eastAsia="lv-LV"/>
                    </w:rPr>
                  </w:pPr>
                  <w:r w:rsidRPr="00FE190C">
                    <w:rPr>
                      <w:rFonts w:ascii="Times New Roman" w:eastAsia="Times New Roman" w:hAnsi="Times New Roman" w:cs="Times New Roman"/>
                      <w:lang w:eastAsia="lv-LV"/>
                    </w:rPr>
                    <w:t>Citas starptautiskās saistības</w:t>
                  </w:r>
                </w:p>
              </w:tc>
              <w:tc>
                <w:tcPr>
                  <w:tcW w:w="5681" w:type="dxa"/>
                  <w:hideMark/>
                </w:tcPr>
                <w:p w14:paraId="4C14AF91" w14:textId="77777777" w:rsidR="00722F5C" w:rsidRPr="00FE190C" w:rsidRDefault="00722F5C" w:rsidP="00722F5C">
                  <w:pPr>
                    <w:tabs>
                      <w:tab w:val="left" w:pos="2628"/>
                    </w:tabs>
                    <w:jc w:val="both"/>
                    <w:rPr>
                      <w:rFonts w:ascii="Times New Roman" w:eastAsia="Times New Roman" w:hAnsi="Times New Roman" w:cs="Times New Roman"/>
                      <w:iCs/>
                      <w:lang w:eastAsia="lv-LV"/>
                    </w:rPr>
                  </w:pPr>
                  <w:r w:rsidRPr="00FE190C">
                    <w:rPr>
                      <w:rFonts w:ascii="Times New Roman" w:eastAsia="Times New Roman" w:hAnsi="Times New Roman" w:cs="Times New Roman"/>
                      <w:iCs/>
                      <w:lang w:eastAsia="lv-LV"/>
                    </w:rPr>
                    <w:t>Projekts šo jomu neskar</w:t>
                  </w:r>
                </w:p>
              </w:tc>
            </w:tr>
            <w:tr w:rsidR="00722F5C" w:rsidRPr="00FE190C" w14:paraId="67C83352" w14:textId="77777777" w:rsidTr="005F243F">
              <w:trPr>
                <w:tblCellSpacing w:w="20" w:type="dxa"/>
                <w:jc w:val="center"/>
              </w:trPr>
              <w:tc>
                <w:tcPr>
                  <w:tcW w:w="467" w:type="dxa"/>
                  <w:hideMark/>
                </w:tcPr>
                <w:p w14:paraId="2A6C4C63" w14:textId="77777777" w:rsidR="00722F5C" w:rsidRPr="00FE190C" w:rsidRDefault="00722F5C" w:rsidP="00722F5C">
                  <w:pPr>
                    <w:tabs>
                      <w:tab w:val="left" w:pos="2628"/>
                    </w:tabs>
                    <w:jc w:val="both"/>
                    <w:rPr>
                      <w:rFonts w:ascii="Times New Roman" w:eastAsia="Times New Roman" w:hAnsi="Times New Roman" w:cs="Times New Roman"/>
                      <w:iCs/>
                      <w:lang w:eastAsia="lv-LV"/>
                    </w:rPr>
                  </w:pPr>
                  <w:r w:rsidRPr="00FE190C">
                    <w:rPr>
                      <w:rFonts w:ascii="Times New Roman" w:eastAsia="Times New Roman" w:hAnsi="Times New Roman" w:cs="Times New Roman"/>
                      <w:iCs/>
                      <w:lang w:eastAsia="lv-LV"/>
                    </w:rPr>
                    <w:t>3.</w:t>
                  </w:r>
                </w:p>
              </w:tc>
              <w:tc>
                <w:tcPr>
                  <w:tcW w:w="3511" w:type="dxa"/>
                  <w:hideMark/>
                </w:tcPr>
                <w:p w14:paraId="17BB3614" w14:textId="77777777" w:rsidR="00722F5C" w:rsidRPr="00FE190C" w:rsidRDefault="00722F5C" w:rsidP="00722F5C">
                  <w:pPr>
                    <w:tabs>
                      <w:tab w:val="left" w:pos="2628"/>
                    </w:tabs>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Cita informācija</w:t>
                  </w:r>
                </w:p>
              </w:tc>
              <w:tc>
                <w:tcPr>
                  <w:tcW w:w="5681" w:type="dxa"/>
                  <w:hideMark/>
                </w:tcPr>
                <w:p w14:paraId="04165504" w14:textId="77777777" w:rsidR="00722F5C" w:rsidRPr="00FE190C" w:rsidRDefault="00722F5C" w:rsidP="00722F5C">
                  <w:pPr>
                    <w:tabs>
                      <w:tab w:val="left" w:pos="2628"/>
                    </w:tabs>
                    <w:jc w:val="both"/>
                    <w:rPr>
                      <w:rFonts w:ascii="Times New Roman" w:eastAsia="Times New Roman" w:hAnsi="Times New Roman" w:cs="Times New Roman"/>
                      <w:iCs/>
                      <w:lang w:eastAsia="lv-LV"/>
                    </w:rPr>
                  </w:pPr>
                  <w:r w:rsidRPr="00FE190C">
                    <w:rPr>
                      <w:rFonts w:ascii="Times New Roman" w:eastAsia="Times New Roman" w:hAnsi="Times New Roman" w:cs="Times New Roman"/>
                      <w:iCs/>
                      <w:lang w:eastAsia="lv-LV"/>
                    </w:rPr>
                    <w:t>Nav</w:t>
                  </w:r>
                </w:p>
              </w:tc>
            </w:tr>
          </w:tbl>
          <w:p w14:paraId="7F70198C" w14:textId="77777777" w:rsidR="00234C0B" w:rsidRDefault="00234C0B">
            <w:pPr>
              <w:rPr>
                <w:rFonts w:ascii="Times New Roman" w:hAnsi="Times New Roman" w:cs="Times New Roman"/>
              </w:rPr>
            </w:pPr>
          </w:p>
          <w:p w14:paraId="7F62DB83" w14:textId="77777777" w:rsidR="003F59F6" w:rsidRDefault="003F59F6">
            <w:pPr>
              <w:rPr>
                <w:rFonts w:ascii="Times New Roman" w:hAnsi="Times New Roman" w:cs="Times New Roman"/>
              </w:rPr>
            </w:pPr>
          </w:p>
          <w:p w14:paraId="0E8C2D46" w14:textId="77777777" w:rsidR="003F59F6" w:rsidRDefault="003F59F6">
            <w:pPr>
              <w:rPr>
                <w:rFonts w:ascii="Times New Roman" w:hAnsi="Times New Roman" w:cs="Times New Roman"/>
              </w:rPr>
            </w:pPr>
          </w:p>
          <w:p w14:paraId="32B1937F" w14:textId="77777777" w:rsidR="003F59F6" w:rsidRDefault="003F59F6">
            <w:pPr>
              <w:rPr>
                <w:rFonts w:ascii="Times New Roman" w:hAnsi="Times New Roman" w:cs="Times New Roman"/>
              </w:rPr>
            </w:pPr>
            <w:bookmarkStart w:id="0" w:name="_GoBack"/>
            <w:bookmarkEnd w:id="0"/>
          </w:p>
          <w:p w14:paraId="0A9106B3" w14:textId="77777777" w:rsidR="00234C0B" w:rsidRPr="00FE190C" w:rsidRDefault="00234C0B">
            <w:pPr>
              <w:rPr>
                <w:rFonts w:ascii="Times New Roman" w:hAnsi="Times New Roman" w:cs="Times New Roman"/>
              </w:rPr>
            </w:pPr>
          </w:p>
          <w:tbl>
            <w:tblPr>
              <w:tblW w:w="9743" w:type="dxa"/>
              <w:jc w:val="center"/>
              <w:tblCellSpacing w:w="2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3084"/>
              <w:gridCol w:w="1487"/>
              <w:gridCol w:w="1748"/>
              <w:gridCol w:w="3424"/>
            </w:tblGrid>
            <w:tr w:rsidR="00722F5C" w:rsidRPr="00FE190C" w14:paraId="47392292" w14:textId="77777777" w:rsidTr="005F243F">
              <w:trPr>
                <w:trHeight w:val="523"/>
                <w:tblCellSpacing w:w="20" w:type="dxa"/>
                <w:jc w:val="center"/>
              </w:trPr>
              <w:tc>
                <w:tcPr>
                  <w:tcW w:w="9663" w:type="dxa"/>
                  <w:gridSpan w:val="4"/>
                  <w:vAlign w:val="center"/>
                  <w:hideMark/>
                </w:tcPr>
                <w:p w14:paraId="0A491ADF" w14:textId="77777777" w:rsidR="00722F5C" w:rsidRPr="00FE190C" w:rsidRDefault="00722F5C" w:rsidP="00722F5C">
                  <w:pPr>
                    <w:pBdr>
                      <w:left w:val="outset" w:sz="6" w:space="4" w:color="auto"/>
                    </w:pBdr>
                    <w:jc w:val="center"/>
                    <w:rPr>
                      <w:rFonts w:ascii="Times New Roman" w:eastAsia="Times New Roman" w:hAnsi="Times New Roman" w:cs="Times New Roman"/>
                      <w:b/>
                      <w:bCs/>
                      <w:lang w:eastAsia="lv-LV"/>
                    </w:rPr>
                  </w:pPr>
                  <w:r w:rsidRPr="00FE190C">
                    <w:rPr>
                      <w:rFonts w:ascii="Times New Roman" w:eastAsia="Times New Roman" w:hAnsi="Times New Roman" w:cs="Times New Roman"/>
                      <w:b/>
                      <w:bCs/>
                      <w:lang w:eastAsia="lv-LV"/>
                    </w:rPr>
                    <w:lastRenderedPageBreak/>
                    <w:t xml:space="preserve">1.tabula </w:t>
                  </w:r>
                </w:p>
                <w:p w14:paraId="31989FD9" w14:textId="77777777" w:rsidR="00722F5C" w:rsidRPr="00FE190C" w:rsidRDefault="00722F5C" w:rsidP="00722F5C">
                  <w:pPr>
                    <w:pBdr>
                      <w:left w:val="outset" w:sz="6" w:space="4" w:color="auto"/>
                    </w:pBdr>
                    <w:jc w:val="center"/>
                    <w:rPr>
                      <w:rFonts w:ascii="Times New Roman" w:eastAsia="Times New Roman" w:hAnsi="Times New Roman" w:cs="Times New Roman"/>
                      <w:b/>
                      <w:bCs/>
                      <w:i/>
                      <w:lang w:eastAsia="lv-LV"/>
                    </w:rPr>
                  </w:pPr>
                  <w:r w:rsidRPr="00FE190C">
                    <w:rPr>
                      <w:rFonts w:ascii="Times New Roman" w:eastAsia="Times New Roman" w:hAnsi="Times New Roman" w:cs="Times New Roman"/>
                      <w:b/>
                      <w:bCs/>
                      <w:lang w:eastAsia="lv-LV"/>
                    </w:rPr>
                    <w:t>Tiesību akta projekta atbilstība ES tiesību aktiem</w:t>
                  </w:r>
                </w:p>
              </w:tc>
            </w:tr>
            <w:tr w:rsidR="00722F5C" w:rsidRPr="00FE190C" w14:paraId="162CEF9D" w14:textId="77777777" w:rsidTr="005F243F">
              <w:trPr>
                <w:trHeight w:val="163"/>
                <w:tblCellSpacing w:w="20" w:type="dxa"/>
                <w:jc w:val="center"/>
              </w:trPr>
              <w:tc>
                <w:tcPr>
                  <w:tcW w:w="9663" w:type="dxa"/>
                  <w:gridSpan w:val="4"/>
                  <w:vAlign w:val="center"/>
                </w:tcPr>
                <w:p w14:paraId="75F0139A" w14:textId="77777777" w:rsidR="00722F5C" w:rsidRPr="00FE190C" w:rsidRDefault="00722F5C" w:rsidP="00722F5C">
                  <w:pPr>
                    <w:pBdr>
                      <w:left w:val="outset" w:sz="6" w:space="4" w:color="auto"/>
                    </w:pBdr>
                    <w:rPr>
                      <w:rFonts w:ascii="Times New Roman" w:eastAsia="Times New Roman" w:hAnsi="Times New Roman" w:cs="Times New Roman"/>
                      <w:i/>
                      <w:lang w:eastAsia="lv-LV"/>
                    </w:rPr>
                  </w:pPr>
                </w:p>
              </w:tc>
            </w:tr>
            <w:tr w:rsidR="00722F5C" w:rsidRPr="00FE190C" w14:paraId="4060F6F6" w14:textId="77777777" w:rsidTr="00FE190C">
              <w:trPr>
                <w:trHeight w:val="165"/>
                <w:tblCellSpacing w:w="20" w:type="dxa"/>
                <w:jc w:val="center"/>
              </w:trPr>
              <w:tc>
                <w:tcPr>
                  <w:tcW w:w="3024" w:type="dxa"/>
                  <w:vAlign w:val="center"/>
                  <w:hideMark/>
                </w:tcPr>
                <w:p w14:paraId="54F10677" w14:textId="77777777" w:rsidR="00722F5C" w:rsidRPr="00FE190C" w:rsidRDefault="00722F5C" w:rsidP="00722F5C">
                  <w:pPr>
                    <w:pBdr>
                      <w:left w:val="outset" w:sz="6" w:space="4" w:color="auto"/>
                    </w:pBdr>
                    <w:jc w:val="cente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A</w:t>
                  </w:r>
                </w:p>
              </w:tc>
              <w:tc>
                <w:tcPr>
                  <w:tcW w:w="1447" w:type="dxa"/>
                  <w:vAlign w:val="center"/>
                  <w:hideMark/>
                </w:tcPr>
                <w:p w14:paraId="3D91F86B" w14:textId="77777777" w:rsidR="00722F5C" w:rsidRPr="00FE190C" w:rsidRDefault="00722F5C" w:rsidP="00722F5C">
                  <w:pPr>
                    <w:pBdr>
                      <w:left w:val="outset" w:sz="6" w:space="4" w:color="auto"/>
                    </w:pBdr>
                    <w:jc w:val="cente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B</w:t>
                  </w:r>
                </w:p>
              </w:tc>
              <w:tc>
                <w:tcPr>
                  <w:tcW w:w="1708" w:type="dxa"/>
                  <w:vAlign w:val="center"/>
                  <w:hideMark/>
                </w:tcPr>
                <w:p w14:paraId="23F3FE02" w14:textId="77777777" w:rsidR="00722F5C" w:rsidRPr="00FE190C" w:rsidRDefault="00722F5C" w:rsidP="00722F5C">
                  <w:pPr>
                    <w:pBdr>
                      <w:left w:val="outset" w:sz="6" w:space="4" w:color="auto"/>
                    </w:pBdr>
                    <w:jc w:val="cente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C</w:t>
                  </w:r>
                </w:p>
              </w:tc>
              <w:tc>
                <w:tcPr>
                  <w:tcW w:w="3364" w:type="dxa"/>
                  <w:vAlign w:val="center"/>
                  <w:hideMark/>
                </w:tcPr>
                <w:p w14:paraId="62646419" w14:textId="77777777" w:rsidR="00722F5C" w:rsidRPr="00FE190C" w:rsidRDefault="00722F5C" w:rsidP="00722F5C">
                  <w:pPr>
                    <w:pBdr>
                      <w:left w:val="outset" w:sz="6" w:space="4" w:color="auto"/>
                    </w:pBdr>
                    <w:jc w:val="cente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D</w:t>
                  </w:r>
                </w:p>
              </w:tc>
            </w:tr>
            <w:tr w:rsidR="00722F5C" w:rsidRPr="00FE190C" w14:paraId="2994DF8E" w14:textId="77777777" w:rsidTr="00FE190C">
              <w:trPr>
                <w:trHeight w:val="552"/>
                <w:tblCellSpacing w:w="20" w:type="dxa"/>
                <w:jc w:val="center"/>
              </w:trPr>
              <w:tc>
                <w:tcPr>
                  <w:tcW w:w="3024" w:type="dxa"/>
                </w:tcPr>
                <w:p w14:paraId="27C0A502" w14:textId="0878BD2C" w:rsidR="00722F5C" w:rsidRPr="00FE190C" w:rsidRDefault="00722F5C" w:rsidP="00A838F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 xml:space="preserve">Direktīvas </w:t>
                  </w:r>
                  <w:r w:rsidR="00A838FB" w:rsidRPr="00FE190C">
                    <w:rPr>
                      <w:rFonts w:ascii="Times New Roman" w:eastAsia="Times New Roman" w:hAnsi="Times New Roman" w:cs="Times New Roman"/>
                      <w:lang w:eastAsia="lv-LV"/>
                    </w:rPr>
                    <w:t>2011/83</w:t>
                  </w:r>
                  <w:r w:rsidR="00FC1B7F">
                    <w:rPr>
                      <w:rFonts w:ascii="Times New Roman" w:eastAsia="Times New Roman" w:hAnsi="Times New Roman" w:cs="Times New Roman"/>
                      <w:lang w:eastAsia="lv-LV"/>
                    </w:rPr>
                    <w:t>/</w:t>
                  </w:r>
                  <w:r w:rsidR="00A838FB" w:rsidRPr="00FE190C">
                    <w:rPr>
                      <w:rFonts w:ascii="Times New Roman" w:eastAsia="Times New Roman" w:hAnsi="Times New Roman" w:cs="Times New Roman"/>
                      <w:lang w:eastAsia="lv-LV"/>
                    </w:rPr>
                    <w:t>ES</w:t>
                  </w:r>
                  <w:r w:rsidRPr="00FE190C">
                    <w:rPr>
                      <w:rFonts w:ascii="Times New Roman" w:eastAsia="Times New Roman" w:hAnsi="Times New Roman" w:cs="Times New Roman"/>
                      <w:lang w:eastAsia="lv-LV"/>
                    </w:rPr>
                    <w:t xml:space="preserve"> </w:t>
                  </w:r>
                  <w:r w:rsidR="00A838FB" w:rsidRPr="00FE190C">
                    <w:rPr>
                      <w:rFonts w:ascii="Times New Roman" w:eastAsia="Times New Roman" w:hAnsi="Times New Roman" w:cs="Times New Roman"/>
                      <w:lang w:eastAsia="lv-LV"/>
                    </w:rPr>
                    <w:t>2</w:t>
                  </w:r>
                  <w:r w:rsidRPr="00FE190C">
                    <w:rPr>
                      <w:rFonts w:ascii="Times New Roman" w:eastAsia="Times New Roman" w:hAnsi="Times New Roman" w:cs="Times New Roman"/>
                      <w:lang w:eastAsia="lv-LV"/>
                    </w:rPr>
                    <w:t>.panta 1</w:t>
                  </w:r>
                  <w:r w:rsidR="00A838FB" w:rsidRPr="00FE190C">
                    <w:rPr>
                      <w:rFonts w:ascii="Times New Roman" w:eastAsia="Times New Roman" w:hAnsi="Times New Roman" w:cs="Times New Roman"/>
                      <w:lang w:eastAsia="lv-LV"/>
                    </w:rPr>
                    <w:t>2</w:t>
                  </w:r>
                  <w:r w:rsidRPr="00FE190C">
                    <w:rPr>
                      <w:rFonts w:ascii="Times New Roman" w:eastAsia="Times New Roman" w:hAnsi="Times New Roman" w:cs="Times New Roman"/>
                      <w:lang w:eastAsia="lv-LV"/>
                    </w:rPr>
                    <w:t>.apakšpunkts</w:t>
                  </w:r>
                </w:p>
              </w:tc>
              <w:tc>
                <w:tcPr>
                  <w:tcW w:w="1447" w:type="dxa"/>
                </w:tcPr>
                <w:p w14:paraId="24870DFA" w14:textId="71D9CB23" w:rsidR="00722F5C" w:rsidRPr="00FE190C" w:rsidRDefault="00A838FB" w:rsidP="00A838F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2.7.</w:t>
                  </w:r>
                  <w:r w:rsidR="008263FC" w:rsidRPr="00FE190C">
                    <w:rPr>
                      <w:rFonts w:ascii="Times New Roman" w:eastAsia="Times New Roman" w:hAnsi="Times New Roman" w:cs="Times New Roman"/>
                      <w:lang w:eastAsia="lv-LV"/>
                    </w:rPr>
                    <w:t>apakš</w:t>
                  </w:r>
                  <w:r w:rsidR="00722F5C" w:rsidRPr="00FE190C">
                    <w:rPr>
                      <w:rFonts w:ascii="Times New Roman" w:eastAsia="Times New Roman" w:hAnsi="Times New Roman" w:cs="Times New Roman"/>
                      <w:lang w:eastAsia="lv-LV"/>
                    </w:rPr>
                    <w:t>punkts</w:t>
                  </w:r>
                </w:p>
              </w:tc>
              <w:tc>
                <w:tcPr>
                  <w:tcW w:w="1708" w:type="dxa"/>
                </w:tcPr>
                <w:p w14:paraId="6C2FF7E6" w14:textId="77777777" w:rsidR="00722F5C" w:rsidRPr="00FE190C" w:rsidRDefault="00722F5C" w:rsidP="00722F5C">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Ieviests pilnībā.</w:t>
                  </w:r>
                </w:p>
              </w:tc>
              <w:tc>
                <w:tcPr>
                  <w:tcW w:w="3364" w:type="dxa"/>
                </w:tcPr>
                <w:p w14:paraId="074628B8" w14:textId="77777777" w:rsidR="00722F5C" w:rsidRPr="00FE190C" w:rsidRDefault="00722F5C" w:rsidP="00722F5C">
                  <w:pPr>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Stingrākas prasības nav paredzētas.</w:t>
                  </w:r>
                </w:p>
              </w:tc>
            </w:tr>
            <w:tr w:rsidR="00FC1B7F" w:rsidRPr="00FE190C" w14:paraId="4AD6839C" w14:textId="77777777" w:rsidTr="00FE190C">
              <w:trPr>
                <w:trHeight w:val="552"/>
                <w:tblCellSpacing w:w="20" w:type="dxa"/>
                <w:jc w:val="center"/>
              </w:trPr>
              <w:tc>
                <w:tcPr>
                  <w:tcW w:w="3024" w:type="dxa"/>
                </w:tcPr>
                <w:p w14:paraId="1AEB92C8" w14:textId="0059535D" w:rsidR="00FC1B7F" w:rsidRPr="00FE190C" w:rsidRDefault="00FC1B7F" w:rsidP="00FC1B7F">
                  <w:pPr>
                    <w:rPr>
                      <w:rFonts w:ascii="Times New Roman" w:eastAsia="Times New Roman" w:hAnsi="Times New Roman" w:cs="Times New Roman"/>
                      <w:lang w:eastAsia="lv-LV"/>
                    </w:rPr>
                  </w:pPr>
                  <w:r>
                    <w:rPr>
                      <w:rFonts w:ascii="Times New Roman" w:eastAsia="Times New Roman" w:hAnsi="Times New Roman" w:cs="Times New Roman"/>
                      <w:lang w:eastAsia="lv-LV"/>
                    </w:rPr>
                    <w:t>Direktīvas 2011/83/ES 3.panta 3.punkta i) apakšpunkts</w:t>
                  </w:r>
                </w:p>
              </w:tc>
              <w:tc>
                <w:tcPr>
                  <w:tcW w:w="1447" w:type="dxa"/>
                </w:tcPr>
                <w:p w14:paraId="5A6ABF7F" w14:textId="3A07C5C3" w:rsidR="00FC1B7F" w:rsidRPr="00FE190C" w:rsidRDefault="00FC1B7F" w:rsidP="00A838FB">
                  <w:pPr>
                    <w:rPr>
                      <w:rFonts w:ascii="Times New Roman" w:eastAsia="Times New Roman" w:hAnsi="Times New Roman" w:cs="Times New Roman"/>
                      <w:lang w:eastAsia="lv-LV"/>
                    </w:rPr>
                  </w:pPr>
                  <w:r>
                    <w:rPr>
                      <w:rFonts w:ascii="Times New Roman" w:eastAsia="Times New Roman" w:hAnsi="Times New Roman" w:cs="Times New Roman"/>
                      <w:lang w:eastAsia="lv-LV"/>
                    </w:rPr>
                    <w:t>2.10.apakšpunkts</w:t>
                  </w:r>
                </w:p>
              </w:tc>
              <w:tc>
                <w:tcPr>
                  <w:tcW w:w="1708" w:type="dxa"/>
                </w:tcPr>
                <w:p w14:paraId="4C4157DB" w14:textId="5463F51E" w:rsidR="00FC1B7F" w:rsidRPr="00FE190C" w:rsidRDefault="00FC1B7F" w:rsidP="00722F5C">
                  <w:pPr>
                    <w:rPr>
                      <w:rFonts w:ascii="Times New Roman" w:eastAsia="Times New Roman" w:hAnsi="Times New Roman" w:cs="Times New Roman"/>
                      <w:lang w:eastAsia="lv-LV"/>
                    </w:rPr>
                  </w:pPr>
                  <w:r>
                    <w:rPr>
                      <w:rFonts w:ascii="Times New Roman" w:eastAsia="Times New Roman" w:hAnsi="Times New Roman" w:cs="Times New Roman"/>
                      <w:lang w:eastAsia="lv-LV"/>
                    </w:rPr>
                    <w:t>Ieviests pilnībā.</w:t>
                  </w:r>
                </w:p>
              </w:tc>
              <w:tc>
                <w:tcPr>
                  <w:tcW w:w="3364" w:type="dxa"/>
                </w:tcPr>
                <w:p w14:paraId="01D45BE8" w14:textId="3BD88B37" w:rsidR="00FC1B7F" w:rsidRPr="00FE190C" w:rsidRDefault="00FC1B7F" w:rsidP="00722F5C">
                  <w:pPr>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Stingrākas prasības nav paredzētas.</w:t>
                  </w:r>
                </w:p>
              </w:tc>
            </w:tr>
            <w:tr w:rsidR="0031460F" w:rsidRPr="00FE190C" w14:paraId="1068F616" w14:textId="77777777" w:rsidTr="00FE190C">
              <w:trPr>
                <w:trHeight w:val="552"/>
                <w:tblCellSpacing w:w="20" w:type="dxa"/>
                <w:jc w:val="center"/>
              </w:trPr>
              <w:tc>
                <w:tcPr>
                  <w:tcW w:w="3024" w:type="dxa"/>
                </w:tcPr>
                <w:p w14:paraId="20D5929B" w14:textId="1AFE0805" w:rsidR="0031460F" w:rsidRPr="00FE190C" w:rsidRDefault="0031460F" w:rsidP="0031460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Direktīvas 2011/83</w:t>
                  </w:r>
                  <w:r w:rsidR="00FC1B7F">
                    <w:rPr>
                      <w:rFonts w:ascii="Times New Roman" w:eastAsia="Times New Roman" w:hAnsi="Times New Roman" w:cs="Times New Roman"/>
                      <w:lang w:eastAsia="lv-LV"/>
                    </w:rPr>
                    <w:t>/</w:t>
                  </w:r>
                  <w:r w:rsidRPr="00FE190C">
                    <w:rPr>
                      <w:rFonts w:ascii="Times New Roman" w:eastAsia="Times New Roman" w:hAnsi="Times New Roman" w:cs="Times New Roman"/>
                      <w:lang w:eastAsia="lv-LV"/>
                    </w:rPr>
                    <w:t>ES 3.panta 3.punkta c) apakšpunkts</w:t>
                  </w:r>
                </w:p>
              </w:tc>
              <w:tc>
                <w:tcPr>
                  <w:tcW w:w="1447" w:type="dxa"/>
                </w:tcPr>
                <w:p w14:paraId="3C65FC0E" w14:textId="3C1CDBC1" w:rsidR="0031460F" w:rsidRPr="00FE190C" w:rsidRDefault="0031460F" w:rsidP="00A838F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2.11.apakšpunkts</w:t>
                  </w:r>
                </w:p>
              </w:tc>
              <w:tc>
                <w:tcPr>
                  <w:tcW w:w="1708" w:type="dxa"/>
                </w:tcPr>
                <w:p w14:paraId="2F838452" w14:textId="6CC05477" w:rsidR="0031460F" w:rsidRPr="00FE190C" w:rsidRDefault="00FC1B7F" w:rsidP="00722F5C">
                  <w:pPr>
                    <w:rPr>
                      <w:rFonts w:ascii="Times New Roman" w:eastAsia="Times New Roman" w:hAnsi="Times New Roman" w:cs="Times New Roman"/>
                      <w:lang w:eastAsia="lv-LV"/>
                    </w:rPr>
                  </w:pPr>
                  <w:r>
                    <w:rPr>
                      <w:rFonts w:ascii="Times New Roman" w:eastAsia="Times New Roman" w:hAnsi="Times New Roman" w:cs="Times New Roman"/>
                      <w:lang w:eastAsia="lv-LV"/>
                    </w:rPr>
                    <w:t>Ieviests pilnībā.</w:t>
                  </w:r>
                </w:p>
              </w:tc>
              <w:tc>
                <w:tcPr>
                  <w:tcW w:w="3364" w:type="dxa"/>
                </w:tcPr>
                <w:p w14:paraId="63781275" w14:textId="1BF637C2" w:rsidR="0031460F" w:rsidRPr="00FE190C" w:rsidRDefault="00FC1B7F" w:rsidP="00722F5C">
                  <w:pPr>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Stingrākas prasības nav paredzētas.</w:t>
                  </w:r>
                </w:p>
              </w:tc>
            </w:tr>
            <w:tr w:rsidR="00722F5C" w:rsidRPr="00FE190C" w14:paraId="3D450B24" w14:textId="77777777" w:rsidTr="00FE190C">
              <w:trPr>
                <w:trHeight w:val="552"/>
                <w:tblCellSpacing w:w="20" w:type="dxa"/>
                <w:jc w:val="center"/>
              </w:trPr>
              <w:tc>
                <w:tcPr>
                  <w:tcW w:w="3024" w:type="dxa"/>
                </w:tcPr>
                <w:p w14:paraId="4F5113B7" w14:textId="1E8662CA" w:rsidR="00722F5C" w:rsidRPr="00FE190C" w:rsidRDefault="00116B89" w:rsidP="008263FC">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Direktīvas 2011/83</w:t>
                  </w:r>
                  <w:r w:rsidR="00FC1B7F">
                    <w:rPr>
                      <w:rFonts w:ascii="Times New Roman" w:eastAsia="Times New Roman" w:hAnsi="Times New Roman" w:cs="Times New Roman"/>
                      <w:lang w:eastAsia="lv-LV"/>
                    </w:rPr>
                    <w:t>/</w:t>
                  </w:r>
                  <w:r w:rsidRPr="00FE190C">
                    <w:rPr>
                      <w:rFonts w:ascii="Times New Roman" w:eastAsia="Times New Roman" w:hAnsi="Times New Roman" w:cs="Times New Roman"/>
                      <w:lang w:eastAsia="lv-LV"/>
                    </w:rPr>
                    <w:t xml:space="preserve">ES </w:t>
                  </w:r>
                  <w:r w:rsidR="008263FC" w:rsidRPr="00FE190C">
                    <w:rPr>
                      <w:rFonts w:ascii="Times New Roman" w:eastAsia="Times New Roman" w:hAnsi="Times New Roman" w:cs="Times New Roman"/>
                      <w:lang w:eastAsia="lv-LV"/>
                    </w:rPr>
                    <w:t>6.panta 1.punkta c) apakšpunkts</w:t>
                  </w:r>
                </w:p>
              </w:tc>
              <w:tc>
                <w:tcPr>
                  <w:tcW w:w="1447" w:type="dxa"/>
                </w:tcPr>
                <w:p w14:paraId="746E381B" w14:textId="45F2FF70" w:rsidR="00722F5C" w:rsidRPr="00FE190C" w:rsidRDefault="008263FC" w:rsidP="00722F5C">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5.3.apakšpunkts</w:t>
                  </w:r>
                </w:p>
              </w:tc>
              <w:tc>
                <w:tcPr>
                  <w:tcW w:w="1708" w:type="dxa"/>
                </w:tcPr>
                <w:p w14:paraId="436B61D7" w14:textId="77777777" w:rsidR="00722F5C" w:rsidRPr="00FE190C" w:rsidRDefault="00722F5C" w:rsidP="00722F5C">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Ieviests pilnībā.</w:t>
                  </w:r>
                </w:p>
              </w:tc>
              <w:tc>
                <w:tcPr>
                  <w:tcW w:w="3364" w:type="dxa"/>
                </w:tcPr>
                <w:p w14:paraId="09953CAA" w14:textId="77777777" w:rsidR="00722F5C" w:rsidRPr="00FE190C" w:rsidRDefault="00722F5C" w:rsidP="00722F5C">
                  <w:pPr>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Stingrākas prasības nav paredzētas.</w:t>
                  </w:r>
                </w:p>
              </w:tc>
            </w:tr>
            <w:tr w:rsidR="00FC1B7F" w:rsidRPr="00FE190C" w14:paraId="428F433E" w14:textId="77777777" w:rsidTr="00FE190C">
              <w:trPr>
                <w:trHeight w:val="552"/>
                <w:tblCellSpacing w:w="20" w:type="dxa"/>
                <w:jc w:val="center"/>
              </w:trPr>
              <w:tc>
                <w:tcPr>
                  <w:tcW w:w="3024" w:type="dxa"/>
                </w:tcPr>
                <w:p w14:paraId="23C15108" w14:textId="48095871"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Direktīvas 2011/83</w:t>
                  </w:r>
                  <w:r>
                    <w:rPr>
                      <w:rFonts w:ascii="Times New Roman" w:eastAsia="Times New Roman" w:hAnsi="Times New Roman" w:cs="Times New Roman"/>
                      <w:lang w:eastAsia="lv-LV"/>
                    </w:rPr>
                    <w:t>/</w:t>
                  </w:r>
                  <w:r w:rsidRPr="00FE190C">
                    <w:rPr>
                      <w:rFonts w:ascii="Times New Roman" w:eastAsia="Times New Roman" w:hAnsi="Times New Roman" w:cs="Times New Roman"/>
                      <w:lang w:eastAsia="lv-LV"/>
                    </w:rPr>
                    <w:t xml:space="preserve">ES 6.panta 1.punkta </w:t>
                  </w:r>
                  <w:r>
                    <w:rPr>
                      <w:rFonts w:ascii="Times New Roman" w:eastAsia="Times New Roman" w:hAnsi="Times New Roman" w:cs="Times New Roman"/>
                      <w:lang w:eastAsia="lv-LV"/>
                    </w:rPr>
                    <w:t>i</w:t>
                  </w:r>
                  <w:r w:rsidRPr="00FE190C">
                    <w:rPr>
                      <w:rFonts w:ascii="Times New Roman" w:eastAsia="Times New Roman" w:hAnsi="Times New Roman" w:cs="Times New Roman"/>
                      <w:lang w:eastAsia="lv-LV"/>
                    </w:rPr>
                    <w:t>) apakšpunkts</w:t>
                  </w:r>
                </w:p>
              </w:tc>
              <w:tc>
                <w:tcPr>
                  <w:tcW w:w="1447" w:type="dxa"/>
                </w:tcPr>
                <w:p w14:paraId="4A4E61B1" w14:textId="42F37366"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5.</w:t>
                  </w:r>
                  <w:r>
                    <w:rPr>
                      <w:rFonts w:ascii="Times New Roman" w:eastAsia="Times New Roman" w:hAnsi="Times New Roman" w:cs="Times New Roman"/>
                      <w:lang w:eastAsia="lv-LV"/>
                    </w:rPr>
                    <w:t>11</w:t>
                  </w:r>
                  <w:r w:rsidRPr="00FE190C">
                    <w:rPr>
                      <w:rFonts w:ascii="Times New Roman" w:eastAsia="Times New Roman" w:hAnsi="Times New Roman" w:cs="Times New Roman"/>
                      <w:lang w:eastAsia="lv-LV"/>
                    </w:rPr>
                    <w:t>.apakšpunkts</w:t>
                  </w:r>
                </w:p>
              </w:tc>
              <w:tc>
                <w:tcPr>
                  <w:tcW w:w="1708" w:type="dxa"/>
                </w:tcPr>
                <w:p w14:paraId="3C06AF93" w14:textId="1EA7E6C8"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Ieviests pilnībā.</w:t>
                  </w:r>
                </w:p>
              </w:tc>
              <w:tc>
                <w:tcPr>
                  <w:tcW w:w="3364" w:type="dxa"/>
                </w:tcPr>
                <w:p w14:paraId="678A5FEF" w14:textId="1F2A596E" w:rsidR="00FC1B7F" w:rsidRPr="00FE190C" w:rsidRDefault="00FC1B7F" w:rsidP="00FC1B7F">
                  <w:pPr>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Stingrākas prasības nav paredzētas.</w:t>
                  </w:r>
                </w:p>
              </w:tc>
            </w:tr>
            <w:tr w:rsidR="00FC1B7F" w:rsidRPr="00FE190C" w14:paraId="7782180F" w14:textId="77777777" w:rsidTr="00FE190C">
              <w:trPr>
                <w:trHeight w:val="552"/>
                <w:tblCellSpacing w:w="20" w:type="dxa"/>
                <w:jc w:val="center"/>
              </w:trPr>
              <w:tc>
                <w:tcPr>
                  <w:tcW w:w="3024" w:type="dxa"/>
                </w:tcPr>
                <w:p w14:paraId="1CC94590" w14:textId="248890FD"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Direktīvas 2011/83</w:t>
                  </w:r>
                  <w:r>
                    <w:rPr>
                      <w:rFonts w:ascii="Times New Roman" w:eastAsia="Times New Roman" w:hAnsi="Times New Roman" w:cs="Times New Roman"/>
                      <w:lang w:eastAsia="lv-LV"/>
                    </w:rPr>
                    <w:t>/</w:t>
                  </w:r>
                  <w:r w:rsidRPr="00FE190C">
                    <w:rPr>
                      <w:rFonts w:ascii="Times New Roman" w:eastAsia="Times New Roman" w:hAnsi="Times New Roman" w:cs="Times New Roman"/>
                      <w:lang w:eastAsia="lv-LV"/>
                    </w:rPr>
                    <w:t>ES 6.panta 1.punkta l) apakšpunkts</w:t>
                  </w:r>
                </w:p>
              </w:tc>
              <w:tc>
                <w:tcPr>
                  <w:tcW w:w="1447" w:type="dxa"/>
                </w:tcPr>
                <w:p w14:paraId="707E64D9" w14:textId="42A916A5"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5.14.apakšpunkts</w:t>
                  </w:r>
                </w:p>
              </w:tc>
              <w:tc>
                <w:tcPr>
                  <w:tcW w:w="1708" w:type="dxa"/>
                </w:tcPr>
                <w:p w14:paraId="3BEFDA3C" w14:textId="77777777"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Ieviests pilnībā.</w:t>
                  </w:r>
                </w:p>
              </w:tc>
              <w:tc>
                <w:tcPr>
                  <w:tcW w:w="3364" w:type="dxa"/>
                </w:tcPr>
                <w:p w14:paraId="7B93FDF2" w14:textId="77777777" w:rsidR="00FC1B7F" w:rsidRPr="00FE190C" w:rsidRDefault="00FC1B7F" w:rsidP="00FC1B7F">
                  <w:pPr>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Stingrākas prasības nav paredzētas.</w:t>
                  </w:r>
                </w:p>
              </w:tc>
            </w:tr>
            <w:tr w:rsidR="00FC1B7F" w:rsidRPr="00FE190C" w14:paraId="3E7CE03D" w14:textId="77777777" w:rsidTr="00FE190C">
              <w:trPr>
                <w:trHeight w:val="552"/>
                <w:tblCellSpacing w:w="20" w:type="dxa"/>
                <w:jc w:val="center"/>
              </w:trPr>
              <w:tc>
                <w:tcPr>
                  <w:tcW w:w="3024" w:type="dxa"/>
                </w:tcPr>
                <w:p w14:paraId="4EFB15BC" w14:textId="262EF6D4"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Direktīvas 2011/83</w:t>
                  </w:r>
                  <w:r>
                    <w:rPr>
                      <w:rFonts w:ascii="Times New Roman" w:eastAsia="Times New Roman" w:hAnsi="Times New Roman" w:cs="Times New Roman"/>
                      <w:lang w:eastAsia="lv-LV"/>
                    </w:rPr>
                    <w:t>/</w:t>
                  </w:r>
                  <w:r w:rsidRPr="00FE190C">
                    <w:rPr>
                      <w:rFonts w:ascii="Times New Roman" w:eastAsia="Times New Roman" w:hAnsi="Times New Roman" w:cs="Times New Roman"/>
                      <w:lang w:eastAsia="lv-LV"/>
                    </w:rPr>
                    <w:t>ES 9.panta 2.punkta a) apakšpunkts</w:t>
                  </w:r>
                </w:p>
              </w:tc>
              <w:tc>
                <w:tcPr>
                  <w:tcW w:w="1447" w:type="dxa"/>
                </w:tcPr>
                <w:p w14:paraId="117DB72C" w14:textId="3ADAC676"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19.</w:t>
                  </w:r>
                  <w:r w:rsidRPr="00FE190C">
                    <w:rPr>
                      <w:rFonts w:ascii="Times New Roman" w:eastAsia="Times New Roman" w:hAnsi="Times New Roman" w:cs="Times New Roman"/>
                      <w:vertAlign w:val="superscript"/>
                      <w:lang w:eastAsia="lv-LV"/>
                    </w:rPr>
                    <w:t>1</w:t>
                  </w:r>
                  <w:r w:rsidRPr="00FE190C">
                    <w:rPr>
                      <w:rFonts w:ascii="Times New Roman" w:eastAsia="Times New Roman" w:hAnsi="Times New Roman" w:cs="Times New Roman"/>
                      <w:lang w:eastAsia="lv-LV"/>
                    </w:rPr>
                    <w:t xml:space="preserve"> punkts</w:t>
                  </w:r>
                </w:p>
              </w:tc>
              <w:tc>
                <w:tcPr>
                  <w:tcW w:w="1708" w:type="dxa"/>
                </w:tcPr>
                <w:p w14:paraId="1EE8DFB7" w14:textId="77777777"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Ieviests pilnībā.</w:t>
                  </w:r>
                </w:p>
                <w:p w14:paraId="66DB22F4" w14:textId="77777777" w:rsidR="00FC1B7F" w:rsidRPr="00FE190C" w:rsidRDefault="00FC1B7F" w:rsidP="00FC1B7F">
                  <w:pPr>
                    <w:rPr>
                      <w:rFonts w:ascii="Times New Roman" w:eastAsia="Times New Roman" w:hAnsi="Times New Roman" w:cs="Times New Roman"/>
                      <w:lang w:eastAsia="lv-LV"/>
                    </w:rPr>
                  </w:pPr>
                </w:p>
              </w:tc>
              <w:tc>
                <w:tcPr>
                  <w:tcW w:w="3364" w:type="dxa"/>
                </w:tcPr>
                <w:p w14:paraId="7FD8E2AC" w14:textId="77777777" w:rsidR="00FC1B7F" w:rsidRPr="00FE190C" w:rsidRDefault="00FC1B7F" w:rsidP="00FC1B7F">
                  <w:pPr>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Stingrākas prasības nav paredzētas.</w:t>
                  </w:r>
                </w:p>
              </w:tc>
            </w:tr>
            <w:tr w:rsidR="00FC1B7F" w:rsidRPr="00FE190C" w14:paraId="1DEDBB6A" w14:textId="77777777" w:rsidTr="00FE190C">
              <w:trPr>
                <w:trHeight w:val="552"/>
                <w:tblCellSpacing w:w="20" w:type="dxa"/>
                <w:jc w:val="center"/>
              </w:trPr>
              <w:tc>
                <w:tcPr>
                  <w:tcW w:w="3024" w:type="dxa"/>
                </w:tcPr>
                <w:p w14:paraId="57B35276" w14:textId="72BFF057"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Direktīvas 2011/83</w:t>
                  </w:r>
                  <w:r>
                    <w:rPr>
                      <w:rFonts w:ascii="Times New Roman" w:eastAsia="Times New Roman" w:hAnsi="Times New Roman" w:cs="Times New Roman"/>
                      <w:lang w:eastAsia="lv-LV"/>
                    </w:rPr>
                    <w:t>/</w:t>
                  </w:r>
                  <w:r w:rsidRPr="00FE190C">
                    <w:rPr>
                      <w:rFonts w:ascii="Times New Roman" w:eastAsia="Times New Roman" w:hAnsi="Times New Roman" w:cs="Times New Roman"/>
                      <w:lang w:eastAsia="lv-LV"/>
                    </w:rPr>
                    <w:t>ES 10.panta 1.punkts</w:t>
                  </w:r>
                </w:p>
              </w:tc>
              <w:tc>
                <w:tcPr>
                  <w:tcW w:w="1447" w:type="dxa"/>
                </w:tcPr>
                <w:p w14:paraId="156F4B97" w14:textId="6F6EA5ED"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20.punkts</w:t>
                  </w:r>
                </w:p>
              </w:tc>
              <w:tc>
                <w:tcPr>
                  <w:tcW w:w="1708" w:type="dxa"/>
                </w:tcPr>
                <w:p w14:paraId="69B3A7B6" w14:textId="77777777"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Ieviests pilnībā.</w:t>
                  </w:r>
                </w:p>
                <w:p w14:paraId="2C35D260" w14:textId="77777777" w:rsidR="00FC1B7F" w:rsidRPr="00FE190C" w:rsidRDefault="00FC1B7F" w:rsidP="00FC1B7F">
                  <w:pPr>
                    <w:rPr>
                      <w:rFonts w:ascii="Times New Roman" w:eastAsia="Times New Roman" w:hAnsi="Times New Roman" w:cs="Times New Roman"/>
                      <w:lang w:eastAsia="lv-LV"/>
                    </w:rPr>
                  </w:pPr>
                </w:p>
              </w:tc>
              <w:tc>
                <w:tcPr>
                  <w:tcW w:w="3364" w:type="dxa"/>
                </w:tcPr>
                <w:p w14:paraId="27D47DE0" w14:textId="77777777" w:rsidR="00FC1B7F" w:rsidRPr="00FE190C" w:rsidRDefault="00FC1B7F" w:rsidP="00FC1B7F">
                  <w:pPr>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Stingrākas prasības nav paredzētas.</w:t>
                  </w:r>
                </w:p>
              </w:tc>
            </w:tr>
            <w:tr w:rsidR="00FC1B7F" w:rsidRPr="00FE190C" w14:paraId="02996562" w14:textId="77777777" w:rsidTr="00FE190C">
              <w:trPr>
                <w:trHeight w:val="552"/>
                <w:tblCellSpacing w:w="20" w:type="dxa"/>
                <w:jc w:val="center"/>
              </w:trPr>
              <w:tc>
                <w:tcPr>
                  <w:tcW w:w="3024" w:type="dxa"/>
                </w:tcPr>
                <w:p w14:paraId="41E8CC6D" w14:textId="17389AC9"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Direktīvas 2011/83</w:t>
                  </w:r>
                  <w:r>
                    <w:rPr>
                      <w:rFonts w:ascii="Times New Roman" w:eastAsia="Times New Roman" w:hAnsi="Times New Roman" w:cs="Times New Roman"/>
                      <w:lang w:eastAsia="lv-LV"/>
                    </w:rPr>
                    <w:t>/</w:t>
                  </w:r>
                  <w:r w:rsidRPr="00FE190C">
                    <w:rPr>
                      <w:rFonts w:ascii="Times New Roman" w:eastAsia="Times New Roman" w:hAnsi="Times New Roman" w:cs="Times New Roman"/>
                      <w:lang w:eastAsia="lv-LV"/>
                    </w:rPr>
                    <w:t>ES 1</w:t>
                  </w:r>
                  <w:r>
                    <w:rPr>
                      <w:rFonts w:ascii="Times New Roman" w:eastAsia="Times New Roman" w:hAnsi="Times New Roman" w:cs="Times New Roman"/>
                      <w:lang w:eastAsia="lv-LV"/>
                    </w:rPr>
                    <w:t>6</w:t>
                  </w:r>
                  <w:r w:rsidRPr="00FE190C">
                    <w:rPr>
                      <w:rFonts w:ascii="Times New Roman" w:eastAsia="Times New Roman" w:hAnsi="Times New Roman" w:cs="Times New Roman"/>
                      <w:lang w:eastAsia="lv-LV"/>
                    </w:rPr>
                    <w:t xml:space="preserve">.panta </w:t>
                  </w:r>
                  <w:r>
                    <w:rPr>
                      <w:rFonts w:ascii="Times New Roman" w:eastAsia="Times New Roman" w:hAnsi="Times New Roman" w:cs="Times New Roman"/>
                      <w:lang w:eastAsia="lv-LV"/>
                    </w:rPr>
                    <w:t xml:space="preserve">a) </w:t>
                  </w:r>
                  <w:r w:rsidRPr="00FE190C">
                    <w:rPr>
                      <w:rFonts w:ascii="Times New Roman" w:eastAsia="Times New Roman" w:hAnsi="Times New Roman" w:cs="Times New Roman"/>
                      <w:lang w:eastAsia="lv-LV"/>
                    </w:rPr>
                    <w:t>punkts</w:t>
                  </w:r>
                </w:p>
              </w:tc>
              <w:tc>
                <w:tcPr>
                  <w:tcW w:w="1447" w:type="dxa"/>
                </w:tcPr>
                <w:p w14:paraId="1AF745BF" w14:textId="434C0FBC" w:rsidR="00FC1B7F" w:rsidRPr="00FE190C" w:rsidRDefault="00FC1B7F" w:rsidP="00FC1B7F">
                  <w:pPr>
                    <w:rPr>
                      <w:rFonts w:ascii="Times New Roman" w:eastAsia="Times New Roman" w:hAnsi="Times New Roman" w:cs="Times New Roman"/>
                      <w:lang w:eastAsia="lv-LV"/>
                    </w:rPr>
                  </w:pPr>
                  <w:r>
                    <w:rPr>
                      <w:rFonts w:ascii="Times New Roman" w:eastAsia="Times New Roman" w:hAnsi="Times New Roman" w:cs="Times New Roman"/>
                      <w:lang w:eastAsia="lv-LV"/>
                    </w:rPr>
                    <w:t>22.1.apakšpunkts</w:t>
                  </w:r>
                </w:p>
              </w:tc>
              <w:tc>
                <w:tcPr>
                  <w:tcW w:w="1708" w:type="dxa"/>
                </w:tcPr>
                <w:p w14:paraId="52D06597" w14:textId="77777777"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Ieviests pilnībā.</w:t>
                  </w:r>
                </w:p>
                <w:p w14:paraId="1B3B6331" w14:textId="77777777" w:rsidR="00FC1B7F" w:rsidRPr="00FE190C" w:rsidRDefault="00FC1B7F" w:rsidP="00FC1B7F">
                  <w:pPr>
                    <w:rPr>
                      <w:rFonts w:ascii="Times New Roman" w:eastAsia="Times New Roman" w:hAnsi="Times New Roman" w:cs="Times New Roman"/>
                      <w:lang w:eastAsia="lv-LV"/>
                    </w:rPr>
                  </w:pPr>
                </w:p>
              </w:tc>
              <w:tc>
                <w:tcPr>
                  <w:tcW w:w="3364" w:type="dxa"/>
                </w:tcPr>
                <w:p w14:paraId="5059081F" w14:textId="4045799B" w:rsidR="00FC1B7F" w:rsidRPr="00FE190C" w:rsidRDefault="00FC1B7F" w:rsidP="00FC1B7F">
                  <w:pPr>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Stingrākas prasības nav paredzētas.</w:t>
                  </w:r>
                </w:p>
              </w:tc>
            </w:tr>
            <w:tr w:rsidR="00FC1B7F" w:rsidRPr="00FE190C" w14:paraId="43895A5A" w14:textId="77777777" w:rsidTr="00FE190C">
              <w:trPr>
                <w:trHeight w:val="281"/>
                <w:tblCellSpacing w:w="20" w:type="dxa"/>
                <w:jc w:val="center"/>
              </w:trPr>
              <w:tc>
                <w:tcPr>
                  <w:tcW w:w="3024" w:type="dxa"/>
                  <w:hideMark/>
                </w:tcPr>
                <w:p w14:paraId="35A0C6B0" w14:textId="77777777"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Kā ir izmantota ES tiesību aktā paredzētā rīcības brīvība dalībvalstij pārņemt vai ieviest noteiktas ES tiesību akta normas.</w:t>
                  </w:r>
                </w:p>
                <w:p w14:paraId="73F30B9A" w14:textId="77777777"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Kādēļ?</w:t>
                  </w:r>
                </w:p>
              </w:tc>
              <w:tc>
                <w:tcPr>
                  <w:tcW w:w="6599" w:type="dxa"/>
                  <w:gridSpan w:val="3"/>
                  <w:hideMark/>
                </w:tcPr>
                <w:p w14:paraId="7D2A2C61" w14:textId="45D197E4" w:rsidR="00FC1B7F" w:rsidRPr="00FE190C" w:rsidRDefault="00FC1B7F" w:rsidP="00FC1B7F">
                  <w:pPr>
                    <w:jc w:val="both"/>
                    <w:rPr>
                      <w:rFonts w:ascii="Times New Roman" w:eastAsia="Times New Roman" w:hAnsi="Times New Roman" w:cs="Times New Roman"/>
                      <w:iCs/>
                      <w:lang w:eastAsia="lv-LV"/>
                    </w:rPr>
                  </w:pPr>
                  <w:r w:rsidRPr="00FE190C">
                    <w:rPr>
                      <w:rFonts w:ascii="Times New Roman" w:eastAsia="Calibri" w:hAnsi="Times New Roman" w:cs="Times New Roman"/>
                      <w:iCs/>
                    </w:rPr>
                    <w:t>Projekts šo jomu neskar</w:t>
                  </w:r>
                </w:p>
                <w:p w14:paraId="55F56DFD" w14:textId="77777777" w:rsidR="00FC1B7F" w:rsidRPr="00FE190C" w:rsidRDefault="00FC1B7F" w:rsidP="00FC1B7F">
                  <w:pPr>
                    <w:ind w:right="6"/>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 xml:space="preserve">     </w:t>
                  </w:r>
                </w:p>
              </w:tc>
            </w:tr>
            <w:tr w:rsidR="00FC1B7F" w:rsidRPr="00FE190C" w14:paraId="010804DE" w14:textId="77777777" w:rsidTr="00FE190C">
              <w:trPr>
                <w:trHeight w:val="913"/>
                <w:tblCellSpacing w:w="20" w:type="dxa"/>
                <w:jc w:val="center"/>
              </w:trPr>
              <w:tc>
                <w:tcPr>
                  <w:tcW w:w="3024" w:type="dxa"/>
                  <w:vAlign w:val="center"/>
                  <w:hideMark/>
                </w:tcPr>
                <w:p w14:paraId="075C0790" w14:textId="77777777" w:rsidR="00FC1B7F" w:rsidRPr="00FE190C" w:rsidRDefault="00FC1B7F" w:rsidP="00FC1B7F">
                  <w:pPr>
                    <w:rPr>
                      <w:rFonts w:ascii="Times New Roman" w:eastAsia="Times New Roman" w:hAnsi="Times New Roman" w:cs="Times New Roman"/>
                      <w:i/>
                      <w:lang w:eastAsia="lv-LV"/>
                    </w:rPr>
                  </w:pPr>
                  <w:r w:rsidRPr="00FE190C">
                    <w:rPr>
                      <w:rFonts w:ascii="Times New Roman" w:eastAsia="Times New Roman" w:hAnsi="Times New Roman" w:cs="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99" w:type="dxa"/>
                  <w:gridSpan w:val="3"/>
                  <w:hideMark/>
                </w:tcPr>
                <w:p w14:paraId="709AE31F" w14:textId="77777777"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iCs/>
                      <w:lang w:eastAsia="lv-LV"/>
                    </w:rPr>
                    <w:t>Projekts šo jomu neskar</w:t>
                  </w:r>
                </w:p>
              </w:tc>
            </w:tr>
            <w:tr w:rsidR="00FC1B7F" w:rsidRPr="00FE190C" w14:paraId="2CC11D8E" w14:textId="77777777" w:rsidTr="00FE190C">
              <w:trPr>
                <w:trHeight w:val="382"/>
                <w:tblCellSpacing w:w="20" w:type="dxa"/>
                <w:jc w:val="center"/>
              </w:trPr>
              <w:tc>
                <w:tcPr>
                  <w:tcW w:w="3024" w:type="dxa"/>
                  <w:hideMark/>
                </w:tcPr>
                <w:p w14:paraId="2BAF5BA4" w14:textId="77777777" w:rsidR="00FC1B7F" w:rsidRPr="00FE190C" w:rsidRDefault="00FC1B7F" w:rsidP="00FC1B7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Cita informācija</w:t>
                  </w:r>
                </w:p>
              </w:tc>
              <w:tc>
                <w:tcPr>
                  <w:tcW w:w="6599" w:type="dxa"/>
                  <w:gridSpan w:val="3"/>
                  <w:hideMark/>
                </w:tcPr>
                <w:p w14:paraId="015B75C1" w14:textId="77777777" w:rsidR="00FC1B7F" w:rsidRPr="00FE190C" w:rsidRDefault="00FC1B7F" w:rsidP="00FC1B7F">
                  <w:pPr>
                    <w:jc w:val="both"/>
                    <w:rPr>
                      <w:rFonts w:ascii="Times New Roman" w:eastAsia="Times New Roman" w:hAnsi="Times New Roman" w:cs="Times New Roman"/>
                      <w:i/>
                      <w:lang w:eastAsia="lv-LV"/>
                    </w:rPr>
                  </w:pPr>
                  <w:r w:rsidRPr="00FE190C">
                    <w:rPr>
                      <w:rFonts w:ascii="Times New Roman" w:eastAsia="Times New Roman" w:hAnsi="Times New Roman" w:cs="Times New Roman"/>
                      <w:lang w:eastAsia="lv-LV"/>
                    </w:rPr>
                    <w:t xml:space="preserve">     Nav</w:t>
                  </w:r>
                </w:p>
              </w:tc>
            </w:tr>
          </w:tbl>
          <w:p w14:paraId="37962F4B" w14:textId="77777777" w:rsidR="00FE190C" w:rsidRPr="00FE190C" w:rsidRDefault="00FE190C" w:rsidP="00544C0B">
            <w:pPr>
              <w:rPr>
                <w:rFonts w:ascii="Times New Roman" w:eastAsia="Times New Roman" w:hAnsi="Times New Roman" w:cs="Times New Roman"/>
                <w:lang w:eastAsia="lv-LV"/>
              </w:rPr>
            </w:pPr>
          </w:p>
          <w:tbl>
            <w:tblPr>
              <w:tblW w:w="9854"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30" w:type="dxa"/>
                <w:left w:w="30" w:type="dxa"/>
                <w:bottom w:w="30" w:type="dxa"/>
                <w:right w:w="30" w:type="dxa"/>
              </w:tblCellMar>
              <w:tblLook w:val="04A0" w:firstRow="1" w:lastRow="0" w:firstColumn="1" w:lastColumn="0" w:noHBand="0" w:noVBand="1"/>
            </w:tblPr>
            <w:tblGrid>
              <w:gridCol w:w="811"/>
              <w:gridCol w:w="2831"/>
              <w:gridCol w:w="6132"/>
              <w:gridCol w:w="80"/>
            </w:tblGrid>
            <w:tr w:rsidR="0057037A" w:rsidRPr="00FE190C" w14:paraId="0E958B9A" w14:textId="77777777" w:rsidTr="00FE190C">
              <w:trPr>
                <w:gridAfter w:val="1"/>
                <w:wAfter w:w="80" w:type="dxa"/>
                <w:trHeight w:val="420"/>
                <w:jc w:val="center"/>
              </w:trPr>
              <w:tc>
                <w:tcPr>
                  <w:tcW w:w="9774" w:type="dxa"/>
                  <w:gridSpan w:val="3"/>
                  <w:vAlign w:val="center"/>
                  <w:hideMark/>
                </w:tcPr>
                <w:p w14:paraId="4DE96A08" w14:textId="77777777" w:rsidR="00F32DFC" w:rsidRPr="00FE190C" w:rsidRDefault="007304A3" w:rsidP="00026249">
                  <w:pPr>
                    <w:spacing w:before="100" w:beforeAutospacing="1" w:after="100" w:afterAutospacing="1" w:line="315" w:lineRule="atLeast"/>
                    <w:jc w:val="center"/>
                    <w:rPr>
                      <w:rFonts w:ascii="Times New Roman" w:eastAsia="Times New Roman" w:hAnsi="Times New Roman" w:cs="Times New Roman"/>
                      <w:b/>
                      <w:bCs/>
                      <w:lang w:eastAsia="lv-LV"/>
                    </w:rPr>
                  </w:pPr>
                  <w:r w:rsidRPr="00FE190C">
                    <w:rPr>
                      <w:rFonts w:ascii="Times New Roman" w:eastAsia="Times New Roman" w:hAnsi="Times New Roman" w:cs="Times New Roman"/>
                      <w:b/>
                      <w:bCs/>
                      <w:lang w:eastAsia="lv-LV"/>
                    </w:rPr>
                    <w:t>VI. Sabiedrības līdzdalība un komunikācijas aktivitātes</w:t>
                  </w:r>
                </w:p>
              </w:tc>
            </w:tr>
            <w:tr w:rsidR="0057037A" w:rsidRPr="00FE190C" w14:paraId="0CB3FF0A" w14:textId="77777777" w:rsidTr="00FE190C">
              <w:trPr>
                <w:gridAfter w:val="1"/>
                <w:wAfter w:w="80" w:type="dxa"/>
                <w:trHeight w:val="540"/>
                <w:jc w:val="center"/>
              </w:trPr>
              <w:tc>
                <w:tcPr>
                  <w:tcW w:w="811" w:type="dxa"/>
                  <w:hideMark/>
                </w:tcPr>
                <w:p w14:paraId="1A194C7E" w14:textId="77777777" w:rsidR="007304A3" w:rsidRPr="00FE190C" w:rsidRDefault="007304A3" w:rsidP="00026249">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1.</w:t>
                  </w:r>
                </w:p>
              </w:tc>
              <w:tc>
                <w:tcPr>
                  <w:tcW w:w="2831" w:type="dxa"/>
                  <w:hideMark/>
                </w:tcPr>
                <w:p w14:paraId="5798446E" w14:textId="77777777" w:rsidR="007304A3" w:rsidRPr="00FE190C" w:rsidRDefault="007304A3" w:rsidP="00026249">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Plānotās sabiedrības līdzdalības un komunikācijas aktivitātes saistībā ar projektu</w:t>
                  </w:r>
                </w:p>
              </w:tc>
              <w:tc>
                <w:tcPr>
                  <w:tcW w:w="6132" w:type="dxa"/>
                  <w:hideMark/>
                </w:tcPr>
                <w:p w14:paraId="6B25778A" w14:textId="77777777" w:rsidR="00635F2F" w:rsidRPr="00FE190C" w:rsidRDefault="00635F2F" w:rsidP="00635F2F">
                  <w:pPr>
                    <w:pStyle w:val="naiskr"/>
                    <w:spacing w:before="0" w:after="0"/>
                    <w:ind w:left="57" w:right="57"/>
                    <w:jc w:val="both"/>
                    <w:rPr>
                      <w:iCs/>
                      <w:sz w:val="22"/>
                      <w:szCs w:val="22"/>
                    </w:rPr>
                  </w:pPr>
                  <w:r w:rsidRPr="00FE190C">
                    <w:rPr>
                      <w:iCs/>
                      <w:sz w:val="22"/>
                      <w:szCs w:val="22"/>
                    </w:rPr>
                    <w:t>Sabiedrības informēšana par Noteikumu projektu nodrošināta, proti, Noteikumu projekts 2016.gada 1.aprīlī ir publicēts Ekonomikas ministrijas mājas lapā.</w:t>
                  </w:r>
                </w:p>
                <w:p w14:paraId="592F754D" w14:textId="0597C76B" w:rsidR="00126C60" w:rsidRPr="00FE190C" w:rsidRDefault="00FC1B7F" w:rsidP="00635F2F">
                  <w:pPr>
                    <w:pStyle w:val="naiskr"/>
                    <w:spacing w:before="0" w:after="0"/>
                    <w:ind w:left="57" w:right="57"/>
                    <w:jc w:val="both"/>
                    <w:rPr>
                      <w:iCs/>
                      <w:sz w:val="22"/>
                      <w:szCs w:val="22"/>
                    </w:rPr>
                  </w:pPr>
                  <w:r>
                    <w:rPr>
                      <w:sz w:val="22"/>
                    </w:rPr>
                    <w:lastRenderedPageBreak/>
                    <w:t>Noteikumu projekts</w:t>
                  </w:r>
                  <w:r w:rsidRPr="00B01CE4">
                    <w:rPr>
                      <w:sz w:val="22"/>
                      <w:szCs w:val="22"/>
                    </w:rPr>
                    <w:t xml:space="preserve"> izsludināts 2016.gada 26.maijā Valsts sekretāru sanāksmē (Prot. Nr.21 6.§, VSS-500)</w:t>
                  </w:r>
                  <w:r>
                    <w:rPr>
                      <w:sz w:val="22"/>
                      <w:szCs w:val="22"/>
                    </w:rPr>
                    <w:t>.</w:t>
                  </w:r>
                </w:p>
              </w:tc>
            </w:tr>
            <w:tr w:rsidR="00635F2F" w:rsidRPr="00FE190C" w14:paraId="722B1F87" w14:textId="77777777" w:rsidTr="00FE190C">
              <w:trPr>
                <w:gridAfter w:val="1"/>
                <w:wAfter w:w="80" w:type="dxa"/>
                <w:trHeight w:val="330"/>
                <w:jc w:val="center"/>
              </w:trPr>
              <w:tc>
                <w:tcPr>
                  <w:tcW w:w="811" w:type="dxa"/>
                  <w:hideMark/>
                </w:tcPr>
                <w:p w14:paraId="704BE3F8" w14:textId="12EEDE9F" w:rsidR="00635F2F" w:rsidRPr="00FE190C" w:rsidRDefault="00635F2F" w:rsidP="00635F2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lastRenderedPageBreak/>
                    <w:t>2.</w:t>
                  </w:r>
                </w:p>
              </w:tc>
              <w:tc>
                <w:tcPr>
                  <w:tcW w:w="2831" w:type="dxa"/>
                  <w:hideMark/>
                </w:tcPr>
                <w:p w14:paraId="2A7589EC" w14:textId="77777777" w:rsidR="00635F2F" w:rsidRPr="00FE190C" w:rsidRDefault="00635F2F" w:rsidP="00635F2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Sabiedrības līdzdalība projekta izstrādē</w:t>
                  </w:r>
                </w:p>
              </w:tc>
              <w:tc>
                <w:tcPr>
                  <w:tcW w:w="6132" w:type="dxa"/>
                  <w:hideMark/>
                </w:tcPr>
                <w:p w14:paraId="2ACA179C" w14:textId="77777777" w:rsidR="00635F2F" w:rsidRPr="00FC1B7F" w:rsidRDefault="00635F2F" w:rsidP="00635F2F">
                  <w:pPr>
                    <w:jc w:val="both"/>
                    <w:rPr>
                      <w:rFonts w:ascii="Times New Roman" w:hAnsi="Times New Roman" w:cs="Times New Roman"/>
                      <w:iCs/>
                    </w:rPr>
                  </w:pPr>
                  <w:r w:rsidRPr="00FE190C">
                    <w:rPr>
                      <w:rStyle w:val="st1"/>
                      <w:rFonts w:ascii="Times New Roman" w:hAnsi="Times New Roman" w:cs="Times New Roman"/>
                      <w:bCs/>
                    </w:rPr>
                    <w:t>S</w:t>
                  </w:r>
                  <w:r w:rsidRPr="00FE190C">
                    <w:rPr>
                      <w:rFonts w:ascii="Times New Roman" w:hAnsi="Times New Roman" w:cs="Times New Roman"/>
                      <w:iCs/>
                    </w:rPr>
                    <w:t xml:space="preserve">abiedrības līdzdalība projekta izstrādē nodrošināta, to 2016.gada 1.aprīlī </w:t>
                  </w:r>
                  <w:r w:rsidRPr="00FC1B7F">
                    <w:rPr>
                      <w:rFonts w:ascii="Times New Roman" w:hAnsi="Times New Roman" w:cs="Times New Roman"/>
                      <w:iCs/>
                    </w:rPr>
                    <w:t>publicējot Ekonomikas ministrijas mājas lapā.</w:t>
                  </w:r>
                </w:p>
                <w:p w14:paraId="1104164D" w14:textId="77777777" w:rsidR="00FC1B7F" w:rsidRPr="00FC1B7F" w:rsidRDefault="00FC1B7F" w:rsidP="00FC1B7F">
                  <w:pPr>
                    <w:jc w:val="both"/>
                    <w:rPr>
                      <w:rFonts w:ascii="Times New Roman" w:hAnsi="Times New Roman" w:cs="Times New Roman"/>
                    </w:rPr>
                  </w:pPr>
                  <w:r w:rsidRPr="00FC1B7F">
                    <w:rPr>
                      <w:rFonts w:ascii="Times New Roman" w:hAnsi="Times New Roman" w:cs="Times New Roman"/>
                    </w:rPr>
                    <w:t xml:space="preserve">Pēc Noteikumu projekta izsludināšanas Valsts sekretāru sanāksmē tika saņemti iebildumi no Finanšu ministrijas, Tieslietu ministrijas. Visi iebildumi tika ņemti vērā.   </w:t>
                  </w:r>
                </w:p>
                <w:p w14:paraId="64D83BAC" w14:textId="77777777" w:rsidR="00FC1B7F" w:rsidRPr="00FC1B7F" w:rsidRDefault="00FC1B7F" w:rsidP="00FC1B7F">
                  <w:pPr>
                    <w:jc w:val="both"/>
                    <w:rPr>
                      <w:rFonts w:ascii="Times New Roman" w:hAnsi="Times New Roman" w:cs="Times New Roman"/>
                    </w:rPr>
                  </w:pPr>
                  <w:r w:rsidRPr="00FC1B7F">
                    <w:rPr>
                      <w:rFonts w:ascii="Times New Roman" w:hAnsi="Times New Roman" w:cs="Times New Roman"/>
                    </w:rPr>
                    <w:t xml:space="preserve">2016.gada 16.jūnijā Noteikumu projekts tika nosūtīts elektroniskai saskaņošanai. Tika saņemts viens iebildums no Finanšu ministrijas. </w:t>
                  </w:r>
                </w:p>
                <w:p w14:paraId="7A38DAB4" w14:textId="2903925A" w:rsidR="00FC1B7F" w:rsidRPr="00FC1B7F" w:rsidRDefault="00FC1B7F" w:rsidP="00FC1B7F">
                  <w:pPr>
                    <w:jc w:val="both"/>
                    <w:rPr>
                      <w:rFonts w:ascii="Times New Roman" w:hAnsi="Times New Roman" w:cs="Times New Roman"/>
                    </w:rPr>
                  </w:pPr>
                  <w:r w:rsidRPr="00FC1B7F">
                    <w:rPr>
                      <w:rFonts w:ascii="Times New Roman" w:hAnsi="Times New Roman" w:cs="Times New Roman"/>
                    </w:rPr>
                    <w:t>2016.gada 4.jūlijā Noteikumu projekts tika nosūtīts atkārtotai elektroniskai saskaņošanai. Iebildumi netika saņemti.</w:t>
                  </w:r>
                </w:p>
              </w:tc>
            </w:tr>
            <w:tr w:rsidR="00635F2F" w:rsidRPr="00FE190C" w14:paraId="577839B1" w14:textId="77777777" w:rsidTr="00FE190C">
              <w:trPr>
                <w:trHeight w:val="465"/>
                <w:jc w:val="center"/>
              </w:trPr>
              <w:tc>
                <w:tcPr>
                  <w:tcW w:w="811" w:type="dxa"/>
                  <w:hideMark/>
                </w:tcPr>
                <w:p w14:paraId="7B656CDC" w14:textId="77777777" w:rsidR="00635F2F" w:rsidRPr="00FE190C" w:rsidRDefault="00635F2F" w:rsidP="00635F2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3.</w:t>
                  </w:r>
                </w:p>
              </w:tc>
              <w:tc>
                <w:tcPr>
                  <w:tcW w:w="2831" w:type="dxa"/>
                  <w:hideMark/>
                </w:tcPr>
                <w:p w14:paraId="7D0E26A2" w14:textId="77777777" w:rsidR="00635F2F" w:rsidRPr="00FE190C" w:rsidRDefault="00635F2F" w:rsidP="00635F2F">
                  <w:pPr>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Sabiedrības līdzdalības rezultāti</w:t>
                  </w:r>
                </w:p>
              </w:tc>
              <w:tc>
                <w:tcPr>
                  <w:tcW w:w="6132" w:type="dxa"/>
                  <w:hideMark/>
                </w:tcPr>
                <w:p w14:paraId="703A3C74" w14:textId="1D1A66F7" w:rsidR="00635F2F" w:rsidRPr="00FE190C" w:rsidRDefault="00FC1B7F" w:rsidP="00635F2F">
                  <w:pPr>
                    <w:jc w:val="both"/>
                    <w:rPr>
                      <w:rFonts w:ascii="Times New Roman" w:hAnsi="Times New Roman" w:cs="Times New Roman"/>
                      <w:lang w:eastAsia="lv-LV"/>
                    </w:rPr>
                  </w:pPr>
                  <w:r w:rsidRPr="00FC1B7F">
                    <w:rPr>
                      <w:rFonts w:ascii="Times New Roman" w:hAnsi="Times New Roman" w:cs="Times New Roman"/>
                    </w:rPr>
                    <w:t xml:space="preserve">Noteikumu projekts ir saskaņots ar </w:t>
                  </w:r>
                  <w:r w:rsidRPr="00FC1B7F">
                    <w:rPr>
                      <w:rFonts w:ascii="Times New Roman" w:eastAsia="Times New Roman" w:hAnsi="Times New Roman" w:cs="Times New Roman"/>
                      <w:lang w:eastAsia="lv-LV"/>
                    </w:rPr>
                    <w:t>Tieslietu ministriju, Finanšu ministriju, Vides aizsardzības un reģionālās attīstības ministriju,  Latvijas Darba devēju konfederāciju un Latvijas Tirdzniecības un rūpniecības kameru.</w:t>
                  </w:r>
                </w:p>
              </w:tc>
              <w:tc>
                <w:tcPr>
                  <w:tcW w:w="80" w:type="dxa"/>
                </w:tcPr>
                <w:p w14:paraId="732E257C" w14:textId="052E24E8" w:rsidR="00635F2F" w:rsidRPr="00FE190C" w:rsidRDefault="00635F2F">
                  <w:pPr>
                    <w:rPr>
                      <w:rFonts w:ascii="Times New Roman" w:hAnsi="Times New Roman" w:cs="Times New Roman"/>
                    </w:rPr>
                  </w:pPr>
                  <w:r w:rsidRPr="00FE190C">
                    <w:rPr>
                      <w:rFonts w:ascii="Times New Roman" w:hAnsi="Times New Roman" w:cs="Times New Roman"/>
                    </w:rPr>
                    <w:tab/>
                  </w:r>
                </w:p>
              </w:tc>
            </w:tr>
            <w:tr w:rsidR="00635F2F" w:rsidRPr="00FE190C" w14:paraId="1F84CB3B" w14:textId="77777777" w:rsidTr="00FE190C">
              <w:trPr>
                <w:gridAfter w:val="1"/>
                <w:wAfter w:w="80" w:type="dxa"/>
                <w:trHeight w:val="309"/>
                <w:jc w:val="center"/>
              </w:trPr>
              <w:tc>
                <w:tcPr>
                  <w:tcW w:w="811" w:type="dxa"/>
                  <w:hideMark/>
                </w:tcPr>
                <w:p w14:paraId="4C6108A5" w14:textId="5CD5CDB8" w:rsidR="00635F2F" w:rsidRPr="00FE190C" w:rsidRDefault="00635F2F" w:rsidP="00635F2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4.</w:t>
                  </w:r>
                </w:p>
              </w:tc>
              <w:tc>
                <w:tcPr>
                  <w:tcW w:w="2831" w:type="dxa"/>
                  <w:hideMark/>
                </w:tcPr>
                <w:p w14:paraId="419592DC" w14:textId="77777777" w:rsidR="00635F2F" w:rsidRPr="00FE190C" w:rsidRDefault="00635F2F" w:rsidP="00635F2F">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Cita informācija</w:t>
                  </w:r>
                </w:p>
              </w:tc>
              <w:tc>
                <w:tcPr>
                  <w:tcW w:w="6132" w:type="dxa"/>
                  <w:hideMark/>
                </w:tcPr>
                <w:p w14:paraId="222FD17F" w14:textId="77777777" w:rsidR="00635F2F" w:rsidRPr="00FE190C" w:rsidRDefault="00635F2F" w:rsidP="00635F2F">
                  <w:pPr>
                    <w:spacing w:before="100" w:beforeAutospacing="1" w:after="100" w:afterAutospacing="1" w:line="315" w:lineRule="atLeast"/>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Nav</w:t>
                  </w:r>
                </w:p>
              </w:tc>
            </w:tr>
          </w:tbl>
          <w:p w14:paraId="2FA3BCFE" w14:textId="77777777" w:rsidR="00FE190C" w:rsidRPr="00FE190C" w:rsidRDefault="00FE190C" w:rsidP="00171D2E">
            <w:pPr>
              <w:shd w:val="clear" w:color="auto" w:fill="FFFFFF"/>
              <w:rPr>
                <w:rFonts w:ascii="Times New Roman" w:eastAsia="Times New Roman" w:hAnsi="Times New Roman" w:cs="Times New Roman"/>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45"/>
              <w:gridCol w:w="4350"/>
              <w:gridCol w:w="4928"/>
            </w:tblGrid>
            <w:tr w:rsidR="0057037A" w:rsidRPr="00FE190C" w14:paraId="609EEC58" w14:textId="77777777" w:rsidTr="00157C48">
              <w:trPr>
                <w:trHeight w:val="375"/>
                <w:tblCellSpacing w:w="15" w:type="dxa"/>
                <w:jc w:val="center"/>
              </w:trPr>
              <w:tc>
                <w:tcPr>
                  <w:tcW w:w="4968" w:type="pct"/>
                  <w:gridSpan w:val="3"/>
                  <w:vAlign w:val="center"/>
                  <w:hideMark/>
                </w:tcPr>
                <w:p w14:paraId="66AEF2A1" w14:textId="77777777" w:rsidR="00A97E7D" w:rsidRPr="00FE190C" w:rsidRDefault="00A97E7D" w:rsidP="00544C0B">
                  <w:pPr>
                    <w:jc w:val="center"/>
                    <w:rPr>
                      <w:rFonts w:ascii="Times New Roman" w:eastAsia="Times New Roman" w:hAnsi="Times New Roman" w:cs="Times New Roman"/>
                      <w:b/>
                      <w:bCs/>
                      <w:lang w:eastAsia="lv-LV"/>
                    </w:rPr>
                  </w:pPr>
                  <w:r w:rsidRPr="00FE190C">
                    <w:rPr>
                      <w:rFonts w:ascii="Times New Roman" w:eastAsia="Times New Roman" w:hAnsi="Times New Roman" w:cs="Times New Roman"/>
                      <w:b/>
                      <w:bCs/>
                      <w:lang w:eastAsia="lv-LV"/>
                    </w:rPr>
                    <w:t>VII. Tiesību akta projekta izpildes nodrošināšana un tās ietekme uz institūcijām</w:t>
                  </w:r>
                </w:p>
              </w:tc>
            </w:tr>
            <w:tr w:rsidR="0057037A" w:rsidRPr="00FE190C" w14:paraId="47F8FDC2" w14:textId="77777777" w:rsidTr="00A06342">
              <w:trPr>
                <w:trHeight w:val="285"/>
                <w:tblCellSpacing w:w="15" w:type="dxa"/>
                <w:jc w:val="center"/>
              </w:trPr>
              <w:tc>
                <w:tcPr>
                  <w:tcW w:w="256" w:type="pct"/>
                  <w:hideMark/>
                </w:tcPr>
                <w:p w14:paraId="4BDDCE59"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1.</w:t>
                  </w:r>
                </w:p>
              </w:tc>
              <w:tc>
                <w:tcPr>
                  <w:tcW w:w="2212" w:type="pct"/>
                  <w:hideMark/>
                </w:tcPr>
                <w:p w14:paraId="5DCAD6EF" w14:textId="16750122" w:rsidR="00A97E7D" w:rsidRPr="00FE190C" w:rsidRDefault="00A97E7D" w:rsidP="00655F9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Projekta izpildē iesaistītās institūcijas</w:t>
                  </w:r>
                </w:p>
              </w:tc>
              <w:tc>
                <w:tcPr>
                  <w:tcW w:w="2468" w:type="pct"/>
                  <w:hideMark/>
                </w:tcPr>
                <w:p w14:paraId="49A487C2" w14:textId="482EC7FF" w:rsidR="000E56D8" w:rsidRPr="00FE190C" w:rsidRDefault="00AF678D" w:rsidP="00544C0B">
                  <w:pPr>
                    <w:ind w:left="57" w:right="57"/>
                    <w:jc w:val="both"/>
                    <w:rPr>
                      <w:rFonts w:ascii="Times New Roman" w:eastAsia="Times New Roman" w:hAnsi="Times New Roman" w:cs="Times New Roman"/>
                      <w:lang w:eastAsia="lv-LV"/>
                    </w:rPr>
                  </w:pPr>
                  <w:r w:rsidRPr="00FE190C">
                    <w:rPr>
                      <w:rFonts w:ascii="Times New Roman" w:hAnsi="Times New Roman" w:cs="Times New Roman"/>
                      <w:iCs/>
                    </w:rPr>
                    <w:t>Patērētāju tiesību aizsardzības centrs</w:t>
                  </w:r>
                </w:p>
              </w:tc>
            </w:tr>
            <w:tr w:rsidR="0057037A" w:rsidRPr="00FE190C" w14:paraId="5E256C62" w14:textId="77777777" w:rsidTr="00157C48">
              <w:trPr>
                <w:trHeight w:val="450"/>
                <w:tblCellSpacing w:w="15" w:type="dxa"/>
                <w:jc w:val="center"/>
              </w:trPr>
              <w:tc>
                <w:tcPr>
                  <w:tcW w:w="256" w:type="pct"/>
                  <w:hideMark/>
                </w:tcPr>
                <w:p w14:paraId="362BE4FA"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2.</w:t>
                  </w:r>
                </w:p>
              </w:tc>
              <w:tc>
                <w:tcPr>
                  <w:tcW w:w="2212" w:type="pct"/>
                  <w:hideMark/>
                </w:tcPr>
                <w:p w14:paraId="4CFC1B11"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 xml:space="preserve">Projekta izpildes ietekme uz pārvaldes funkcijām un institucionālo struktūru. </w:t>
                  </w:r>
                </w:p>
                <w:p w14:paraId="7EA7499E"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468" w:type="pct"/>
                  <w:hideMark/>
                </w:tcPr>
                <w:p w14:paraId="50E0E105" w14:textId="41508644" w:rsidR="00A97E7D" w:rsidRPr="00FE190C" w:rsidRDefault="00372D28" w:rsidP="00AF678D">
                  <w:pPr>
                    <w:pStyle w:val="naisf"/>
                    <w:spacing w:before="0" w:after="0"/>
                    <w:ind w:left="57" w:right="57" w:firstLine="0"/>
                    <w:rPr>
                      <w:sz w:val="22"/>
                      <w:szCs w:val="22"/>
                    </w:rPr>
                  </w:pPr>
                  <w:r w:rsidRPr="00FE190C">
                    <w:rPr>
                      <w:iCs/>
                      <w:sz w:val="22"/>
                      <w:szCs w:val="22"/>
                    </w:rPr>
                    <w:t xml:space="preserve">Projekts neietekmē </w:t>
                  </w:r>
                  <w:r w:rsidRPr="00FE190C">
                    <w:rPr>
                      <w:sz w:val="22"/>
                      <w:szCs w:val="22"/>
                    </w:rPr>
                    <w:t xml:space="preserve">pārvaldes institucionālo struktūru. Jaunas institūcijas netiek izveidotas, likvidētas vai reorganizētas, kā arī </w:t>
                  </w:r>
                  <w:r w:rsidR="00AF678D" w:rsidRPr="00FE190C">
                    <w:rPr>
                      <w:sz w:val="22"/>
                      <w:szCs w:val="22"/>
                    </w:rPr>
                    <w:t>noteikumu projekts</w:t>
                  </w:r>
                  <w:r w:rsidRPr="00FE190C">
                    <w:rPr>
                      <w:sz w:val="22"/>
                      <w:szCs w:val="22"/>
                    </w:rPr>
                    <w:t xml:space="preserve"> neietekmē institūciju cilvēkresursus.</w:t>
                  </w:r>
                </w:p>
              </w:tc>
            </w:tr>
            <w:tr w:rsidR="0057037A" w:rsidRPr="00FE190C" w14:paraId="6DE19EDC" w14:textId="77777777" w:rsidTr="00A06342">
              <w:trPr>
                <w:trHeight w:val="240"/>
                <w:tblCellSpacing w:w="15" w:type="dxa"/>
                <w:jc w:val="center"/>
              </w:trPr>
              <w:tc>
                <w:tcPr>
                  <w:tcW w:w="256" w:type="pct"/>
                  <w:hideMark/>
                </w:tcPr>
                <w:p w14:paraId="5CBBD732"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3.</w:t>
                  </w:r>
                </w:p>
              </w:tc>
              <w:tc>
                <w:tcPr>
                  <w:tcW w:w="2212" w:type="pct"/>
                  <w:hideMark/>
                </w:tcPr>
                <w:p w14:paraId="2D3B9313" w14:textId="77777777" w:rsidR="00A97E7D" w:rsidRPr="00FE190C" w:rsidRDefault="00A97E7D" w:rsidP="00544C0B">
                  <w:pPr>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Cita informācija</w:t>
                  </w:r>
                </w:p>
              </w:tc>
              <w:tc>
                <w:tcPr>
                  <w:tcW w:w="2468" w:type="pct"/>
                  <w:hideMark/>
                </w:tcPr>
                <w:p w14:paraId="618607AF" w14:textId="77777777" w:rsidR="00A97E7D" w:rsidRPr="00FE190C" w:rsidRDefault="0005443F" w:rsidP="0005443F">
                  <w:pPr>
                    <w:ind w:left="57" w:right="57"/>
                    <w:jc w:val="both"/>
                    <w:rPr>
                      <w:rFonts w:ascii="Times New Roman" w:eastAsia="Times New Roman" w:hAnsi="Times New Roman" w:cs="Times New Roman"/>
                      <w:lang w:eastAsia="lv-LV"/>
                    </w:rPr>
                  </w:pPr>
                  <w:r w:rsidRPr="00FE190C">
                    <w:rPr>
                      <w:rFonts w:ascii="Times New Roman" w:eastAsia="Times New Roman" w:hAnsi="Times New Roman" w:cs="Times New Roman"/>
                      <w:lang w:eastAsia="lv-LV"/>
                    </w:rPr>
                    <w:t>Nav</w:t>
                  </w:r>
                </w:p>
              </w:tc>
            </w:tr>
          </w:tbl>
          <w:p w14:paraId="03985968" w14:textId="77777777" w:rsidR="00A97E7D" w:rsidRPr="00FE190C" w:rsidRDefault="00A97E7D" w:rsidP="00544C0B">
            <w:pPr>
              <w:rPr>
                <w:rFonts w:ascii="Times New Roman" w:eastAsia="Times New Roman" w:hAnsi="Times New Roman" w:cs="Times New Roman"/>
                <w:lang w:eastAsia="lv-LV"/>
              </w:rPr>
            </w:pPr>
          </w:p>
        </w:tc>
      </w:tr>
      <w:tr w:rsidR="007A4DCE" w:rsidRPr="00FE190C" w14:paraId="7939965E" w14:textId="77777777" w:rsidTr="00722F5C">
        <w:trPr>
          <w:trHeight w:val="128"/>
        </w:trPr>
        <w:tc>
          <w:tcPr>
            <w:tcW w:w="5000" w:type="pct"/>
            <w:tcBorders>
              <w:top w:val="nil"/>
              <w:left w:val="nil"/>
              <w:bottom w:val="nil"/>
              <w:right w:val="nil"/>
            </w:tcBorders>
          </w:tcPr>
          <w:p w14:paraId="33C72094" w14:textId="77777777" w:rsidR="007A4DCE" w:rsidRPr="00FE190C" w:rsidRDefault="007A4DCE" w:rsidP="00234C0B">
            <w:pPr>
              <w:rPr>
                <w:rFonts w:ascii="Times New Roman" w:eastAsia="Times New Roman" w:hAnsi="Times New Roman" w:cs="Times New Roman"/>
                <w:b/>
                <w:bCs/>
                <w:lang w:eastAsia="lv-LV"/>
              </w:rPr>
            </w:pPr>
          </w:p>
        </w:tc>
      </w:tr>
    </w:tbl>
    <w:p w14:paraId="58CD080B" w14:textId="78BAB7CC" w:rsidR="00F46E5E" w:rsidRPr="00FE190C" w:rsidRDefault="00316B0D" w:rsidP="00A97E7D">
      <w:pPr>
        <w:tabs>
          <w:tab w:val="left" w:pos="990"/>
        </w:tabs>
        <w:rPr>
          <w:rFonts w:ascii="Times New Roman" w:eastAsia="Times New Roman" w:hAnsi="Times New Roman" w:cs="Times New Roman"/>
          <w:lang w:eastAsia="lv-LV"/>
        </w:rPr>
      </w:pPr>
      <w:r w:rsidRPr="00FE190C">
        <w:rPr>
          <w:rFonts w:ascii="Times New Roman" w:hAnsi="Times New Roman" w:cs="Times New Roman"/>
          <w:i/>
          <w:iCs/>
        </w:rPr>
        <w:t>Anotācijas III un</w:t>
      </w:r>
      <w:r w:rsidR="00F46E5E" w:rsidRPr="00FE190C">
        <w:rPr>
          <w:rFonts w:ascii="Times New Roman" w:hAnsi="Times New Roman" w:cs="Times New Roman"/>
          <w:i/>
          <w:iCs/>
        </w:rPr>
        <w:t xml:space="preserve"> IV</w:t>
      </w:r>
      <w:r w:rsidRPr="00FE190C">
        <w:rPr>
          <w:rFonts w:ascii="Times New Roman" w:hAnsi="Times New Roman" w:cs="Times New Roman"/>
          <w:i/>
          <w:iCs/>
        </w:rPr>
        <w:t xml:space="preserve"> </w:t>
      </w:r>
      <w:r w:rsidR="00F46E5E" w:rsidRPr="00FE190C">
        <w:rPr>
          <w:rFonts w:ascii="Times New Roman" w:hAnsi="Times New Roman" w:cs="Times New Roman"/>
          <w:i/>
          <w:iCs/>
        </w:rPr>
        <w:t>– projekts šīs jomas neskar.</w:t>
      </w:r>
    </w:p>
    <w:p w14:paraId="04E0FF2C" w14:textId="2FBB1357" w:rsidR="00BE23CD" w:rsidRDefault="00BE23CD" w:rsidP="00BE23CD">
      <w:pPr>
        <w:tabs>
          <w:tab w:val="right" w:pos="8647"/>
        </w:tabs>
        <w:spacing w:before="480" w:after="240"/>
        <w:ind w:right="8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Ministru prezidents</w:t>
      </w:r>
      <w:r>
        <w:rPr>
          <w:rFonts w:ascii="Times New Roman" w:eastAsia="Times New Roman" w:hAnsi="Times New Roman" w:cs="Times New Roman"/>
          <w:sz w:val="26"/>
          <w:szCs w:val="26"/>
          <w:lang w:eastAsia="lv-LV"/>
        </w:rPr>
        <w:tab/>
        <w:t xml:space="preserve">  </w:t>
      </w:r>
      <w:proofErr w:type="spellStart"/>
      <w:r>
        <w:rPr>
          <w:rFonts w:ascii="Times New Roman" w:eastAsia="Times New Roman" w:hAnsi="Times New Roman" w:cs="Times New Roman"/>
          <w:sz w:val="26"/>
          <w:szCs w:val="26"/>
          <w:lang w:eastAsia="lv-LV"/>
        </w:rPr>
        <w:t>M.Kučinskis</w:t>
      </w:r>
      <w:proofErr w:type="spellEnd"/>
    </w:p>
    <w:p w14:paraId="46A9E43B" w14:textId="77777777" w:rsidR="00BE23CD" w:rsidRDefault="00BE23CD" w:rsidP="00BE23CD">
      <w:pPr>
        <w:tabs>
          <w:tab w:val="left" w:pos="6521"/>
        </w:tabs>
        <w:rPr>
          <w:rFonts w:ascii="Times New Roman" w:hAnsi="Times New Roman" w:cs="Times New Roman"/>
          <w:bCs/>
          <w:iCs/>
          <w:sz w:val="26"/>
          <w:szCs w:val="26"/>
        </w:rPr>
      </w:pPr>
      <w:r>
        <w:rPr>
          <w:rFonts w:ascii="Times New Roman" w:hAnsi="Times New Roman" w:cs="Times New Roman"/>
          <w:bCs/>
          <w:iCs/>
          <w:sz w:val="26"/>
          <w:szCs w:val="26"/>
        </w:rPr>
        <w:t>Ministru prezidenta biedrs,</w:t>
      </w:r>
    </w:p>
    <w:p w14:paraId="7EA59830" w14:textId="77777777" w:rsidR="00BE23CD" w:rsidRDefault="00BE23CD" w:rsidP="00BE23CD">
      <w:pPr>
        <w:tabs>
          <w:tab w:val="left" w:pos="7371"/>
        </w:tabs>
        <w:rPr>
          <w:rFonts w:ascii="Times New Roman" w:hAnsi="Times New Roman" w:cs="Times New Roman"/>
          <w:bCs/>
          <w:iCs/>
          <w:sz w:val="26"/>
          <w:szCs w:val="26"/>
        </w:rPr>
      </w:pPr>
      <w:r>
        <w:rPr>
          <w:rFonts w:ascii="Times New Roman" w:hAnsi="Times New Roman" w:cs="Times New Roman"/>
          <w:bCs/>
          <w:iCs/>
          <w:sz w:val="26"/>
          <w:szCs w:val="26"/>
        </w:rPr>
        <w:t>ekonomikas ministrs</w:t>
      </w:r>
      <w:r>
        <w:rPr>
          <w:rFonts w:ascii="Times New Roman" w:hAnsi="Times New Roman" w:cs="Times New Roman"/>
          <w:bCs/>
          <w:iCs/>
          <w:sz w:val="26"/>
          <w:szCs w:val="26"/>
        </w:rPr>
        <w:tab/>
        <w:t>A.</w:t>
      </w:r>
      <w:r>
        <w:rPr>
          <w:rFonts w:ascii="Times New Roman" w:hAnsi="Times New Roman" w:cs="Times New Roman"/>
          <w:sz w:val="26"/>
          <w:szCs w:val="26"/>
        </w:rPr>
        <w:t xml:space="preserve"> </w:t>
      </w:r>
      <w:r>
        <w:rPr>
          <w:rFonts w:ascii="Times New Roman" w:hAnsi="Times New Roman" w:cs="Times New Roman"/>
          <w:bCs/>
          <w:iCs/>
          <w:sz w:val="26"/>
          <w:szCs w:val="26"/>
        </w:rPr>
        <w:t>Ašeradens</w:t>
      </w:r>
    </w:p>
    <w:p w14:paraId="0ADAE04C" w14:textId="77777777" w:rsidR="00BE23CD" w:rsidRDefault="00BE23CD" w:rsidP="00BE23CD">
      <w:pPr>
        <w:tabs>
          <w:tab w:val="right" w:pos="8931"/>
        </w:tabs>
        <w:spacing w:before="120" w:after="360"/>
        <w:jc w:val="both"/>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Iesniedzējs:</w:t>
      </w:r>
    </w:p>
    <w:p w14:paraId="09DB6C39" w14:textId="77777777" w:rsidR="00BE23CD" w:rsidRDefault="00BE23CD" w:rsidP="00BE23CD">
      <w:pPr>
        <w:tabs>
          <w:tab w:val="left" w:pos="6521"/>
        </w:tabs>
        <w:rPr>
          <w:rFonts w:ascii="Times New Roman" w:hAnsi="Times New Roman" w:cs="Times New Roman"/>
          <w:bCs/>
          <w:iCs/>
          <w:sz w:val="26"/>
          <w:szCs w:val="26"/>
        </w:rPr>
      </w:pPr>
      <w:r>
        <w:rPr>
          <w:rFonts w:ascii="Times New Roman" w:hAnsi="Times New Roman" w:cs="Times New Roman"/>
          <w:bCs/>
          <w:iCs/>
          <w:sz w:val="26"/>
          <w:szCs w:val="26"/>
        </w:rPr>
        <w:t>Ministru prezidenta biedrs,</w:t>
      </w:r>
    </w:p>
    <w:p w14:paraId="41D38B6B" w14:textId="77777777" w:rsidR="00BE23CD" w:rsidRDefault="00BE23CD" w:rsidP="00BE23CD">
      <w:pPr>
        <w:tabs>
          <w:tab w:val="left" w:pos="7371"/>
        </w:tabs>
        <w:rPr>
          <w:rFonts w:ascii="Times New Roman" w:hAnsi="Times New Roman" w:cs="Times New Roman"/>
          <w:bCs/>
          <w:iCs/>
          <w:sz w:val="26"/>
          <w:szCs w:val="26"/>
        </w:rPr>
      </w:pPr>
      <w:r>
        <w:rPr>
          <w:rFonts w:ascii="Times New Roman" w:hAnsi="Times New Roman" w:cs="Times New Roman"/>
          <w:bCs/>
          <w:iCs/>
          <w:sz w:val="26"/>
          <w:szCs w:val="26"/>
        </w:rPr>
        <w:t>ekonomikas ministrs</w:t>
      </w:r>
      <w:r>
        <w:rPr>
          <w:rFonts w:ascii="Times New Roman" w:hAnsi="Times New Roman" w:cs="Times New Roman"/>
          <w:bCs/>
          <w:iCs/>
          <w:sz w:val="26"/>
          <w:szCs w:val="26"/>
        </w:rPr>
        <w:tab/>
        <w:t>A.</w:t>
      </w:r>
      <w:r>
        <w:rPr>
          <w:rFonts w:ascii="Times New Roman" w:hAnsi="Times New Roman" w:cs="Times New Roman"/>
          <w:sz w:val="26"/>
          <w:szCs w:val="26"/>
        </w:rPr>
        <w:t xml:space="preserve"> </w:t>
      </w:r>
      <w:r>
        <w:rPr>
          <w:rFonts w:ascii="Times New Roman" w:hAnsi="Times New Roman" w:cs="Times New Roman"/>
          <w:bCs/>
          <w:iCs/>
          <w:sz w:val="26"/>
          <w:szCs w:val="26"/>
        </w:rPr>
        <w:t>Ašeradens</w:t>
      </w:r>
    </w:p>
    <w:p w14:paraId="6B985100" w14:textId="77777777" w:rsidR="00BE23CD" w:rsidRDefault="00BE23CD" w:rsidP="00BE23CD">
      <w:pPr>
        <w:tabs>
          <w:tab w:val="left" w:pos="6521"/>
        </w:tabs>
        <w:rPr>
          <w:rFonts w:ascii="Times New Roman" w:hAnsi="Times New Roman" w:cs="Times New Roman"/>
          <w:bCs/>
          <w:iCs/>
          <w:sz w:val="26"/>
          <w:szCs w:val="26"/>
        </w:rPr>
      </w:pPr>
    </w:p>
    <w:p w14:paraId="4D6851A1" w14:textId="77777777" w:rsidR="00BE23CD" w:rsidRDefault="00BE23CD" w:rsidP="00BE23CD">
      <w:pPr>
        <w:tabs>
          <w:tab w:val="left" w:pos="6521"/>
        </w:tabs>
        <w:rPr>
          <w:rFonts w:ascii="Times New Roman" w:hAnsi="Times New Roman" w:cs="Times New Roman"/>
          <w:bCs/>
          <w:iCs/>
          <w:sz w:val="26"/>
          <w:szCs w:val="26"/>
        </w:rPr>
      </w:pPr>
      <w:r>
        <w:rPr>
          <w:rFonts w:ascii="Times New Roman" w:hAnsi="Times New Roman" w:cs="Times New Roman"/>
          <w:bCs/>
          <w:iCs/>
          <w:sz w:val="26"/>
          <w:szCs w:val="26"/>
        </w:rPr>
        <w:t>Vīza:</w:t>
      </w:r>
    </w:p>
    <w:p w14:paraId="3610653B" w14:textId="77777777" w:rsidR="00BE23CD" w:rsidRDefault="00BE23CD" w:rsidP="00BE23CD">
      <w:pPr>
        <w:tabs>
          <w:tab w:val="left" w:pos="7371"/>
        </w:tabs>
        <w:rPr>
          <w:rFonts w:ascii="Times New Roman" w:hAnsi="Times New Roman" w:cs="Times New Roman"/>
          <w:bCs/>
          <w:iCs/>
          <w:sz w:val="26"/>
          <w:szCs w:val="26"/>
        </w:rPr>
      </w:pPr>
      <w:r>
        <w:rPr>
          <w:rFonts w:ascii="Times New Roman" w:hAnsi="Times New Roman" w:cs="Times New Roman"/>
          <w:bCs/>
          <w:iCs/>
          <w:sz w:val="26"/>
          <w:szCs w:val="26"/>
        </w:rPr>
        <w:t xml:space="preserve">Valsts sekretārs </w:t>
      </w:r>
      <w:r>
        <w:rPr>
          <w:rFonts w:ascii="Times New Roman" w:hAnsi="Times New Roman" w:cs="Times New Roman"/>
          <w:bCs/>
          <w:iCs/>
          <w:sz w:val="26"/>
          <w:szCs w:val="26"/>
        </w:rPr>
        <w:tab/>
        <w:t xml:space="preserve">J. </w:t>
      </w:r>
      <w:proofErr w:type="spellStart"/>
      <w:r>
        <w:rPr>
          <w:rFonts w:ascii="Times New Roman" w:hAnsi="Times New Roman" w:cs="Times New Roman"/>
          <w:bCs/>
          <w:iCs/>
          <w:sz w:val="26"/>
          <w:szCs w:val="26"/>
        </w:rPr>
        <w:t>Stinka</w:t>
      </w:r>
      <w:proofErr w:type="spellEnd"/>
    </w:p>
    <w:p w14:paraId="2E0856CF" w14:textId="77777777" w:rsidR="00BE23CD" w:rsidRDefault="00BE23CD" w:rsidP="00BE23CD">
      <w:pPr>
        <w:tabs>
          <w:tab w:val="left" w:pos="990"/>
        </w:tabs>
        <w:rPr>
          <w:rFonts w:ascii="Times New Roman" w:eastAsia="Times New Roman" w:hAnsi="Times New Roman" w:cs="Times New Roman"/>
          <w:sz w:val="18"/>
          <w:szCs w:val="18"/>
          <w:lang w:eastAsia="lv-LV"/>
        </w:rPr>
      </w:pPr>
    </w:p>
    <w:p w14:paraId="10F71CE4" w14:textId="77777777" w:rsidR="00BE23CD" w:rsidRDefault="00BE23CD" w:rsidP="00BE23CD">
      <w:pPr>
        <w:tabs>
          <w:tab w:val="left" w:pos="990"/>
        </w:tabs>
        <w:rPr>
          <w:rFonts w:ascii="Times New Roman" w:eastAsia="Times New Roman" w:hAnsi="Times New Roman" w:cs="Times New Roman"/>
          <w:sz w:val="18"/>
          <w:szCs w:val="18"/>
          <w:lang w:eastAsia="lv-LV"/>
        </w:rPr>
      </w:pPr>
    </w:p>
    <w:p w14:paraId="731C1A8F" w14:textId="0FB0029F" w:rsidR="00BE23CD" w:rsidRDefault="00BE23CD" w:rsidP="00BE23CD">
      <w:pPr>
        <w:tabs>
          <w:tab w:val="left" w:pos="990"/>
        </w:tabs>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01.08.2016. 10:09</w:t>
      </w:r>
    </w:p>
    <w:p w14:paraId="1833E7F2" w14:textId="279CE9F8" w:rsidR="00BE23CD" w:rsidRDefault="00BE23CD" w:rsidP="00BE23CD">
      <w:pPr>
        <w:rPr>
          <w:rFonts w:ascii="Times New Roman" w:hAnsi="Times New Roman" w:cs="Times New Roman"/>
          <w:sz w:val="18"/>
          <w:szCs w:val="18"/>
        </w:rPr>
      </w:pPr>
      <w:r>
        <w:rPr>
          <w:rFonts w:ascii="Times New Roman" w:hAnsi="Times New Roman" w:cs="Times New Roman"/>
          <w:sz w:val="18"/>
          <w:szCs w:val="18"/>
        </w:rPr>
        <w:t>1753</w:t>
      </w:r>
    </w:p>
    <w:p w14:paraId="1A55FC78" w14:textId="77777777" w:rsidR="00BE23CD" w:rsidRDefault="00BE23CD" w:rsidP="00BE23CD">
      <w:pPr>
        <w:rPr>
          <w:rFonts w:ascii="Times New Roman" w:hAnsi="Times New Roman" w:cs="Times New Roman"/>
          <w:sz w:val="18"/>
          <w:szCs w:val="18"/>
        </w:rPr>
      </w:pPr>
      <w:proofErr w:type="spellStart"/>
      <w:r>
        <w:rPr>
          <w:rFonts w:ascii="Times New Roman" w:hAnsi="Times New Roman" w:cs="Times New Roman"/>
          <w:sz w:val="18"/>
          <w:szCs w:val="18"/>
        </w:rPr>
        <w:t>A.Ševčuks</w:t>
      </w:r>
      <w:proofErr w:type="spellEnd"/>
      <w:r>
        <w:rPr>
          <w:rFonts w:ascii="Times New Roman" w:hAnsi="Times New Roman" w:cs="Times New Roman"/>
          <w:sz w:val="18"/>
          <w:szCs w:val="18"/>
        </w:rPr>
        <w:t xml:space="preserve"> 67013230</w:t>
      </w:r>
    </w:p>
    <w:p w14:paraId="6FC33AFE" w14:textId="77777777" w:rsidR="00BE23CD" w:rsidRDefault="00BE23CD" w:rsidP="00BE23CD">
      <w:pPr>
        <w:rPr>
          <w:rFonts w:ascii="Times New Roman" w:hAnsi="Times New Roman" w:cs="Times New Roman"/>
          <w:sz w:val="18"/>
          <w:szCs w:val="18"/>
        </w:rPr>
      </w:pPr>
      <w:r>
        <w:rPr>
          <w:rFonts w:ascii="Times New Roman" w:hAnsi="Times New Roman" w:cs="Times New Roman"/>
          <w:sz w:val="18"/>
          <w:szCs w:val="18"/>
        </w:rPr>
        <w:t>Arturs.Sevcuks@em.gov.lv</w:t>
      </w:r>
    </w:p>
    <w:p w14:paraId="2BAC7A1D" w14:textId="0C68EB34" w:rsidR="00AF678D" w:rsidRPr="00FE190C" w:rsidRDefault="00AF678D" w:rsidP="00BE23CD">
      <w:pPr>
        <w:tabs>
          <w:tab w:val="right" w:pos="8931"/>
        </w:tabs>
        <w:spacing w:before="240" w:after="240"/>
        <w:ind w:right="85"/>
        <w:jc w:val="both"/>
        <w:rPr>
          <w:rFonts w:ascii="Times New Roman" w:hAnsi="Times New Roman" w:cs="Times New Roman"/>
          <w:sz w:val="18"/>
          <w:szCs w:val="18"/>
        </w:rPr>
      </w:pPr>
    </w:p>
    <w:sectPr w:rsidR="00AF678D" w:rsidRPr="00FE190C" w:rsidSect="007A4DCE">
      <w:headerReference w:type="default" r:id="rId8"/>
      <w:footerReference w:type="default" r:id="rId9"/>
      <w:footerReference w:type="first" r:id="rId10"/>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EEACF" w14:textId="77777777" w:rsidR="00406F6A" w:rsidRDefault="00406F6A" w:rsidP="00B26F44">
      <w:r>
        <w:separator/>
      </w:r>
    </w:p>
  </w:endnote>
  <w:endnote w:type="continuationSeparator" w:id="0">
    <w:p w14:paraId="53C3F156" w14:textId="77777777" w:rsidR="00406F6A" w:rsidRDefault="00406F6A" w:rsidP="00B2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F109D" w14:textId="7EBD66E8" w:rsidR="00B10375" w:rsidRPr="00936525" w:rsidRDefault="00B10375" w:rsidP="00B10375">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E3029">
      <w:rPr>
        <w:rFonts w:ascii="Times New Roman" w:hAnsi="Times New Roman" w:cs="Times New Roman"/>
        <w:noProof/>
        <w:sz w:val="20"/>
        <w:szCs w:val="20"/>
      </w:rPr>
      <w:t>EMAnot_</w:t>
    </w:r>
    <w:r w:rsidR="00BE23CD">
      <w:rPr>
        <w:rFonts w:ascii="Times New Roman" w:hAnsi="Times New Roman" w:cs="Times New Roman"/>
        <w:noProof/>
        <w:sz w:val="20"/>
        <w:szCs w:val="20"/>
      </w:rPr>
      <w:t>0108</w:t>
    </w:r>
    <w:r w:rsidR="00BE3029">
      <w:rPr>
        <w:rFonts w:ascii="Times New Roman" w:hAnsi="Times New Roman" w:cs="Times New Roman"/>
        <w:noProof/>
        <w:sz w:val="20"/>
        <w:szCs w:val="20"/>
      </w:rPr>
      <w:t>16_distanc.docx</w:t>
    </w:r>
    <w:r>
      <w:rPr>
        <w:rFonts w:ascii="Times New Roman" w:hAnsi="Times New Roman" w:cs="Times New Roman"/>
        <w:sz w:val="20"/>
        <w:szCs w:val="20"/>
      </w:rPr>
      <w:fldChar w:fldCharType="end"/>
    </w:r>
    <w:r>
      <w:rPr>
        <w:rFonts w:ascii="Times New Roman" w:hAnsi="Times New Roman" w:cs="Times New Roman"/>
        <w:sz w:val="20"/>
        <w:szCs w:val="20"/>
      </w:rPr>
      <w:t>;</w:t>
    </w:r>
    <w:r w:rsidRPr="004D45F5">
      <w:rPr>
        <w:rFonts w:ascii="Times New Roman" w:hAnsi="Times New Roman" w:cs="Times New Roman"/>
        <w:sz w:val="20"/>
        <w:szCs w:val="20"/>
      </w:rPr>
      <w:t xml:space="preserve"> </w:t>
    </w:r>
    <w:r w:rsidRPr="003B15A0">
      <w:rPr>
        <w:rFonts w:ascii="Times New Roman" w:hAnsi="Times New Roman" w:cs="Times New Roman"/>
        <w:bCs/>
        <w:sz w:val="20"/>
        <w:szCs w:val="20"/>
      </w:rPr>
      <w:t xml:space="preserve">Ministru kabineta noteikumu projekta „Grozījumi Ministru kabineta </w:t>
    </w:r>
    <w:r>
      <w:rPr>
        <w:rFonts w:ascii="Times New Roman" w:hAnsi="Times New Roman" w:cs="Times New Roman"/>
        <w:bCs/>
        <w:sz w:val="20"/>
        <w:szCs w:val="20"/>
      </w:rPr>
      <w:t>2014.gada 20.maija noteikumos Nr.255 “Noteikumi par distances līgumu””</w:t>
    </w:r>
    <w:r w:rsidR="003616CA">
      <w:rPr>
        <w:rFonts w:ascii="Times New Roman" w:hAnsi="Times New Roman" w:cs="Times New Roman"/>
        <w:bCs/>
        <w:sz w:val="20"/>
        <w:szCs w:val="20"/>
      </w:rPr>
      <w:t xml:space="preserve"> </w:t>
    </w:r>
    <w:r w:rsidRPr="003B15A0">
      <w:rPr>
        <w:rFonts w:ascii="Times New Roman" w:eastAsia="Times New Roman" w:hAnsi="Times New Roman" w:cs="Times New Roman"/>
        <w:bCs/>
        <w:sz w:val="20"/>
        <w:szCs w:val="20"/>
        <w:lang w:eastAsia="lv-LV"/>
      </w:rPr>
      <w:t>sākotnējās ietekmes novērtējuma ziņojums (anotācija)</w:t>
    </w:r>
  </w:p>
  <w:p w14:paraId="66E92AE9" w14:textId="441A7318" w:rsidR="00936525" w:rsidRPr="004C4A4D" w:rsidRDefault="00A84D54" w:rsidP="00A84D54">
    <w:pPr>
      <w:pStyle w:val="Footer"/>
      <w:tabs>
        <w:tab w:val="clear" w:pos="4153"/>
        <w:tab w:val="clear" w:pos="8306"/>
        <w:tab w:val="left" w:pos="951"/>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3AA6" w14:textId="0479DEE7" w:rsidR="00E224EC" w:rsidRPr="00936525" w:rsidRDefault="00F46E5E" w:rsidP="00E224EC">
    <w:pPr>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E3029">
      <w:rPr>
        <w:rFonts w:ascii="Times New Roman" w:hAnsi="Times New Roman" w:cs="Times New Roman"/>
        <w:noProof/>
        <w:sz w:val="20"/>
        <w:szCs w:val="20"/>
      </w:rPr>
      <w:t>EMAnot_110716_distanc.docx</w:t>
    </w:r>
    <w:r>
      <w:rPr>
        <w:rFonts w:ascii="Times New Roman" w:hAnsi="Times New Roman" w:cs="Times New Roman"/>
        <w:sz w:val="20"/>
        <w:szCs w:val="20"/>
      </w:rPr>
      <w:fldChar w:fldCharType="end"/>
    </w:r>
    <w:r w:rsidR="00E224EC">
      <w:rPr>
        <w:rFonts w:ascii="Times New Roman" w:hAnsi="Times New Roman" w:cs="Times New Roman"/>
        <w:sz w:val="20"/>
        <w:szCs w:val="20"/>
      </w:rPr>
      <w:t>;</w:t>
    </w:r>
    <w:r w:rsidR="00E224EC" w:rsidRPr="004D45F5">
      <w:rPr>
        <w:rFonts w:ascii="Times New Roman" w:hAnsi="Times New Roman" w:cs="Times New Roman"/>
        <w:sz w:val="20"/>
        <w:szCs w:val="20"/>
      </w:rPr>
      <w:t xml:space="preserve"> </w:t>
    </w:r>
    <w:r w:rsidR="003B15A0" w:rsidRPr="003B15A0">
      <w:rPr>
        <w:rFonts w:ascii="Times New Roman" w:hAnsi="Times New Roman" w:cs="Times New Roman"/>
        <w:bCs/>
        <w:sz w:val="20"/>
        <w:szCs w:val="20"/>
      </w:rPr>
      <w:t>Minist</w:t>
    </w:r>
    <w:r w:rsidR="00AB0C92">
      <w:rPr>
        <w:rFonts w:ascii="Times New Roman" w:hAnsi="Times New Roman" w:cs="Times New Roman"/>
        <w:bCs/>
        <w:sz w:val="20"/>
        <w:szCs w:val="20"/>
      </w:rPr>
      <w:t xml:space="preserve">ru kabineta noteikumu projekta </w:t>
    </w:r>
    <w:r w:rsidR="003B15A0" w:rsidRPr="003B15A0">
      <w:rPr>
        <w:rFonts w:ascii="Times New Roman" w:hAnsi="Times New Roman" w:cs="Times New Roman"/>
        <w:bCs/>
        <w:sz w:val="20"/>
        <w:szCs w:val="20"/>
      </w:rPr>
      <w:t xml:space="preserve"> </w:t>
    </w:r>
    <w:r w:rsidR="00BC7FC4">
      <w:rPr>
        <w:rFonts w:ascii="Times New Roman" w:hAnsi="Times New Roman" w:cs="Times New Roman"/>
        <w:bCs/>
        <w:sz w:val="20"/>
        <w:szCs w:val="20"/>
      </w:rPr>
      <w:t>“Grozījumi Ministru kabineta 2014.gada 20.maija noteikumos Nr.25</w:t>
    </w:r>
    <w:r w:rsidR="004C4A4D">
      <w:rPr>
        <w:rFonts w:ascii="Times New Roman" w:hAnsi="Times New Roman" w:cs="Times New Roman"/>
        <w:bCs/>
        <w:sz w:val="20"/>
        <w:szCs w:val="20"/>
      </w:rPr>
      <w:t>5</w:t>
    </w:r>
    <w:r w:rsidR="00BC7FC4">
      <w:rPr>
        <w:rFonts w:ascii="Times New Roman" w:hAnsi="Times New Roman" w:cs="Times New Roman"/>
        <w:bCs/>
        <w:sz w:val="20"/>
        <w:szCs w:val="20"/>
      </w:rPr>
      <w:t xml:space="preserve"> “Noteikumi par </w:t>
    </w:r>
    <w:r w:rsidR="004C4A4D">
      <w:rPr>
        <w:rFonts w:ascii="Times New Roman" w:hAnsi="Times New Roman" w:cs="Times New Roman"/>
        <w:bCs/>
        <w:sz w:val="20"/>
        <w:szCs w:val="20"/>
      </w:rPr>
      <w:t xml:space="preserve">distances </w:t>
    </w:r>
    <w:proofErr w:type="spellStart"/>
    <w:r w:rsidR="00BC7FC4">
      <w:rPr>
        <w:rFonts w:ascii="Times New Roman" w:hAnsi="Times New Roman" w:cs="Times New Roman"/>
        <w:bCs/>
        <w:sz w:val="20"/>
        <w:szCs w:val="20"/>
      </w:rPr>
      <w:t>līgumu””</w:t>
    </w:r>
    <w:r w:rsidR="00E224EC" w:rsidRPr="003B15A0">
      <w:rPr>
        <w:rFonts w:ascii="Times New Roman" w:eastAsia="Times New Roman" w:hAnsi="Times New Roman" w:cs="Times New Roman"/>
        <w:bCs/>
        <w:sz w:val="20"/>
        <w:szCs w:val="20"/>
        <w:lang w:eastAsia="lv-LV"/>
      </w:rPr>
      <w:t>sākotnējās</w:t>
    </w:r>
    <w:proofErr w:type="spellEnd"/>
    <w:r w:rsidR="00E224EC" w:rsidRPr="003B15A0">
      <w:rPr>
        <w:rFonts w:ascii="Times New Roman" w:eastAsia="Times New Roman" w:hAnsi="Times New Roman" w:cs="Times New Roman"/>
        <w:bCs/>
        <w:sz w:val="20"/>
        <w:szCs w:val="20"/>
        <w:lang w:eastAsia="lv-LV"/>
      </w:rPr>
      <w:t xml:space="preserve">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FE3B8" w14:textId="77777777" w:rsidR="00406F6A" w:rsidRDefault="00406F6A" w:rsidP="00B26F44">
      <w:r>
        <w:separator/>
      </w:r>
    </w:p>
  </w:footnote>
  <w:footnote w:type="continuationSeparator" w:id="0">
    <w:p w14:paraId="03872803" w14:textId="77777777" w:rsidR="00406F6A" w:rsidRDefault="00406F6A" w:rsidP="00B26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04131036"/>
      <w:docPartObj>
        <w:docPartGallery w:val="Page Numbers (Top of Page)"/>
        <w:docPartUnique/>
      </w:docPartObj>
    </w:sdtPr>
    <w:sdtEndPr>
      <w:rPr>
        <w:noProof/>
      </w:rPr>
    </w:sdtEndPr>
    <w:sdtContent>
      <w:p w14:paraId="4A4DF19C" w14:textId="77777777" w:rsidR="00E46B2B" w:rsidRPr="00524EEC" w:rsidRDefault="00CE13B2">
        <w:pPr>
          <w:pStyle w:val="Header"/>
          <w:jc w:val="center"/>
          <w:rPr>
            <w:rFonts w:ascii="Times New Roman" w:hAnsi="Times New Roman" w:cs="Times New Roman"/>
          </w:rPr>
        </w:pPr>
        <w:r w:rsidRPr="00524EEC">
          <w:rPr>
            <w:rFonts w:ascii="Times New Roman" w:hAnsi="Times New Roman" w:cs="Times New Roman"/>
          </w:rPr>
          <w:fldChar w:fldCharType="begin"/>
        </w:r>
        <w:r w:rsidRPr="00524EEC">
          <w:rPr>
            <w:rFonts w:ascii="Times New Roman" w:hAnsi="Times New Roman" w:cs="Times New Roman"/>
          </w:rPr>
          <w:instrText xml:space="preserve"> PAGE   \* MERGEFORMAT </w:instrText>
        </w:r>
        <w:r w:rsidRPr="00524EEC">
          <w:rPr>
            <w:rFonts w:ascii="Times New Roman" w:hAnsi="Times New Roman" w:cs="Times New Roman"/>
          </w:rPr>
          <w:fldChar w:fldCharType="separate"/>
        </w:r>
        <w:r w:rsidR="003F59F6">
          <w:rPr>
            <w:rFonts w:ascii="Times New Roman" w:hAnsi="Times New Roman" w:cs="Times New Roman"/>
            <w:noProof/>
          </w:rPr>
          <w:t>6</w:t>
        </w:r>
        <w:r w:rsidRPr="00524EEC">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4AA3"/>
    <w:multiLevelType w:val="hybridMultilevel"/>
    <w:tmpl w:val="0074CFA8"/>
    <w:lvl w:ilvl="0" w:tplc="1DA49254">
      <w:start w:val="1"/>
      <w:numFmt w:val="decimal"/>
      <w:lvlText w:val="%1."/>
      <w:lvlJc w:val="left"/>
      <w:pPr>
        <w:ind w:left="964" w:hanging="360"/>
      </w:pPr>
      <w:rPr>
        <w:rFonts w:hint="default"/>
        <w:b w:val="0"/>
      </w:rPr>
    </w:lvl>
    <w:lvl w:ilvl="1" w:tplc="04260019" w:tentative="1">
      <w:start w:val="1"/>
      <w:numFmt w:val="lowerLetter"/>
      <w:lvlText w:val="%2."/>
      <w:lvlJc w:val="left"/>
      <w:pPr>
        <w:ind w:left="1684" w:hanging="360"/>
      </w:pPr>
    </w:lvl>
    <w:lvl w:ilvl="2" w:tplc="0426001B" w:tentative="1">
      <w:start w:val="1"/>
      <w:numFmt w:val="lowerRoman"/>
      <w:lvlText w:val="%3."/>
      <w:lvlJc w:val="right"/>
      <w:pPr>
        <w:ind w:left="2404" w:hanging="180"/>
      </w:pPr>
    </w:lvl>
    <w:lvl w:ilvl="3" w:tplc="0426000F" w:tentative="1">
      <w:start w:val="1"/>
      <w:numFmt w:val="decimal"/>
      <w:lvlText w:val="%4."/>
      <w:lvlJc w:val="left"/>
      <w:pPr>
        <w:ind w:left="3124" w:hanging="360"/>
      </w:pPr>
    </w:lvl>
    <w:lvl w:ilvl="4" w:tplc="04260019" w:tentative="1">
      <w:start w:val="1"/>
      <w:numFmt w:val="lowerLetter"/>
      <w:lvlText w:val="%5."/>
      <w:lvlJc w:val="left"/>
      <w:pPr>
        <w:ind w:left="3844" w:hanging="360"/>
      </w:pPr>
    </w:lvl>
    <w:lvl w:ilvl="5" w:tplc="0426001B" w:tentative="1">
      <w:start w:val="1"/>
      <w:numFmt w:val="lowerRoman"/>
      <w:lvlText w:val="%6."/>
      <w:lvlJc w:val="right"/>
      <w:pPr>
        <w:ind w:left="4564" w:hanging="180"/>
      </w:pPr>
    </w:lvl>
    <w:lvl w:ilvl="6" w:tplc="0426000F" w:tentative="1">
      <w:start w:val="1"/>
      <w:numFmt w:val="decimal"/>
      <w:lvlText w:val="%7."/>
      <w:lvlJc w:val="left"/>
      <w:pPr>
        <w:ind w:left="5284" w:hanging="360"/>
      </w:pPr>
    </w:lvl>
    <w:lvl w:ilvl="7" w:tplc="04260019" w:tentative="1">
      <w:start w:val="1"/>
      <w:numFmt w:val="lowerLetter"/>
      <w:lvlText w:val="%8."/>
      <w:lvlJc w:val="left"/>
      <w:pPr>
        <w:ind w:left="6004" w:hanging="360"/>
      </w:pPr>
    </w:lvl>
    <w:lvl w:ilvl="8" w:tplc="0426001B" w:tentative="1">
      <w:start w:val="1"/>
      <w:numFmt w:val="lowerRoman"/>
      <w:lvlText w:val="%9."/>
      <w:lvlJc w:val="right"/>
      <w:pPr>
        <w:ind w:left="6724" w:hanging="180"/>
      </w:pPr>
    </w:lvl>
  </w:abstractNum>
  <w:abstractNum w:abstractNumId="1" w15:restartNumberingAfterBreak="0">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6F2729"/>
    <w:multiLevelType w:val="hybridMultilevel"/>
    <w:tmpl w:val="EFF4160A"/>
    <w:lvl w:ilvl="0" w:tplc="EAC40062">
      <w:start w:val="1"/>
      <w:numFmt w:val="lowerLetter"/>
      <w:lvlText w:val="%1)"/>
      <w:lvlJc w:val="left"/>
      <w:pPr>
        <w:ind w:left="1815" w:hanging="360"/>
      </w:pPr>
      <w:rPr>
        <w:rFonts w:hint="default"/>
      </w:rPr>
    </w:lvl>
    <w:lvl w:ilvl="1" w:tplc="04260019" w:tentative="1">
      <w:start w:val="1"/>
      <w:numFmt w:val="lowerLetter"/>
      <w:lvlText w:val="%2."/>
      <w:lvlJc w:val="left"/>
      <w:pPr>
        <w:ind w:left="2535" w:hanging="360"/>
      </w:pPr>
    </w:lvl>
    <w:lvl w:ilvl="2" w:tplc="0426001B" w:tentative="1">
      <w:start w:val="1"/>
      <w:numFmt w:val="lowerRoman"/>
      <w:lvlText w:val="%3."/>
      <w:lvlJc w:val="right"/>
      <w:pPr>
        <w:ind w:left="3255" w:hanging="180"/>
      </w:pPr>
    </w:lvl>
    <w:lvl w:ilvl="3" w:tplc="0426000F" w:tentative="1">
      <w:start w:val="1"/>
      <w:numFmt w:val="decimal"/>
      <w:lvlText w:val="%4."/>
      <w:lvlJc w:val="left"/>
      <w:pPr>
        <w:ind w:left="3975" w:hanging="360"/>
      </w:pPr>
    </w:lvl>
    <w:lvl w:ilvl="4" w:tplc="04260019" w:tentative="1">
      <w:start w:val="1"/>
      <w:numFmt w:val="lowerLetter"/>
      <w:lvlText w:val="%5."/>
      <w:lvlJc w:val="left"/>
      <w:pPr>
        <w:ind w:left="4695" w:hanging="360"/>
      </w:pPr>
    </w:lvl>
    <w:lvl w:ilvl="5" w:tplc="0426001B" w:tentative="1">
      <w:start w:val="1"/>
      <w:numFmt w:val="lowerRoman"/>
      <w:lvlText w:val="%6."/>
      <w:lvlJc w:val="right"/>
      <w:pPr>
        <w:ind w:left="5415" w:hanging="180"/>
      </w:pPr>
    </w:lvl>
    <w:lvl w:ilvl="6" w:tplc="0426000F" w:tentative="1">
      <w:start w:val="1"/>
      <w:numFmt w:val="decimal"/>
      <w:lvlText w:val="%7."/>
      <w:lvlJc w:val="left"/>
      <w:pPr>
        <w:ind w:left="6135" w:hanging="360"/>
      </w:pPr>
    </w:lvl>
    <w:lvl w:ilvl="7" w:tplc="04260019" w:tentative="1">
      <w:start w:val="1"/>
      <w:numFmt w:val="lowerLetter"/>
      <w:lvlText w:val="%8."/>
      <w:lvlJc w:val="left"/>
      <w:pPr>
        <w:ind w:left="6855" w:hanging="360"/>
      </w:pPr>
    </w:lvl>
    <w:lvl w:ilvl="8" w:tplc="0426001B" w:tentative="1">
      <w:start w:val="1"/>
      <w:numFmt w:val="lowerRoman"/>
      <w:lvlText w:val="%9."/>
      <w:lvlJc w:val="right"/>
      <w:pPr>
        <w:ind w:left="757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7D"/>
    <w:rsid w:val="00000609"/>
    <w:rsid w:val="00012631"/>
    <w:rsid w:val="000154CD"/>
    <w:rsid w:val="00016E19"/>
    <w:rsid w:val="00025704"/>
    <w:rsid w:val="000259E4"/>
    <w:rsid w:val="0004351C"/>
    <w:rsid w:val="000470EF"/>
    <w:rsid w:val="0005443F"/>
    <w:rsid w:val="0006132A"/>
    <w:rsid w:val="00062482"/>
    <w:rsid w:val="00062C03"/>
    <w:rsid w:val="00063932"/>
    <w:rsid w:val="00067432"/>
    <w:rsid w:val="000728B9"/>
    <w:rsid w:val="00077045"/>
    <w:rsid w:val="00091785"/>
    <w:rsid w:val="000B19A0"/>
    <w:rsid w:val="000C09E9"/>
    <w:rsid w:val="000C7E61"/>
    <w:rsid w:val="000D1047"/>
    <w:rsid w:val="000D24AD"/>
    <w:rsid w:val="000D3D58"/>
    <w:rsid w:val="000D73CF"/>
    <w:rsid w:val="000E56D8"/>
    <w:rsid w:val="001029C4"/>
    <w:rsid w:val="00106524"/>
    <w:rsid w:val="00116B89"/>
    <w:rsid w:val="00122392"/>
    <w:rsid w:val="00125EFD"/>
    <w:rsid w:val="00126C60"/>
    <w:rsid w:val="00132761"/>
    <w:rsid w:val="0014112E"/>
    <w:rsid w:val="001428F2"/>
    <w:rsid w:val="00145083"/>
    <w:rsid w:val="00146E31"/>
    <w:rsid w:val="00147934"/>
    <w:rsid w:val="00153344"/>
    <w:rsid w:val="00156115"/>
    <w:rsid w:val="001561B0"/>
    <w:rsid w:val="00157C48"/>
    <w:rsid w:val="001668E9"/>
    <w:rsid w:val="00171D2E"/>
    <w:rsid w:val="00173E09"/>
    <w:rsid w:val="00176DE8"/>
    <w:rsid w:val="00181139"/>
    <w:rsid w:val="00191462"/>
    <w:rsid w:val="001927EC"/>
    <w:rsid w:val="00197DBD"/>
    <w:rsid w:val="001B6946"/>
    <w:rsid w:val="001C5E54"/>
    <w:rsid w:val="001C7201"/>
    <w:rsid w:val="001D075C"/>
    <w:rsid w:val="001D6A7E"/>
    <w:rsid w:val="001E36A9"/>
    <w:rsid w:val="001F0B83"/>
    <w:rsid w:val="001F1083"/>
    <w:rsid w:val="001F3764"/>
    <w:rsid w:val="002015E4"/>
    <w:rsid w:val="00203F33"/>
    <w:rsid w:val="00205784"/>
    <w:rsid w:val="002105DD"/>
    <w:rsid w:val="002214E7"/>
    <w:rsid w:val="00222214"/>
    <w:rsid w:val="0022316C"/>
    <w:rsid w:val="002271D9"/>
    <w:rsid w:val="0023195D"/>
    <w:rsid w:val="00234C0B"/>
    <w:rsid w:val="002360C3"/>
    <w:rsid w:val="002411F3"/>
    <w:rsid w:val="0024655D"/>
    <w:rsid w:val="00251EC1"/>
    <w:rsid w:val="00255B63"/>
    <w:rsid w:val="00262D5B"/>
    <w:rsid w:val="00273068"/>
    <w:rsid w:val="00274669"/>
    <w:rsid w:val="00275F2F"/>
    <w:rsid w:val="002836F7"/>
    <w:rsid w:val="00286B0A"/>
    <w:rsid w:val="00291CF9"/>
    <w:rsid w:val="00296609"/>
    <w:rsid w:val="002A2C2C"/>
    <w:rsid w:val="002A4E27"/>
    <w:rsid w:val="002A77EB"/>
    <w:rsid w:val="002B7A4D"/>
    <w:rsid w:val="002C19DE"/>
    <w:rsid w:val="002D25A1"/>
    <w:rsid w:val="002E1BC4"/>
    <w:rsid w:val="002E4EE1"/>
    <w:rsid w:val="002E7535"/>
    <w:rsid w:val="002F1BBE"/>
    <w:rsid w:val="002F2899"/>
    <w:rsid w:val="002F5130"/>
    <w:rsid w:val="002F6037"/>
    <w:rsid w:val="003026D5"/>
    <w:rsid w:val="0031172D"/>
    <w:rsid w:val="0031460F"/>
    <w:rsid w:val="00316B0D"/>
    <w:rsid w:val="003256F1"/>
    <w:rsid w:val="003310EB"/>
    <w:rsid w:val="003419A1"/>
    <w:rsid w:val="0035430E"/>
    <w:rsid w:val="003548A1"/>
    <w:rsid w:val="00357EA0"/>
    <w:rsid w:val="003616CA"/>
    <w:rsid w:val="0036293E"/>
    <w:rsid w:val="00363C2B"/>
    <w:rsid w:val="00366031"/>
    <w:rsid w:val="00372D28"/>
    <w:rsid w:val="00377481"/>
    <w:rsid w:val="00391979"/>
    <w:rsid w:val="0039574D"/>
    <w:rsid w:val="003968ED"/>
    <w:rsid w:val="003A1E0B"/>
    <w:rsid w:val="003A778A"/>
    <w:rsid w:val="003B011D"/>
    <w:rsid w:val="003B14F5"/>
    <w:rsid w:val="003B15A0"/>
    <w:rsid w:val="003B19C8"/>
    <w:rsid w:val="003B633E"/>
    <w:rsid w:val="003C0443"/>
    <w:rsid w:val="003E0314"/>
    <w:rsid w:val="003E2936"/>
    <w:rsid w:val="003E2C8E"/>
    <w:rsid w:val="003F59F6"/>
    <w:rsid w:val="00402566"/>
    <w:rsid w:val="00406F6A"/>
    <w:rsid w:val="00413DDF"/>
    <w:rsid w:val="00437761"/>
    <w:rsid w:val="0044465B"/>
    <w:rsid w:val="00446FE3"/>
    <w:rsid w:val="00461447"/>
    <w:rsid w:val="00465154"/>
    <w:rsid w:val="00467ECC"/>
    <w:rsid w:val="0047073D"/>
    <w:rsid w:val="004730F5"/>
    <w:rsid w:val="004777B4"/>
    <w:rsid w:val="0048231E"/>
    <w:rsid w:val="00482537"/>
    <w:rsid w:val="00482D05"/>
    <w:rsid w:val="0049117A"/>
    <w:rsid w:val="004A21CD"/>
    <w:rsid w:val="004A6903"/>
    <w:rsid w:val="004B15C6"/>
    <w:rsid w:val="004B4851"/>
    <w:rsid w:val="004B5E88"/>
    <w:rsid w:val="004C4A4D"/>
    <w:rsid w:val="004E270D"/>
    <w:rsid w:val="004E53F9"/>
    <w:rsid w:val="004E5F93"/>
    <w:rsid w:val="004F48CA"/>
    <w:rsid w:val="005052F3"/>
    <w:rsid w:val="00510A3F"/>
    <w:rsid w:val="00524EEC"/>
    <w:rsid w:val="00527B8F"/>
    <w:rsid w:val="005302BC"/>
    <w:rsid w:val="00536867"/>
    <w:rsid w:val="00540925"/>
    <w:rsid w:val="00541AAD"/>
    <w:rsid w:val="00545566"/>
    <w:rsid w:val="00547043"/>
    <w:rsid w:val="0057037A"/>
    <w:rsid w:val="0057091C"/>
    <w:rsid w:val="005748DE"/>
    <w:rsid w:val="00575B95"/>
    <w:rsid w:val="00580265"/>
    <w:rsid w:val="0058056C"/>
    <w:rsid w:val="00583B9D"/>
    <w:rsid w:val="00585B79"/>
    <w:rsid w:val="00597096"/>
    <w:rsid w:val="00597346"/>
    <w:rsid w:val="005A5876"/>
    <w:rsid w:val="005B4287"/>
    <w:rsid w:val="005C5482"/>
    <w:rsid w:val="005C79F0"/>
    <w:rsid w:val="005E56BC"/>
    <w:rsid w:val="005F0609"/>
    <w:rsid w:val="005F243F"/>
    <w:rsid w:val="005F2931"/>
    <w:rsid w:val="005F67C3"/>
    <w:rsid w:val="00600996"/>
    <w:rsid w:val="00602027"/>
    <w:rsid w:val="00602ED3"/>
    <w:rsid w:val="00605F43"/>
    <w:rsid w:val="006061A4"/>
    <w:rsid w:val="00607564"/>
    <w:rsid w:val="00612492"/>
    <w:rsid w:val="00614E13"/>
    <w:rsid w:val="00620A33"/>
    <w:rsid w:val="006242BA"/>
    <w:rsid w:val="006339C2"/>
    <w:rsid w:val="00635F2F"/>
    <w:rsid w:val="00641CAB"/>
    <w:rsid w:val="00642796"/>
    <w:rsid w:val="00643C5E"/>
    <w:rsid w:val="00655060"/>
    <w:rsid w:val="00655F9B"/>
    <w:rsid w:val="00690A49"/>
    <w:rsid w:val="00693974"/>
    <w:rsid w:val="00693D49"/>
    <w:rsid w:val="00695ABC"/>
    <w:rsid w:val="006974B4"/>
    <w:rsid w:val="00697F03"/>
    <w:rsid w:val="006A7A29"/>
    <w:rsid w:val="006C07EF"/>
    <w:rsid w:val="006D0E11"/>
    <w:rsid w:val="006F085F"/>
    <w:rsid w:val="006F099F"/>
    <w:rsid w:val="006F1333"/>
    <w:rsid w:val="006F1FF6"/>
    <w:rsid w:val="006F524C"/>
    <w:rsid w:val="006F6F21"/>
    <w:rsid w:val="00720700"/>
    <w:rsid w:val="00720F5F"/>
    <w:rsid w:val="00722F5C"/>
    <w:rsid w:val="007304A3"/>
    <w:rsid w:val="00735BBA"/>
    <w:rsid w:val="00742222"/>
    <w:rsid w:val="00747602"/>
    <w:rsid w:val="007522CA"/>
    <w:rsid w:val="00752ECC"/>
    <w:rsid w:val="00764007"/>
    <w:rsid w:val="00773C1B"/>
    <w:rsid w:val="007742F1"/>
    <w:rsid w:val="00774D92"/>
    <w:rsid w:val="0077794B"/>
    <w:rsid w:val="0078432A"/>
    <w:rsid w:val="007854FF"/>
    <w:rsid w:val="00786A66"/>
    <w:rsid w:val="00790102"/>
    <w:rsid w:val="00791239"/>
    <w:rsid w:val="0079262E"/>
    <w:rsid w:val="00794971"/>
    <w:rsid w:val="007A4DCE"/>
    <w:rsid w:val="007A5BB9"/>
    <w:rsid w:val="007B34C1"/>
    <w:rsid w:val="007B6714"/>
    <w:rsid w:val="007B7FFB"/>
    <w:rsid w:val="007C13DF"/>
    <w:rsid w:val="007D1EBD"/>
    <w:rsid w:val="007D3EB1"/>
    <w:rsid w:val="007D5C8B"/>
    <w:rsid w:val="007E25D9"/>
    <w:rsid w:val="007E5D10"/>
    <w:rsid w:val="007E794C"/>
    <w:rsid w:val="007F0E9F"/>
    <w:rsid w:val="007F28DC"/>
    <w:rsid w:val="007F3755"/>
    <w:rsid w:val="007F6F49"/>
    <w:rsid w:val="007F7756"/>
    <w:rsid w:val="00803DFD"/>
    <w:rsid w:val="00814EF8"/>
    <w:rsid w:val="00817CB4"/>
    <w:rsid w:val="0082214D"/>
    <w:rsid w:val="00823BFB"/>
    <w:rsid w:val="00824022"/>
    <w:rsid w:val="008263FC"/>
    <w:rsid w:val="008328A3"/>
    <w:rsid w:val="008351A8"/>
    <w:rsid w:val="008352D3"/>
    <w:rsid w:val="00840094"/>
    <w:rsid w:val="00843AEF"/>
    <w:rsid w:val="00847A03"/>
    <w:rsid w:val="008545E7"/>
    <w:rsid w:val="008657DD"/>
    <w:rsid w:val="00870DFF"/>
    <w:rsid w:val="00874519"/>
    <w:rsid w:val="008763D1"/>
    <w:rsid w:val="008837F5"/>
    <w:rsid w:val="00890EBC"/>
    <w:rsid w:val="00894183"/>
    <w:rsid w:val="008A2EA4"/>
    <w:rsid w:val="008A5F62"/>
    <w:rsid w:val="008B232C"/>
    <w:rsid w:val="008C0618"/>
    <w:rsid w:val="008C0646"/>
    <w:rsid w:val="008E4FE6"/>
    <w:rsid w:val="008F42E1"/>
    <w:rsid w:val="008F6841"/>
    <w:rsid w:val="0090491D"/>
    <w:rsid w:val="00914352"/>
    <w:rsid w:val="009157BB"/>
    <w:rsid w:val="00915EF6"/>
    <w:rsid w:val="00917FA0"/>
    <w:rsid w:val="00924641"/>
    <w:rsid w:val="009257C0"/>
    <w:rsid w:val="009409E5"/>
    <w:rsid w:val="0094287B"/>
    <w:rsid w:val="00942DB1"/>
    <w:rsid w:val="0095531A"/>
    <w:rsid w:val="0095743E"/>
    <w:rsid w:val="00965D62"/>
    <w:rsid w:val="00966BCC"/>
    <w:rsid w:val="00970B4E"/>
    <w:rsid w:val="00973F00"/>
    <w:rsid w:val="009827CA"/>
    <w:rsid w:val="00983858"/>
    <w:rsid w:val="00995A0B"/>
    <w:rsid w:val="009A05B3"/>
    <w:rsid w:val="009A3A27"/>
    <w:rsid w:val="009B60AB"/>
    <w:rsid w:val="009B70A1"/>
    <w:rsid w:val="009C6000"/>
    <w:rsid w:val="009C76E1"/>
    <w:rsid w:val="009E457A"/>
    <w:rsid w:val="00A02976"/>
    <w:rsid w:val="00A03D9D"/>
    <w:rsid w:val="00A06342"/>
    <w:rsid w:val="00A069D7"/>
    <w:rsid w:val="00A06F27"/>
    <w:rsid w:val="00A32144"/>
    <w:rsid w:val="00A3286E"/>
    <w:rsid w:val="00A43C46"/>
    <w:rsid w:val="00A44FC3"/>
    <w:rsid w:val="00A45217"/>
    <w:rsid w:val="00A51CE3"/>
    <w:rsid w:val="00A535F7"/>
    <w:rsid w:val="00A55C07"/>
    <w:rsid w:val="00A617DF"/>
    <w:rsid w:val="00A838FB"/>
    <w:rsid w:val="00A84D54"/>
    <w:rsid w:val="00A85C82"/>
    <w:rsid w:val="00A86745"/>
    <w:rsid w:val="00A90492"/>
    <w:rsid w:val="00A97E7D"/>
    <w:rsid w:val="00AA109D"/>
    <w:rsid w:val="00AA5F88"/>
    <w:rsid w:val="00AA6569"/>
    <w:rsid w:val="00AB0C92"/>
    <w:rsid w:val="00AB0F46"/>
    <w:rsid w:val="00AC1DC1"/>
    <w:rsid w:val="00AD2244"/>
    <w:rsid w:val="00AD358D"/>
    <w:rsid w:val="00AD53A0"/>
    <w:rsid w:val="00AE0705"/>
    <w:rsid w:val="00AE1893"/>
    <w:rsid w:val="00AE516B"/>
    <w:rsid w:val="00AF678D"/>
    <w:rsid w:val="00B04358"/>
    <w:rsid w:val="00B10375"/>
    <w:rsid w:val="00B131BD"/>
    <w:rsid w:val="00B26F44"/>
    <w:rsid w:val="00B27C79"/>
    <w:rsid w:val="00B405A1"/>
    <w:rsid w:val="00B50475"/>
    <w:rsid w:val="00B56ABC"/>
    <w:rsid w:val="00B84E73"/>
    <w:rsid w:val="00BA4FFA"/>
    <w:rsid w:val="00BB5C49"/>
    <w:rsid w:val="00BC0505"/>
    <w:rsid w:val="00BC4097"/>
    <w:rsid w:val="00BC4E39"/>
    <w:rsid w:val="00BC6AC3"/>
    <w:rsid w:val="00BC7FC4"/>
    <w:rsid w:val="00BE2189"/>
    <w:rsid w:val="00BE23CD"/>
    <w:rsid w:val="00BE3029"/>
    <w:rsid w:val="00BF034B"/>
    <w:rsid w:val="00BF4D2C"/>
    <w:rsid w:val="00BF77C7"/>
    <w:rsid w:val="00C132FB"/>
    <w:rsid w:val="00C253EA"/>
    <w:rsid w:val="00C370E7"/>
    <w:rsid w:val="00C37325"/>
    <w:rsid w:val="00C457B7"/>
    <w:rsid w:val="00C56256"/>
    <w:rsid w:val="00C73CAA"/>
    <w:rsid w:val="00C75DB8"/>
    <w:rsid w:val="00C83692"/>
    <w:rsid w:val="00C83E3B"/>
    <w:rsid w:val="00C87146"/>
    <w:rsid w:val="00C93299"/>
    <w:rsid w:val="00C95F0D"/>
    <w:rsid w:val="00CA4F21"/>
    <w:rsid w:val="00CA5380"/>
    <w:rsid w:val="00CB0A64"/>
    <w:rsid w:val="00CC0D0B"/>
    <w:rsid w:val="00CD3D06"/>
    <w:rsid w:val="00CE13B2"/>
    <w:rsid w:val="00CE3E38"/>
    <w:rsid w:val="00CF00F0"/>
    <w:rsid w:val="00CF7DB5"/>
    <w:rsid w:val="00D2316C"/>
    <w:rsid w:val="00D35C9E"/>
    <w:rsid w:val="00D57E2F"/>
    <w:rsid w:val="00D65CB4"/>
    <w:rsid w:val="00D74E57"/>
    <w:rsid w:val="00D80591"/>
    <w:rsid w:val="00D828C1"/>
    <w:rsid w:val="00D90F58"/>
    <w:rsid w:val="00D910F5"/>
    <w:rsid w:val="00D92B7B"/>
    <w:rsid w:val="00D97336"/>
    <w:rsid w:val="00DA025B"/>
    <w:rsid w:val="00DA42E0"/>
    <w:rsid w:val="00DB2251"/>
    <w:rsid w:val="00DB64B3"/>
    <w:rsid w:val="00DB6908"/>
    <w:rsid w:val="00DC58E6"/>
    <w:rsid w:val="00DD3605"/>
    <w:rsid w:val="00DE2A92"/>
    <w:rsid w:val="00DE4B04"/>
    <w:rsid w:val="00DE5BB7"/>
    <w:rsid w:val="00DE6162"/>
    <w:rsid w:val="00DF0623"/>
    <w:rsid w:val="00DF1C8E"/>
    <w:rsid w:val="00E078EA"/>
    <w:rsid w:val="00E07F49"/>
    <w:rsid w:val="00E10A54"/>
    <w:rsid w:val="00E20AAA"/>
    <w:rsid w:val="00E20B9E"/>
    <w:rsid w:val="00E224EC"/>
    <w:rsid w:val="00E231C1"/>
    <w:rsid w:val="00E3212C"/>
    <w:rsid w:val="00E45ED3"/>
    <w:rsid w:val="00E631CD"/>
    <w:rsid w:val="00E6401D"/>
    <w:rsid w:val="00E81C37"/>
    <w:rsid w:val="00E9125B"/>
    <w:rsid w:val="00E95C3F"/>
    <w:rsid w:val="00E963D0"/>
    <w:rsid w:val="00EA044F"/>
    <w:rsid w:val="00EB334E"/>
    <w:rsid w:val="00EC5680"/>
    <w:rsid w:val="00ED1705"/>
    <w:rsid w:val="00ED311F"/>
    <w:rsid w:val="00ED3ED0"/>
    <w:rsid w:val="00EE77EC"/>
    <w:rsid w:val="00EF4F8B"/>
    <w:rsid w:val="00F04B5F"/>
    <w:rsid w:val="00F155FB"/>
    <w:rsid w:val="00F17FD2"/>
    <w:rsid w:val="00F25825"/>
    <w:rsid w:val="00F25D24"/>
    <w:rsid w:val="00F30288"/>
    <w:rsid w:val="00F36AF5"/>
    <w:rsid w:val="00F4294A"/>
    <w:rsid w:val="00F4353B"/>
    <w:rsid w:val="00F43B2B"/>
    <w:rsid w:val="00F46E5E"/>
    <w:rsid w:val="00F8521B"/>
    <w:rsid w:val="00FB21B7"/>
    <w:rsid w:val="00FB5A29"/>
    <w:rsid w:val="00FB751E"/>
    <w:rsid w:val="00FC12E3"/>
    <w:rsid w:val="00FC1B7F"/>
    <w:rsid w:val="00FC639C"/>
    <w:rsid w:val="00FD3A3B"/>
    <w:rsid w:val="00FD5FE1"/>
    <w:rsid w:val="00FE190C"/>
    <w:rsid w:val="00FE4BE0"/>
    <w:rsid w:val="00FF43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1B84360"/>
  <w15:docId w15:val="{6305310C-2D65-41F2-A5AF-1A75314F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7D"/>
  </w:style>
  <w:style w:type="paragraph" w:styleId="Heading3">
    <w:name w:val="heading 3"/>
    <w:basedOn w:val="Normal"/>
    <w:next w:val="Normal"/>
    <w:link w:val="Heading3Char"/>
    <w:uiPriority w:val="9"/>
    <w:unhideWhenUsed/>
    <w:qFormat/>
    <w:rsid w:val="007854F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E7D"/>
    <w:rPr>
      <w:color w:val="0000FF" w:themeColor="hyperlink"/>
      <w:u w:val="single"/>
    </w:rPr>
  </w:style>
  <w:style w:type="paragraph" w:customStyle="1" w:styleId="Normal1">
    <w:name w:val="Normal1"/>
    <w:basedOn w:val="Normal"/>
    <w:rsid w:val="00A97E7D"/>
    <w:rPr>
      <w:rFonts w:ascii="Calibri" w:eastAsia="Times New Roman" w:hAnsi="Calibri" w:cs="Times New Roman"/>
      <w:lang w:eastAsia="lv-LV"/>
    </w:rPr>
  </w:style>
  <w:style w:type="paragraph" w:styleId="Header">
    <w:name w:val="header"/>
    <w:basedOn w:val="Normal"/>
    <w:link w:val="HeaderChar"/>
    <w:uiPriority w:val="99"/>
    <w:unhideWhenUsed/>
    <w:rsid w:val="00A97E7D"/>
    <w:pPr>
      <w:tabs>
        <w:tab w:val="center" w:pos="4153"/>
        <w:tab w:val="right" w:pos="8306"/>
      </w:tabs>
    </w:pPr>
  </w:style>
  <w:style w:type="character" w:customStyle="1" w:styleId="HeaderChar">
    <w:name w:val="Header Char"/>
    <w:basedOn w:val="DefaultParagraphFont"/>
    <w:link w:val="Header"/>
    <w:uiPriority w:val="99"/>
    <w:rsid w:val="00A97E7D"/>
  </w:style>
  <w:style w:type="paragraph" w:styleId="BalloonText">
    <w:name w:val="Balloon Text"/>
    <w:basedOn w:val="Normal"/>
    <w:link w:val="BalloonTextChar"/>
    <w:uiPriority w:val="99"/>
    <w:semiHidden/>
    <w:unhideWhenUsed/>
    <w:rsid w:val="00A97E7D"/>
    <w:rPr>
      <w:rFonts w:ascii="Tahoma" w:hAnsi="Tahoma" w:cs="Tahoma"/>
      <w:sz w:val="16"/>
      <w:szCs w:val="16"/>
    </w:rPr>
  </w:style>
  <w:style w:type="character" w:customStyle="1" w:styleId="BalloonTextChar">
    <w:name w:val="Balloon Text Char"/>
    <w:basedOn w:val="DefaultParagraphFont"/>
    <w:link w:val="BalloonText"/>
    <w:uiPriority w:val="99"/>
    <w:semiHidden/>
    <w:rsid w:val="00A97E7D"/>
    <w:rPr>
      <w:rFonts w:ascii="Tahoma" w:hAnsi="Tahoma" w:cs="Tahoma"/>
      <w:sz w:val="16"/>
      <w:szCs w:val="16"/>
    </w:rPr>
  </w:style>
  <w:style w:type="paragraph" w:styleId="Footer">
    <w:name w:val="footer"/>
    <w:basedOn w:val="Normal"/>
    <w:link w:val="FooterChar"/>
    <w:uiPriority w:val="99"/>
    <w:unhideWhenUsed/>
    <w:rsid w:val="00B26F44"/>
    <w:pPr>
      <w:tabs>
        <w:tab w:val="center" w:pos="4153"/>
        <w:tab w:val="right" w:pos="8306"/>
      </w:tabs>
    </w:pPr>
  </w:style>
  <w:style w:type="character" w:customStyle="1" w:styleId="FooterChar">
    <w:name w:val="Footer Char"/>
    <w:basedOn w:val="DefaultParagraphFont"/>
    <w:link w:val="Footer"/>
    <w:uiPriority w:val="99"/>
    <w:rsid w:val="00B26F44"/>
  </w:style>
  <w:style w:type="paragraph" w:customStyle="1" w:styleId="naiskr">
    <w:name w:val="naiskr"/>
    <w:basedOn w:val="Normal"/>
    <w:uiPriority w:val="99"/>
    <w:rsid w:val="00C75DB8"/>
    <w:pPr>
      <w:spacing w:before="75" w:after="75"/>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522CA"/>
    <w:rPr>
      <w:rFonts w:cs="Times New Roman"/>
    </w:rPr>
  </w:style>
  <w:style w:type="paragraph" w:styleId="NormalWeb">
    <w:name w:val="Normal (Web)"/>
    <w:basedOn w:val="Normal"/>
    <w:semiHidden/>
    <w:unhideWhenUsed/>
    <w:rsid w:val="00720F5F"/>
    <w:pPr>
      <w:spacing w:before="100" w:beforeAutospacing="1" w:after="100" w:afterAutospacing="1"/>
    </w:pPr>
    <w:rPr>
      <w:rFonts w:ascii="Times New Roman" w:eastAsia="Times New Roman" w:hAnsi="Times New Roman" w:cs="Times New Roman"/>
      <w:sz w:val="24"/>
      <w:szCs w:val="24"/>
      <w:lang w:eastAsia="lv-LV"/>
    </w:rPr>
  </w:style>
  <w:style w:type="character" w:styleId="Emphasis">
    <w:name w:val="Emphasis"/>
    <w:basedOn w:val="DefaultParagraphFont"/>
    <w:uiPriority w:val="99"/>
    <w:qFormat/>
    <w:rsid w:val="007304A3"/>
    <w:rPr>
      <w:rFonts w:ascii="Times New Roman" w:hAnsi="Times New Roman" w:cs="Times New Roman" w:hint="default"/>
      <w:i/>
      <w:iCs w:val="0"/>
    </w:rPr>
  </w:style>
  <w:style w:type="character" w:customStyle="1" w:styleId="st1">
    <w:name w:val="st1"/>
    <w:uiPriority w:val="99"/>
    <w:rsid w:val="007304A3"/>
  </w:style>
  <w:style w:type="paragraph" w:customStyle="1" w:styleId="naisc">
    <w:name w:val="naisc"/>
    <w:basedOn w:val="Normal"/>
    <w:uiPriority w:val="99"/>
    <w:rsid w:val="00372D28"/>
    <w:pPr>
      <w:spacing w:before="75" w:after="75"/>
      <w:jc w:val="center"/>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372D28"/>
    <w:pPr>
      <w:spacing w:before="75" w:after="75"/>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061A4"/>
    <w:rPr>
      <w:sz w:val="16"/>
      <w:szCs w:val="16"/>
    </w:rPr>
  </w:style>
  <w:style w:type="paragraph" w:styleId="CommentText">
    <w:name w:val="annotation text"/>
    <w:basedOn w:val="Normal"/>
    <w:link w:val="CommentTextChar"/>
    <w:uiPriority w:val="99"/>
    <w:semiHidden/>
    <w:unhideWhenUsed/>
    <w:rsid w:val="006061A4"/>
    <w:rPr>
      <w:sz w:val="20"/>
      <w:szCs w:val="20"/>
    </w:rPr>
  </w:style>
  <w:style w:type="character" w:customStyle="1" w:styleId="CommentTextChar">
    <w:name w:val="Comment Text Char"/>
    <w:basedOn w:val="DefaultParagraphFont"/>
    <w:link w:val="CommentText"/>
    <w:uiPriority w:val="99"/>
    <w:semiHidden/>
    <w:rsid w:val="006061A4"/>
    <w:rPr>
      <w:sz w:val="20"/>
      <w:szCs w:val="20"/>
    </w:rPr>
  </w:style>
  <w:style w:type="paragraph" w:styleId="CommentSubject">
    <w:name w:val="annotation subject"/>
    <w:basedOn w:val="CommentText"/>
    <w:next w:val="CommentText"/>
    <w:link w:val="CommentSubjectChar"/>
    <w:uiPriority w:val="99"/>
    <w:semiHidden/>
    <w:unhideWhenUsed/>
    <w:rsid w:val="006061A4"/>
    <w:rPr>
      <w:b/>
      <w:bCs/>
    </w:rPr>
  </w:style>
  <w:style w:type="character" w:customStyle="1" w:styleId="CommentSubjectChar">
    <w:name w:val="Comment Subject Char"/>
    <w:basedOn w:val="CommentTextChar"/>
    <w:link w:val="CommentSubject"/>
    <w:uiPriority w:val="99"/>
    <w:semiHidden/>
    <w:rsid w:val="006061A4"/>
    <w:rPr>
      <w:b/>
      <w:bCs/>
      <w:sz w:val="20"/>
      <w:szCs w:val="20"/>
    </w:rPr>
  </w:style>
  <w:style w:type="paragraph" w:styleId="FootnoteText">
    <w:name w:val="footnote text"/>
    <w:basedOn w:val="Normal"/>
    <w:link w:val="FootnoteTextChar"/>
    <w:uiPriority w:val="99"/>
    <w:semiHidden/>
    <w:unhideWhenUsed/>
    <w:rsid w:val="00735BBA"/>
    <w:rPr>
      <w:sz w:val="20"/>
      <w:szCs w:val="20"/>
    </w:rPr>
  </w:style>
  <w:style w:type="character" w:customStyle="1" w:styleId="FootnoteTextChar">
    <w:name w:val="Footnote Text Char"/>
    <w:basedOn w:val="DefaultParagraphFont"/>
    <w:link w:val="FootnoteText"/>
    <w:uiPriority w:val="99"/>
    <w:semiHidden/>
    <w:rsid w:val="00735BBA"/>
    <w:rPr>
      <w:sz w:val="20"/>
      <w:szCs w:val="20"/>
    </w:rPr>
  </w:style>
  <w:style w:type="paragraph" w:customStyle="1" w:styleId="Default">
    <w:name w:val="Default"/>
    <w:rsid w:val="005F0609"/>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rsid w:val="007854F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66031"/>
    <w:pPr>
      <w:spacing w:after="200" w:line="276" w:lineRule="auto"/>
      <w:ind w:left="720"/>
    </w:pPr>
    <w:rPr>
      <w:rFonts w:ascii="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199">
      <w:bodyDiv w:val="1"/>
      <w:marLeft w:val="0"/>
      <w:marRight w:val="0"/>
      <w:marTop w:val="0"/>
      <w:marBottom w:val="0"/>
      <w:divBdr>
        <w:top w:val="none" w:sz="0" w:space="0" w:color="auto"/>
        <w:left w:val="none" w:sz="0" w:space="0" w:color="auto"/>
        <w:bottom w:val="none" w:sz="0" w:space="0" w:color="auto"/>
        <w:right w:val="none" w:sz="0" w:space="0" w:color="auto"/>
      </w:divBdr>
    </w:div>
    <w:div w:id="944848436">
      <w:bodyDiv w:val="1"/>
      <w:marLeft w:val="0"/>
      <w:marRight w:val="0"/>
      <w:marTop w:val="0"/>
      <w:marBottom w:val="0"/>
      <w:divBdr>
        <w:top w:val="none" w:sz="0" w:space="0" w:color="auto"/>
        <w:left w:val="none" w:sz="0" w:space="0" w:color="auto"/>
        <w:bottom w:val="none" w:sz="0" w:space="0" w:color="auto"/>
        <w:right w:val="none" w:sz="0" w:space="0" w:color="auto"/>
      </w:divBdr>
    </w:div>
    <w:div w:id="984160324">
      <w:bodyDiv w:val="1"/>
      <w:marLeft w:val="0"/>
      <w:marRight w:val="0"/>
      <w:marTop w:val="0"/>
      <w:marBottom w:val="0"/>
      <w:divBdr>
        <w:top w:val="none" w:sz="0" w:space="0" w:color="auto"/>
        <w:left w:val="none" w:sz="0" w:space="0" w:color="auto"/>
        <w:bottom w:val="none" w:sz="0" w:space="0" w:color="auto"/>
        <w:right w:val="none" w:sz="0" w:space="0" w:color="auto"/>
      </w:divBdr>
    </w:div>
    <w:div w:id="1072193910">
      <w:bodyDiv w:val="1"/>
      <w:marLeft w:val="0"/>
      <w:marRight w:val="0"/>
      <w:marTop w:val="0"/>
      <w:marBottom w:val="0"/>
      <w:divBdr>
        <w:top w:val="none" w:sz="0" w:space="0" w:color="auto"/>
        <w:left w:val="none" w:sz="0" w:space="0" w:color="auto"/>
        <w:bottom w:val="none" w:sz="0" w:space="0" w:color="auto"/>
        <w:right w:val="none" w:sz="0" w:space="0" w:color="auto"/>
      </w:divBdr>
    </w:div>
    <w:div w:id="1180464985">
      <w:bodyDiv w:val="1"/>
      <w:marLeft w:val="0"/>
      <w:marRight w:val="0"/>
      <w:marTop w:val="0"/>
      <w:marBottom w:val="0"/>
      <w:divBdr>
        <w:top w:val="none" w:sz="0" w:space="0" w:color="auto"/>
        <w:left w:val="none" w:sz="0" w:space="0" w:color="auto"/>
        <w:bottom w:val="none" w:sz="0" w:space="0" w:color="auto"/>
        <w:right w:val="none" w:sz="0" w:space="0" w:color="auto"/>
      </w:divBdr>
    </w:div>
    <w:div w:id="1362710135">
      <w:bodyDiv w:val="1"/>
      <w:marLeft w:val="0"/>
      <w:marRight w:val="0"/>
      <w:marTop w:val="0"/>
      <w:marBottom w:val="0"/>
      <w:divBdr>
        <w:top w:val="none" w:sz="0" w:space="0" w:color="auto"/>
        <w:left w:val="none" w:sz="0" w:space="0" w:color="auto"/>
        <w:bottom w:val="none" w:sz="0" w:space="0" w:color="auto"/>
        <w:right w:val="none" w:sz="0" w:space="0" w:color="auto"/>
      </w:divBdr>
    </w:div>
    <w:div w:id="1435051311">
      <w:bodyDiv w:val="1"/>
      <w:marLeft w:val="0"/>
      <w:marRight w:val="0"/>
      <w:marTop w:val="0"/>
      <w:marBottom w:val="0"/>
      <w:divBdr>
        <w:top w:val="none" w:sz="0" w:space="0" w:color="auto"/>
        <w:left w:val="none" w:sz="0" w:space="0" w:color="auto"/>
        <w:bottom w:val="none" w:sz="0" w:space="0" w:color="auto"/>
        <w:right w:val="none" w:sz="0" w:space="0" w:color="auto"/>
      </w:divBdr>
    </w:div>
    <w:div w:id="1708024821">
      <w:bodyDiv w:val="1"/>
      <w:marLeft w:val="0"/>
      <w:marRight w:val="0"/>
      <w:marTop w:val="0"/>
      <w:marBottom w:val="0"/>
      <w:divBdr>
        <w:top w:val="none" w:sz="0" w:space="0" w:color="auto"/>
        <w:left w:val="none" w:sz="0" w:space="0" w:color="auto"/>
        <w:bottom w:val="none" w:sz="0" w:space="0" w:color="auto"/>
        <w:right w:val="none" w:sz="0" w:space="0" w:color="auto"/>
      </w:divBdr>
    </w:div>
    <w:div w:id="1891112140">
      <w:bodyDiv w:val="1"/>
      <w:marLeft w:val="0"/>
      <w:marRight w:val="0"/>
      <w:marTop w:val="0"/>
      <w:marBottom w:val="0"/>
      <w:divBdr>
        <w:top w:val="none" w:sz="0" w:space="0" w:color="auto"/>
        <w:left w:val="none" w:sz="0" w:space="0" w:color="auto"/>
        <w:bottom w:val="none" w:sz="0" w:space="0" w:color="auto"/>
        <w:right w:val="none" w:sz="0" w:space="0" w:color="auto"/>
      </w:divBdr>
    </w:div>
    <w:div w:id="21032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DACE4-F29B-414F-B790-96F876E3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6</Pages>
  <Words>9256</Words>
  <Characters>5277</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Liena Grobiņa</dc:creator>
  <cp:keywords>Ministru kabineta noteikumu projekts</cp:keywords>
  <cp:lastModifiedBy>Artūrs Ševčuks</cp:lastModifiedBy>
  <cp:revision>95</cp:revision>
  <cp:lastPrinted>2016-07-15T07:57:00Z</cp:lastPrinted>
  <dcterms:created xsi:type="dcterms:W3CDTF">2015-12-02T11:16:00Z</dcterms:created>
  <dcterms:modified xsi:type="dcterms:W3CDTF">2016-08-01T07:10:00Z</dcterms:modified>
  <cp:contentStatus/>
</cp:coreProperties>
</file>