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4F5" w:rsidRPr="00D7159C" w:rsidRDefault="007844F5" w:rsidP="00EA6AE0">
      <w:pPr>
        <w:pStyle w:val="Footer"/>
        <w:spacing w:after="0"/>
        <w:jc w:val="center"/>
        <w:rPr>
          <w:rFonts w:ascii="Times New Roman" w:hAnsi="Times New Roman"/>
          <w:b/>
          <w:bCs/>
          <w:sz w:val="24"/>
          <w:szCs w:val="24"/>
          <w:lang w:eastAsia="lv-LV"/>
        </w:rPr>
      </w:pPr>
      <w:r w:rsidRPr="00D7159C">
        <w:rPr>
          <w:rFonts w:ascii="Times New Roman" w:hAnsi="Times New Roman"/>
          <w:b/>
          <w:sz w:val="24"/>
          <w:szCs w:val="24"/>
          <w:lang w:eastAsia="lv-LV"/>
        </w:rPr>
        <w:t>Ministru kabineta noteikumu projekta „</w:t>
      </w:r>
      <w:r w:rsidRPr="00D7159C">
        <w:rPr>
          <w:rFonts w:ascii="Times New Roman" w:hAnsi="Times New Roman"/>
          <w:b/>
          <w:sz w:val="24"/>
          <w:szCs w:val="24"/>
        </w:rPr>
        <w:t>Grozījumi Ministru kabineta 2000.gada 4.aprīļa noteikumos Nr.135 „Noteikumi par kvalificētā personāla skaitu un nepieciešamo aprīkojumu vispārējās bērnu aprūpes un audzināšanas iestādēs”</w:t>
      </w:r>
      <w:r w:rsidRPr="00D7159C">
        <w:rPr>
          <w:rFonts w:ascii="Times New Roman" w:hAnsi="Times New Roman"/>
          <w:b/>
          <w:sz w:val="24"/>
          <w:szCs w:val="24"/>
          <w:lang w:eastAsia="lv-LV"/>
        </w:rPr>
        <w:t xml:space="preserve">” sākotnējās ietekmes novērtējuma </w:t>
      </w:r>
      <w:smartTag w:uri="schemas-tilde-lv/tildestengine" w:element="veidnes">
        <w:smartTagPr>
          <w:attr w:name="text" w:val="ziņojums"/>
          <w:attr w:name="baseform" w:val="ziņojums"/>
          <w:attr w:name="id" w:val="-1"/>
        </w:smartTagPr>
        <w:r w:rsidRPr="00D7159C">
          <w:rPr>
            <w:rFonts w:ascii="Times New Roman" w:hAnsi="Times New Roman"/>
            <w:b/>
            <w:sz w:val="24"/>
            <w:szCs w:val="24"/>
            <w:lang w:eastAsia="lv-LV"/>
          </w:rPr>
          <w:t>ziņojums</w:t>
        </w:r>
      </w:smartTag>
      <w:r w:rsidRPr="00D7159C">
        <w:rPr>
          <w:rFonts w:ascii="Times New Roman" w:hAnsi="Times New Roman"/>
          <w:b/>
          <w:sz w:val="24"/>
          <w:szCs w:val="24"/>
          <w:lang w:eastAsia="lv-LV"/>
        </w:rPr>
        <w:t xml:space="preserve"> (anotācija)</w:t>
      </w:r>
    </w:p>
    <w:p w:rsidR="007844F5" w:rsidRPr="00B9779B" w:rsidRDefault="007844F5" w:rsidP="007844F5">
      <w:pPr>
        <w:spacing w:after="0"/>
        <w:rPr>
          <w:rFonts w:ascii="Times New Roman" w:hAnsi="Times New Roman"/>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160"/>
        <w:gridCol w:w="6660"/>
      </w:tblGrid>
      <w:tr w:rsidR="007844F5" w:rsidRPr="00B9779B" w:rsidTr="000402AC">
        <w:tc>
          <w:tcPr>
            <w:tcW w:w="9468" w:type="dxa"/>
            <w:gridSpan w:val="3"/>
            <w:shd w:val="clear" w:color="auto" w:fill="auto"/>
          </w:tcPr>
          <w:p w:rsidR="007844F5" w:rsidRPr="00B9779B" w:rsidRDefault="007844F5" w:rsidP="000402AC">
            <w:pPr>
              <w:spacing w:after="0"/>
              <w:rPr>
                <w:rFonts w:ascii="Times New Roman" w:hAnsi="Times New Roman"/>
                <w:sz w:val="24"/>
                <w:szCs w:val="24"/>
              </w:rPr>
            </w:pPr>
            <w:r w:rsidRPr="00B9779B">
              <w:rPr>
                <w:rFonts w:ascii="Times New Roman" w:hAnsi="Times New Roman"/>
                <w:b/>
                <w:bCs/>
                <w:sz w:val="24"/>
                <w:szCs w:val="24"/>
                <w:lang w:eastAsia="lv-LV"/>
              </w:rPr>
              <w:t>I. Tiesību akta projekta izstrādes nepieciešamība</w:t>
            </w:r>
          </w:p>
        </w:tc>
      </w:tr>
      <w:tr w:rsidR="007844F5" w:rsidRPr="00A16B08" w:rsidTr="000402AC">
        <w:tc>
          <w:tcPr>
            <w:tcW w:w="648" w:type="dxa"/>
            <w:shd w:val="clear" w:color="auto" w:fill="auto"/>
          </w:tcPr>
          <w:p w:rsidR="007844F5" w:rsidRPr="00A16B08" w:rsidRDefault="007844F5" w:rsidP="000402AC">
            <w:pPr>
              <w:spacing w:after="0" w:line="240" w:lineRule="auto"/>
              <w:jc w:val="both"/>
              <w:rPr>
                <w:rFonts w:ascii="Times New Roman" w:hAnsi="Times New Roman"/>
                <w:sz w:val="24"/>
                <w:szCs w:val="24"/>
                <w:lang w:eastAsia="lv-LV"/>
              </w:rPr>
            </w:pPr>
            <w:r w:rsidRPr="00A16B08">
              <w:rPr>
                <w:rFonts w:ascii="Times New Roman" w:hAnsi="Times New Roman"/>
                <w:sz w:val="24"/>
                <w:szCs w:val="24"/>
                <w:lang w:eastAsia="lv-LV"/>
              </w:rPr>
              <w:t>1.</w:t>
            </w:r>
          </w:p>
        </w:tc>
        <w:tc>
          <w:tcPr>
            <w:tcW w:w="2160" w:type="dxa"/>
            <w:shd w:val="clear" w:color="auto" w:fill="auto"/>
          </w:tcPr>
          <w:p w:rsidR="007844F5" w:rsidRPr="00A16B08" w:rsidRDefault="007844F5" w:rsidP="000402AC">
            <w:pPr>
              <w:spacing w:after="0" w:line="240" w:lineRule="auto"/>
              <w:ind w:hanging="10"/>
              <w:jc w:val="both"/>
              <w:rPr>
                <w:rFonts w:ascii="Times New Roman" w:hAnsi="Times New Roman"/>
                <w:sz w:val="24"/>
                <w:szCs w:val="24"/>
                <w:lang w:eastAsia="lv-LV"/>
              </w:rPr>
            </w:pPr>
            <w:r w:rsidRPr="00A16B08">
              <w:rPr>
                <w:rFonts w:ascii="Times New Roman" w:hAnsi="Times New Roman"/>
                <w:sz w:val="24"/>
                <w:szCs w:val="24"/>
                <w:lang w:eastAsia="lv-LV"/>
              </w:rPr>
              <w:t>Pamatojums</w:t>
            </w:r>
          </w:p>
        </w:tc>
        <w:tc>
          <w:tcPr>
            <w:tcW w:w="6660" w:type="dxa"/>
            <w:shd w:val="clear" w:color="auto" w:fill="auto"/>
          </w:tcPr>
          <w:p w:rsidR="007844F5" w:rsidRPr="00A16B08" w:rsidRDefault="007844F5" w:rsidP="00337EB5">
            <w:pPr>
              <w:spacing w:after="0" w:line="240" w:lineRule="auto"/>
              <w:jc w:val="both"/>
              <w:rPr>
                <w:rFonts w:ascii="Times New Roman" w:hAnsi="Times New Roman"/>
                <w:sz w:val="24"/>
                <w:szCs w:val="24"/>
                <w:lang w:eastAsia="lv-LV"/>
              </w:rPr>
            </w:pPr>
            <w:r w:rsidRPr="00A16B08">
              <w:rPr>
                <w:rFonts w:ascii="Times New Roman" w:hAnsi="Times New Roman"/>
                <w:sz w:val="24"/>
                <w:szCs w:val="24"/>
                <w:lang w:eastAsia="lv-LV"/>
              </w:rPr>
              <w:t>Ministru kabineta noteikumu projekts „</w:t>
            </w:r>
            <w:r w:rsidR="00D7159C" w:rsidRPr="00A16B08">
              <w:rPr>
                <w:rFonts w:ascii="Times New Roman" w:hAnsi="Times New Roman"/>
                <w:sz w:val="24"/>
                <w:szCs w:val="24"/>
              </w:rPr>
              <w:t>Grozījumi Ministru kabineta 2000.gada 4.aprīļa noteikumos Nr.135 „Noteikumi par kvalificētā personāla skaitu un nepieciešamo aprīkojumu vispārējās bērnu aprūpes un audzināšanas iestādēs”</w:t>
            </w:r>
            <w:r w:rsidRPr="00A16B08">
              <w:rPr>
                <w:rFonts w:ascii="Times New Roman" w:hAnsi="Times New Roman"/>
                <w:sz w:val="24"/>
                <w:szCs w:val="24"/>
                <w:lang w:eastAsia="lv-LV"/>
              </w:rPr>
              <w:t>” (turpmāk – noteikumu projekts) izstrādāts</w:t>
            </w:r>
            <w:r w:rsidR="0019047B" w:rsidRPr="00A16B08">
              <w:rPr>
                <w:rFonts w:ascii="Times New Roman" w:hAnsi="Times New Roman"/>
                <w:sz w:val="24"/>
                <w:szCs w:val="24"/>
                <w:lang w:eastAsia="lv-LV"/>
              </w:rPr>
              <w:t xml:space="preserve">, pamatojoties uz Ministru kabineta </w:t>
            </w:r>
            <w:r w:rsidR="00A16B08" w:rsidRPr="00A16B08">
              <w:rPr>
                <w:rFonts w:ascii="Times New Roman" w:hAnsi="Times New Roman"/>
                <w:color w:val="000000"/>
                <w:sz w:val="24"/>
                <w:szCs w:val="24"/>
              </w:rPr>
              <w:t>2016.gada 5.jūlija sēdē, izskatot Ministru kabineta</w:t>
            </w:r>
            <w:r w:rsidR="00707C9A">
              <w:rPr>
                <w:rFonts w:ascii="Times New Roman" w:hAnsi="Times New Roman"/>
                <w:color w:val="000000"/>
                <w:sz w:val="24"/>
                <w:szCs w:val="24"/>
              </w:rPr>
              <w:t xml:space="preserve"> (MK)</w:t>
            </w:r>
            <w:r w:rsidR="00A16B08" w:rsidRPr="00A16B08">
              <w:rPr>
                <w:rFonts w:ascii="Times New Roman" w:hAnsi="Times New Roman"/>
                <w:color w:val="000000"/>
                <w:sz w:val="24"/>
                <w:szCs w:val="24"/>
              </w:rPr>
              <w:t xml:space="preserve"> noteikumu projektu „Pedagogu darba samaksas noteikumi”, </w:t>
            </w:r>
            <w:r w:rsidR="00337EB5">
              <w:rPr>
                <w:rFonts w:ascii="Times New Roman" w:hAnsi="Times New Roman"/>
                <w:color w:val="000000"/>
                <w:sz w:val="24"/>
                <w:szCs w:val="24"/>
              </w:rPr>
              <w:t>doto uzdevumu</w:t>
            </w:r>
            <w:r w:rsidR="00A16B08" w:rsidRPr="00A16B08">
              <w:rPr>
                <w:rFonts w:ascii="Times New Roman" w:hAnsi="Times New Roman"/>
                <w:color w:val="000000"/>
                <w:sz w:val="24"/>
                <w:szCs w:val="24"/>
              </w:rPr>
              <w:t xml:space="preserve"> Labklājības ministrijai sagatavot un labklājības ministram iesniegt izskatīšanai Ministru kabineta 2016.gada 19.jūlija sēdē kā Ministru kabineta lietu atbilstošus grozījumus Ministru kabineta 2000.gada 4.aprīļa noteikumos Nr.135 „Noteikumi par kvalificētā personāla skaitu un nepieciešamo aprīkojumu vispārējās bērnu aprūpes un audzināšanas iestādēs”</w:t>
            </w:r>
            <w:r w:rsidR="001812AA">
              <w:rPr>
                <w:rFonts w:ascii="Times New Roman" w:hAnsi="Times New Roman"/>
                <w:color w:val="000000"/>
                <w:sz w:val="24"/>
                <w:szCs w:val="24"/>
              </w:rPr>
              <w:t xml:space="preserve"> </w:t>
            </w:r>
            <w:r w:rsidR="002D619B">
              <w:rPr>
                <w:rFonts w:ascii="Times New Roman" w:hAnsi="Times New Roman"/>
                <w:color w:val="000000"/>
                <w:sz w:val="24"/>
                <w:szCs w:val="24"/>
              </w:rPr>
              <w:t xml:space="preserve">(prot. Nr.33, 35.§, 13.punkts) </w:t>
            </w:r>
            <w:r w:rsidR="001812AA">
              <w:rPr>
                <w:rFonts w:ascii="Times New Roman" w:hAnsi="Times New Roman"/>
                <w:color w:val="000000"/>
                <w:sz w:val="24"/>
                <w:szCs w:val="24"/>
              </w:rPr>
              <w:t>(turpmāk – MK noteikumi)</w:t>
            </w:r>
            <w:r w:rsidR="00A16B08" w:rsidRPr="00A16B08">
              <w:rPr>
                <w:rFonts w:ascii="Times New Roman" w:hAnsi="Times New Roman"/>
                <w:color w:val="000000"/>
                <w:sz w:val="24"/>
                <w:szCs w:val="24"/>
              </w:rPr>
              <w:t>.</w:t>
            </w:r>
            <w:r w:rsidRPr="00A16B08">
              <w:rPr>
                <w:rFonts w:ascii="Times New Roman" w:hAnsi="Times New Roman"/>
                <w:sz w:val="24"/>
                <w:szCs w:val="24"/>
                <w:lang w:eastAsia="lv-LV"/>
              </w:rPr>
              <w:t xml:space="preserve"> </w:t>
            </w:r>
          </w:p>
        </w:tc>
      </w:tr>
      <w:tr w:rsidR="007844F5" w:rsidRPr="00E0313E" w:rsidTr="000402AC">
        <w:tc>
          <w:tcPr>
            <w:tcW w:w="648" w:type="dxa"/>
            <w:shd w:val="clear" w:color="auto" w:fill="auto"/>
          </w:tcPr>
          <w:p w:rsidR="007844F5" w:rsidRPr="00E0313E" w:rsidRDefault="007844F5" w:rsidP="000402AC">
            <w:pPr>
              <w:spacing w:after="0" w:line="240" w:lineRule="auto"/>
              <w:jc w:val="both"/>
              <w:rPr>
                <w:rFonts w:ascii="Times New Roman" w:hAnsi="Times New Roman"/>
                <w:sz w:val="24"/>
                <w:szCs w:val="24"/>
                <w:lang w:eastAsia="lv-LV"/>
              </w:rPr>
            </w:pPr>
            <w:r w:rsidRPr="00E0313E">
              <w:rPr>
                <w:rFonts w:ascii="Times New Roman" w:hAnsi="Times New Roman"/>
                <w:sz w:val="24"/>
                <w:szCs w:val="24"/>
                <w:lang w:eastAsia="lv-LV"/>
              </w:rPr>
              <w:t>2.</w:t>
            </w:r>
          </w:p>
        </w:tc>
        <w:tc>
          <w:tcPr>
            <w:tcW w:w="2160" w:type="dxa"/>
            <w:shd w:val="clear" w:color="auto" w:fill="auto"/>
          </w:tcPr>
          <w:p w:rsidR="007844F5" w:rsidRPr="00E0313E" w:rsidRDefault="007844F5" w:rsidP="00FB4A9F">
            <w:pPr>
              <w:tabs>
                <w:tab w:val="left" w:pos="170"/>
              </w:tabs>
              <w:spacing w:after="0" w:line="240" w:lineRule="auto"/>
              <w:ind w:right="152"/>
              <w:jc w:val="both"/>
              <w:rPr>
                <w:rFonts w:ascii="Times New Roman" w:hAnsi="Times New Roman"/>
                <w:sz w:val="24"/>
                <w:szCs w:val="24"/>
                <w:lang w:eastAsia="lv-LV"/>
              </w:rPr>
            </w:pPr>
            <w:r w:rsidRPr="00E0313E">
              <w:rPr>
                <w:rFonts w:ascii="Times New Roman" w:hAnsi="Times New Roman"/>
                <w:sz w:val="24"/>
                <w:szCs w:val="24"/>
                <w:lang w:eastAsia="lv-LV"/>
              </w:rPr>
              <w:t>Pašreizējā situācija un problēmas, kuru risināšanai tiesību akta projekts izstrādāts, tiesiskā regulējuma mērķis un būtība</w:t>
            </w:r>
          </w:p>
          <w:p w:rsidR="007844F5" w:rsidRPr="00E0313E" w:rsidRDefault="007844F5" w:rsidP="000402AC">
            <w:pPr>
              <w:spacing w:after="0" w:line="240" w:lineRule="auto"/>
              <w:rPr>
                <w:rFonts w:ascii="Times New Roman" w:hAnsi="Times New Roman"/>
                <w:sz w:val="24"/>
                <w:szCs w:val="24"/>
                <w:lang w:eastAsia="lv-LV"/>
              </w:rPr>
            </w:pPr>
          </w:p>
          <w:p w:rsidR="007844F5" w:rsidRPr="00E0313E" w:rsidRDefault="007844F5" w:rsidP="000402AC">
            <w:pPr>
              <w:spacing w:after="0" w:line="240" w:lineRule="auto"/>
              <w:rPr>
                <w:rFonts w:ascii="Times New Roman" w:hAnsi="Times New Roman"/>
                <w:sz w:val="24"/>
                <w:szCs w:val="24"/>
                <w:lang w:eastAsia="lv-LV"/>
              </w:rPr>
            </w:pPr>
          </w:p>
          <w:p w:rsidR="007844F5" w:rsidRPr="00E0313E" w:rsidRDefault="007844F5" w:rsidP="000402AC">
            <w:pPr>
              <w:spacing w:after="0" w:line="240" w:lineRule="auto"/>
              <w:jc w:val="center"/>
              <w:rPr>
                <w:rFonts w:ascii="Times New Roman" w:hAnsi="Times New Roman"/>
                <w:sz w:val="24"/>
                <w:szCs w:val="24"/>
                <w:lang w:eastAsia="lv-LV"/>
              </w:rPr>
            </w:pPr>
          </w:p>
        </w:tc>
        <w:tc>
          <w:tcPr>
            <w:tcW w:w="6660" w:type="dxa"/>
            <w:shd w:val="clear" w:color="auto" w:fill="auto"/>
          </w:tcPr>
          <w:p w:rsidR="00D32E3F" w:rsidRPr="00D32E3F" w:rsidRDefault="00D32E3F" w:rsidP="00D32E3F">
            <w:pPr>
              <w:pStyle w:val="tv213tvp"/>
              <w:autoSpaceDE w:val="0"/>
              <w:spacing w:before="0" w:after="0"/>
              <w:jc w:val="both"/>
            </w:pPr>
            <w:r w:rsidRPr="00D32E3F">
              <w:t xml:space="preserve">MK noteikumi nosaka kvalificētā personāla skaitu un nepieciešamo aprīkojumu vispārējā bāreņu un bez vecāku gādības palikušo bērnu aprūpes un audzināšanas iestādē, </w:t>
            </w:r>
            <w:r w:rsidR="00337EB5">
              <w:t xml:space="preserve">tai skaitā speciālās izglītības iestādēs un internātskolās, </w:t>
            </w:r>
            <w:r w:rsidRPr="00D32E3F">
              <w:t xml:space="preserve">lai nodrošinātu atbilstošus apstākļus bērnu audzināšanai, </w:t>
            </w:r>
            <w:r w:rsidR="00337EB5">
              <w:t xml:space="preserve">izglītošanai, </w:t>
            </w:r>
            <w:r w:rsidRPr="00D32E3F">
              <w:t>vispusīgai attīstībai, rehabilitācijai, sociālajai un veselības aprūpei.</w:t>
            </w:r>
          </w:p>
          <w:p w:rsidR="00D32E3F" w:rsidRPr="00D32E3F" w:rsidRDefault="00D32E3F" w:rsidP="00D32E3F">
            <w:pPr>
              <w:spacing w:after="0" w:line="240" w:lineRule="auto"/>
              <w:jc w:val="both"/>
              <w:rPr>
                <w:rFonts w:ascii="Times New Roman" w:hAnsi="Times New Roman"/>
                <w:sz w:val="24"/>
                <w:szCs w:val="24"/>
                <w:lang w:eastAsia="lv-LV"/>
              </w:rPr>
            </w:pPr>
            <w:r w:rsidRPr="00D32E3F">
              <w:rPr>
                <w:rFonts w:ascii="Times New Roman" w:eastAsiaTheme="minorHAnsi" w:hAnsi="Times New Roman"/>
                <w:sz w:val="24"/>
                <w:szCs w:val="24"/>
              </w:rPr>
              <w:t>Savukārt MK 2010.gada 31.augusta noteikumi Nr.825 “Speciālās izglītības iestāžu, vispārējās izglītības iestāžu speciālās izglītības klašu (grupu) un internātskolu finansēšanas kārtība</w:t>
            </w:r>
            <w:r w:rsidRPr="00D32E3F">
              <w:rPr>
                <w:rFonts w:ascii="Times New Roman" w:hAnsi="Times New Roman"/>
                <w:sz w:val="24"/>
                <w:szCs w:val="24"/>
                <w:shd w:val="clear" w:color="auto" w:fill="FFFFFF"/>
              </w:rPr>
              <w:t>” nosaka internātskol</w:t>
            </w:r>
            <w:r w:rsidR="00337EB5">
              <w:rPr>
                <w:rFonts w:ascii="Times New Roman" w:hAnsi="Times New Roman"/>
                <w:sz w:val="24"/>
                <w:szCs w:val="24"/>
                <w:shd w:val="clear" w:color="auto" w:fill="FFFFFF"/>
              </w:rPr>
              <w:t>u</w:t>
            </w:r>
            <w:r w:rsidRPr="00D32E3F">
              <w:rPr>
                <w:rFonts w:ascii="Times New Roman" w:hAnsi="Times New Roman"/>
                <w:sz w:val="24"/>
                <w:szCs w:val="24"/>
                <w:shd w:val="clear" w:color="auto" w:fill="FFFFFF"/>
              </w:rPr>
              <w:t>, speciālās izglītības iestā</w:t>
            </w:r>
            <w:r w:rsidR="00337EB5">
              <w:rPr>
                <w:rFonts w:ascii="Times New Roman" w:hAnsi="Times New Roman"/>
                <w:sz w:val="24"/>
                <w:szCs w:val="24"/>
                <w:shd w:val="clear" w:color="auto" w:fill="FFFFFF"/>
              </w:rPr>
              <w:t>žu</w:t>
            </w:r>
            <w:r w:rsidRPr="00D32E3F">
              <w:rPr>
                <w:rFonts w:ascii="Times New Roman" w:hAnsi="Times New Roman"/>
                <w:sz w:val="24"/>
                <w:szCs w:val="24"/>
                <w:shd w:val="clear" w:color="auto" w:fill="FFFFFF"/>
              </w:rPr>
              <w:t xml:space="preserve"> un vispārējās izglītības iestāžu speciālās izglītības kla</w:t>
            </w:r>
            <w:r w:rsidR="00337EB5">
              <w:rPr>
                <w:rFonts w:ascii="Times New Roman" w:hAnsi="Times New Roman"/>
                <w:sz w:val="24"/>
                <w:szCs w:val="24"/>
                <w:shd w:val="clear" w:color="auto" w:fill="FFFFFF"/>
              </w:rPr>
              <w:t>šu</w:t>
            </w:r>
            <w:r w:rsidRPr="00D32E3F">
              <w:rPr>
                <w:rFonts w:ascii="Times New Roman" w:hAnsi="Times New Roman"/>
                <w:sz w:val="24"/>
                <w:szCs w:val="24"/>
                <w:shd w:val="clear" w:color="auto" w:fill="FFFFFF"/>
              </w:rPr>
              <w:t xml:space="preserve"> (grup</w:t>
            </w:r>
            <w:r w:rsidR="00337EB5">
              <w:rPr>
                <w:rFonts w:ascii="Times New Roman" w:hAnsi="Times New Roman"/>
                <w:sz w:val="24"/>
                <w:szCs w:val="24"/>
                <w:shd w:val="clear" w:color="auto" w:fill="FFFFFF"/>
              </w:rPr>
              <w:t>u</w:t>
            </w:r>
            <w:r w:rsidRPr="00D32E3F">
              <w:rPr>
                <w:rFonts w:ascii="Times New Roman" w:hAnsi="Times New Roman"/>
                <w:sz w:val="24"/>
                <w:szCs w:val="24"/>
                <w:shd w:val="clear" w:color="auto" w:fill="FFFFFF"/>
              </w:rPr>
              <w:t>)</w:t>
            </w:r>
            <w:r w:rsidR="00337EB5">
              <w:rPr>
                <w:rFonts w:ascii="Times New Roman" w:hAnsi="Times New Roman"/>
                <w:sz w:val="24"/>
                <w:szCs w:val="24"/>
                <w:shd w:val="clear" w:color="auto" w:fill="FFFFFF"/>
              </w:rPr>
              <w:t xml:space="preserve"> finansēšanas noteikumus</w:t>
            </w:r>
            <w:r w:rsidRPr="00D32E3F">
              <w:rPr>
                <w:rFonts w:ascii="Times New Roman" w:hAnsi="Times New Roman"/>
                <w:sz w:val="24"/>
                <w:szCs w:val="24"/>
                <w:shd w:val="clear" w:color="auto" w:fill="FFFFFF"/>
              </w:rPr>
              <w:t>.</w:t>
            </w:r>
          </w:p>
          <w:p w:rsidR="007F2FA6" w:rsidRPr="00D32E3F" w:rsidRDefault="00707C9A" w:rsidP="007F2FA6">
            <w:pPr>
              <w:spacing w:after="0" w:line="240" w:lineRule="auto"/>
              <w:jc w:val="both"/>
              <w:rPr>
                <w:rFonts w:ascii="Times New Roman" w:hAnsi="Times New Roman"/>
                <w:sz w:val="24"/>
                <w:szCs w:val="24"/>
                <w:lang w:eastAsia="lv-LV"/>
              </w:rPr>
            </w:pPr>
            <w:r>
              <w:rPr>
                <w:rFonts w:ascii="Times New Roman" w:eastAsiaTheme="minorHAnsi" w:hAnsi="Times New Roman"/>
                <w:sz w:val="24"/>
                <w:szCs w:val="24"/>
              </w:rPr>
              <w:t>Tāpat</w:t>
            </w:r>
            <w:r w:rsidR="00D32E3F" w:rsidRPr="00D32E3F">
              <w:rPr>
                <w:rFonts w:ascii="Times New Roman" w:eastAsiaTheme="minorHAnsi" w:hAnsi="Times New Roman"/>
                <w:sz w:val="24"/>
                <w:szCs w:val="24"/>
              </w:rPr>
              <w:t xml:space="preserve"> </w:t>
            </w:r>
            <w:r w:rsidR="007F2FA6" w:rsidRPr="00D32E3F">
              <w:rPr>
                <w:rFonts w:ascii="Times New Roman" w:eastAsiaTheme="minorHAnsi" w:hAnsi="Times New Roman"/>
                <w:sz w:val="24"/>
                <w:szCs w:val="24"/>
              </w:rPr>
              <w:t xml:space="preserve">2016.gada 5.jūlijā Ministru kabinets </w:t>
            </w:r>
            <w:r>
              <w:rPr>
                <w:rFonts w:ascii="Times New Roman" w:eastAsiaTheme="minorHAnsi" w:hAnsi="Times New Roman"/>
                <w:sz w:val="24"/>
                <w:szCs w:val="24"/>
              </w:rPr>
              <w:t>pieņēma</w:t>
            </w:r>
            <w:r w:rsidR="007F2FA6" w:rsidRPr="00D32E3F">
              <w:rPr>
                <w:rFonts w:ascii="Times New Roman" w:eastAsiaTheme="minorHAnsi" w:hAnsi="Times New Roman"/>
                <w:sz w:val="24"/>
                <w:szCs w:val="24"/>
              </w:rPr>
              <w:t xml:space="preserve"> MK noteikumu projektu “Par valsts budžeta mērķdotāciju pedagogu darba samaksai pašvaldību vispārējās izglītības iestādēs un valsts augstskolu vispārējās vidējās izglītības iestādēs”, kas </w:t>
            </w:r>
            <w:r w:rsidR="007F2FA6" w:rsidRPr="00D32E3F">
              <w:rPr>
                <w:rFonts w:ascii="Times New Roman" w:hAnsi="Times New Roman"/>
                <w:sz w:val="24"/>
                <w:szCs w:val="24"/>
                <w:lang w:eastAsia="lv-LV"/>
              </w:rPr>
              <w:t xml:space="preserve">nosaka kārtību, kādā aprēķina un sadala valsts budžeta mērķdotāciju pašvaldību izglītības iestādēm bērnu no piecu gadu vecuma izglītošanā nodarbināto pirmsskolas izglītības pedagogu darba samaksai un pašvaldību vispārējās pamatizglītības un vispārējās vidējās izglītības iestāžu, tai skaitā internātskolu, kā arī valsts augstskolu vispārējās vidējās izglītības iestāžu pedagogu (turpmāk </w:t>
            </w:r>
            <w:r w:rsidR="007F2FA6" w:rsidRPr="00D32E3F">
              <w:rPr>
                <w:rFonts w:ascii="Times New Roman" w:hAnsi="Times New Roman"/>
                <w:b/>
                <w:sz w:val="24"/>
                <w:szCs w:val="24"/>
                <w:lang w:eastAsia="lv-LV"/>
              </w:rPr>
              <w:t>-</w:t>
            </w:r>
            <w:r w:rsidR="007F2FA6" w:rsidRPr="00D32E3F">
              <w:rPr>
                <w:rFonts w:ascii="Times New Roman" w:hAnsi="Times New Roman"/>
                <w:sz w:val="24"/>
                <w:szCs w:val="24"/>
                <w:lang w:eastAsia="lv-LV"/>
              </w:rPr>
              <w:t xml:space="preserve"> pedagogu) darba samaksai.</w:t>
            </w:r>
          </w:p>
          <w:p w:rsidR="007F2FA6" w:rsidRPr="00D32E3F" w:rsidRDefault="007F2FA6" w:rsidP="007F2FA6">
            <w:pPr>
              <w:spacing w:after="0" w:line="240" w:lineRule="auto"/>
              <w:jc w:val="both"/>
              <w:rPr>
                <w:rFonts w:ascii="Times New Roman" w:hAnsi="Times New Roman"/>
                <w:sz w:val="24"/>
                <w:szCs w:val="24"/>
              </w:rPr>
            </w:pPr>
            <w:r w:rsidRPr="00D32E3F">
              <w:rPr>
                <w:rFonts w:ascii="Times New Roman" w:hAnsi="Times New Roman"/>
                <w:sz w:val="24"/>
                <w:szCs w:val="24"/>
                <w:lang w:eastAsia="lv-LV"/>
              </w:rPr>
              <w:t>Ņemot vērā minēto, lai novērstu tiesību normu sadrumstalotību</w:t>
            </w:r>
            <w:r w:rsidR="00707C9A">
              <w:rPr>
                <w:rFonts w:ascii="Times New Roman" w:hAnsi="Times New Roman"/>
                <w:sz w:val="24"/>
                <w:szCs w:val="24"/>
                <w:lang w:eastAsia="lv-LV"/>
              </w:rPr>
              <w:t xml:space="preserve"> un dublēšanos</w:t>
            </w:r>
            <w:r w:rsidRPr="00D32E3F">
              <w:rPr>
                <w:rFonts w:ascii="Times New Roman" w:hAnsi="Times New Roman"/>
                <w:sz w:val="24"/>
                <w:szCs w:val="24"/>
                <w:lang w:eastAsia="lv-LV"/>
              </w:rPr>
              <w:t>, nepieciešams prasības pedagoģiskajam personālam noteikt izglītības jomu regulējošajos normatīvajos aktos.</w:t>
            </w:r>
          </w:p>
          <w:p w:rsidR="007844F5" w:rsidRDefault="007F2FA6" w:rsidP="00820551">
            <w:pPr>
              <w:pStyle w:val="tv213tvp"/>
              <w:autoSpaceDE w:val="0"/>
              <w:spacing w:before="0" w:after="0"/>
              <w:jc w:val="both"/>
            </w:pPr>
            <w:r w:rsidRPr="00D32E3F">
              <w:t>Līdz ar to n</w:t>
            </w:r>
            <w:r w:rsidR="001812AA" w:rsidRPr="00D32E3F">
              <w:t xml:space="preserve">oteikumu projekts </w:t>
            </w:r>
            <w:r w:rsidR="006A1C42" w:rsidRPr="00D32E3F">
              <w:t>paredz:</w:t>
            </w:r>
          </w:p>
          <w:p w:rsidR="008D0469" w:rsidRPr="00D32E3F" w:rsidRDefault="008D0469" w:rsidP="00820551">
            <w:pPr>
              <w:pStyle w:val="tv213tvp"/>
              <w:autoSpaceDE w:val="0"/>
              <w:spacing w:before="0" w:after="0"/>
              <w:jc w:val="both"/>
            </w:pPr>
            <w:r>
              <w:t xml:space="preserve">1) 2.punktā precizēt vispārīgo regulējumu, kādam personālam ir jābūt bērnu aprūpes un audzināšanas iestādēs, papildinot 2.5. un 2.6. apakšpunktu ar informāciju, ka bērnu aprūpes un </w:t>
            </w:r>
            <w:r>
              <w:lastRenderedPageBreak/>
              <w:t xml:space="preserve">audzināšanas iestādēs jābūt </w:t>
            </w:r>
            <w:r w:rsidRPr="008D0469">
              <w:t>pedagoģiskajam personālam saskaņā ar normatīvo regulējumu par speciālās izglītības iestāžu, internātskolu un vispārējās izglītības iestāžu speciālās izglītības klašu (grupu) finansēšanas kārtību</w:t>
            </w:r>
            <w:r>
              <w:t>.</w:t>
            </w:r>
          </w:p>
          <w:p w:rsidR="006A1C42" w:rsidRPr="00D32E3F" w:rsidRDefault="008D0469" w:rsidP="00E0313E">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2</w:t>
            </w:r>
            <w:r w:rsidR="006A1C42" w:rsidRPr="00D32E3F">
              <w:rPr>
                <w:rFonts w:ascii="Times New Roman" w:eastAsiaTheme="minorHAnsi" w:hAnsi="Times New Roman"/>
                <w:sz w:val="24"/>
                <w:szCs w:val="24"/>
              </w:rPr>
              <w:t xml:space="preserve">) no 5.pielikuma “Personāls speciālās izglītības iestādē” </w:t>
            </w:r>
            <w:r w:rsidR="00E0313E" w:rsidRPr="00D32E3F">
              <w:rPr>
                <w:rFonts w:ascii="Times New Roman" w:eastAsiaTheme="minorHAnsi" w:hAnsi="Times New Roman"/>
                <w:sz w:val="24"/>
                <w:szCs w:val="24"/>
              </w:rPr>
              <w:t>svītrot</w:t>
            </w:r>
            <w:r w:rsidR="006A1C42" w:rsidRPr="00D32E3F">
              <w:rPr>
                <w:rFonts w:ascii="Times New Roman" w:eastAsiaTheme="minorHAnsi" w:hAnsi="Times New Roman"/>
                <w:sz w:val="24"/>
                <w:szCs w:val="24"/>
              </w:rPr>
              <w:t xml:space="preserve"> 2.punktu “Pedagoģiskais personāls”</w:t>
            </w:r>
            <w:r w:rsidR="00707C9A">
              <w:rPr>
                <w:rFonts w:ascii="Times New Roman" w:eastAsiaTheme="minorHAnsi" w:hAnsi="Times New Roman"/>
                <w:sz w:val="24"/>
                <w:szCs w:val="24"/>
              </w:rPr>
              <w:t>, jo</w:t>
            </w:r>
            <w:r w:rsidR="006A1C42" w:rsidRPr="00D32E3F">
              <w:rPr>
                <w:rFonts w:ascii="Times New Roman" w:eastAsiaTheme="minorHAnsi" w:hAnsi="Times New Roman"/>
                <w:sz w:val="24"/>
                <w:szCs w:val="24"/>
              </w:rPr>
              <w:t xml:space="preserve"> saistībā ar Ministru kabineta 2016.gada 5.jūlija sēdes </w:t>
            </w:r>
            <w:proofErr w:type="spellStart"/>
            <w:r w:rsidR="006A1C42" w:rsidRPr="00D32E3F">
              <w:rPr>
                <w:rFonts w:ascii="Times New Roman" w:eastAsiaTheme="minorHAnsi" w:hAnsi="Times New Roman"/>
                <w:sz w:val="24"/>
                <w:szCs w:val="24"/>
              </w:rPr>
              <w:t>protokollēmumā</w:t>
            </w:r>
            <w:proofErr w:type="spellEnd"/>
            <w:r w:rsidR="006A1C42" w:rsidRPr="00D32E3F">
              <w:rPr>
                <w:rFonts w:ascii="Times New Roman" w:eastAsiaTheme="minorHAnsi" w:hAnsi="Times New Roman"/>
                <w:sz w:val="24"/>
                <w:szCs w:val="24"/>
              </w:rPr>
              <w:t xml:space="preserve"> </w:t>
            </w:r>
            <w:r w:rsidR="00707C9A">
              <w:rPr>
                <w:rFonts w:ascii="Times New Roman" w:eastAsiaTheme="minorHAnsi" w:hAnsi="Times New Roman"/>
                <w:sz w:val="24"/>
                <w:szCs w:val="24"/>
              </w:rPr>
              <w:t>doto uzdevumu</w:t>
            </w:r>
            <w:r w:rsidR="006A1C42" w:rsidRPr="00D32E3F">
              <w:rPr>
                <w:rFonts w:ascii="Times New Roman" w:eastAsiaTheme="minorHAnsi" w:hAnsi="Times New Roman"/>
                <w:sz w:val="24"/>
                <w:szCs w:val="24"/>
              </w:rPr>
              <w:t xml:space="preserve"> Izglītības</w:t>
            </w:r>
            <w:r w:rsidR="002D619B">
              <w:rPr>
                <w:rFonts w:ascii="Times New Roman" w:eastAsiaTheme="minorHAnsi" w:hAnsi="Times New Roman"/>
                <w:sz w:val="24"/>
                <w:szCs w:val="24"/>
              </w:rPr>
              <w:t xml:space="preserve"> un zinātnes ministrijai ir</w:t>
            </w:r>
            <w:r w:rsidR="00707C9A">
              <w:rPr>
                <w:rFonts w:ascii="Times New Roman" w:eastAsiaTheme="minorHAnsi" w:hAnsi="Times New Roman"/>
                <w:sz w:val="24"/>
                <w:szCs w:val="24"/>
              </w:rPr>
              <w:t xml:space="preserve"> jā</w:t>
            </w:r>
            <w:r w:rsidR="006A1C42" w:rsidRPr="00D32E3F">
              <w:rPr>
                <w:rFonts w:ascii="Times New Roman" w:eastAsiaTheme="minorHAnsi" w:hAnsi="Times New Roman"/>
                <w:sz w:val="24"/>
                <w:szCs w:val="24"/>
              </w:rPr>
              <w:t xml:space="preserve">sagatavo un </w:t>
            </w:r>
            <w:r w:rsidR="00707C9A">
              <w:rPr>
                <w:rFonts w:ascii="Times New Roman" w:eastAsiaTheme="minorHAnsi" w:hAnsi="Times New Roman"/>
                <w:sz w:val="24"/>
                <w:szCs w:val="24"/>
              </w:rPr>
              <w:t>jā</w:t>
            </w:r>
            <w:r w:rsidR="006A1C42" w:rsidRPr="00D32E3F">
              <w:rPr>
                <w:rFonts w:ascii="Times New Roman" w:eastAsiaTheme="minorHAnsi" w:hAnsi="Times New Roman"/>
                <w:sz w:val="24"/>
                <w:szCs w:val="24"/>
              </w:rPr>
              <w:t>iesnie</w:t>
            </w:r>
            <w:r w:rsidR="00707C9A">
              <w:rPr>
                <w:rFonts w:ascii="Times New Roman" w:eastAsiaTheme="minorHAnsi" w:hAnsi="Times New Roman"/>
                <w:sz w:val="24"/>
                <w:szCs w:val="24"/>
              </w:rPr>
              <w:t>dz</w:t>
            </w:r>
            <w:r w:rsidR="006A1C42" w:rsidRPr="00D32E3F">
              <w:rPr>
                <w:rFonts w:ascii="Times New Roman" w:eastAsiaTheme="minorHAnsi" w:hAnsi="Times New Roman"/>
                <w:sz w:val="24"/>
                <w:szCs w:val="24"/>
              </w:rPr>
              <w:t xml:space="preserve"> izskatīšanai Ministru kabineta 2016.gada 19.jūlija sēdē kā Ministru kabineta liet</w:t>
            </w:r>
            <w:r w:rsidR="00707C9A">
              <w:rPr>
                <w:rFonts w:ascii="Times New Roman" w:eastAsiaTheme="minorHAnsi" w:hAnsi="Times New Roman"/>
                <w:sz w:val="24"/>
                <w:szCs w:val="24"/>
              </w:rPr>
              <w:t>a</w:t>
            </w:r>
            <w:r w:rsidR="006A1C42" w:rsidRPr="00D32E3F">
              <w:rPr>
                <w:rFonts w:ascii="Times New Roman" w:eastAsiaTheme="minorHAnsi" w:hAnsi="Times New Roman"/>
                <w:sz w:val="24"/>
                <w:szCs w:val="24"/>
              </w:rPr>
              <w:t xml:space="preserve"> grozījum</w:t>
            </w:r>
            <w:r w:rsidR="00707C9A">
              <w:rPr>
                <w:rFonts w:ascii="Times New Roman" w:eastAsiaTheme="minorHAnsi" w:hAnsi="Times New Roman"/>
                <w:sz w:val="24"/>
                <w:szCs w:val="24"/>
              </w:rPr>
              <w:t>i</w:t>
            </w:r>
            <w:r w:rsidR="006A1C42" w:rsidRPr="00D32E3F">
              <w:rPr>
                <w:rFonts w:ascii="Times New Roman" w:eastAsiaTheme="minorHAnsi" w:hAnsi="Times New Roman"/>
                <w:sz w:val="24"/>
                <w:szCs w:val="24"/>
              </w:rPr>
              <w:t xml:space="preserve"> Ministru kabineta 2010.gada 31.augusta noteikumos Nr.825 “Speciālās izglītības iestāžu, vispārējās izglītības iestāžu speciālās izglītības klašu (grupu) un internātskolu finansēšanas kārtība”, paredz</w:t>
            </w:r>
            <w:r w:rsidR="00707C9A">
              <w:rPr>
                <w:rFonts w:ascii="Times New Roman" w:eastAsiaTheme="minorHAnsi" w:hAnsi="Times New Roman"/>
                <w:sz w:val="24"/>
                <w:szCs w:val="24"/>
              </w:rPr>
              <w:t>o</w:t>
            </w:r>
            <w:r w:rsidR="006A1C42" w:rsidRPr="00D32E3F">
              <w:rPr>
                <w:rFonts w:ascii="Times New Roman" w:eastAsiaTheme="minorHAnsi" w:hAnsi="Times New Roman"/>
                <w:sz w:val="24"/>
                <w:szCs w:val="24"/>
              </w:rPr>
              <w:t xml:space="preserve">t iekļaut </w:t>
            </w:r>
            <w:r w:rsidR="00707C9A">
              <w:rPr>
                <w:rFonts w:ascii="Times New Roman" w:eastAsiaTheme="minorHAnsi" w:hAnsi="Times New Roman"/>
                <w:sz w:val="24"/>
                <w:szCs w:val="24"/>
              </w:rPr>
              <w:t xml:space="preserve">tajos </w:t>
            </w:r>
            <w:r w:rsidR="006A1C42" w:rsidRPr="00D32E3F">
              <w:rPr>
                <w:rFonts w:ascii="Times New Roman" w:eastAsiaTheme="minorHAnsi" w:hAnsi="Times New Roman"/>
                <w:sz w:val="24"/>
                <w:szCs w:val="24"/>
              </w:rPr>
              <w:t>valsts mērķdotācijas aprēķinu speciālo izglītības iestāžu pedagogu darba samaksai;</w:t>
            </w:r>
          </w:p>
          <w:p w:rsidR="006A1C42" w:rsidRPr="00D32E3F" w:rsidRDefault="008D0469" w:rsidP="00707C9A">
            <w:pPr>
              <w:autoSpaceDE w:val="0"/>
              <w:autoSpaceDN w:val="0"/>
              <w:adjustRightInd w:val="0"/>
              <w:spacing w:after="0" w:line="240" w:lineRule="auto"/>
              <w:jc w:val="both"/>
              <w:rPr>
                <w:rFonts w:ascii="Times New Roman" w:hAnsi="Times New Roman"/>
                <w:sz w:val="24"/>
                <w:szCs w:val="24"/>
              </w:rPr>
            </w:pPr>
            <w:r>
              <w:rPr>
                <w:rFonts w:ascii="Times New Roman" w:eastAsiaTheme="minorHAnsi" w:hAnsi="Times New Roman"/>
                <w:sz w:val="24"/>
                <w:szCs w:val="24"/>
              </w:rPr>
              <w:t>3</w:t>
            </w:r>
            <w:r w:rsidR="006A1C42" w:rsidRPr="00D32E3F">
              <w:rPr>
                <w:rFonts w:ascii="Times New Roman" w:eastAsiaTheme="minorHAnsi" w:hAnsi="Times New Roman"/>
                <w:sz w:val="24"/>
                <w:szCs w:val="24"/>
              </w:rPr>
              <w:t xml:space="preserve">) no 6. pielikuma “Personāls internātskolā” </w:t>
            </w:r>
            <w:r w:rsidR="00E0313E" w:rsidRPr="00D32E3F">
              <w:rPr>
                <w:rFonts w:ascii="Times New Roman" w:eastAsiaTheme="minorHAnsi" w:hAnsi="Times New Roman"/>
                <w:sz w:val="24"/>
                <w:szCs w:val="24"/>
              </w:rPr>
              <w:t>svītrot</w:t>
            </w:r>
            <w:r w:rsidR="006A1C42" w:rsidRPr="00D32E3F">
              <w:rPr>
                <w:rFonts w:ascii="Times New Roman" w:eastAsiaTheme="minorHAnsi" w:hAnsi="Times New Roman"/>
                <w:sz w:val="24"/>
                <w:szCs w:val="24"/>
              </w:rPr>
              <w:t xml:space="preserve"> 2.punktu “Pedagoģiskais personāls”</w:t>
            </w:r>
            <w:r w:rsidR="00707C9A">
              <w:rPr>
                <w:rFonts w:ascii="Times New Roman" w:eastAsiaTheme="minorHAnsi" w:hAnsi="Times New Roman"/>
                <w:sz w:val="24"/>
                <w:szCs w:val="24"/>
              </w:rPr>
              <w:t>, jo</w:t>
            </w:r>
            <w:r w:rsidR="006A1C42" w:rsidRPr="00D32E3F">
              <w:rPr>
                <w:rFonts w:ascii="Times New Roman" w:eastAsiaTheme="minorHAnsi" w:hAnsi="Times New Roman"/>
                <w:sz w:val="24"/>
                <w:szCs w:val="24"/>
              </w:rPr>
              <w:t xml:space="preserve"> 2016.gada 5.jūlijā Ministru kabinets </w:t>
            </w:r>
            <w:r w:rsidR="00707C9A">
              <w:rPr>
                <w:rFonts w:ascii="Times New Roman" w:eastAsiaTheme="minorHAnsi" w:hAnsi="Times New Roman"/>
                <w:sz w:val="24"/>
                <w:szCs w:val="24"/>
              </w:rPr>
              <w:t>pieņēma</w:t>
            </w:r>
            <w:r w:rsidR="006A1C42" w:rsidRPr="00D32E3F">
              <w:rPr>
                <w:rFonts w:ascii="Times New Roman" w:eastAsiaTheme="minorHAnsi" w:hAnsi="Times New Roman"/>
                <w:sz w:val="24"/>
                <w:szCs w:val="24"/>
              </w:rPr>
              <w:t xml:space="preserve"> </w:t>
            </w:r>
            <w:r w:rsidR="001C4DE7" w:rsidRPr="00D32E3F">
              <w:rPr>
                <w:rFonts w:ascii="Times New Roman" w:eastAsiaTheme="minorHAnsi" w:hAnsi="Times New Roman"/>
                <w:sz w:val="24"/>
                <w:szCs w:val="24"/>
              </w:rPr>
              <w:t>MK</w:t>
            </w:r>
            <w:r w:rsidR="006A1C42" w:rsidRPr="00D32E3F">
              <w:rPr>
                <w:rFonts w:ascii="Times New Roman" w:eastAsiaTheme="minorHAnsi" w:hAnsi="Times New Roman"/>
                <w:sz w:val="24"/>
                <w:szCs w:val="24"/>
              </w:rPr>
              <w:t xml:space="preserve"> noteikumu projektu “Par valsts budžeta mērķdotāciju pedagogu darba samaksai pašvaldību vispārējās izglītības iestādēs un valsts augstskolu vispārējās vidējās izglītības iestādēs”, kuros </w:t>
            </w:r>
            <w:r w:rsidR="00707C9A">
              <w:rPr>
                <w:rFonts w:ascii="Times New Roman" w:eastAsiaTheme="minorHAnsi" w:hAnsi="Times New Roman"/>
                <w:sz w:val="24"/>
                <w:szCs w:val="24"/>
              </w:rPr>
              <w:t>noteikts</w:t>
            </w:r>
            <w:r w:rsidR="006A1C42" w:rsidRPr="00D32E3F">
              <w:rPr>
                <w:rFonts w:ascii="Times New Roman" w:eastAsiaTheme="minorHAnsi" w:hAnsi="Times New Roman"/>
                <w:sz w:val="24"/>
                <w:szCs w:val="24"/>
              </w:rPr>
              <w:t xml:space="preserve"> finansējuma aprēķins internātskolu pedagoģiskajam personālam</w:t>
            </w:r>
            <w:r w:rsidR="006B04CA">
              <w:rPr>
                <w:rFonts w:ascii="Times New Roman" w:eastAsiaTheme="minorHAnsi" w:hAnsi="Times New Roman"/>
                <w:sz w:val="24"/>
                <w:szCs w:val="24"/>
              </w:rPr>
              <w:t>, tai skaitā pedagogu skaits uz vienu izglītojamo</w:t>
            </w:r>
            <w:r w:rsidR="006A1C42" w:rsidRPr="00D32E3F">
              <w:rPr>
                <w:rFonts w:ascii="Times New Roman" w:eastAsiaTheme="minorHAnsi" w:hAnsi="Times New Roman"/>
                <w:sz w:val="24"/>
                <w:szCs w:val="24"/>
              </w:rPr>
              <w:t>.</w:t>
            </w:r>
          </w:p>
        </w:tc>
      </w:tr>
      <w:tr w:rsidR="007844F5" w:rsidRPr="00B9779B" w:rsidTr="000402AC">
        <w:tc>
          <w:tcPr>
            <w:tcW w:w="648" w:type="dxa"/>
            <w:shd w:val="clear" w:color="auto" w:fill="auto"/>
          </w:tcPr>
          <w:p w:rsidR="007844F5" w:rsidRPr="00B9779B" w:rsidRDefault="007844F5" w:rsidP="000402AC">
            <w:pPr>
              <w:spacing w:after="0" w:line="240" w:lineRule="auto"/>
              <w:jc w:val="both"/>
              <w:rPr>
                <w:rFonts w:ascii="Times New Roman" w:hAnsi="Times New Roman"/>
                <w:sz w:val="24"/>
                <w:szCs w:val="24"/>
                <w:lang w:eastAsia="lv-LV"/>
              </w:rPr>
            </w:pPr>
            <w:r w:rsidRPr="00B9779B">
              <w:rPr>
                <w:rFonts w:ascii="Times New Roman" w:hAnsi="Times New Roman"/>
                <w:sz w:val="24"/>
                <w:szCs w:val="24"/>
                <w:lang w:eastAsia="lv-LV"/>
              </w:rPr>
              <w:lastRenderedPageBreak/>
              <w:t>3.</w:t>
            </w:r>
          </w:p>
        </w:tc>
        <w:tc>
          <w:tcPr>
            <w:tcW w:w="2160" w:type="dxa"/>
            <w:shd w:val="clear" w:color="auto" w:fill="auto"/>
          </w:tcPr>
          <w:p w:rsidR="007844F5" w:rsidRPr="00B9779B" w:rsidRDefault="007844F5" w:rsidP="000402AC">
            <w:pPr>
              <w:spacing w:after="0" w:line="240" w:lineRule="auto"/>
              <w:ind w:right="182"/>
              <w:jc w:val="both"/>
              <w:rPr>
                <w:rFonts w:ascii="Times New Roman" w:hAnsi="Times New Roman"/>
                <w:sz w:val="24"/>
                <w:szCs w:val="24"/>
                <w:lang w:eastAsia="lv-LV"/>
              </w:rPr>
            </w:pPr>
            <w:r w:rsidRPr="00B9779B">
              <w:rPr>
                <w:rFonts w:ascii="Times New Roman" w:hAnsi="Times New Roman"/>
                <w:sz w:val="24"/>
                <w:szCs w:val="24"/>
                <w:lang w:eastAsia="lv-LV"/>
              </w:rPr>
              <w:t>Projekta izstrādē iesaistītās institūcijas</w:t>
            </w:r>
          </w:p>
        </w:tc>
        <w:tc>
          <w:tcPr>
            <w:tcW w:w="6660" w:type="dxa"/>
            <w:shd w:val="clear" w:color="auto" w:fill="auto"/>
          </w:tcPr>
          <w:p w:rsidR="007844F5" w:rsidRPr="00B9779B" w:rsidRDefault="00A16B08" w:rsidP="000402AC">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Izglītības un zinātnes ministrija.</w:t>
            </w:r>
          </w:p>
        </w:tc>
      </w:tr>
      <w:tr w:rsidR="007844F5" w:rsidRPr="00B9779B" w:rsidTr="000402AC">
        <w:tc>
          <w:tcPr>
            <w:tcW w:w="648" w:type="dxa"/>
            <w:shd w:val="clear" w:color="auto" w:fill="auto"/>
          </w:tcPr>
          <w:p w:rsidR="007844F5" w:rsidRPr="00B9779B" w:rsidRDefault="007844F5" w:rsidP="000402AC">
            <w:pPr>
              <w:spacing w:after="0" w:line="240" w:lineRule="auto"/>
              <w:jc w:val="both"/>
              <w:rPr>
                <w:rFonts w:ascii="Times New Roman" w:hAnsi="Times New Roman"/>
                <w:sz w:val="24"/>
                <w:szCs w:val="24"/>
                <w:lang w:eastAsia="lv-LV"/>
              </w:rPr>
            </w:pPr>
            <w:r w:rsidRPr="00B9779B">
              <w:rPr>
                <w:rFonts w:ascii="Times New Roman" w:hAnsi="Times New Roman"/>
                <w:sz w:val="24"/>
                <w:szCs w:val="24"/>
                <w:lang w:eastAsia="lv-LV"/>
              </w:rPr>
              <w:t>4.</w:t>
            </w:r>
          </w:p>
        </w:tc>
        <w:tc>
          <w:tcPr>
            <w:tcW w:w="2160" w:type="dxa"/>
            <w:shd w:val="clear" w:color="auto" w:fill="auto"/>
          </w:tcPr>
          <w:p w:rsidR="007844F5" w:rsidRPr="00B9779B" w:rsidRDefault="007844F5" w:rsidP="000402AC">
            <w:pPr>
              <w:spacing w:after="0" w:line="240" w:lineRule="auto"/>
              <w:jc w:val="both"/>
              <w:rPr>
                <w:rFonts w:ascii="Times New Roman" w:hAnsi="Times New Roman"/>
                <w:sz w:val="24"/>
                <w:szCs w:val="24"/>
                <w:lang w:eastAsia="lv-LV"/>
              </w:rPr>
            </w:pPr>
            <w:r w:rsidRPr="00B9779B">
              <w:rPr>
                <w:rFonts w:ascii="Times New Roman" w:hAnsi="Times New Roman"/>
                <w:sz w:val="24"/>
                <w:szCs w:val="24"/>
                <w:lang w:eastAsia="lv-LV"/>
              </w:rPr>
              <w:t>Cita informācija</w:t>
            </w:r>
          </w:p>
        </w:tc>
        <w:tc>
          <w:tcPr>
            <w:tcW w:w="6660" w:type="dxa"/>
            <w:shd w:val="clear" w:color="auto" w:fill="auto"/>
          </w:tcPr>
          <w:p w:rsidR="00726FCE" w:rsidRDefault="004C590D" w:rsidP="00726FCE">
            <w:pPr>
              <w:spacing w:after="0" w:line="240" w:lineRule="auto"/>
              <w:jc w:val="both"/>
              <w:rPr>
                <w:rFonts w:ascii="Times New Roman" w:hAnsi="Times New Roman"/>
                <w:sz w:val="24"/>
                <w:szCs w:val="24"/>
                <w:lang w:eastAsia="lv-LV"/>
              </w:rPr>
            </w:pPr>
            <w:r w:rsidRPr="00726FCE">
              <w:rPr>
                <w:rFonts w:ascii="Times New Roman" w:hAnsi="Times New Roman"/>
                <w:sz w:val="24"/>
                <w:szCs w:val="24"/>
                <w:lang w:eastAsia="lv-LV"/>
              </w:rPr>
              <w:t xml:space="preserve">Iekļaujošās izglītības kontekstā atbalsta pasākumi, lai persona ar invaliditāti varētu iegūt izglītību vienlīdzīgi ar citiem izglītojamajiem, nevar tikt uzskatīti par pakalpojumiem ārpus izglītības procesa, un tādēļ arī finanšu līdzekļu piesaiste ir jāparedz izglītības procesā, jo bērniem ar funkcionālajiem traucējumiem jānodrošina viņu vajadzībām atbilstošs izglītības pakalpojums pēctecīgi un savlaicīgi visās izglītības pakāpēs neatkarīgi no iestādes, kurā bērns mācās. </w:t>
            </w:r>
          </w:p>
          <w:p w:rsidR="00726FCE" w:rsidRPr="00726FCE" w:rsidRDefault="001F45DB" w:rsidP="00726FCE">
            <w:pPr>
              <w:spacing w:after="0" w:line="240" w:lineRule="auto"/>
              <w:jc w:val="both"/>
              <w:rPr>
                <w:rFonts w:ascii="Times New Roman" w:hAnsi="Times New Roman"/>
                <w:sz w:val="24"/>
                <w:szCs w:val="24"/>
                <w:lang w:eastAsia="lv-LV"/>
              </w:rPr>
            </w:pPr>
            <w:r w:rsidRPr="00726FCE">
              <w:rPr>
                <w:rFonts w:ascii="Times New Roman" w:hAnsi="Times New Roman"/>
                <w:sz w:val="24"/>
                <w:szCs w:val="24"/>
                <w:lang w:eastAsia="lv-LV"/>
              </w:rPr>
              <w:t>Papildus normatīvajam regul</w:t>
            </w:r>
            <w:r w:rsidR="009A52BC" w:rsidRPr="00726FCE">
              <w:rPr>
                <w:rFonts w:ascii="Times New Roman" w:hAnsi="Times New Roman"/>
                <w:sz w:val="24"/>
                <w:szCs w:val="24"/>
                <w:lang w:eastAsia="lv-LV"/>
              </w:rPr>
              <w:t xml:space="preserve">ējumam par </w:t>
            </w:r>
            <w:r w:rsidRPr="00726FCE">
              <w:rPr>
                <w:rFonts w:ascii="Times New Roman" w:hAnsi="Times New Roman"/>
                <w:sz w:val="24"/>
                <w:szCs w:val="24"/>
                <w:lang w:eastAsia="lv-LV"/>
              </w:rPr>
              <w:t>pedagogu darba samaksu, normatīvajos aktos, kas nosaka izglītības iestāžu finansēšanu, nepieciešams skaidri noteikt</w:t>
            </w:r>
            <w:r w:rsidR="009A52BC" w:rsidRPr="00726FCE">
              <w:rPr>
                <w:rFonts w:ascii="Times New Roman" w:hAnsi="Times New Roman"/>
                <w:sz w:val="24"/>
                <w:szCs w:val="24"/>
                <w:lang w:eastAsia="lv-LV"/>
              </w:rPr>
              <w:t>, kā</w:t>
            </w:r>
            <w:r w:rsidRPr="00726FCE">
              <w:rPr>
                <w:rFonts w:ascii="Times New Roman" w:hAnsi="Times New Roman"/>
                <w:sz w:val="24"/>
                <w:szCs w:val="24"/>
                <w:lang w:eastAsia="lv-LV"/>
              </w:rPr>
              <w:t xml:space="preserve"> </w:t>
            </w:r>
            <w:r w:rsidR="009A52BC" w:rsidRPr="00726FCE">
              <w:rPr>
                <w:rFonts w:ascii="Times New Roman" w:hAnsi="Times New Roman"/>
                <w:sz w:val="24"/>
                <w:szCs w:val="24"/>
                <w:lang w:eastAsia="lv-LV"/>
              </w:rPr>
              <w:t xml:space="preserve">tiks noregulēta darba samaksa </w:t>
            </w:r>
            <w:r w:rsidR="004C590D" w:rsidRPr="00726FCE">
              <w:rPr>
                <w:rFonts w:ascii="Times New Roman" w:hAnsi="Times New Roman"/>
                <w:sz w:val="24"/>
                <w:szCs w:val="24"/>
                <w:lang w:eastAsia="lv-LV"/>
              </w:rPr>
              <w:t>nepeda</w:t>
            </w:r>
            <w:r w:rsidR="00726FCE">
              <w:rPr>
                <w:rFonts w:ascii="Times New Roman" w:hAnsi="Times New Roman"/>
                <w:sz w:val="24"/>
                <w:szCs w:val="24"/>
                <w:lang w:eastAsia="lv-LV"/>
              </w:rPr>
              <w:t xml:space="preserve">goģiskajam atbalsta personālam </w:t>
            </w:r>
            <w:r w:rsidR="004C590D" w:rsidRPr="00726FCE">
              <w:rPr>
                <w:rFonts w:ascii="Times New Roman" w:hAnsi="Times New Roman"/>
                <w:sz w:val="24"/>
                <w:szCs w:val="24"/>
                <w:lang w:eastAsia="lv-LV"/>
              </w:rPr>
              <w:t>bērniem ar speciālām vajadzībām neatkarīgi no tā, vai viņi mācas speciālā izglītības iestādē vai vispārizglītojošā izglītības iestādē.</w:t>
            </w:r>
            <w:r w:rsidR="00726FCE" w:rsidRPr="00726FCE">
              <w:rPr>
                <w:rFonts w:ascii="Times New Roman" w:eastAsiaTheme="minorHAnsi" w:hAnsi="Times New Roman"/>
                <w:color w:val="000000"/>
                <w:sz w:val="26"/>
                <w:szCs w:val="26"/>
              </w:rPr>
              <w:t xml:space="preserve"> </w:t>
            </w:r>
            <w:r w:rsidR="00726FCE" w:rsidRPr="00726FCE">
              <w:rPr>
                <w:rFonts w:ascii="Times New Roman" w:hAnsi="Times New Roman"/>
                <w:sz w:val="24"/>
                <w:szCs w:val="24"/>
                <w:lang w:eastAsia="lv-LV"/>
              </w:rPr>
              <w:t>Nepedagoģiskais atbalsta personāls ietver papildus pedagoģ</w:t>
            </w:r>
            <w:r w:rsidR="00726FCE">
              <w:rPr>
                <w:rFonts w:ascii="Times New Roman" w:hAnsi="Times New Roman"/>
                <w:sz w:val="24"/>
                <w:szCs w:val="24"/>
                <w:lang w:eastAsia="lv-LV"/>
              </w:rPr>
              <w:t>iskajam atbalstam nepieciešamos</w:t>
            </w:r>
            <w:r w:rsidR="00726FCE" w:rsidRPr="00726FCE">
              <w:rPr>
                <w:rFonts w:ascii="Times New Roman" w:hAnsi="Times New Roman"/>
                <w:sz w:val="24"/>
                <w:szCs w:val="24"/>
                <w:lang w:eastAsia="lv-LV"/>
              </w:rPr>
              <w:t xml:space="preserve">, piemēram, sociālos un veselības atbalsta pakalpojumus. Kārtībai par atbalsta pasākumu un personāla finansēšanu jābūt skaidri noteiktai normatīvajos aktos, lai visiem izglītojamiem, neatkarīgi no izglītības programmas, tās apguves formas (proti, speciālā programma vispārizglītojošā skolā/klasē, speciālās vajadzības vispārizglītojošajā programmā), tiktu nodrošināta pieejama un pēctecīga izglītība. </w:t>
            </w:r>
            <w:r w:rsidR="00726FCE" w:rsidRPr="00726FCE">
              <w:rPr>
                <w:rFonts w:ascii="Times New Roman" w:hAnsi="Times New Roman"/>
                <w:bCs/>
                <w:sz w:val="24"/>
                <w:szCs w:val="24"/>
                <w:lang w:eastAsia="lv-LV"/>
              </w:rPr>
              <w:t xml:space="preserve"> </w:t>
            </w:r>
            <w:r w:rsidR="00726FCE" w:rsidRPr="00726FCE">
              <w:rPr>
                <w:rFonts w:ascii="Times New Roman" w:hAnsi="Times New Roman"/>
                <w:sz w:val="24"/>
                <w:szCs w:val="24"/>
                <w:lang w:eastAsia="lv-LV"/>
              </w:rPr>
              <w:t xml:space="preserve">Lai skaidri noteiktu izglītojamo tiesības un iespējas attiecībā uz atbalsta pasākumu saņemšanu, normatīvajos aktos jābūt noteiktam visa veida atbalsta pasākumu kopumam, kas </w:t>
            </w:r>
            <w:r w:rsidR="00726FCE" w:rsidRPr="00726FCE">
              <w:rPr>
                <w:rFonts w:ascii="Times New Roman" w:hAnsi="Times New Roman"/>
                <w:sz w:val="24"/>
                <w:szCs w:val="24"/>
                <w:lang w:eastAsia="lv-LV"/>
              </w:rPr>
              <w:lastRenderedPageBreak/>
              <w:t xml:space="preserve">ļautu skaidri nodalīt valsts un pašvaldības/ izglītības iestādes dibinātāja kompetences atbalsta pasākumu nodrošināšanā, tādējādi </w:t>
            </w:r>
            <w:r w:rsidR="00726FCE" w:rsidRPr="00726FCE">
              <w:rPr>
                <w:rFonts w:ascii="Times New Roman" w:hAnsi="Times New Roman"/>
                <w:bCs/>
                <w:sz w:val="24"/>
                <w:szCs w:val="24"/>
                <w:lang w:eastAsia="lv-LV"/>
              </w:rPr>
              <w:t>nepieciešams paredzēt regulējumu gan par pedagoģiskā, gan nepedagoģiskā atbalsta personāla nodrošināšanu, vienlaikus sniedzot nosacījumus par šo pozīciju finansēšanas avotiem.</w:t>
            </w:r>
            <w:r w:rsidR="00726FCE" w:rsidRPr="00726FCE">
              <w:rPr>
                <w:rFonts w:ascii="Times New Roman" w:hAnsi="Times New Roman"/>
                <w:sz w:val="24"/>
                <w:szCs w:val="24"/>
                <w:lang w:eastAsia="lv-LV"/>
              </w:rPr>
              <w:t xml:space="preserve"> </w:t>
            </w:r>
          </w:p>
          <w:p w:rsidR="007844F5" w:rsidRPr="00B9779B" w:rsidRDefault="00726FCE" w:rsidP="00824AAF">
            <w:pPr>
              <w:spacing w:after="0" w:line="240" w:lineRule="auto"/>
              <w:jc w:val="both"/>
              <w:rPr>
                <w:rFonts w:ascii="Times New Roman" w:hAnsi="Times New Roman"/>
                <w:sz w:val="24"/>
                <w:szCs w:val="24"/>
                <w:lang w:eastAsia="lv-LV"/>
              </w:rPr>
            </w:pPr>
            <w:r w:rsidRPr="00726FCE">
              <w:rPr>
                <w:rFonts w:ascii="Times New Roman" w:hAnsi="Times New Roman"/>
                <w:sz w:val="24"/>
                <w:szCs w:val="24"/>
                <w:lang w:eastAsia="lv-LV"/>
              </w:rPr>
              <w:t>Pedagoģiskā atbalsta personāla nodrošināšana noteikta IZM sagatavotajā Ministru kabineta noteikumu projektā</w:t>
            </w:r>
            <w:r w:rsidRPr="00726FCE">
              <w:rPr>
                <w:rFonts w:ascii="Times New Roman" w:hAnsi="Times New Roman"/>
                <w:bCs/>
                <w:sz w:val="24"/>
                <w:szCs w:val="24"/>
                <w:lang w:eastAsia="lv-LV"/>
              </w:rPr>
              <w:t xml:space="preserve"> </w:t>
            </w:r>
            <w:r w:rsidRPr="00726FCE">
              <w:rPr>
                <w:rFonts w:ascii="Times New Roman" w:hAnsi="Times New Roman"/>
                <w:sz w:val="24"/>
                <w:szCs w:val="24"/>
                <w:lang w:eastAsia="lv-LV"/>
              </w:rPr>
              <w:t>„Speciālās izglītības iestāžu, internātskolu, speciālās izglītības pirmsskolas grupu un vispārējās izglītības iestāžu speciālās izglītības klašu finansēšanas kārtība” (</w:t>
            </w:r>
            <w:r w:rsidRPr="00726FCE">
              <w:rPr>
                <w:rFonts w:ascii="Times New Roman" w:hAnsi="Times New Roman"/>
                <w:bCs/>
                <w:sz w:val="24"/>
                <w:szCs w:val="24"/>
                <w:lang w:eastAsia="lv-LV"/>
              </w:rPr>
              <w:t>TA-1446</w:t>
            </w:r>
            <w:r w:rsidRPr="00726FCE">
              <w:rPr>
                <w:rFonts w:ascii="Times New Roman" w:hAnsi="Times New Roman"/>
                <w:sz w:val="24"/>
                <w:szCs w:val="24"/>
                <w:lang w:eastAsia="lv-LV"/>
              </w:rPr>
              <w:t xml:space="preserve">). </w:t>
            </w:r>
            <w:proofErr w:type="gramStart"/>
            <w:r w:rsidRPr="00726FCE">
              <w:rPr>
                <w:rFonts w:ascii="Times New Roman" w:hAnsi="Times New Roman"/>
                <w:sz w:val="24"/>
                <w:szCs w:val="24"/>
                <w:lang w:eastAsia="lv-LV"/>
              </w:rPr>
              <w:t>Savukārt,</w:t>
            </w:r>
            <w:proofErr w:type="gramEnd"/>
            <w:r w:rsidRPr="00726FCE">
              <w:rPr>
                <w:rFonts w:ascii="Times New Roman" w:hAnsi="Times New Roman"/>
                <w:sz w:val="24"/>
                <w:szCs w:val="24"/>
                <w:lang w:eastAsia="lv-LV"/>
              </w:rPr>
              <w:t xml:space="preserve"> nepedagoģiskā atbalsta personāla nodrošinājuma groza noteikšana ir iekļauta IZM izveidotās darba grupas darba uzdevumos (I</w:t>
            </w:r>
            <w:r>
              <w:rPr>
                <w:rFonts w:ascii="Times New Roman" w:hAnsi="Times New Roman"/>
                <w:sz w:val="24"/>
                <w:szCs w:val="24"/>
                <w:lang w:eastAsia="lv-LV"/>
              </w:rPr>
              <w:t>zglītības un zinātnes ministra 20.04.2016. rīkojums Nr. 149</w:t>
            </w:r>
            <w:r w:rsidRPr="00726FCE">
              <w:rPr>
                <w:rFonts w:ascii="Times New Roman" w:hAnsi="Times New Roman"/>
                <w:sz w:val="24"/>
                <w:szCs w:val="24"/>
                <w:lang w:eastAsia="lv-LV"/>
              </w:rPr>
              <w:t xml:space="preserve"> Par darba grupas izveidi izglītojamajiem ar speciālām vajadzībām sniedzamo pakalpojumu izmaksu modeļa izstrādei). Attiecīgi darba grupas uzdevums būtu sniegt priekšlikumus ne tikai par nepieciešamajiem atbalsta pasākuma veidiem, bet arī noteikt kompetences un atbildību par to finansēšanu.</w:t>
            </w:r>
          </w:p>
        </w:tc>
      </w:tr>
    </w:tbl>
    <w:p w:rsidR="007844F5" w:rsidRPr="00B9779B" w:rsidRDefault="007844F5" w:rsidP="007844F5">
      <w:pPr>
        <w:spacing w:after="0"/>
        <w:rPr>
          <w:rFonts w:ascii="Times New Roman" w:hAnsi="Times New Roman"/>
          <w:sz w:val="24"/>
          <w:szCs w:val="24"/>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2721"/>
        <w:gridCol w:w="5919"/>
      </w:tblGrid>
      <w:tr w:rsidR="007844F5" w:rsidRPr="00B9779B" w:rsidTr="000402AC">
        <w:tc>
          <w:tcPr>
            <w:tcW w:w="9360" w:type="dxa"/>
            <w:gridSpan w:val="3"/>
          </w:tcPr>
          <w:p w:rsidR="007844F5" w:rsidRPr="00B9779B" w:rsidRDefault="007844F5" w:rsidP="000402AC">
            <w:pPr>
              <w:spacing w:after="0" w:line="240" w:lineRule="auto"/>
              <w:ind w:left="57" w:right="57"/>
              <w:jc w:val="center"/>
              <w:rPr>
                <w:rFonts w:ascii="Times New Roman" w:hAnsi="Times New Roman"/>
                <w:bCs/>
                <w:sz w:val="24"/>
                <w:szCs w:val="24"/>
                <w:lang w:eastAsia="lv-LV"/>
              </w:rPr>
            </w:pPr>
            <w:r w:rsidRPr="00B9779B">
              <w:rPr>
                <w:rFonts w:ascii="Times New Roman" w:hAnsi="Times New Roman"/>
                <w:b/>
                <w:bCs/>
                <w:sz w:val="24"/>
                <w:szCs w:val="24"/>
                <w:lang w:eastAsia="lv-LV"/>
              </w:rPr>
              <w:t>II.</w:t>
            </w:r>
            <w:r w:rsidRPr="00B9779B">
              <w:rPr>
                <w:rFonts w:ascii="Times New Roman" w:hAnsi="Times New Roman"/>
                <w:bCs/>
                <w:sz w:val="24"/>
                <w:szCs w:val="24"/>
                <w:lang w:eastAsia="lv-LV"/>
              </w:rPr>
              <w:t xml:space="preserve"> </w:t>
            </w:r>
            <w:r w:rsidRPr="00B9779B">
              <w:rPr>
                <w:rFonts w:ascii="Times New Roman" w:hAnsi="Times New Roman"/>
                <w:b/>
                <w:bCs/>
                <w:sz w:val="24"/>
                <w:szCs w:val="24"/>
                <w:lang w:eastAsia="lv-LV"/>
              </w:rPr>
              <w:t>Tiesību akta projekta ietekme uz sabiedrību, tautsaimniecības attīstību</w:t>
            </w:r>
          </w:p>
          <w:p w:rsidR="007844F5" w:rsidRPr="00B9779B" w:rsidRDefault="007844F5" w:rsidP="000402AC">
            <w:pPr>
              <w:spacing w:after="0" w:line="240" w:lineRule="auto"/>
              <w:jc w:val="center"/>
              <w:rPr>
                <w:rFonts w:ascii="Times New Roman" w:hAnsi="Times New Roman"/>
                <w:b/>
                <w:sz w:val="24"/>
                <w:szCs w:val="24"/>
                <w:lang w:eastAsia="lv-LV"/>
              </w:rPr>
            </w:pPr>
            <w:r w:rsidRPr="00B9779B">
              <w:rPr>
                <w:rFonts w:ascii="Times New Roman" w:hAnsi="Times New Roman"/>
                <w:b/>
                <w:sz w:val="24"/>
                <w:szCs w:val="24"/>
                <w:lang w:eastAsia="lv-LV"/>
              </w:rPr>
              <w:t>un administratīvo slogu</w:t>
            </w:r>
          </w:p>
        </w:tc>
      </w:tr>
      <w:tr w:rsidR="007844F5" w:rsidRPr="00B9779B" w:rsidTr="00E0313E">
        <w:tc>
          <w:tcPr>
            <w:tcW w:w="720" w:type="dxa"/>
          </w:tcPr>
          <w:p w:rsidR="007844F5" w:rsidRPr="00B9779B" w:rsidRDefault="007844F5" w:rsidP="000402AC">
            <w:pPr>
              <w:spacing w:after="0" w:line="240" w:lineRule="auto"/>
              <w:rPr>
                <w:rFonts w:ascii="Times New Roman" w:hAnsi="Times New Roman"/>
                <w:sz w:val="24"/>
                <w:szCs w:val="24"/>
                <w:lang w:eastAsia="lv-LV"/>
              </w:rPr>
            </w:pPr>
            <w:r w:rsidRPr="00B9779B">
              <w:rPr>
                <w:rFonts w:ascii="Times New Roman" w:hAnsi="Times New Roman"/>
                <w:sz w:val="24"/>
                <w:szCs w:val="24"/>
                <w:lang w:eastAsia="lv-LV"/>
              </w:rPr>
              <w:t>1.</w:t>
            </w:r>
          </w:p>
        </w:tc>
        <w:tc>
          <w:tcPr>
            <w:tcW w:w="2721" w:type="dxa"/>
          </w:tcPr>
          <w:p w:rsidR="007844F5" w:rsidRPr="00B9779B" w:rsidRDefault="007844F5" w:rsidP="000402AC">
            <w:pPr>
              <w:spacing w:after="0" w:line="240" w:lineRule="auto"/>
              <w:rPr>
                <w:rFonts w:ascii="Times New Roman" w:hAnsi="Times New Roman"/>
                <w:sz w:val="24"/>
                <w:szCs w:val="24"/>
                <w:lang w:eastAsia="lv-LV"/>
              </w:rPr>
            </w:pPr>
            <w:r w:rsidRPr="00B9779B">
              <w:rPr>
                <w:rFonts w:ascii="Times New Roman" w:hAnsi="Times New Roman"/>
                <w:sz w:val="24"/>
                <w:szCs w:val="24"/>
                <w:lang w:eastAsia="lv-LV"/>
              </w:rPr>
              <w:t>Sabiedrības mērķgrupas, kuras tiesiskais regulējums ietekmē vai varētu ietekmēt</w:t>
            </w:r>
          </w:p>
        </w:tc>
        <w:tc>
          <w:tcPr>
            <w:tcW w:w="5919" w:type="dxa"/>
          </w:tcPr>
          <w:p w:rsidR="007844F5" w:rsidRPr="00B9779B" w:rsidRDefault="007844F5" w:rsidP="009A52BC">
            <w:pPr>
              <w:spacing w:after="0" w:line="240" w:lineRule="auto"/>
              <w:jc w:val="both"/>
              <w:rPr>
                <w:rFonts w:ascii="Times New Roman" w:hAnsi="Times New Roman"/>
                <w:color w:val="000000"/>
                <w:sz w:val="24"/>
                <w:szCs w:val="24"/>
                <w:lang w:eastAsia="lv-LV"/>
              </w:rPr>
            </w:pPr>
            <w:r w:rsidRPr="00B9779B">
              <w:rPr>
                <w:rFonts w:ascii="Times New Roman" w:hAnsi="Times New Roman"/>
                <w:sz w:val="24"/>
                <w:szCs w:val="24"/>
                <w:lang w:eastAsia="lv-LV"/>
              </w:rPr>
              <w:t xml:space="preserve">Noteikumu projekts </w:t>
            </w:r>
            <w:r w:rsidR="00AB0D9C">
              <w:rPr>
                <w:rFonts w:ascii="Times New Roman" w:hAnsi="Times New Roman"/>
                <w:sz w:val="24"/>
                <w:szCs w:val="24"/>
                <w:lang w:eastAsia="lv-LV"/>
              </w:rPr>
              <w:t xml:space="preserve">attiecas uz </w:t>
            </w:r>
            <w:r w:rsidR="002D7986">
              <w:rPr>
                <w:rFonts w:ascii="Times New Roman" w:hAnsi="Times New Roman"/>
                <w:sz w:val="24"/>
                <w:szCs w:val="24"/>
                <w:lang w:eastAsia="lv-LV"/>
              </w:rPr>
              <w:t>internātskolā</w:t>
            </w:r>
            <w:r w:rsidR="00AB0D9C">
              <w:rPr>
                <w:rFonts w:ascii="Times New Roman" w:hAnsi="Times New Roman"/>
                <w:sz w:val="24"/>
                <w:szCs w:val="24"/>
                <w:lang w:eastAsia="lv-LV"/>
              </w:rPr>
              <w:t>m</w:t>
            </w:r>
            <w:r w:rsidR="002D7986">
              <w:rPr>
                <w:rFonts w:ascii="Times New Roman" w:hAnsi="Times New Roman"/>
                <w:sz w:val="24"/>
                <w:szCs w:val="24"/>
                <w:lang w:eastAsia="lv-LV"/>
              </w:rPr>
              <w:t xml:space="preserve"> un speciālās izglītības iestādē</w:t>
            </w:r>
            <w:r w:rsidR="00AB0D9C">
              <w:rPr>
                <w:rFonts w:ascii="Times New Roman" w:hAnsi="Times New Roman"/>
                <w:sz w:val="24"/>
                <w:szCs w:val="24"/>
                <w:lang w:eastAsia="lv-LV"/>
              </w:rPr>
              <w:t>m un tajās esošajiem bērniem</w:t>
            </w:r>
            <w:r w:rsidR="001C4DE7">
              <w:rPr>
                <w:rFonts w:ascii="Times New Roman" w:hAnsi="Times New Roman"/>
                <w:sz w:val="24"/>
                <w:szCs w:val="24"/>
                <w:lang w:eastAsia="lv-LV"/>
              </w:rPr>
              <w:t xml:space="preserve">, taču grozījumi ir tehniska rakstura, </w:t>
            </w:r>
            <w:r w:rsidR="00707C9A">
              <w:rPr>
                <w:rFonts w:ascii="Times New Roman" w:hAnsi="Times New Roman"/>
                <w:sz w:val="24"/>
                <w:szCs w:val="24"/>
                <w:lang w:eastAsia="lv-LV"/>
              </w:rPr>
              <w:t xml:space="preserve">lai saskaņotu MK noteikumus ar šajā anotācijā minētajiem izglītības jomu </w:t>
            </w:r>
            <w:r w:rsidR="009A52BC">
              <w:rPr>
                <w:rFonts w:ascii="Times New Roman" w:hAnsi="Times New Roman"/>
                <w:sz w:val="24"/>
                <w:szCs w:val="24"/>
                <w:lang w:eastAsia="lv-LV"/>
              </w:rPr>
              <w:t>reglamentējošiem MK noteikumiem</w:t>
            </w:r>
            <w:r w:rsidR="001C4DE7">
              <w:rPr>
                <w:rFonts w:ascii="Times New Roman" w:hAnsi="Times New Roman"/>
                <w:sz w:val="24"/>
                <w:szCs w:val="24"/>
                <w:lang w:eastAsia="lv-LV"/>
              </w:rPr>
              <w:t>.</w:t>
            </w:r>
          </w:p>
        </w:tc>
      </w:tr>
      <w:tr w:rsidR="007844F5" w:rsidRPr="00B9779B" w:rsidTr="00E0313E">
        <w:tc>
          <w:tcPr>
            <w:tcW w:w="720" w:type="dxa"/>
          </w:tcPr>
          <w:p w:rsidR="007844F5" w:rsidRPr="00B9779B" w:rsidRDefault="007844F5" w:rsidP="000402AC">
            <w:pPr>
              <w:spacing w:after="0" w:line="240" w:lineRule="auto"/>
              <w:rPr>
                <w:rFonts w:ascii="Times New Roman" w:hAnsi="Times New Roman"/>
                <w:sz w:val="24"/>
                <w:szCs w:val="24"/>
                <w:lang w:eastAsia="lv-LV"/>
              </w:rPr>
            </w:pPr>
            <w:r w:rsidRPr="00B9779B">
              <w:rPr>
                <w:rFonts w:ascii="Times New Roman" w:hAnsi="Times New Roman"/>
                <w:sz w:val="24"/>
                <w:szCs w:val="24"/>
                <w:lang w:eastAsia="lv-LV"/>
              </w:rPr>
              <w:t xml:space="preserve">2. </w:t>
            </w:r>
          </w:p>
        </w:tc>
        <w:tc>
          <w:tcPr>
            <w:tcW w:w="2721" w:type="dxa"/>
          </w:tcPr>
          <w:p w:rsidR="007844F5" w:rsidRPr="00B9779B" w:rsidRDefault="007844F5" w:rsidP="000402AC">
            <w:pPr>
              <w:spacing w:after="0" w:line="240" w:lineRule="auto"/>
              <w:rPr>
                <w:rFonts w:ascii="Times New Roman" w:hAnsi="Times New Roman"/>
                <w:sz w:val="24"/>
                <w:szCs w:val="24"/>
                <w:lang w:eastAsia="lv-LV"/>
              </w:rPr>
            </w:pPr>
            <w:r w:rsidRPr="00B9779B">
              <w:rPr>
                <w:rFonts w:ascii="Times New Roman" w:hAnsi="Times New Roman"/>
                <w:sz w:val="24"/>
                <w:szCs w:val="24"/>
                <w:lang w:eastAsia="lv-LV"/>
              </w:rPr>
              <w:t>Tiesiskā regulējuma ietekme uz tautsaimniecību un administratīvo slogu</w:t>
            </w:r>
          </w:p>
        </w:tc>
        <w:tc>
          <w:tcPr>
            <w:tcW w:w="5919" w:type="dxa"/>
          </w:tcPr>
          <w:p w:rsidR="007844F5" w:rsidRPr="00B9779B" w:rsidRDefault="007844F5" w:rsidP="000402AC">
            <w:pPr>
              <w:spacing w:after="0" w:line="240" w:lineRule="auto"/>
              <w:jc w:val="both"/>
              <w:rPr>
                <w:rFonts w:ascii="Times New Roman" w:hAnsi="Times New Roman"/>
                <w:sz w:val="24"/>
                <w:szCs w:val="24"/>
                <w:lang w:eastAsia="lv-LV"/>
              </w:rPr>
            </w:pPr>
            <w:r w:rsidRPr="00B9779B">
              <w:rPr>
                <w:rFonts w:ascii="Times New Roman" w:hAnsi="Times New Roman"/>
                <w:iCs/>
                <w:color w:val="000000"/>
                <w:sz w:val="24"/>
                <w:szCs w:val="24"/>
              </w:rPr>
              <w:t>Projekts šo jomu neskar.</w:t>
            </w:r>
          </w:p>
        </w:tc>
      </w:tr>
      <w:tr w:rsidR="007844F5" w:rsidRPr="00B9779B" w:rsidTr="00E0313E">
        <w:tc>
          <w:tcPr>
            <w:tcW w:w="720" w:type="dxa"/>
          </w:tcPr>
          <w:p w:rsidR="007844F5" w:rsidRPr="00B9779B" w:rsidRDefault="007844F5" w:rsidP="000402AC">
            <w:pPr>
              <w:spacing w:after="0" w:line="240" w:lineRule="auto"/>
              <w:rPr>
                <w:rFonts w:ascii="Times New Roman" w:hAnsi="Times New Roman"/>
                <w:sz w:val="24"/>
                <w:szCs w:val="24"/>
                <w:lang w:eastAsia="lv-LV"/>
              </w:rPr>
            </w:pPr>
            <w:r w:rsidRPr="00B9779B">
              <w:rPr>
                <w:rFonts w:ascii="Times New Roman" w:hAnsi="Times New Roman"/>
                <w:sz w:val="24"/>
                <w:szCs w:val="24"/>
                <w:lang w:eastAsia="lv-LV"/>
              </w:rPr>
              <w:t>3.</w:t>
            </w:r>
          </w:p>
        </w:tc>
        <w:tc>
          <w:tcPr>
            <w:tcW w:w="2721" w:type="dxa"/>
          </w:tcPr>
          <w:p w:rsidR="007844F5" w:rsidRPr="00B9779B" w:rsidRDefault="007844F5" w:rsidP="000402AC">
            <w:pPr>
              <w:spacing w:after="0" w:line="240" w:lineRule="auto"/>
              <w:rPr>
                <w:rFonts w:ascii="Times New Roman" w:hAnsi="Times New Roman"/>
                <w:sz w:val="24"/>
                <w:szCs w:val="24"/>
                <w:lang w:eastAsia="lv-LV"/>
              </w:rPr>
            </w:pPr>
            <w:r w:rsidRPr="00B9779B">
              <w:rPr>
                <w:rFonts w:ascii="Times New Roman" w:hAnsi="Times New Roman"/>
                <w:sz w:val="24"/>
                <w:szCs w:val="24"/>
                <w:lang w:eastAsia="lv-LV"/>
              </w:rPr>
              <w:t>Administratīvo izmaksu monetārs novērtējums</w:t>
            </w:r>
          </w:p>
        </w:tc>
        <w:tc>
          <w:tcPr>
            <w:tcW w:w="5919" w:type="dxa"/>
          </w:tcPr>
          <w:p w:rsidR="007844F5" w:rsidRPr="00B9779B" w:rsidRDefault="00E21E7D" w:rsidP="000402AC">
            <w:pPr>
              <w:shd w:val="clear" w:color="auto" w:fill="FFFFFF"/>
              <w:spacing w:after="0" w:line="240" w:lineRule="auto"/>
              <w:jc w:val="both"/>
              <w:rPr>
                <w:rFonts w:ascii="Times New Roman" w:hAnsi="Times New Roman"/>
                <w:color w:val="000000"/>
                <w:sz w:val="24"/>
                <w:szCs w:val="24"/>
                <w:lang w:eastAsia="lv-LV"/>
              </w:rPr>
            </w:pPr>
            <w:r w:rsidRPr="00B9779B">
              <w:rPr>
                <w:rFonts w:ascii="Times New Roman" w:hAnsi="Times New Roman"/>
                <w:iCs/>
                <w:color w:val="000000"/>
                <w:sz w:val="24"/>
                <w:szCs w:val="24"/>
              </w:rPr>
              <w:t>Projekts šo jomu neskar.</w:t>
            </w:r>
          </w:p>
        </w:tc>
      </w:tr>
      <w:tr w:rsidR="007844F5" w:rsidRPr="00B9779B" w:rsidTr="00E0313E">
        <w:tc>
          <w:tcPr>
            <w:tcW w:w="720" w:type="dxa"/>
          </w:tcPr>
          <w:p w:rsidR="007844F5" w:rsidRPr="00B9779B" w:rsidRDefault="007844F5" w:rsidP="000402AC">
            <w:pPr>
              <w:spacing w:after="0" w:line="240" w:lineRule="auto"/>
              <w:rPr>
                <w:rFonts w:ascii="Times New Roman" w:hAnsi="Times New Roman"/>
                <w:sz w:val="24"/>
                <w:szCs w:val="24"/>
                <w:lang w:eastAsia="lv-LV"/>
              </w:rPr>
            </w:pPr>
            <w:r w:rsidRPr="00B9779B">
              <w:rPr>
                <w:rFonts w:ascii="Times New Roman" w:hAnsi="Times New Roman"/>
                <w:sz w:val="24"/>
                <w:szCs w:val="24"/>
                <w:lang w:eastAsia="lv-LV"/>
              </w:rPr>
              <w:t xml:space="preserve">4. </w:t>
            </w:r>
          </w:p>
        </w:tc>
        <w:tc>
          <w:tcPr>
            <w:tcW w:w="2721" w:type="dxa"/>
          </w:tcPr>
          <w:p w:rsidR="007844F5" w:rsidRPr="00B9779B" w:rsidRDefault="007844F5" w:rsidP="000402AC">
            <w:pPr>
              <w:spacing w:after="0" w:line="240" w:lineRule="auto"/>
              <w:rPr>
                <w:rFonts w:ascii="Times New Roman" w:hAnsi="Times New Roman"/>
                <w:sz w:val="24"/>
                <w:szCs w:val="24"/>
                <w:lang w:eastAsia="lv-LV"/>
              </w:rPr>
            </w:pPr>
            <w:r w:rsidRPr="00B9779B">
              <w:rPr>
                <w:rFonts w:ascii="Times New Roman" w:hAnsi="Times New Roman"/>
                <w:sz w:val="24"/>
                <w:szCs w:val="24"/>
                <w:lang w:eastAsia="lv-LV"/>
              </w:rPr>
              <w:t>Cita informācija</w:t>
            </w:r>
          </w:p>
        </w:tc>
        <w:tc>
          <w:tcPr>
            <w:tcW w:w="5919" w:type="dxa"/>
          </w:tcPr>
          <w:p w:rsidR="007844F5" w:rsidRPr="00B9779B" w:rsidRDefault="007844F5" w:rsidP="000402AC">
            <w:pPr>
              <w:spacing w:after="0" w:line="240" w:lineRule="auto"/>
              <w:jc w:val="both"/>
              <w:rPr>
                <w:rFonts w:ascii="Times New Roman" w:hAnsi="Times New Roman"/>
                <w:iCs/>
                <w:color w:val="000000"/>
                <w:sz w:val="24"/>
                <w:szCs w:val="24"/>
                <w:lang w:eastAsia="lv-LV"/>
              </w:rPr>
            </w:pPr>
            <w:r w:rsidRPr="00B9779B">
              <w:rPr>
                <w:rFonts w:ascii="Times New Roman" w:hAnsi="Times New Roman"/>
                <w:iCs/>
                <w:color w:val="000000"/>
                <w:sz w:val="24"/>
                <w:szCs w:val="24"/>
                <w:lang w:eastAsia="lv-LV"/>
              </w:rPr>
              <w:t>Nav.</w:t>
            </w:r>
          </w:p>
        </w:tc>
      </w:tr>
    </w:tbl>
    <w:p w:rsidR="007844F5" w:rsidRPr="00B9779B" w:rsidRDefault="007844F5" w:rsidP="007844F5">
      <w:pPr>
        <w:spacing w:after="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973"/>
        <w:gridCol w:w="5918"/>
      </w:tblGrid>
      <w:tr w:rsidR="000F5082" w:rsidRPr="006A1C42" w:rsidTr="000F5082">
        <w:tc>
          <w:tcPr>
            <w:tcW w:w="9287" w:type="dxa"/>
            <w:gridSpan w:val="3"/>
            <w:shd w:val="clear" w:color="auto" w:fill="auto"/>
          </w:tcPr>
          <w:p w:rsidR="000F5082" w:rsidRPr="006A1C42" w:rsidRDefault="000F5082" w:rsidP="000402AC">
            <w:pPr>
              <w:jc w:val="center"/>
              <w:rPr>
                <w:rFonts w:ascii="Times New Roman" w:hAnsi="Times New Roman"/>
                <w:b/>
                <w:sz w:val="24"/>
                <w:szCs w:val="24"/>
              </w:rPr>
            </w:pPr>
            <w:r w:rsidRPr="006A1C42">
              <w:rPr>
                <w:rFonts w:ascii="Times New Roman" w:hAnsi="Times New Roman"/>
                <w:b/>
                <w:sz w:val="24"/>
                <w:szCs w:val="24"/>
              </w:rPr>
              <w:t>IV. Tiesību akta projekta ietekme uz spēkā esošo tiesību normu sistēmu</w:t>
            </w:r>
          </w:p>
        </w:tc>
      </w:tr>
      <w:tr w:rsidR="000F5082" w:rsidRPr="009B6DC3" w:rsidTr="00E0313E">
        <w:tc>
          <w:tcPr>
            <w:tcW w:w="396" w:type="dxa"/>
            <w:shd w:val="clear" w:color="auto" w:fill="auto"/>
          </w:tcPr>
          <w:p w:rsidR="000F5082" w:rsidRPr="009B6DC3" w:rsidRDefault="000F5082" w:rsidP="000402AC">
            <w:pPr>
              <w:rPr>
                <w:rFonts w:ascii="Times New Roman" w:hAnsi="Times New Roman"/>
                <w:sz w:val="24"/>
                <w:szCs w:val="24"/>
              </w:rPr>
            </w:pPr>
            <w:r w:rsidRPr="009B6DC3">
              <w:rPr>
                <w:rFonts w:ascii="Times New Roman" w:hAnsi="Times New Roman"/>
                <w:sz w:val="24"/>
                <w:szCs w:val="24"/>
              </w:rPr>
              <w:t>1.</w:t>
            </w:r>
          </w:p>
        </w:tc>
        <w:tc>
          <w:tcPr>
            <w:tcW w:w="2973" w:type="dxa"/>
            <w:shd w:val="clear" w:color="auto" w:fill="auto"/>
          </w:tcPr>
          <w:p w:rsidR="000F5082" w:rsidRPr="009B6DC3" w:rsidRDefault="000F5082" w:rsidP="000402AC">
            <w:pPr>
              <w:rPr>
                <w:rFonts w:ascii="Times New Roman" w:hAnsi="Times New Roman"/>
                <w:sz w:val="24"/>
                <w:szCs w:val="24"/>
              </w:rPr>
            </w:pPr>
            <w:r w:rsidRPr="009B6DC3">
              <w:rPr>
                <w:rFonts w:ascii="Times New Roman" w:hAnsi="Times New Roman"/>
                <w:sz w:val="24"/>
                <w:szCs w:val="24"/>
              </w:rPr>
              <w:t>Nepieciešamie saistītie tiesību aktu projekti</w:t>
            </w:r>
          </w:p>
        </w:tc>
        <w:tc>
          <w:tcPr>
            <w:tcW w:w="5918" w:type="dxa"/>
            <w:shd w:val="clear" w:color="auto" w:fill="auto"/>
          </w:tcPr>
          <w:p w:rsidR="000F5082" w:rsidRPr="009B6DC3" w:rsidRDefault="009B6DC3" w:rsidP="001C4DE7">
            <w:pPr>
              <w:spacing w:after="0" w:line="240" w:lineRule="auto"/>
              <w:jc w:val="both"/>
              <w:rPr>
                <w:rFonts w:ascii="Times New Roman" w:hAnsi="Times New Roman"/>
                <w:i/>
                <w:iCs/>
                <w:color w:val="FF0000"/>
                <w:sz w:val="24"/>
                <w:szCs w:val="24"/>
              </w:rPr>
            </w:pPr>
            <w:r w:rsidRPr="009B6DC3">
              <w:rPr>
                <w:rFonts w:ascii="Times New Roman" w:hAnsi="Times New Roman"/>
                <w:sz w:val="24"/>
                <w:szCs w:val="24"/>
              </w:rPr>
              <w:t xml:space="preserve">Vienlaikus ar noteikumu projektu ir izstrādāti un tiks virzīti izskatīšanai Ministru kabinetā </w:t>
            </w:r>
            <w:r w:rsidR="001C4DE7">
              <w:rPr>
                <w:rFonts w:ascii="Times New Roman" w:hAnsi="Times New Roman"/>
                <w:sz w:val="24"/>
                <w:szCs w:val="24"/>
              </w:rPr>
              <w:t xml:space="preserve">grozījumi </w:t>
            </w:r>
            <w:r w:rsidR="001C4DE7">
              <w:rPr>
                <w:rFonts w:ascii="Times New Roman" w:hAnsi="Times New Roman"/>
                <w:iCs/>
                <w:sz w:val="24"/>
                <w:szCs w:val="24"/>
              </w:rPr>
              <w:t xml:space="preserve">MK </w:t>
            </w:r>
            <w:r w:rsidR="002C120C" w:rsidRPr="009B6DC3">
              <w:rPr>
                <w:rFonts w:ascii="Times New Roman" w:eastAsiaTheme="minorHAnsi" w:hAnsi="Times New Roman"/>
                <w:color w:val="000000"/>
                <w:sz w:val="24"/>
                <w:szCs w:val="24"/>
              </w:rPr>
              <w:t>2010.gada 31.augusta noteikumos Nr.825 “Speciālās izglītības iestāžu, vispārējās izglītības iestāžu speciālās izglītības klašu (grupu) un internātskolu finansēšanas kārtība” (atbilstoši</w:t>
            </w:r>
            <w:r w:rsidR="006A1C42" w:rsidRPr="009B6DC3">
              <w:rPr>
                <w:rFonts w:ascii="Times New Roman" w:hAnsi="Times New Roman"/>
                <w:i/>
                <w:iCs/>
                <w:color w:val="FF0000"/>
                <w:sz w:val="24"/>
                <w:szCs w:val="24"/>
              </w:rPr>
              <w:t xml:space="preserve"> </w:t>
            </w:r>
            <w:r w:rsidR="00E0313E" w:rsidRPr="009B6DC3">
              <w:rPr>
                <w:rFonts w:ascii="Times New Roman" w:eastAsiaTheme="minorHAnsi" w:hAnsi="Times New Roman"/>
                <w:color w:val="000000"/>
                <w:sz w:val="24"/>
                <w:szCs w:val="24"/>
              </w:rPr>
              <w:t>MK</w:t>
            </w:r>
            <w:r w:rsidR="00BF34B2" w:rsidRPr="009B6DC3">
              <w:rPr>
                <w:rFonts w:ascii="Times New Roman" w:eastAsiaTheme="minorHAnsi" w:hAnsi="Times New Roman"/>
                <w:color w:val="000000"/>
                <w:sz w:val="24"/>
                <w:szCs w:val="24"/>
              </w:rPr>
              <w:t xml:space="preserve"> 2016.gada 5.jūlija sēdē</w:t>
            </w:r>
            <w:r w:rsidR="002C120C" w:rsidRPr="009B6DC3">
              <w:rPr>
                <w:rFonts w:ascii="Times New Roman" w:eastAsiaTheme="minorHAnsi" w:hAnsi="Times New Roman"/>
                <w:color w:val="000000"/>
                <w:sz w:val="24"/>
                <w:szCs w:val="24"/>
              </w:rPr>
              <w:t xml:space="preserve"> nolemtajam</w:t>
            </w:r>
            <w:r w:rsidR="00BF34B2" w:rsidRPr="009B6DC3">
              <w:rPr>
                <w:rFonts w:ascii="Times New Roman" w:eastAsiaTheme="minorHAnsi" w:hAnsi="Times New Roman"/>
                <w:color w:val="000000"/>
                <w:sz w:val="24"/>
                <w:szCs w:val="24"/>
              </w:rPr>
              <w:t xml:space="preserve"> Izglīt</w:t>
            </w:r>
            <w:r w:rsidR="00DC7164" w:rsidRPr="009B6DC3">
              <w:rPr>
                <w:rFonts w:ascii="Times New Roman" w:eastAsiaTheme="minorHAnsi" w:hAnsi="Times New Roman"/>
                <w:color w:val="000000"/>
                <w:sz w:val="24"/>
                <w:szCs w:val="24"/>
              </w:rPr>
              <w:t>ī</w:t>
            </w:r>
            <w:r w:rsidR="00BF34B2" w:rsidRPr="009B6DC3">
              <w:rPr>
                <w:rFonts w:ascii="Times New Roman" w:eastAsiaTheme="minorHAnsi" w:hAnsi="Times New Roman"/>
                <w:color w:val="000000"/>
                <w:sz w:val="24"/>
                <w:szCs w:val="24"/>
              </w:rPr>
              <w:t>bas</w:t>
            </w:r>
            <w:r w:rsidR="00E0313E" w:rsidRPr="009B6DC3">
              <w:rPr>
                <w:rFonts w:ascii="Times New Roman" w:eastAsiaTheme="minorHAnsi" w:hAnsi="Times New Roman"/>
                <w:color w:val="000000"/>
                <w:sz w:val="24"/>
                <w:szCs w:val="24"/>
              </w:rPr>
              <w:t xml:space="preserve"> un zinātnes ministrijai ir dots uzdevumu sagatavot un iesniegt izskatīšanai </w:t>
            </w:r>
            <w:r w:rsidR="001C4DE7">
              <w:rPr>
                <w:rFonts w:ascii="Times New Roman" w:eastAsiaTheme="minorHAnsi" w:hAnsi="Times New Roman"/>
                <w:color w:val="000000"/>
                <w:sz w:val="24"/>
                <w:szCs w:val="24"/>
              </w:rPr>
              <w:t>MK</w:t>
            </w:r>
            <w:r w:rsidR="00E0313E" w:rsidRPr="009B6DC3">
              <w:rPr>
                <w:rFonts w:ascii="Times New Roman" w:eastAsiaTheme="minorHAnsi" w:hAnsi="Times New Roman"/>
                <w:color w:val="000000"/>
                <w:sz w:val="24"/>
                <w:szCs w:val="24"/>
              </w:rPr>
              <w:t xml:space="preserve"> 2016.gada 19.jūlija sēdē kā </w:t>
            </w:r>
            <w:r w:rsidR="001C4DE7">
              <w:rPr>
                <w:rFonts w:ascii="Times New Roman" w:eastAsiaTheme="minorHAnsi" w:hAnsi="Times New Roman"/>
                <w:color w:val="000000"/>
                <w:sz w:val="24"/>
                <w:szCs w:val="24"/>
              </w:rPr>
              <w:t>MK</w:t>
            </w:r>
            <w:r w:rsidR="00E0313E" w:rsidRPr="009B6DC3">
              <w:rPr>
                <w:rFonts w:ascii="Times New Roman" w:eastAsiaTheme="minorHAnsi" w:hAnsi="Times New Roman"/>
                <w:color w:val="000000"/>
                <w:sz w:val="24"/>
                <w:szCs w:val="24"/>
              </w:rPr>
              <w:t xml:space="preserve"> lietu</w:t>
            </w:r>
            <w:r w:rsidR="002C120C" w:rsidRPr="009B6DC3">
              <w:rPr>
                <w:rFonts w:ascii="Times New Roman" w:eastAsiaTheme="minorHAnsi" w:hAnsi="Times New Roman"/>
                <w:color w:val="000000"/>
                <w:sz w:val="24"/>
                <w:szCs w:val="24"/>
              </w:rPr>
              <w:t>).</w:t>
            </w:r>
          </w:p>
        </w:tc>
      </w:tr>
      <w:tr w:rsidR="000F5082" w:rsidRPr="003F5ABA" w:rsidTr="00E0313E">
        <w:tc>
          <w:tcPr>
            <w:tcW w:w="396" w:type="dxa"/>
            <w:shd w:val="clear" w:color="auto" w:fill="auto"/>
          </w:tcPr>
          <w:p w:rsidR="000F5082" w:rsidRPr="003F5ABA" w:rsidRDefault="000F5082" w:rsidP="000402AC">
            <w:pPr>
              <w:rPr>
                <w:rFonts w:ascii="Times New Roman" w:hAnsi="Times New Roman"/>
                <w:sz w:val="24"/>
                <w:szCs w:val="24"/>
              </w:rPr>
            </w:pPr>
            <w:r w:rsidRPr="003F5ABA">
              <w:rPr>
                <w:rFonts w:ascii="Times New Roman" w:hAnsi="Times New Roman"/>
                <w:sz w:val="24"/>
                <w:szCs w:val="24"/>
              </w:rPr>
              <w:t>2.</w:t>
            </w:r>
          </w:p>
        </w:tc>
        <w:tc>
          <w:tcPr>
            <w:tcW w:w="2973" w:type="dxa"/>
            <w:shd w:val="clear" w:color="auto" w:fill="auto"/>
          </w:tcPr>
          <w:p w:rsidR="000F5082" w:rsidRPr="003F5ABA" w:rsidRDefault="000F5082" w:rsidP="000402AC">
            <w:pPr>
              <w:pStyle w:val="naiskr"/>
              <w:tabs>
                <w:tab w:val="left" w:pos="2628"/>
              </w:tabs>
              <w:spacing w:before="0" w:after="0"/>
              <w:jc w:val="both"/>
            </w:pPr>
            <w:r w:rsidRPr="003F5ABA">
              <w:t>Atbildīgā institūcija</w:t>
            </w:r>
          </w:p>
        </w:tc>
        <w:tc>
          <w:tcPr>
            <w:tcW w:w="5918" w:type="dxa"/>
            <w:shd w:val="clear" w:color="auto" w:fill="auto"/>
          </w:tcPr>
          <w:p w:rsidR="000F5082" w:rsidRPr="003F5ABA" w:rsidRDefault="006A1C42" w:rsidP="000402AC">
            <w:pPr>
              <w:pStyle w:val="naiskr"/>
              <w:tabs>
                <w:tab w:val="left" w:pos="2628"/>
              </w:tabs>
              <w:spacing w:before="0" w:after="0"/>
              <w:jc w:val="both"/>
              <w:rPr>
                <w:iCs/>
              </w:rPr>
            </w:pPr>
            <w:r w:rsidRPr="003F5ABA">
              <w:rPr>
                <w:iCs/>
              </w:rPr>
              <w:t>Izglītības un zinātnes ministrija.</w:t>
            </w:r>
          </w:p>
        </w:tc>
      </w:tr>
      <w:tr w:rsidR="000F5082" w:rsidRPr="003F5ABA" w:rsidTr="00E0313E">
        <w:tc>
          <w:tcPr>
            <w:tcW w:w="396" w:type="dxa"/>
            <w:shd w:val="clear" w:color="auto" w:fill="auto"/>
          </w:tcPr>
          <w:p w:rsidR="000F5082" w:rsidRPr="003F5ABA" w:rsidRDefault="000F5082" w:rsidP="000402AC">
            <w:pPr>
              <w:rPr>
                <w:rFonts w:ascii="Times New Roman" w:hAnsi="Times New Roman"/>
                <w:sz w:val="24"/>
                <w:szCs w:val="24"/>
              </w:rPr>
            </w:pPr>
            <w:r w:rsidRPr="003F5ABA">
              <w:rPr>
                <w:rFonts w:ascii="Times New Roman" w:hAnsi="Times New Roman"/>
                <w:sz w:val="24"/>
                <w:szCs w:val="24"/>
              </w:rPr>
              <w:t>3.</w:t>
            </w:r>
          </w:p>
        </w:tc>
        <w:tc>
          <w:tcPr>
            <w:tcW w:w="2973" w:type="dxa"/>
            <w:shd w:val="clear" w:color="auto" w:fill="auto"/>
          </w:tcPr>
          <w:p w:rsidR="000F5082" w:rsidRPr="003F5ABA" w:rsidRDefault="000F5082" w:rsidP="000402AC">
            <w:pPr>
              <w:rPr>
                <w:rFonts w:ascii="Times New Roman" w:hAnsi="Times New Roman"/>
                <w:sz w:val="24"/>
                <w:szCs w:val="24"/>
              </w:rPr>
            </w:pPr>
            <w:r w:rsidRPr="003F5ABA">
              <w:rPr>
                <w:rFonts w:ascii="Times New Roman" w:hAnsi="Times New Roman"/>
                <w:sz w:val="24"/>
                <w:szCs w:val="24"/>
              </w:rPr>
              <w:t>Cita informācija</w:t>
            </w:r>
          </w:p>
        </w:tc>
        <w:tc>
          <w:tcPr>
            <w:tcW w:w="5918" w:type="dxa"/>
            <w:shd w:val="clear" w:color="auto" w:fill="auto"/>
          </w:tcPr>
          <w:p w:rsidR="000F5082" w:rsidRPr="003F5ABA" w:rsidRDefault="006A1C42" w:rsidP="000402AC">
            <w:pPr>
              <w:jc w:val="both"/>
              <w:rPr>
                <w:rFonts w:ascii="Times New Roman" w:hAnsi="Times New Roman"/>
                <w:sz w:val="24"/>
                <w:szCs w:val="24"/>
              </w:rPr>
            </w:pPr>
            <w:r w:rsidRPr="003F5ABA">
              <w:rPr>
                <w:rFonts w:ascii="Times New Roman" w:hAnsi="Times New Roman"/>
                <w:sz w:val="24"/>
                <w:szCs w:val="24"/>
              </w:rPr>
              <w:t>Nav.</w:t>
            </w:r>
          </w:p>
        </w:tc>
      </w:tr>
    </w:tbl>
    <w:p w:rsidR="007844F5" w:rsidRDefault="007844F5" w:rsidP="007844F5">
      <w:pPr>
        <w:spacing w:after="0"/>
        <w:rPr>
          <w:rFonts w:ascii="Times New Roman" w:hAnsi="Times New Roman"/>
          <w:sz w:val="24"/>
          <w:szCs w:val="24"/>
        </w:rPr>
      </w:pPr>
    </w:p>
    <w:tbl>
      <w:tblPr>
        <w:tblW w:w="9406"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28"/>
        <w:gridCol w:w="2901"/>
        <w:gridCol w:w="5977"/>
      </w:tblGrid>
      <w:tr w:rsidR="007844F5" w:rsidRPr="00B9779B" w:rsidTr="000402AC">
        <w:trPr>
          <w:trHeight w:val="381"/>
          <w:jc w:val="center"/>
        </w:trPr>
        <w:tc>
          <w:tcPr>
            <w:tcW w:w="9406" w:type="dxa"/>
            <w:gridSpan w:val="3"/>
            <w:vAlign w:val="center"/>
          </w:tcPr>
          <w:p w:rsidR="007844F5" w:rsidRPr="00B9779B" w:rsidRDefault="007844F5" w:rsidP="000402AC">
            <w:pPr>
              <w:spacing w:after="0" w:line="240" w:lineRule="auto"/>
              <w:ind w:left="57" w:right="57"/>
              <w:jc w:val="center"/>
              <w:rPr>
                <w:rFonts w:ascii="Times New Roman" w:hAnsi="Times New Roman"/>
                <w:b/>
                <w:bCs/>
                <w:sz w:val="24"/>
                <w:szCs w:val="24"/>
                <w:lang w:eastAsia="lv-LV"/>
              </w:rPr>
            </w:pPr>
            <w:r w:rsidRPr="00B9779B">
              <w:rPr>
                <w:rFonts w:ascii="Times New Roman" w:hAnsi="Times New Roman"/>
                <w:b/>
                <w:bCs/>
                <w:sz w:val="24"/>
                <w:szCs w:val="24"/>
                <w:lang w:eastAsia="lv-LV"/>
              </w:rPr>
              <w:lastRenderedPageBreak/>
              <w:t>VII. Tiesību akta projekta izpildes nodrošināšana un tās ietekme uz institūcijām</w:t>
            </w:r>
          </w:p>
        </w:tc>
      </w:tr>
      <w:tr w:rsidR="007844F5" w:rsidRPr="002F569C" w:rsidTr="00652CA1">
        <w:trPr>
          <w:trHeight w:val="427"/>
          <w:jc w:val="center"/>
        </w:trPr>
        <w:tc>
          <w:tcPr>
            <w:tcW w:w="528" w:type="dxa"/>
          </w:tcPr>
          <w:p w:rsidR="007844F5" w:rsidRPr="002F569C" w:rsidRDefault="007844F5" w:rsidP="000402AC">
            <w:pPr>
              <w:spacing w:after="0" w:line="240" w:lineRule="auto"/>
              <w:ind w:left="57" w:right="57"/>
              <w:jc w:val="center"/>
              <w:rPr>
                <w:rFonts w:ascii="Times New Roman" w:hAnsi="Times New Roman"/>
                <w:bCs/>
                <w:sz w:val="24"/>
                <w:szCs w:val="24"/>
                <w:lang w:eastAsia="lv-LV"/>
              </w:rPr>
            </w:pPr>
            <w:r w:rsidRPr="002F569C">
              <w:rPr>
                <w:rFonts w:ascii="Times New Roman" w:hAnsi="Times New Roman"/>
                <w:bCs/>
                <w:sz w:val="24"/>
                <w:szCs w:val="24"/>
                <w:lang w:eastAsia="lv-LV"/>
              </w:rPr>
              <w:t>1.</w:t>
            </w:r>
          </w:p>
        </w:tc>
        <w:tc>
          <w:tcPr>
            <w:tcW w:w="2901" w:type="dxa"/>
          </w:tcPr>
          <w:p w:rsidR="007844F5" w:rsidRPr="002F569C" w:rsidRDefault="007844F5" w:rsidP="000402AC">
            <w:pPr>
              <w:spacing w:after="0" w:line="240" w:lineRule="auto"/>
              <w:ind w:left="57" w:right="57"/>
              <w:jc w:val="both"/>
              <w:rPr>
                <w:rFonts w:ascii="Times New Roman" w:hAnsi="Times New Roman"/>
                <w:sz w:val="24"/>
                <w:szCs w:val="24"/>
                <w:lang w:eastAsia="lv-LV"/>
              </w:rPr>
            </w:pPr>
            <w:r w:rsidRPr="002F569C">
              <w:rPr>
                <w:rFonts w:ascii="Times New Roman" w:hAnsi="Times New Roman"/>
                <w:sz w:val="24"/>
                <w:szCs w:val="24"/>
                <w:lang w:eastAsia="lv-LV"/>
              </w:rPr>
              <w:t>Projekta izpildē iesaistītās institūcijas</w:t>
            </w:r>
          </w:p>
        </w:tc>
        <w:tc>
          <w:tcPr>
            <w:tcW w:w="5977" w:type="dxa"/>
          </w:tcPr>
          <w:p w:rsidR="007844F5" w:rsidRPr="002F569C" w:rsidRDefault="002F569C" w:rsidP="00027995">
            <w:pPr>
              <w:spacing w:after="0" w:line="240" w:lineRule="auto"/>
              <w:jc w:val="both"/>
              <w:rPr>
                <w:rFonts w:ascii="Times New Roman" w:hAnsi="Times New Roman"/>
                <w:bCs/>
                <w:sz w:val="24"/>
                <w:szCs w:val="24"/>
                <w:lang w:eastAsia="lv-LV"/>
              </w:rPr>
            </w:pPr>
            <w:bookmarkStart w:id="0" w:name="p66"/>
            <w:bookmarkStart w:id="1" w:name="p67"/>
            <w:bookmarkStart w:id="2" w:name="p68"/>
            <w:bookmarkStart w:id="3" w:name="p69"/>
            <w:bookmarkEnd w:id="0"/>
            <w:bookmarkEnd w:id="1"/>
            <w:bookmarkEnd w:id="2"/>
            <w:bookmarkEnd w:id="3"/>
            <w:r w:rsidRPr="002F569C">
              <w:rPr>
                <w:rFonts w:ascii="Times New Roman" w:hAnsi="Times New Roman"/>
                <w:color w:val="000000" w:themeColor="text1"/>
                <w:sz w:val="24"/>
                <w:szCs w:val="24"/>
                <w:lang w:eastAsia="lv-LV"/>
              </w:rPr>
              <w:t>Izglītības un zinātnes ministrija</w:t>
            </w:r>
            <w:r w:rsidRPr="002F569C">
              <w:rPr>
                <w:rFonts w:ascii="Times New Roman" w:hAnsi="Times New Roman"/>
                <w:color w:val="000000" w:themeColor="text1"/>
                <w:sz w:val="24"/>
                <w:szCs w:val="24"/>
              </w:rPr>
              <w:t>.</w:t>
            </w:r>
          </w:p>
        </w:tc>
      </w:tr>
      <w:tr w:rsidR="007844F5" w:rsidRPr="00B9779B" w:rsidTr="00652CA1">
        <w:trPr>
          <w:trHeight w:val="463"/>
          <w:jc w:val="center"/>
        </w:trPr>
        <w:tc>
          <w:tcPr>
            <w:tcW w:w="528" w:type="dxa"/>
          </w:tcPr>
          <w:p w:rsidR="007844F5" w:rsidRPr="00B9779B" w:rsidRDefault="007844F5" w:rsidP="000402AC">
            <w:pPr>
              <w:spacing w:after="0" w:line="240" w:lineRule="auto"/>
              <w:ind w:left="57" w:right="57"/>
              <w:jc w:val="center"/>
              <w:rPr>
                <w:rFonts w:ascii="Times New Roman" w:hAnsi="Times New Roman"/>
                <w:bCs/>
                <w:sz w:val="24"/>
                <w:szCs w:val="24"/>
                <w:lang w:eastAsia="lv-LV"/>
              </w:rPr>
            </w:pPr>
            <w:r w:rsidRPr="00B9779B">
              <w:rPr>
                <w:rFonts w:ascii="Times New Roman" w:hAnsi="Times New Roman"/>
                <w:bCs/>
                <w:sz w:val="24"/>
                <w:szCs w:val="24"/>
                <w:lang w:eastAsia="lv-LV"/>
              </w:rPr>
              <w:t>2.</w:t>
            </w:r>
          </w:p>
        </w:tc>
        <w:tc>
          <w:tcPr>
            <w:tcW w:w="2901" w:type="dxa"/>
          </w:tcPr>
          <w:p w:rsidR="007844F5" w:rsidRPr="00B9779B" w:rsidRDefault="007844F5" w:rsidP="000402AC">
            <w:pPr>
              <w:spacing w:after="0" w:line="240" w:lineRule="auto"/>
              <w:ind w:left="57" w:right="57"/>
              <w:jc w:val="both"/>
              <w:rPr>
                <w:rFonts w:ascii="Times New Roman" w:hAnsi="Times New Roman"/>
                <w:sz w:val="24"/>
                <w:szCs w:val="24"/>
                <w:lang w:eastAsia="lv-LV"/>
              </w:rPr>
            </w:pPr>
            <w:r w:rsidRPr="00B9779B">
              <w:rPr>
                <w:rFonts w:ascii="Times New Roman" w:hAnsi="Times New Roman"/>
                <w:sz w:val="24"/>
                <w:szCs w:val="24"/>
                <w:lang w:eastAsia="lv-LV"/>
              </w:rPr>
              <w:t>Projekta izpildes ietekme uz pār</w:t>
            </w:r>
            <w:r w:rsidRPr="00B9779B">
              <w:rPr>
                <w:rFonts w:ascii="Times New Roman" w:hAnsi="Times New Roman"/>
                <w:sz w:val="24"/>
                <w:szCs w:val="24"/>
                <w:lang w:eastAsia="lv-LV"/>
              </w:rPr>
              <w:softHyphen/>
              <w:t>valdes funkcijām un institucionālo struktūru.</w:t>
            </w:r>
          </w:p>
          <w:p w:rsidR="007844F5" w:rsidRPr="00B9779B" w:rsidRDefault="007844F5" w:rsidP="000402AC">
            <w:pPr>
              <w:spacing w:after="0" w:line="240" w:lineRule="auto"/>
              <w:ind w:left="57" w:right="57"/>
              <w:jc w:val="both"/>
              <w:rPr>
                <w:rFonts w:ascii="Times New Roman" w:hAnsi="Times New Roman"/>
                <w:sz w:val="24"/>
                <w:szCs w:val="24"/>
                <w:lang w:eastAsia="lv-LV"/>
              </w:rPr>
            </w:pPr>
            <w:r w:rsidRPr="00B9779B">
              <w:rPr>
                <w:rFonts w:ascii="Times New Roman" w:hAnsi="Times New Roman"/>
                <w:sz w:val="24"/>
                <w:szCs w:val="24"/>
                <w:lang w:eastAsia="lv-LV"/>
              </w:rPr>
              <w:t>Jaunu institūciju izveide, esošu institūciju likvidācija vai reorga</w:t>
            </w:r>
            <w:r w:rsidRPr="00B9779B">
              <w:rPr>
                <w:rFonts w:ascii="Times New Roman" w:hAnsi="Times New Roman"/>
                <w:sz w:val="24"/>
                <w:szCs w:val="24"/>
                <w:lang w:eastAsia="lv-LV"/>
              </w:rPr>
              <w:softHyphen/>
              <w:t>nizācija, to ietekme uz institūcijas cilvēkresursiem</w:t>
            </w:r>
          </w:p>
        </w:tc>
        <w:tc>
          <w:tcPr>
            <w:tcW w:w="5977" w:type="dxa"/>
          </w:tcPr>
          <w:p w:rsidR="007844F5" w:rsidRPr="00B9779B" w:rsidRDefault="007844F5" w:rsidP="000402AC">
            <w:pPr>
              <w:shd w:val="clear" w:color="auto" w:fill="FFFFFF"/>
              <w:spacing w:after="0" w:line="240" w:lineRule="auto"/>
              <w:jc w:val="both"/>
              <w:rPr>
                <w:rFonts w:ascii="Times New Roman" w:hAnsi="Times New Roman"/>
                <w:sz w:val="24"/>
                <w:szCs w:val="24"/>
                <w:lang w:eastAsia="lv-LV"/>
              </w:rPr>
            </w:pPr>
            <w:r w:rsidRPr="00B9779B">
              <w:rPr>
                <w:rFonts w:ascii="Times New Roman" w:hAnsi="Times New Roman"/>
                <w:sz w:val="24"/>
                <w:szCs w:val="24"/>
                <w:lang w:eastAsia="lv-LV"/>
              </w:rPr>
              <w:t>Jaunas valsts institūcijas netiek radītas, esošās institūcijas netiek likvidētas vai reorganizētas.</w:t>
            </w:r>
          </w:p>
          <w:p w:rsidR="007844F5" w:rsidRPr="00B9779B" w:rsidRDefault="007844F5" w:rsidP="000402AC">
            <w:pPr>
              <w:shd w:val="clear" w:color="auto" w:fill="FFFFFF"/>
              <w:spacing w:after="0" w:line="240" w:lineRule="auto"/>
              <w:jc w:val="both"/>
              <w:rPr>
                <w:rFonts w:ascii="Times New Roman" w:hAnsi="Times New Roman"/>
                <w:sz w:val="24"/>
                <w:szCs w:val="24"/>
                <w:lang w:eastAsia="lv-LV"/>
              </w:rPr>
            </w:pPr>
          </w:p>
        </w:tc>
      </w:tr>
      <w:tr w:rsidR="007844F5" w:rsidRPr="00B9779B" w:rsidTr="00652CA1">
        <w:trPr>
          <w:trHeight w:val="402"/>
          <w:jc w:val="center"/>
        </w:trPr>
        <w:tc>
          <w:tcPr>
            <w:tcW w:w="528" w:type="dxa"/>
          </w:tcPr>
          <w:p w:rsidR="007844F5" w:rsidRPr="00B9779B" w:rsidRDefault="007844F5" w:rsidP="000402AC">
            <w:pPr>
              <w:spacing w:after="0" w:line="240" w:lineRule="auto"/>
              <w:ind w:left="57" w:right="57"/>
              <w:jc w:val="center"/>
              <w:rPr>
                <w:rFonts w:ascii="Times New Roman" w:hAnsi="Times New Roman"/>
                <w:bCs/>
                <w:sz w:val="24"/>
                <w:szCs w:val="24"/>
                <w:lang w:eastAsia="lv-LV"/>
              </w:rPr>
            </w:pPr>
            <w:r w:rsidRPr="00B9779B">
              <w:rPr>
                <w:rFonts w:ascii="Times New Roman" w:hAnsi="Times New Roman"/>
                <w:bCs/>
                <w:sz w:val="24"/>
                <w:szCs w:val="24"/>
                <w:lang w:eastAsia="lv-LV"/>
              </w:rPr>
              <w:t>3.</w:t>
            </w:r>
          </w:p>
        </w:tc>
        <w:tc>
          <w:tcPr>
            <w:tcW w:w="2901" w:type="dxa"/>
          </w:tcPr>
          <w:p w:rsidR="007844F5" w:rsidRPr="00B9779B" w:rsidRDefault="007844F5" w:rsidP="000402AC">
            <w:pPr>
              <w:spacing w:after="0" w:line="240" w:lineRule="auto"/>
              <w:ind w:right="57"/>
              <w:jc w:val="both"/>
              <w:rPr>
                <w:rFonts w:ascii="Times New Roman" w:hAnsi="Times New Roman"/>
                <w:sz w:val="24"/>
                <w:szCs w:val="24"/>
                <w:lang w:eastAsia="lv-LV"/>
              </w:rPr>
            </w:pPr>
            <w:r w:rsidRPr="00B9779B">
              <w:rPr>
                <w:rFonts w:ascii="Times New Roman" w:hAnsi="Times New Roman"/>
                <w:sz w:val="24"/>
                <w:szCs w:val="24"/>
                <w:lang w:eastAsia="lv-LV"/>
              </w:rPr>
              <w:t>Cita informācija</w:t>
            </w:r>
          </w:p>
        </w:tc>
        <w:tc>
          <w:tcPr>
            <w:tcW w:w="5977" w:type="dxa"/>
          </w:tcPr>
          <w:p w:rsidR="007844F5" w:rsidRPr="00B9779B" w:rsidRDefault="007844F5" w:rsidP="000402AC">
            <w:pPr>
              <w:spacing w:after="0" w:line="240" w:lineRule="auto"/>
              <w:ind w:left="57" w:right="57"/>
              <w:jc w:val="both"/>
              <w:rPr>
                <w:rFonts w:ascii="Times New Roman" w:hAnsi="Times New Roman"/>
                <w:sz w:val="24"/>
                <w:szCs w:val="24"/>
                <w:lang w:eastAsia="lv-LV"/>
              </w:rPr>
            </w:pPr>
            <w:r w:rsidRPr="00B9779B">
              <w:rPr>
                <w:rFonts w:ascii="Times New Roman" w:hAnsi="Times New Roman"/>
                <w:sz w:val="24"/>
                <w:szCs w:val="24"/>
                <w:lang w:eastAsia="lv-LV"/>
              </w:rPr>
              <w:t>Nav</w:t>
            </w:r>
          </w:p>
        </w:tc>
      </w:tr>
    </w:tbl>
    <w:p w:rsidR="007844F5" w:rsidRPr="00B9779B" w:rsidRDefault="007844F5" w:rsidP="007844F5">
      <w:pPr>
        <w:spacing w:after="0"/>
        <w:rPr>
          <w:rFonts w:ascii="Times New Roman" w:hAnsi="Times New Roman"/>
          <w:sz w:val="24"/>
          <w:szCs w:val="24"/>
        </w:rPr>
      </w:pPr>
    </w:p>
    <w:p w:rsidR="007844F5" w:rsidRPr="00B9779B" w:rsidRDefault="007844F5" w:rsidP="007844F5">
      <w:pPr>
        <w:spacing w:after="0"/>
        <w:rPr>
          <w:rFonts w:ascii="Times New Roman" w:hAnsi="Times New Roman"/>
          <w:sz w:val="24"/>
          <w:szCs w:val="24"/>
        </w:rPr>
      </w:pPr>
    </w:p>
    <w:p w:rsidR="007844F5" w:rsidRPr="00B9779B" w:rsidRDefault="007844F5" w:rsidP="007844F5">
      <w:pPr>
        <w:spacing w:after="0"/>
        <w:rPr>
          <w:rFonts w:ascii="Times New Roman" w:hAnsi="Times New Roman"/>
          <w:sz w:val="24"/>
          <w:szCs w:val="24"/>
        </w:rPr>
      </w:pPr>
      <w:r w:rsidRPr="00B9779B">
        <w:rPr>
          <w:rFonts w:ascii="Times New Roman" w:hAnsi="Times New Roman"/>
          <w:sz w:val="24"/>
          <w:szCs w:val="24"/>
        </w:rPr>
        <w:t>Anotācijas</w:t>
      </w:r>
      <w:r w:rsidR="00E4230D">
        <w:rPr>
          <w:rFonts w:ascii="Times New Roman" w:hAnsi="Times New Roman"/>
          <w:sz w:val="24"/>
          <w:szCs w:val="24"/>
        </w:rPr>
        <w:t xml:space="preserve"> III,</w:t>
      </w:r>
      <w:r w:rsidRPr="00B9779B">
        <w:rPr>
          <w:rFonts w:ascii="Times New Roman" w:hAnsi="Times New Roman"/>
          <w:sz w:val="24"/>
          <w:szCs w:val="24"/>
        </w:rPr>
        <w:t xml:space="preserve"> V</w:t>
      </w:r>
      <w:r w:rsidR="000F5082">
        <w:rPr>
          <w:rFonts w:ascii="Times New Roman" w:hAnsi="Times New Roman"/>
          <w:sz w:val="24"/>
          <w:szCs w:val="24"/>
        </w:rPr>
        <w:t>, VI</w:t>
      </w:r>
      <w:r w:rsidRPr="00B9779B">
        <w:rPr>
          <w:rFonts w:ascii="Times New Roman" w:hAnsi="Times New Roman"/>
          <w:sz w:val="24"/>
          <w:szCs w:val="24"/>
        </w:rPr>
        <w:t xml:space="preserve"> sadaļa - noteikumu projekts šīs jomas neskar.</w:t>
      </w:r>
    </w:p>
    <w:p w:rsidR="007844F5" w:rsidRPr="00B9779B" w:rsidRDefault="007844F5" w:rsidP="007844F5">
      <w:pPr>
        <w:spacing w:after="0"/>
        <w:rPr>
          <w:rFonts w:ascii="Times New Roman" w:hAnsi="Times New Roman"/>
          <w:sz w:val="24"/>
          <w:szCs w:val="24"/>
        </w:rPr>
      </w:pPr>
    </w:p>
    <w:p w:rsidR="007844F5" w:rsidRDefault="007844F5" w:rsidP="007844F5">
      <w:pPr>
        <w:spacing w:after="0"/>
        <w:rPr>
          <w:rFonts w:ascii="Times New Roman" w:hAnsi="Times New Roman"/>
          <w:sz w:val="24"/>
          <w:szCs w:val="24"/>
        </w:rPr>
      </w:pPr>
    </w:p>
    <w:p w:rsidR="00664B6A" w:rsidRPr="00B9779B" w:rsidRDefault="00664B6A" w:rsidP="007844F5">
      <w:pPr>
        <w:spacing w:after="0"/>
        <w:rPr>
          <w:rFonts w:ascii="Times New Roman" w:hAnsi="Times New Roman"/>
          <w:sz w:val="24"/>
          <w:szCs w:val="24"/>
        </w:rPr>
      </w:pPr>
    </w:p>
    <w:p w:rsidR="00824AAF" w:rsidRDefault="007844F5" w:rsidP="007844F5">
      <w:pPr>
        <w:spacing w:after="0" w:line="240" w:lineRule="auto"/>
        <w:jc w:val="both"/>
        <w:rPr>
          <w:rFonts w:ascii="Times New Roman" w:hAnsi="Times New Roman"/>
          <w:bCs/>
          <w:sz w:val="28"/>
          <w:szCs w:val="24"/>
          <w:lang w:eastAsia="lv-LV"/>
        </w:rPr>
      </w:pPr>
      <w:r w:rsidRPr="00027995">
        <w:rPr>
          <w:rFonts w:ascii="Times New Roman" w:hAnsi="Times New Roman"/>
          <w:bCs/>
          <w:sz w:val="28"/>
          <w:szCs w:val="24"/>
          <w:lang w:eastAsia="lv-LV"/>
        </w:rPr>
        <w:t>Labklājības ministr</w:t>
      </w:r>
      <w:r w:rsidR="00824AAF">
        <w:rPr>
          <w:rFonts w:ascii="Times New Roman" w:hAnsi="Times New Roman"/>
          <w:bCs/>
          <w:sz w:val="28"/>
          <w:szCs w:val="24"/>
          <w:lang w:eastAsia="lv-LV"/>
        </w:rPr>
        <w:t>a vietā,</w:t>
      </w:r>
    </w:p>
    <w:p w:rsidR="007844F5" w:rsidRPr="00027995" w:rsidRDefault="00824AAF" w:rsidP="007844F5">
      <w:pPr>
        <w:spacing w:after="0" w:line="240" w:lineRule="auto"/>
        <w:jc w:val="both"/>
        <w:rPr>
          <w:rFonts w:ascii="Times New Roman" w:hAnsi="Times New Roman"/>
          <w:bCs/>
          <w:sz w:val="28"/>
          <w:szCs w:val="24"/>
          <w:lang w:eastAsia="lv-LV"/>
        </w:rPr>
      </w:pPr>
      <w:r>
        <w:rPr>
          <w:rFonts w:ascii="Times New Roman" w:hAnsi="Times New Roman"/>
          <w:bCs/>
          <w:sz w:val="28"/>
          <w:szCs w:val="24"/>
          <w:lang w:eastAsia="lv-LV"/>
        </w:rPr>
        <w:t>izglītības un zinātnes ministrs</w:t>
      </w:r>
      <w:r w:rsidR="00E4230D" w:rsidRPr="00027995">
        <w:rPr>
          <w:rFonts w:ascii="Times New Roman" w:hAnsi="Times New Roman"/>
          <w:bCs/>
          <w:sz w:val="28"/>
          <w:szCs w:val="24"/>
          <w:lang w:eastAsia="lv-LV"/>
        </w:rPr>
        <w:t xml:space="preserve"> </w:t>
      </w:r>
      <w:r w:rsidR="00E4230D" w:rsidRPr="00027995">
        <w:rPr>
          <w:rFonts w:ascii="Times New Roman" w:hAnsi="Times New Roman"/>
          <w:bCs/>
          <w:sz w:val="28"/>
          <w:szCs w:val="24"/>
          <w:lang w:eastAsia="lv-LV"/>
        </w:rPr>
        <w:tab/>
      </w:r>
      <w:r w:rsidR="00E4230D" w:rsidRPr="00027995">
        <w:rPr>
          <w:rFonts w:ascii="Times New Roman" w:hAnsi="Times New Roman"/>
          <w:bCs/>
          <w:sz w:val="28"/>
          <w:szCs w:val="24"/>
          <w:lang w:eastAsia="lv-LV"/>
        </w:rPr>
        <w:tab/>
      </w:r>
      <w:r>
        <w:rPr>
          <w:rFonts w:ascii="Times New Roman" w:hAnsi="Times New Roman"/>
          <w:bCs/>
          <w:sz w:val="28"/>
          <w:szCs w:val="24"/>
          <w:lang w:eastAsia="lv-LV"/>
        </w:rPr>
        <w:tab/>
      </w:r>
      <w:r>
        <w:rPr>
          <w:rFonts w:ascii="Times New Roman" w:hAnsi="Times New Roman"/>
          <w:bCs/>
          <w:sz w:val="28"/>
          <w:szCs w:val="24"/>
          <w:lang w:eastAsia="lv-LV"/>
        </w:rPr>
        <w:tab/>
      </w:r>
      <w:r>
        <w:rPr>
          <w:rFonts w:ascii="Times New Roman" w:hAnsi="Times New Roman"/>
          <w:bCs/>
          <w:sz w:val="28"/>
          <w:szCs w:val="24"/>
          <w:lang w:eastAsia="lv-LV"/>
        </w:rPr>
        <w:tab/>
      </w:r>
      <w:r>
        <w:rPr>
          <w:rFonts w:ascii="Times New Roman" w:hAnsi="Times New Roman"/>
          <w:bCs/>
          <w:sz w:val="28"/>
          <w:szCs w:val="24"/>
          <w:lang w:eastAsia="lv-LV"/>
        </w:rPr>
        <w:tab/>
      </w:r>
      <w:proofErr w:type="gramStart"/>
      <w:r>
        <w:rPr>
          <w:rFonts w:ascii="Times New Roman" w:hAnsi="Times New Roman"/>
          <w:bCs/>
          <w:sz w:val="28"/>
          <w:szCs w:val="24"/>
          <w:lang w:eastAsia="lv-LV"/>
        </w:rPr>
        <w:t xml:space="preserve">       </w:t>
      </w:r>
      <w:proofErr w:type="gramEnd"/>
      <w:r>
        <w:rPr>
          <w:rFonts w:ascii="Times New Roman" w:hAnsi="Times New Roman"/>
          <w:bCs/>
          <w:sz w:val="28"/>
          <w:szCs w:val="24"/>
          <w:lang w:eastAsia="lv-LV"/>
        </w:rPr>
        <w:t>K.Šadurskis</w:t>
      </w:r>
      <w:r w:rsidR="00E4230D" w:rsidRPr="00027995">
        <w:rPr>
          <w:rFonts w:ascii="Times New Roman" w:hAnsi="Times New Roman"/>
          <w:bCs/>
          <w:sz w:val="28"/>
          <w:szCs w:val="24"/>
          <w:lang w:eastAsia="lv-LV"/>
        </w:rPr>
        <w:tab/>
      </w:r>
      <w:r w:rsidR="00E4230D" w:rsidRPr="00027995">
        <w:rPr>
          <w:rFonts w:ascii="Times New Roman" w:hAnsi="Times New Roman"/>
          <w:bCs/>
          <w:sz w:val="28"/>
          <w:szCs w:val="24"/>
          <w:lang w:eastAsia="lv-LV"/>
        </w:rPr>
        <w:tab/>
      </w:r>
      <w:r w:rsidR="00E4230D" w:rsidRPr="00027995">
        <w:rPr>
          <w:rFonts w:ascii="Times New Roman" w:hAnsi="Times New Roman"/>
          <w:bCs/>
          <w:sz w:val="28"/>
          <w:szCs w:val="24"/>
          <w:lang w:eastAsia="lv-LV"/>
        </w:rPr>
        <w:tab/>
      </w:r>
      <w:r w:rsidR="00E4230D" w:rsidRPr="00027995">
        <w:rPr>
          <w:rFonts w:ascii="Times New Roman" w:hAnsi="Times New Roman"/>
          <w:bCs/>
          <w:sz w:val="28"/>
          <w:szCs w:val="24"/>
          <w:lang w:eastAsia="lv-LV"/>
        </w:rPr>
        <w:tab/>
      </w:r>
      <w:r w:rsidR="00741410" w:rsidRPr="00027995">
        <w:rPr>
          <w:rFonts w:ascii="Times New Roman" w:hAnsi="Times New Roman"/>
          <w:bCs/>
          <w:sz w:val="28"/>
          <w:szCs w:val="24"/>
          <w:lang w:eastAsia="lv-LV"/>
        </w:rPr>
        <w:tab/>
      </w:r>
      <w:r w:rsidR="00E4230D" w:rsidRPr="00027995">
        <w:rPr>
          <w:rFonts w:ascii="Times New Roman" w:hAnsi="Times New Roman"/>
          <w:bCs/>
          <w:sz w:val="28"/>
          <w:szCs w:val="24"/>
          <w:lang w:eastAsia="lv-LV"/>
        </w:rPr>
        <w:tab/>
      </w:r>
      <w:r>
        <w:rPr>
          <w:rFonts w:ascii="Times New Roman" w:hAnsi="Times New Roman"/>
          <w:bCs/>
          <w:sz w:val="28"/>
          <w:szCs w:val="24"/>
          <w:lang w:eastAsia="lv-LV"/>
        </w:rPr>
        <w:t xml:space="preserve"> </w:t>
      </w:r>
    </w:p>
    <w:p w:rsidR="007844F5" w:rsidRDefault="007844F5" w:rsidP="007844F5">
      <w:pPr>
        <w:spacing w:after="0" w:line="240" w:lineRule="auto"/>
        <w:jc w:val="both"/>
        <w:rPr>
          <w:rFonts w:ascii="Times New Roman" w:hAnsi="Times New Roman"/>
          <w:bCs/>
          <w:sz w:val="24"/>
          <w:szCs w:val="24"/>
          <w:lang w:eastAsia="lv-LV"/>
        </w:rPr>
      </w:pPr>
    </w:p>
    <w:p w:rsidR="0040234C" w:rsidRDefault="0040234C" w:rsidP="007844F5">
      <w:pPr>
        <w:spacing w:after="0" w:line="240" w:lineRule="auto"/>
        <w:jc w:val="both"/>
        <w:rPr>
          <w:rFonts w:ascii="Times New Roman" w:hAnsi="Times New Roman"/>
          <w:bCs/>
          <w:sz w:val="24"/>
          <w:szCs w:val="24"/>
          <w:lang w:eastAsia="lv-LV"/>
        </w:rPr>
      </w:pPr>
    </w:p>
    <w:p w:rsidR="0040234C" w:rsidRDefault="0040234C" w:rsidP="007844F5">
      <w:pPr>
        <w:spacing w:after="0" w:line="240" w:lineRule="auto"/>
        <w:jc w:val="both"/>
        <w:rPr>
          <w:rFonts w:ascii="Times New Roman" w:hAnsi="Times New Roman"/>
          <w:bCs/>
          <w:sz w:val="24"/>
          <w:szCs w:val="24"/>
          <w:lang w:eastAsia="lv-LV"/>
        </w:rPr>
      </w:pPr>
    </w:p>
    <w:p w:rsidR="00664B6A" w:rsidRDefault="00664B6A" w:rsidP="007844F5">
      <w:pPr>
        <w:spacing w:after="0" w:line="240" w:lineRule="auto"/>
        <w:jc w:val="both"/>
        <w:rPr>
          <w:rFonts w:ascii="Times New Roman" w:hAnsi="Times New Roman"/>
          <w:bCs/>
          <w:sz w:val="24"/>
          <w:szCs w:val="24"/>
          <w:lang w:eastAsia="lv-LV"/>
        </w:rPr>
      </w:pPr>
    </w:p>
    <w:p w:rsidR="00664B6A" w:rsidRDefault="00664B6A" w:rsidP="007844F5">
      <w:pPr>
        <w:spacing w:after="0" w:line="240" w:lineRule="auto"/>
        <w:jc w:val="both"/>
        <w:rPr>
          <w:rFonts w:ascii="Times New Roman" w:hAnsi="Times New Roman"/>
          <w:bCs/>
          <w:sz w:val="24"/>
          <w:szCs w:val="24"/>
          <w:lang w:eastAsia="lv-LV"/>
        </w:rPr>
      </w:pPr>
    </w:p>
    <w:p w:rsidR="00664B6A" w:rsidRDefault="00664B6A" w:rsidP="007844F5">
      <w:pPr>
        <w:spacing w:after="0" w:line="240" w:lineRule="auto"/>
        <w:jc w:val="both"/>
        <w:rPr>
          <w:rFonts w:ascii="Times New Roman" w:hAnsi="Times New Roman"/>
          <w:bCs/>
          <w:sz w:val="24"/>
          <w:szCs w:val="24"/>
          <w:lang w:eastAsia="lv-LV"/>
        </w:rPr>
      </w:pPr>
    </w:p>
    <w:p w:rsidR="00664B6A" w:rsidRDefault="00664B6A" w:rsidP="007844F5">
      <w:pPr>
        <w:spacing w:after="0" w:line="240" w:lineRule="auto"/>
        <w:jc w:val="both"/>
        <w:rPr>
          <w:rFonts w:ascii="Times New Roman" w:hAnsi="Times New Roman"/>
          <w:bCs/>
          <w:sz w:val="24"/>
          <w:szCs w:val="24"/>
          <w:lang w:eastAsia="lv-LV"/>
        </w:rPr>
      </w:pPr>
    </w:p>
    <w:p w:rsidR="007844F5" w:rsidRPr="00B9779B" w:rsidRDefault="007844F5" w:rsidP="007844F5">
      <w:pPr>
        <w:spacing w:after="0" w:line="240" w:lineRule="auto"/>
        <w:jc w:val="both"/>
        <w:rPr>
          <w:rFonts w:ascii="Times New Roman" w:hAnsi="Times New Roman"/>
          <w:bCs/>
          <w:sz w:val="24"/>
          <w:szCs w:val="24"/>
          <w:lang w:eastAsia="lv-LV"/>
        </w:rPr>
      </w:pPr>
    </w:p>
    <w:p w:rsidR="001F73FC" w:rsidRPr="00B46A42" w:rsidRDefault="00824AAF" w:rsidP="001F73FC">
      <w:pPr>
        <w:pStyle w:val="Header"/>
        <w:rPr>
          <w:sz w:val="20"/>
          <w:szCs w:val="20"/>
        </w:rPr>
      </w:pPr>
      <w:r>
        <w:rPr>
          <w:sz w:val="20"/>
          <w:szCs w:val="20"/>
        </w:rPr>
        <w:t>1</w:t>
      </w:r>
      <w:r w:rsidR="00223AC4">
        <w:rPr>
          <w:sz w:val="20"/>
          <w:szCs w:val="20"/>
        </w:rPr>
        <w:t>4</w:t>
      </w:r>
      <w:r w:rsidR="00B5363D">
        <w:rPr>
          <w:sz w:val="20"/>
          <w:szCs w:val="20"/>
        </w:rPr>
        <w:t>.07.2016. 1</w:t>
      </w:r>
      <w:r w:rsidR="00223AC4">
        <w:rPr>
          <w:sz w:val="20"/>
          <w:szCs w:val="20"/>
        </w:rPr>
        <w:t>0:37</w:t>
      </w:r>
      <w:bookmarkStart w:id="4" w:name="_GoBack"/>
      <w:bookmarkEnd w:id="4"/>
    </w:p>
    <w:p w:rsidR="001F73FC" w:rsidRPr="00B46A42" w:rsidRDefault="00824AAF" w:rsidP="001F73FC">
      <w:pPr>
        <w:spacing w:after="0" w:line="240" w:lineRule="auto"/>
        <w:rPr>
          <w:rFonts w:ascii="Times New Roman" w:hAnsi="Times New Roman"/>
          <w:sz w:val="20"/>
          <w:szCs w:val="20"/>
        </w:rPr>
      </w:pPr>
      <w:r>
        <w:rPr>
          <w:rFonts w:ascii="Times New Roman" w:hAnsi="Times New Roman"/>
          <w:sz w:val="20"/>
          <w:szCs w:val="20"/>
        </w:rPr>
        <w:t>1053</w:t>
      </w:r>
    </w:p>
    <w:p w:rsidR="001F73FC" w:rsidRPr="00B46A42" w:rsidRDefault="00B5363D" w:rsidP="001F73FC">
      <w:pPr>
        <w:spacing w:after="0" w:line="240" w:lineRule="auto"/>
        <w:rPr>
          <w:rFonts w:ascii="Times New Roman" w:hAnsi="Times New Roman"/>
          <w:sz w:val="20"/>
          <w:szCs w:val="20"/>
        </w:rPr>
      </w:pPr>
      <w:proofErr w:type="spellStart"/>
      <w:r>
        <w:rPr>
          <w:rFonts w:ascii="Times New Roman" w:hAnsi="Times New Roman"/>
          <w:sz w:val="20"/>
          <w:szCs w:val="20"/>
        </w:rPr>
        <w:t>V.Boļšakova</w:t>
      </w:r>
      <w:proofErr w:type="spellEnd"/>
    </w:p>
    <w:p w:rsidR="001F73FC" w:rsidRPr="00B46A42" w:rsidRDefault="00B5363D" w:rsidP="001F73FC">
      <w:pPr>
        <w:spacing w:after="0" w:line="240" w:lineRule="auto"/>
        <w:rPr>
          <w:rFonts w:ascii="Times New Roman" w:hAnsi="Times New Roman"/>
          <w:sz w:val="20"/>
          <w:szCs w:val="20"/>
        </w:rPr>
      </w:pPr>
      <w:r>
        <w:rPr>
          <w:rFonts w:ascii="Times New Roman" w:hAnsi="Times New Roman"/>
          <w:sz w:val="20"/>
          <w:szCs w:val="20"/>
        </w:rPr>
        <w:t>67782956</w:t>
      </w:r>
      <w:r w:rsidR="001F73FC" w:rsidRPr="00B46A42">
        <w:rPr>
          <w:rFonts w:ascii="Times New Roman" w:hAnsi="Times New Roman"/>
          <w:sz w:val="20"/>
          <w:szCs w:val="20"/>
        </w:rPr>
        <w:t xml:space="preserve">, </w:t>
      </w:r>
      <w:r>
        <w:rPr>
          <w:rFonts w:ascii="Times New Roman" w:hAnsi="Times New Roman"/>
          <w:sz w:val="20"/>
          <w:szCs w:val="20"/>
        </w:rPr>
        <w:t>viktorija.bolsakova</w:t>
      </w:r>
      <w:r w:rsidR="001F73FC" w:rsidRPr="00B46A42">
        <w:rPr>
          <w:rFonts w:ascii="Times New Roman" w:hAnsi="Times New Roman"/>
          <w:sz w:val="20"/>
          <w:szCs w:val="20"/>
        </w:rPr>
        <w:t>@lm.gov.lv</w:t>
      </w:r>
    </w:p>
    <w:p w:rsidR="001F73FC" w:rsidRPr="00B46A42" w:rsidRDefault="001F73FC" w:rsidP="001F73FC">
      <w:pPr>
        <w:pStyle w:val="Standard"/>
        <w:rPr>
          <w:sz w:val="20"/>
          <w:szCs w:val="20"/>
        </w:rPr>
      </w:pPr>
    </w:p>
    <w:p w:rsidR="00E41984" w:rsidRDefault="00E41984" w:rsidP="001F73FC">
      <w:pPr>
        <w:spacing w:after="0" w:line="240" w:lineRule="auto"/>
        <w:jc w:val="both"/>
      </w:pPr>
    </w:p>
    <w:sectPr w:rsidR="00E41984" w:rsidSect="0021051A">
      <w:headerReference w:type="default" r:id="rId8"/>
      <w:footerReference w:type="default" r:id="rId9"/>
      <w:footerReference w:type="first" r:id="rId10"/>
      <w:pgSz w:w="11906" w:h="16838"/>
      <w:pgMar w:top="1258" w:right="1134" w:bottom="1440"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D47" w:rsidRDefault="00D15D47" w:rsidP="007844F5">
      <w:pPr>
        <w:spacing w:after="0" w:line="240" w:lineRule="auto"/>
      </w:pPr>
      <w:r>
        <w:separator/>
      </w:r>
    </w:p>
  </w:endnote>
  <w:endnote w:type="continuationSeparator" w:id="0">
    <w:p w:rsidR="00D15D47" w:rsidRDefault="00D15D47" w:rsidP="00784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59C" w:rsidRPr="00D7159C" w:rsidRDefault="00D7159C" w:rsidP="00D7159C">
    <w:pPr>
      <w:spacing w:after="0" w:line="240" w:lineRule="auto"/>
      <w:jc w:val="both"/>
      <w:rPr>
        <w:rFonts w:ascii="Times New Roman" w:hAnsi="Times New Roman"/>
      </w:rPr>
    </w:pPr>
    <w:r w:rsidRPr="00D7159C">
      <w:rPr>
        <w:rFonts w:ascii="Times New Roman" w:hAnsi="Times New Roman"/>
        <w:sz w:val="20"/>
        <w:szCs w:val="20"/>
      </w:rPr>
      <w:t>LManot_</w:t>
    </w:r>
    <w:r w:rsidR="0040234C">
      <w:rPr>
        <w:rFonts w:ascii="Times New Roman" w:hAnsi="Times New Roman"/>
        <w:sz w:val="20"/>
        <w:szCs w:val="20"/>
      </w:rPr>
      <w:t>1</w:t>
    </w:r>
    <w:r w:rsidR="00824AAF">
      <w:rPr>
        <w:rFonts w:ascii="Times New Roman" w:hAnsi="Times New Roman"/>
        <w:sz w:val="20"/>
        <w:szCs w:val="20"/>
      </w:rPr>
      <w:t>4</w:t>
    </w:r>
    <w:r w:rsidRPr="00D7159C">
      <w:rPr>
        <w:rFonts w:ascii="Times New Roman" w:hAnsi="Times New Roman"/>
        <w:sz w:val="20"/>
        <w:szCs w:val="20"/>
      </w:rPr>
      <w:t>0716</w:t>
    </w:r>
    <w:r w:rsidR="0040234C">
      <w:rPr>
        <w:rFonts w:ascii="Times New Roman" w:hAnsi="Times New Roman"/>
        <w:sz w:val="20"/>
        <w:szCs w:val="20"/>
      </w:rPr>
      <w:t>_not135</w:t>
    </w:r>
    <w:r w:rsidRPr="00D7159C">
      <w:rPr>
        <w:rFonts w:ascii="Times New Roman" w:hAnsi="Times New Roman"/>
        <w:sz w:val="20"/>
        <w:szCs w:val="20"/>
      </w:rPr>
      <w:t>; Grozījumi Ministru kabineta 2000.gada 4.aprīļa noteikumos Nr.135 “Noteikumi par kvalificētā personāla skaitu un nepieciešamo aprīkojumu vispārējās bērnu aprūpes un audzināšanas iestādēs”</w:t>
    </w:r>
  </w:p>
  <w:p w:rsidR="004E5ADB" w:rsidRPr="008D28E0" w:rsidRDefault="00D15D47" w:rsidP="008D28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13D" w:rsidRPr="00D7159C" w:rsidRDefault="008665B5" w:rsidP="00D7159C">
    <w:pPr>
      <w:spacing w:after="0" w:line="240" w:lineRule="auto"/>
      <w:jc w:val="both"/>
      <w:rPr>
        <w:rFonts w:ascii="Times New Roman" w:hAnsi="Times New Roman"/>
      </w:rPr>
    </w:pPr>
    <w:r w:rsidRPr="00D7159C">
      <w:rPr>
        <w:rFonts w:ascii="Times New Roman" w:hAnsi="Times New Roman"/>
        <w:sz w:val="20"/>
        <w:szCs w:val="20"/>
      </w:rPr>
      <w:t>LManot_</w:t>
    </w:r>
    <w:r w:rsidR="0040234C">
      <w:rPr>
        <w:rFonts w:ascii="Times New Roman" w:hAnsi="Times New Roman"/>
        <w:sz w:val="20"/>
        <w:szCs w:val="20"/>
      </w:rPr>
      <w:t>1</w:t>
    </w:r>
    <w:r w:rsidR="00824AAF">
      <w:rPr>
        <w:rFonts w:ascii="Times New Roman" w:hAnsi="Times New Roman"/>
        <w:sz w:val="20"/>
        <w:szCs w:val="20"/>
      </w:rPr>
      <w:t>4</w:t>
    </w:r>
    <w:r w:rsidR="00D7159C" w:rsidRPr="00D7159C">
      <w:rPr>
        <w:rFonts w:ascii="Times New Roman" w:hAnsi="Times New Roman"/>
        <w:sz w:val="20"/>
        <w:szCs w:val="20"/>
      </w:rPr>
      <w:t>07</w:t>
    </w:r>
    <w:r w:rsidRPr="00D7159C">
      <w:rPr>
        <w:rFonts w:ascii="Times New Roman" w:hAnsi="Times New Roman"/>
        <w:sz w:val="20"/>
        <w:szCs w:val="20"/>
      </w:rPr>
      <w:t>1</w:t>
    </w:r>
    <w:r w:rsidR="00D7159C" w:rsidRPr="00D7159C">
      <w:rPr>
        <w:rFonts w:ascii="Times New Roman" w:hAnsi="Times New Roman"/>
        <w:sz w:val="20"/>
        <w:szCs w:val="20"/>
      </w:rPr>
      <w:t>6</w:t>
    </w:r>
    <w:r w:rsidR="0040234C">
      <w:rPr>
        <w:rFonts w:ascii="Times New Roman" w:hAnsi="Times New Roman"/>
        <w:sz w:val="20"/>
        <w:szCs w:val="20"/>
      </w:rPr>
      <w:t>_not135</w:t>
    </w:r>
    <w:r w:rsidRPr="00D7159C">
      <w:rPr>
        <w:rFonts w:ascii="Times New Roman" w:hAnsi="Times New Roman"/>
        <w:sz w:val="20"/>
        <w:szCs w:val="20"/>
      </w:rPr>
      <w:t xml:space="preserve">; </w:t>
    </w:r>
    <w:r w:rsidR="00D7159C" w:rsidRPr="00D7159C">
      <w:rPr>
        <w:rFonts w:ascii="Times New Roman" w:hAnsi="Times New Roman"/>
        <w:sz w:val="20"/>
        <w:szCs w:val="20"/>
      </w:rPr>
      <w:t>Grozījumi Ministru kabineta 2000.gada 4.aprīļa noteikumos Nr.135 “Noteikumi par kvalificētā personāla skaitu un nepieciešamo aprīkojumu vispārējās bērnu aprūpes un audzināšanas iestādēs”</w:t>
    </w:r>
  </w:p>
  <w:p w:rsidR="005A513D" w:rsidRDefault="00D15D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D47" w:rsidRDefault="00D15D47" w:rsidP="007844F5">
      <w:pPr>
        <w:spacing w:after="0" w:line="240" w:lineRule="auto"/>
      </w:pPr>
      <w:r>
        <w:separator/>
      </w:r>
    </w:p>
  </w:footnote>
  <w:footnote w:type="continuationSeparator" w:id="0">
    <w:p w:rsidR="00D15D47" w:rsidRDefault="00D15D47" w:rsidP="007844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7BC" w:rsidRDefault="008665B5">
    <w:pPr>
      <w:pStyle w:val="Header"/>
      <w:jc w:val="center"/>
    </w:pPr>
    <w:r>
      <w:fldChar w:fldCharType="begin"/>
    </w:r>
    <w:r>
      <w:instrText xml:space="preserve"> PAGE   \* MERGEFORMAT </w:instrText>
    </w:r>
    <w:r>
      <w:fldChar w:fldCharType="separate"/>
    </w:r>
    <w:r w:rsidR="00223AC4">
      <w:rPr>
        <w:noProof/>
      </w:rPr>
      <w:t>3</w:t>
    </w:r>
    <w:r>
      <w:rPr>
        <w:noProof/>
      </w:rPr>
      <w:fldChar w:fldCharType="end"/>
    </w:r>
  </w:p>
  <w:p w:rsidR="004557BC" w:rsidRDefault="00D15D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E6C47"/>
    <w:multiLevelType w:val="hybridMultilevel"/>
    <w:tmpl w:val="78E4384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nsid w:val="31AA7CDD"/>
    <w:multiLevelType w:val="hybridMultilevel"/>
    <w:tmpl w:val="2BD4ED46"/>
    <w:lvl w:ilvl="0" w:tplc="3C1A3C9C">
      <w:start w:val="1"/>
      <w:numFmt w:val="lowerLetter"/>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58F20BB4"/>
    <w:multiLevelType w:val="hybridMultilevel"/>
    <w:tmpl w:val="3780BBC0"/>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nsid w:val="776C4247"/>
    <w:multiLevelType w:val="hybridMultilevel"/>
    <w:tmpl w:val="E4DE95A6"/>
    <w:lvl w:ilvl="0" w:tplc="04260011">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4F5"/>
    <w:rsid w:val="00027995"/>
    <w:rsid w:val="0008197D"/>
    <w:rsid w:val="000F5082"/>
    <w:rsid w:val="001812AA"/>
    <w:rsid w:val="0019047B"/>
    <w:rsid w:val="00193C04"/>
    <w:rsid w:val="001C4DE7"/>
    <w:rsid w:val="001F45DB"/>
    <w:rsid w:val="001F73FC"/>
    <w:rsid w:val="00223AC4"/>
    <w:rsid w:val="00257FC9"/>
    <w:rsid w:val="002C120C"/>
    <w:rsid w:val="002D619B"/>
    <w:rsid w:val="002D7986"/>
    <w:rsid w:val="002F569C"/>
    <w:rsid w:val="00324015"/>
    <w:rsid w:val="00337EB5"/>
    <w:rsid w:val="003A3004"/>
    <w:rsid w:val="003F5ABA"/>
    <w:rsid w:val="004000CB"/>
    <w:rsid w:val="0040234C"/>
    <w:rsid w:val="004C590D"/>
    <w:rsid w:val="00652CA1"/>
    <w:rsid w:val="00661A30"/>
    <w:rsid w:val="00664B6A"/>
    <w:rsid w:val="0068308C"/>
    <w:rsid w:val="00696C29"/>
    <w:rsid w:val="006A1C42"/>
    <w:rsid w:val="006B04CA"/>
    <w:rsid w:val="006C4D09"/>
    <w:rsid w:val="00707C9A"/>
    <w:rsid w:val="00726FCE"/>
    <w:rsid w:val="007341DC"/>
    <w:rsid w:val="00741410"/>
    <w:rsid w:val="0074398B"/>
    <w:rsid w:val="00762051"/>
    <w:rsid w:val="007844F5"/>
    <w:rsid w:val="007C06D5"/>
    <w:rsid w:val="007F2FA6"/>
    <w:rsid w:val="00820551"/>
    <w:rsid w:val="0082389A"/>
    <w:rsid w:val="00824AAF"/>
    <w:rsid w:val="008665B5"/>
    <w:rsid w:val="0087040F"/>
    <w:rsid w:val="0089327F"/>
    <w:rsid w:val="008D0469"/>
    <w:rsid w:val="008F06D3"/>
    <w:rsid w:val="00945E26"/>
    <w:rsid w:val="00972A40"/>
    <w:rsid w:val="009A52BC"/>
    <w:rsid w:val="009B6DC3"/>
    <w:rsid w:val="00A16B08"/>
    <w:rsid w:val="00A60188"/>
    <w:rsid w:val="00A75341"/>
    <w:rsid w:val="00A91812"/>
    <w:rsid w:val="00AB0D9C"/>
    <w:rsid w:val="00B5363D"/>
    <w:rsid w:val="00BC22E7"/>
    <w:rsid w:val="00BF34B2"/>
    <w:rsid w:val="00C060EE"/>
    <w:rsid w:val="00C402A1"/>
    <w:rsid w:val="00C84A09"/>
    <w:rsid w:val="00CE2B68"/>
    <w:rsid w:val="00D013A7"/>
    <w:rsid w:val="00D05345"/>
    <w:rsid w:val="00D15D47"/>
    <w:rsid w:val="00D32E3F"/>
    <w:rsid w:val="00D7159C"/>
    <w:rsid w:val="00DC7164"/>
    <w:rsid w:val="00E0248D"/>
    <w:rsid w:val="00E0313E"/>
    <w:rsid w:val="00E21E7D"/>
    <w:rsid w:val="00E41984"/>
    <w:rsid w:val="00E4230D"/>
    <w:rsid w:val="00E52B4A"/>
    <w:rsid w:val="00EA1415"/>
    <w:rsid w:val="00EA420C"/>
    <w:rsid w:val="00EA6AE0"/>
    <w:rsid w:val="00F04A94"/>
    <w:rsid w:val="00F70C77"/>
    <w:rsid w:val="00F868B2"/>
    <w:rsid w:val="00FA0B7D"/>
    <w:rsid w:val="00FB4A9F"/>
    <w:rsid w:val="00FE77F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4F5"/>
    <w:pPr>
      <w:spacing w:after="160" w:line="259" w:lineRule="auto"/>
    </w:pPr>
    <w:rPr>
      <w:rFonts w:ascii="Calibri" w:eastAsia="Times New Roman"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844F5"/>
    <w:pPr>
      <w:tabs>
        <w:tab w:val="center" w:pos="4153"/>
        <w:tab w:val="right" w:pos="8306"/>
      </w:tabs>
      <w:spacing w:after="0" w:line="240" w:lineRule="auto"/>
    </w:pPr>
    <w:rPr>
      <w:rFonts w:ascii="Times New Roman" w:eastAsia="Calibri" w:hAnsi="Times New Roman"/>
      <w:sz w:val="24"/>
      <w:szCs w:val="24"/>
      <w:lang w:eastAsia="lv-LV"/>
    </w:rPr>
  </w:style>
  <w:style w:type="character" w:customStyle="1" w:styleId="HeaderChar">
    <w:name w:val="Header Char"/>
    <w:basedOn w:val="DefaultParagraphFont"/>
    <w:link w:val="Header"/>
    <w:uiPriority w:val="99"/>
    <w:rsid w:val="007844F5"/>
    <w:rPr>
      <w:rFonts w:ascii="Times New Roman" w:eastAsia="Calibri" w:hAnsi="Times New Roman" w:cs="Times New Roman"/>
      <w:sz w:val="24"/>
      <w:szCs w:val="24"/>
      <w:lang w:eastAsia="lv-LV"/>
    </w:rPr>
  </w:style>
  <w:style w:type="paragraph" w:customStyle="1" w:styleId="tv213tvp">
    <w:name w:val="tv213 tvp"/>
    <w:basedOn w:val="Normal"/>
    <w:rsid w:val="007844F5"/>
    <w:pPr>
      <w:suppressAutoHyphens/>
      <w:spacing w:before="280" w:after="280" w:line="240" w:lineRule="auto"/>
    </w:pPr>
    <w:rPr>
      <w:rFonts w:ascii="Times New Roman" w:hAnsi="Times New Roman"/>
      <w:sz w:val="24"/>
      <w:szCs w:val="24"/>
      <w:lang w:eastAsia="ar-SA"/>
    </w:rPr>
  </w:style>
  <w:style w:type="paragraph" w:styleId="FootnoteText">
    <w:name w:val="footnote text"/>
    <w:basedOn w:val="Normal"/>
    <w:link w:val="FootnoteTextChar"/>
    <w:semiHidden/>
    <w:rsid w:val="007844F5"/>
    <w:rPr>
      <w:sz w:val="20"/>
      <w:szCs w:val="20"/>
    </w:rPr>
  </w:style>
  <w:style w:type="character" w:customStyle="1" w:styleId="FootnoteTextChar">
    <w:name w:val="Footnote Text Char"/>
    <w:basedOn w:val="DefaultParagraphFont"/>
    <w:link w:val="FootnoteText"/>
    <w:semiHidden/>
    <w:rsid w:val="007844F5"/>
    <w:rPr>
      <w:rFonts w:ascii="Calibri" w:eastAsia="Times New Roman" w:hAnsi="Calibri" w:cs="Times New Roman"/>
      <w:sz w:val="20"/>
      <w:szCs w:val="20"/>
    </w:rPr>
  </w:style>
  <w:style w:type="character" w:styleId="FootnoteReference">
    <w:name w:val="footnote reference"/>
    <w:semiHidden/>
    <w:rsid w:val="007844F5"/>
    <w:rPr>
      <w:vertAlign w:val="superscript"/>
    </w:rPr>
  </w:style>
  <w:style w:type="character" w:styleId="Hyperlink">
    <w:name w:val="Hyperlink"/>
    <w:rsid w:val="007844F5"/>
    <w:rPr>
      <w:color w:val="0000FF"/>
      <w:u w:val="single"/>
    </w:rPr>
  </w:style>
  <w:style w:type="paragraph" w:styleId="NormalWeb">
    <w:name w:val="Normal (Web)"/>
    <w:basedOn w:val="Normal"/>
    <w:rsid w:val="007844F5"/>
    <w:pPr>
      <w:spacing w:before="100" w:beforeAutospacing="1" w:after="100" w:afterAutospacing="1" w:line="240" w:lineRule="auto"/>
    </w:pPr>
    <w:rPr>
      <w:rFonts w:ascii="Times New Roman" w:hAnsi="Times New Roman"/>
      <w:sz w:val="24"/>
      <w:szCs w:val="24"/>
      <w:lang w:eastAsia="lv-LV"/>
    </w:rPr>
  </w:style>
  <w:style w:type="paragraph" w:styleId="Footer">
    <w:name w:val="footer"/>
    <w:basedOn w:val="Normal"/>
    <w:link w:val="FooterChar"/>
    <w:uiPriority w:val="99"/>
    <w:rsid w:val="007844F5"/>
    <w:pPr>
      <w:tabs>
        <w:tab w:val="center" w:pos="4153"/>
        <w:tab w:val="right" w:pos="8306"/>
      </w:tabs>
    </w:pPr>
  </w:style>
  <w:style w:type="character" w:customStyle="1" w:styleId="FooterChar">
    <w:name w:val="Footer Char"/>
    <w:basedOn w:val="DefaultParagraphFont"/>
    <w:link w:val="Footer"/>
    <w:uiPriority w:val="99"/>
    <w:rsid w:val="007844F5"/>
    <w:rPr>
      <w:rFonts w:ascii="Calibri" w:eastAsia="Times New Roman" w:hAnsi="Calibri" w:cs="Times New Roman"/>
    </w:rPr>
  </w:style>
  <w:style w:type="character" w:styleId="Emphasis">
    <w:name w:val="Emphasis"/>
    <w:uiPriority w:val="20"/>
    <w:qFormat/>
    <w:rsid w:val="007844F5"/>
    <w:rPr>
      <w:i/>
      <w:iCs/>
    </w:rPr>
  </w:style>
  <w:style w:type="paragraph" w:customStyle="1" w:styleId="tv213limenis2">
    <w:name w:val="tv213 limenis2"/>
    <w:basedOn w:val="Normal"/>
    <w:rsid w:val="007844F5"/>
    <w:pPr>
      <w:suppressAutoHyphens/>
      <w:spacing w:before="280" w:after="280" w:line="240" w:lineRule="auto"/>
    </w:pPr>
    <w:rPr>
      <w:rFonts w:ascii="Times New Roman" w:hAnsi="Times New Roman"/>
      <w:sz w:val="24"/>
      <w:szCs w:val="24"/>
      <w:lang w:eastAsia="ar-SA"/>
    </w:rPr>
  </w:style>
  <w:style w:type="paragraph" w:customStyle="1" w:styleId="Body">
    <w:name w:val="Body"/>
    <w:rsid w:val="007844F5"/>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ascii="Calibri" w:eastAsia="Times New Roman" w:hAnsi="Calibri" w:cs="Calibri"/>
      <w:color w:val="000000"/>
      <w:u w:color="000000"/>
      <w:lang w:eastAsia="lv-LV"/>
    </w:rPr>
  </w:style>
  <w:style w:type="character" w:customStyle="1" w:styleId="apple-converted-space">
    <w:name w:val="apple-converted-space"/>
    <w:rsid w:val="007844F5"/>
  </w:style>
  <w:style w:type="paragraph" w:customStyle="1" w:styleId="Standard">
    <w:name w:val="Standard"/>
    <w:rsid w:val="001F73FC"/>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naiskr">
    <w:name w:val="naiskr"/>
    <w:basedOn w:val="Normal"/>
    <w:rsid w:val="000F5082"/>
    <w:pPr>
      <w:spacing w:before="75" w:after="75" w:line="240" w:lineRule="auto"/>
    </w:pPr>
    <w:rPr>
      <w:rFonts w:ascii="Times New Roman" w:hAnsi="Times New Roman"/>
      <w:sz w:val="24"/>
      <w:szCs w:val="24"/>
      <w:lang w:eastAsia="lv-LV"/>
    </w:rPr>
  </w:style>
  <w:style w:type="paragraph" w:styleId="BalloonText">
    <w:name w:val="Balloon Text"/>
    <w:basedOn w:val="Normal"/>
    <w:link w:val="BalloonTextChar"/>
    <w:uiPriority w:val="99"/>
    <w:semiHidden/>
    <w:unhideWhenUsed/>
    <w:rsid w:val="00337E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EB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4F5"/>
    <w:pPr>
      <w:spacing w:after="160" w:line="259" w:lineRule="auto"/>
    </w:pPr>
    <w:rPr>
      <w:rFonts w:ascii="Calibri" w:eastAsia="Times New Roman"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844F5"/>
    <w:pPr>
      <w:tabs>
        <w:tab w:val="center" w:pos="4153"/>
        <w:tab w:val="right" w:pos="8306"/>
      </w:tabs>
      <w:spacing w:after="0" w:line="240" w:lineRule="auto"/>
    </w:pPr>
    <w:rPr>
      <w:rFonts w:ascii="Times New Roman" w:eastAsia="Calibri" w:hAnsi="Times New Roman"/>
      <w:sz w:val="24"/>
      <w:szCs w:val="24"/>
      <w:lang w:eastAsia="lv-LV"/>
    </w:rPr>
  </w:style>
  <w:style w:type="character" w:customStyle="1" w:styleId="HeaderChar">
    <w:name w:val="Header Char"/>
    <w:basedOn w:val="DefaultParagraphFont"/>
    <w:link w:val="Header"/>
    <w:uiPriority w:val="99"/>
    <w:rsid w:val="007844F5"/>
    <w:rPr>
      <w:rFonts w:ascii="Times New Roman" w:eastAsia="Calibri" w:hAnsi="Times New Roman" w:cs="Times New Roman"/>
      <w:sz w:val="24"/>
      <w:szCs w:val="24"/>
      <w:lang w:eastAsia="lv-LV"/>
    </w:rPr>
  </w:style>
  <w:style w:type="paragraph" w:customStyle="1" w:styleId="tv213tvp">
    <w:name w:val="tv213 tvp"/>
    <w:basedOn w:val="Normal"/>
    <w:rsid w:val="007844F5"/>
    <w:pPr>
      <w:suppressAutoHyphens/>
      <w:spacing w:before="280" w:after="280" w:line="240" w:lineRule="auto"/>
    </w:pPr>
    <w:rPr>
      <w:rFonts w:ascii="Times New Roman" w:hAnsi="Times New Roman"/>
      <w:sz w:val="24"/>
      <w:szCs w:val="24"/>
      <w:lang w:eastAsia="ar-SA"/>
    </w:rPr>
  </w:style>
  <w:style w:type="paragraph" w:styleId="FootnoteText">
    <w:name w:val="footnote text"/>
    <w:basedOn w:val="Normal"/>
    <w:link w:val="FootnoteTextChar"/>
    <w:semiHidden/>
    <w:rsid w:val="007844F5"/>
    <w:rPr>
      <w:sz w:val="20"/>
      <w:szCs w:val="20"/>
    </w:rPr>
  </w:style>
  <w:style w:type="character" w:customStyle="1" w:styleId="FootnoteTextChar">
    <w:name w:val="Footnote Text Char"/>
    <w:basedOn w:val="DefaultParagraphFont"/>
    <w:link w:val="FootnoteText"/>
    <w:semiHidden/>
    <w:rsid w:val="007844F5"/>
    <w:rPr>
      <w:rFonts w:ascii="Calibri" w:eastAsia="Times New Roman" w:hAnsi="Calibri" w:cs="Times New Roman"/>
      <w:sz w:val="20"/>
      <w:szCs w:val="20"/>
    </w:rPr>
  </w:style>
  <w:style w:type="character" w:styleId="FootnoteReference">
    <w:name w:val="footnote reference"/>
    <w:semiHidden/>
    <w:rsid w:val="007844F5"/>
    <w:rPr>
      <w:vertAlign w:val="superscript"/>
    </w:rPr>
  </w:style>
  <w:style w:type="character" w:styleId="Hyperlink">
    <w:name w:val="Hyperlink"/>
    <w:rsid w:val="007844F5"/>
    <w:rPr>
      <w:color w:val="0000FF"/>
      <w:u w:val="single"/>
    </w:rPr>
  </w:style>
  <w:style w:type="paragraph" w:styleId="NormalWeb">
    <w:name w:val="Normal (Web)"/>
    <w:basedOn w:val="Normal"/>
    <w:rsid w:val="007844F5"/>
    <w:pPr>
      <w:spacing w:before="100" w:beforeAutospacing="1" w:after="100" w:afterAutospacing="1" w:line="240" w:lineRule="auto"/>
    </w:pPr>
    <w:rPr>
      <w:rFonts w:ascii="Times New Roman" w:hAnsi="Times New Roman"/>
      <w:sz w:val="24"/>
      <w:szCs w:val="24"/>
      <w:lang w:eastAsia="lv-LV"/>
    </w:rPr>
  </w:style>
  <w:style w:type="paragraph" w:styleId="Footer">
    <w:name w:val="footer"/>
    <w:basedOn w:val="Normal"/>
    <w:link w:val="FooterChar"/>
    <w:uiPriority w:val="99"/>
    <w:rsid w:val="007844F5"/>
    <w:pPr>
      <w:tabs>
        <w:tab w:val="center" w:pos="4153"/>
        <w:tab w:val="right" w:pos="8306"/>
      </w:tabs>
    </w:pPr>
  </w:style>
  <w:style w:type="character" w:customStyle="1" w:styleId="FooterChar">
    <w:name w:val="Footer Char"/>
    <w:basedOn w:val="DefaultParagraphFont"/>
    <w:link w:val="Footer"/>
    <w:uiPriority w:val="99"/>
    <w:rsid w:val="007844F5"/>
    <w:rPr>
      <w:rFonts w:ascii="Calibri" w:eastAsia="Times New Roman" w:hAnsi="Calibri" w:cs="Times New Roman"/>
    </w:rPr>
  </w:style>
  <w:style w:type="character" w:styleId="Emphasis">
    <w:name w:val="Emphasis"/>
    <w:uiPriority w:val="20"/>
    <w:qFormat/>
    <w:rsid w:val="007844F5"/>
    <w:rPr>
      <w:i/>
      <w:iCs/>
    </w:rPr>
  </w:style>
  <w:style w:type="paragraph" w:customStyle="1" w:styleId="tv213limenis2">
    <w:name w:val="tv213 limenis2"/>
    <w:basedOn w:val="Normal"/>
    <w:rsid w:val="007844F5"/>
    <w:pPr>
      <w:suppressAutoHyphens/>
      <w:spacing w:before="280" w:after="280" w:line="240" w:lineRule="auto"/>
    </w:pPr>
    <w:rPr>
      <w:rFonts w:ascii="Times New Roman" w:hAnsi="Times New Roman"/>
      <w:sz w:val="24"/>
      <w:szCs w:val="24"/>
      <w:lang w:eastAsia="ar-SA"/>
    </w:rPr>
  </w:style>
  <w:style w:type="paragraph" w:customStyle="1" w:styleId="Body">
    <w:name w:val="Body"/>
    <w:rsid w:val="007844F5"/>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ascii="Calibri" w:eastAsia="Times New Roman" w:hAnsi="Calibri" w:cs="Calibri"/>
      <w:color w:val="000000"/>
      <w:u w:color="000000"/>
      <w:lang w:eastAsia="lv-LV"/>
    </w:rPr>
  </w:style>
  <w:style w:type="character" w:customStyle="1" w:styleId="apple-converted-space">
    <w:name w:val="apple-converted-space"/>
    <w:rsid w:val="007844F5"/>
  </w:style>
  <w:style w:type="paragraph" w:customStyle="1" w:styleId="Standard">
    <w:name w:val="Standard"/>
    <w:rsid w:val="001F73FC"/>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naiskr">
    <w:name w:val="naiskr"/>
    <w:basedOn w:val="Normal"/>
    <w:rsid w:val="000F5082"/>
    <w:pPr>
      <w:spacing w:before="75" w:after="75" w:line="240" w:lineRule="auto"/>
    </w:pPr>
    <w:rPr>
      <w:rFonts w:ascii="Times New Roman" w:hAnsi="Times New Roman"/>
      <w:sz w:val="24"/>
      <w:szCs w:val="24"/>
      <w:lang w:eastAsia="lv-LV"/>
    </w:rPr>
  </w:style>
  <w:style w:type="paragraph" w:styleId="BalloonText">
    <w:name w:val="Balloon Text"/>
    <w:basedOn w:val="Normal"/>
    <w:link w:val="BalloonTextChar"/>
    <w:uiPriority w:val="99"/>
    <w:semiHidden/>
    <w:unhideWhenUsed/>
    <w:rsid w:val="00337E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EB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82061">
      <w:bodyDiv w:val="1"/>
      <w:marLeft w:val="0"/>
      <w:marRight w:val="0"/>
      <w:marTop w:val="0"/>
      <w:marBottom w:val="0"/>
      <w:divBdr>
        <w:top w:val="none" w:sz="0" w:space="0" w:color="auto"/>
        <w:left w:val="none" w:sz="0" w:space="0" w:color="auto"/>
        <w:bottom w:val="none" w:sz="0" w:space="0" w:color="auto"/>
        <w:right w:val="none" w:sz="0" w:space="0" w:color="auto"/>
      </w:divBdr>
    </w:div>
    <w:div w:id="161579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1061</Words>
  <Characters>8050</Characters>
  <Application>Microsoft Office Word</Application>
  <DocSecurity>0</DocSecurity>
  <Lines>230</Lines>
  <Paragraphs>74</Paragraphs>
  <ScaleCrop>false</ScaleCrop>
  <HeadingPairs>
    <vt:vector size="2" baseType="variant">
      <vt:variant>
        <vt:lpstr>Title</vt:lpstr>
      </vt:variant>
      <vt:variant>
        <vt:i4>1</vt:i4>
      </vt:variant>
    </vt:vector>
  </HeadingPairs>
  <TitlesOfParts>
    <vt:vector size="1" baseType="lpstr">
      <vt:lpstr>Grozījumi Ministru kabineta 2000.gada 4.aprīļa noteikumos Nr.135 “Noteikumi par kvalificētā personāla skaitu un nepieciešamo aprīkojumu vispārējās bērnu aprūpes un audzināšanas iestādēs”</vt:lpstr>
    </vt:vector>
  </TitlesOfParts>
  <Company/>
  <LinksUpToDate>false</LinksUpToDate>
  <CharactersWithSpaces>9037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2000.gada 4.aprīļa noteikumos Nr.135 “Noteikumi par kvalificētā personāla skaitu un nepieciešamo aprīkojumu vispārējās bērnu aprūpes un audzināšanas iestādēs”</dc:title>
  <dc:creator>Linda Liepa</dc:creator>
  <cp:keywords>Anotācija</cp:keywords>
  <dc:description>Linda.Liepa@lm.gov.lv; 67021632</dc:description>
  <cp:lastModifiedBy>Viktorija Bolsakova</cp:lastModifiedBy>
  <cp:revision>4</cp:revision>
  <cp:lastPrinted>2016-07-14T07:29:00Z</cp:lastPrinted>
  <dcterms:created xsi:type="dcterms:W3CDTF">2016-07-14T07:26:00Z</dcterms:created>
  <dcterms:modified xsi:type="dcterms:W3CDTF">2016-07-14T07:37:00Z</dcterms:modified>
</cp:coreProperties>
</file>