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B" w:rsidRPr="00A61879" w:rsidRDefault="003F5A60" w:rsidP="00CE4D99">
      <w:pPr>
        <w:spacing w:before="100" w:beforeAutospacing="1"/>
        <w:jc w:val="center"/>
        <w:rPr>
          <w:rStyle w:val="Strong"/>
          <w:rFonts w:cs="Times New Roman"/>
          <w:sz w:val="24"/>
          <w:szCs w:val="24"/>
        </w:rPr>
      </w:pPr>
      <w:r w:rsidRPr="00A61879">
        <w:rPr>
          <w:rStyle w:val="Strong"/>
          <w:rFonts w:cs="Times New Roman"/>
          <w:sz w:val="24"/>
          <w:szCs w:val="24"/>
        </w:rPr>
        <w:t>Ministru kabineta noteikumu projekta „</w:t>
      </w:r>
      <w:r w:rsidR="00337DAE" w:rsidRPr="00A61879">
        <w:rPr>
          <w:rStyle w:val="Strong"/>
          <w:rFonts w:cs="Times New Roman"/>
          <w:sz w:val="24"/>
          <w:szCs w:val="24"/>
        </w:rPr>
        <w:t>Elektroni</w:t>
      </w:r>
      <w:r w:rsidR="00E15CCF">
        <w:rPr>
          <w:rStyle w:val="Strong"/>
          <w:rFonts w:cs="Times New Roman"/>
          <w:sz w:val="24"/>
          <w:szCs w:val="24"/>
        </w:rPr>
        <w:t>sko sakaru tīklu būvnoteikumi</w:t>
      </w:r>
      <w:r w:rsidR="000937CE" w:rsidRPr="00A61879">
        <w:rPr>
          <w:rStyle w:val="Strong"/>
          <w:rFonts w:cs="Times New Roman"/>
          <w:sz w:val="24"/>
          <w:szCs w:val="24"/>
        </w:rPr>
        <w:t>”</w:t>
      </w:r>
      <w:r w:rsidR="00CE4D99" w:rsidRPr="00A61879">
        <w:rPr>
          <w:rStyle w:val="Strong"/>
          <w:rFonts w:cs="Times New Roman"/>
          <w:sz w:val="24"/>
          <w:szCs w:val="24"/>
        </w:rPr>
        <w:t xml:space="preserve"> </w:t>
      </w:r>
      <w:r w:rsidR="005A2ACB" w:rsidRPr="00A61879">
        <w:rPr>
          <w:rStyle w:val="Strong"/>
          <w:rFonts w:cs="Times New Roman"/>
          <w:sz w:val="24"/>
          <w:szCs w:val="24"/>
        </w:rPr>
        <w:t>sākotnējās ietekmes novērtējuma ziņojums (anotācija)</w:t>
      </w:r>
    </w:p>
    <w:p w:rsidR="00CE4D99" w:rsidRPr="00A61879" w:rsidRDefault="00CE4D99" w:rsidP="00CE4D99">
      <w:pPr>
        <w:spacing w:before="100" w:beforeAutospacing="1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2499"/>
        <w:gridCol w:w="6232"/>
      </w:tblGrid>
      <w:tr w:rsidR="005A2ACB" w:rsidRPr="00A61879" w:rsidTr="00CB1EF6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2ACB" w:rsidRPr="00A61879" w:rsidTr="00CB1EF6">
        <w:trPr>
          <w:trHeight w:val="40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FD" w:rsidRPr="00A61879" w:rsidRDefault="000A549B" w:rsidP="00ED3261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Ministru kabineta noteikumu projekts </w:t>
            </w:r>
            <w:r w:rsidR="00CA4B54" w:rsidRPr="00A61879">
              <w:rPr>
                <w:rFonts w:eastAsia="SimSun" w:cs="Times New Roman"/>
                <w:sz w:val="24"/>
                <w:szCs w:val="24"/>
                <w:lang w:eastAsia="zh-CN"/>
              </w:rPr>
              <w:t>„Elektroni</w:t>
            </w:r>
            <w:r w:rsidR="00ED3261">
              <w:rPr>
                <w:rFonts w:eastAsia="SimSun" w:cs="Times New Roman"/>
                <w:sz w:val="24"/>
                <w:szCs w:val="24"/>
                <w:lang w:eastAsia="zh-CN"/>
              </w:rPr>
              <w:t>sko sakaru tīklu būvnoteikumi</w:t>
            </w: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” (turpmāk – noteikumu projekts) ir izstrādāts </w:t>
            </w:r>
            <w:r w:rsidR="003D7F1F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atbilstoši </w:t>
            </w: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Būvniecības likuma </w:t>
            </w:r>
            <w:r w:rsidR="00A9041E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5.panta pirmās daļas </w:t>
            </w:r>
            <w:r w:rsidR="003D351B" w:rsidRPr="00A61879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  <w:r w:rsidR="00A9041E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.punkta </w:t>
            </w:r>
            <w:r w:rsidR="003D351B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un Elektronisko sakaru likuma 16.panta pirmās daļas </w:t>
            </w: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>deleģējumam.</w:t>
            </w:r>
          </w:p>
        </w:tc>
      </w:tr>
      <w:tr w:rsidR="005A2ACB" w:rsidRPr="00A61879" w:rsidTr="00CB1EF6">
        <w:trPr>
          <w:trHeight w:val="46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E5" w:rsidRPr="00A61879" w:rsidRDefault="00B001DB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Šobrīd spēkā esošo</w:t>
            </w:r>
            <w:r w:rsidR="00ED3261">
              <w:rPr>
                <w:rFonts w:cs="Times New Roman"/>
                <w:sz w:val="24"/>
                <w:szCs w:val="24"/>
              </w:rPr>
              <w:t xml:space="preserve"> </w:t>
            </w:r>
            <w:r w:rsidR="00511EED" w:rsidRPr="00A61879">
              <w:rPr>
                <w:rFonts w:cs="Times New Roman"/>
                <w:sz w:val="24"/>
                <w:szCs w:val="24"/>
              </w:rPr>
              <w:t>Ministru kabineta 2014.gada 19.augusta noteikumu</w:t>
            </w:r>
            <w:r w:rsidR="00C30499" w:rsidRPr="00A61879">
              <w:rPr>
                <w:rFonts w:cs="Times New Roman"/>
                <w:sz w:val="24"/>
                <w:szCs w:val="24"/>
              </w:rPr>
              <w:t xml:space="preserve"> Nr.501</w:t>
            </w:r>
            <w:r w:rsidR="00511EED" w:rsidRPr="00A61879">
              <w:rPr>
                <w:rFonts w:cs="Times New Roman"/>
                <w:sz w:val="24"/>
                <w:szCs w:val="24"/>
              </w:rPr>
              <w:t xml:space="preserve"> “Elektronisko sakaru tīklu ierīkošanas, būvniecības un uzraudzības kārtība” (turpmāk – </w:t>
            </w:r>
            <w:r w:rsidR="00C37D1C" w:rsidRPr="00A61879">
              <w:rPr>
                <w:rFonts w:cs="Times New Roman"/>
                <w:sz w:val="24"/>
                <w:szCs w:val="24"/>
              </w:rPr>
              <w:t>MK</w:t>
            </w:r>
            <w:r w:rsidR="00511EED" w:rsidRPr="00A61879">
              <w:rPr>
                <w:rFonts w:cs="Times New Roman"/>
                <w:sz w:val="24"/>
                <w:szCs w:val="24"/>
              </w:rPr>
              <w:t xml:space="preserve"> noteikumi</w:t>
            </w:r>
            <w:r w:rsidR="00C30499" w:rsidRPr="00A61879">
              <w:rPr>
                <w:rFonts w:cs="Times New Roman"/>
                <w:sz w:val="24"/>
                <w:szCs w:val="24"/>
              </w:rPr>
              <w:t xml:space="preserve"> Nr.501</w:t>
            </w:r>
            <w:r w:rsidR="00BC5275">
              <w:rPr>
                <w:rFonts w:cs="Times New Roman"/>
                <w:sz w:val="24"/>
                <w:szCs w:val="24"/>
              </w:rPr>
              <w:t>)</w:t>
            </w:r>
            <w:r w:rsidR="00511EED" w:rsidRPr="00A61879">
              <w:rPr>
                <w:rFonts w:cs="Times New Roman"/>
                <w:sz w:val="24"/>
                <w:szCs w:val="24"/>
              </w:rPr>
              <w:t xml:space="preserve"> </w:t>
            </w:r>
            <w:r w:rsidR="00081ACF">
              <w:rPr>
                <w:rFonts w:cs="Times New Roman"/>
                <w:sz w:val="24"/>
                <w:szCs w:val="24"/>
              </w:rPr>
              <w:t>piemērošanas praksē</w:t>
            </w:r>
            <w:r w:rsidR="00C37D1C" w:rsidRPr="00A61879">
              <w:rPr>
                <w:rFonts w:cs="Times New Roman"/>
                <w:sz w:val="24"/>
                <w:szCs w:val="24"/>
              </w:rPr>
              <w:t xml:space="preserve"> </w:t>
            </w:r>
            <w:r w:rsidR="00511EED" w:rsidRPr="00A61879">
              <w:rPr>
                <w:rFonts w:cs="Times New Roman"/>
                <w:sz w:val="24"/>
                <w:szCs w:val="24"/>
              </w:rPr>
              <w:t xml:space="preserve">ir konstatētas </w:t>
            </w:r>
            <w:r w:rsidR="00C37D1C" w:rsidRPr="00A61879">
              <w:rPr>
                <w:rFonts w:eastAsia="SimSun" w:cs="Times New Roman"/>
                <w:sz w:val="24"/>
                <w:szCs w:val="24"/>
                <w:lang w:eastAsia="zh-CN"/>
              </w:rPr>
              <w:t>vairākas neprecizitātes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, </w:t>
            </w:r>
            <w:r w:rsidR="00BF1B84">
              <w:rPr>
                <w:rFonts w:eastAsia="SimSun" w:cs="Times New Roman"/>
                <w:sz w:val="24"/>
                <w:szCs w:val="24"/>
                <w:lang w:eastAsia="zh-CN"/>
              </w:rPr>
              <w:t xml:space="preserve">tostarp 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arī</w:t>
            </w:r>
            <w:r w:rsidR="00C37D1C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pielikumu veidlapās, kuras n</w:t>
            </w:r>
            <w:r w:rsidR="00386182" w:rsidRPr="00A61879">
              <w:rPr>
                <w:rFonts w:eastAsia="SimSun" w:cs="Times New Roman"/>
                <w:sz w:val="24"/>
                <w:szCs w:val="24"/>
                <w:lang w:eastAsia="zh-CN"/>
              </w:rPr>
              <w:t>epieciešams precizēt un papildināt.</w:t>
            </w:r>
            <w:r w:rsidR="00C37D1C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</w:p>
          <w:p w:rsidR="00E272B4" w:rsidRPr="00A61879" w:rsidRDefault="00BF1B84" w:rsidP="005C5348">
            <w:pPr>
              <w:ind w:left="208" w:right="140" w:firstLine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Papildus tam secināts, ka </w:t>
            </w:r>
            <w:r w:rsidR="006468AA" w:rsidRPr="00A61879">
              <w:rPr>
                <w:rFonts w:cs="Times New Roman"/>
                <w:sz w:val="24"/>
                <w:szCs w:val="24"/>
              </w:rPr>
              <w:t xml:space="preserve">MK noteikumos Nr.501 iekļautais regulējums attiecībā uz </w:t>
            </w:r>
            <w:r w:rsidR="006468AA" w:rsidRPr="00A61879">
              <w:rPr>
                <w:rFonts w:eastAsia="SimSun" w:cs="Times New Roman"/>
                <w:sz w:val="24"/>
                <w:szCs w:val="24"/>
                <w:lang w:eastAsia="zh-CN"/>
              </w:rPr>
              <w:t>elektronisko sakaru tīkla</w:t>
            </w:r>
            <w:r w:rsidR="000C1B54">
              <w:rPr>
                <w:rFonts w:eastAsia="SimSun" w:cs="Times New Roman"/>
                <w:sz w:val="24"/>
                <w:szCs w:val="24"/>
                <w:lang w:eastAsia="zh-CN"/>
              </w:rPr>
              <w:t>, tostarp pievadu,</w:t>
            </w:r>
            <w:r w:rsidR="006468AA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ierīkošanas procesu ir nepamatoti </w:t>
            </w:r>
            <w:r w:rsidR="006468AA" w:rsidRPr="00A61879">
              <w:rPr>
                <w:rFonts w:cs="Times New Roman"/>
                <w:sz w:val="24"/>
                <w:szCs w:val="24"/>
              </w:rPr>
              <w:t>sarežģīts un tādējādi kavē elektronisko sakaru tīklu attīstību.</w:t>
            </w:r>
          </w:p>
          <w:p w:rsidR="00156D48" w:rsidRDefault="001B15F8" w:rsidP="001B15F8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</w:rPr>
              <w:t>Vienlaikus v</w:t>
            </w:r>
            <w:r w:rsidR="00E272B4" w:rsidRPr="00A61879">
              <w:rPr>
                <w:rFonts w:cs="Times New Roman"/>
                <w:sz w:val="24"/>
                <w:szCs w:val="24"/>
              </w:rPr>
              <w:t>ēršam uzmanību, ka Satiksmes ministrija</w:t>
            </w:r>
            <w:r w:rsidR="00156D48">
              <w:rPr>
                <w:rFonts w:cs="Times New Roman"/>
                <w:sz w:val="24"/>
                <w:szCs w:val="24"/>
              </w:rPr>
              <w:t>,</w:t>
            </w:r>
            <w:r w:rsidR="00E272B4" w:rsidRPr="00A61879">
              <w:rPr>
                <w:rFonts w:cs="Times New Roman"/>
                <w:sz w:val="24"/>
                <w:szCs w:val="24"/>
              </w:rPr>
              <w:t xml:space="preserve"> veic</w:t>
            </w:r>
            <w:r w:rsidR="00156D48">
              <w:rPr>
                <w:rFonts w:cs="Times New Roman"/>
                <w:sz w:val="24"/>
                <w:szCs w:val="24"/>
              </w:rPr>
              <w:t>ot</w:t>
            </w:r>
            <w:r w:rsidR="00E272B4" w:rsidRPr="00A61879">
              <w:rPr>
                <w:rFonts w:cs="Times New Roman"/>
                <w:sz w:val="24"/>
                <w:szCs w:val="24"/>
              </w:rPr>
              <w:t xml:space="preserve"> pasākumus, lai ieviestu</w:t>
            </w:r>
            <w:r w:rsidR="00156D48">
              <w:rPr>
                <w:rFonts w:cs="Times New Roman"/>
                <w:sz w:val="24"/>
                <w:szCs w:val="24"/>
              </w:rPr>
              <w:t xml:space="preserve"> nacionālajā likumdošanā</w:t>
            </w:r>
            <w:r w:rsidR="00E272B4" w:rsidRPr="00A61879">
              <w:rPr>
                <w:rFonts w:cs="Times New Roman"/>
                <w:sz w:val="24"/>
                <w:szCs w:val="24"/>
              </w:rPr>
              <w:t xml:space="preserve">  Eiropas Parlamenta un Padomes 2014.gada 15.maija </w:t>
            </w:r>
            <w:r w:rsidR="00156D48">
              <w:rPr>
                <w:rFonts w:cs="Times New Roman"/>
                <w:sz w:val="24"/>
                <w:szCs w:val="24"/>
              </w:rPr>
              <w:t>direktīvas</w:t>
            </w:r>
            <w:r w:rsidR="00E272B4" w:rsidRPr="00A61879">
              <w:rPr>
                <w:rFonts w:cs="Times New Roman"/>
                <w:sz w:val="24"/>
                <w:szCs w:val="24"/>
              </w:rPr>
              <w:t xml:space="preserve"> 2014/61/ES </w:t>
            </w:r>
            <w:r w:rsidR="00E272B4" w:rsidRPr="00A61879">
              <w:rPr>
                <w:rFonts w:cs="Times New Roman"/>
                <w:bCs/>
                <w:sz w:val="24"/>
                <w:szCs w:val="24"/>
              </w:rPr>
              <w:t>par pasākumiem ātrdarbīgu elektronisko sakaru tīklu izvēršanas izmaksu samazināšanai (turpmāk – Direktīva)</w:t>
            </w:r>
            <w:r w:rsidR="00156D48">
              <w:rPr>
                <w:rFonts w:cs="Times New Roman"/>
                <w:bCs/>
                <w:sz w:val="24"/>
                <w:szCs w:val="24"/>
              </w:rPr>
              <w:t xml:space="preserve"> prasības</w:t>
            </w:r>
            <w:r w:rsidR="00081ACF">
              <w:rPr>
                <w:rFonts w:cs="Times New Roman"/>
                <w:bCs/>
                <w:sz w:val="24"/>
                <w:szCs w:val="24"/>
              </w:rPr>
              <w:t>,</w:t>
            </w:r>
            <w:r w:rsidR="00E272B4" w:rsidRPr="00A61879">
              <w:rPr>
                <w:rFonts w:cs="Times New Roman"/>
                <w:bCs/>
                <w:sz w:val="24"/>
                <w:szCs w:val="24"/>
              </w:rPr>
              <w:t xml:space="preserve"> ir izstrādājusi likumprojektu “</w:t>
            </w:r>
            <w:r w:rsidR="00156D48">
              <w:rPr>
                <w:rFonts w:cs="Times New Roman"/>
                <w:bCs/>
                <w:sz w:val="24"/>
                <w:szCs w:val="24"/>
              </w:rPr>
              <w:t>Ātrdarbīga</w:t>
            </w:r>
            <w:r w:rsidR="00E272B4" w:rsidRPr="00A61879">
              <w:rPr>
                <w:rFonts w:cs="Times New Roman"/>
                <w:bCs/>
                <w:sz w:val="24"/>
                <w:szCs w:val="24"/>
              </w:rPr>
              <w:t xml:space="preserve"> elektronisko</w:t>
            </w:r>
            <w:r w:rsidR="00156D48">
              <w:rPr>
                <w:rFonts w:cs="Times New Roman"/>
                <w:bCs/>
                <w:sz w:val="24"/>
                <w:szCs w:val="24"/>
              </w:rPr>
              <w:t xml:space="preserve"> sakaru tīkla</w:t>
            </w:r>
            <w:r w:rsidR="00E272B4" w:rsidRPr="00A61879">
              <w:rPr>
                <w:rFonts w:cs="Times New Roman"/>
                <w:bCs/>
                <w:sz w:val="24"/>
                <w:szCs w:val="24"/>
              </w:rPr>
              <w:t xml:space="preserve"> likums”</w:t>
            </w:r>
            <w:r w:rsidR="00156D48">
              <w:rPr>
                <w:rFonts w:cs="Times New Roman"/>
                <w:bCs/>
                <w:sz w:val="24"/>
                <w:szCs w:val="24"/>
              </w:rPr>
              <w:t xml:space="preserve"> (turpmāk – likumprojekts). Ministru kabineta komitejas 2016.gada 22.augusta sēdē </w:t>
            </w:r>
            <w:r w:rsidR="00156D48" w:rsidRPr="001B15F8">
              <w:rPr>
                <w:rFonts w:cs="Times New Roman"/>
                <w:bCs/>
                <w:sz w:val="24"/>
                <w:szCs w:val="24"/>
              </w:rPr>
              <w:t xml:space="preserve">(prot. Nr.28, 3.§) ir atbalstīts  </w:t>
            </w:r>
            <w:r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>iesniegtais likumprojekts</w:t>
            </w:r>
            <w:r w:rsidR="00156D48"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Ministru kabinet</w:t>
            </w:r>
            <w:r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 sēdes </w:t>
            </w:r>
            <w:proofErr w:type="spellStart"/>
            <w:r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>protokollēmuma</w:t>
            </w:r>
            <w:proofErr w:type="spellEnd"/>
            <w:r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projekts, kura 5.punkts </w:t>
            </w:r>
            <w:r w:rsidR="008E33FD">
              <w:rPr>
                <w:rFonts w:eastAsia="Times New Roman" w:cs="Times New Roman"/>
                <w:sz w:val="24"/>
                <w:szCs w:val="24"/>
                <w:lang w:eastAsia="lv-LV"/>
              </w:rPr>
              <w:t>D</w:t>
            </w:r>
            <w:r w:rsidR="00BF1B84">
              <w:rPr>
                <w:rFonts w:eastAsia="Times New Roman" w:cs="Times New Roman"/>
                <w:sz w:val="24"/>
                <w:szCs w:val="24"/>
                <w:lang w:eastAsia="lv-LV"/>
              </w:rPr>
              <w:t>irektīvas ieviešanai</w:t>
            </w:r>
            <w:r w:rsidR="00BF1B84"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15F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paredz </w:t>
            </w:r>
            <w:r w:rsidR="00156D48" w:rsidRPr="00156D48">
              <w:rPr>
                <w:rFonts w:eastAsia="Times New Roman" w:cs="Times New Roman"/>
                <w:sz w:val="24"/>
                <w:szCs w:val="24"/>
                <w:lang w:eastAsia="lv-LV"/>
              </w:rPr>
              <w:t>Satiksmes ministrijai</w:t>
            </w:r>
            <w:r w:rsidR="00BF1B8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uzdevumu, proti, līdz 2016.gada 30.decembrim izstrādāt un iesniegt Ministru kabinetā nepieciešamos g</w:t>
            </w:r>
            <w:r w:rsidR="00156D48" w:rsidRPr="00156D48">
              <w:rPr>
                <w:rFonts w:eastAsia="Times New Roman" w:cs="Times New Roman"/>
                <w:sz w:val="24"/>
                <w:szCs w:val="24"/>
                <w:lang w:eastAsia="lv-LV"/>
              </w:rPr>
              <w:t>rozījum</w:t>
            </w:r>
            <w:r w:rsidR="00BF1B84">
              <w:rPr>
                <w:rFonts w:eastAsia="Times New Roman" w:cs="Times New Roman"/>
                <w:sz w:val="24"/>
                <w:szCs w:val="24"/>
                <w:lang w:eastAsia="lv-LV"/>
              </w:rPr>
              <w:t>us</w:t>
            </w:r>
            <w:r w:rsidR="00156D48" w:rsidRPr="00156D4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</w:t>
            </w:r>
            <w:r w:rsidR="00BF1B84">
              <w:rPr>
                <w:rFonts w:eastAsia="Times New Roman" w:cs="Times New Roman"/>
                <w:sz w:val="24"/>
                <w:szCs w:val="24"/>
                <w:lang w:eastAsia="lv-LV"/>
              </w:rPr>
              <w:t>K not</w:t>
            </w:r>
            <w:r w:rsidR="00156D48" w:rsidRPr="00156D48">
              <w:rPr>
                <w:rFonts w:eastAsia="Times New Roman" w:cs="Times New Roman"/>
                <w:sz w:val="24"/>
                <w:szCs w:val="24"/>
                <w:lang w:eastAsia="lv-LV"/>
              </w:rPr>
              <w:t>eikumos Nr.501</w:t>
            </w:r>
            <w:r w:rsidR="00BF1B84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="002D0281" w:rsidRPr="00156D48" w:rsidRDefault="002D0281" w:rsidP="001B15F8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E33FD">
              <w:rPr>
                <w:rFonts w:eastAsia="Times New Roman" w:cs="Times New Roman"/>
                <w:sz w:val="24"/>
                <w:szCs w:val="24"/>
                <w:lang w:eastAsia="lv-LV"/>
              </w:rPr>
              <w:t>Ņemot vērā, ka grozījumu apjoms pārsniedz pusi no spēkā esošo MK noteikumu Nr.501 normu apjoma, pamatojoties uz Ministru kabineta 2009.gada 3.februāra noteikumu Nr.108 “Normatīvo aktu projektu sagatavošanas noteikumi” 140.punktu,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ir izstrādāti jauni</w:t>
            </w:r>
            <w:r w:rsidRPr="008E33F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Ministru kabineta noteikumi</w:t>
            </w:r>
            <w:r w:rsidRPr="008E33FD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</w:t>
            </w:r>
          </w:p>
          <w:p w:rsidR="00C30499" w:rsidRPr="00A61879" w:rsidRDefault="00386182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cs="Times New Roman"/>
                <w:sz w:val="24"/>
                <w:szCs w:val="24"/>
              </w:rPr>
              <w:t xml:space="preserve">Noteikumu projekta mērķis ir novērst konstatētās </w:t>
            </w:r>
            <w:r w:rsidR="008E33FD">
              <w:rPr>
                <w:rFonts w:cs="Times New Roman"/>
                <w:sz w:val="24"/>
                <w:szCs w:val="24"/>
              </w:rPr>
              <w:t>neprecizitātes MK</w:t>
            </w:r>
            <w:r w:rsidRPr="00A61879">
              <w:rPr>
                <w:rFonts w:cs="Times New Roman"/>
                <w:sz w:val="24"/>
                <w:szCs w:val="24"/>
              </w:rPr>
              <w:t xml:space="preserve"> noteikumos Nr.</w:t>
            </w:r>
            <w:r w:rsidR="00BC5275">
              <w:rPr>
                <w:rFonts w:cs="Times New Roman"/>
                <w:sz w:val="24"/>
                <w:szCs w:val="24"/>
              </w:rPr>
              <w:t>501, kā arī harmonizēt noteikumus</w:t>
            </w:r>
            <w:r w:rsidR="00ED3261">
              <w:rPr>
                <w:rFonts w:cs="Times New Roman"/>
                <w:sz w:val="24"/>
                <w:szCs w:val="24"/>
              </w:rPr>
              <w:t xml:space="preserve"> ar </w:t>
            </w:r>
            <w:r w:rsidR="001B15F8">
              <w:rPr>
                <w:rFonts w:cs="Times New Roman"/>
                <w:sz w:val="24"/>
                <w:szCs w:val="24"/>
              </w:rPr>
              <w:t>citiem</w:t>
            </w:r>
            <w:r w:rsidRPr="00A61879">
              <w:rPr>
                <w:rFonts w:cs="Times New Roman"/>
                <w:sz w:val="24"/>
                <w:szCs w:val="24"/>
              </w:rPr>
              <w:t xml:space="preserve"> būvniecīb</w:t>
            </w:r>
            <w:r w:rsidR="001B15F8">
              <w:rPr>
                <w:rFonts w:cs="Times New Roman"/>
                <w:sz w:val="24"/>
                <w:szCs w:val="24"/>
              </w:rPr>
              <w:t>u reglamentējošajiem tiesību aktiem</w:t>
            </w:r>
            <w:r w:rsidR="00C30499" w:rsidRPr="00A61879">
              <w:rPr>
                <w:rFonts w:cs="Times New Roman"/>
                <w:sz w:val="24"/>
                <w:szCs w:val="24"/>
              </w:rPr>
              <w:t>,</w:t>
            </w:r>
            <w:r w:rsidR="00B001DB">
              <w:rPr>
                <w:rFonts w:cs="Times New Roman"/>
                <w:sz w:val="24"/>
                <w:szCs w:val="24"/>
              </w:rPr>
              <w:t xml:space="preserve"> tostarp citu inženierkomunikāciju būvnoteikumiem, </w:t>
            </w:r>
            <w:r w:rsidR="00C30499" w:rsidRPr="00A61879">
              <w:rPr>
                <w:rFonts w:cs="Times New Roman"/>
                <w:sz w:val="24"/>
                <w:szCs w:val="24"/>
              </w:rPr>
              <w:t xml:space="preserve"> tādējādi nosakot </w:t>
            </w:r>
            <w:r w:rsidR="00C30499" w:rsidRPr="00A61879">
              <w:rPr>
                <w:rFonts w:eastAsia="SimSun" w:cs="Times New Roman"/>
                <w:sz w:val="24"/>
                <w:szCs w:val="24"/>
                <w:lang w:eastAsia="zh-CN"/>
              </w:rPr>
              <w:t>vi</w:t>
            </w:r>
            <w:r w:rsidR="00D17890" w:rsidRPr="00A61879">
              <w:rPr>
                <w:rFonts w:eastAsia="SimSun" w:cs="Times New Roman"/>
                <w:sz w:val="24"/>
                <w:szCs w:val="24"/>
                <w:lang w:eastAsia="zh-CN"/>
              </w:rPr>
              <w:t>enveidīgu noteikumu piemērošanu elektronisko sakaru tīkla būvniecībā</w:t>
            </w:r>
            <w:r w:rsidR="00C30499" w:rsidRPr="00A61879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</w:p>
          <w:p w:rsidR="00BC4BC1" w:rsidRPr="00A61879" w:rsidRDefault="00BC4BC1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>Noteikumu projektā ir precizēti un papildināti esošie elektronisko sakaru ierīkošanas un būvniecības termini.</w:t>
            </w:r>
          </w:p>
          <w:p w:rsidR="00ED3261" w:rsidRDefault="00532C70" w:rsidP="00ED3261">
            <w:pPr>
              <w:ind w:left="208" w:right="140" w:firstLine="284"/>
              <w:jc w:val="both"/>
              <w:rPr>
                <w:rFonts w:eastAsiaTheme="minorEastAsia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 xml:space="preserve">Noteikumu projektā ir precizēts </w:t>
            </w:r>
            <w:r w:rsidR="003B0FB7" w:rsidRPr="00A61879">
              <w:rPr>
                <w:rFonts w:eastAsia="SimSun" w:cs="Times New Roman"/>
                <w:sz w:val="24"/>
                <w:szCs w:val="24"/>
                <w:lang w:eastAsia="zh-CN"/>
              </w:rPr>
              <w:t>būvniecības ierosināšana</w:t>
            </w:r>
            <w:r w:rsidR="00650C0E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s procesa regulējums, tajā skaitā </w:t>
            </w:r>
            <w:r w:rsidR="00650C0E" w:rsidRPr="00A61879">
              <w:rPr>
                <w:rFonts w:eastAsiaTheme="minorEastAsia" w:cs="Times New Roman"/>
                <w:sz w:val="24"/>
                <w:szCs w:val="24"/>
                <w:lang w:eastAsia="lv-LV"/>
              </w:rPr>
              <w:t xml:space="preserve"> attiecībā uz b</w:t>
            </w:r>
            <w:r w:rsidRPr="00A61879">
              <w:rPr>
                <w:rFonts w:eastAsiaTheme="minorEastAsia" w:cs="Times New Roman"/>
                <w:sz w:val="24"/>
                <w:szCs w:val="24"/>
                <w:lang w:eastAsia="lv-LV"/>
              </w:rPr>
              <w:t>ūvniecības iec</w:t>
            </w:r>
            <w:r w:rsidR="00650C0E" w:rsidRPr="00A61879">
              <w:rPr>
                <w:rFonts w:eastAsiaTheme="minorEastAsia" w:cs="Times New Roman"/>
                <w:sz w:val="24"/>
                <w:szCs w:val="24"/>
                <w:lang w:eastAsia="lv-LV"/>
              </w:rPr>
              <w:t>eres dokumentāciju un b</w:t>
            </w:r>
            <w:r w:rsidRPr="00A61879">
              <w:rPr>
                <w:rFonts w:eastAsiaTheme="minorEastAsia" w:cs="Times New Roman"/>
                <w:sz w:val="24"/>
                <w:szCs w:val="24"/>
                <w:lang w:eastAsia="lv-LV"/>
              </w:rPr>
              <w:t xml:space="preserve">ūvniecības ieceres </w:t>
            </w:r>
            <w:r w:rsidR="001B15F8">
              <w:rPr>
                <w:rFonts w:eastAsiaTheme="minorEastAsia" w:cs="Times New Roman"/>
                <w:sz w:val="24"/>
                <w:szCs w:val="24"/>
                <w:lang w:eastAsia="lv-LV"/>
              </w:rPr>
              <w:t>izskatīšanu</w:t>
            </w:r>
            <w:r w:rsidR="00650C0E" w:rsidRPr="00A61879">
              <w:rPr>
                <w:rFonts w:eastAsiaTheme="minorEastAsia" w:cs="Times New Roman"/>
                <w:sz w:val="24"/>
                <w:szCs w:val="24"/>
                <w:lang w:eastAsia="lv-LV"/>
              </w:rPr>
              <w:t>.</w:t>
            </w:r>
          </w:p>
          <w:p w:rsidR="00920BCA" w:rsidRPr="00A61879" w:rsidRDefault="00ED3261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>Lai</w:t>
            </w:r>
            <w:r w:rsidR="00C30499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atvieglotu  elektronisko sakaru tīklu ierīkošanas procesu, n</w:t>
            </w:r>
            <w:r w:rsidR="0043244D" w:rsidRPr="00A61879">
              <w:rPr>
                <w:rFonts w:eastAsia="SimSun" w:cs="Times New Roman"/>
                <w:sz w:val="24"/>
                <w:szCs w:val="24"/>
                <w:lang w:eastAsia="zh-CN"/>
              </w:rPr>
              <w:t>oteikumu projekt</w:t>
            </w:r>
            <w:r w:rsidR="00D65800" w:rsidRPr="00A61879">
              <w:rPr>
                <w:rFonts w:eastAsia="SimSun" w:cs="Times New Roman"/>
                <w:sz w:val="24"/>
                <w:szCs w:val="24"/>
                <w:lang w:eastAsia="zh-CN"/>
              </w:rPr>
              <w:t>ā ir precizēta elektronisko sakaru ierīkošanas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procesuālā kārtība, kas nosaka, ka </w:t>
            </w:r>
            <w:r w:rsidR="0043244D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elektronisko tīklu ierīkošanas gadījumos </w:t>
            </w:r>
            <w:r w:rsidR="00D65800" w:rsidRPr="00A61879">
              <w:rPr>
                <w:rFonts w:eastAsia="SimSun" w:cs="Times New Roman"/>
                <w:sz w:val="24"/>
                <w:szCs w:val="24"/>
                <w:lang w:eastAsia="zh-CN"/>
              </w:rPr>
              <w:t>būvniecības ie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 xml:space="preserve">rosinātājs iesniedz būvvaldē </w:t>
            </w:r>
            <w:r w:rsidR="00D65800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43244D" w:rsidRPr="00A61879">
              <w:rPr>
                <w:rFonts w:eastAsia="SimSun" w:cs="Times New Roman"/>
                <w:sz w:val="24"/>
                <w:szCs w:val="24"/>
                <w:lang w:eastAsia="zh-CN"/>
              </w:rPr>
              <w:t>būvniecības ieceres dokumentāciju</w:t>
            </w:r>
            <w:r w:rsidR="00D65800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– paskaidrojuma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 xml:space="preserve"> rakstu</w:t>
            </w:r>
            <w:r w:rsidR="00920BCA" w:rsidRPr="00A61879">
              <w:rPr>
                <w:rFonts w:eastAsia="SimSun" w:cs="Times New Roman"/>
                <w:sz w:val="24"/>
                <w:szCs w:val="24"/>
                <w:lang w:eastAsia="zh-CN"/>
              </w:rPr>
              <w:t>, pievienojot atbilstošos pielikumus. Noteikumu projektā ir noteikti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 xml:space="preserve"> paskaidrojuma rakstā </w:t>
            </w:r>
            <w:r w:rsidR="00920BCA" w:rsidRPr="00A61879">
              <w:rPr>
                <w:rFonts w:eastAsia="SimSun" w:cs="Times New Roman"/>
                <w:sz w:val="24"/>
                <w:szCs w:val="24"/>
                <w:lang w:eastAsia="zh-CN"/>
              </w:rPr>
              <w:t>iekļaujamie</w:t>
            </w:r>
            <w:r w:rsidR="0043244D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n</w:t>
            </w:r>
            <w:r w:rsidR="00C9631E" w:rsidRPr="00A61879">
              <w:rPr>
                <w:rFonts w:eastAsia="SimSun" w:cs="Times New Roman"/>
                <w:sz w:val="24"/>
                <w:szCs w:val="24"/>
                <w:lang w:eastAsia="zh-CN"/>
              </w:rPr>
              <w:t>osacījumi un pi</w:t>
            </w:r>
            <w:r w:rsidR="008E33FD">
              <w:rPr>
                <w:rFonts w:eastAsia="SimSun" w:cs="Times New Roman"/>
                <w:sz w:val="24"/>
                <w:szCs w:val="24"/>
                <w:lang w:eastAsia="zh-CN"/>
              </w:rPr>
              <w:t xml:space="preserve">elikumā pievienojamie dokumenti, kā arī noteikti 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>gadījumi, kad būvniecības ieceres dokumentāc</w:t>
            </w:r>
            <w:r w:rsidR="008E33FD">
              <w:rPr>
                <w:rFonts w:eastAsia="SimSun" w:cs="Times New Roman"/>
                <w:sz w:val="24"/>
                <w:szCs w:val="24"/>
                <w:lang w:eastAsia="zh-CN"/>
              </w:rPr>
              <w:t>ija pirms iesniegšanas būvvaldē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 xml:space="preserve"> ir jāsaskaņo </w:t>
            </w:r>
            <w:r w:rsidR="00BC5275" w:rsidRPr="00A61879">
              <w:rPr>
                <w:rFonts w:eastAsia="SimSun" w:cs="Times New Roman"/>
                <w:sz w:val="24"/>
                <w:szCs w:val="24"/>
                <w:lang w:eastAsia="zh-CN"/>
              </w:rPr>
              <w:t>VAS “Elektroniskie sakari”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>.</w:t>
            </w:r>
          </w:p>
          <w:p w:rsidR="003A5C25" w:rsidRDefault="00D65800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920BCA" w:rsidRPr="00A61879">
              <w:rPr>
                <w:rFonts w:eastAsia="SimSun" w:cs="Times New Roman"/>
                <w:sz w:val="24"/>
                <w:szCs w:val="24"/>
                <w:lang w:eastAsia="zh-CN"/>
              </w:rPr>
              <w:t>Noteikumu projekta pielikumi ir papildināti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ar </w:t>
            </w:r>
            <w:r w:rsidRPr="00A61879">
              <w:rPr>
                <w:rFonts w:eastAsia="SimSun" w:cs="Times New Roman"/>
                <w:sz w:val="24"/>
                <w:szCs w:val="24"/>
                <w:lang w:eastAsia="zh-CN"/>
              </w:rPr>
              <w:t>paskaidrojuma</w:t>
            </w:r>
            <w:r w:rsidR="00BC5275">
              <w:rPr>
                <w:rFonts w:eastAsia="SimSun" w:cs="Times New Roman"/>
                <w:sz w:val="24"/>
                <w:szCs w:val="24"/>
                <w:lang w:eastAsia="zh-CN"/>
              </w:rPr>
              <w:t xml:space="preserve"> raksta veidlapu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, </w:t>
            </w:r>
            <w:r w:rsidR="00847F50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kā arī </w:t>
            </w:r>
            <w:r w:rsidR="00743D45" w:rsidRPr="00A61879">
              <w:rPr>
                <w:rFonts w:eastAsia="SimSun" w:cs="Times New Roman"/>
                <w:sz w:val="24"/>
                <w:szCs w:val="24"/>
                <w:lang w:eastAsia="zh-CN"/>
              </w:rPr>
              <w:t>ar jaunu segto darbu pieņemšanas akta veidlapu</w:t>
            </w:r>
            <w:r w:rsidR="00847F50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7704A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elektronisko sakaru tīkla 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>kabeļu kanalizācijas būvniecībai</w:t>
            </w:r>
            <w:r w:rsidR="007704A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ar</w:t>
            </w:r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>beztranšejas</w:t>
            </w:r>
            <w:proofErr w:type="spellEnd"/>
            <w:r w:rsidR="00BC4BC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743D45" w:rsidRPr="00A61879">
              <w:rPr>
                <w:rFonts w:eastAsia="SimSun" w:cs="Times New Roman"/>
                <w:sz w:val="24"/>
                <w:szCs w:val="24"/>
                <w:lang w:eastAsia="zh-CN"/>
              </w:rPr>
              <w:t>metodi</w:t>
            </w:r>
            <w:r w:rsidR="007704A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, </w:t>
            </w:r>
            <w:r w:rsidR="00743D45" w:rsidRPr="00A61879">
              <w:rPr>
                <w:rFonts w:eastAsia="SimSun" w:cs="Times New Roman"/>
                <w:sz w:val="24"/>
                <w:szCs w:val="24"/>
                <w:lang w:eastAsia="zh-CN"/>
              </w:rPr>
              <w:t>kas ir ļoti aktuāla</w:t>
            </w:r>
            <w:r w:rsidR="007704A1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jaunajos projektos.</w:t>
            </w:r>
          </w:p>
          <w:p w:rsidR="00B001DB" w:rsidRPr="00A61879" w:rsidRDefault="002D0281" w:rsidP="005C5348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N</w:t>
            </w:r>
            <w:r w:rsidR="00B001DB" w:rsidRPr="00A61879">
              <w:rPr>
                <w:rFonts w:eastAsia="SimSun" w:cs="Times New Roman"/>
                <w:sz w:val="24"/>
                <w:szCs w:val="24"/>
                <w:lang w:eastAsia="zh-CN"/>
              </w:rPr>
              <w:t>oteikumu projektā jēdziens “elektronisko sakaru tīklu ierīkošana” atbilst Elektronisko sakaru likuma 1.panta 11</w:t>
            </w:r>
            <w:r w:rsidR="00B001DB" w:rsidRPr="00A61879">
              <w:rPr>
                <w:rFonts w:eastAsia="SimSun" w:cs="Times New Roman"/>
                <w:sz w:val="24"/>
                <w:szCs w:val="24"/>
                <w:vertAlign w:val="superscript"/>
                <w:lang w:eastAsia="zh-CN"/>
              </w:rPr>
              <w:t xml:space="preserve">2 </w:t>
            </w:r>
            <w:r w:rsidR="00B001DB" w:rsidRPr="00A61879">
              <w:rPr>
                <w:rFonts w:eastAsia="SimSun" w:cs="Times New Roman"/>
                <w:sz w:val="24"/>
                <w:szCs w:val="24"/>
                <w:lang w:eastAsia="zh-CN"/>
              </w:rPr>
              <w:t xml:space="preserve"> punktam.</w:t>
            </w:r>
          </w:p>
          <w:p w:rsidR="00E272B4" w:rsidRPr="00A61879" w:rsidRDefault="00AC5C90" w:rsidP="005C5348">
            <w:pPr>
              <w:ind w:left="208" w:right="140" w:firstLine="284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Ņemot vērā, ka</w:t>
            </w:r>
            <w:r w:rsidR="00BA490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380B">
              <w:rPr>
                <w:rFonts w:cs="Times New Roman"/>
                <w:color w:val="000000" w:themeColor="text1"/>
                <w:sz w:val="24"/>
                <w:szCs w:val="24"/>
              </w:rPr>
              <w:t>likumprojektā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1879">
              <w:rPr>
                <w:rFonts w:cs="Times New Roman"/>
                <w:bCs/>
                <w:sz w:val="24"/>
                <w:szCs w:val="24"/>
              </w:rPr>
              <w:t>“</w:t>
            </w:r>
            <w:r>
              <w:rPr>
                <w:rFonts w:cs="Times New Roman"/>
                <w:bCs/>
                <w:sz w:val="24"/>
                <w:szCs w:val="24"/>
              </w:rPr>
              <w:t>Ātrdarbīga</w:t>
            </w:r>
            <w:r w:rsidRPr="00A61879">
              <w:rPr>
                <w:rFonts w:cs="Times New Roman"/>
                <w:bCs/>
                <w:sz w:val="24"/>
                <w:szCs w:val="24"/>
              </w:rPr>
              <w:t xml:space="preserve"> elektronisko</w:t>
            </w:r>
            <w:r>
              <w:rPr>
                <w:rFonts w:cs="Times New Roman"/>
                <w:bCs/>
                <w:sz w:val="24"/>
                <w:szCs w:val="24"/>
              </w:rPr>
              <w:t xml:space="preserve"> sakaru tīkla</w:t>
            </w:r>
            <w:r w:rsidRPr="00A61879">
              <w:rPr>
                <w:rFonts w:cs="Times New Roman"/>
                <w:bCs/>
                <w:sz w:val="24"/>
                <w:szCs w:val="24"/>
              </w:rPr>
              <w:t xml:space="preserve"> likums”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D1380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iekļauts  Direktīvas prasībām atbilstošs regulējums attiecībā uz ēkas iekšējās infrastruktūras un pievadu </w:t>
            </w:r>
            <w:r w:rsidR="00E22C41">
              <w:rPr>
                <w:rFonts w:cs="Times New Roman"/>
                <w:color w:val="000000" w:themeColor="text1"/>
                <w:sz w:val="24"/>
                <w:szCs w:val="24"/>
              </w:rPr>
              <w:t>izbūvi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kā arī būvdarbu koordinēšanu starp vairākiem komersantiem</w:t>
            </w:r>
            <w:r w:rsidR="00CA3B01">
              <w:rPr>
                <w:rFonts w:cs="Times New Roman"/>
                <w:color w:val="000000" w:themeColor="text1"/>
                <w:sz w:val="24"/>
                <w:szCs w:val="24"/>
              </w:rPr>
              <w:t>, noteikumu projektā šis  regulējums vairs nav iekļauts.</w:t>
            </w:r>
            <w:r w:rsidR="00FE785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4909" w:rsidRPr="00A61879" w:rsidRDefault="00BA4909" w:rsidP="00BA4909">
            <w:pPr>
              <w:ind w:left="208" w:right="140" w:firstLine="284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Papildus norādām</w:t>
            </w:r>
            <w:r w:rsidRPr="00A61879">
              <w:rPr>
                <w:rFonts w:cs="Times New Roman"/>
                <w:color w:val="000000" w:themeColor="text1"/>
                <w:sz w:val="24"/>
                <w:szCs w:val="24"/>
              </w:rPr>
              <w:t>, ka noteikumos ar jēdzienu “topogrāfiskais plāns” tiek saprasts topogrāfiskais plāns Ministru kabineta 2012.gada 24.aprīļa noteikumu Nr.281 „Augstas detalizācijas topogrāfiskās informācijas un tās centrālās datubāzes noteikumi” izpratnē.</w:t>
            </w:r>
          </w:p>
          <w:p w:rsidR="00D57131" w:rsidRPr="00A61879" w:rsidRDefault="00847F50" w:rsidP="00AF64F0">
            <w:pPr>
              <w:ind w:left="208" w:right="140" w:firstLine="284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61879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Ar noteikumu projektu tiek atzīti par spēku zaudējušiem  Ministru kabineta 2014.gada 19.augusta noteikumi Nr.501 „Elektronisko sakaru tīklu ierīkošanas, būvniecības un uzraudzības kārtība”.</w:t>
            </w:r>
          </w:p>
        </w:tc>
      </w:tr>
      <w:tr w:rsidR="005A2ACB" w:rsidRPr="00A61879" w:rsidTr="00CB1EF6">
        <w:trPr>
          <w:trHeight w:val="46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2D0281" w:rsidP="003B2C2B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Satiksmes ministrija, </w:t>
            </w:r>
            <w:r w:rsidR="00E22C41">
              <w:rPr>
                <w:rFonts w:eastAsia="Times New Roman" w:cs="Times New Roman"/>
                <w:sz w:val="24"/>
                <w:szCs w:val="24"/>
                <w:lang w:eastAsia="lv-LV"/>
              </w:rPr>
              <w:t>Ekonomikas ministrija, Sabiedrisko pakalpojumu regulēšanas komisija, valsts akciju sabiedrība “Elektroniskie sakari”, Latvijas Informācijas un komunikācijas tehnoloģijas asociācija</w:t>
            </w:r>
            <w:r w:rsidR="008E33FD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A2ACB" w:rsidRPr="00A61879" w:rsidTr="00CB1EF6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2D0281" w:rsidP="00CA2877">
            <w:pPr>
              <w:spacing w:before="100" w:beforeAutospacing="1" w:after="100" w:afterAutospacing="1"/>
              <w:ind w:firstLine="492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A2ACB" w:rsidRPr="00A61879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A61879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A61879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A61879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mērķgrupas</w:t>
            </w:r>
            <w:proofErr w:type="spellEnd"/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A61879" w:rsidRDefault="00B37E21" w:rsidP="00B37E21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37E2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Ele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ktronisko sakaru komersanti</w:t>
            </w:r>
            <w:r w:rsidRPr="00B37E21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  <w:r w:rsidRPr="00B37E21">
              <w:rPr>
                <w:rFonts w:eastAsia="Times New Roman" w:cs="Times New Roman"/>
                <w:sz w:val="24"/>
                <w:szCs w:val="24"/>
                <w:lang w:eastAsia="lv-LV"/>
              </w:rPr>
              <w:t>3 (</w:t>
            </w:r>
            <w:r w:rsidRPr="00B37E2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atbilstoši Sabiedrisko </w:t>
            </w:r>
            <w:r w:rsidRPr="00B37E2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lastRenderedPageBreak/>
              <w:t>pakalpojumu regulēšanas komisijas 2016.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gada 2.septembrī</w:t>
            </w:r>
            <w:r w:rsidRPr="00B37E2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aktualizētajam reģistram</w:t>
            </w:r>
            <w:r w:rsidRPr="00B37E21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D351B" w:rsidRPr="00A61879">
              <w:rPr>
                <w:rFonts w:cs="Times New Roman"/>
                <w:iCs/>
                <w:sz w:val="24"/>
                <w:szCs w:val="24"/>
              </w:rPr>
              <w:t>fiziskās</w:t>
            </w:r>
            <w:r w:rsidR="000C1B54">
              <w:rPr>
                <w:rFonts w:cs="Times New Roman"/>
                <w:iCs/>
                <w:sz w:val="24"/>
                <w:szCs w:val="24"/>
              </w:rPr>
              <w:t xml:space="preserve"> un juridiskās </w:t>
            </w:r>
            <w:r w:rsidR="003D351B" w:rsidRPr="00A61879">
              <w:rPr>
                <w:rFonts w:cs="Times New Roman"/>
                <w:iCs/>
                <w:sz w:val="24"/>
                <w:szCs w:val="24"/>
              </w:rPr>
              <w:t xml:space="preserve"> personas, kas ir </w:t>
            </w:r>
            <w:r w:rsidR="000C1B54" w:rsidRPr="00A61879">
              <w:rPr>
                <w:rFonts w:cs="Times New Roman"/>
                <w:iCs/>
                <w:sz w:val="24"/>
                <w:szCs w:val="24"/>
              </w:rPr>
              <w:t>tiesīg</w:t>
            </w:r>
            <w:r w:rsidR="000C1B54">
              <w:rPr>
                <w:rFonts w:cs="Times New Roman"/>
                <w:iCs/>
                <w:sz w:val="24"/>
                <w:szCs w:val="24"/>
              </w:rPr>
              <w:t>as</w:t>
            </w:r>
            <w:r w:rsidR="000C1B54" w:rsidRPr="00A61879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3D351B" w:rsidRPr="00A61879">
              <w:rPr>
                <w:rFonts w:cs="Times New Roman"/>
                <w:iCs/>
                <w:sz w:val="24"/>
                <w:szCs w:val="24"/>
              </w:rPr>
              <w:t>ierosināt elektronisko sakaru tīklu ierīkošanu vai būvniecību.</w:t>
            </w:r>
          </w:p>
        </w:tc>
      </w:tr>
      <w:tr w:rsidR="005A2ACB" w:rsidRPr="00A61879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1E" w:rsidRPr="00A61879" w:rsidRDefault="00510A61" w:rsidP="003B2C2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Nav ietekmes uz tautsaimniecību un sabiedrības grupām un institūcijām</w:t>
            </w:r>
            <w:r w:rsidR="000C1B54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61879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 projekta tiesiskais regulējums nemaina tiesības un pienākumus, kā arī veicamās darbības.</w:t>
            </w:r>
            <w:r w:rsidR="001F326C" w:rsidRPr="00A61879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3F5A60" w:rsidRPr="00A61879" w:rsidRDefault="00557920" w:rsidP="00557920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Noteikumu projekts mazina administratīvo slogu elektronisko sakaru komersantiem elektronisko sakaru tīklu i</w:t>
            </w:r>
            <w:r w:rsidR="001F326C"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erīkošanā</w:t>
            </w:r>
            <w:r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, jo iekļautais regulējums </w:t>
            </w:r>
            <w:r w:rsidR="00D1380B"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atvieglo </w:t>
            </w:r>
            <w:r w:rsidR="009237BD"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elektronisko sakaru tīklu ierīkošanas saskaņošanas procesu.</w:t>
            </w:r>
            <w:r w:rsidR="001F326C" w:rsidRPr="009237BD"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A2ACB" w:rsidRPr="00A61879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E22C41" w:rsidP="003B2C2B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A2ACB" w:rsidRPr="00A61879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E25C4" w:rsidRPr="00A61879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A61879">
        <w:rPr>
          <w:rFonts w:eastAsia="Times New Roman" w:cs="Times New Roman"/>
          <w:sz w:val="24"/>
          <w:szCs w:val="24"/>
          <w:lang w:eastAsia="lv-LV"/>
        </w:rPr>
        <w:t> </w:t>
      </w:r>
    </w:p>
    <w:p w:rsidR="00AE25C4" w:rsidRPr="00A61879" w:rsidRDefault="00AE25C4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B37986" w:rsidRPr="00A61879" w:rsidTr="005B186D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86" w:rsidRPr="00A61879" w:rsidRDefault="00B37986" w:rsidP="005B18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37986" w:rsidRPr="00A61879" w:rsidTr="005B186D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CFC" w:rsidRPr="00A61879" w:rsidRDefault="00F37CFC" w:rsidP="00F37CFC">
            <w:pPr>
              <w:ind w:left="208" w:right="140" w:firstLine="284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61879">
              <w:rPr>
                <w:rFonts w:cs="Times New Roman"/>
                <w:iCs/>
                <w:sz w:val="24"/>
                <w:szCs w:val="24"/>
              </w:rPr>
              <w:t>Atbilstoši Ministru kabineta 2009.gada 25.augusta noteikumiem Nr.970 "Sabiedrības līdzdalības kārtība attīstības plānošanas procesā" par likumprojekta izstrādi tika informēti sabiedrības p</w:t>
            </w:r>
            <w:r w:rsidR="002204FB">
              <w:rPr>
                <w:rFonts w:cs="Times New Roman"/>
                <w:iCs/>
                <w:sz w:val="24"/>
                <w:szCs w:val="24"/>
              </w:rPr>
              <w:t>ā</w:t>
            </w:r>
            <w:r w:rsidR="002D0281">
              <w:rPr>
                <w:rFonts w:cs="Times New Roman"/>
                <w:iCs/>
                <w:sz w:val="24"/>
                <w:szCs w:val="24"/>
              </w:rPr>
              <w:t xml:space="preserve">rstāvji, ievietojot </w:t>
            </w:r>
            <w:r w:rsidRPr="00A61879">
              <w:rPr>
                <w:rFonts w:cs="Times New Roman"/>
                <w:iCs/>
                <w:sz w:val="24"/>
                <w:szCs w:val="24"/>
              </w:rPr>
              <w:t xml:space="preserve">Paziņojumu par līdzdalības iespējām tiesību akta izstrādes procesā Satiksmes ministrijas </w:t>
            </w:r>
            <w:r w:rsidR="000C1B54">
              <w:rPr>
                <w:rFonts w:cs="Times New Roman"/>
                <w:iCs/>
                <w:sz w:val="24"/>
                <w:szCs w:val="24"/>
              </w:rPr>
              <w:t>tīmekļa vietnē.</w:t>
            </w:r>
          </w:p>
          <w:p w:rsidR="00B37986" w:rsidRPr="00A61879" w:rsidRDefault="00B37986" w:rsidP="005F4CDB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B37986" w:rsidRPr="00A61879" w:rsidTr="005B186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2D0281" w:rsidP="002D0281">
            <w:pPr>
              <w:ind w:right="1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 xml:space="preserve">        Sabiedrībai ir iespēja izteikt viedokli par projektu.</w:t>
            </w:r>
          </w:p>
        </w:tc>
      </w:tr>
      <w:tr w:rsidR="00B37986" w:rsidRPr="00A61879" w:rsidTr="005B186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2D0281" w:rsidP="005B186D">
            <w:pPr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B37986" w:rsidRPr="00A61879" w:rsidTr="005B186D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A61879" w:rsidRDefault="00B37986" w:rsidP="005B186D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37986" w:rsidRDefault="00B37986" w:rsidP="00EA086E">
      <w:pPr>
        <w:rPr>
          <w:rFonts w:eastAsia="Times New Roman" w:cs="Times New Roman"/>
          <w:sz w:val="24"/>
          <w:szCs w:val="24"/>
          <w:lang w:eastAsia="lv-LV"/>
        </w:rPr>
      </w:pPr>
    </w:p>
    <w:p w:rsidR="009237BD" w:rsidRDefault="009237BD" w:rsidP="00EA086E">
      <w:pPr>
        <w:rPr>
          <w:rFonts w:eastAsia="Times New Roman" w:cs="Times New Roman"/>
          <w:sz w:val="24"/>
          <w:szCs w:val="24"/>
          <w:lang w:eastAsia="lv-LV"/>
        </w:rPr>
      </w:pPr>
    </w:p>
    <w:p w:rsidR="009237BD" w:rsidRPr="00A61879" w:rsidRDefault="009237BD" w:rsidP="00EA086E">
      <w:pPr>
        <w:rPr>
          <w:rFonts w:eastAsia="Times New Roman" w:cs="Times New Roman"/>
          <w:sz w:val="24"/>
          <w:szCs w:val="24"/>
          <w:lang w:eastAsia="lv-LV"/>
        </w:rPr>
      </w:pPr>
    </w:p>
    <w:p w:rsidR="00B37986" w:rsidRPr="00A61879" w:rsidRDefault="00B37986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A61879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A61879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A61879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301F4B" w:rsidP="000C1B54">
            <w:pPr>
              <w:ind w:left="138" w:right="140" w:firstLine="142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cs="Times New Roman"/>
                <w:sz w:val="24"/>
                <w:szCs w:val="24"/>
              </w:rPr>
              <w:t>VAS „Elektroniskie sakari”, pašvaldību būvvaldes, Būvniecības likuma 6.</w:t>
            </w:r>
            <w:r w:rsidRPr="00A6187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A61879">
              <w:rPr>
                <w:rFonts w:cs="Times New Roman"/>
                <w:sz w:val="24"/>
                <w:szCs w:val="24"/>
              </w:rPr>
              <w:t xml:space="preserve"> panta pirmās daļas 1.punktā minētajos gadījumos - Būvniecības valsts kontroles birojs.</w:t>
            </w:r>
          </w:p>
        </w:tc>
      </w:tr>
      <w:tr w:rsidR="005A2ACB" w:rsidRPr="00A61879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Projekta izpildes ietekme uz </w:t>
            </w: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 xml:space="preserve">pārvaldes funkcijām un institucionālo struktūru. </w:t>
            </w:r>
          </w:p>
          <w:p w:rsidR="005A2ACB" w:rsidRPr="00A61879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733BFD" w:rsidP="002A42FF">
            <w:pPr>
              <w:ind w:left="138" w:right="140" w:firstLine="142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5A2ACB" w:rsidRPr="00A61879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61879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6187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733BFD" w:rsidRPr="00A61879" w:rsidRDefault="00733BFD">
      <w:pPr>
        <w:rPr>
          <w:rFonts w:cs="Times New Roman"/>
          <w:sz w:val="24"/>
          <w:szCs w:val="24"/>
        </w:rPr>
      </w:pPr>
    </w:p>
    <w:p w:rsidR="005A2ACB" w:rsidRPr="00A61879" w:rsidRDefault="007F71CA">
      <w:pPr>
        <w:rPr>
          <w:rFonts w:cs="Times New Roman"/>
          <w:i/>
          <w:sz w:val="24"/>
          <w:szCs w:val="24"/>
        </w:rPr>
      </w:pPr>
      <w:r w:rsidRPr="00A61879">
        <w:rPr>
          <w:rFonts w:cs="Times New Roman"/>
          <w:i/>
          <w:sz w:val="24"/>
          <w:szCs w:val="24"/>
        </w:rPr>
        <w:t>Anotācijas III</w:t>
      </w:r>
      <w:r w:rsidR="00510A61" w:rsidRPr="00A61879">
        <w:rPr>
          <w:rFonts w:cs="Times New Roman"/>
          <w:bCs/>
          <w:i/>
          <w:sz w:val="24"/>
          <w:szCs w:val="24"/>
        </w:rPr>
        <w:t xml:space="preserve">, </w:t>
      </w:r>
      <w:r w:rsidRPr="00A61879">
        <w:rPr>
          <w:rFonts w:cs="Times New Roman"/>
          <w:bCs/>
          <w:i/>
          <w:sz w:val="24"/>
          <w:szCs w:val="24"/>
        </w:rPr>
        <w:t xml:space="preserve"> </w:t>
      </w:r>
      <w:r w:rsidR="00883F14" w:rsidRPr="00A61879">
        <w:rPr>
          <w:rFonts w:cs="Times New Roman"/>
          <w:bCs/>
          <w:i/>
          <w:sz w:val="24"/>
          <w:szCs w:val="24"/>
        </w:rPr>
        <w:t>I</w:t>
      </w:r>
      <w:r w:rsidRPr="00A61879">
        <w:rPr>
          <w:rFonts w:cs="Times New Roman"/>
          <w:bCs/>
          <w:i/>
          <w:sz w:val="24"/>
          <w:szCs w:val="24"/>
        </w:rPr>
        <w:t>V</w:t>
      </w:r>
      <w:r w:rsidR="00510A61" w:rsidRPr="00A61879">
        <w:rPr>
          <w:rFonts w:cs="Times New Roman"/>
          <w:bCs/>
          <w:i/>
          <w:sz w:val="24"/>
          <w:szCs w:val="24"/>
        </w:rPr>
        <w:t xml:space="preserve"> un V</w:t>
      </w:r>
      <w:r w:rsidRPr="00A61879">
        <w:rPr>
          <w:rFonts w:cs="Times New Roman"/>
          <w:bCs/>
          <w:i/>
          <w:sz w:val="24"/>
          <w:szCs w:val="24"/>
        </w:rPr>
        <w:t xml:space="preserve"> sadaļa </w:t>
      </w:r>
      <w:r w:rsidRPr="00A61879">
        <w:rPr>
          <w:rFonts w:cs="Times New Roman"/>
          <w:i/>
          <w:sz w:val="24"/>
          <w:szCs w:val="24"/>
        </w:rPr>
        <w:t>–</w:t>
      </w:r>
      <w:r w:rsidRPr="00A61879">
        <w:rPr>
          <w:rFonts w:cs="Times New Roman"/>
          <w:bCs/>
          <w:i/>
          <w:color w:val="000000"/>
          <w:sz w:val="24"/>
          <w:szCs w:val="24"/>
        </w:rPr>
        <w:t xml:space="preserve"> p</w:t>
      </w:r>
      <w:r w:rsidRPr="00A61879">
        <w:rPr>
          <w:rFonts w:cs="Times New Roman"/>
          <w:i/>
          <w:sz w:val="24"/>
          <w:szCs w:val="24"/>
        </w:rPr>
        <w:t>rojekts šīs jomas neskar.</w:t>
      </w:r>
    </w:p>
    <w:p w:rsidR="00733BFD" w:rsidRPr="00A61879" w:rsidRDefault="00733BFD" w:rsidP="00733BFD">
      <w:pPr>
        <w:rPr>
          <w:rFonts w:cs="Times New Roman"/>
          <w:sz w:val="24"/>
          <w:szCs w:val="24"/>
        </w:rPr>
      </w:pPr>
    </w:p>
    <w:p w:rsidR="00733BFD" w:rsidRPr="00A61879" w:rsidRDefault="00733BFD" w:rsidP="00733BFD">
      <w:pPr>
        <w:pStyle w:val="naisf"/>
        <w:tabs>
          <w:tab w:val="left" w:pos="6710"/>
        </w:tabs>
        <w:spacing w:before="0" w:after="0"/>
        <w:ind w:right="-1" w:firstLine="0"/>
      </w:pPr>
    </w:p>
    <w:p w:rsidR="00733BFD" w:rsidRPr="00A61879" w:rsidRDefault="00733BFD" w:rsidP="00733BFD">
      <w:pPr>
        <w:rPr>
          <w:rFonts w:cs="Times New Roman"/>
          <w:bCs/>
          <w:sz w:val="24"/>
          <w:szCs w:val="24"/>
        </w:rPr>
      </w:pPr>
      <w:r w:rsidRPr="00A61879">
        <w:rPr>
          <w:rFonts w:cs="Times New Roman"/>
          <w:bCs/>
          <w:sz w:val="24"/>
          <w:szCs w:val="24"/>
        </w:rPr>
        <w:t xml:space="preserve">Iesniedzējs: </w:t>
      </w:r>
    </w:p>
    <w:p w:rsidR="00733BFD" w:rsidRPr="00A61879" w:rsidRDefault="00BC4BC1" w:rsidP="002A42FF">
      <w:pPr>
        <w:tabs>
          <w:tab w:val="right" w:pos="9072"/>
        </w:tabs>
        <w:rPr>
          <w:rFonts w:cs="Times New Roman"/>
          <w:bCs/>
          <w:sz w:val="24"/>
          <w:szCs w:val="24"/>
        </w:rPr>
      </w:pPr>
      <w:r w:rsidRPr="00A61879">
        <w:rPr>
          <w:rFonts w:cs="Times New Roman"/>
          <w:bCs/>
          <w:sz w:val="24"/>
          <w:szCs w:val="24"/>
        </w:rPr>
        <w:t>Satiksmes ministrs</w:t>
      </w:r>
      <w:r w:rsidR="00B001DB">
        <w:rPr>
          <w:rFonts w:cs="Times New Roman"/>
          <w:bCs/>
          <w:sz w:val="24"/>
          <w:szCs w:val="24"/>
        </w:rPr>
        <w:t xml:space="preserve">                                                                               </w:t>
      </w:r>
      <w:r w:rsidRPr="00A61879">
        <w:rPr>
          <w:rFonts w:cs="Times New Roman"/>
          <w:bCs/>
          <w:sz w:val="24"/>
          <w:szCs w:val="24"/>
        </w:rPr>
        <w:t>U.Augulis</w:t>
      </w:r>
    </w:p>
    <w:p w:rsidR="00733BFD" w:rsidRPr="00A61879" w:rsidRDefault="00733BFD" w:rsidP="00733BFD">
      <w:pPr>
        <w:rPr>
          <w:rFonts w:cs="Times New Roman"/>
          <w:bCs/>
          <w:sz w:val="24"/>
          <w:szCs w:val="24"/>
        </w:rPr>
      </w:pPr>
    </w:p>
    <w:p w:rsidR="00733BFD" w:rsidRPr="00A61879" w:rsidRDefault="00733BFD" w:rsidP="00733BFD">
      <w:pPr>
        <w:rPr>
          <w:rFonts w:cs="Times New Roman"/>
          <w:bCs/>
          <w:sz w:val="24"/>
          <w:szCs w:val="24"/>
        </w:rPr>
      </w:pPr>
      <w:r w:rsidRPr="00A61879">
        <w:rPr>
          <w:rFonts w:cs="Times New Roman"/>
          <w:bCs/>
          <w:sz w:val="24"/>
          <w:szCs w:val="24"/>
        </w:rPr>
        <w:t xml:space="preserve">Vīza: </w:t>
      </w:r>
    </w:p>
    <w:p w:rsidR="00743D45" w:rsidRPr="00A61879" w:rsidRDefault="00BC4BC1" w:rsidP="00743D45">
      <w:pPr>
        <w:keepLines/>
        <w:widowControl w:val="0"/>
        <w:tabs>
          <w:tab w:val="right" w:pos="9072"/>
        </w:tabs>
        <w:rPr>
          <w:rFonts w:eastAsia="Times New Roman" w:cs="Times New Roman"/>
          <w:sz w:val="24"/>
          <w:szCs w:val="24"/>
        </w:rPr>
      </w:pPr>
      <w:r w:rsidRPr="00A61879">
        <w:rPr>
          <w:rFonts w:eastAsia="Times New Roman" w:cs="Times New Roman"/>
          <w:sz w:val="24"/>
          <w:szCs w:val="24"/>
        </w:rPr>
        <w:t xml:space="preserve">Valsts sekretārs                                                                                 </w:t>
      </w:r>
      <w:r w:rsidR="002D0281">
        <w:rPr>
          <w:rFonts w:eastAsia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61879">
        <w:rPr>
          <w:rFonts w:eastAsia="Times New Roman" w:cs="Times New Roman"/>
          <w:sz w:val="24"/>
          <w:szCs w:val="24"/>
        </w:rPr>
        <w:t>K.Ozoliņš</w:t>
      </w:r>
    </w:p>
    <w:p w:rsidR="00BC4BC1" w:rsidRPr="00A61879" w:rsidRDefault="00BC4BC1" w:rsidP="00733BFD">
      <w:pPr>
        <w:rPr>
          <w:rFonts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</w:p>
    <w:p w:rsidR="00BC4BC1" w:rsidRPr="00A61879" w:rsidRDefault="00BC4BC1" w:rsidP="00733BFD">
      <w:pPr>
        <w:rPr>
          <w:rFonts w:cs="Times New Roman"/>
          <w:sz w:val="24"/>
          <w:szCs w:val="24"/>
        </w:rPr>
      </w:pPr>
    </w:p>
    <w:p w:rsidR="00BC4BC1" w:rsidRPr="00A61879" w:rsidRDefault="00BC4BC1" w:rsidP="00733BFD">
      <w:pPr>
        <w:rPr>
          <w:rFonts w:cs="Times New Roman"/>
          <w:sz w:val="24"/>
          <w:szCs w:val="24"/>
        </w:rPr>
      </w:pPr>
    </w:p>
    <w:p w:rsidR="002D0281" w:rsidRDefault="002D0281" w:rsidP="00733B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06.09.2016.</w:t>
      </w:r>
    </w:p>
    <w:p w:rsidR="00733BFD" w:rsidRPr="00E15CCF" w:rsidRDefault="002D0281" w:rsidP="00733B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812</w:t>
      </w:r>
    </w:p>
    <w:bookmarkEnd w:id="1"/>
    <w:bookmarkEnd w:id="2"/>
    <w:bookmarkEnd w:id="3"/>
    <w:bookmarkEnd w:id="4"/>
    <w:p w:rsidR="002A42FF" w:rsidRPr="00E15CCF" w:rsidRDefault="00BC4BC1">
      <w:pPr>
        <w:rPr>
          <w:rFonts w:cs="Times New Roman"/>
          <w:sz w:val="20"/>
          <w:szCs w:val="20"/>
        </w:rPr>
      </w:pPr>
      <w:r w:rsidRPr="00E15CCF">
        <w:rPr>
          <w:rFonts w:cs="Times New Roman"/>
          <w:sz w:val="20"/>
          <w:szCs w:val="20"/>
        </w:rPr>
        <w:t>D.Linde, 67028101</w:t>
      </w:r>
    </w:p>
    <w:p w:rsidR="002A42FF" w:rsidRPr="00E15CCF" w:rsidRDefault="004869CD" w:rsidP="002A42FF">
      <w:pPr>
        <w:rPr>
          <w:rStyle w:val="Hyperlink"/>
          <w:rFonts w:eastAsia="Times New Roman" w:cs="Times New Roman"/>
          <w:sz w:val="20"/>
          <w:szCs w:val="20"/>
          <w:lang w:eastAsia="lv-LV"/>
        </w:rPr>
      </w:pPr>
      <w:hyperlink r:id="rId9" w:history="1">
        <w:r w:rsidR="00E15CCF" w:rsidRPr="00E15CCF">
          <w:rPr>
            <w:rStyle w:val="Hyperlink"/>
            <w:rFonts w:eastAsia="Times New Roman" w:cs="Times New Roman"/>
            <w:sz w:val="20"/>
            <w:szCs w:val="20"/>
            <w:lang w:eastAsia="lv-LV"/>
          </w:rPr>
          <w:t>daina.linde@sam.gov.lv</w:t>
        </w:r>
      </w:hyperlink>
    </w:p>
    <w:p w:rsidR="00E15CCF" w:rsidRPr="00E15CCF" w:rsidRDefault="00E15CCF" w:rsidP="002A42FF">
      <w:pPr>
        <w:rPr>
          <w:rStyle w:val="Hyperlink"/>
          <w:rFonts w:eastAsia="Times New Roman" w:cs="Times New Roman"/>
          <w:color w:val="auto"/>
          <w:sz w:val="20"/>
          <w:szCs w:val="20"/>
          <w:u w:val="none"/>
          <w:lang w:eastAsia="lv-LV"/>
        </w:rPr>
      </w:pPr>
      <w:r w:rsidRPr="00E15CCF">
        <w:rPr>
          <w:rStyle w:val="Hyperlink"/>
          <w:rFonts w:eastAsia="Times New Roman" w:cs="Times New Roman"/>
          <w:color w:val="auto"/>
          <w:sz w:val="20"/>
          <w:szCs w:val="20"/>
          <w:u w:val="none"/>
          <w:lang w:eastAsia="lv-LV"/>
        </w:rPr>
        <w:t>O.Petrovs, 67028103</w:t>
      </w:r>
    </w:p>
    <w:p w:rsidR="00E15CCF" w:rsidRPr="00E15CCF" w:rsidRDefault="00E15CCF" w:rsidP="002A42FF">
      <w:pPr>
        <w:rPr>
          <w:rFonts w:eastAsia="Times New Roman" w:cs="Times New Roman"/>
          <w:sz w:val="20"/>
          <w:szCs w:val="20"/>
          <w:lang w:eastAsia="lv-LV"/>
        </w:rPr>
      </w:pPr>
      <w:r w:rsidRPr="00E15CCF">
        <w:rPr>
          <w:rStyle w:val="Hyperlink"/>
          <w:rFonts w:eastAsia="Times New Roman" w:cs="Times New Roman"/>
          <w:sz w:val="20"/>
          <w:szCs w:val="20"/>
          <w:lang w:eastAsia="lv-LV"/>
        </w:rPr>
        <w:t>olegs.petrovs@sam.gov.lv</w:t>
      </w:r>
    </w:p>
    <w:p w:rsidR="0019069D" w:rsidRPr="00A61879" w:rsidRDefault="0019069D" w:rsidP="002A42FF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19069D" w:rsidRPr="00A61879" w:rsidRDefault="0019069D" w:rsidP="0019069D">
      <w:pPr>
        <w:rPr>
          <w:rFonts w:cs="Times New Roman"/>
          <w:sz w:val="24"/>
          <w:szCs w:val="24"/>
        </w:rPr>
      </w:pPr>
    </w:p>
    <w:p w:rsidR="00733BFD" w:rsidRPr="00A61879" w:rsidRDefault="0019069D" w:rsidP="0019069D">
      <w:pPr>
        <w:tabs>
          <w:tab w:val="left" w:pos="1785"/>
        </w:tabs>
        <w:rPr>
          <w:rFonts w:cs="Times New Roman"/>
          <w:sz w:val="24"/>
          <w:szCs w:val="24"/>
        </w:rPr>
      </w:pPr>
      <w:r w:rsidRPr="00A61879">
        <w:rPr>
          <w:rFonts w:cs="Times New Roman"/>
          <w:sz w:val="24"/>
          <w:szCs w:val="24"/>
        </w:rPr>
        <w:tab/>
      </w:r>
    </w:p>
    <w:sectPr w:rsidR="00733BFD" w:rsidRPr="00A61879" w:rsidSect="003F5A60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D" w:rsidRDefault="004869CD" w:rsidP="003F5A60">
      <w:r>
        <w:separator/>
      </w:r>
    </w:p>
  </w:endnote>
  <w:endnote w:type="continuationSeparator" w:id="0">
    <w:p w:rsidR="004869CD" w:rsidRDefault="004869CD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7B" w:rsidRDefault="00557920" w:rsidP="00F1657B">
    <w:pPr>
      <w:jc w:val="both"/>
    </w:pPr>
    <w:r>
      <w:rPr>
        <w:sz w:val="22"/>
      </w:rPr>
      <w:t>SAMAnot_0109</w:t>
    </w:r>
    <w:r w:rsidR="00F1657B">
      <w:rPr>
        <w:sz w:val="22"/>
      </w:rPr>
      <w:t>16_sakaru_buv</w:t>
    </w:r>
    <w:r w:rsidR="008E33FD">
      <w:rPr>
        <w:sz w:val="22"/>
      </w:rPr>
      <w:t>es</w:t>
    </w:r>
    <w:r w:rsidR="00F1657B" w:rsidRPr="005E6216">
      <w:rPr>
        <w:sz w:val="22"/>
      </w:rPr>
      <w:t xml:space="preserve">; </w:t>
    </w:r>
    <w:r w:rsidR="00F1657B" w:rsidRPr="00400C92">
      <w:rPr>
        <w:sz w:val="22"/>
      </w:rPr>
      <w:t>Ministru kabinet</w:t>
    </w:r>
    <w:r w:rsidR="00F1657B">
      <w:rPr>
        <w:sz w:val="22"/>
      </w:rPr>
      <w:t xml:space="preserve">a noteikumu projekta </w:t>
    </w:r>
    <w:r w:rsidR="00F1657B" w:rsidRPr="00400C92">
      <w:rPr>
        <w:sz w:val="22"/>
      </w:rPr>
      <w:t xml:space="preserve">„Elektronisko sakaru tīklu </w:t>
    </w:r>
    <w:r>
      <w:rPr>
        <w:sz w:val="22"/>
      </w:rPr>
      <w:t>būvnoteikumi</w:t>
    </w:r>
    <w:r w:rsidR="00F1657B">
      <w:rPr>
        <w:sz w:val="22"/>
      </w:rPr>
      <w:t>”</w:t>
    </w:r>
    <w:r w:rsidR="00F1657B" w:rsidRPr="00400C92">
      <w:rPr>
        <w:sz w:val="22"/>
      </w:rPr>
      <w:t xml:space="preserve"> sākotnējās ietekmes novērtējuma ziņojums (anotācija)</w:t>
    </w:r>
  </w:p>
  <w:p w:rsidR="003F5A60" w:rsidRPr="00F1657B" w:rsidRDefault="003F5A60" w:rsidP="00F16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4214D7" w:rsidP="003F5A60">
    <w:pPr>
      <w:jc w:val="both"/>
    </w:pPr>
    <w:r>
      <w:rPr>
        <w:sz w:val="22"/>
      </w:rPr>
      <w:t>SAMAnot_0109</w:t>
    </w:r>
    <w:r w:rsidR="00F1657B">
      <w:rPr>
        <w:sz w:val="22"/>
      </w:rPr>
      <w:t>16_sakaru_buv</w:t>
    </w:r>
    <w:r w:rsidR="003F5A60" w:rsidRPr="005E6216">
      <w:rPr>
        <w:sz w:val="22"/>
      </w:rPr>
      <w:t xml:space="preserve">; </w:t>
    </w:r>
    <w:r w:rsidR="00400C92" w:rsidRPr="00400C92">
      <w:rPr>
        <w:sz w:val="22"/>
      </w:rPr>
      <w:t>Ministru kabinet</w:t>
    </w:r>
    <w:r w:rsidR="00F1657B">
      <w:rPr>
        <w:sz w:val="22"/>
      </w:rPr>
      <w:t xml:space="preserve">a noteikumu projekta </w:t>
    </w:r>
    <w:r w:rsidR="00400C92" w:rsidRPr="00400C92">
      <w:rPr>
        <w:sz w:val="22"/>
      </w:rPr>
      <w:t>„Elektronisk</w:t>
    </w:r>
    <w:r>
      <w:rPr>
        <w:sz w:val="22"/>
      </w:rPr>
      <w:t>o sakaru tīklu būvnoteikumi</w:t>
    </w:r>
    <w:r w:rsidR="00F1657B">
      <w:rPr>
        <w:sz w:val="22"/>
      </w:rPr>
      <w:t>”</w:t>
    </w:r>
    <w:r w:rsidR="00400C92" w:rsidRPr="00400C92">
      <w:rPr>
        <w:sz w:val="22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D" w:rsidRDefault="004869CD" w:rsidP="003F5A60">
      <w:r>
        <w:separator/>
      </w:r>
    </w:p>
  </w:footnote>
  <w:footnote w:type="continuationSeparator" w:id="0">
    <w:p w:rsidR="004869CD" w:rsidRDefault="004869CD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2D0281">
          <w:rPr>
            <w:noProof/>
            <w:sz w:val="24"/>
            <w:szCs w:val="24"/>
          </w:rPr>
          <w:t>3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3EE"/>
    <w:multiLevelType w:val="hybridMultilevel"/>
    <w:tmpl w:val="65029564"/>
    <w:lvl w:ilvl="0" w:tplc="042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16CA1"/>
    <w:rsid w:val="000229F3"/>
    <w:rsid w:val="00043C26"/>
    <w:rsid w:val="00061305"/>
    <w:rsid w:val="00081ACF"/>
    <w:rsid w:val="000937CE"/>
    <w:rsid w:val="000A549B"/>
    <w:rsid w:val="000C1B54"/>
    <w:rsid w:val="000F355C"/>
    <w:rsid w:val="00107FAE"/>
    <w:rsid w:val="0013332F"/>
    <w:rsid w:val="001449C1"/>
    <w:rsid w:val="00156D48"/>
    <w:rsid w:val="001579FD"/>
    <w:rsid w:val="0019069D"/>
    <w:rsid w:val="001926D1"/>
    <w:rsid w:val="001B0AE7"/>
    <w:rsid w:val="001B15F8"/>
    <w:rsid w:val="001B1B37"/>
    <w:rsid w:val="001D084F"/>
    <w:rsid w:val="001F29F5"/>
    <w:rsid w:val="001F326C"/>
    <w:rsid w:val="002204FB"/>
    <w:rsid w:val="00240021"/>
    <w:rsid w:val="002646F4"/>
    <w:rsid w:val="00295B9A"/>
    <w:rsid w:val="002A42FF"/>
    <w:rsid w:val="002B3762"/>
    <w:rsid w:val="002C4D3D"/>
    <w:rsid w:val="002D0281"/>
    <w:rsid w:val="002F0D3D"/>
    <w:rsid w:val="00301F4B"/>
    <w:rsid w:val="0031092A"/>
    <w:rsid w:val="00335104"/>
    <w:rsid w:val="00337DAE"/>
    <w:rsid w:val="00386182"/>
    <w:rsid w:val="003A5C25"/>
    <w:rsid w:val="003B0FB7"/>
    <w:rsid w:val="003B1DB9"/>
    <w:rsid w:val="003B2C2B"/>
    <w:rsid w:val="003D351B"/>
    <w:rsid w:val="003D6F25"/>
    <w:rsid w:val="003D7F1F"/>
    <w:rsid w:val="003E6E20"/>
    <w:rsid w:val="003F5A60"/>
    <w:rsid w:val="00400C92"/>
    <w:rsid w:val="00417C73"/>
    <w:rsid w:val="004214D7"/>
    <w:rsid w:val="0043244D"/>
    <w:rsid w:val="00447EC3"/>
    <w:rsid w:val="00466D77"/>
    <w:rsid w:val="004846F5"/>
    <w:rsid w:val="004869CD"/>
    <w:rsid w:val="004936B3"/>
    <w:rsid w:val="004A4E49"/>
    <w:rsid w:val="004C2752"/>
    <w:rsid w:val="004D0675"/>
    <w:rsid w:val="004E4BBF"/>
    <w:rsid w:val="00510A61"/>
    <w:rsid w:val="00511EED"/>
    <w:rsid w:val="00532C70"/>
    <w:rsid w:val="00540A1C"/>
    <w:rsid w:val="00557920"/>
    <w:rsid w:val="00565402"/>
    <w:rsid w:val="00585C9E"/>
    <w:rsid w:val="005A2ACB"/>
    <w:rsid w:val="005A438C"/>
    <w:rsid w:val="005A555C"/>
    <w:rsid w:val="005A7E4C"/>
    <w:rsid w:val="005B137E"/>
    <w:rsid w:val="005C5348"/>
    <w:rsid w:val="005E1E70"/>
    <w:rsid w:val="005E36D4"/>
    <w:rsid w:val="005F4CDB"/>
    <w:rsid w:val="00600B7D"/>
    <w:rsid w:val="006348E2"/>
    <w:rsid w:val="0064540E"/>
    <w:rsid w:val="006468AA"/>
    <w:rsid w:val="00650C0E"/>
    <w:rsid w:val="0065400B"/>
    <w:rsid w:val="0066726F"/>
    <w:rsid w:val="006750C2"/>
    <w:rsid w:val="006927CE"/>
    <w:rsid w:val="006A52E8"/>
    <w:rsid w:val="006D03B0"/>
    <w:rsid w:val="006D441F"/>
    <w:rsid w:val="00713856"/>
    <w:rsid w:val="00733BFD"/>
    <w:rsid w:val="00743D45"/>
    <w:rsid w:val="007704A1"/>
    <w:rsid w:val="0079298C"/>
    <w:rsid w:val="007A016B"/>
    <w:rsid w:val="007A25ED"/>
    <w:rsid w:val="007F71CA"/>
    <w:rsid w:val="008169DB"/>
    <w:rsid w:val="00847F50"/>
    <w:rsid w:val="008704BE"/>
    <w:rsid w:val="008722DF"/>
    <w:rsid w:val="00876FA6"/>
    <w:rsid w:val="00883F14"/>
    <w:rsid w:val="008976C9"/>
    <w:rsid w:val="008B0472"/>
    <w:rsid w:val="008E33FD"/>
    <w:rsid w:val="008E77FF"/>
    <w:rsid w:val="00902A48"/>
    <w:rsid w:val="009166A0"/>
    <w:rsid w:val="00916ECF"/>
    <w:rsid w:val="00920BCA"/>
    <w:rsid w:val="009237BD"/>
    <w:rsid w:val="00947E99"/>
    <w:rsid w:val="009565B3"/>
    <w:rsid w:val="00960B02"/>
    <w:rsid w:val="009628CC"/>
    <w:rsid w:val="00997CFA"/>
    <w:rsid w:val="009B5972"/>
    <w:rsid w:val="009B6BB0"/>
    <w:rsid w:val="009D4526"/>
    <w:rsid w:val="009E5083"/>
    <w:rsid w:val="00A61879"/>
    <w:rsid w:val="00A66951"/>
    <w:rsid w:val="00A84CB4"/>
    <w:rsid w:val="00A9041E"/>
    <w:rsid w:val="00AB5CE5"/>
    <w:rsid w:val="00AC5C90"/>
    <w:rsid w:val="00AD0B23"/>
    <w:rsid w:val="00AE25C4"/>
    <w:rsid w:val="00AE5508"/>
    <w:rsid w:val="00AE5C6D"/>
    <w:rsid w:val="00AF64F0"/>
    <w:rsid w:val="00B001DB"/>
    <w:rsid w:val="00B37986"/>
    <w:rsid w:val="00B37E21"/>
    <w:rsid w:val="00B5345A"/>
    <w:rsid w:val="00B9199D"/>
    <w:rsid w:val="00B941F7"/>
    <w:rsid w:val="00BA4909"/>
    <w:rsid w:val="00BB7344"/>
    <w:rsid w:val="00BC186D"/>
    <w:rsid w:val="00BC4BC1"/>
    <w:rsid w:val="00BC5275"/>
    <w:rsid w:val="00BF1B84"/>
    <w:rsid w:val="00BF380B"/>
    <w:rsid w:val="00BF5CFD"/>
    <w:rsid w:val="00C041F1"/>
    <w:rsid w:val="00C134B2"/>
    <w:rsid w:val="00C17105"/>
    <w:rsid w:val="00C2613C"/>
    <w:rsid w:val="00C30499"/>
    <w:rsid w:val="00C37D1C"/>
    <w:rsid w:val="00C764FD"/>
    <w:rsid w:val="00C927DB"/>
    <w:rsid w:val="00C9631E"/>
    <w:rsid w:val="00CA0CD4"/>
    <w:rsid w:val="00CA2877"/>
    <w:rsid w:val="00CA37DF"/>
    <w:rsid w:val="00CA3B01"/>
    <w:rsid w:val="00CA4B54"/>
    <w:rsid w:val="00CB1EF6"/>
    <w:rsid w:val="00CB4971"/>
    <w:rsid w:val="00CD02B2"/>
    <w:rsid w:val="00CE4D99"/>
    <w:rsid w:val="00CE526E"/>
    <w:rsid w:val="00CF172F"/>
    <w:rsid w:val="00CF1933"/>
    <w:rsid w:val="00D1380B"/>
    <w:rsid w:val="00D17890"/>
    <w:rsid w:val="00D205C2"/>
    <w:rsid w:val="00D4690A"/>
    <w:rsid w:val="00D52911"/>
    <w:rsid w:val="00D57131"/>
    <w:rsid w:val="00D65800"/>
    <w:rsid w:val="00D96370"/>
    <w:rsid w:val="00DC7EA7"/>
    <w:rsid w:val="00DD257B"/>
    <w:rsid w:val="00E07E16"/>
    <w:rsid w:val="00E15CCF"/>
    <w:rsid w:val="00E22C41"/>
    <w:rsid w:val="00E266E5"/>
    <w:rsid w:val="00E272B4"/>
    <w:rsid w:val="00E414CA"/>
    <w:rsid w:val="00E52034"/>
    <w:rsid w:val="00E7186D"/>
    <w:rsid w:val="00EA086E"/>
    <w:rsid w:val="00EA243F"/>
    <w:rsid w:val="00EB16DE"/>
    <w:rsid w:val="00EC4336"/>
    <w:rsid w:val="00EC47AF"/>
    <w:rsid w:val="00ED21A7"/>
    <w:rsid w:val="00ED3261"/>
    <w:rsid w:val="00ED76D0"/>
    <w:rsid w:val="00F1657B"/>
    <w:rsid w:val="00F167E7"/>
    <w:rsid w:val="00F2278C"/>
    <w:rsid w:val="00F22D1F"/>
    <w:rsid w:val="00F37CFC"/>
    <w:rsid w:val="00F53C75"/>
    <w:rsid w:val="00F70DE2"/>
    <w:rsid w:val="00FA00A0"/>
    <w:rsid w:val="00FA0673"/>
    <w:rsid w:val="00FA3BE6"/>
    <w:rsid w:val="00FE7859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A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ina.linde@s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3E37-0093-4B04-B864-F307C0C4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4714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Daina.Linde@sam.gov.lv</dc:creator>
  <dc:description>D.Linde 67028101, Daina.Linde@sam.gov.lv;</dc:description>
  <cp:lastModifiedBy>Daina Linde</cp:lastModifiedBy>
  <cp:revision>18</cp:revision>
  <cp:lastPrinted>2015-04-22T12:36:00Z</cp:lastPrinted>
  <dcterms:created xsi:type="dcterms:W3CDTF">2016-08-31T09:17:00Z</dcterms:created>
  <dcterms:modified xsi:type="dcterms:W3CDTF">2016-09-06T05:44:00Z</dcterms:modified>
</cp:coreProperties>
</file>