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71" w:rsidRDefault="004E005B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35C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Ministru kabineta noteikumu </w:t>
      </w:r>
      <w:r w:rsidR="00C4629B" w:rsidRPr="00D35C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projekta </w:t>
      </w:r>
      <w:r w:rsidRPr="00D35C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E82971" w:rsidRPr="00E8297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Tiesu ekspertīžu organizēšanas kārtība</w:t>
      </w:r>
      <w:r w:rsidRPr="00D35C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” </w:t>
      </w:r>
    </w:p>
    <w:p w:rsidR="004D15A9" w:rsidRPr="00D35C06" w:rsidRDefault="004D15A9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35C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:rsidR="00DA596D" w:rsidRPr="004D15A9" w:rsidRDefault="00DA596D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1"/>
        <w:gridCol w:w="5844"/>
      </w:tblGrid>
      <w:tr w:rsidR="002547E8" w:rsidRPr="002547E8" w:rsidTr="004D15A9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2547E8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54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2547E8" w:rsidRPr="002547E8" w:rsidTr="004D15A9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2547E8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2547E8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67227" w:rsidRPr="00915D25" w:rsidRDefault="00915D25" w:rsidP="00915D25">
            <w:pPr>
              <w:spacing w:after="0" w:line="240" w:lineRule="auto"/>
              <w:ind w:firstLine="68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5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Ministru kabineta noteikumu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</w:t>
            </w:r>
            <w:r w:rsidRPr="00915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“Tiesu ekspertīžu organizēšanas kārtība”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(turpmāk </w:t>
            </w:r>
            <w:r w:rsidR="00ED6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–</w:t>
            </w:r>
            <w:r w:rsidRPr="00915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FC12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FC12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izstrādāts</w:t>
            </w:r>
            <w:r w:rsidR="00C26B76"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saskaņā ar </w:t>
            </w:r>
            <w:r w:rsidR="00493B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Tiesu ekspertu likuma </w:t>
            </w:r>
            <w:r w:rsidR="00E8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493BEE" w:rsidRPr="00493B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C462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493BEE" w:rsidRPr="00493B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panta </w:t>
            </w:r>
            <w:r w:rsidR="00C462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vienpadsmito </w:t>
            </w:r>
            <w:r w:rsidR="00493BEE" w:rsidRPr="00493B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daļu</w:t>
            </w:r>
            <w:r w:rsidR="00C26B76"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kurā </w:t>
            </w:r>
            <w:r w:rsidR="00C462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paredzēts</w:t>
            </w:r>
            <w:r w:rsidR="00C26B76"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deleģējums Ministru kabinetam </w:t>
            </w:r>
            <w:r w:rsidR="00C462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</w:t>
            </w:r>
            <w:r w:rsidR="00C26B76"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82971" w:rsidRPr="00E8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tiesu ekspertīžu organizēšanas kārtību tiesu ekspertīžu iestādē un gadījumos, </w:t>
            </w:r>
            <w:r w:rsidR="00886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ekspertīzi veic vairāku tiesu ekspertīžu iestāžu valsts tiesu eksper</w:t>
            </w:r>
            <w:r w:rsidR="000672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 vai privātie tiesu eksperti.</w:t>
            </w:r>
          </w:p>
        </w:tc>
      </w:tr>
      <w:tr w:rsidR="002547E8" w:rsidRPr="002547E8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2547E8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2547E8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B4152" w:rsidRDefault="00D64574" w:rsidP="0038051B">
            <w:pPr>
              <w:spacing w:after="0" w:line="240" w:lineRule="auto"/>
              <w:ind w:firstLine="6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2016.</w:t>
            </w:r>
            <w:r w:rsidR="00C462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15.</w:t>
            </w:r>
            <w:r w:rsidR="00C462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martā stājās spēkā Tiesu ekspertu likums, kura </w:t>
            </w:r>
            <w:r w:rsidR="00450B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A85FC5" w:rsidRPr="00A85F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C462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85FC5" w:rsidRPr="00A85F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panta </w:t>
            </w:r>
            <w:r w:rsidR="00C462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vienpadsmitajā </w:t>
            </w:r>
            <w:r w:rsidR="00A85FC5" w:rsidRPr="00A85F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</w:t>
            </w:r>
            <w:r w:rsidR="00450B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A85FC5" w:rsidRPr="00A85F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462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paredzēts</w:t>
            </w:r>
            <w:r w:rsidR="00C4629B" w:rsidRPr="00A85F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85FC5" w:rsidRPr="00A85F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deleģējums Ministru kabinetam </w:t>
            </w:r>
            <w:r w:rsidR="00C462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</w:t>
            </w:r>
            <w:r w:rsidR="00C4629B" w:rsidRPr="00A85F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82971" w:rsidRPr="00E8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ekspertīžu</w:t>
            </w:r>
            <w:proofErr w:type="gramStart"/>
            <w:r w:rsidR="00E82971" w:rsidRPr="00E8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="00E82971" w:rsidRPr="00E8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organizēšanas kārtību tiesu ekspertīžu iestādē un gadījumos, </w:t>
            </w:r>
            <w:r w:rsidR="00450B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ekspertīzi veic vairāku tiesu ekspertīžu iestāžu valsts tiesu eksperti vai privātie tiesu eksperti.</w:t>
            </w:r>
            <w:r w:rsidR="000F5B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m</w:t>
            </w:r>
            <w:r w:rsidR="00E8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inētā likuma pārejas noteikumu 4</w:t>
            </w:r>
            <w:r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C13F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punktu </w:t>
            </w:r>
            <w:r w:rsidR="00E8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noteikumi ir jāizdod līdz </w:t>
            </w:r>
            <w:r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2016.</w:t>
            </w:r>
            <w:r w:rsidR="00C13F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31.</w:t>
            </w:r>
            <w:r w:rsidR="00C13F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0F5B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</w:t>
            </w:r>
            <w:r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ūlijam</w:t>
            </w:r>
            <w:r w:rsidR="00E8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88482B" w:rsidRDefault="00E82971" w:rsidP="002C5BD0">
            <w:pPr>
              <w:spacing w:after="0" w:line="240" w:lineRule="auto"/>
              <w:ind w:firstLine="6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Šobrīd </w:t>
            </w:r>
            <w:r w:rsidR="007A55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nepastāv vienota kārtība,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ād</w:t>
            </w:r>
            <w:r w:rsidR="007A55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2C5B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tiesu ekspertīžu iestādes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A55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organizē</w:t>
            </w:r>
            <w:r w:rsidR="007A556C" w:rsidDel="007A55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F5B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ekspertī</w:t>
            </w:r>
            <w:r w:rsidR="002C5B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žu veikšanu vai kādā tās sadarbojas, ja ekspertīzes veikšanā nepieciešamas iesaistīties vairāk tiesu ekspertīžu iestādēm vai ekspertīzes veikšanai pieaicināt tiesu ekspertus, kuri nestrādā minētajās iestādēs.</w:t>
            </w:r>
            <w:r w:rsidR="000F5B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C5B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Koordinācijas trūkums starp tiesu ekspertīžu iestādēm dažbrīd pagarina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komisijas ekspertīžu</w:t>
            </w:r>
            <w:r w:rsidR="004B3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termiņ</w:t>
            </w:r>
            <w:r w:rsidR="002C5B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</w:t>
            </w:r>
            <w:r w:rsidR="004B3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jo nav reglamentēta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B3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ekspertīzes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organizēšan</w:t>
            </w:r>
            <w:r w:rsidR="004B3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kārtība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ja komisijā ir iesaistīti dažādu </w:t>
            </w:r>
            <w:r w:rsidR="000F5B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tiesu ekspertīžu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iestāžu </w:t>
            </w:r>
            <w:r w:rsidR="001B58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tiesu eksperti vai privātie </w:t>
            </w:r>
            <w:r w:rsidR="001B58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eksperti</w:t>
            </w:r>
            <w:r w:rsidR="000F5B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vai arī komisijas darbā piedalās tiesu eksperti, kas nestrādā tiesu ekspertīžu iestādē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7977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2C5BD0" w:rsidRDefault="00797770" w:rsidP="002C5BD0">
            <w:pPr>
              <w:spacing w:after="0" w:line="240" w:lineRule="auto"/>
              <w:ind w:firstLine="6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projekts </w:t>
            </w:r>
            <w:r w:rsidR="000F5B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nosaka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kārtību</w:t>
            </w:r>
            <w:r w:rsidR="00AD51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kādā organizē</w:t>
            </w:r>
            <w:proofErr w:type="gramStart"/>
            <w:r w:rsidR="00AD51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="00AD51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ekspertīz</w:t>
            </w:r>
            <w:r w:rsidR="002C5B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es tiesu ekspertīžu iestādē un </w:t>
            </w:r>
            <w:r w:rsidRPr="007977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ekspertu likuma 17.</w:t>
            </w:r>
            <w:r w:rsidR="00C13F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977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piektajā daļā noteikt</w:t>
            </w:r>
            <w:r w:rsidR="00AD51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ās</w:t>
            </w:r>
            <w:r w:rsidRPr="007977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komisijas tiesu ekspertīz</w:t>
            </w:r>
            <w:r w:rsidR="002C5B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es, nodrošinot ekspertīžu veikšanas organizēšanas un savstarpējās koordinēšanas ievērošanu. </w:t>
            </w:r>
            <w:r w:rsidR="004B3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Tādā veidā </w:t>
            </w:r>
            <w:r w:rsidR="000F5B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tiek </w:t>
            </w:r>
            <w:r w:rsidR="004B3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nodrošināts, ka visiem komisijā iekļautajiem ekspertiem ir vienādas tiesības un pienākumi, kā arī noteikti papildpienākumi tiesu ekspertam, kurš organizēs ekspertīzes veikšanu.</w:t>
            </w:r>
          </w:p>
          <w:p w:rsidR="00067227" w:rsidRPr="002547E8" w:rsidRDefault="00797770" w:rsidP="00436D74">
            <w:pPr>
              <w:spacing w:after="0" w:line="240" w:lineRule="auto"/>
              <w:ind w:firstLine="6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Kriminālprocesa likuma 201.</w:t>
            </w:r>
            <w:r w:rsidR="001B58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pants paredz ekspertīzes uzdošanu ekspertīžu iestādei, bet nenosaka kārtību, kā jārīkojas ekspertīžu iestādes vadītājam. Noteikumu projekts reglamentē ekspertīžu iestādes vadītāja rīcību, izvēloties ekspertu</w:t>
            </w:r>
            <w:r w:rsidR="00387F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nosakot komisijas ekspertīžu organizēšanas</w:t>
            </w:r>
            <w:r w:rsidR="00EA26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izpildes termiņa noteikšanas</w:t>
            </w:r>
            <w:r w:rsidR="00387F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vispārējo kārtību. Taču ņemot vērā to, ka katrai ekspertīžu iestādei ir atšķirīga darbības kompetence un specifika</w:t>
            </w:r>
            <w:r w:rsidR="00EA26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C572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atšķirīgas tiesu ekspertu specialitātes iestādēs nodarbinātajiem ekspertiem, </w:t>
            </w:r>
            <w:r w:rsidR="00C572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līdz ar to arī atšķirīgas metodes, ar kurām strādā tiesu eksperti, Noteikumu</w:t>
            </w:r>
            <w:r w:rsidR="00EA26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projekts nosaka </w:t>
            </w:r>
            <w:r w:rsidR="00EA26B1" w:rsidRPr="007977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pienākumu iestādei izdot iekšējos normatīvos aktus, </w:t>
            </w:r>
            <w:proofErr w:type="gramStart"/>
            <w:r w:rsidR="00C572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 būtu iespējams</w:t>
            </w:r>
            <w:proofErr w:type="gramEnd"/>
            <w:r w:rsidR="00C572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nodrošināt Noteikuma projektā ietvertos nosacījumus attiecībā uz vadošā</w:t>
            </w:r>
            <w:r w:rsidR="00436D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572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eksperta noteikšanu, savstarpējās sadarbības nodrošināšanai, it īpaši komisijas ekspertīžu veikšanā</w:t>
            </w:r>
            <w:r w:rsidR="00436D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tiesu ekspertīžu iestādē</w:t>
            </w:r>
            <w:r w:rsidR="00C572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kā arī atkarībā no veicamās ekspertīzes tās veikšanai nepieciešami termiņu noteikšanā un citiem jautājumiem, kas attiecināmi uz noteiktas jomas ekspertīzēm</w:t>
            </w:r>
            <w:r w:rsidR="00436D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2547E8" w:rsidRPr="002547E8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2547E8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2547E8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2547E8" w:rsidRDefault="000F0249" w:rsidP="002C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Tieslietu ministrija, </w:t>
            </w:r>
            <w:r w:rsidR="002C1C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tiesu ekspertīžu birojs.</w:t>
            </w:r>
          </w:p>
        </w:tc>
      </w:tr>
      <w:tr w:rsidR="002547E8" w:rsidRPr="002547E8" w:rsidTr="004D15A9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2547E8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2547E8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Default="001A5049" w:rsidP="0051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1B58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067227" w:rsidRPr="002547E8" w:rsidRDefault="00067227" w:rsidP="0051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547E8" w:rsidRPr="002547E8" w:rsidTr="00D313D5">
        <w:trPr>
          <w:trHeight w:val="128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:rsidR="00031256" w:rsidRPr="002547E8" w:rsidRDefault="0081203F" w:rsidP="0081203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</w:tr>
    </w:tbl>
    <w:p w:rsidR="004D15A9" w:rsidRPr="004D15A9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1"/>
        <w:gridCol w:w="5844"/>
      </w:tblGrid>
      <w:tr w:rsidR="005D6754" w:rsidRPr="005D6754" w:rsidTr="00101CD5">
        <w:trPr>
          <w:trHeight w:val="555"/>
        </w:trPr>
        <w:tc>
          <w:tcPr>
            <w:tcW w:w="0" w:type="auto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5D6754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5D6754" w:rsidRPr="005D6754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D67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D67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D6754" w:rsidRDefault="001B4B62" w:rsidP="00A0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eksperti</w:t>
            </w:r>
            <w:r w:rsidR="00C858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tiesu ekspertīžu iestādes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D6754" w:rsidRPr="005D6754" w:rsidTr="004D15A9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D67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D67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D6754" w:rsidRDefault="00F074FC" w:rsidP="00E71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</w:t>
            </w:r>
            <w:r w:rsidR="002768D0"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rojekta tiesiskais regulējums </w:t>
            </w:r>
            <w:r w:rsidR="002B20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ietver pienākumus tiesu ekspertīžu iestādes vadītājam organizēt tiesu ekspertīžu veikšanu atbilstoši Noteikumu projektā noteiktajam</w:t>
            </w:r>
            <w:r w:rsidR="00E71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D6754" w:rsidRPr="005D6754" w:rsidTr="004D15A9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D67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D67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D6754" w:rsidRDefault="00ED682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</w:t>
            </w:r>
            <w:r w:rsidR="00AF28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5D6754" w:rsidRPr="005D6754" w:rsidTr="004D15A9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D67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D67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67227" w:rsidRPr="005D6754" w:rsidRDefault="002768D0" w:rsidP="008E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1B58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A05438" w:rsidRPr="005D6754" w:rsidRDefault="00A05438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648"/>
        <w:gridCol w:w="6026"/>
      </w:tblGrid>
      <w:tr w:rsidR="00AF7828" w:rsidTr="00AF7828">
        <w:trPr>
          <w:trHeight w:val="45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F7828" w:rsidRDefault="00AF782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AF7828" w:rsidTr="00AF7828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F7828" w:rsidRDefault="00AF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F7828" w:rsidRDefault="00AF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Nepieciešamie saistītie tiesību aktu projekti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67227" w:rsidRDefault="003A3E66" w:rsidP="0043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ekspertīžu iestādēm jāizdod iekšējās kārtības noteikum</w:t>
            </w:r>
            <w:r w:rsidR="00E71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noteiks e</w:t>
            </w:r>
            <w:r w:rsidR="006445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kspertīzes </w:t>
            </w:r>
            <w:r w:rsidR="00C572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norises</w:t>
            </w:r>
            <w:r w:rsidR="00EA26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436D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izpildes </w:t>
            </w:r>
            <w:r w:rsidR="00EA26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termiņu </w:t>
            </w:r>
            <w:r w:rsidR="00436D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(tiesu ekspertīžu iestādē) </w:t>
            </w:r>
            <w:r w:rsidR="00EA26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noteikšanas</w:t>
            </w:r>
            <w:r w:rsidR="006445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C57281" w:rsidRPr="00C572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izpētes objektu</w:t>
            </w:r>
            <w:r w:rsidR="00C572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citus iesniegto materiālu (turpmāk – materiāli) </w:t>
            </w:r>
            <w:r w:rsidR="006445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aprites, rīcības ar materiāliem pēc ekspertīzes pabeigšanas kārtības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nosacījumus.</w:t>
            </w:r>
          </w:p>
        </w:tc>
      </w:tr>
      <w:tr w:rsidR="00AF7828" w:rsidTr="00AF7828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F7828" w:rsidRDefault="00AF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F7828" w:rsidRDefault="00AF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67227" w:rsidRDefault="003A3E66" w:rsidP="0070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ekspertīžu iestādes.</w:t>
            </w:r>
          </w:p>
        </w:tc>
      </w:tr>
      <w:tr w:rsidR="00AF7828" w:rsidTr="00AF7828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F7828" w:rsidRDefault="00AF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F7828" w:rsidRDefault="00AF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67227" w:rsidRDefault="00AF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1B58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4D15A9" w:rsidRPr="005D6754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4D15A9" w:rsidRPr="005D6754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739"/>
        <w:gridCol w:w="5935"/>
      </w:tblGrid>
      <w:tr w:rsidR="005D6754" w:rsidRPr="005D6754" w:rsidTr="004D15A9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5D6754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5D6754" w:rsidRPr="005D6754" w:rsidTr="004D15A9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D67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D67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4E93" w:rsidRPr="005D6754" w:rsidRDefault="00700743" w:rsidP="002B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07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 informētu sabiedrību par Noteikumu projektu un dotu iespēju izteikt viedokli, Noteikumu projekts saskaņā ar Ministru kabineta 2009.</w:t>
            </w:r>
            <w:r w:rsidR="00F0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007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25.</w:t>
            </w:r>
            <w:r w:rsidR="00F0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007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augusta noteikumiem Nr.</w:t>
            </w:r>
            <w:r w:rsidR="00F0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007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970 “Sabiedrības līdzdalības kārtība attīstības un plānošanas procesā” ievietots Tieslietu ministrijas interneta mājaslapā 2016. gada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7007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aprīlī.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97954"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5D6754" w:rsidRPr="005D6754" w:rsidTr="004D15A9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D67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D67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D6754" w:rsidRDefault="00C57281" w:rsidP="00F7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72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Ministru kabineta 2009. gada 25. augusta noteikumu Nr. 970 “Sabiedrības līdzdalības kārtība attīstības un plānošanas procesā” 7.4.</w:t>
            </w:r>
            <w:r w:rsidRPr="00C572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C572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apakšpunktu sabiedrības pārstāvjiem bija iespēja līdzdarboties, rakstiski sniedzot viedokli par Noteikumu projektu tā izstrādes stadijā.</w:t>
            </w:r>
          </w:p>
        </w:tc>
      </w:tr>
      <w:tr w:rsidR="005D6754" w:rsidRPr="005D6754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D67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D67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D6754" w:rsidRDefault="00C57281" w:rsidP="00F7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72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pārstāvju viedokļi par Noteikumu projektu pēc tā ievietošanas Tieslietu ministrijas mājaslapā nav saņemti.</w:t>
            </w:r>
          </w:p>
        </w:tc>
      </w:tr>
      <w:tr w:rsidR="004D15A9" w:rsidRPr="005D6754" w:rsidTr="00F76D16">
        <w:trPr>
          <w:trHeight w:val="27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D67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D67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D6754" w:rsidRDefault="00F97A1E" w:rsidP="0061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5B4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4D15A9" w:rsidRPr="005D6754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3470"/>
        <w:gridCol w:w="5205"/>
      </w:tblGrid>
      <w:tr w:rsidR="005D6754" w:rsidRPr="005D6754" w:rsidTr="004D15A9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5D6754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D6754" w:rsidRPr="005D6754" w:rsidTr="004D15A9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D67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D67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D6754" w:rsidRDefault="00067227" w:rsidP="0002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245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iesu ekspertīžu iestādes</w:t>
            </w:r>
            <w:r w:rsidR="005B4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D6754" w:rsidRPr="005D6754" w:rsidTr="004D15A9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D67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D67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4D15A9" w:rsidRPr="005D6754" w:rsidRDefault="004D15A9" w:rsidP="00DA596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D6754" w:rsidRDefault="003A6842" w:rsidP="001B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Jaunas institūcijas netiks veidotas, esošās institūcijas netiks likvidētas vai reorganizētas.</w:t>
            </w:r>
            <w:r w:rsidR="00D102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4D15A9" w:rsidRPr="005D6754" w:rsidTr="004D15A9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D67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D67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D6754" w:rsidRDefault="003A6842" w:rsidP="0084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5B4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562E1D" w:rsidRPr="005D6754" w:rsidRDefault="00562E1D" w:rsidP="00562E1D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Anotācijas III un V</w:t>
      </w:r>
      <w:r w:rsidRPr="005D675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sadaļa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Noteikumu </w:t>
      </w:r>
      <w:r w:rsidRPr="005D675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projekts šīs jomas neskar.</w:t>
      </w:r>
    </w:p>
    <w:p w:rsidR="00BB1F46" w:rsidRPr="005D6754" w:rsidRDefault="00BB1F46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5A9" w:rsidRPr="005D6754" w:rsidRDefault="004D15A9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5A9" w:rsidRPr="005D6754" w:rsidRDefault="009554CB" w:rsidP="00DA596D">
      <w:pPr>
        <w:pStyle w:val="StyleRight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Iesniedzēja</w:t>
      </w:r>
      <w:r w:rsidR="004D15A9" w:rsidRPr="005D6754">
        <w:rPr>
          <w:sz w:val="24"/>
          <w:szCs w:val="24"/>
        </w:rPr>
        <w:t>:</w:t>
      </w:r>
    </w:p>
    <w:p w:rsidR="00BF74D5" w:rsidRPr="00BF74D5" w:rsidRDefault="009554CB" w:rsidP="00BF74D5">
      <w:pPr>
        <w:tabs>
          <w:tab w:val="left" w:pos="68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tieslietu ministra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p.i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Dace Melbārde</w:t>
      </w:r>
    </w:p>
    <w:p w:rsidR="00245D18" w:rsidRDefault="00245D18" w:rsidP="00DA5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D18" w:rsidRDefault="00245D18" w:rsidP="00DA5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5077" w:rsidRDefault="00F3289E" w:rsidP="00DA5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A84399">
        <w:rPr>
          <w:rFonts w:ascii="Times New Roman" w:hAnsi="Times New Roman" w:cs="Times New Roman"/>
          <w:sz w:val="20"/>
          <w:szCs w:val="20"/>
        </w:rPr>
        <w:t>.08</w:t>
      </w:r>
      <w:r w:rsidR="00562E1D">
        <w:rPr>
          <w:rFonts w:ascii="Times New Roman" w:hAnsi="Times New Roman" w:cs="Times New Roman"/>
          <w:sz w:val="20"/>
          <w:szCs w:val="20"/>
        </w:rPr>
        <w:t>.2016.</w:t>
      </w:r>
      <w:r w:rsidR="00245D18">
        <w:rPr>
          <w:rFonts w:ascii="Times New Roman" w:hAnsi="Times New Roman" w:cs="Times New Roman"/>
          <w:sz w:val="20"/>
          <w:szCs w:val="20"/>
        </w:rPr>
        <w:t xml:space="preserve"> </w:t>
      </w:r>
      <w:r w:rsidR="00F76D16">
        <w:rPr>
          <w:rFonts w:ascii="Times New Roman" w:hAnsi="Times New Roman" w:cs="Times New Roman"/>
          <w:sz w:val="20"/>
          <w:szCs w:val="20"/>
        </w:rPr>
        <w:t>09</w:t>
      </w:r>
      <w:r w:rsidR="00245D18">
        <w:rPr>
          <w:rFonts w:ascii="Times New Roman" w:hAnsi="Times New Roman" w:cs="Times New Roman"/>
          <w:sz w:val="20"/>
          <w:szCs w:val="20"/>
        </w:rPr>
        <w:t>:</w:t>
      </w:r>
      <w:r w:rsidR="00F76D16">
        <w:rPr>
          <w:rFonts w:ascii="Times New Roman" w:hAnsi="Times New Roman" w:cs="Times New Roman"/>
          <w:sz w:val="20"/>
          <w:szCs w:val="20"/>
        </w:rPr>
        <w:t>58</w:t>
      </w:r>
    </w:p>
    <w:p w:rsidR="00245D18" w:rsidRDefault="00C57281" w:rsidP="00DA5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9554CB">
        <w:rPr>
          <w:rFonts w:ascii="Times New Roman" w:hAnsi="Times New Roman" w:cs="Times New Roman"/>
          <w:sz w:val="20"/>
          <w:szCs w:val="20"/>
        </w:rPr>
        <w:t>40</w:t>
      </w:r>
    </w:p>
    <w:p w:rsidR="00245D18" w:rsidRPr="00245D18" w:rsidRDefault="00245D18" w:rsidP="00245D18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245D18">
        <w:rPr>
          <w:rFonts w:ascii="Times New Roman" w:hAnsi="Times New Roman" w:cs="Times New Roman"/>
          <w:noProof/>
          <w:sz w:val="20"/>
          <w:szCs w:val="20"/>
        </w:rPr>
        <w:t>D.</w:t>
      </w:r>
      <w:r w:rsidR="00C4629B">
        <w:rPr>
          <w:rFonts w:ascii="Times New Roman" w:hAnsi="Times New Roman" w:cs="Times New Roman"/>
          <w:noProof/>
          <w:sz w:val="20"/>
          <w:szCs w:val="20"/>
        </w:rPr>
        <w:t> </w:t>
      </w:r>
      <w:r w:rsidRPr="00245D18">
        <w:rPr>
          <w:rFonts w:ascii="Times New Roman" w:hAnsi="Times New Roman" w:cs="Times New Roman"/>
          <w:noProof/>
          <w:sz w:val="20"/>
          <w:szCs w:val="20"/>
        </w:rPr>
        <w:t>Obuka</w:t>
      </w:r>
    </w:p>
    <w:p w:rsidR="001F5C8A" w:rsidRPr="005D6754" w:rsidRDefault="00245D18" w:rsidP="009E7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D18">
        <w:rPr>
          <w:rFonts w:ascii="Times New Roman" w:hAnsi="Times New Roman" w:cs="Times New Roman"/>
          <w:noProof/>
          <w:sz w:val="20"/>
          <w:szCs w:val="20"/>
        </w:rPr>
        <w:t>67036833, Daina.Obuka@tm.gov.lv</w:t>
      </w:r>
      <w:bookmarkStart w:id="0" w:name="_GoBack"/>
      <w:bookmarkEnd w:id="0"/>
    </w:p>
    <w:sectPr w:rsidR="001F5C8A" w:rsidRPr="005D6754" w:rsidSect="004D15A9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EC2" w:rsidRDefault="00F26EC2" w:rsidP="004D15A9">
      <w:pPr>
        <w:spacing w:after="0" w:line="240" w:lineRule="auto"/>
      </w:pPr>
      <w:r>
        <w:separator/>
      </w:r>
    </w:p>
  </w:endnote>
  <w:endnote w:type="continuationSeparator" w:id="0">
    <w:p w:rsidR="00F26EC2" w:rsidRDefault="00F26EC2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6F" w:rsidRDefault="00A26705" w:rsidP="00A87A6F">
    <w:pPr>
      <w:pStyle w:val="Kjene"/>
      <w:jc w:val="both"/>
    </w:pPr>
    <w:r>
      <w:rPr>
        <w:rFonts w:ascii="Times New Roman" w:hAnsi="Times New Roman" w:cs="Times New Roman"/>
        <w:color w:val="000000" w:themeColor="text1"/>
        <w:sz w:val="20"/>
        <w:szCs w:val="20"/>
      </w:rPr>
      <w:t>TMAnot_</w:t>
    </w:r>
    <w:r w:rsidR="00F3289E">
      <w:rPr>
        <w:rFonts w:ascii="Times New Roman" w:hAnsi="Times New Roman" w:cs="Times New Roman"/>
        <w:color w:val="000000" w:themeColor="text1"/>
        <w:sz w:val="20"/>
        <w:szCs w:val="20"/>
      </w:rPr>
      <w:t>17</w:t>
    </w:r>
    <w:r w:rsidR="00A84399">
      <w:rPr>
        <w:rFonts w:ascii="Times New Roman" w:hAnsi="Times New Roman" w:cs="Times New Roman"/>
        <w:color w:val="000000" w:themeColor="text1"/>
        <w:sz w:val="20"/>
        <w:szCs w:val="20"/>
      </w:rPr>
      <w:t>08</w:t>
    </w:r>
    <w:r w:rsidR="00595077">
      <w:rPr>
        <w:rFonts w:ascii="Times New Roman" w:hAnsi="Times New Roman" w:cs="Times New Roman"/>
        <w:color w:val="000000" w:themeColor="text1"/>
        <w:sz w:val="20"/>
        <w:szCs w:val="20"/>
      </w:rPr>
      <w:t>16_organiz</w:t>
    </w:r>
    <w:r w:rsidR="00C2744A" w:rsidRPr="00C2744A">
      <w:rPr>
        <w:rFonts w:ascii="Times New Roman" w:hAnsi="Times New Roman" w:cs="Times New Roman"/>
        <w:color w:val="000000" w:themeColor="text1"/>
        <w:sz w:val="20"/>
        <w:szCs w:val="20"/>
      </w:rPr>
      <w:t xml:space="preserve">; Ministru kabineta noteikumu </w:t>
    </w:r>
    <w:r w:rsidR="00C4629B" w:rsidRPr="00C2744A">
      <w:rPr>
        <w:rFonts w:ascii="Times New Roman" w:hAnsi="Times New Roman" w:cs="Times New Roman"/>
        <w:color w:val="000000" w:themeColor="text1"/>
        <w:sz w:val="20"/>
        <w:szCs w:val="20"/>
      </w:rPr>
      <w:t xml:space="preserve">projekta </w:t>
    </w:r>
    <w:r w:rsidR="00C2744A" w:rsidRPr="00C2744A">
      <w:rPr>
        <w:rFonts w:ascii="Times New Roman" w:hAnsi="Times New Roman" w:cs="Times New Roman"/>
        <w:color w:val="000000" w:themeColor="text1"/>
        <w:sz w:val="20"/>
        <w:szCs w:val="20"/>
      </w:rPr>
      <w:t>“</w:t>
    </w:r>
    <w:r w:rsidR="00595077" w:rsidRPr="00595077">
      <w:rPr>
        <w:rFonts w:ascii="Times New Roman" w:hAnsi="Times New Roman" w:cs="Times New Roman"/>
        <w:color w:val="000000" w:themeColor="text1"/>
        <w:sz w:val="20"/>
        <w:szCs w:val="20"/>
      </w:rPr>
      <w:t>Tiesu ekspertīžu organizēšanas kārtība</w:t>
    </w:r>
    <w:r w:rsidR="00C2744A" w:rsidRPr="00C2744A">
      <w:rPr>
        <w:rFonts w:ascii="Times New Roman" w:hAnsi="Times New Roman" w:cs="Times New Roman"/>
        <w:color w:val="000000" w:themeColor="text1"/>
        <w:sz w:val="20"/>
        <w:szCs w:val="20"/>
      </w:rPr>
      <w:t>” sākotnējās ietekmes novērtējuma ziņojums (anotācija)</w:t>
    </w:r>
    <w:r w:rsidR="00A87A6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DC" w:rsidRPr="004E005B" w:rsidRDefault="002D16D7" w:rsidP="002D16D7">
    <w:pPr>
      <w:pStyle w:val="Kjene"/>
      <w:jc w:val="both"/>
    </w:pPr>
    <w:r>
      <w:rPr>
        <w:rFonts w:ascii="Times New Roman" w:hAnsi="Times New Roman" w:cs="Times New Roman"/>
        <w:color w:val="000000" w:themeColor="text1"/>
        <w:sz w:val="20"/>
        <w:szCs w:val="20"/>
      </w:rPr>
      <w:t>TMAnot_</w:t>
    </w:r>
    <w:r w:rsidR="00F3289E">
      <w:rPr>
        <w:rFonts w:ascii="Times New Roman" w:hAnsi="Times New Roman" w:cs="Times New Roman"/>
        <w:color w:val="000000" w:themeColor="text1"/>
        <w:sz w:val="20"/>
        <w:szCs w:val="20"/>
      </w:rPr>
      <w:t>17</w:t>
    </w:r>
    <w:r w:rsidR="0011058E">
      <w:rPr>
        <w:rFonts w:ascii="Times New Roman" w:hAnsi="Times New Roman" w:cs="Times New Roman"/>
        <w:color w:val="000000" w:themeColor="text1"/>
        <w:sz w:val="20"/>
        <w:szCs w:val="20"/>
      </w:rPr>
      <w:t>08</w:t>
    </w:r>
    <w:r>
      <w:rPr>
        <w:rFonts w:ascii="Times New Roman" w:hAnsi="Times New Roman" w:cs="Times New Roman"/>
        <w:color w:val="000000" w:themeColor="text1"/>
        <w:sz w:val="20"/>
        <w:szCs w:val="20"/>
      </w:rPr>
      <w:t>16_organiz</w:t>
    </w:r>
    <w:r w:rsidRPr="00C2744A">
      <w:rPr>
        <w:rFonts w:ascii="Times New Roman" w:hAnsi="Times New Roman" w:cs="Times New Roman"/>
        <w:color w:val="000000" w:themeColor="text1"/>
        <w:sz w:val="20"/>
        <w:szCs w:val="20"/>
      </w:rPr>
      <w:t xml:space="preserve">; Ministru kabineta noteikumu </w:t>
    </w:r>
    <w:r w:rsidR="00C4629B" w:rsidRPr="00C2744A">
      <w:rPr>
        <w:rFonts w:ascii="Times New Roman" w:hAnsi="Times New Roman" w:cs="Times New Roman"/>
        <w:color w:val="000000" w:themeColor="text1"/>
        <w:sz w:val="20"/>
        <w:szCs w:val="20"/>
      </w:rPr>
      <w:t xml:space="preserve">projekta </w:t>
    </w:r>
    <w:r w:rsidRPr="00C2744A">
      <w:rPr>
        <w:rFonts w:ascii="Times New Roman" w:hAnsi="Times New Roman" w:cs="Times New Roman"/>
        <w:color w:val="000000" w:themeColor="text1"/>
        <w:sz w:val="20"/>
        <w:szCs w:val="20"/>
      </w:rPr>
      <w:t>“</w:t>
    </w:r>
    <w:r w:rsidRPr="00595077">
      <w:rPr>
        <w:rFonts w:ascii="Times New Roman" w:hAnsi="Times New Roman" w:cs="Times New Roman"/>
        <w:color w:val="000000" w:themeColor="text1"/>
        <w:sz w:val="20"/>
        <w:szCs w:val="20"/>
      </w:rPr>
      <w:t>Tiesu ekspertīžu organizēšanas kārtība</w:t>
    </w:r>
    <w:r w:rsidRPr="00C2744A">
      <w:rPr>
        <w:rFonts w:ascii="Times New Roman" w:hAnsi="Times New Roman" w:cs="Times New Roman"/>
        <w:color w:val="000000" w:themeColor="text1"/>
        <w:sz w:val="20"/>
        <w:szCs w:val="20"/>
      </w:rPr>
      <w:t>” sākotnējās ietekmes novērtējuma ziņojums (anotācija)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EC2" w:rsidRDefault="00F26EC2" w:rsidP="004D15A9">
      <w:pPr>
        <w:spacing w:after="0" w:line="240" w:lineRule="auto"/>
      </w:pPr>
      <w:r>
        <w:separator/>
      </w:r>
    </w:p>
  </w:footnote>
  <w:footnote w:type="continuationSeparator" w:id="0">
    <w:p w:rsidR="00F26EC2" w:rsidRDefault="00F26EC2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0BDC" w:rsidRPr="004D15A9" w:rsidRDefault="006316DD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E0BDC"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1F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0BDC" w:rsidRDefault="008E0BD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E0B5F"/>
    <w:multiLevelType w:val="hybridMultilevel"/>
    <w:tmpl w:val="6E44ADFE"/>
    <w:lvl w:ilvl="0" w:tplc="2C3E975E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62" w:hanging="360"/>
      </w:pPr>
    </w:lvl>
    <w:lvl w:ilvl="2" w:tplc="0426001B" w:tentative="1">
      <w:start w:val="1"/>
      <w:numFmt w:val="lowerRoman"/>
      <w:lvlText w:val="%3."/>
      <w:lvlJc w:val="right"/>
      <w:pPr>
        <w:ind w:left="2482" w:hanging="180"/>
      </w:pPr>
    </w:lvl>
    <w:lvl w:ilvl="3" w:tplc="0426000F" w:tentative="1">
      <w:start w:val="1"/>
      <w:numFmt w:val="decimal"/>
      <w:lvlText w:val="%4."/>
      <w:lvlJc w:val="left"/>
      <w:pPr>
        <w:ind w:left="3202" w:hanging="360"/>
      </w:pPr>
    </w:lvl>
    <w:lvl w:ilvl="4" w:tplc="04260019" w:tentative="1">
      <w:start w:val="1"/>
      <w:numFmt w:val="lowerLetter"/>
      <w:lvlText w:val="%5."/>
      <w:lvlJc w:val="left"/>
      <w:pPr>
        <w:ind w:left="3922" w:hanging="360"/>
      </w:pPr>
    </w:lvl>
    <w:lvl w:ilvl="5" w:tplc="0426001B" w:tentative="1">
      <w:start w:val="1"/>
      <w:numFmt w:val="lowerRoman"/>
      <w:lvlText w:val="%6."/>
      <w:lvlJc w:val="right"/>
      <w:pPr>
        <w:ind w:left="4642" w:hanging="180"/>
      </w:pPr>
    </w:lvl>
    <w:lvl w:ilvl="6" w:tplc="0426000F" w:tentative="1">
      <w:start w:val="1"/>
      <w:numFmt w:val="decimal"/>
      <w:lvlText w:val="%7."/>
      <w:lvlJc w:val="left"/>
      <w:pPr>
        <w:ind w:left="5362" w:hanging="360"/>
      </w:pPr>
    </w:lvl>
    <w:lvl w:ilvl="7" w:tplc="04260019" w:tentative="1">
      <w:start w:val="1"/>
      <w:numFmt w:val="lowerLetter"/>
      <w:lvlText w:val="%8."/>
      <w:lvlJc w:val="left"/>
      <w:pPr>
        <w:ind w:left="6082" w:hanging="360"/>
      </w:pPr>
    </w:lvl>
    <w:lvl w:ilvl="8" w:tplc="0426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41F90"/>
    <w:multiLevelType w:val="hybridMultilevel"/>
    <w:tmpl w:val="DB0291D8"/>
    <w:lvl w:ilvl="0" w:tplc="27381B68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62" w:hanging="360"/>
      </w:pPr>
    </w:lvl>
    <w:lvl w:ilvl="2" w:tplc="0426001B" w:tentative="1">
      <w:start w:val="1"/>
      <w:numFmt w:val="lowerRoman"/>
      <w:lvlText w:val="%3."/>
      <w:lvlJc w:val="right"/>
      <w:pPr>
        <w:ind w:left="2482" w:hanging="180"/>
      </w:pPr>
    </w:lvl>
    <w:lvl w:ilvl="3" w:tplc="0426000F" w:tentative="1">
      <w:start w:val="1"/>
      <w:numFmt w:val="decimal"/>
      <w:lvlText w:val="%4."/>
      <w:lvlJc w:val="left"/>
      <w:pPr>
        <w:ind w:left="3202" w:hanging="360"/>
      </w:pPr>
    </w:lvl>
    <w:lvl w:ilvl="4" w:tplc="04260019" w:tentative="1">
      <w:start w:val="1"/>
      <w:numFmt w:val="lowerLetter"/>
      <w:lvlText w:val="%5."/>
      <w:lvlJc w:val="left"/>
      <w:pPr>
        <w:ind w:left="3922" w:hanging="360"/>
      </w:pPr>
    </w:lvl>
    <w:lvl w:ilvl="5" w:tplc="0426001B" w:tentative="1">
      <w:start w:val="1"/>
      <w:numFmt w:val="lowerRoman"/>
      <w:lvlText w:val="%6."/>
      <w:lvlJc w:val="right"/>
      <w:pPr>
        <w:ind w:left="4642" w:hanging="180"/>
      </w:pPr>
    </w:lvl>
    <w:lvl w:ilvl="6" w:tplc="0426000F" w:tentative="1">
      <w:start w:val="1"/>
      <w:numFmt w:val="decimal"/>
      <w:lvlText w:val="%7."/>
      <w:lvlJc w:val="left"/>
      <w:pPr>
        <w:ind w:left="5362" w:hanging="360"/>
      </w:pPr>
    </w:lvl>
    <w:lvl w:ilvl="7" w:tplc="04260019" w:tentative="1">
      <w:start w:val="1"/>
      <w:numFmt w:val="lowerLetter"/>
      <w:lvlText w:val="%8."/>
      <w:lvlJc w:val="left"/>
      <w:pPr>
        <w:ind w:left="6082" w:hanging="360"/>
      </w:pPr>
    </w:lvl>
    <w:lvl w:ilvl="8" w:tplc="0426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A9"/>
    <w:rsid w:val="00024D19"/>
    <w:rsid w:val="00027FBE"/>
    <w:rsid w:val="00031256"/>
    <w:rsid w:val="00067227"/>
    <w:rsid w:val="00083D1C"/>
    <w:rsid w:val="000962AE"/>
    <w:rsid w:val="000E0D39"/>
    <w:rsid w:val="000F0249"/>
    <w:rsid w:val="000F06BE"/>
    <w:rsid w:val="000F3ADB"/>
    <w:rsid w:val="000F5B7F"/>
    <w:rsid w:val="00101CD5"/>
    <w:rsid w:val="0011058E"/>
    <w:rsid w:val="0015560C"/>
    <w:rsid w:val="001775B6"/>
    <w:rsid w:val="00192433"/>
    <w:rsid w:val="001A5049"/>
    <w:rsid w:val="001B4B62"/>
    <w:rsid w:val="001B58AB"/>
    <w:rsid w:val="001C174F"/>
    <w:rsid w:val="001F5C8A"/>
    <w:rsid w:val="00206AC9"/>
    <w:rsid w:val="0022669D"/>
    <w:rsid w:val="00245D18"/>
    <w:rsid w:val="002547E8"/>
    <w:rsid w:val="002768D0"/>
    <w:rsid w:val="002B206A"/>
    <w:rsid w:val="002C1C11"/>
    <w:rsid w:val="002C5BD0"/>
    <w:rsid w:val="002D16D7"/>
    <w:rsid w:val="00305FFC"/>
    <w:rsid w:val="00311F93"/>
    <w:rsid w:val="003245D4"/>
    <w:rsid w:val="003315F5"/>
    <w:rsid w:val="0038051B"/>
    <w:rsid w:val="00387F7A"/>
    <w:rsid w:val="0039067E"/>
    <w:rsid w:val="003922B0"/>
    <w:rsid w:val="003A2A0B"/>
    <w:rsid w:val="003A3E66"/>
    <w:rsid w:val="003A6842"/>
    <w:rsid w:val="003C4BC1"/>
    <w:rsid w:val="003C54E6"/>
    <w:rsid w:val="003F2121"/>
    <w:rsid w:val="004222F4"/>
    <w:rsid w:val="00436D74"/>
    <w:rsid w:val="00443104"/>
    <w:rsid w:val="00450BA0"/>
    <w:rsid w:val="00461275"/>
    <w:rsid w:val="00493BEE"/>
    <w:rsid w:val="004A7A07"/>
    <w:rsid w:val="004B31CC"/>
    <w:rsid w:val="004B3A7C"/>
    <w:rsid w:val="004C2774"/>
    <w:rsid w:val="004D15A9"/>
    <w:rsid w:val="004E005B"/>
    <w:rsid w:val="00511582"/>
    <w:rsid w:val="00515CEE"/>
    <w:rsid w:val="0053300B"/>
    <w:rsid w:val="00562E1D"/>
    <w:rsid w:val="005947A5"/>
    <w:rsid w:val="00595077"/>
    <w:rsid w:val="00596A51"/>
    <w:rsid w:val="005B4982"/>
    <w:rsid w:val="005D4E8A"/>
    <w:rsid w:val="005D6754"/>
    <w:rsid w:val="005F46AA"/>
    <w:rsid w:val="00612A92"/>
    <w:rsid w:val="006316DD"/>
    <w:rsid w:val="006445B3"/>
    <w:rsid w:val="00646DB7"/>
    <w:rsid w:val="00676A0D"/>
    <w:rsid w:val="006A29FC"/>
    <w:rsid w:val="006B541D"/>
    <w:rsid w:val="00700743"/>
    <w:rsid w:val="00705F59"/>
    <w:rsid w:val="0070771E"/>
    <w:rsid w:val="00737E62"/>
    <w:rsid w:val="00760AA6"/>
    <w:rsid w:val="00786068"/>
    <w:rsid w:val="00792AD6"/>
    <w:rsid w:val="00797770"/>
    <w:rsid w:val="007A556C"/>
    <w:rsid w:val="007C3357"/>
    <w:rsid w:val="007D720B"/>
    <w:rsid w:val="0081203F"/>
    <w:rsid w:val="00812C96"/>
    <w:rsid w:val="008363BD"/>
    <w:rsid w:val="00841836"/>
    <w:rsid w:val="0088482B"/>
    <w:rsid w:val="0088619F"/>
    <w:rsid w:val="008B401D"/>
    <w:rsid w:val="008E0BDC"/>
    <w:rsid w:val="008E15D1"/>
    <w:rsid w:val="008E4E93"/>
    <w:rsid w:val="00903C31"/>
    <w:rsid w:val="00915D25"/>
    <w:rsid w:val="00921FA4"/>
    <w:rsid w:val="009229BA"/>
    <w:rsid w:val="0092386C"/>
    <w:rsid w:val="00933BE7"/>
    <w:rsid w:val="0093424C"/>
    <w:rsid w:val="009554CB"/>
    <w:rsid w:val="0097690A"/>
    <w:rsid w:val="00982EF1"/>
    <w:rsid w:val="00997954"/>
    <w:rsid w:val="009B1C57"/>
    <w:rsid w:val="009B22E7"/>
    <w:rsid w:val="009D762E"/>
    <w:rsid w:val="009E7FEE"/>
    <w:rsid w:val="00A0476C"/>
    <w:rsid w:val="00A05438"/>
    <w:rsid w:val="00A12E3C"/>
    <w:rsid w:val="00A14293"/>
    <w:rsid w:val="00A26705"/>
    <w:rsid w:val="00A36BB6"/>
    <w:rsid w:val="00A65A99"/>
    <w:rsid w:val="00A84399"/>
    <w:rsid w:val="00A85FC5"/>
    <w:rsid w:val="00A87A6F"/>
    <w:rsid w:val="00AB6562"/>
    <w:rsid w:val="00AC479D"/>
    <w:rsid w:val="00AC560A"/>
    <w:rsid w:val="00AD515C"/>
    <w:rsid w:val="00AD79DB"/>
    <w:rsid w:val="00AE1248"/>
    <w:rsid w:val="00AE232A"/>
    <w:rsid w:val="00AF28DF"/>
    <w:rsid w:val="00AF7828"/>
    <w:rsid w:val="00B057E0"/>
    <w:rsid w:val="00B14059"/>
    <w:rsid w:val="00B15E67"/>
    <w:rsid w:val="00B548F5"/>
    <w:rsid w:val="00BA73F5"/>
    <w:rsid w:val="00BB1F46"/>
    <w:rsid w:val="00BF3144"/>
    <w:rsid w:val="00BF74D5"/>
    <w:rsid w:val="00C13F74"/>
    <w:rsid w:val="00C26B76"/>
    <w:rsid w:val="00C2744A"/>
    <w:rsid w:val="00C4629B"/>
    <w:rsid w:val="00C57281"/>
    <w:rsid w:val="00C6468B"/>
    <w:rsid w:val="00C858FF"/>
    <w:rsid w:val="00CB6BF8"/>
    <w:rsid w:val="00CF7F1B"/>
    <w:rsid w:val="00D10217"/>
    <w:rsid w:val="00D13643"/>
    <w:rsid w:val="00D2479D"/>
    <w:rsid w:val="00D2736B"/>
    <w:rsid w:val="00D313D5"/>
    <w:rsid w:val="00D35C06"/>
    <w:rsid w:val="00D465E4"/>
    <w:rsid w:val="00D64574"/>
    <w:rsid w:val="00D92106"/>
    <w:rsid w:val="00DA4D5E"/>
    <w:rsid w:val="00DA596D"/>
    <w:rsid w:val="00DB4152"/>
    <w:rsid w:val="00DC2810"/>
    <w:rsid w:val="00DE3B98"/>
    <w:rsid w:val="00DE78C6"/>
    <w:rsid w:val="00DF0C35"/>
    <w:rsid w:val="00DF27D7"/>
    <w:rsid w:val="00E71F1F"/>
    <w:rsid w:val="00E71FAB"/>
    <w:rsid w:val="00E82971"/>
    <w:rsid w:val="00EA26B1"/>
    <w:rsid w:val="00EA26D0"/>
    <w:rsid w:val="00EC65D6"/>
    <w:rsid w:val="00ED573E"/>
    <w:rsid w:val="00ED6829"/>
    <w:rsid w:val="00EF32D9"/>
    <w:rsid w:val="00F074FC"/>
    <w:rsid w:val="00F16226"/>
    <w:rsid w:val="00F26EC2"/>
    <w:rsid w:val="00F275CD"/>
    <w:rsid w:val="00F3289E"/>
    <w:rsid w:val="00F503D5"/>
    <w:rsid w:val="00F6796E"/>
    <w:rsid w:val="00F764EC"/>
    <w:rsid w:val="00F76D16"/>
    <w:rsid w:val="00F81282"/>
    <w:rsid w:val="00F945B9"/>
    <w:rsid w:val="00F9778B"/>
    <w:rsid w:val="00F97A1E"/>
    <w:rsid w:val="00FC125F"/>
    <w:rsid w:val="00FD26E5"/>
    <w:rsid w:val="00FD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Parasts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Parasts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AB656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E4E93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26B76"/>
    <w:rPr>
      <w:color w:val="800080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1C17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1C17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1C17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C17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C17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Parasts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Parasts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AB656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E4E93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26B76"/>
    <w:rPr>
      <w:color w:val="800080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1C17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1C17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1C17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C17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C17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4FB3-B5CA-45C1-B6DB-F92775B7167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54CF07-2A34-4A95-9EF8-260456283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E87B98C-033F-446D-92C1-5D3DFDE10F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138041-0365-4EE8-9417-703270C5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3923</Words>
  <Characters>2237</Characters>
  <Application>Microsoft Office Word</Application>
  <DocSecurity>4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“Tiesu ekspertīžu organizēšanas kārtība” sākotnējās ietekmes novērtējuma ziņojums (anotācija)</vt:lpstr>
      <vt:lpstr>Ministru kabineta noteikumu projekta “Tiesu ekspertīžu organizēšanas kārtība” sākotnējās ietekmes novērtējuma ziņojums (anotācija)</vt:lpstr>
    </vt:vector>
  </TitlesOfParts>
  <Company>Tieslietu ministrija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“Tiesu ekspertīžu organizēšanas kārtība” sākotnējās ietekmes novērtējuma ziņojums (anotācija)</dc:title>
  <dc:subject>Anotācija</dc:subject>
  <dc:creator>Daina Obuka</dc:creator>
  <dc:description>67036833; Daina.Obuka@tm.gov.lv</dc:description>
  <cp:lastModifiedBy>Janis Abols</cp:lastModifiedBy>
  <cp:revision>2</cp:revision>
  <cp:lastPrinted>2013-12-16T08:57:00Z</cp:lastPrinted>
  <dcterms:created xsi:type="dcterms:W3CDTF">2016-08-18T07:20:00Z</dcterms:created>
  <dcterms:modified xsi:type="dcterms:W3CDTF">2016-08-18T07:20:00Z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