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41933" w14:textId="7B3240EF" w:rsidR="00A574F7" w:rsidRPr="008A78CD" w:rsidRDefault="00A574F7" w:rsidP="00A574F7">
      <w:pPr>
        <w:jc w:val="center"/>
        <w:rPr>
          <w:b/>
          <w:bCs/>
          <w:sz w:val="28"/>
          <w:szCs w:val="28"/>
        </w:rPr>
      </w:pPr>
      <w:r w:rsidRPr="008A78CD">
        <w:rPr>
          <w:b/>
          <w:bCs/>
          <w:sz w:val="28"/>
          <w:szCs w:val="28"/>
        </w:rPr>
        <w:t xml:space="preserve">Ministru kabineta noteikumu </w:t>
      </w:r>
      <w:r w:rsidR="004A1543">
        <w:rPr>
          <w:b/>
          <w:bCs/>
          <w:sz w:val="28"/>
          <w:szCs w:val="28"/>
        </w:rPr>
        <w:t>projekta</w:t>
      </w:r>
    </w:p>
    <w:p w14:paraId="0B6FA931" w14:textId="00518F93" w:rsidR="003D15C9" w:rsidRPr="00D7005D" w:rsidRDefault="005844FA" w:rsidP="003D15C9">
      <w:pPr>
        <w:jc w:val="both"/>
        <w:rPr>
          <w:b/>
          <w:sz w:val="28"/>
          <w:szCs w:val="28"/>
          <w:lang w:eastAsia="x-none"/>
        </w:rPr>
      </w:pPr>
      <w:r>
        <w:rPr>
          <w:lang w:eastAsia="x-none"/>
        </w:rPr>
        <w:t>„</w:t>
      </w:r>
      <w:r w:rsidR="00A574F7" w:rsidRPr="004558DE">
        <w:rPr>
          <w:b/>
          <w:bCs/>
          <w:sz w:val="28"/>
          <w:szCs w:val="28"/>
        </w:rPr>
        <w:t>Grozījum</w:t>
      </w:r>
      <w:r w:rsidR="00804A5D">
        <w:rPr>
          <w:b/>
          <w:bCs/>
          <w:sz w:val="28"/>
          <w:szCs w:val="28"/>
        </w:rPr>
        <w:t>i</w:t>
      </w:r>
      <w:r w:rsidR="00A574F7" w:rsidRPr="004558DE">
        <w:rPr>
          <w:b/>
          <w:bCs/>
          <w:sz w:val="28"/>
          <w:szCs w:val="28"/>
        </w:rPr>
        <w:t xml:space="preserve"> </w:t>
      </w:r>
      <w:r w:rsidR="003D15C9" w:rsidRPr="004558DE">
        <w:rPr>
          <w:b/>
          <w:sz w:val="28"/>
          <w:szCs w:val="28"/>
          <w:lang w:eastAsia="x-none"/>
        </w:rPr>
        <w:t>Ministru</w:t>
      </w:r>
      <w:r w:rsidR="003D15C9" w:rsidRPr="00D7005D">
        <w:rPr>
          <w:b/>
          <w:sz w:val="28"/>
          <w:szCs w:val="28"/>
          <w:lang w:eastAsia="x-none"/>
        </w:rPr>
        <w:t xml:space="preserve"> kabineta 2009.</w:t>
      </w:r>
      <w:r w:rsidR="00A70196">
        <w:rPr>
          <w:b/>
          <w:sz w:val="28"/>
          <w:szCs w:val="28"/>
          <w:lang w:eastAsia="x-none"/>
        </w:rPr>
        <w:t> </w:t>
      </w:r>
      <w:r w:rsidR="003D15C9" w:rsidRPr="00D7005D">
        <w:rPr>
          <w:b/>
          <w:sz w:val="28"/>
          <w:szCs w:val="28"/>
          <w:lang w:eastAsia="x-none"/>
        </w:rPr>
        <w:t>gada 27.</w:t>
      </w:r>
      <w:r w:rsidR="00A70196">
        <w:rPr>
          <w:b/>
          <w:sz w:val="28"/>
          <w:szCs w:val="28"/>
          <w:lang w:eastAsia="x-none"/>
        </w:rPr>
        <w:t> </w:t>
      </w:r>
      <w:r w:rsidR="003D15C9" w:rsidRPr="00D7005D">
        <w:rPr>
          <w:b/>
          <w:sz w:val="28"/>
          <w:szCs w:val="28"/>
          <w:lang w:eastAsia="x-none"/>
        </w:rPr>
        <w:t>oktobra noteikumos Nr.</w:t>
      </w:r>
      <w:r w:rsidR="00A70196">
        <w:rPr>
          <w:b/>
          <w:sz w:val="28"/>
          <w:szCs w:val="28"/>
          <w:lang w:eastAsia="x-none"/>
        </w:rPr>
        <w:t> </w:t>
      </w:r>
      <w:r w:rsidR="003D15C9" w:rsidRPr="00D7005D">
        <w:rPr>
          <w:b/>
          <w:sz w:val="28"/>
          <w:szCs w:val="28"/>
          <w:lang w:eastAsia="x-none"/>
        </w:rPr>
        <w:t>1227 „Noteikumi par regulējamiem sabiedrisko pakalpojumu veidiem””</w:t>
      </w:r>
    </w:p>
    <w:p w14:paraId="459FFEEE" w14:textId="77777777" w:rsidR="00A574F7" w:rsidRPr="008A78CD" w:rsidRDefault="00A574F7" w:rsidP="00A574F7">
      <w:pPr>
        <w:jc w:val="center"/>
        <w:rPr>
          <w:b/>
          <w:bCs/>
          <w:sz w:val="28"/>
          <w:szCs w:val="28"/>
        </w:rPr>
      </w:pPr>
      <w:r w:rsidRPr="008A78CD">
        <w:rPr>
          <w:b/>
          <w:bCs/>
          <w:sz w:val="28"/>
          <w:szCs w:val="28"/>
        </w:rPr>
        <w:t>sākotnējās ietekmes novērtējuma ziņojums (anotācija)</w:t>
      </w:r>
    </w:p>
    <w:p w14:paraId="2603C85B" w14:textId="77777777" w:rsidR="00A574F7" w:rsidRPr="008A78CD" w:rsidRDefault="00A574F7" w:rsidP="00A574F7">
      <w:pPr>
        <w:ind w:firstLine="301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2"/>
        <w:gridCol w:w="5870"/>
      </w:tblGrid>
      <w:tr w:rsidR="00A574F7" w:rsidRPr="008A78CD" w14:paraId="0E0331E9" w14:textId="77777777" w:rsidTr="00730921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57B2D" w14:textId="77777777" w:rsidR="00A574F7" w:rsidRPr="008A78CD" w:rsidRDefault="00A574F7" w:rsidP="00A574F7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8A78CD">
              <w:rPr>
                <w:b/>
                <w:bCs/>
              </w:rPr>
              <w:t>I. Tiesību akta projekta izstrādes nepieciešamība</w:t>
            </w:r>
          </w:p>
        </w:tc>
      </w:tr>
      <w:tr w:rsidR="00A574F7" w:rsidRPr="008A78CD" w14:paraId="64E9AFF0" w14:textId="77777777" w:rsidTr="002761EF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E72D7" w14:textId="77777777" w:rsidR="00A574F7" w:rsidRPr="008A78CD" w:rsidRDefault="00A574F7" w:rsidP="00002813">
            <w:pPr>
              <w:spacing w:before="100" w:beforeAutospacing="1" w:after="100" w:afterAutospacing="1" w:line="360" w:lineRule="auto"/>
              <w:jc w:val="center"/>
            </w:pPr>
            <w:r w:rsidRPr="008A78CD"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8689C" w14:textId="77777777" w:rsidR="00A574F7" w:rsidRPr="008A78CD" w:rsidRDefault="00A574F7" w:rsidP="00A574F7">
            <w:r w:rsidRPr="008A78CD">
              <w:t>Pamatojums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68AB0" w14:textId="5916D18D" w:rsidR="00E37350" w:rsidRPr="0008449C" w:rsidRDefault="005438AA" w:rsidP="00304E4B">
            <w:pPr>
              <w:spacing w:before="120"/>
              <w:jc w:val="both"/>
            </w:pPr>
            <w:r w:rsidRPr="0008449C">
              <w:t>Saskaņā ar likum</w:t>
            </w:r>
            <w:r w:rsidR="00F44243">
              <w:t>a</w:t>
            </w:r>
            <w:r w:rsidRPr="0008449C">
              <w:t xml:space="preserve"> </w:t>
            </w:r>
            <w:r w:rsidR="005844FA">
              <w:rPr>
                <w:lang w:eastAsia="x-none"/>
              </w:rPr>
              <w:t>„</w:t>
            </w:r>
            <w:r w:rsidRPr="0008449C">
              <w:t xml:space="preserve">Par sabiedrisko pakalpojumu regulatoriem” </w:t>
            </w:r>
            <w:r w:rsidR="00E37350" w:rsidRPr="0008449C">
              <w:t xml:space="preserve">(turpmāk - Likums) </w:t>
            </w:r>
            <w:r w:rsidRPr="0008449C">
              <w:t>2.</w:t>
            </w:r>
            <w:r w:rsidR="00A70196">
              <w:t> </w:t>
            </w:r>
            <w:r w:rsidRPr="0008449C">
              <w:t>panta ceturto daļu, to sabiedrisko pakalpojumu veidus, kuru sniegšanu nepieciešams regulēt regulējamās nozarēs</w:t>
            </w:r>
            <w:r w:rsidR="00F44243">
              <w:t>,</w:t>
            </w:r>
            <w:r w:rsidRPr="0008449C">
              <w:t xml:space="preserve"> nosaka Ministru kabinets.</w:t>
            </w:r>
          </w:p>
          <w:p w14:paraId="1F98D279" w14:textId="2372AE78" w:rsidR="008E151B" w:rsidRDefault="008E151B" w:rsidP="00A70196">
            <w:pPr>
              <w:spacing w:before="120"/>
              <w:jc w:val="both"/>
            </w:pPr>
            <w:r>
              <w:t>2016.</w:t>
            </w:r>
            <w:r w:rsidR="002761EF">
              <w:t> </w:t>
            </w:r>
            <w:r>
              <w:t>gada 22.</w:t>
            </w:r>
            <w:r w:rsidR="002761EF">
              <w:t> </w:t>
            </w:r>
            <w:r>
              <w:t>jūnijā stājās spēkā likums „Grozījumi Elektroenerģijas tirgus likumā”, kas nosaka pieprasījuma reakcijas pakalpojumu kā vienu no regulējamo sabiedrisko pakalpojuma veidiem elektroenerģijas apgādes jomā.</w:t>
            </w:r>
          </w:p>
          <w:p w14:paraId="0CC02975" w14:textId="44CF2008" w:rsidR="000F2011" w:rsidRDefault="000F2011" w:rsidP="00A70196">
            <w:pPr>
              <w:spacing w:before="120"/>
              <w:jc w:val="both"/>
            </w:pPr>
            <w:r>
              <w:t>2016.</w:t>
            </w:r>
            <w:r w:rsidR="00A70196">
              <w:t> </w:t>
            </w:r>
            <w:r>
              <w:t>gada 1.</w:t>
            </w:r>
            <w:r w:rsidR="00A70196">
              <w:t> </w:t>
            </w:r>
            <w:r>
              <w:t xml:space="preserve">janvārī stājās spēkā Ūdenssaimniecības pakalpojumu likums, kurš noteic terminu </w:t>
            </w:r>
            <w:r w:rsidR="005844FA">
              <w:rPr>
                <w:lang w:eastAsia="x-none"/>
              </w:rPr>
              <w:t>„</w:t>
            </w:r>
            <w:r>
              <w:t>sabiedriskie ūdenssaimniecības pakalpojumi”</w:t>
            </w:r>
            <w:r w:rsidR="00F44243">
              <w:t>, kurā ir ietverti sabiedrisko ūdenssaimniecības pakalpojumu veidi.</w:t>
            </w:r>
          </w:p>
          <w:p w14:paraId="7FD9E316" w14:textId="0EC01721" w:rsidR="0033054F" w:rsidRPr="008A78CD" w:rsidRDefault="0033054F" w:rsidP="00A70196">
            <w:pPr>
              <w:spacing w:before="120"/>
              <w:jc w:val="both"/>
            </w:pPr>
          </w:p>
        </w:tc>
      </w:tr>
      <w:tr w:rsidR="00A574F7" w:rsidRPr="008A78CD" w14:paraId="6026E48A" w14:textId="77777777" w:rsidTr="002761EF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F6838" w14:textId="2FD2652F" w:rsidR="00A574F7" w:rsidRPr="008A78CD" w:rsidRDefault="00A574F7" w:rsidP="00002813">
            <w:pPr>
              <w:spacing w:before="100" w:beforeAutospacing="1" w:after="100" w:afterAutospacing="1" w:line="360" w:lineRule="auto"/>
              <w:jc w:val="center"/>
            </w:pPr>
            <w:r w:rsidRPr="008A78CD"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E2AFA" w14:textId="77777777" w:rsidR="00A574F7" w:rsidRPr="008A78CD" w:rsidRDefault="00A574F7" w:rsidP="00A574F7">
            <w:r w:rsidRPr="008A78CD">
              <w:t>Pašreizējā situācija un problēmas, kuru risināšanai tiesību akta projekts izstrādāts, tiesiskā regulējuma mērķis un būtība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6E8FA" w14:textId="57C7A9A6" w:rsidR="008E151B" w:rsidRDefault="008E151B" w:rsidP="00A70196">
            <w:pPr>
              <w:spacing w:before="120"/>
              <w:jc w:val="both"/>
            </w:pPr>
            <w:r>
              <w:t>Saskaņā ar likuma „Grozījumi Elektroenerģijas tirgus likumā” 59.</w:t>
            </w:r>
            <w:r w:rsidR="002761EF">
              <w:t> </w:t>
            </w:r>
            <w:r>
              <w:t>pantu Ministru kabinetam līdz 2017.</w:t>
            </w:r>
            <w:r w:rsidR="002761EF">
              <w:t> </w:t>
            </w:r>
            <w:r>
              <w:t>gada 1.</w:t>
            </w:r>
            <w:r w:rsidR="002761EF">
              <w:t> </w:t>
            </w:r>
            <w:r>
              <w:t>septembrim ir jāizdod grozījumi Ministru kabineta 2009.</w:t>
            </w:r>
            <w:r w:rsidR="002761EF">
              <w:t> </w:t>
            </w:r>
            <w:r>
              <w:t>gada 27.</w:t>
            </w:r>
            <w:r w:rsidR="002761EF">
              <w:t> </w:t>
            </w:r>
            <w:r>
              <w:t>oktobra noteikumos Nr.</w:t>
            </w:r>
            <w:r w:rsidR="002761EF">
              <w:t> </w:t>
            </w:r>
            <w:r>
              <w:t>1227 „Noteikumi par regulējamiem sabiedrisko pakalpojumu veidiem” par pieprasījuma reakcijas pakalpojumu iekļaušanu regulējamo sabiedrisko pakalpojumu veidos.</w:t>
            </w:r>
          </w:p>
          <w:p w14:paraId="57CBE6D6" w14:textId="4B248FF8" w:rsidR="000F2011" w:rsidRDefault="000F2011" w:rsidP="00A70196">
            <w:pPr>
              <w:spacing w:before="120"/>
              <w:jc w:val="both"/>
            </w:pPr>
            <w:r>
              <w:rPr>
                <w:rFonts w:eastAsiaTheme="minorHAnsi" w:cstheme="minorBidi"/>
                <w:lang w:eastAsia="en-US"/>
              </w:rPr>
              <w:t>Saskaņā ar Ūdenssaimniecības pakalpojumu likum</w:t>
            </w:r>
            <w:r w:rsidR="00D93090">
              <w:rPr>
                <w:rFonts w:eastAsiaTheme="minorHAnsi" w:cstheme="minorBidi"/>
                <w:lang w:eastAsia="en-US"/>
              </w:rPr>
              <w:t xml:space="preserve">a </w:t>
            </w:r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="00EE0E9D">
              <w:rPr>
                <w:rFonts w:eastAsiaTheme="minorHAnsi" w:cstheme="minorBidi"/>
                <w:lang w:eastAsia="en-US"/>
              </w:rPr>
              <w:t>1.</w:t>
            </w:r>
            <w:r w:rsidR="00A70196">
              <w:rPr>
                <w:rFonts w:eastAsiaTheme="minorHAnsi"/>
              </w:rPr>
              <w:t> </w:t>
            </w:r>
            <w:r w:rsidR="00EE0E9D">
              <w:rPr>
                <w:rFonts w:eastAsiaTheme="minorHAnsi" w:cstheme="minorBidi"/>
                <w:lang w:eastAsia="en-US"/>
              </w:rPr>
              <w:t>panta 9.</w:t>
            </w:r>
            <w:r w:rsidR="00A70196">
              <w:rPr>
                <w:rFonts w:eastAsiaTheme="minorHAnsi" w:cstheme="minorBidi"/>
                <w:lang w:eastAsia="en-US"/>
              </w:rPr>
              <w:t> </w:t>
            </w:r>
            <w:r w:rsidR="00EE0E9D">
              <w:rPr>
                <w:rFonts w:eastAsiaTheme="minorHAnsi" w:cstheme="minorBidi"/>
                <w:lang w:eastAsia="en-US"/>
              </w:rPr>
              <w:t xml:space="preserve">punktā </w:t>
            </w:r>
            <w:r>
              <w:rPr>
                <w:rFonts w:eastAsiaTheme="minorHAnsi" w:cstheme="minorBidi"/>
                <w:lang w:eastAsia="en-US"/>
              </w:rPr>
              <w:t xml:space="preserve">ietverto </w:t>
            </w:r>
            <w:r>
              <w:t xml:space="preserve">terminu </w:t>
            </w:r>
            <w:r w:rsidR="005844FA">
              <w:rPr>
                <w:lang w:eastAsia="x-none"/>
              </w:rPr>
              <w:t>„</w:t>
            </w:r>
            <w:r>
              <w:t xml:space="preserve">sabiedriskie ūdenssaimniecības pakalpojumi”, nepieciešams veikt grozījumu </w:t>
            </w:r>
            <w:r w:rsidRPr="0008449C">
              <w:rPr>
                <w:lang w:eastAsia="x-none"/>
              </w:rPr>
              <w:t>Ministru kabineta</w:t>
            </w:r>
            <w:r>
              <w:rPr>
                <w:lang w:eastAsia="x-none"/>
              </w:rPr>
              <w:t xml:space="preserve"> 2009.</w:t>
            </w:r>
            <w:r w:rsidR="00A70196">
              <w:rPr>
                <w:lang w:eastAsia="x-none"/>
              </w:rPr>
              <w:t> </w:t>
            </w:r>
            <w:r>
              <w:rPr>
                <w:lang w:eastAsia="x-none"/>
              </w:rPr>
              <w:t>gada 27.</w:t>
            </w:r>
            <w:r w:rsidR="00A70196">
              <w:rPr>
                <w:lang w:eastAsia="x-none"/>
              </w:rPr>
              <w:t> </w:t>
            </w:r>
            <w:r>
              <w:rPr>
                <w:lang w:eastAsia="x-none"/>
              </w:rPr>
              <w:t>oktobra noteikumu</w:t>
            </w:r>
            <w:r w:rsidRPr="0008449C">
              <w:rPr>
                <w:lang w:eastAsia="x-none"/>
              </w:rPr>
              <w:t xml:space="preserve"> Nr.</w:t>
            </w:r>
            <w:r w:rsidR="00A70196">
              <w:rPr>
                <w:lang w:eastAsia="x-none"/>
              </w:rPr>
              <w:t> </w:t>
            </w:r>
            <w:r w:rsidRPr="0008449C">
              <w:rPr>
                <w:lang w:eastAsia="x-none"/>
              </w:rPr>
              <w:t>1227 „Noteikumi par regulējamiem sabiedrisko pakalpojumu veidiem”</w:t>
            </w:r>
            <w:r>
              <w:rPr>
                <w:lang w:eastAsia="x-none"/>
              </w:rPr>
              <w:t xml:space="preserve"> 9.</w:t>
            </w:r>
            <w:r w:rsidR="00A70196">
              <w:rPr>
                <w:lang w:eastAsia="x-none"/>
              </w:rPr>
              <w:t> </w:t>
            </w:r>
            <w:r>
              <w:rPr>
                <w:lang w:eastAsia="x-none"/>
              </w:rPr>
              <w:t>punktā</w:t>
            </w:r>
            <w:r>
              <w:t xml:space="preserve">, precizējot sabiedriskos  ūdenssaimniecības pakalpojumu veidus </w:t>
            </w:r>
            <w:r w:rsidR="005D7304">
              <w:t>atbilstoši Ūdenssaimniecības pakalpojumu likumā noteiktajam.</w:t>
            </w:r>
          </w:p>
          <w:p w14:paraId="00A54A7A" w14:textId="61840D4D" w:rsidR="0033054F" w:rsidRPr="008A78CD" w:rsidRDefault="0033054F" w:rsidP="00A70196">
            <w:pPr>
              <w:spacing w:before="120"/>
              <w:jc w:val="both"/>
            </w:pPr>
          </w:p>
        </w:tc>
      </w:tr>
      <w:tr w:rsidR="00A574F7" w:rsidRPr="008A78CD" w14:paraId="3F6D76BA" w14:textId="77777777" w:rsidTr="002761EF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A6124" w14:textId="3BA0DAEC" w:rsidR="00A574F7" w:rsidRPr="008A78CD" w:rsidRDefault="00A574F7" w:rsidP="00002813">
            <w:pPr>
              <w:spacing w:before="100" w:beforeAutospacing="1" w:after="100" w:afterAutospacing="1" w:line="360" w:lineRule="auto"/>
              <w:jc w:val="center"/>
            </w:pPr>
            <w:r w:rsidRPr="008A78CD"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D93AB" w14:textId="77777777" w:rsidR="00A574F7" w:rsidRPr="008A78CD" w:rsidRDefault="00A574F7" w:rsidP="00A574F7">
            <w:r w:rsidRPr="008A78CD">
              <w:t>Projekta izstrādē iesaistītās institūcijas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6EF0D" w14:textId="5F040FEA" w:rsidR="00A574F7" w:rsidRPr="008A78CD" w:rsidRDefault="00304E4B" w:rsidP="00304E4B">
            <w:r>
              <w:t>Sabiedrisko pakalpojumu regulēšanas komisija</w:t>
            </w:r>
          </w:p>
        </w:tc>
      </w:tr>
      <w:tr w:rsidR="00A574F7" w:rsidRPr="008A78CD" w14:paraId="219C0329" w14:textId="77777777" w:rsidTr="002761EF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08F77" w14:textId="77777777" w:rsidR="00A574F7" w:rsidRPr="008A78CD" w:rsidRDefault="00A574F7" w:rsidP="00002813">
            <w:pPr>
              <w:spacing w:before="100" w:beforeAutospacing="1" w:after="100" w:afterAutospacing="1" w:line="360" w:lineRule="auto"/>
              <w:jc w:val="center"/>
            </w:pPr>
            <w:r w:rsidRPr="008A78CD"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CB687" w14:textId="77777777" w:rsidR="00A574F7" w:rsidRPr="008A78CD" w:rsidRDefault="00A574F7" w:rsidP="00A574F7">
            <w:r w:rsidRPr="008A78CD">
              <w:t>Cita informācija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31AE7" w14:textId="77777777" w:rsidR="00A574F7" w:rsidRPr="008A78CD" w:rsidRDefault="00A574F7" w:rsidP="00A574F7">
            <w:pPr>
              <w:spacing w:before="100" w:beforeAutospacing="1" w:after="100" w:afterAutospacing="1" w:line="360" w:lineRule="auto"/>
            </w:pPr>
            <w:r w:rsidRPr="008A78CD">
              <w:t>Nav</w:t>
            </w:r>
          </w:p>
        </w:tc>
      </w:tr>
    </w:tbl>
    <w:p w14:paraId="7931FD74" w14:textId="77777777" w:rsidR="00A574F7" w:rsidRDefault="00A574F7" w:rsidP="00A574F7">
      <w:pPr>
        <w:ind w:firstLine="301"/>
        <w:rPr>
          <w:rFonts w:ascii="Arial" w:hAnsi="Arial" w:cs="Arial"/>
          <w:sz w:val="20"/>
          <w:szCs w:val="20"/>
        </w:rPr>
      </w:pPr>
    </w:p>
    <w:p w14:paraId="69F7B851" w14:textId="77777777" w:rsidR="00351211" w:rsidRPr="008A78CD" w:rsidRDefault="00351211" w:rsidP="00A574F7">
      <w:pPr>
        <w:ind w:firstLine="301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2"/>
        <w:gridCol w:w="5870"/>
      </w:tblGrid>
      <w:tr w:rsidR="00A574F7" w:rsidRPr="008A78CD" w14:paraId="6286C651" w14:textId="77777777" w:rsidTr="00730921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9650F" w14:textId="77777777" w:rsidR="00A574F7" w:rsidRPr="008A78CD" w:rsidRDefault="00A574F7" w:rsidP="00A574F7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8A78CD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A574F7" w:rsidRPr="008A78CD" w14:paraId="4AB6A48E" w14:textId="77777777" w:rsidTr="002761EF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2F168" w14:textId="77777777" w:rsidR="00A574F7" w:rsidRPr="008A78CD" w:rsidRDefault="00A574F7" w:rsidP="00A574F7">
            <w:r w:rsidRPr="008A78CD"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416C5" w14:textId="77777777" w:rsidR="00A574F7" w:rsidRPr="008A78CD" w:rsidRDefault="00A574F7" w:rsidP="00A63501">
            <w:pPr>
              <w:spacing w:line="21" w:lineRule="atLeast"/>
            </w:pPr>
            <w:r w:rsidRPr="008A78CD">
              <w:t>Sabiedrības mērķgrupas, kuras tiesiskais regulējums ietekmē vai varētu ietekmēt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258E7" w14:textId="77777777" w:rsidR="008E151B" w:rsidRDefault="008E151B" w:rsidP="00150F3C">
            <w:pPr>
              <w:spacing w:after="120" w:line="21" w:lineRule="atLeast"/>
              <w:jc w:val="both"/>
            </w:pPr>
            <w:proofErr w:type="spellStart"/>
            <w:r>
              <w:t>Agregatori</w:t>
            </w:r>
            <w:proofErr w:type="spellEnd"/>
            <w:r>
              <w:t xml:space="preserve"> – komersanti, kuru komercdarbība ir pieprasījuma reakcijas pakalpojuma nodrošināšana un kuru darbība tiek regulēta saskaņā ar Elektroenerģijas tirgus likumu.</w:t>
            </w:r>
          </w:p>
          <w:p w14:paraId="150A644D" w14:textId="48B515EE" w:rsidR="0033054F" w:rsidRPr="008A78CD" w:rsidRDefault="00150F3C" w:rsidP="008E151B">
            <w:pPr>
              <w:spacing w:after="120" w:line="21" w:lineRule="atLeast"/>
              <w:jc w:val="both"/>
            </w:pPr>
            <w:r w:rsidRPr="00BB5D66">
              <w:t xml:space="preserve">Sabiedrisko ūdenssaimniecības pakalpojumu sniedzēji (komersanti vai pašvaldības), kuras sniedz sabiedriskos ūdenssaimniecības pakalpojumus </w:t>
            </w:r>
            <w:r>
              <w:t>un kuru darbība sabiedrisko pakalpojumu sniegšanā tiek regulēta saskaņā ar Ūdenssaimniecības pakalpojumu likumu.</w:t>
            </w:r>
          </w:p>
        </w:tc>
      </w:tr>
      <w:tr w:rsidR="00A574F7" w:rsidRPr="008A78CD" w14:paraId="4837B5C3" w14:textId="77777777" w:rsidTr="002761EF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3B978" w14:textId="77777777" w:rsidR="00A574F7" w:rsidRPr="008A78CD" w:rsidRDefault="00A574F7" w:rsidP="00A574F7">
            <w:r w:rsidRPr="008A78CD"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F2149" w14:textId="77777777" w:rsidR="00A574F7" w:rsidRPr="008A78CD" w:rsidRDefault="00A574F7" w:rsidP="00A63501">
            <w:pPr>
              <w:spacing w:line="21" w:lineRule="atLeast"/>
            </w:pPr>
            <w:r w:rsidRPr="008A78CD">
              <w:t>Tiesiskā regulējuma ietekme uz tautsaimniecību un administratīvo slogu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CD9AD" w14:textId="1E49F57E" w:rsidR="00280044" w:rsidRPr="008A78CD" w:rsidRDefault="006C637B" w:rsidP="00EB7B99">
            <w:pPr>
              <w:spacing w:after="120" w:line="21" w:lineRule="atLeast"/>
            </w:pPr>
            <w:r>
              <w:t>Projekts šo jomu neskar.</w:t>
            </w:r>
          </w:p>
        </w:tc>
      </w:tr>
      <w:tr w:rsidR="00A574F7" w:rsidRPr="008A78CD" w14:paraId="7BCF4A61" w14:textId="77777777" w:rsidTr="002761EF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4D39B" w14:textId="77777777" w:rsidR="00A574F7" w:rsidRPr="008A78CD" w:rsidRDefault="00A574F7" w:rsidP="00A574F7">
            <w:r w:rsidRPr="008A78CD"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6AC04" w14:textId="77777777" w:rsidR="00A574F7" w:rsidRPr="008A78CD" w:rsidRDefault="00A574F7" w:rsidP="00A63501">
            <w:pPr>
              <w:spacing w:after="120" w:line="21" w:lineRule="atLeast"/>
            </w:pPr>
            <w:r w:rsidRPr="008A78CD">
              <w:t>Administratīvo izmaksu monetārs novērtējums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2FDCC" w14:textId="479CC403" w:rsidR="00A574F7" w:rsidRPr="008A78CD" w:rsidRDefault="006C637B" w:rsidP="00C01577">
            <w:pPr>
              <w:spacing w:line="21" w:lineRule="atLeast"/>
              <w:jc w:val="both"/>
            </w:pPr>
            <w:r>
              <w:t>Projekts šo jomu neskar.</w:t>
            </w:r>
          </w:p>
        </w:tc>
      </w:tr>
      <w:tr w:rsidR="00A574F7" w:rsidRPr="008A78CD" w14:paraId="475638F3" w14:textId="77777777" w:rsidTr="002761EF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5722F" w14:textId="77777777" w:rsidR="00A574F7" w:rsidRPr="008A78CD" w:rsidRDefault="00A574F7" w:rsidP="00A574F7">
            <w:r w:rsidRPr="008A78CD"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A542A" w14:textId="77777777" w:rsidR="00A574F7" w:rsidRPr="008A78CD" w:rsidRDefault="00A574F7" w:rsidP="00A63501">
            <w:pPr>
              <w:spacing w:line="21" w:lineRule="atLeast"/>
            </w:pPr>
            <w:r w:rsidRPr="008A78CD">
              <w:t>Cita informācija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B6FA0" w14:textId="77777777" w:rsidR="00A574F7" w:rsidRPr="008A78CD" w:rsidRDefault="00A574F7" w:rsidP="00A63501">
            <w:pPr>
              <w:spacing w:before="100" w:beforeAutospacing="1" w:after="100" w:afterAutospacing="1" w:line="21" w:lineRule="atLeast"/>
            </w:pPr>
            <w:r w:rsidRPr="008A78CD">
              <w:t>Nav</w:t>
            </w:r>
          </w:p>
        </w:tc>
      </w:tr>
    </w:tbl>
    <w:p w14:paraId="51D38FD4" w14:textId="77777777" w:rsidR="00A574F7" w:rsidRPr="008A78CD" w:rsidRDefault="00A574F7" w:rsidP="00A574F7">
      <w:pPr>
        <w:ind w:firstLine="301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3489"/>
        <w:gridCol w:w="5235"/>
      </w:tblGrid>
      <w:tr w:rsidR="00A574F7" w:rsidRPr="008A78CD" w14:paraId="7F8BAB9A" w14:textId="77777777" w:rsidTr="00730921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0B851" w14:textId="77777777" w:rsidR="00A574F7" w:rsidRPr="008A78CD" w:rsidRDefault="00A574F7" w:rsidP="00A574F7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8A78CD">
              <w:rPr>
                <w:rFonts w:ascii="Arial" w:hAnsi="Arial" w:cs="Arial"/>
                <w:sz w:val="20"/>
                <w:szCs w:val="20"/>
              </w:rPr>
              <w:t> </w:t>
            </w:r>
            <w:r w:rsidRPr="008A78CD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A574F7" w:rsidRPr="008A78CD" w14:paraId="2604D9D6" w14:textId="77777777" w:rsidTr="002761EF">
        <w:trPr>
          <w:trHeight w:val="42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32B48" w14:textId="77777777" w:rsidR="00A574F7" w:rsidRPr="008A78CD" w:rsidRDefault="00A574F7" w:rsidP="00A574F7">
            <w:r w:rsidRPr="008A78CD"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03835" w14:textId="77777777" w:rsidR="00A574F7" w:rsidRPr="008A78CD" w:rsidRDefault="00A574F7" w:rsidP="00A574F7">
            <w:r w:rsidRPr="008A78CD">
              <w:t>Projekta izpildē iesaistītās institūcijas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914EE" w14:textId="756F957C" w:rsidR="00A574F7" w:rsidRPr="008A78CD" w:rsidRDefault="006C637B" w:rsidP="00A574F7">
            <w:r>
              <w:t>Projekts šo jomu neskar.</w:t>
            </w:r>
          </w:p>
        </w:tc>
      </w:tr>
      <w:tr w:rsidR="00A574F7" w:rsidRPr="008A78CD" w14:paraId="71B6D823" w14:textId="77777777" w:rsidTr="002761EF">
        <w:trPr>
          <w:trHeight w:val="45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5A562" w14:textId="77777777" w:rsidR="00A574F7" w:rsidRPr="008A78CD" w:rsidRDefault="00A574F7" w:rsidP="00A574F7">
            <w:r w:rsidRPr="008A78CD"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674BE" w14:textId="77777777" w:rsidR="00A574F7" w:rsidRPr="008A78CD" w:rsidRDefault="00A574F7" w:rsidP="00A63501">
            <w:pPr>
              <w:spacing w:after="120"/>
              <w:jc w:val="both"/>
            </w:pPr>
            <w:r w:rsidRPr="008A78CD">
              <w:t xml:space="preserve">Projekta izpildes ietekme uz pārvaldes funkcijām un institucionālo struktūru. </w:t>
            </w:r>
          </w:p>
          <w:p w14:paraId="07F99C8E" w14:textId="77777777" w:rsidR="00A574F7" w:rsidRPr="008A78CD" w:rsidRDefault="00A574F7" w:rsidP="00743931">
            <w:pPr>
              <w:jc w:val="both"/>
            </w:pPr>
            <w:r w:rsidRPr="008A78CD">
              <w:t>Jaunu institūciju izveide, esošu institūciju likvidācija vai reorganizācija, to ietekme uz institūcijas cilvēkresursiem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7AD0F" w14:textId="77777777" w:rsidR="00A574F7" w:rsidRPr="008A78CD" w:rsidRDefault="00A574F7" w:rsidP="00A574F7">
            <w:r w:rsidRPr="008A78CD">
              <w:t>Nav</w:t>
            </w:r>
          </w:p>
        </w:tc>
      </w:tr>
      <w:tr w:rsidR="00A574F7" w:rsidRPr="008A78CD" w14:paraId="556CB139" w14:textId="77777777" w:rsidTr="002761EF">
        <w:trPr>
          <w:trHeight w:val="39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E9FB1" w14:textId="77777777" w:rsidR="00A574F7" w:rsidRPr="008A78CD" w:rsidRDefault="00A574F7" w:rsidP="00A574F7">
            <w:r w:rsidRPr="008A78CD"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10F36" w14:textId="77777777" w:rsidR="00A574F7" w:rsidRPr="008A78CD" w:rsidRDefault="00A574F7" w:rsidP="00A574F7">
            <w:r w:rsidRPr="008A78CD">
              <w:t>Cita informācija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15027" w14:textId="77777777" w:rsidR="00A574F7" w:rsidRPr="008A78CD" w:rsidRDefault="00A574F7" w:rsidP="00A574F7">
            <w:pPr>
              <w:spacing w:before="100" w:beforeAutospacing="1" w:after="100" w:afterAutospacing="1" w:line="360" w:lineRule="auto"/>
            </w:pPr>
            <w:r w:rsidRPr="008A78CD">
              <w:t>Nav</w:t>
            </w:r>
          </w:p>
        </w:tc>
      </w:tr>
    </w:tbl>
    <w:p w14:paraId="7EF73B72" w14:textId="77777777" w:rsidR="00304E4B" w:rsidRPr="006C637B" w:rsidRDefault="00304E4B" w:rsidP="00304E4B">
      <w:pPr>
        <w:spacing w:after="160" w:line="259" w:lineRule="auto"/>
        <w:rPr>
          <w:rFonts w:eastAsiaTheme="minorHAnsi" w:cstheme="minorBidi"/>
          <w:szCs w:val="22"/>
          <w:lang w:eastAsia="en-US"/>
        </w:rPr>
      </w:pPr>
      <w:r w:rsidRPr="008A78CD">
        <w:rPr>
          <w:rFonts w:ascii="Arial" w:hAnsi="Arial" w:cs="Arial"/>
          <w:sz w:val="20"/>
          <w:szCs w:val="20"/>
        </w:rPr>
        <w:t> </w:t>
      </w:r>
      <w:r w:rsidRPr="006C637B">
        <w:rPr>
          <w:rFonts w:eastAsiaTheme="minorHAnsi" w:cstheme="minorBidi"/>
          <w:szCs w:val="22"/>
          <w:lang w:eastAsia="en-US"/>
        </w:rPr>
        <w:t>Anotācijas III, IV, V, VI sadaļa – projekts šīs jomas neskar.</w:t>
      </w:r>
    </w:p>
    <w:p w14:paraId="7F55B2EF" w14:textId="77777777" w:rsidR="00743931" w:rsidRPr="008A78CD" w:rsidRDefault="00743931" w:rsidP="002761EF">
      <w:pPr>
        <w:rPr>
          <w:rFonts w:eastAsiaTheme="minorHAnsi" w:cstheme="minorBidi"/>
          <w:i/>
          <w:szCs w:val="22"/>
          <w:lang w:eastAsia="en-US"/>
        </w:rPr>
      </w:pPr>
    </w:p>
    <w:p w14:paraId="289B6F12" w14:textId="77777777" w:rsidR="00D91B3F" w:rsidRDefault="00D91B3F" w:rsidP="00A574F7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Vides aizsardzības un </w:t>
      </w:r>
    </w:p>
    <w:p w14:paraId="15BE6839" w14:textId="3B5E557D" w:rsidR="00A574F7" w:rsidRPr="008A78CD" w:rsidRDefault="00D91B3F" w:rsidP="002761EF">
      <w:pPr>
        <w:tabs>
          <w:tab w:val="right" w:pos="7938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reģionālās attīstības m</w:t>
      </w:r>
      <w:r w:rsidR="00A574F7" w:rsidRPr="008A78CD">
        <w:rPr>
          <w:rFonts w:eastAsia="Calibri"/>
          <w:szCs w:val="22"/>
          <w:lang w:eastAsia="en-US"/>
        </w:rPr>
        <w:t>inistr</w:t>
      </w:r>
      <w:r w:rsidR="00281B49" w:rsidRPr="008A78CD">
        <w:rPr>
          <w:rFonts w:eastAsia="Calibri"/>
          <w:szCs w:val="22"/>
          <w:lang w:eastAsia="en-US"/>
        </w:rPr>
        <w:t>s</w:t>
      </w:r>
      <w:r w:rsidR="002761EF"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>K.Gerhard</w:t>
      </w:r>
      <w:r w:rsidR="00281B49" w:rsidRPr="008A78CD">
        <w:rPr>
          <w:rFonts w:eastAsia="Calibri"/>
          <w:szCs w:val="22"/>
          <w:lang w:eastAsia="en-US"/>
        </w:rPr>
        <w:t>s</w:t>
      </w:r>
    </w:p>
    <w:p w14:paraId="44B10DAD" w14:textId="77777777" w:rsidR="00A574F7" w:rsidRPr="008A78CD" w:rsidRDefault="00A574F7" w:rsidP="00A574F7">
      <w:pPr>
        <w:rPr>
          <w:rFonts w:eastAsia="Calibri"/>
          <w:szCs w:val="22"/>
          <w:lang w:eastAsia="en-US"/>
        </w:rPr>
      </w:pPr>
    </w:p>
    <w:p w14:paraId="57667DD0" w14:textId="77777777" w:rsidR="00A574F7" w:rsidRPr="008A78CD" w:rsidRDefault="00A574F7" w:rsidP="00A574F7">
      <w:pPr>
        <w:rPr>
          <w:rFonts w:eastAsia="Calibri"/>
          <w:szCs w:val="22"/>
          <w:lang w:eastAsia="en-US"/>
        </w:rPr>
      </w:pPr>
      <w:r w:rsidRPr="008A78CD">
        <w:rPr>
          <w:rFonts w:eastAsia="Calibri"/>
          <w:szCs w:val="22"/>
          <w:lang w:eastAsia="en-US"/>
        </w:rPr>
        <w:t>Vīza:</w:t>
      </w:r>
    </w:p>
    <w:p w14:paraId="11F577D8" w14:textId="77777777" w:rsidR="00A574F7" w:rsidRPr="008A78CD" w:rsidRDefault="00A574F7" w:rsidP="00A574F7">
      <w:pPr>
        <w:rPr>
          <w:rFonts w:eastAsia="Calibri"/>
          <w:szCs w:val="22"/>
          <w:lang w:eastAsia="en-US"/>
        </w:rPr>
      </w:pPr>
    </w:p>
    <w:p w14:paraId="467B7F0D" w14:textId="77777777" w:rsidR="002A2A0F" w:rsidRDefault="00281B49" w:rsidP="002761EF">
      <w:pPr>
        <w:tabs>
          <w:tab w:val="right" w:pos="7938"/>
        </w:tabs>
        <w:rPr>
          <w:rFonts w:eastAsia="Calibri"/>
          <w:szCs w:val="22"/>
          <w:lang w:eastAsia="en-US"/>
        </w:rPr>
      </w:pPr>
      <w:r w:rsidRPr="008A78CD">
        <w:rPr>
          <w:rFonts w:eastAsia="Calibri"/>
          <w:szCs w:val="22"/>
          <w:lang w:eastAsia="en-US"/>
        </w:rPr>
        <w:t>Valsts sekretār</w:t>
      </w:r>
      <w:r w:rsidR="002A2A0F">
        <w:rPr>
          <w:rFonts w:eastAsia="Calibri"/>
          <w:szCs w:val="22"/>
          <w:lang w:eastAsia="en-US"/>
        </w:rPr>
        <w:t xml:space="preserve">a </w:t>
      </w:r>
      <w:proofErr w:type="spellStart"/>
      <w:r w:rsidR="002A2A0F">
        <w:rPr>
          <w:rFonts w:eastAsia="Calibri"/>
          <w:szCs w:val="22"/>
          <w:lang w:eastAsia="en-US"/>
        </w:rPr>
        <w:t>p.i</w:t>
      </w:r>
      <w:proofErr w:type="spellEnd"/>
      <w:r w:rsidR="002A2A0F">
        <w:rPr>
          <w:rFonts w:eastAsia="Calibri"/>
          <w:szCs w:val="22"/>
          <w:lang w:eastAsia="en-US"/>
        </w:rPr>
        <w:t>.,</w:t>
      </w:r>
    </w:p>
    <w:p w14:paraId="110366CC" w14:textId="2A084D78" w:rsidR="00A574F7" w:rsidRPr="008A78CD" w:rsidRDefault="002A2A0F" w:rsidP="002761EF">
      <w:pPr>
        <w:tabs>
          <w:tab w:val="right" w:pos="7938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Valsts sekretāra vietnieks</w:t>
      </w:r>
      <w:r w:rsidR="00A574F7" w:rsidRPr="008A78CD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                                                                        </w:t>
      </w:r>
      <w:bookmarkStart w:id="0" w:name="_GoBack"/>
      <w:bookmarkEnd w:id="0"/>
      <w:proofErr w:type="spellStart"/>
      <w:r>
        <w:rPr>
          <w:rFonts w:eastAsia="Calibri"/>
          <w:szCs w:val="22"/>
          <w:lang w:eastAsia="en-US"/>
        </w:rPr>
        <w:t>E.Beļskis</w:t>
      </w:r>
      <w:proofErr w:type="spellEnd"/>
    </w:p>
    <w:p w14:paraId="6A7004DB" w14:textId="77777777" w:rsidR="00A70196" w:rsidRPr="008A78CD" w:rsidRDefault="00A70196" w:rsidP="00A574F7">
      <w:pPr>
        <w:rPr>
          <w:rFonts w:eastAsia="Calibri"/>
          <w:szCs w:val="22"/>
          <w:lang w:eastAsia="en-US"/>
        </w:rPr>
      </w:pPr>
    </w:p>
    <w:p w14:paraId="74A8E247" w14:textId="667A66BE" w:rsidR="00A574F7" w:rsidRPr="008A78CD" w:rsidRDefault="00A574F7" w:rsidP="00A574F7">
      <w:pPr>
        <w:rPr>
          <w:rFonts w:eastAsia="Calibri"/>
          <w:sz w:val="20"/>
          <w:szCs w:val="20"/>
          <w:lang w:eastAsia="en-US"/>
        </w:rPr>
      </w:pPr>
      <w:r w:rsidRPr="008A78CD">
        <w:rPr>
          <w:rFonts w:eastAsia="Calibri"/>
          <w:sz w:val="20"/>
          <w:szCs w:val="20"/>
          <w:lang w:eastAsia="en-US"/>
        </w:rPr>
        <w:fldChar w:fldCharType="begin"/>
      </w:r>
      <w:r w:rsidRPr="008A78CD">
        <w:rPr>
          <w:rFonts w:eastAsia="Calibri"/>
          <w:sz w:val="20"/>
          <w:szCs w:val="20"/>
          <w:lang w:eastAsia="en-US"/>
        </w:rPr>
        <w:instrText xml:space="preserve"> TIME \@ "dd.MM.yyyy H:mm" </w:instrText>
      </w:r>
      <w:r w:rsidRPr="008A78CD">
        <w:rPr>
          <w:rFonts w:eastAsia="Calibri"/>
          <w:sz w:val="20"/>
          <w:szCs w:val="20"/>
          <w:lang w:eastAsia="en-US"/>
        </w:rPr>
        <w:fldChar w:fldCharType="separate"/>
      </w:r>
      <w:r w:rsidR="002A2A0F">
        <w:rPr>
          <w:rFonts w:eastAsia="Calibri"/>
          <w:noProof/>
          <w:sz w:val="20"/>
          <w:szCs w:val="20"/>
          <w:lang w:eastAsia="en-US"/>
        </w:rPr>
        <w:t>12.07.2016 10:46</w:t>
      </w:r>
      <w:r w:rsidRPr="008A78CD">
        <w:rPr>
          <w:rFonts w:eastAsia="Calibri"/>
          <w:sz w:val="20"/>
          <w:szCs w:val="20"/>
          <w:lang w:eastAsia="en-US"/>
        </w:rPr>
        <w:fldChar w:fldCharType="end"/>
      </w:r>
    </w:p>
    <w:p w14:paraId="0DFDBC93" w14:textId="1E609595" w:rsidR="00A574F7" w:rsidRPr="008A78CD" w:rsidRDefault="00804A5D" w:rsidP="00A574F7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</w:t>
      </w:r>
      <w:r w:rsidR="002761EF">
        <w:rPr>
          <w:rFonts w:eastAsia="Calibri"/>
          <w:sz w:val="20"/>
          <w:szCs w:val="20"/>
          <w:lang w:eastAsia="en-US"/>
        </w:rPr>
        <w:t>91</w:t>
      </w:r>
    </w:p>
    <w:p w14:paraId="5A3813C4" w14:textId="0814D014" w:rsidR="00A574F7" w:rsidRPr="00A70196" w:rsidRDefault="00150F3C" w:rsidP="00A574F7">
      <w:pPr>
        <w:rPr>
          <w:rFonts w:eastAsia="Calibri"/>
          <w:sz w:val="20"/>
          <w:szCs w:val="20"/>
          <w:lang w:eastAsia="en-US"/>
        </w:rPr>
      </w:pPr>
      <w:r w:rsidRPr="00A70196">
        <w:rPr>
          <w:rFonts w:eastAsia="Calibri"/>
          <w:sz w:val="20"/>
          <w:szCs w:val="20"/>
          <w:lang w:eastAsia="en-US"/>
        </w:rPr>
        <w:t>I.Jakovļeva</w:t>
      </w:r>
      <w:r w:rsidR="00A574F7" w:rsidRPr="00A70196">
        <w:rPr>
          <w:rFonts w:eastAsia="Calibri"/>
          <w:sz w:val="20"/>
          <w:szCs w:val="20"/>
          <w:lang w:eastAsia="en-US"/>
        </w:rPr>
        <w:t>, 67097</w:t>
      </w:r>
      <w:r w:rsidRPr="00A70196">
        <w:rPr>
          <w:rFonts w:eastAsia="Calibri"/>
          <w:sz w:val="20"/>
          <w:szCs w:val="20"/>
          <w:lang w:eastAsia="en-US"/>
        </w:rPr>
        <w:t>440</w:t>
      </w:r>
    </w:p>
    <w:p w14:paraId="271435BB" w14:textId="25F5E7F5" w:rsidR="00A574F7" w:rsidRDefault="00901258">
      <w:pPr>
        <w:rPr>
          <w:rFonts w:eastAsia="Calibri"/>
          <w:sz w:val="20"/>
          <w:szCs w:val="20"/>
          <w:lang w:eastAsia="en-US"/>
        </w:rPr>
      </w:pPr>
      <w:hyperlink r:id="rId12" w:history="1">
        <w:r w:rsidR="00150F3C" w:rsidRPr="00A70196">
          <w:rPr>
            <w:rStyle w:val="Hyperlink"/>
            <w:rFonts w:eastAsia="Calibri"/>
            <w:sz w:val="20"/>
            <w:szCs w:val="20"/>
            <w:lang w:eastAsia="en-US"/>
          </w:rPr>
          <w:t>ieva.jakovleva@varam.gov.lv</w:t>
        </w:r>
      </w:hyperlink>
    </w:p>
    <w:sectPr w:rsidR="00A574F7" w:rsidSect="00481E95">
      <w:footerReference w:type="default" r:id="rId13"/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0BE62" w14:textId="77777777" w:rsidR="008E6AB6" w:rsidRDefault="008E6AB6" w:rsidP="00285971">
      <w:r>
        <w:separator/>
      </w:r>
    </w:p>
  </w:endnote>
  <w:endnote w:type="continuationSeparator" w:id="0">
    <w:p w14:paraId="026BE140" w14:textId="77777777" w:rsidR="008E6AB6" w:rsidRDefault="008E6AB6" w:rsidP="0028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AAE9" w14:textId="3DB52921" w:rsidR="00D93090" w:rsidRPr="005B6362" w:rsidRDefault="00D93090" w:rsidP="005B6362">
    <w:pPr>
      <w:rPr>
        <w:sz w:val="20"/>
        <w:szCs w:val="20"/>
      </w:rPr>
    </w:pPr>
    <w:r>
      <w:rPr>
        <w:sz w:val="20"/>
        <w:szCs w:val="20"/>
      </w:rPr>
      <w:t>VARAM</w:t>
    </w:r>
    <w:r w:rsidRPr="009041EC">
      <w:rPr>
        <w:sz w:val="20"/>
        <w:szCs w:val="20"/>
      </w:rPr>
      <w:t>Anot_</w:t>
    </w:r>
    <w:r>
      <w:rPr>
        <w:sz w:val="20"/>
        <w:szCs w:val="20"/>
      </w:rPr>
      <w:t>0</w:t>
    </w:r>
    <w:r w:rsidR="001B0260">
      <w:rPr>
        <w:sz w:val="20"/>
        <w:szCs w:val="20"/>
      </w:rPr>
      <w:t>8</w:t>
    </w:r>
    <w:r w:rsidR="0033054F">
      <w:rPr>
        <w:sz w:val="20"/>
        <w:szCs w:val="20"/>
      </w:rPr>
      <w:t>07</w:t>
    </w:r>
    <w:r w:rsidRPr="009041EC">
      <w:rPr>
        <w:sz w:val="20"/>
        <w:szCs w:val="20"/>
      </w:rPr>
      <w:t>16</w:t>
    </w:r>
    <w:r>
      <w:rPr>
        <w:sz w:val="20"/>
        <w:szCs w:val="20"/>
      </w:rPr>
      <w:t>_GrozMK1227;</w:t>
    </w:r>
    <w:r w:rsidRPr="009041EC">
      <w:rPr>
        <w:sz w:val="20"/>
        <w:szCs w:val="20"/>
      </w:rPr>
      <w:t xml:space="preserve"> </w:t>
    </w:r>
    <w:r w:rsidR="005B6362" w:rsidRPr="005B6362">
      <w:rPr>
        <w:sz w:val="20"/>
        <w:szCs w:val="20"/>
      </w:rPr>
      <w:t xml:space="preserve">Ministru kabineta noteikumu </w:t>
    </w:r>
    <w:r w:rsidR="004A1543">
      <w:rPr>
        <w:sz w:val="20"/>
        <w:szCs w:val="20"/>
      </w:rPr>
      <w:t xml:space="preserve">projekts </w:t>
    </w:r>
    <w:r w:rsidR="005B6362" w:rsidRPr="005B6362">
      <w:rPr>
        <w:sz w:val="20"/>
        <w:szCs w:val="20"/>
      </w:rPr>
      <w:t>„Grozījum</w:t>
    </w:r>
    <w:r w:rsidR="002761EF">
      <w:rPr>
        <w:sz w:val="20"/>
        <w:szCs w:val="20"/>
      </w:rPr>
      <w:t>i</w:t>
    </w:r>
    <w:r w:rsidR="005B6362" w:rsidRPr="005B6362">
      <w:rPr>
        <w:sz w:val="20"/>
        <w:szCs w:val="20"/>
      </w:rPr>
      <w:t xml:space="preserve"> Ministru kabineta 2009.</w:t>
    </w:r>
    <w:r w:rsidR="00A70196">
      <w:rPr>
        <w:sz w:val="20"/>
        <w:szCs w:val="20"/>
      </w:rPr>
      <w:t> </w:t>
    </w:r>
    <w:r w:rsidR="005B6362" w:rsidRPr="005B6362">
      <w:rPr>
        <w:sz w:val="20"/>
        <w:szCs w:val="20"/>
      </w:rPr>
      <w:t>gada 27.</w:t>
    </w:r>
    <w:r w:rsidR="00A70196">
      <w:rPr>
        <w:sz w:val="20"/>
        <w:szCs w:val="20"/>
      </w:rPr>
      <w:t> </w:t>
    </w:r>
    <w:r w:rsidR="005B6362" w:rsidRPr="005B6362">
      <w:rPr>
        <w:sz w:val="20"/>
        <w:szCs w:val="20"/>
      </w:rPr>
      <w:t>oktobra noteikumos Nr.</w:t>
    </w:r>
    <w:r w:rsidR="00A70196">
      <w:rPr>
        <w:sz w:val="20"/>
        <w:szCs w:val="20"/>
      </w:rPr>
      <w:t> </w:t>
    </w:r>
    <w:r w:rsidR="005B6362" w:rsidRPr="005B6362">
      <w:rPr>
        <w:sz w:val="20"/>
        <w:szCs w:val="20"/>
      </w:rPr>
      <w:t>1227 „Noteikumi par regulējamiem sabiedrisko pakalpojumu veidiem””</w:t>
    </w:r>
    <w:r w:rsidR="005B6362">
      <w:rPr>
        <w:sz w:val="20"/>
        <w:szCs w:val="20"/>
      </w:rPr>
      <w:t xml:space="preserve"> </w:t>
    </w:r>
    <w:r w:rsidR="005B6362" w:rsidRPr="005B6362">
      <w:rPr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02A84" w14:textId="77777777" w:rsidR="008E6AB6" w:rsidRDefault="008E6AB6" w:rsidP="00285971">
      <w:r>
        <w:separator/>
      </w:r>
    </w:p>
  </w:footnote>
  <w:footnote w:type="continuationSeparator" w:id="0">
    <w:p w14:paraId="2D2F6276" w14:textId="77777777" w:rsidR="008E6AB6" w:rsidRDefault="008E6AB6" w:rsidP="0028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77CED"/>
    <w:multiLevelType w:val="hybridMultilevel"/>
    <w:tmpl w:val="2842D0D8"/>
    <w:lvl w:ilvl="0" w:tplc="A3044C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A2"/>
    <w:rsid w:val="00002813"/>
    <w:rsid w:val="00025C9D"/>
    <w:rsid w:val="00072412"/>
    <w:rsid w:val="00077E61"/>
    <w:rsid w:val="0008449C"/>
    <w:rsid w:val="000903AB"/>
    <w:rsid w:val="00090E58"/>
    <w:rsid w:val="000C0451"/>
    <w:rsid w:val="000C6AB6"/>
    <w:rsid w:val="000F2011"/>
    <w:rsid w:val="000F3484"/>
    <w:rsid w:val="00107CF1"/>
    <w:rsid w:val="00132CCA"/>
    <w:rsid w:val="001338C9"/>
    <w:rsid w:val="00150F3C"/>
    <w:rsid w:val="0015271B"/>
    <w:rsid w:val="001645E7"/>
    <w:rsid w:val="001B0260"/>
    <w:rsid w:val="001B28EA"/>
    <w:rsid w:val="001C3976"/>
    <w:rsid w:val="001C62E4"/>
    <w:rsid w:val="001D079C"/>
    <w:rsid w:val="001D33AD"/>
    <w:rsid w:val="001E30AD"/>
    <w:rsid w:val="001F449B"/>
    <w:rsid w:val="001F4B0E"/>
    <w:rsid w:val="002045BD"/>
    <w:rsid w:val="00230281"/>
    <w:rsid w:val="00275779"/>
    <w:rsid w:val="002761EF"/>
    <w:rsid w:val="00280044"/>
    <w:rsid w:val="00281B49"/>
    <w:rsid w:val="00285971"/>
    <w:rsid w:val="00292935"/>
    <w:rsid w:val="002A2A0F"/>
    <w:rsid w:val="002A3869"/>
    <w:rsid w:val="002B068A"/>
    <w:rsid w:val="002C40A2"/>
    <w:rsid w:val="002D04E5"/>
    <w:rsid w:val="002E38D7"/>
    <w:rsid w:val="002E38FD"/>
    <w:rsid w:val="00304E4B"/>
    <w:rsid w:val="00316D8E"/>
    <w:rsid w:val="0033054F"/>
    <w:rsid w:val="00341838"/>
    <w:rsid w:val="00347069"/>
    <w:rsid w:val="00351211"/>
    <w:rsid w:val="00356E70"/>
    <w:rsid w:val="00396384"/>
    <w:rsid w:val="003B62EF"/>
    <w:rsid w:val="003B6F30"/>
    <w:rsid w:val="003B71AE"/>
    <w:rsid w:val="003D15C9"/>
    <w:rsid w:val="003E6B47"/>
    <w:rsid w:val="004239EA"/>
    <w:rsid w:val="00436373"/>
    <w:rsid w:val="004558DE"/>
    <w:rsid w:val="00462FDA"/>
    <w:rsid w:val="00471F77"/>
    <w:rsid w:val="00481E95"/>
    <w:rsid w:val="004A1543"/>
    <w:rsid w:val="004C558F"/>
    <w:rsid w:val="004F3094"/>
    <w:rsid w:val="004F655D"/>
    <w:rsid w:val="0051156F"/>
    <w:rsid w:val="00521219"/>
    <w:rsid w:val="005438AA"/>
    <w:rsid w:val="00567D89"/>
    <w:rsid w:val="00572BB9"/>
    <w:rsid w:val="005844FA"/>
    <w:rsid w:val="005869F4"/>
    <w:rsid w:val="005A7602"/>
    <w:rsid w:val="005B4956"/>
    <w:rsid w:val="005B6362"/>
    <w:rsid w:val="005D17F7"/>
    <w:rsid w:val="005D7304"/>
    <w:rsid w:val="005E0BE9"/>
    <w:rsid w:val="00604F22"/>
    <w:rsid w:val="00611D3B"/>
    <w:rsid w:val="00625456"/>
    <w:rsid w:val="00632D4D"/>
    <w:rsid w:val="00643560"/>
    <w:rsid w:val="00683214"/>
    <w:rsid w:val="00692FAB"/>
    <w:rsid w:val="006C637B"/>
    <w:rsid w:val="00743931"/>
    <w:rsid w:val="00772E35"/>
    <w:rsid w:val="00780FD5"/>
    <w:rsid w:val="0078274E"/>
    <w:rsid w:val="00782B3D"/>
    <w:rsid w:val="007C3A8E"/>
    <w:rsid w:val="00804A5D"/>
    <w:rsid w:val="00806A33"/>
    <w:rsid w:val="0085597A"/>
    <w:rsid w:val="008758B9"/>
    <w:rsid w:val="00880DAC"/>
    <w:rsid w:val="00894D69"/>
    <w:rsid w:val="008A362B"/>
    <w:rsid w:val="008A78CD"/>
    <w:rsid w:val="008B1A08"/>
    <w:rsid w:val="008D4397"/>
    <w:rsid w:val="008D7D4D"/>
    <w:rsid w:val="008E151B"/>
    <w:rsid w:val="008E6AB6"/>
    <w:rsid w:val="008E794A"/>
    <w:rsid w:val="009041EC"/>
    <w:rsid w:val="0091052F"/>
    <w:rsid w:val="00912957"/>
    <w:rsid w:val="009231DB"/>
    <w:rsid w:val="00937F00"/>
    <w:rsid w:val="00941C39"/>
    <w:rsid w:val="00995A71"/>
    <w:rsid w:val="009B1DB3"/>
    <w:rsid w:val="009F4EB7"/>
    <w:rsid w:val="00A04555"/>
    <w:rsid w:val="00A306C2"/>
    <w:rsid w:val="00A574F7"/>
    <w:rsid w:val="00A63501"/>
    <w:rsid w:val="00A65385"/>
    <w:rsid w:val="00A70196"/>
    <w:rsid w:val="00AB22E9"/>
    <w:rsid w:val="00AC08D7"/>
    <w:rsid w:val="00AC4C0A"/>
    <w:rsid w:val="00B01C0A"/>
    <w:rsid w:val="00B20F50"/>
    <w:rsid w:val="00B436AB"/>
    <w:rsid w:val="00B501E3"/>
    <w:rsid w:val="00B91472"/>
    <w:rsid w:val="00B948BD"/>
    <w:rsid w:val="00BC2F77"/>
    <w:rsid w:val="00BD5FBB"/>
    <w:rsid w:val="00BE143D"/>
    <w:rsid w:val="00BE3BBD"/>
    <w:rsid w:val="00C01577"/>
    <w:rsid w:val="00C12CBD"/>
    <w:rsid w:val="00C472AF"/>
    <w:rsid w:val="00C64857"/>
    <w:rsid w:val="00C8220F"/>
    <w:rsid w:val="00C85E08"/>
    <w:rsid w:val="00CA3F30"/>
    <w:rsid w:val="00CB7797"/>
    <w:rsid w:val="00D023D5"/>
    <w:rsid w:val="00D3377A"/>
    <w:rsid w:val="00D43395"/>
    <w:rsid w:val="00D44566"/>
    <w:rsid w:val="00D46539"/>
    <w:rsid w:val="00D7005D"/>
    <w:rsid w:val="00D8039C"/>
    <w:rsid w:val="00D91B3F"/>
    <w:rsid w:val="00D93090"/>
    <w:rsid w:val="00D95A4D"/>
    <w:rsid w:val="00DE77DF"/>
    <w:rsid w:val="00E12AA2"/>
    <w:rsid w:val="00E243C7"/>
    <w:rsid w:val="00E37350"/>
    <w:rsid w:val="00E624E7"/>
    <w:rsid w:val="00E67B74"/>
    <w:rsid w:val="00EB7B99"/>
    <w:rsid w:val="00EE0E9D"/>
    <w:rsid w:val="00F44243"/>
    <w:rsid w:val="00F459A0"/>
    <w:rsid w:val="00F52308"/>
    <w:rsid w:val="00F625F9"/>
    <w:rsid w:val="00F6581A"/>
    <w:rsid w:val="00FB2ED9"/>
    <w:rsid w:val="00FE2041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9779AE"/>
  <w15:docId w15:val="{F35E599E-4B5D-4B8F-A877-197D42D6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0A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40A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2C40A2"/>
    <w:rPr>
      <w:rFonts w:ascii="Times New Roman" w:eastAsia="Times New Roman" w:hAnsi="Times New Roman" w:cs="Times New Roman"/>
      <w:color w:val="auto"/>
      <w:sz w:val="24"/>
      <w:szCs w:val="24"/>
      <w:lang w:eastAsia="lv-LV"/>
    </w:rPr>
  </w:style>
  <w:style w:type="paragraph" w:styleId="EnvelopeReturn">
    <w:name w:val="envelope return"/>
    <w:basedOn w:val="Normal"/>
    <w:rsid w:val="002C40A2"/>
    <w:pPr>
      <w:keepLines/>
      <w:spacing w:before="600"/>
    </w:pPr>
    <w:rPr>
      <w:sz w:val="26"/>
      <w:szCs w:val="20"/>
      <w:lang w:eastAsia="en-US"/>
    </w:rPr>
  </w:style>
  <w:style w:type="paragraph" w:styleId="EnvelopeAddress">
    <w:name w:val="envelope address"/>
    <w:basedOn w:val="Normal"/>
    <w:rsid w:val="002C40A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Subtitle">
    <w:name w:val="Subtitle"/>
    <w:basedOn w:val="Normal"/>
    <w:next w:val="Normal"/>
    <w:link w:val="SubtitleChar"/>
    <w:qFormat/>
    <w:rsid w:val="002C40A2"/>
    <w:pPr>
      <w:keepNext/>
      <w:keepLines/>
      <w:suppressAutoHyphens/>
      <w:spacing w:before="600" w:after="600"/>
      <w:ind w:right="4820"/>
    </w:pPr>
    <w:rPr>
      <w:b/>
      <w:sz w:val="26"/>
      <w:szCs w:val="20"/>
      <w:lang w:val="x-none" w:eastAsia="x-none"/>
    </w:rPr>
  </w:style>
  <w:style w:type="character" w:customStyle="1" w:styleId="SubtitleChar">
    <w:name w:val="Subtitle Char"/>
    <w:link w:val="Subtitle"/>
    <w:rsid w:val="002C40A2"/>
    <w:rPr>
      <w:rFonts w:ascii="Times New Roman" w:eastAsia="Times New Roman" w:hAnsi="Times New Roman" w:cs="Times New Roman"/>
      <w:b/>
      <w:color w:val="auto"/>
      <w:sz w:val="26"/>
      <w:szCs w:val="20"/>
    </w:rPr>
  </w:style>
  <w:style w:type="paragraph" w:styleId="Signature">
    <w:name w:val="Signature"/>
    <w:basedOn w:val="Normal"/>
    <w:next w:val="EnvelopeReturn"/>
    <w:link w:val="SignatureChar"/>
    <w:rsid w:val="002C40A2"/>
    <w:pPr>
      <w:keepNext/>
      <w:keepLines/>
      <w:tabs>
        <w:tab w:val="right" w:pos="9072"/>
      </w:tabs>
      <w:suppressAutoHyphens/>
      <w:spacing w:before="600"/>
    </w:pPr>
    <w:rPr>
      <w:sz w:val="26"/>
      <w:szCs w:val="20"/>
      <w:lang w:val="x-none" w:eastAsia="x-none"/>
    </w:rPr>
  </w:style>
  <w:style w:type="character" w:customStyle="1" w:styleId="SignatureChar">
    <w:name w:val="Signature Char"/>
    <w:link w:val="Signature"/>
    <w:rsid w:val="002C40A2"/>
    <w:rPr>
      <w:rFonts w:ascii="Times New Roman" w:eastAsia="Times New Roman" w:hAnsi="Times New Roman" w:cs="Times New Roman"/>
      <w:color w:val="auto"/>
      <w:sz w:val="26"/>
      <w:szCs w:val="20"/>
    </w:rPr>
  </w:style>
  <w:style w:type="paragraph" w:customStyle="1" w:styleId="Vstulesdatumsunnumurs">
    <w:name w:val="Vçstules datums un numurs"/>
    <w:basedOn w:val="Normal"/>
    <w:next w:val="EnvelopeAddress"/>
    <w:rsid w:val="002C40A2"/>
    <w:pPr>
      <w:keepNext/>
      <w:keepLines/>
      <w:suppressAutoHyphens/>
      <w:ind w:right="4820"/>
    </w:pPr>
    <w:rPr>
      <w:sz w:val="2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A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C40A2"/>
    <w:rPr>
      <w:rFonts w:ascii="Tahoma" w:eastAsia="Times New Roman" w:hAnsi="Tahoma" w:cs="Tahoma"/>
      <w:color w:val="auto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859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9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3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C3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C39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43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eva.jakovleva@varam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e__x0020_un_x0020_noteikumu_x0020_nosaukums xmlns="05a7bc8e-bdc3-4b21-92af-9085676c9df6">
      <Url>http://edus.sprk.gov.lv/index.php?s=60025&amp;dok_reg=15403&amp;details=79747</Url>
      <Description>18.12.2014. Nr.2/26 "Dokumentu pārvaldības noteikumi"</Description>
    </Nr_x002e__x0020_un_x0020_noteikumu_x0020_nosaukums>
    <S_x0101_kot_x0020_ar xmlns="05a7bc8e-bdc3-4b21-92af-9085676c9df6">2014-12-31T22:00:00+00:00</S_x0101_kot_x0020_ar>
    <Pielikuma_x0020_Nr_x002e_ xmlns="05a7bc8e-bdc3-4b21-92af-9085676c9df6">Pielikums Nr.1</Pielikuma_x0020_Nr_x002e_>
    <Piez_x012b_mes xmlns="05a7bc8e-bdc3-4b21-92af-9085676c9df6">Sagatavo pēc Regulatora iniciatīvas</Piez_x012b_m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F87C0818AB44387118A25C54D753E" ma:contentTypeVersion="10" ma:contentTypeDescription="Create a new document." ma:contentTypeScope="" ma:versionID="f68443dff1bfe0496a32a1e9fd0aa250">
  <xsd:schema xmlns:xsd="http://www.w3.org/2001/XMLSchema" xmlns:xs="http://www.w3.org/2001/XMLSchema" xmlns:p="http://schemas.microsoft.com/office/2006/metadata/properties" xmlns:ns2="05a7bc8e-bdc3-4b21-92af-9085676c9df6" xmlns:ns3="21f7a9fe-7315-4d12-abaf-ae2e09d19234" targetNamespace="http://schemas.microsoft.com/office/2006/metadata/properties" ma:root="true" ma:fieldsID="f163cc0d743d6c68bb4c4af600d229d7" ns2:_="" ns3:_="">
    <xsd:import namespace="05a7bc8e-bdc3-4b21-92af-9085676c9df6"/>
    <xsd:import namespace="21f7a9fe-7315-4d12-abaf-ae2e09d19234"/>
    <xsd:element name="properties">
      <xsd:complexType>
        <xsd:sequence>
          <xsd:element name="documentManagement">
            <xsd:complexType>
              <xsd:all>
                <xsd:element ref="ns2:S_x0101_kot_x0020_ar" minOccurs="0"/>
                <xsd:element ref="ns2:Pielikuma_x0020_Nr_x002e_" minOccurs="0"/>
                <xsd:element ref="ns3:SharedWithUsers" minOccurs="0"/>
                <xsd:element ref="ns3:SharedWithDetails" minOccurs="0"/>
                <xsd:element ref="ns2:Piez_x012b_mes" minOccurs="0"/>
                <xsd:element ref="ns2:Nr_x002e__x0020_un_x0020_noteikumu_x0020_nosauk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7bc8e-bdc3-4b21-92af-9085676c9df6" elementFormDefault="qualified">
    <xsd:import namespace="http://schemas.microsoft.com/office/2006/documentManagement/types"/>
    <xsd:import namespace="http://schemas.microsoft.com/office/infopath/2007/PartnerControls"/>
    <xsd:element name="S_x0101_kot_x0020_ar" ma:index="8" nillable="true" ma:displayName="Sākot ar" ma:format="DateOnly" ma:internalName="S_x0101_kot_x0020_ar">
      <xsd:simpleType>
        <xsd:restriction base="dms:DateTime"/>
      </xsd:simpleType>
    </xsd:element>
    <xsd:element name="Pielikuma_x0020_Nr_x002e_" ma:index="9" nillable="true" ma:displayName="Pielikuma Nr." ma:internalName="Pielikuma_x0020_Nr_x002e_">
      <xsd:simpleType>
        <xsd:restriction base="dms:Text">
          <xsd:maxLength value="255"/>
        </xsd:restriction>
      </xsd:simpleType>
    </xsd:element>
    <xsd:element name="Piez_x012b_mes" ma:index="12" nillable="true" ma:displayName="Piezīmes" ma:internalName="Piez_x012b_mes">
      <xsd:simpleType>
        <xsd:restriction base="dms:Note">
          <xsd:maxLength value="255"/>
        </xsd:restriction>
      </xsd:simpleType>
    </xsd:element>
    <xsd:element name="Nr_x002e__x0020_un_x0020_noteikumu_x0020_nosaukums" ma:index="13" nillable="true" ma:displayName="Nr. un noteikumu nosaukums" ma:format="Hyperlink" ma:internalName="Nr_x002e__x0020_un_x0020_noteikumu_x0020_nosaukum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7a9fe-7315-4d12-abaf-ae2e09d19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369E-5EF6-4B8F-8305-0E805940E0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6259DF-D49E-49AA-9931-A4F586DD7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EFD7C-CF2D-4B0B-AB32-5EE2C9F2C5FF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05a7bc8e-bdc3-4b21-92af-9085676c9df6"/>
    <ds:schemaRef ds:uri="http://schemas.microsoft.com/office/2006/documentManagement/types"/>
    <ds:schemaRef ds:uri="21f7a9fe-7315-4d12-abaf-ae2e09d1923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94CF4A-2FD6-402B-857F-0564A21FF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7bc8e-bdc3-4b21-92af-9085676c9df6"/>
    <ds:schemaRef ds:uri="21f7a9fe-7315-4d12-abaf-ae2e09d19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BC3639-4E46-4369-BA33-E32AF9B9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2987</Characters>
  <Application>Microsoft Office Word</Application>
  <DocSecurity>0</DocSecurity>
  <Lines>114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Kristapa</dc:creator>
  <cp:lastModifiedBy>Zanda Kristapsone</cp:lastModifiedBy>
  <cp:revision>6</cp:revision>
  <cp:lastPrinted>2016-07-04T11:01:00Z</cp:lastPrinted>
  <dcterms:created xsi:type="dcterms:W3CDTF">2016-07-08T07:57:00Z</dcterms:created>
  <dcterms:modified xsi:type="dcterms:W3CDTF">2016-07-12T07:47:00Z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_MarkAsFinal">
    <vt:bool>true</vt:bool>
  </property>
</Properties>
</file>