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5" w:rsidRPr="009264C1" w:rsidRDefault="00E77C85" w:rsidP="00C50D09">
      <w:pPr>
        <w:pStyle w:val="Title"/>
        <w:rPr>
          <w:sz w:val="28"/>
          <w:szCs w:val="28"/>
        </w:rPr>
      </w:pPr>
      <w:r w:rsidRPr="009264C1">
        <w:rPr>
          <w:sz w:val="28"/>
          <w:szCs w:val="28"/>
        </w:rPr>
        <w:t>Likumprojekta</w:t>
      </w:r>
    </w:p>
    <w:p w:rsidR="002972A1" w:rsidRDefault="002922E6" w:rsidP="002972A1">
      <w:pPr>
        <w:pStyle w:val="BodyText"/>
        <w:spacing w:after="0" w:line="260" w:lineRule="exact"/>
        <w:jc w:val="center"/>
        <w:rPr>
          <w:b/>
          <w:sz w:val="28"/>
          <w:szCs w:val="28"/>
        </w:rPr>
      </w:pPr>
      <w:r w:rsidRPr="009264C1">
        <w:rPr>
          <w:b/>
          <w:sz w:val="28"/>
          <w:szCs w:val="28"/>
        </w:rPr>
        <w:t>„</w:t>
      </w:r>
      <w:r w:rsidR="00A24A69">
        <w:rPr>
          <w:b/>
          <w:sz w:val="28"/>
          <w:szCs w:val="28"/>
        </w:rPr>
        <w:t xml:space="preserve">Par Stratēģiskās partnerības </w:t>
      </w:r>
      <w:r w:rsidR="004101E6">
        <w:rPr>
          <w:b/>
          <w:sz w:val="28"/>
          <w:szCs w:val="28"/>
        </w:rPr>
        <w:t>nolīgum</w:t>
      </w:r>
      <w:r w:rsidR="00A24A69">
        <w:rPr>
          <w:b/>
          <w:sz w:val="28"/>
          <w:szCs w:val="28"/>
        </w:rPr>
        <w:t>u</w:t>
      </w:r>
      <w:r w:rsidR="004101E6">
        <w:rPr>
          <w:b/>
          <w:sz w:val="28"/>
          <w:szCs w:val="28"/>
        </w:rPr>
        <w:t xml:space="preserve"> starp Eiropas Savienību un tās dalībvalstīm, no vienas puses, un </w:t>
      </w:r>
      <w:r w:rsidR="00A24A69">
        <w:rPr>
          <w:b/>
          <w:sz w:val="28"/>
          <w:szCs w:val="28"/>
        </w:rPr>
        <w:t>Kanādu</w:t>
      </w:r>
      <w:r w:rsidR="004101E6">
        <w:rPr>
          <w:b/>
          <w:sz w:val="28"/>
          <w:szCs w:val="28"/>
        </w:rPr>
        <w:t>, no otras puses</w:t>
      </w:r>
      <w:r w:rsidR="0094146B">
        <w:rPr>
          <w:b/>
          <w:sz w:val="28"/>
          <w:szCs w:val="28"/>
        </w:rPr>
        <w:t xml:space="preserve">” </w:t>
      </w:r>
    </w:p>
    <w:p w:rsidR="005C71B5" w:rsidRPr="00BC2D2B" w:rsidRDefault="00C9311F" w:rsidP="005C71B5">
      <w:pPr>
        <w:pStyle w:val="BodyText"/>
        <w:spacing w:line="260" w:lineRule="exact"/>
        <w:jc w:val="center"/>
        <w:rPr>
          <w:b/>
          <w:sz w:val="28"/>
          <w:szCs w:val="28"/>
          <w:lang w:eastAsia="zh-CN"/>
        </w:rPr>
      </w:pPr>
      <w:r w:rsidRPr="00C3491A">
        <w:rPr>
          <w:b/>
          <w:sz w:val="28"/>
          <w:szCs w:val="28"/>
        </w:rPr>
        <w:t>sākotnējās ietekmes novērtējuma ziņojums</w:t>
      </w:r>
      <w:r w:rsidRPr="00C3491A">
        <w:rPr>
          <w:b/>
        </w:rPr>
        <w:t xml:space="preserve"> </w:t>
      </w:r>
      <w:r w:rsidR="005C71B5" w:rsidRPr="00C3491A">
        <w:rPr>
          <w:b/>
          <w:sz w:val="28"/>
          <w:szCs w:val="28"/>
        </w:rPr>
        <w:t>(anotācija)</w:t>
      </w:r>
    </w:p>
    <w:p w:rsidR="0066148A" w:rsidRPr="00C50D09" w:rsidRDefault="0066148A" w:rsidP="00200870">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8"/>
        <w:gridCol w:w="6163"/>
      </w:tblGrid>
      <w:tr w:rsidR="00F17343" w:rsidRPr="0031204D" w:rsidTr="00267C74">
        <w:tc>
          <w:tcPr>
            <w:tcW w:w="9287" w:type="dxa"/>
            <w:gridSpan w:val="3"/>
            <w:hideMark/>
          </w:tcPr>
          <w:p w:rsidR="00E77C85" w:rsidRPr="0031204D" w:rsidRDefault="00E77C85" w:rsidP="00F93EFA">
            <w:pPr>
              <w:jc w:val="center"/>
              <w:rPr>
                <w:lang w:eastAsia="lv-LV"/>
              </w:rPr>
            </w:pPr>
            <w:r w:rsidRPr="0031204D">
              <w:rPr>
                <w:b/>
                <w:bCs/>
                <w:lang w:eastAsia="lv-LV"/>
              </w:rPr>
              <w:t>I. Tiesību akta projekta izstrādes nepieciešamība</w:t>
            </w:r>
          </w:p>
        </w:tc>
      </w:tr>
      <w:tr w:rsidR="00614512" w:rsidRPr="0031204D" w:rsidTr="00C11DF1">
        <w:trPr>
          <w:trHeight w:val="630"/>
        </w:trPr>
        <w:tc>
          <w:tcPr>
            <w:tcW w:w="0" w:type="auto"/>
            <w:hideMark/>
          </w:tcPr>
          <w:p w:rsidR="00E77C85" w:rsidRPr="0031204D" w:rsidRDefault="00E77C85" w:rsidP="00C50D09">
            <w:pPr>
              <w:rPr>
                <w:lang w:eastAsia="lv-LV"/>
              </w:rPr>
            </w:pPr>
            <w:r w:rsidRPr="0031204D">
              <w:rPr>
                <w:lang w:eastAsia="lv-LV"/>
              </w:rPr>
              <w:t> 1.</w:t>
            </w:r>
          </w:p>
        </w:tc>
        <w:tc>
          <w:tcPr>
            <w:tcW w:w="0" w:type="auto"/>
            <w:hideMark/>
          </w:tcPr>
          <w:p w:rsidR="00E77C85" w:rsidRPr="0031204D" w:rsidRDefault="00E77C85" w:rsidP="00C50D09">
            <w:pPr>
              <w:rPr>
                <w:lang w:eastAsia="lv-LV"/>
              </w:rPr>
            </w:pPr>
            <w:r w:rsidRPr="0031204D">
              <w:rPr>
                <w:lang w:eastAsia="lv-LV"/>
              </w:rPr>
              <w:t>Pamatojums</w:t>
            </w:r>
          </w:p>
        </w:tc>
        <w:tc>
          <w:tcPr>
            <w:tcW w:w="0" w:type="auto"/>
            <w:shd w:val="clear" w:color="auto" w:fill="auto"/>
            <w:hideMark/>
          </w:tcPr>
          <w:p w:rsidR="00C46189" w:rsidRPr="004101E6" w:rsidRDefault="00DC6396" w:rsidP="00A24A69">
            <w:pPr>
              <w:pStyle w:val="BodyText2"/>
              <w:spacing w:before="80" w:after="80"/>
              <w:rPr>
                <w:sz w:val="24"/>
                <w:szCs w:val="24"/>
              </w:rPr>
            </w:pPr>
            <w:r w:rsidRPr="009264C1">
              <w:rPr>
                <w:sz w:val="24"/>
                <w:szCs w:val="24"/>
              </w:rPr>
              <w:t>Likumprojekts izstrādāts, lai saskaņā ar likuma „</w:t>
            </w:r>
            <w:r w:rsidR="00F20B7F" w:rsidRPr="009264C1">
              <w:rPr>
                <w:sz w:val="24"/>
                <w:szCs w:val="24"/>
              </w:rPr>
              <w:t>Par Latvijas Republikas starptautiskajiem līgumiem</w:t>
            </w:r>
            <w:r w:rsidRPr="009264C1">
              <w:rPr>
                <w:sz w:val="24"/>
                <w:szCs w:val="24"/>
              </w:rPr>
              <w:t>”</w:t>
            </w:r>
            <w:r w:rsidR="00F20B7F" w:rsidRPr="009264C1">
              <w:rPr>
                <w:sz w:val="24"/>
                <w:szCs w:val="24"/>
              </w:rPr>
              <w:t xml:space="preserve"> </w:t>
            </w:r>
            <w:r w:rsidR="00BD4795">
              <w:rPr>
                <w:sz w:val="24"/>
                <w:szCs w:val="24"/>
              </w:rPr>
              <w:t>9.</w:t>
            </w:r>
            <w:r w:rsidR="00A24A69">
              <w:rPr>
                <w:sz w:val="24"/>
                <w:szCs w:val="24"/>
              </w:rPr>
              <w:t> </w:t>
            </w:r>
            <w:r w:rsidR="00F20B7F" w:rsidRPr="009264C1">
              <w:rPr>
                <w:sz w:val="24"/>
                <w:szCs w:val="24"/>
              </w:rPr>
              <w:t xml:space="preserve">pantu </w:t>
            </w:r>
            <w:r w:rsidRPr="009264C1">
              <w:rPr>
                <w:sz w:val="24"/>
                <w:szCs w:val="24"/>
              </w:rPr>
              <w:t xml:space="preserve">apstiprinātu </w:t>
            </w:r>
            <w:r w:rsidR="00A24A69">
              <w:rPr>
                <w:sz w:val="24"/>
                <w:szCs w:val="24"/>
              </w:rPr>
              <w:t xml:space="preserve">Stratēģiskās partnerības </w:t>
            </w:r>
            <w:r w:rsidR="00EB3E38">
              <w:rPr>
                <w:sz w:val="24"/>
                <w:szCs w:val="24"/>
              </w:rPr>
              <w:t>n</w:t>
            </w:r>
            <w:r w:rsidR="00D414D6">
              <w:rPr>
                <w:sz w:val="24"/>
                <w:szCs w:val="24"/>
              </w:rPr>
              <w:t xml:space="preserve">olīgumu </w:t>
            </w:r>
            <w:r w:rsidR="004101E6">
              <w:rPr>
                <w:sz w:val="24"/>
                <w:szCs w:val="24"/>
              </w:rPr>
              <w:t>starp Eiropas Savienību</w:t>
            </w:r>
            <w:r w:rsidR="0094146B">
              <w:rPr>
                <w:sz w:val="24"/>
                <w:szCs w:val="24"/>
              </w:rPr>
              <w:t xml:space="preserve"> un tās dalībvalstīm, no vienas puses, un </w:t>
            </w:r>
            <w:r w:rsidR="00A24A69">
              <w:rPr>
                <w:sz w:val="24"/>
                <w:szCs w:val="24"/>
              </w:rPr>
              <w:t>Kanādu</w:t>
            </w:r>
            <w:r w:rsidR="0094146B">
              <w:rPr>
                <w:sz w:val="24"/>
                <w:szCs w:val="24"/>
              </w:rPr>
              <w:t>, no otr</w:t>
            </w:r>
            <w:r w:rsidR="004101E6">
              <w:rPr>
                <w:sz w:val="24"/>
                <w:szCs w:val="24"/>
              </w:rPr>
              <w:t xml:space="preserve">as puses (turpmāk – Nolīgums). </w:t>
            </w:r>
          </w:p>
        </w:tc>
      </w:tr>
      <w:tr w:rsidR="00614512" w:rsidRPr="0031204D" w:rsidTr="00F93EFA">
        <w:trPr>
          <w:trHeight w:val="472"/>
        </w:trPr>
        <w:tc>
          <w:tcPr>
            <w:tcW w:w="0" w:type="auto"/>
            <w:hideMark/>
          </w:tcPr>
          <w:p w:rsidR="00E77C85" w:rsidRPr="0031204D" w:rsidRDefault="0041760B" w:rsidP="00C50D09">
            <w:pPr>
              <w:rPr>
                <w:lang w:eastAsia="lv-LV"/>
              </w:rPr>
            </w:pPr>
            <w:r w:rsidRPr="0031204D">
              <w:rPr>
                <w:lang w:eastAsia="lv-LV"/>
              </w:rPr>
              <w:t> 2.</w:t>
            </w:r>
          </w:p>
        </w:tc>
        <w:tc>
          <w:tcPr>
            <w:tcW w:w="0" w:type="auto"/>
            <w:hideMark/>
          </w:tcPr>
          <w:p w:rsidR="00E77C85" w:rsidRPr="009264C1" w:rsidRDefault="00145C48" w:rsidP="00C50D09">
            <w:pPr>
              <w:rPr>
                <w:lang w:eastAsia="lv-LV"/>
              </w:rPr>
            </w:pPr>
            <w:r w:rsidRPr="009264C1">
              <w:rPr>
                <w:lang w:eastAsia="lv-LV"/>
              </w:rPr>
              <w:t>Pašreizējā situācija un problēmas, kuru risināšanai tiesību akta projekts izstrādāts, tiesiskā regulējuma mērķis un būtība</w:t>
            </w:r>
          </w:p>
        </w:tc>
        <w:tc>
          <w:tcPr>
            <w:tcW w:w="0" w:type="auto"/>
            <w:hideMark/>
          </w:tcPr>
          <w:p w:rsidR="00C43C3A" w:rsidRDefault="0002609A" w:rsidP="00F85137">
            <w:pPr>
              <w:spacing w:before="80" w:after="80"/>
              <w:jc w:val="both"/>
              <w:rPr>
                <w:noProof/>
              </w:rPr>
            </w:pPr>
            <w:r w:rsidRPr="0089323B">
              <w:t xml:space="preserve">Eiropas Savienības (ES) un Kanādas </w:t>
            </w:r>
            <w:r w:rsidR="00C436BA">
              <w:t>sadarbība oficiāli aizsākās 1976. gadā, kad tika parakstīts Pamatnolīgums par tirdzniecisko un ekonomisko sadarbību starp Eiropas Kopienām un Kanādu</w:t>
            </w:r>
            <w:r w:rsidR="00877676">
              <w:t xml:space="preserve"> (</w:t>
            </w:r>
            <w:r w:rsidR="00877676" w:rsidRPr="003C0DCA">
              <w:rPr>
                <w:i/>
              </w:rPr>
              <w:t>Framework Agreement for commercial and economic cooperation</w:t>
            </w:r>
            <w:r w:rsidR="00877676">
              <w:t>)</w:t>
            </w:r>
            <w:r w:rsidR="00C436BA">
              <w:t xml:space="preserve">, veidojot pamatu </w:t>
            </w:r>
            <w:r w:rsidR="00C436BA">
              <w:rPr>
                <w:noProof/>
              </w:rPr>
              <w:t>attiecību paplašināšanai, politiskās saiknes stiprināšanai un pušu sadarbībai. Partnerība tādās jomās kā ekonomika, zinātne un kultūra gan divpusējā, gan daudzpusējā līmenī vairāk tika nostiprināta, 1990. gadā parakstot Transatlantisko attiecību deklarāciju starp Eiropas Kopienu un tās dalībvalstīm</w:t>
            </w:r>
            <w:r w:rsidR="00600DCF">
              <w:rPr>
                <w:noProof/>
              </w:rPr>
              <w:t>,</w:t>
            </w:r>
            <w:r w:rsidR="00C436BA">
              <w:rPr>
                <w:noProof/>
              </w:rPr>
              <w:t xml:space="preserve"> un Kanādu</w:t>
            </w:r>
            <w:r w:rsidR="00877676">
              <w:rPr>
                <w:noProof/>
              </w:rPr>
              <w:t xml:space="preserve"> (</w:t>
            </w:r>
            <w:r w:rsidR="00877676" w:rsidRPr="00877676">
              <w:rPr>
                <w:i/>
                <w:noProof/>
                <w:lang w:val="en-GB"/>
              </w:rPr>
              <w:t>Declaration on Transatlantic Relations between the European Community and its Member States and Canada</w:t>
            </w:r>
            <w:r w:rsidR="00877676">
              <w:rPr>
                <w:noProof/>
              </w:rPr>
              <w:t>)</w:t>
            </w:r>
            <w:r w:rsidR="00C436BA">
              <w:rPr>
                <w:noProof/>
              </w:rPr>
              <w:t xml:space="preserve">. </w:t>
            </w:r>
            <w:r w:rsidR="0089323B" w:rsidRPr="0089323B">
              <w:t xml:space="preserve">1996. gada </w:t>
            </w:r>
            <w:r w:rsidR="0089323B" w:rsidRPr="00614EE7">
              <w:t>Kopīg</w:t>
            </w:r>
            <w:r w:rsidR="00C436BA" w:rsidRPr="00614EE7">
              <w:t>ā</w:t>
            </w:r>
            <w:r w:rsidR="0089323B" w:rsidRPr="00614EE7">
              <w:t xml:space="preserve"> politisk</w:t>
            </w:r>
            <w:r w:rsidR="00C436BA" w:rsidRPr="00614EE7">
              <w:t>ā</w:t>
            </w:r>
            <w:r w:rsidR="0089323B" w:rsidRPr="00614EE7">
              <w:t xml:space="preserve"> deklarācij</w:t>
            </w:r>
            <w:r w:rsidR="00C436BA" w:rsidRPr="00614EE7">
              <w:t>a</w:t>
            </w:r>
            <w:r w:rsidR="0089323B" w:rsidRPr="00614EE7">
              <w:t xml:space="preserve"> par ES un Kanādas attiecībām un kopīg</w:t>
            </w:r>
            <w:r w:rsidR="00C436BA" w:rsidRPr="00614EE7">
              <w:t>ais</w:t>
            </w:r>
            <w:r w:rsidR="0089323B" w:rsidRPr="0089323B">
              <w:t xml:space="preserve"> ES un Kanādas rīcības plān</w:t>
            </w:r>
            <w:r w:rsidR="00C436BA">
              <w:t>s</w:t>
            </w:r>
            <w:r w:rsidR="0089323B" w:rsidRPr="0089323B">
              <w:t xml:space="preserve"> </w:t>
            </w:r>
            <w:r w:rsidR="00877676">
              <w:t>(</w:t>
            </w:r>
            <w:r w:rsidR="00877676" w:rsidRPr="003C0DCA">
              <w:rPr>
                <w:i/>
              </w:rPr>
              <w:t>Joint Political Declaration on EU-Canada Relations and Joint EU-Canada Action Plan</w:t>
            </w:r>
            <w:r w:rsidR="00877676">
              <w:t xml:space="preserve">) </w:t>
            </w:r>
            <w:r w:rsidR="00C436BA">
              <w:rPr>
                <w:noProof/>
              </w:rPr>
              <w:t>tika pieņemts,</w:t>
            </w:r>
            <w:r w:rsidR="00877676">
              <w:rPr>
                <w:noProof/>
              </w:rPr>
              <w:t xml:space="preserve"> lai </w:t>
            </w:r>
            <w:r w:rsidR="001D6DE9">
              <w:rPr>
                <w:noProof/>
              </w:rPr>
              <w:t xml:space="preserve">veicinātu </w:t>
            </w:r>
            <w:r w:rsidR="00877676">
              <w:rPr>
                <w:noProof/>
              </w:rPr>
              <w:t xml:space="preserve">sadarbību </w:t>
            </w:r>
            <w:r w:rsidR="00877676" w:rsidRPr="00877676">
              <w:rPr>
                <w:noProof/>
              </w:rPr>
              <w:t>kopējo</w:t>
            </w:r>
            <w:r w:rsidR="00877676" w:rsidRPr="002F4378">
              <w:rPr>
                <w:noProof/>
              </w:rPr>
              <w:t xml:space="preserve"> m</w:t>
            </w:r>
            <w:r w:rsidR="00877676">
              <w:rPr>
                <w:noProof/>
              </w:rPr>
              <w:t>ērķu sasniegšanā, kas balstīti uz vienādiem</w:t>
            </w:r>
            <w:r w:rsidR="00C436BA">
              <w:rPr>
                <w:noProof/>
              </w:rPr>
              <w:t xml:space="preserve"> principiem. Tāpat 2004. gadā </w:t>
            </w:r>
            <w:r w:rsidR="00C436BA" w:rsidRPr="00BE7BD1">
              <w:rPr>
                <w:noProof/>
              </w:rPr>
              <w:t xml:space="preserve">ES un Kanāda </w:t>
            </w:r>
            <w:r w:rsidR="00BE7BD1" w:rsidRPr="00BE7BD1">
              <w:rPr>
                <w:noProof/>
              </w:rPr>
              <w:t xml:space="preserve">apstiprināja </w:t>
            </w:r>
            <w:r w:rsidR="00C436BA" w:rsidRPr="00BE7BD1">
              <w:rPr>
                <w:noProof/>
              </w:rPr>
              <w:t>ES un Kanādas</w:t>
            </w:r>
            <w:r w:rsidR="00C436BA">
              <w:rPr>
                <w:noProof/>
              </w:rPr>
              <w:t xml:space="preserve"> partnerattiecību darba plānu</w:t>
            </w:r>
            <w:r w:rsidR="00877676">
              <w:rPr>
                <w:noProof/>
              </w:rPr>
              <w:t xml:space="preserve"> (</w:t>
            </w:r>
            <w:r w:rsidR="00877676" w:rsidRPr="00877676">
              <w:rPr>
                <w:i/>
                <w:noProof/>
              </w:rPr>
              <w:t>EU-Canada Partnership Agenda</w:t>
            </w:r>
            <w:r w:rsidR="00877676">
              <w:rPr>
                <w:noProof/>
              </w:rPr>
              <w:t>)</w:t>
            </w:r>
            <w:r w:rsidR="00C436BA">
              <w:rPr>
                <w:noProof/>
              </w:rPr>
              <w:t xml:space="preserve">, tādējādi </w:t>
            </w:r>
            <w:r w:rsidR="00877676" w:rsidRPr="00877676">
              <w:rPr>
                <w:noProof/>
              </w:rPr>
              <w:t>paplašinot</w:t>
            </w:r>
            <w:r w:rsidR="00C436BA" w:rsidRPr="00877676">
              <w:rPr>
                <w:noProof/>
              </w:rPr>
              <w:t xml:space="preserve"> dialogu</w:t>
            </w:r>
            <w:r w:rsidR="00C43C3A">
              <w:rPr>
                <w:noProof/>
              </w:rPr>
              <w:t>, kurā ietverta starptautiskā drošība, pasaules ekonomiskā labklājība, sadarbība tieslietu un iekšlietu jautājumos</w:t>
            </w:r>
            <w:r w:rsidR="00172860">
              <w:rPr>
                <w:noProof/>
              </w:rPr>
              <w:t>,</w:t>
            </w:r>
            <w:r w:rsidR="00C43C3A">
              <w:rPr>
                <w:noProof/>
              </w:rPr>
              <w:t xml:space="preserve"> u.c.</w:t>
            </w:r>
          </w:p>
          <w:p w:rsidR="00F85137" w:rsidRDefault="00C43C3A" w:rsidP="00F85137">
            <w:pPr>
              <w:spacing w:before="80" w:after="80"/>
              <w:jc w:val="both"/>
              <w:rPr>
                <w:noProof/>
              </w:rPr>
            </w:pPr>
            <w:r>
              <w:rPr>
                <w:noProof/>
              </w:rPr>
              <w:t>Ņemot vērā ES un Kanādas sadarbība</w:t>
            </w:r>
            <w:r w:rsidR="007D032A">
              <w:rPr>
                <w:noProof/>
              </w:rPr>
              <w:t>s</w:t>
            </w:r>
            <w:r>
              <w:rPr>
                <w:noProof/>
              </w:rPr>
              <w:t xml:space="preserve"> </w:t>
            </w:r>
            <w:r w:rsidR="007D032A">
              <w:rPr>
                <w:noProof/>
              </w:rPr>
              <w:t>a</w:t>
            </w:r>
            <w:r>
              <w:rPr>
                <w:noProof/>
              </w:rPr>
              <w:t>ttīstī</w:t>
            </w:r>
            <w:r w:rsidR="007D032A">
              <w:rPr>
                <w:noProof/>
              </w:rPr>
              <w:t>b</w:t>
            </w:r>
            <w:r>
              <w:rPr>
                <w:noProof/>
              </w:rPr>
              <w:t>u, ietverot plašāku nozaru loku,</w:t>
            </w:r>
            <w:r w:rsidRPr="007D032A">
              <w:rPr>
                <w:noProof/>
                <w:color w:val="FF0000"/>
              </w:rPr>
              <w:t xml:space="preserve"> </w:t>
            </w:r>
            <w:r w:rsidR="007D032A" w:rsidRPr="00BE7BD1">
              <w:rPr>
                <w:noProof/>
              </w:rPr>
              <w:t>ES</w:t>
            </w:r>
            <w:r w:rsidR="007D032A">
              <w:rPr>
                <w:noProof/>
              </w:rPr>
              <w:t xml:space="preserve"> </w:t>
            </w:r>
            <w:r>
              <w:rPr>
                <w:noProof/>
              </w:rPr>
              <w:t>Padome 2010. gada 8. decembrī pieņēma lēmumu</w:t>
            </w:r>
            <w:r w:rsidR="00C436BA">
              <w:rPr>
                <w:noProof/>
              </w:rPr>
              <w:t xml:space="preserve"> </w:t>
            </w:r>
            <w:r>
              <w:rPr>
                <w:noProof/>
              </w:rPr>
              <w:t xml:space="preserve">pilnvarot Eiropas Komisiju un </w:t>
            </w:r>
            <w:r w:rsidR="00706FA6" w:rsidRPr="00BE7BD1">
              <w:rPr>
                <w:noProof/>
              </w:rPr>
              <w:t xml:space="preserve">Eiropas </w:t>
            </w:r>
            <w:r w:rsidRPr="00BE7BD1">
              <w:rPr>
                <w:noProof/>
              </w:rPr>
              <w:t>Savienības</w:t>
            </w:r>
            <w:r w:rsidRPr="00706FA6">
              <w:rPr>
                <w:noProof/>
                <w:color w:val="FF0000"/>
              </w:rPr>
              <w:t xml:space="preserve"> </w:t>
            </w:r>
            <w:r>
              <w:rPr>
                <w:noProof/>
              </w:rPr>
              <w:t xml:space="preserve">Augsto pārstāvi ārlietās un drošības politikas jautājumos risināt sarunas par pamatlīgumu starp Eiropas Savienību un tās dalībvalstīm, no vienas puses, un Kanādu, no otras puses. Sarunas par </w:t>
            </w:r>
            <w:r w:rsidR="00877676">
              <w:rPr>
                <w:noProof/>
              </w:rPr>
              <w:t>N</w:t>
            </w:r>
            <w:r>
              <w:rPr>
                <w:noProof/>
              </w:rPr>
              <w:t>olīgumu sākās 2011. </w:t>
            </w:r>
            <w:r w:rsidR="00F63584">
              <w:rPr>
                <w:noProof/>
              </w:rPr>
              <w:t>g</w:t>
            </w:r>
            <w:r>
              <w:rPr>
                <w:noProof/>
              </w:rPr>
              <w:t>ada</w:t>
            </w:r>
            <w:r w:rsidR="00F63584">
              <w:rPr>
                <w:noProof/>
              </w:rPr>
              <w:t> </w:t>
            </w:r>
            <w:r w:rsidR="00706FA6">
              <w:rPr>
                <w:noProof/>
              </w:rPr>
              <w:t>septembrī un</w:t>
            </w:r>
            <w:r>
              <w:rPr>
                <w:noProof/>
              </w:rPr>
              <w:t xml:space="preserve"> </w:t>
            </w:r>
            <w:r w:rsidR="005A3B38">
              <w:rPr>
                <w:noProof/>
              </w:rPr>
              <w:t xml:space="preserve">noslēdzās </w:t>
            </w:r>
            <w:r w:rsidR="00706FA6">
              <w:rPr>
                <w:noProof/>
              </w:rPr>
              <w:t>ar</w:t>
            </w:r>
            <w:r w:rsidR="005A3B38">
              <w:rPr>
                <w:noProof/>
              </w:rPr>
              <w:t xml:space="preserve"> </w:t>
            </w:r>
            <w:r w:rsidR="00706FA6">
              <w:rPr>
                <w:noProof/>
              </w:rPr>
              <w:t>Nolīguma</w:t>
            </w:r>
            <w:r>
              <w:rPr>
                <w:noProof/>
              </w:rPr>
              <w:t xml:space="preserve"> parafē</w:t>
            </w:r>
            <w:r w:rsidR="00706FA6">
              <w:rPr>
                <w:noProof/>
              </w:rPr>
              <w:t>šanu</w:t>
            </w:r>
            <w:r>
              <w:rPr>
                <w:noProof/>
              </w:rPr>
              <w:t xml:space="preserve"> 2014. gada 8. septembrī. </w:t>
            </w:r>
          </w:p>
          <w:p w:rsidR="005A56A3" w:rsidRDefault="004C0046" w:rsidP="00F85137">
            <w:pPr>
              <w:spacing w:before="80" w:after="80"/>
              <w:jc w:val="both"/>
              <w:rPr>
                <w:noProof/>
              </w:rPr>
            </w:pPr>
            <w:r>
              <w:rPr>
                <w:noProof/>
              </w:rPr>
              <w:t>Nolīgumam ir divu pīlāru struktūra:</w:t>
            </w:r>
          </w:p>
          <w:p w:rsidR="004C0046" w:rsidRDefault="004C0046" w:rsidP="004C0046">
            <w:pPr>
              <w:pStyle w:val="ListParagraph"/>
              <w:numPr>
                <w:ilvl w:val="0"/>
                <w:numId w:val="5"/>
              </w:numPr>
              <w:spacing w:before="80" w:after="80"/>
              <w:jc w:val="both"/>
              <w:rPr>
                <w:noProof/>
              </w:rPr>
            </w:pPr>
            <w:r>
              <w:rPr>
                <w:noProof/>
              </w:rPr>
              <w:t xml:space="preserve">politiskā sadarbība ārpolitikas un drošības jautājumos, kas skar kopīgas intereses (masu iznīcināšanas ieroči, vieglie ieroči un kājnieku ieroči, terorisma apkarošana </w:t>
            </w:r>
            <w:r w:rsidRPr="004C0046">
              <w:rPr>
                <w:noProof/>
              </w:rPr>
              <w:t>un cīņa pret organizēto noziedzību un kibernoziedzību</w:t>
            </w:r>
            <w:r>
              <w:rPr>
                <w:noProof/>
              </w:rPr>
              <w:t xml:space="preserve">, starptautiskā miera un drošības veicināšana, sadarbība daudzpusējos un reģionālos </w:t>
            </w:r>
            <w:r>
              <w:rPr>
                <w:noProof/>
              </w:rPr>
              <w:lastRenderedPageBreak/>
              <w:t>forumos un organizācijās);</w:t>
            </w:r>
          </w:p>
          <w:p w:rsidR="004C0046" w:rsidRDefault="004C0046" w:rsidP="004C0046">
            <w:pPr>
              <w:pStyle w:val="ListParagraph"/>
              <w:numPr>
                <w:ilvl w:val="0"/>
                <w:numId w:val="5"/>
              </w:numPr>
              <w:spacing w:before="80" w:after="80"/>
              <w:jc w:val="both"/>
              <w:rPr>
                <w:noProof/>
              </w:rPr>
            </w:pPr>
            <w:r>
              <w:rPr>
                <w:noProof/>
              </w:rPr>
              <w:t xml:space="preserve">ekonomiskā un nozaru sadarbība (ekonomikas un ilgtspējīgas attīstības jomā, veicinot brīvo tirdzniecību un ieguldījumus, nodokļu jautājumi, </w:t>
            </w:r>
            <w:r w:rsidRPr="004C0046">
              <w:rPr>
                <w:noProof/>
              </w:rPr>
              <w:t>pētniecība un inovācijas, izglītība un kultūra, migrācija</w:t>
            </w:r>
            <w:r>
              <w:rPr>
                <w:noProof/>
              </w:rPr>
              <w:t>, tiesu iestāžu sadarbība).</w:t>
            </w:r>
          </w:p>
          <w:p w:rsidR="001D6DE9" w:rsidRDefault="001D6DE9" w:rsidP="001D6DE9">
            <w:pPr>
              <w:jc w:val="both"/>
              <w:rPr>
                <w:noProof/>
              </w:rPr>
            </w:pPr>
            <w:r>
              <w:rPr>
                <w:noProof/>
              </w:rPr>
              <w:t>Nolīgums veido pamatu sadarbībai, kurā ietverti Apvienoto Nāciju Organizācijas Statūtos izklāstītie principi, kā arī ievērotas starptautisko tiesību normas. Tas arī stiprina pušu apņemšanos uzturēt un veicināt demokrātiju, cilvēktiesības un pamatbrīvības.</w:t>
            </w:r>
          </w:p>
          <w:p w:rsidR="00E109F0" w:rsidRDefault="00E109F0" w:rsidP="00F85137">
            <w:pPr>
              <w:spacing w:before="80" w:after="80"/>
              <w:jc w:val="both"/>
              <w:rPr>
                <w:noProof/>
              </w:rPr>
            </w:pPr>
            <w:r w:rsidRPr="00E109F0">
              <w:t>Ar Nolīgumu tiek izveidots</w:t>
            </w:r>
            <w:r>
              <w:t xml:space="preserve"> arī politiskā dialoga vadīšanas mehānisms, paredzot </w:t>
            </w:r>
            <w:r>
              <w:rPr>
                <w:noProof/>
              </w:rPr>
              <w:t>ikgadējas augstākā līmeņa sanāksmes vadītāju līmenī un apspriedes ministru līmenī. Ar Nolīgumu izveido arī apvienoto ministru komiteju, ar kuru aizstāj iepriekšējo transatlantisko dialogu, un izveido apvienoto sadarbības komiteju, kuras mērķis ir uzraudzīt stratēģisko attiecību attīstību starp pusēm.</w:t>
            </w:r>
          </w:p>
          <w:p w:rsidR="00E109F0" w:rsidRDefault="00436C20" w:rsidP="00F85137">
            <w:pPr>
              <w:spacing w:before="80" w:after="80"/>
              <w:jc w:val="both"/>
              <w:rPr>
                <w:noProof/>
              </w:rPr>
            </w:pPr>
            <w:r>
              <w:rPr>
                <w:noProof/>
              </w:rPr>
              <w:t>Nolīgumā paredzēts, ka ļoti specifiskos gadījumos, ja tiek pārkāpti būtiski Nolīguma punkti, tā darbību var apturēt vai piemērot citus atbilstošus pasākumus, kas ietekmē divpusējās attiecības. Tāpat ārkārtas situācijās viena puse var uzsākt procedūru, kuras mērķis ir izbeigt ES un Kanādas visaptverošo ekonomikas un tirdzniecības nolīgumu.</w:t>
            </w:r>
          </w:p>
          <w:p w:rsidR="00436C20" w:rsidRDefault="00436C20" w:rsidP="00F85137">
            <w:pPr>
              <w:spacing w:before="80" w:after="80"/>
              <w:jc w:val="both"/>
              <w:rPr>
                <w:highlight w:val="yellow"/>
              </w:rPr>
            </w:pPr>
            <w:r>
              <w:rPr>
                <w:noProof/>
              </w:rPr>
              <w:t>Paredzams, ka Nolīgums kopā ar ES un Kanādas visaptverošo ekonomikas un tirdzniecības nolīgumu sniegs reālus ieguvumus un iespējas ES, tajā skaitā Latvijas, un Kanādas pilsoņiem.</w:t>
            </w:r>
          </w:p>
          <w:p w:rsidR="00CE3890" w:rsidRDefault="001C10B3" w:rsidP="00F85137">
            <w:pPr>
              <w:spacing w:before="80" w:after="80"/>
              <w:jc w:val="both"/>
            </w:pPr>
            <w:r w:rsidRPr="00335F87">
              <w:t>Nolīgums tiks parakstīts visās ES dalībvalstu valodās un būs vienlīdz autentisks visās šajās valodās.</w:t>
            </w:r>
            <w:r>
              <w:t xml:space="preserve">  </w:t>
            </w:r>
          </w:p>
          <w:p w:rsidR="001C10B3" w:rsidRDefault="001C10B3" w:rsidP="001C10B3">
            <w:pPr>
              <w:spacing w:before="80" w:after="80"/>
              <w:jc w:val="both"/>
            </w:pPr>
            <w:r>
              <w:t>Ņemot vērā, ka nolīgums ir jauktais starptautiskais nolīgums, kurš satur gan ES, gan dalībvalstu kompetencē esošos jautājumus, ir nepieciešama šī nolīguma apstiprināšana visās dalībvalstīs, kā arī Padomē.</w:t>
            </w:r>
          </w:p>
          <w:p w:rsidR="006A4789" w:rsidRPr="009264C1" w:rsidRDefault="001C10B3" w:rsidP="00922051">
            <w:pPr>
              <w:spacing w:before="80" w:after="80"/>
              <w:jc w:val="both"/>
            </w:pPr>
            <w:r>
              <w:t xml:space="preserve">Nolīguma parakstīšana plānota 2016. gada </w:t>
            </w:r>
            <w:r w:rsidR="00A24A69">
              <w:t>27</w:t>
            </w:r>
            <w:r>
              <w:t xml:space="preserve">. oktobrī </w:t>
            </w:r>
            <w:r w:rsidR="00A24A69">
              <w:t xml:space="preserve">ES un Kanādas samita laikā </w:t>
            </w:r>
            <w:r w:rsidRPr="00C3491A">
              <w:t>Brisel</w:t>
            </w:r>
            <w:r w:rsidR="00A24A69">
              <w:t>ē.</w:t>
            </w:r>
            <w:r w:rsidR="00D45623">
              <w:t xml:space="preserve"> </w:t>
            </w:r>
            <w:r w:rsidRPr="00C3491A">
              <w:t xml:space="preserve">Plānots, ka nolīgumu Latvijas Republikas vārdā parakstīs </w:t>
            </w:r>
            <w:r>
              <w:t xml:space="preserve">Latvijas Republikas </w:t>
            </w:r>
            <w:r w:rsidR="00E1109F">
              <w:t>ā</w:t>
            </w:r>
            <w:r>
              <w:t>rkārtēj</w:t>
            </w:r>
            <w:r w:rsidR="00922051">
              <w:t>ā</w:t>
            </w:r>
            <w:r>
              <w:t xml:space="preserve"> un pilnvarot</w:t>
            </w:r>
            <w:r w:rsidR="00922051">
              <w:t>ā</w:t>
            </w:r>
            <w:r>
              <w:t xml:space="preserve"> vēstniece Eiropas Savienībā Sanita Pavļuta</w:t>
            </w:r>
            <w:r w:rsidRPr="00946AE6">
              <w:t>-Deslandes</w:t>
            </w:r>
            <w:r>
              <w:t>.</w:t>
            </w:r>
          </w:p>
        </w:tc>
      </w:tr>
      <w:tr w:rsidR="00614512" w:rsidRPr="0031204D" w:rsidTr="00934D1A">
        <w:trPr>
          <w:trHeight w:val="289"/>
        </w:trPr>
        <w:tc>
          <w:tcPr>
            <w:tcW w:w="0" w:type="auto"/>
            <w:hideMark/>
          </w:tcPr>
          <w:p w:rsidR="00E77C85" w:rsidRPr="0031204D" w:rsidRDefault="0041760B" w:rsidP="00145C48">
            <w:pPr>
              <w:rPr>
                <w:lang w:eastAsia="lv-LV"/>
              </w:rPr>
            </w:pPr>
            <w:r w:rsidRPr="0031204D">
              <w:rPr>
                <w:lang w:eastAsia="lv-LV"/>
              </w:rPr>
              <w:lastRenderedPageBreak/>
              <w:t> </w:t>
            </w:r>
            <w:r w:rsidR="00145C48" w:rsidRPr="0031204D">
              <w:rPr>
                <w:lang w:eastAsia="lv-LV"/>
              </w:rPr>
              <w:t>3</w:t>
            </w:r>
            <w:r w:rsidRPr="0031204D">
              <w:rPr>
                <w:lang w:eastAsia="lv-LV"/>
              </w:rPr>
              <w:t>.</w:t>
            </w:r>
          </w:p>
        </w:tc>
        <w:tc>
          <w:tcPr>
            <w:tcW w:w="0" w:type="auto"/>
            <w:hideMark/>
          </w:tcPr>
          <w:p w:rsidR="00D82F66" w:rsidRPr="0031204D" w:rsidRDefault="0041760B" w:rsidP="00934D1A">
            <w:pPr>
              <w:rPr>
                <w:lang w:eastAsia="lv-LV"/>
              </w:rPr>
            </w:pPr>
            <w:r w:rsidRPr="0031204D">
              <w:rPr>
                <w:lang w:eastAsia="lv-LV"/>
              </w:rPr>
              <w:t>Projekta izstrādē iesaistītās institūcijas</w:t>
            </w:r>
          </w:p>
        </w:tc>
        <w:tc>
          <w:tcPr>
            <w:tcW w:w="0" w:type="auto"/>
            <w:hideMark/>
          </w:tcPr>
          <w:p w:rsidR="00E77C85" w:rsidRPr="00A75B17" w:rsidRDefault="00ED279A" w:rsidP="00ED279A">
            <w:pPr>
              <w:spacing w:before="120" w:after="120"/>
              <w:jc w:val="both"/>
              <w:rPr>
                <w:highlight w:val="yellow"/>
                <w:lang w:eastAsia="lv-LV"/>
              </w:rPr>
            </w:pPr>
            <w:r>
              <w:t>Ārlietu ministrija</w:t>
            </w:r>
            <w:r w:rsidR="009421E4">
              <w:t xml:space="preserve"> </w:t>
            </w:r>
          </w:p>
        </w:tc>
      </w:tr>
      <w:tr w:rsidR="00614512" w:rsidRPr="0031204D" w:rsidTr="00F93EFA">
        <w:tc>
          <w:tcPr>
            <w:tcW w:w="0" w:type="auto"/>
            <w:hideMark/>
          </w:tcPr>
          <w:p w:rsidR="00D92292" w:rsidRPr="0031204D" w:rsidRDefault="00D92292" w:rsidP="00145C48">
            <w:pPr>
              <w:rPr>
                <w:lang w:eastAsia="lv-LV"/>
              </w:rPr>
            </w:pPr>
            <w:r w:rsidRPr="0031204D">
              <w:rPr>
                <w:lang w:eastAsia="lv-LV"/>
              </w:rPr>
              <w:t> </w:t>
            </w:r>
            <w:r w:rsidR="00145C48" w:rsidRPr="0031204D">
              <w:rPr>
                <w:lang w:eastAsia="lv-LV"/>
              </w:rPr>
              <w:t>4</w:t>
            </w:r>
            <w:r w:rsidRPr="0031204D">
              <w:rPr>
                <w:lang w:eastAsia="lv-LV"/>
              </w:rPr>
              <w:t>.</w:t>
            </w:r>
          </w:p>
        </w:tc>
        <w:tc>
          <w:tcPr>
            <w:tcW w:w="0" w:type="auto"/>
            <w:hideMark/>
          </w:tcPr>
          <w:p w:rsidR="00D92292" w:rsidRPr="007B79E1" w:rsidRDefault="00D92292" w:rsidP="00C50D09">
            <w:pPr>
              <w:rPr>
                <w:lang w:eastAsia="lv-LV"/>
              </w:rPr>
            </w:pPr>
            <w:r w:rsidRPr="007B79E1">
              <w:rPr>
                <w:lang w:eastAsia="lv-LV"/>
              </w:rPr>
              <w:t>Cita informācija</w:t>
            </w:r>
          </w:p>
        </w:tc>
        <w:tc>
          <w:tcPr>
            <w:tcW w:w="0" w:type="auto"/>
            <w:hideMark/>
          </w:tcPr>
          <w:p w:rsidR="00D92292" w:rsidRPr="00335F87" w:rsidRDefault="00D558CA" w:rsidP="00D30040">
            <w:pPr>
              <w:spacing w:before="120" w:after="120"/>
              <w:jc w:val="both"/>
              <w:rPr>
                <w:highlight w:val="yellow"/>
                <w:lang w:eastAsia="lv-LV"/>
              </w:rPr>
            </w:pPr>
            <w:r w:rsidRPr="00D558CA">
              <w:t>Nav</w:t>
            </w:r>
          </w:p>
        </w:tc>
      </w:tr>
    </w:tbl>
    <w:p w:rsidR="00D82F66" w:rsidRPr="0031204D" w:rsidRDefault="00D82F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69"/>
        <w:gridCol w:w="5962"/>
      </w:tblGrid>
      <w:tr w:rsidR="00F17343" w:rsidRPr="0031204D" w:rsidTr="00F93EFA">
        <w:tc>
          <w:tcPr>
            <w:tcW w:w="0" w:type="auto"/>
            <w:gridSpan w:val="3"/>
            <w:hideMark/>
          </w:tcPr>
          <w:p w:rsidR="00E77C85" w:rsidRPr="0031204D" w:rsidRDefault="00E77C85" w:rsidP="00537031">
            <w:pPr>
              <w:jc w:val="center"/>
              <w:rPr>
                <w:b/>
                <w:lang w:eastAsia="lv-LV"/>
              </w:rPr>
            </w:pPr>
            <w:r w:rsidRPr="0031204D">
              <w:rPr>
                <w:lang w:eastAsia="lv-LV"/>
              </w:rPr>
              <w:t> </w:t>
            </w:r>
            <w:r w:rsidRPr="0031204D">
              <w:rPr>
                <w:b/>
                <w:lang w:eastAsia="lv-LV"/>
              </w:rPr>
              <w:t>II. Tiesību akta projekta ietekme uz sabiedrību</w:t>
            </w:r>
            <w:r w:rsidR="00145C48" w:rsidRPr="0031204D">
              <w:rPr>
                <w:b/>
                <w:lang w:eastAsia="lv-LV"/>
              </w:rPr>
              <w:t xml:space="preserve">, </w:t>
            </w:r>
            <w:r w:rsidR="00145C48" w:rsidRPr="0031204D">
              <w:rPr>
                <w:b/>
                <w:bCs/>
                <w:lang w:eastAsia="lv-LV"/>
              </w:rPr>
              <w:t>tautsaimniecības attīstību un administratīvo slogu</w:t>
            </w:r>
          </w:p>
        </w:tc>
      </w:tr>
      <w:tr w:rsidR="001C10B3" w:rsidRPr="0031204D" w:rsidTr="001C10B3">
        <w:trPr>
          <w:trHeight w:val="467"/>
        </w:trPr>
        <w:tc>
          <w:tcPr>
            <w:tcW w:w="0" w:type="auto"/>
            <w:hideMark/>
          </w:tcPr>
          <w:p w:rsidR="001C10B3" w:rsidRPr="0031204D" w:rsidRDefault="001C10B3" w:rsidP="00C50D09">
            <w:pPr>
              <w:rPr>
                <w:lang w:eastAsia="lv-LV"/>
              </w:rPr>
            </w:pPr>
            <w:r w:rsidRPr="0031204D">
              <w:rPr>
                <w:lang w:eastAsia="lv-LV"/>
              </w:rPr>
              <w:t> 1.</w:t>
            </w:r>
          </w:p>
        </w:tc>
        <w:tc>
          <w:tcPr>
            <w:tcW w:w="2771" w:type="dxa"/>
            <w:hideMark/>
          </w:tcPr>
          <w:p w:rsidR="001C10B3" w:rsidRPr="0031204D" w:rsidRDefault="001C10B3" w:rsidP="00C50D09">
            <w:pPr>
              <w:rPr>
                <w:lang w:eastAsia="lv-LV"/>
              </w:rPr>
            </w:pPr>
            <w:r w:rsidRPr="0031204D">
              <w:t xml:space="preserve">Sabiedrības mērķgrupas, kuras tiesiskais regulējums </w:t>
            </w:r>
            <w:r w:rsidRPr="0031204D">
              <w:lastRenderedPageBreak/>
              <w:t>ietekmē vai varētu ietekmēt</w:t>
            </w:r>
          </w:p>
        </w:tc>
        <w:tc>
          <w:tcPr>
            <w:tcW w:w="6060" w:type="dxa"/>
            <w:hideMark/>
          </w:tcPr>
          <w:p w:rsidR="001C10B3" w:rsidRPr="00614EE7" w:rsidRDefault="001C10B3" w:rsidP="00614EE7">
            <w:pPr>
              <w:spacing w:before="120" w:after="120"/>
              <w:jc w:val="both"/>
              <w:rPr>
                <w:lang w:eastAsia="lv-LV"/>
              </w:rPr>
            </w:pPr>
            <w:r w:rsidRPr="00614EE7">
              <w:rPr>
                <w:lang w:eastAsia="lv-LV"/>
              </w:rPr>
              <w:lastRenderedPageBreak/>
              <w:t xml:space="preserve">Nolīgums veidos jaunu un visaptverošu līgumtiesisko pamatu Latvijas attiecībām ar </w:t>
            </w:r>
            <w:r w:rsidR="00A24A69" w:rsidRPr="00614EE7">
              <w:rPr>
                <w:lang w:eastAsia="lv-LV"/>
              </w:rPr>
              <w:t>Kanādu</w:t>
            </w:r>
            <w:r w:rsidRPr="00614EE7">
              <w:rPr>
                <w:lang w:eastAsia="lv-LV"/>
              </w:rPr>
              <w:t xml:space="preserve">, sniedzot iespēju </w:t>
            </w:r>
            <w:r w:rsidRPr="00614EE7">
              <w:rPr>
                <w:lang w:eastAsia="lv-LV"/>
              </w:rPr>
              <w:lastRenderedPageBreak/>
              <w:t xml:space="preserve">attīstīt sadarbību starp Latviju un </w:t>
            </w:r>
            <w:r w:rsidR="00A24A69" w:rsidRPr="00614EE7">
              <w:rPr>
                <w:lang w:eastAsia="lv-LV"/>
              </w:rPr>
              <w:t>Kanādu</w:t>
            </w:r>
            <w:r w:rsidR="00CD0CA6" w:rsidRPr="00614EE7">
              <w:rPr>
                <w:lang w:eastAsia="lv-LV"/>
              </w:rPr>
              <w:t xml:space="preserve"> Nolīgumā ietvertajās nozarēs:</w:t>
            </w:r>
            <w:r w:rsidRPr="00614EE7">
              <w:rPr>
                <w:lang w:eastAsia="lv-LV"/>
              </w:rPr>
              <w:t xml:space="preserve"> ārpolitikas, ekonomikas un tirdzniecības jautājumos, kā arī tiesiskuma, brīvības</w:t>
            </w:r>
            <w:r w:rsidR="00614EE7" w:rsidRPr="00614EE7">
              <w:rPr>
                <w:lang w:eastAsia="lv-LV"/>
              </w:rPr>
              <w:t>,</w:t>
            </w:r>
            <w:r w:rsidRPr="00614EE7">
              <w:rPr>
                <w:lang w:eastAsia="lv-LV"/>
              </w:rPr>
              <w:t xml:space="preserve"> </w:t>
            </w:r>
            <w:r w:rsidR="00CD0CA6" w:rsidRPr="00614EE7">
              <w:rPr>
                <w:lang w:eastAsia="lv-LV"/>
              </w:rPr>
              <w:t xml:space="preserve">drošības politikas, </w:t>
            </w:r>
            <w:r w:rsidRPr="00614EE7">
              <w:rPr>
                <w:lang w:eastAsia="lv-LV"/>
              </w:rPr>
              <w:t>pasaules attīstības un humānās palīdzības, pētniecības, inovācijas un informācijas sabiedrības, izglītības un kultūras, ilgtspējīgas attīstības, enerģētikas un transporta jomā.</w:t>
            </w:r>
          </w:p>
        </w:tc>
      </w:tr>
      <w:tr w:rsidR="001C10B3" w:rsidRPr="0031204D" w:rsidTr="001C10B3">
        <w:trPr>
          <w:trHeight w:val="467"/>
        </w:trPr>
        <w:tc>
          <w:tcPr>
            <w:tcW w:w="0" w:type="auto"/>
          </w:tcPr>
          <w:p w:rsidR="001C10B3" w:rsidRPr="0031204D" w:rsidRDefault="001C10B3" w:rsidP="00C50D09">
            <w:pPr>
              <w:rPr>
                <w:lang w:eastAsia="lv-LV"/>
              </w:rPr>
            </w:pPr>
            <w:r w:rsidRPr="0031204D">
              <w:rPr>
                <w:lang w:eastAsia="lv-LV"/>
              </w:rPr>
              <w:lastRenderedPageBreak/>
              <w:t>2.</w:t>
            </w:r>
          </w:p>
        </w:tc>
        <w:tc>
          <w:tcPr>
            <w:tcW w:w="2771" w:type="dxa"/>
          </w:tcPr>
          <w:p w:rsidR="001C10B3" w:rsidRPr="0031204D" w:rsidRDefault="001C10B3" w:rsidP="00C50D09">
            <w:r w:rsidRPr="0031204D">
              <w:t>Tiesiskā regulējuma ietekme uz tautsaimniecību un administratīvo slogu</w:t>
            </w:r>
          </w:p>
        </w:tc>
        <w:tc>
          <w:tcPr>
            <w:tcW w:w="6060" w:type="dxa"/>
          </w:tcPr>
          <w:p w:rsidR="001C10B3" w:rsidRPr="007B79E1" w:rsidRDefault="001C10B3" w:rsidP="00CD0CA6">
            <w:pPr>
              <w:spacing w:before="120" w:after="120"/>
              <w:jc w:val="both"/>
              <w:rPr>
                <w:lang w:eastAsia="lv-LV"/>
              </w:rPr>
            </w:pPr>
            <w:r>
              <w:rPr>
                <w:lang w:eastAsia="lv-LV"/>
              </w:rPr>
              <w:t>Nolīgums neradīs papildus administratīvo slogu un tiks īstenots</w:t>
            </w:r>
            <w:r w:rsidR="00CD0CA6">
              <w:rPr>
                <w:lang w:eastAsia="lv-LV"/>
              </w:rPr>
              <w:t>, izmantojot</w:t>
            </w:r>
            <w:r>
              <w:rPr>
                <w:lang w:eastAsia="lv-LV"/>
              </w:rPr>
              <w:t xml:space="preserve"> </w:t>
            </w:r>
            <w:r w:rsidR="00CD0CA6">
              <w:rPr>
                <w:lang w:eastAsia="lv-LV"/>
              </w:rPr>
              <w:t>e</w:t>
            </w:r>
            <w:r>
              <w:rPr>
                <w:lang w:eastAsia="lv-LV"/>
              </w:rPr>
              <w:t>soš</w:t>
            </w:r>
            <w:r w:rsidR="00CD0CA6">
              <w:rPr>
                <w:lang w:eastAsia="lv-LV"/>
              </w:rPr>
              <w:t>os</w:t>
            </w:r>
            <w:r>
              <w:rPr>
                <w:lang w:eastAsia="lv-LV"/>
              </w:rPr>
              <w:t xml:space="preserve"> administratīv</w:t>
            </w:r>
            <w:r w:rsidR="00CD0CA6">
              <w:rPr>
                <w:lang w:eastAsia="lv-LV"/>
              </w:rPr>
              <w:t>os</w:t>
            </w:r>
            <w:r>
              <w:rPr>
                <w:lang w:eastAsia="lv-LV"/>
              </w:rPr>
              <w:t xml:space="preserve"> resurs</w:t>
            </w:r>
            <w:r w:rsidR="00CD0CA6">
              <w:rPr>
                <w:lang w:eastAsia="lv-LV"/>
              </w:rPr>
              <w:t>us</w:t>
            </w:r>
            <w:r>
              <w:rPr>
                <w:lang w:eastAsia="lv-LV"/>
              </w:rPr>
              <w:t xml:space="preserve">. </w:t>
            </w:r>
            <w:r w:rsidR="00157DF0">
              <w:rPr>
                <w:lang w:eastAsia="lv-LV"/>
              </w:rPr>
              <w:t xml:space="preserve">Nolīgums pozitīvi ietekmēs Latvijas un </w:t>
            </w:r>
            <w:r w:rsidR="00A24A69">
              <w:rPr>
                <w:lang w:eastAsia="lv-LV"/>
              </w:rPr>
              <w:t>Kanādas</w:t>
            </w:r>
            <w:r w:rsidR="00157DF0">
              <w:rPr>
                <w:lang w:eastAsia="lv-LV"/>
              </w:rPr>
              <w:t xml:space="preserve"> divpusējās attiecības, kā arī paplašinās sadarbību Latvijas tautsaimniecības attīstībai perspektīvās jomās, piemēram, pētniecības, inovācijas un informācijas sabiedrības, kā arī ilgtspējīgas attīstības, enerģētikas un transporta jomā.</w:t>
            </w:r>
          </w:p>
        </w:tc>
      </w:tr>
      <w:tr w:rsidR="001C10B3" w:rsidRPr="0031204D" w:rsidTr="001C10B3">
        <w:trPr>
          <w:trHeight w:val="531"/>
        </w:trPr>
        <w:tc>
          <w:tcPr>
            <w:tcW w:w="0" w:type="auto"/>
            <w:hideMark/>
          </w:tcPr>
          <w:p w:rsidR="001C10B3" w:rsidRPr="0031204D" w:rsidRDefault="001C10B3" w:rsidP="00C50D09">
            <w:pPr>
              <w:rPr>
                <w:lang w:eastAsia="lv-LV"/>
              </w:rPr>
            </w:pPr>
            <w:r w:rsidRPr="0031204D">
              <w:rPr>
                <w:lang w:eastAsia="lv-LV"/>
              </w:rPr>
              <w:t> 3.</w:t>
            </w:r>
          </w:p>
        </w:tc>
        <w:tc>
          <w:tcPr>
            <w:tcW w:w="2771" w:type="dxa"/>
          </w:tcPr>
          <w:p w:rsidR="001C10B3" w:rsidRPr="0031204D" w:rsidRDefault="001C10B3" w:rsidP="00C50D09">
            <w:pPr>
              <w:rPr>
                <w:lang w:eastAsia="lv-LV"/>
              </w:rPr>
            </w:pPr>
            <w:r w:rsidRPr="0031204D">
              <w:rPr>
                <w:lang w:eastAsia="lv-LV"/>
              </w:rPr>
              <w:t>Administratīvo izmaksu monetārs novērtējums</w:t>
            </w:r>
          </w:p>
        </w:tc>
        <w:tc>
          <w:tcPr>
            <w:tcW w:w="6060" w:type="dxa"/>
            <w:hideMark/>
          </w:tcPr>
          <w:p w:rsidR="001C10B3" w:rsidRPr="007B79E1" w:rsidRDefault="001C10B3" w:rsidP="00D30040">
            <w:pPr>
              <w:spacing w:before="120" w:after="120"/>
              <w:rPr>
                <w:lang w:eastAsia="lv-LV"/>
              </w:rPr>
            </w:pPr>
            <w:r w:rsidRPr="007B79E1">
              <w:rPr>
                <w:lang w:eastAsia="lv-LV"/>
              </w:rPr>
              <w:t>Nav attiecināms</w:t>
            </w:r>
          </w:p>
        </w:tc>
      </w:tr>
      <w:tr w:rsidR="001C10B3" w:rsidRPr="0031204D" w:rsidTr="001C10B3">
        <w:trPr>
          <w:trHeight w:val="70"/>
        </w:trPr>
        <w:tc>
          <w:tcPr>
            <w:tcW w:w="0" w:type="auto"/>
            <w:hideMark/>
          </w:tcPr>
          <w:p w:rsidR="001C10B3" w:rsidRPr="0031204D" w:rsidRDefault="001C10B3" w:rsidP="00F93418">
            <w:pPr>
              <w:jc w:val="both"/>
              <w:rPr>
                <w:lang w:eastAsia="lv-LV"/>
              </w:rPr>
            </w:pPr>
            <w:r w:rsidRPr="0031204D">
              <w:rPr>
                <w:lang w:eastAsia="lv-LV"/>
              </w:rPr>
              <w:t> 4.</w:t>
            </w:r>
          </w:p>
        </w:tc>
        <w:tc>
          <w:tcPr>
            <w:tcW w:w="2771" w:type="dxa"/>
            <w:hideMark/>
          </w:tcPr>
          <w:p w:rsidR="001C10B3" w:rsidRPr="0031204D" w:rsidRDefault="001C10B3" w:rsidP="00F93418">
            <w:pPr>
              <w:jc w:val="both"/>
              <w:rPr>
                <w:lang w:eastAsia="lv-LV"/>
              </w:rPr>
            </w:pPr>
            <w:r w:rsidRPr="0031204D">
              <w:rPr>
                <w:lang w:eastAsia="lv-LV"/>
              </w:rPr>
              <w:t> Cita informācija</w:t>
            </w:r>
          </w:p>
        </w:tc>
        <w:tc>
          <w:tcPr>
            <w:tcW w:w="6060" w:type="dxa"/>
            <w:hideMark/>
          </w:tcPr>
          <w:p w:rsidR="001C10B3" w:rsidRPr="007B79E1" w:rsidRDefault="001C10B3" w:rsidP="00A24A69">
            <w:pPr>
              <w:spacing w:before="120" w:after="120"/>
              <w:jc w:val="both"/>
              <w:rPr>
                <w:lang w:eastAsia="lv-LV"/>
              </w:rPr>
            </w:pPr>
            <w:r w:rsidRPr="002F2253">
              <w:rPr>
                <w:bCs/>
              </w:rPr>
              <w:t xml:space="preserve">Nolīgums ievērojami uzlabos ES un </w:t>
            </w:r>
            <w:r w:rsidR="00A24A69">
              <w:rPr>
                <w:bCs/>
              </w:rPr>
              <w:t xml:space="preserve">Kanādas </w:t>
            </w:r>
            <w:r w:rsidRPr="002F2253">
              <w:rPr>
                <w:bCs/>
              </w:rPr>
              <w:t xml:space="preserve">partnerattiecības, </w:t>
            </w:r>
            <w:r w:rsidRPr="00283B3C">
              <w:rPr>
                <w:bCs/>
              </w:rPr>
              <w:t>kuru pamatā ir kopīgas vērtības un principi, tostarp demokrātijas principu, cilvēktiesību un pamatbrīvību ievērošana, tiesiskums, starptautisks miers un drošība.</w:t>
            </w:r>
          </w:p>
        </w:tc>
      </w:tr>
    </w:tbl>
    <w:p w:rsidR="006D5229" w:rsidRPr="00D12DAE" w:rsidRDefault="006D5229" w:rsidP="00F93418">
      <w:pPr>
        <w:jc w:val="both"/>
        <w:rPr>
          <w:i/>
        </w:rPr>
      </w:pPr>
    </w:p>
    <w:p w:rsidR="00740740" w:rsidRPr="00D30040" w:rsidRDefault="006D5229" w:rsidP="00F93418">
      <w:pPr>
        <w:jc w:val="both"/>
        <w:rPr>
          <w:i/>
        </w:rPr>
      </w:pPr>
      <w:r w:rsidRPr="00D12DAE">
        <w:rPr>
          <w:i/>
        </w:rPr>
        <w:t>Anotācijas III</w:t>
      </w:r>
      <w:r>
        <w:rPr>
          <w:i/>
        </w:rPr>
        <w:t xml:space="preserve"> un </w:t>
      </w:r>
      <w:r w:rsidRPr="00D12DAE">
        <w:rPr>
          <w:i/>
        </w:rPr>
        <w:t>IV sadaļa – projekts šīs jomas neskar.</w:t>
      </w:r>
    </w:p>
    <w:p w:rsidR="00740740" w:rsidRPr="0031204D" w:rsidRDefault="00740740" w:rsidP="00F93418">
      <w:pPr>
        <w:jc w:val="both"/>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35"/>
        <w:gridCol w:w="5953"/>
      </w:tblGrid>
      <w:tr w:rsidR="00C50D09" w:rsidRPr="0031204D" w:rsidTr="00D12DAE">
        <w:tc>
          <w:tcPr>
            <w:tcW w:w="9323" w:type="dxa"/>
            <w:gridSpan w:val="3"/>
            <w:hideMark/>
          </w:tcPr>
          <w:p w:rsidR="00C50D09" w:rsidRPr="0031204D" w:rsidRDefault="00C50D09" w:rsidP="00F93418">
            <w:pPr>
              <w:jc w:val="both"/>
              <w:rPr>
                <w:b/>
                <w:lang w:eastAsia="lv-LV"/>
              </w:rPr>
            </w:pPr>
            <w:r w:rsidRPr="0031204D">
              <w:rPr>
                <w:lang w:eastAsia="lv-LV"/>
              </w:rPr>
              <w:t> </w:t>
            </w:r>
            <w:r w:rsidRPr="0031204D">
              <w:rPr>
                <w:b/>
                <w:lang w:eastAsia="lv-LV"/>
              </w:rPr>
              <w:t>V. Tiesību akta projekta atbilstība Latvijas Republikas starptautiskajām saistībām</w:t>
            </w:r>
          </w:p>
        </w:tc>
      </w:tr>
      <w:tr w:rsidR="00D80C77" w:rsidRPr="0031204D" w:rsidTr="00422A36">
        <w:tc>
          <w:tcPr>
            <w:tcW w:w="535" w:type="dxa"/>
            <w:tcBorders>
              <w:right w:val="single" w:sz="4" w:space="0" w:color="auto"/>
            </w:tcBorders>
          </w:tcPr>
          <w:p w:rsidR="00D80C77" w:rsidRPr="00D12DAE" w:rsidRDefault="00D80C77" w:rsidP="00F93418">
            <w:pPr>
              <w:jc w:val="both"/>
              <w:rPr>
                <w:lang w:eastAsia="lv-LV"/>
              </w:rPr>
            </w:pPr>
            <w:r w:rsidRPr="00D12DAE">
              <w:rPr>
                <w:lang w:eastAsia="lv-LV"/>
              </w:rPr>
              <w:t>1.</w:t>
            </w:r>
          </w:p>
        </w:tc>
        <w:tc>
          <w:tcPr>
            <w:tcW w:w="2835" w:type="dxa"/>
            <w:tcBorders>
              <w:left w:val="single" w:sz="4" w:space="0" w:color="auto"/>
              <w:right w:val="single" w:sz="4" w:space="0" w:color="auto"/>
            </w:tcBorders>
          </w:tcPr>
          <w:p w:rsidR="00D80C77" w:rsidRPr="00D12DAE" w:rsidRDefault="00D80C77" w:rsidP="00F93418">
            <w:pPr>
              <w:jc w:val="both"/>
              <w:rPr>
                <w:lang w:eastAsia="lv-LV"/>
              </w:rPr>
            </w:pPr>
            <w:r w:rsidRPr="0058326C">
              <w:rPr>
                <w:lang w:eastAsia="lv-LV"/>
              </w:rPr>
              <w:t>Saistības pret Eiropas Savienību</w:t>
            </w:r>
          </w:p>
        </w:tc>
        <w:tc>
          <w:tcPr>
            <w:tcW w:w="5953" w:type="dxa"/>
            <w:tcBorders>
              <w:left w:val="single" w:sz="4" w:space="0" w:color="auto"/>
            </w:tcBorders>
          </w:tcPr>
          <w:p w:rsidR="00820858" w:rsidRPr="00422A36" w:rsidRDefault="00157DF0" w:rsidP="00614EE7">
            <w:pPr>
              <w:jc w:val="both"/>
              <w:rPr>
                <w:bCs/>
              </w:rPr>
            </w:pPr>
            <w:r w:rsidRPr="00DF0252">
              <w:rPr>
                <w:bCs/>
              </w:rPr>
              <w:t xml:space="preserve">Likumprojekts atbilst Latvijas saistībām ES.  Nolīgums tiek noslēgts saskaņā ar </w:t>
            </w:r>
            <w:r w:rsidR="00F80135">
              <w:rPr>
                <w:bCs/>
              </w:rPr>
              <w:t>Līguma par Eiropas Savienību 37.</w:t>
            </w:r>
            <w:r w:rsidR="00965D65">
              <w:rPr>
                <w:bCs/>
              </w:rPr>
              <w:t> </w:t>
            </w:r>
            <w:r w:rsidR="00F80135">
              <w:rPr>
                <w:bCs/>
              </w:rPr>
              <w:t xml:space="preserve">pantu, kas nosaka, ka </w:t>
            </w:r>
            <w:r w:rsidR="00F80135" w:rsidRPr="00F80135">
              <w:rPr>
                <w:bCs/>
              </w:rPr>
              <w:t>Savienība var noslēgt nolīgumus ar vienu vai vairākām dalībvalstīm vai starptautiskām organizācijām</w:t>
            </w:r>
            <w:r w:rsidR="00F80135">
              <w:rPr>
                <w:bCs/>
              </w:rPr>
              <w:t xml:space="preserve"> un </w:t>
            </w:r>
            <w:r w:rsidRPr="00DF0252">
              <w:rPr>
                <w:bCs/>
              </w:rPr>
              <w:t>Līgumu par Eiropas Savienības darbību</w:t>
            </w:r>
            <w:r w:rsidR="00F80135">
              <w:rPr>
                <w:bCs/>
              </w:rPr>
              <w:t xml:space="preserve"> (turpmāk – LESD)</w:t>
            </w:r>
            <w:r w:rsidRPr="00DF0252">
              <w:rPr>
                <w:bCs/>
              </w:rPr>
              <w:t xml:space="preserve"> un konkrēti tā </w:t>
            </w:r>
            <w:r w:rsidR="00762BE1">
              <w:rPr>
                <w:bCs/>
              </w:rPr>
              <w:t>212. pantu 1.</w:t>
            </w:r>
            <w:r w:rsidR="00965D65">
              <w:rPr>
                <w:bCs/>
              </w:rPr>
              <w:t> </w:t>
            </w:r>
            <w:r w:rsidR="00762BE1">
              <w:rPr>
                <w:bCs/>
              </w:rPr>
              <w:t>daļu</w:t>
            </w:r>
            <w:r w:rsidR="00762BE1" w:rsidRPr="00762BE1">
              <w:rPr>
                <w:bCs/>
              </w:rPr>
              <w:t>, kas nosaka, ka, neskarot citus Līgumu noteikumus, jo īpaši 208. līdz 211. panta noteikumus, Savienība veic ekonomiskas, finansiālas un tehnisk</w:t>
            </w:r>
            <w:r w:rsidR="001A4E0F">
              <w:rPr>
                <w:bCs/>
              </w:rPr>
              <w:t>as sadarbības pasākumus ar trešajā</w:t>
            </w:r>
            <w:r w:rsidR="00762BE1" w:rsidRPr="00762BE1">
              <w:rPr>
                <w:bCs/>
              </w:rPr>
              <w:t xml:space="preserve">m valstīm, kas nav jaunattīstības valstis, tostarp sniedzot finansiālu palīdzību. Šādi pasākumi atbilst </w:t>
            </w:r>
            <w:r w:rsidR="00CD0CA6">
              <w:rPr>
                <w:bCs/>
              </w:rPr>
              <w:t xml:space="preserve">Eiropas </w:t>
            </w:r>
            <w:r w:rsidR="00762BE1" w:rsidRPr="00762BE1">
              <w:rPr>
                <w:bCs/>
              </w:rPr>
              <w:t xml:space="preserve">Savienības attīstības politikai, un tos veic, ievērojot </w:t>
            </w:r>
            <w:r w:rsidR="00CD0CA6">
              <w:rPr>
                <w:bCs/>
              </w:rPr>
              <w:t>ES</w:t>
            </w:r>
            <w:r w:rsidR="00762BE1" w:rsidRPr="00762BE1">
              <w:rPr>
                <w:bCs/>
              </w:rPr>
              <w:t xml:space="preserve"> </w:t>
            </w:r>
            <w:r w:rsidR="00762BE1" w:rsidRPr="00614EE7">
              <w:rPr>
                <w:bCs/>
              </w:rPr>
              <w:t>ārējās darbības</w:t>
            </w:r>
            <w:r w:rsidR="00614EE7">
              <w:rPr>
                <w:bCs/>
              </w:rPr>
              <w:t xml:space="preserve"> </w:t>
            </w:r>
            <w:r w:rsidR="00762BE1" w:rsidRPr="00762BE1">
              <w:rPr>
                <w:bCs/>
              </w:rPr>
              <w:t>principus un mērķus.</w:t>
            </w:r>
            <w:r w:rsidR="00614EE7">
              <w:rPr>
                <w:bCs/>
              </w:rPr>
              <w:t xml:space="preserve"> </w:t>
            </w:r>
            <w:r w:rsidR="003652CC">
              <w:rPr>
                <w:bCs/>
              </w:rPr>
              <w:t>Tāpat Nolīgums noslēgts</w:t>
            </w:r>
            <w:r w:rsidRPr="00DF0252">
              <w:rPr>
                <w:bCs/>
              </w:rPr>
              <w:t xml:space="preserve"> sa</w:t>
            </w:r>
            <w:r w:rsidR="00762BE1">
              <w:rPr>
                <w:bCs/>
              </w:rPr>
              <w:t>skaņā</w:t>
            </w:r>
            <w:r w:rsidRPr="00DF0252">
              <w:rPr>
                <w:bCs/>
              </w:rPr>
              <w:t xml:space="preserve"> ar </w:t>
            </w:r>
            <w:r w:rsidR="003652CC" w:rsidRPr="00BE7BD1">
              <w:rPr>
                <w:bCs/>
              </w:rPr>
              <w:t>LESD</w:t>
            </w:r>
            <w:r w:rsidR="003652CC">
              <w:rPr>
                <w:bCs/>
              </w:rPr>
              <w:t xml:space="preserve"> </w:t>
            </w:r>
            <w:r w:rsidRPr="00DF0252">
              <w:rPr>
                <w:bCs/>
              </w:rPr>
              <w:t>218.</w:t>
            </w:r>
            <w:r w:rsidR="00965D65">
              <w:rPr>
                <w:bCs/>
              </w:rPr>
              <w:t> </w:t>
            </w:r>
            <w:r w:rsidRPr="00DF0252">
              <w:rPr>
                <w:bCs/>
              </w:rPr>
              <w:t>panta 5.</w:t>
            </w:r>
            <w:r w:rsidR="00965D65">
              <w:rPr>
                <w:bCs/>
              </w:rPr>
              <w:t> </w:t>
            </w:r>
            <w:r w:rsidR="00762BE1">
              <w:rPr>
                <w:bCs/>
              </w:rPr>
              <w:t>daļu</w:t>
            </w:r>
            <w:r w:rsidRPr="00DF0252">
              <w:rPr>
                <w:bCs/>
              </w:rPr>
              <w:t>, kas nosaka, ka pēc sarunu vadītāja priekšlikuma Padome pieņem lēmumu, ar kuru atļauj parakstīt nolīgumu un vajadzības gadījumā – to provizoriski piemērot līdz brīdim, kad tas stājas</w:t>
            </w:r>
            <w:r>
              <w:rPr>
                <w:bCs/>
              </w:rPr>
              <w:t xml:space="preserve"> spēkā.</w:t>
            </w:r>
            <w:r w:rsidR="00820858">
              <w:rPr>
                <w:bCs/>
              </w:rPr>
              <w:t xml:space="preserve"> </w:t>
            </w:r>
          </w:p>
        </w:tc>
      </w:tr>
      <w:tr w:rsidR="00D80C77" w:rsidRPr="0031204D" w:rsidTr="00422A36">
        <w:tc>
          <w:tcPr>
            <w:tcW w:w="535" w:type="dxa"/>
            <w:tcBorders>
              <w:right w:val="single" w:sz="4" w:space="0" w:color="auto"/>
            </w:tcBorders>
          </w:tcPr>
          <w:p w:rsidR="00D80C77" w:rsidRPr="00D12DAE" w:rsidRDefault="00D80C77" w:rsidP="00F93418">
            <w:pPr>
              <w:jc w:val="both"/>
              <w:rPr>
                <w:lang w:eastAsia="lv-LV"/>
              </w:rPr>
            </w:pPr>
            <w:r w:rsidRPr="00D12DAE">
              <w:rPr>
                <w:lang w:eastAsia="lv-LV"/>
              </w:rPr>
              <w:t>2.</w:t>
            </w:r>
          </w:p>
        </w:tc>
        <w:tc>
          <w:tcPr>
            <w:tcW w:w="2835" w:type="dxa"/>
            <w:tcBorders>
              <w:left w:val="single" w:sz="4" w:space="0" w:color="auto"/>
              <w:right w:val="single" w:sz="4" w:space="0" w:color="auto"/>
            </w:tcBorders>
          </w:tcPr>
          <w:p w:rsidR="00D80C77" w:rsidRPr="00C311F8" w:rsidRDefault="00D80C77" w:rsidP="00F93418">
            <w:pPr>
              <w:jc w:val="both"/>
              <w:rPr>
                <w:lang w:eastAsia="lv-LV"/>
              </w:rPr>
            </w:pPr>
            <w:r w:rsidRPr="00C311F8">
              <w:t>Citas starptautiskās saistības</w:t>
            </w:r>
          </w:p>
        </w:tc>
        <w:tc>
          <w:tcPr>
            <w:tcW w:w="5953" w:type="dxa"/>
            <w:tcBorders>
              <w:left w:val="single" w:sz="4" w:space="0" w:color="auto"/>
            </w:tcBorders>
          </w:tcPr>
          <w:p w:rsidR="00D80C77" w:rsidRPr="00CA4D4D" w:rsidRDefault="00D80C77" w:rsidP="00F93418">
            <w:pPr>
              <w:spacing w:before="120" w:after="120"/>
              <w:jc w:val="both"/>
              <w:rPr>
                <w:lang w:eastAsia="lv-LV"/>
              </w:rPr>
            </w:pPr>
            <w:r w:rsidRPr="00CA4D4D">
              <w:rPr>
                <w:lang w:eastAsia="lv-LV"/>
              </w:rPr>
              <w:t>Nav attiecināms</w:t>
            </w:r>
          </w:p>
        </w:tc>
      </w:tr>
      <w:tr w:rsidR="00D80C77" w:rsidRPr="0031204D" w:rsidTr="00422A36">
        <w:tc>
          <w:tcPr>
            <w:tcW w:w="535" w:type="dxa"/>
            <w:tcBorders>
              <w:right w:val="single" w:sz="4" w:space="0" w:color="auto"/>
            </w:tcBorders>
          </w:tcPr>
          <w:p w:rsidR="00D80C77" w:rsidRPr="00D12DAE" w:rsidRDefault="00D80C77" w:rsidP="00F93418">
            <w:pPr>
              <w:jc w:val="both"/>
              <w:rPr>
                <w:lang w:eastAsia="lv-LV"/>
              </w:rPr>
            </w:pPr>
            <w:r w:rsidRPr="00D12DAE">
              <w:rPr>
                <w:lang w:eastAsia="lv-LV"/>
              </w:rPr>
              <w:t>3.</w:t>
            </w:r>
          </w:p>
        </w:tc>
        <w:tc>
          <w:tcPr>
            <w:tcW w:w="2835" w:type="dxa"/>
            <w:tcBorders>
              <w:left w:val="single" w:sz="4" w:space="0" w:color="auto"/>
              <w:right w:val="single" w:sz="4" w:space="0" w:color="auto"/>
            </w:tcBorders>
          </w:tcPr>
          <w:p w:rsidR="00D80C77" w:rsidRPr="00D12DAE" w:rsidRDefault="00D80C77" w:rsidP="00F93418">
            <w:pPr>
              <w:jc w:val="both"/>
              <w:rPr>
                <w:lang w:eastAsia="lv-LV"/>
              </w:rPr>
            </w:pPr>
            <w:r w:rsidRPr="0058326C">
              <w:rPr>
                <w:lang w:eastAsia="lv-LV"/>
              </w:rPr>
              <w:t>Cita informācija</w:t>
            </w:r>
          </w:p>
        </w:tc>
        <w:tc>
          <w:tcPr>
            <w:tcW w:w="5953" w:type="dxa"/>
            <w:tcBorders>
              <w:left w:val="single" w:sz="4" w:space="0" w:color="auto"/>
            </w:tcBorders>
          </w:tcPr>
          <w:p w:rsidR="00021057" w:rsidRDefault="00157DF0" w:rsidP="00F63584">
            <w:pPr>
              <w:spacing w:before="120" w:after="120"/>
              <w:jc w:val="both"/>
              <w:rPr>
                <w:lang w:eastAsia="lv-LV"/>
              </w:rPr>
            </w:pPr>
            <w:r>
              <w:rPr>
                <w:lang w:eastAsia="lv-LV"/>
              </w:rPr>
              <w:t xml:space="preserve">Nolīgums ir jauktais starptautiskais nolīgums, jo aptver jomas, kuras ir </w:t>
            </w:r>
            <w:r w:rsidR="00CD0CA6">
              <w:rPr>
                <w:lang w:eastAsia="lv-LV"/>
              </w:rPr>
              <w:t xml:space="preserve">Eiropas </w:t>
            </w:r>
            <w:r>
              <w:rPr>
                <w:lang w:eastAsia="lv-LV"/>
              </w:rPr>
              <w:t xml:space="preserve">Savienības un dalībvalstu dalītajā </w:t>
            </w:r>
            <w:r>
              <w:rPr>
                <w:lang w:eastAsia="lv-LV"/>
              </w:rPr>
              <w:lastRenderedPageBreak/>
              <w:t xml:space="preserve">un papildinošajā kompetencē. </w:t>
            </w:r>
          </w:p>
          <w:p w:rsidR="00820858" w:rsidRPr="00422A36" w:rsidRDefault="00820858" w:rsidP="00820858">
            <w:pPr>
              <w:spacing w:before="120" w:after="120"/>
              <w:jc w:val="both"/>
              <w:rPr>
                <w:lang w:eastAsia="lv-LV"/>
              </w:rPr>
            </w:pPr>
            <w:r w:rsidRPr="001510CF">
              <w:rPr>
                <w:lang w:eastAsia="lv-LV"/>
              </w:rPr>
              <w:t>Lēmumu par Nolīguma noslēgšanu un pagaidu piemērošanu paredzēts pieņemt Vispārējo lietu padomes laikā š.</w:t>
            </w:r>
            <w:r w:rsidR="00415518">
              <w:rPr>
                <w:lang w:eastAsia="lv-LV"/>
              </w:rPr>
              <w:t xml:space="preserve"> </w:t>
            </w:r>
            <w:bookmarkStart w:id="0" w:name="_GoBack"/>
            <w:bookmarkEnd w:id="0"/>
            <w:r w:rsidRPr="001510CF">
              <w:rPr>
                <w:lang w:eastAsia="lv-LV"/>
              </w:rPr>
              <w:t>g. 18. oktobrī. Par Padomes lēmumu panākta konceptuāla vienošanās COREPER II sanāksmē 07.09.2016., Rumānijai un Bulgārijai saglabājot atrunas par vīzu reciprocitāti.</w:t>
            </w:r>
          </w:p>
        </w:tc>
      </w:tr>
    </w:tbl>
    <w:p w:rsidR="00F46AE7" w:rsidRPr="0031204D" w:rsidRDefault="00F46AE7" w:rsidP="00F93418">
      <w:pPr>
        <w:jc w:val="both"/>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6921BD" w:rsidRPr="0031204D" w:rsidTr="00852C5E">
        <w:tc>
          <w:tcPr>
            <w:tcW w:w="9287" w:type="dxa"/>
            <w:gridSpan w:val="3"/>
            <w:hideMark/>
          </w:tcPr>
          <w:p w:rsidR="006921BD" w:rsidRPr="0031204D" w:rsidRDefault="006921BD" w:rsidP="00F93418">
            <w:pPr>
              <w:jc w:val="both"/>
              <w:rPr>
                <w:lang w:eastAsia="lv-LV"/>
              </w:rPr>
            </w:pPr>
            <w:r w:rsidRPr="0031204D">
              <w:rPr>
                <w:b/>
                <w:bCs/>
                <w:lang w:eastAsia="lv-LV"/>
              </w:rPr>
              <w:t>VI. Sabiedrības līdzdalība un komunikācijas aktivitātes</w:t>
            </w:r>
          </w:p>
        </w:tc>
      </w:tr>
      <w:tr w:rsidR="006921BD" w:rsidRPr="0031204D" w:rsidTr="006921BD">
        <w:trPr>
          <w:trHeight w:val="427"/>
        </w:trPr>
        <w:tc>
          <w:tcPr>
            <w:tcW w:w="538" w:type="dxa"/>
            <w:hideMark/>
          </w:tcPr>
          <w:p w:rsidR="006921BD" w:rsidRPr="0031204D" w:rsidRDefault="006921BD" w:rsidP="00F93418">
            <w:pPr>
              <w:jc w:val="both"/>
              <w:rPr>
                <w:lang w:eastAsia="lv-LV"/>
              </w:rPr>
            </w:pPr>
            <w:r w:rsidRPr="0031204D">
              <w:rPr>
                <w:lang w:eastAsia="lv-LV"/>
              </w:rPr>
              <w:t> 1.</w:t>
            </w:r>
          </w:p>
        </w:tc>
        <w:tc>
          <w:tcPr>
            <w:tcW w:w="4104" w:type="dxa"/>
          </w:tcPr>
          <w:p w:rsidR="006921BD" w:rsidRPr="00565BB3" w:rsidRDefault="006921BD" w:rsidP="00F93418">
            <w:pPr>
              <w:jc w:val="both"/>
              <w:rPr>
                <w:lang w:eastAsia="lv-LV"/>
              </w:rPr>
            </w:pPr>
            <w:r w:rsidRPr="00565BB3">
              <w:rPr>
                <w:lang w:eastAsia="lv-LV"/>
              </w:rPr>
              <w:t>Plānotās sabiedrības līdzdalības un komunikācijas aktivitātes saistībā ar projektu</w:t>
            </w:r>
          </w:p>
        </w:tc>
        <w:tc>
          <w:tcPr>
            <w:tcW w:w="4645" w:type="dxa"/>
          </w:tcPr>
          <w:p w:rsidR="006921BD" w:rsidRPr="00565BB3" w:rsidRDefault="00267C74" w:rsidP="00F93418">
            <w:pPr>
              <w:spacing w:before="120" w:after="120"/>
              <w:jc w:val="both"/>
            </w:pPr>
            <w:r>
              <w:t>Nav attiecināms</w:t>
            </w:r>
          </w:p>
        </w:tc>
      </w:tr>
      <w:tr w:rsidR="006921BD" w:rsidRPr="0031204D" w:rsidTr="006921BD">
        <w:trPr>
          <w:trHeight w:val="463"/>
        </w:trPr>
        <w:tc>
          <w:tcPr>
            <w:tcW w:w="538" w:type="dxa"/>
            <w:hideMark/>
          </w:tcPr>
          <w:p w:rsidR="006921BD" w:rsidRPr="0031204D" w:rsidRDefault="006921BD" w:rsidP="00F93418">
            <w:pPr>
              <w:jc w:val="both"/>
              <w:rPr>
                <w:lang w:eastAsia="lv-LV"/>
              </w:rPr>
            </w:pPr>
            <w:r w:rsidRPr="0031204D">
              <w:rPr>
                <w:lang w:eastAsia="lv-LV"/>
              </w:rPr>
              <w:t> 2.</w:t>
            </w:r>
          </w:p>
        </w:tc>
        <w:tc>
          <w:tcPr>
            <w:tcW w:w="4104" w:type="dxa"/>
          </w:tcPr>
          <w:p w:rsidR="006921BD" w:rsidRPr="0031204D" w:rsidRDefault="006921BD" w:rsidP="00F93418">
            <w:pPr>
              <w:jc w:val="both"/>
              <w:rPr>
                <w:lang w:eastAsia="lv-LV"/>
              </w:rPr>
            </w:pPr>
            <w:r w:rsidRPr="0031204D">
              <w:rPr>
                <w:lang w:eastAsia="lv-LV"/>
              </w:rPr>
              <w:t>Sabiedrības līdzdalība projekta izstrādē</w:t>
            </w:r>
          </w:p>
        </w:tc>
        <w:tc>
          <w:tcPr>
            <w:tcW w:w="4645" w:type="dxa"/>
          </w:tcPr>
          <w:p w:rsidR="006921BD" w:rsidRPr="00A75B17" w:rsidRDefault="00565BB3" w:rsidP="00F93418">
            <w:pPr>
              <w:jc w:val="both"/>
              <w:rPr>
                <w:highlight w:val="yellow"/>
                <w:lang w:eastAsia="lv-LV"/>
              </w:rPr>
            </w:pPr>
            <w:r>
              <w:rPr>
                <w:lang w:eastAsia="lv-LV"/>
              </w:rPr>
              <w:t>Nav attiecināms</w:t>
            </w:r>
          </w:p>
        </w:tc>
      </w:tr>
      <w:tr w:rsidR="006921BD" w:rsidRPr="0031204D" w:rsidTr="006921BD">
        <w:trPr>
          <w:trHeight w:val="725"/>
        </w:trPr>
        <w:tc>
          <w:tcPr>
            <w:tcW w:w="538" w:type="dxa"/>
            <w:hideMark/>
          </w:tcPr>
          <w:p w:rsidR="006921BD" w:rsidRPr="0031204D" w:rsidRDefault="006921BD" w:rsidP="00F93418">
            <w:pPr>
              <w:jc w:val="both"/>
              <w:rPr>
                <w:lang w:eastAsia="lv-LV"/>
              </w:rPr>
            </w:pPr>
            <w:r w:rsidRPr="0031204D">
              <w:rPr>
                <w:lang w:eastAsia="lv-LV"/>
              </w:rPr>
              <w:t> 3.</w:t>
            </w:r>
          </w:p>
        </w:tc>
        <w:tc>
          <w:tcPr>
            <w:tcW w:w="4104" w:type="dxa"/>
          </w:tcPr>
          <w:p w:rsidR="006921BD" w:rsidRPr="0031204D" w:rsidRDefault="006921BD" w:rsidP="00F93418">
            <w:pPr>
              <w:jc w:val="both"/>
              <w:rPr>
                <w:lang w:eastAsia="lv-LV"/>
              </w:rPr>
            </w:pPr>
            <w:r w:rsidRPr="0031204D">
              <w:rPr>
                <w:lang w:eastAsia="lv-LV"/>
              </w:rPr>
              <w:t>Sabiedrības līdzdalības rezultāti</w:t>
            </w:r>
          </w:p>
        </w:tc>
        <w:tc>
          <w:tcPr>
            <w:tcW w:w="4645" w:type="dxa"/>
          </w:tcPr>
          <w:p w:rsidR="006921BD" w:rsidRPr="00A75B17" w:rsidRDefault="00565BB3" w:rsidP="00F93418">
            <w:pPr>
              <w:jc w:val="both"/>
              <w:rPr>
                <w:highlight w:val="yellow"/>
                <w:lang w:eastAsia="lv-LV"/>
              </w:rPr>
            </w:pPr>
            <w:r>
              <w:rPr>
                <w:lang w:eastAsia="lv-LV"/>
              </w:rPr>
              <w:t>Nav attiecināms</w:t>
            </w:r>
          </w:p>
        </w:tc>
      </w:tr>
      <w:tr w:rsidR="006921BD" w:rsidRPr="0031204D" w:rsidTr="00852C5E">
        <w:trPr>
          <w:trHeight w:val="70"/>
        </w:trPr>
        <w:tc>
          <w:tcPr>
            <w:tcW w:w="538" w:type="dxa"/>
            <w:hideMark/>
          </w:tcPr>
          <w:p w:rsidR="006921BD" w:rsidRPr="0031204D" w:rsidRDefault="006921BD" w:rsidP="00F93418">
            <w:pPr>
              <w:jc w:val="both"/>
              <w:rPr>
                <w:lang w:eastAsia="lv-LV"/>
              </w:rPr>
            </w:pPr>
            <w:r w:rsidRPr="0031204D">
              <w:rPr>
                <w:lang w:eastAsia="lv-LV"/>
              </w:rPr>
              <w:t> 4.</w:t>
            </w:r>
          </w:p>
        </w:tc>
        <w:tc>
          <w:tcPr>
            <w:tcW w:w="4104" w:type="dxa"/>
            <w:hideMark/>
          </w:tcPr>
          <w:p w:rsidR="006921BD" w:rsidRPr="0031204D" w:rsidRDefault="006921BD" w:rsidP="00F93418">
            <w:pPr>
              <w:jc w:val="both"/>
              <w:rPr>
                <w:lang w:eastAsia="lv-LV"/>
              </w:rPr>
            </w:pPr>
            <w:r w:rsidRPr="0031204D">
              <w:rPr>
                <w:lang w:eastAsia="lv-LV"/>
              </w:rPr>
              <w:t> Cita informācija</w:t>
            </w:r>
          </w:p>
        </w:tc>
        <w:tc>
          <w:tcPr>
            <w:tcW w:w="4645" w:type="dxa"/>
            <w:hideMark/>
          </w:tcPr>
          <w:p w:rsidR="006921BD" w:rsidRPr="006971AF" w:rsidRDefault="0094146B" w:rsidP="006971AF">
            <w:pPr>
              <w:pStyle w:val="Statut"/>
              <w:spacing w:before="0"/>
              <w:jc w:val="both"/>
              <w:rPr>
                <w:szCs w:val="24"/>
                <w:lang w:eastAsia="lv-LV"/>
              </w:rPr>
            </w:pPr>
            <w:r>
              <w:rPr>
                <w:szCs w:val="24"/>
                <w:lang w:eastAsia="lv-LV"/>
              </w:rPr>
              <w:t xml:space="preserve">Nav </w:t>
            </w:r>
          </w:p>
        </w:tc>
      </w:tr>
    </w:tbl>
    <w:p w:rsidR="00D82F66" w:rsidRDefault="00D82F66"/>
    <w:p w:rsidR="000C3CBE" w:rsidRDefault="000C3CBE"/>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F17343" w:rsidRPr="0031204D" w:rsidTr="00D3063D">
        <w:tc>
          <w:tcPr>
            <w:tcW w:w="9287" w:type="dxa"/>
            <w:gridSpan w:val="3"/>
            <w:hideMark/>
          </w:tcPr>
          <w:p w:rsidR="00E77C85" w:rsidRPr="0031204D" w:rsidRDefault="00E77C85" w:rsidP="00C50D09">
            <w:pPr>
              <w:jc w:val="center"/>
              <w:rPr>
                <w:lang w:eastAsia="lv-LV"/>
              </w:rPr>
            </w:pPr>
            <w:r w:rsidRPr="0031204D">
              <w:rPr>
                <w:lang w:eastAsia="lv-LV"/>
              </w:rPr>
              <w:t> </w:t>
            </w:r>
            <w:r w:rsidRPr="0031204D">
              <w:rPr>
                <w:b/>
                <w:bCs/>
                <w:lang w:eastAsia="lv-LV"/>
              </w:rPr>
              <w:t>VII. Tiesību akta projekta izpildes nodrošināšana un tās ietekme uz institūcijām</w:t>
            </w:r>
          </w:p>
        </w:tc>
      </w:tr>
      <w:tr w:rsidR="00F17343" w:rsidRPr="0031204D" w:rsidTr="00B66EE2">
        <w:trPr>
          <w:trHeight w:val="427"/>
        </w:trPr>
        <w:tc>
          <w:tcPr>
            <w:tcW w:w="538" w:type="dxa"/>
            <w:hideMark/>
          </w:tcPr>
          <w:p w:rsidR="00E77C85" w:rsidRPr="0031204D" w:rsidRDefault="0087364D" w:rsidP="00C50D09">
            <w:pPr>
              <w:rPr>
                <w:lang w:eastAsia="lv-LV"/>
              </w:rPr>
            </w:pPr>
            <w:r w:rsidRPr="0031204D">
              <w:rPr>
                <w:lang w:eastAsia="lv-LV"/>
              </w:rPr>
              <w:t> 1.</w:t>
            </w:r>
          </w:p>
        </w:tc>
        <w:tc>
          <w:tcPr>
            <w:tcW w:w="4104" w:type="dxa"/>
            <w:hideMark/>
          </w:tcPr>
          <w:p w:rsidR="00E77C85" w:rsidRPr="0031204D" w:rsidRDefault="0087364D" w:rsidP="00C50D09">
            <w:pPr>
              <w:rPr>
                <w:lang w:eastAsia="lv-LV"/>
              </w:rPr>
            </w:pPr>
            <w:r w:rsidRPr="0031204D">
              <w:rPr>
                <w:lang w:eastAsia="lv-LV"/>
              </w:rPr>
              <w:t> Projekta izpildē iesaistītās institūcijas</w:t>
            </w:r>
          </w:p>
        </w:tc>
        <w:tc>
          <w:tcPr>
            <w:tcW w:w="4645" w:type="dxa"/>
            <w:hideMark/>
          </w:tcPr>
          <w:p w:rsidR="00D82F66" w:rsidRPr="00D32D94" w:rsidRDefault="005211ED" w:rsidP="00B16BC2">
            <w:pPr>
              <w:tabs>
                <w:tab w:val="left" w:pos="987"/>
              </w:tabs>
              <w:spacing w:before="120" w:after="120"/>
              <w:jc w:val="both"/>
              <w:rPr>
                <w:color w:val="000000"/>
                <w:highlight w:val="yellow"/>
              </w:rPr>
            </w:pPr>
            <w:r w:rsidRPr="00D30040">
              <w:rPr>
                <w:bCs/>
                <w:lang w:eastAsia="lv-LV"/>
              </w:rPr>
              <w:t>N</w:t>
            </w:r>
            <w:r w:rsidR="00565BB3" w:rsidRPr="00D30040">
              <w:rPr>
                <w:color w:val="000000"/>
              </w:rPr>
              <w:t>olīgumā paredzēto saistību izpildi koordinē Ārlietu ministrija</w:t>
            </w:r>
            <w:r w:rsidR="00A306AB" w:rsidRPr="00D30040">
              <w:rPr>
                <w:color w:val="000000"/>
              </w:rPr>
              <w:t>.</w:t>
            </w:r>
            <w:r w:rsidR="00565BB3" w:rsidRPr="00D30040">
              <w:rPr>
                <w:color w:val="000000"/>
              </w:rPr>
              <w:t xml:space="preserve"> </w:t>
            </w:r>
            <w:r w:rsidR="00B5423B">
              <w:rPr>
                <w:color w:val="000000"/>
              </w:rPr>
              <w:t>Nolīgums skar arī citu ministriju atbildības jomas.</w:t>
            </w:r>
            <w:r w:rsidR="00565BB3" w:rsidRPr="00D30040">
              <w:rPr>
                <w:color w:val="000000"/>
              </w:rPr>
              <w:t xml:space="preserve"> </w:t>
            </w:r>
          </w:p>
        </w:tc>
      </w:tr>
      <w:tr w:rsidR="00F17343" w:rsidRPr="0031204D" w:rsidTr="00B66EE2">
        <w:trPr>
          <w:trHeight w:val="463"/>
        </w:trPr>
        <w:tc>
          <w:tcPr>
            <w:tcW w:w="538" w:type="dxa"/>
            <w:hideMark/>
          </w:tcPr>
          <w:p w:rsidR="00E77C85" w:rsidRPr="0031204D" w:rsidRDefault="00E77C85" w:rsidP="00C50D09">
            <w:pPr>
              <w:rPr>
                <w:lang w:eastAsia="lv-LV"/>
              </w:rPr>
            </w:pPr>
            <w:r w:rsidRPr="0031204D">
              <w:rPr>
                <w:lang w:eastAsia="lv-LV"/>
              </w:rPr>
              <w:t> 2.</w:t>
            </w:r>
          </w:p>
        </w:tc>
        <w:tc>
          <w:tcPr>
            <w:tcW w:w="4104" w:type="dxa"/>
            <w:hideMark/>
          </w:tcPr>
          <w:p w:rsidR="006921BD" w:rsidRPr="0031204D" w:rsidRDefault="00E77C85" w:rsidP="006921BD">
            <w:pPr>
              <w:jc w:val="both"/>
              <w:rPr>
                <w:lang w:eastAsia="lv-LV"/>
              </w:rPr>
            </w:pPr>
            <w:r w:rsidRPr="0031204D">
              <w:rPr>
                <w:lang w:eastAsia="lv-LV"/>
              </w:rPr>
              <w:t> </w:t>
            </w:r>
            <w:r w:rsidR="006921BD" w:rsidRPr="0031204D">
              <w:rPr>
                <w:lang w:eastAsia="lv-LV"/>
              </w:rPr>
              <w:t>Projekta izpildes ietekme uz pārvaldes funkcijām un institucionālo struktūru.</w:t>
            </w:r>
          </w:p>
          <w:p w:rsidR="00D82F66" w:rsidRPr="0031204D" w:rsidRDefault="006921BD" w:rsidP="006921BD">
            <w:pPr>
              <w:jc w:val="both"/>
              <w:rPr>
                <w:lang w:eastAsia="lv-LV"/>
              </w:rPr>
            </w:pPr>
            <w:r w:rsidRPr="0031204D">
              <w:rPr>
                <w:lang w:eastAsia="lv-LV"/>
              </w:rPr>
              <w:t>Jaunu institūciju izveide, esošu institūciju likvidācija vai reorganizācija, to ietekme uz institūcijas cilvēkresursiem</w:t>
            </w:r>
          </w:p>
        </w:tc>
        <w:tc>
          <w:tcPr>
            <w:tcW w:w="4645" w:type="dxa"/>
            <w:hideMark/>
          </w:tcPr>
          <w:p w:rsidR="00E77C85" w:rsidRPr="00A75B17" w:rsidRDefault="00565BB3" w:rsidP="00D30040">
            <w:pPr>
              <w:spacing w:before="120" w:after="120"/>
              <w:rPr>
                <w:highlight w:val="yellow"/>
                <w:lang w:eastAsia="lv-LV"/>
              </w:rPr>
            </w:pPr>
            <w:r>
              <w:rPr>
                <w:lang w:eastAsia="lv-LV"/>
              </w:rPr>
              <w:t>Nav attiecināms</w:t>
            </w:r>
          </w:p>
        </w:tc>
      </w:tr>
      <w:tr w:rsidR="00F17343" w:rsidRPr="0031204D" w:rsidTr="00B66EE2">
        <w:trPr>
          <w:trHeight w:val="70"/>
        </w:trPr>
        <w:tc>
          <w:tcPr>
            <w:tcW w:w="538" w:type="dxa"/>
            <w:hideMark/>
          </w:tcPr>
          <w:p w:rsidR="00E77C85" w:rsidRPr="0031204D" w:rsidRDefault="006921BD" w:rsidP="00C50D09">
            <w:pPr>
              <w:rPr>
                <w:lang w:eastAsia="lv-LV"/>
              </w:rPr>
            </w:pPr>
            <w:r w:rsidRPr="0031204D">
              <w:rPr>
                <w:lang w:eastAsia="lv-LV"/>
              </w:rPr>
              <w:t> 3</w:t>
            </w:r>
            <w:r w:rsidR="00E77C85" w:rsidRPr="0031204D">
              <w:rPr>
                <w:lang w:eastAsia="lv-LV"/>
              </w:rPr>
              <w:t>.</w:t>
            </w:r>
          </w:p>
        </w:tc>
        <w:tc>
          <w:tcPr>
            <w:tcW w:w="4104" w:type="dxa"/>
            <w:hideMark/>
          </w:tcPr>
          <w:p w:rsidR="00D82F66" w:rsidRPr="0031204D" w:rsidRDefault="00E77C85" w:rsidP="00D82F66">
            <w:pPr>
              <w:rPr>
                <w:lang w:eastAsia="lv-LV"/>
              </w:rPr>
            </w:pPr>
            <w:r w:rsidRPr="0031204D">
              <w:rPr>
                <w:lang w:eastAsia="lv-LV"/>
              </w:rPr>
              <w:t> Cita informācija</w:t>
            </w:r>
          </w:p>
        </w:tc>
        <w:tc>
          <w:tcPr>
            <w:tcW w:w="4645" w:type="dxa"/>
            <w:hideMark/>
          </w:tcPr>
          <w:p w:rsidR="00E77C85" w:rsidRPr="00A75B17" w:rsidRDefault="00E77C85" w:rsidP="00D30040">
            <w:pPr>
              <w:spacing w:before="120" w:after="120"/>
              <w:rPr>
                <w:highlight w:val="yellow"/>
                <w:lang w:eastAsia="lv-LV"/>
              </w:rPr>
            </w:pPr>
            <w:r w:rsidRPr="00565BB3">
              <w:rPr>
                <w:lang w:eastAsia="lv-LV"/>
              </w:rPr>
              <w:t> </w:t>
            </w:r>
            <w:r w:rsidR="00D3063D" w:rsidRPr="00565BB3">
              <w:rPr>
                <w:lang w:eastAsia="lv-LV"/>
              </w:rPr>
              <w:t>Nav</w:t>
            </w:r>
          </w:p>
        </w:tc>
      </w:tr>
    </w:tbl>
    <w:p w:rsidR="00AF4892" w:rsidRPr="0031204D" w:rsidRDefault="00AF4892" w:rsidP="00DC6A07">
      <w:pPr>
        <w:tabs>
          <w:tab w:val="left" w:pos="709"/>
          <w:tab w:val="left" w:pos="7088"/>
          <w:tab w:val="left" w:pos="7371"/>
        </w:tabs>
        <w:rPr>
          <w:lang w:eastAsia="lv-LV"/>
        </w:rPr>
      </w:pPr>
    </w:p>
    <w:p w:rsidR="00D92292" w:rsidRDefault="00D92292" w:rsidP="00DC6A07">
      <w:pPr>
        <w:tabs>
          <w:tab w:val="left" w:pos="709"/>
          <w:tab w:val="left" w:pos="7088"/>
          <w:tab w:val="left" w:pos="7371"/>
        </w:tabs>
        <w:rPr>
          <w:lang w:eastAsia="lv-LV"/>
        </w:rPr>
      </w:pPr>
    </w:p>
    <w:p w:rsidR="006971AF" w:rsidRPr="0031204D" w:rsidRDefault="006971AF" w:rsidP="00DC6A07">
      <w:pPr>
        <w:tabs>
          <w:tab w:val="left" w:pos="709"/>
          <w:tab w:val="left" w:pos="7088"/>
          <w:tab w:val="left" w:pos="7371"/>
        </w:tabs>
        <w:rPr>
          <w:lang w:eastAsia="lv-LV"/>
        </w:rPr>
      </w:pPr>
    </w:p>
    <w:p w:rsidR="00A75B17" w:rsidRPr="00A75B17" w:rsidRDefault="0094146B" w:rsidP="00A75B17">
      <w:pPr>
        <w:rPr>
          <w:bCs/>
          <w:sz w:val="28"/>
          <w:szCs w:val="28"/>
        </w:rPr>
      </w:pPr>
      <w:r>
        <w:rPr>
          <w:bCs/>
          <w:sz w:val="28"/>
          <w:szCs w:val="28"/>
        </w:rPr>
        <w:t>Ārlietu ministrs</w:t>
      </w:r>
      <w:r w:rsidR="00FB4F91">
        <w:rPr>
          <w:bCs/>
          <w:sz w:val="28"/>
          <w:szCs w:val="28"/>
        </w:rPr>
        <w:tab/>
      </w:r>
      <w:r w:rsidR="00FB4F91">
        <w:rPr>
          <w:bCs/>
          <w:sz w:val="28"/>
          <w:szCs w:val="28"/>
        </w:rPr>
        <w:tab/>
      </w:r>
      <w:r w:rsidR="00FB4F91">
        <w:rPr>
          <w:bCs/>
          <w:sz w:val="28"/>
          <w:szCs w:val="28"/>
        </w:rPr>
        <w:tab/>
      </w:r>
      <w:r w:rsidR="00FB4F91">
        <w:rPr>
          <w:bCs/>
          <w:sz w:val="28"/>
          <w:szCs w:val="28"/>
        </w:rPr>
        <w:tab/>
      </w:r>
      <w:r>
        <w:rPr>
          <w:bCs/>
          <w:sz w:val="28"/>
          <w:szCs w:val="28"/>
        </w:rPr>
        <w:tab/>
      </w:r>
      <w:r>
        <w:rPr>
          <w:bCs/>
          <w:sz w:val="28"/>
          <w:szCs w:val="28"/>
        </w:rPr>
        <w:tab/>
      </w:r>
      <w:r>
        <w:rPr>
          <w:bCs/>
          <w:sz w:val="28"/>
          <w:szCs w:val="28"/>
        </w:rPr>
        <w:tab/>
      </w:r>
      <w:r>
        <w:rPr>
          <w:bCs/>
          <w:sz w:val="28"/>
          <w:szCs w:val="28"/>
        </w:rPr>
        <w:tab/>
        <w:t xml:space="preserve">E. Rinkēvičs </w:t>
      </w:r>
    </w:p>
    <w:p w:rsidR="00A75B17" w:rsidRPr="00A75B17" w:rsidRDefault="00A75B17" w:rsidP="00A75B17">
      <w:pPr>
        <w:rPr>
          <w:bCs/>
          <w:sz w:val="28"/>
          <w:szCs w:val="28"/>
        </w:rPr>
      </w:pPr>
    </w:p>
    <w:p w:rsidR="00A75B17" w:rsidRPr="00A75B17" w:rsidRDefault="00A75B17" w:rsidP="00A75B17">
      <w:pPr>
        <w:rPr>
          <w:bCs/>
          <w:sz w:val="28"/>
          <w:szCs w:val="28"/>
        </w:rPr>
      </w:pPr>
    </w:p>
    <w:p w:rsidR="00A75B17" w:rsidRPr="00A75B17" w:rsidRDefault="00FB4F91" w:rsidP="00A75B17">
      <w:pPr>
        <w:rPr>
          <w:bCs/>
          <w:sz w:val="28"/>
          <w:szCs w:val="28"/>
        </w:rPr>
      </w:pPr>
      <w:r>
        <w:rPr>
          <w:bCs/>
          <w:sz w:val="28"/>
          <w:szCs w:val="28"/>
        </w:rPr>
        <w:t>Vīza:</w:t>
      </w:r>
      <w:r w:rsidR="002972A1">
        <w:rPr>
          <w:bCs/>
          <w:sz w:val="28"/>
          <w:szCs w:val="28"/>
        </w:rPr>
        <w:t xml:space="preserve"> v</w:t>
      </w:r>
      <w:r w:rsidR="0094146B">
        <w:rPr>
          <w:bCs/>
          <w:sz w:val="28"/>
          <w:szCs w:val="28"/>
        </w:rPr>
        <w:t>a</w:t>
      </w:r>
      <w:r w:rsidR="00747312">
        <w:rPr>
          <w:bCs/>
          <w:sz w:val="28"/>
          <w:szCs w:val="28"/>
        </w:rPr>
        <w:t>lsts sekretār</w:t>
      </w:r>
      <w:r w:rsidR="00415518">
        <w:rPr>
          <w:bCs/>
          <w:sz w:val="28"/>
          <w:szCs w:val="28"/>
        </w:rPr>
        <w:t>s</w:t>
      </w:r>
      <w:r>
        <w:rPr>
          <w:bCs/>
          <w:sz w:val="28"/>
          <w:szCs w:val="28"/>
        </w:rPr>
        <w:tab/>
      </w:r>
      <w:r w:rsidR="0094146B">
        <w:rPr>
          <w:bCs/>
          <w:sz w:val="28"/>
          <w:szCs w:val="28"/>
        </w:rPr>
        <w:tab/>
      </w:r>
      <w:r w:rsidR="0094146B">
        <w:rPr>
          <w:bCs/>
          <w:sz w:val="28"/>
          <w:szCs w:val="28"/>
        </w:rPr>
        <w:tab/>
      </w:r>
      <w:r w:rsidR="0094146B">
        <w:rPr>
          <w:bCs/>
          <w:sz w:val="28"/>
          <w:szCs w:val="28"/>
        </w:rPr>
        <w:tab/>
      </w:r>
      <w:r w:rsidR="0094146B">
        <w:rPr>
          <w:bCs/>
          <w:sz w:val="28"/>
          <w:szCs w:val="28"/>
        </w:rPr>
        <w:tab/>
      </w:r>
      <w:r w:rsidR="0094146B">
        <w:rPr>
          <w:bCs/>
          <w:sz w:val="28"/>
          <w:szCs w:val="28"/>
        </w:rPr>
        <w:tab/>
      </w:r>
      <w:r w:rsidR="00747312">
        <w:rPr>
          <w:bCs/>
          <w:sz w:val="28"/>
          <w:szCs w:val="28"/>
        </w:rPr>
        <w:tab/>
      </w:r>
      <w:r w:rsidR="00A31415">
        <w:rPr>
          <w:bCs/>
          <w:sz w:val="28"/>
          <w:szCs w:val="28"/>
        </w:rPr>
        <w:t>A.</w:t>
      </w:r>
      <w:r w:rsidR="00D9334C">
        <w:rPr>
          <w:bCs/>
          <w:sz w:val="28"/>
          <w:szCs w:val="28"/>
        </w:rPr>
        <w:t> </w:t>
      </w:r>
      <w:r w:rsidR="00415518">
        <w:rPr>
          <w:bCs/>
          <w:sz w:val="28"/>
          <w:szCs w:val="28"/>
        </w:rPr>
        <w:t>Pildegovičs</w:t>
      </w:r>
      <w:r w:rsidR="00A75B17" w:rsidRPr="00A75B17">
        <w:rPr>
          <w:bCs/>
          <w:sz w:val="28"/>
          <w:szCs w:val="28"/>
        </w:rPr>
        <w:t xml:space="preserve"> </w:t>
      </w:r>
    </w:p>
    <w:p w:rsidR="00A75B17" w:rsidRPr="00A75B17" w:rsidRDefault="00A75B17" w:rsidP="00A75B17">
      <w:pPr>
        <w:jc w:val="both"/>
        <w:rPr>
          <w:sz w:val="22"/>
          <w:szCs w:val="22"/>
          <w:lang w:eastAsia="lv-LV"/>
        </w:rPr>
      </w:pPr>
    </w:p>
    <w:p w:rsidR="00A75B17" w:rsidRDefault="00A75B17" w:rsidP="00A75B17">
      <w:pPr>
        <w:jc w:val="both"/>
        <w:rPr>
          <w:sz w:val="20"/>
          <w:szCs w:val="20"/>
          <w:lang w:eastAsia="lv-LV"/>
        </w:rPr>
      </w:pPr>
    </w:p>
    <w:p w:rsidR="00586210" w:rsidRDefault="00586210" w:rsidP="00A75B17">
      <w:pPr>
        <w:jc w:val="both"/>
        <w:rPr>
          <w:sz w:val="20"/>
          <w:szCs w:val="20"/>
          <w:lang w:eastAsia="lv-LV"/>
        </w:rPr>
      </w:pPr>
    </w:p>
    <w:p w:rsidR="00586210" w:rsidRDefault="00586210" w:rsidP="00A75B17">
      <w:pPr>
        <w:jc w:val="both"/>
        <w:rPr>
          <w:sz w:val="20"/>
          <w:szCs w:val="20"/>
          <w:lang w:eastAsia="lv-LV"/>
        </w:rPr>
      </w:pPr>
    </w:p>
    <w:p w:rsidR="00586210" w:rsidRPr="00A75B17" w:rsidRDefault="00586210" w:rsidP="00A75B17">
      <w:pPr>
        <w:jc w:val="both"/>
        <w:rPr>
          <w:sz w:val="20"/>
          <w:szCs w:val="20"/>
          <w:lang w:eastAsia="lv-LV"/>
        </w:rPr>
      </w:pPr>
    </w:p>
    <w:p w:rsidR="00965D65" w:rsidRDefault="00922051" w:rsidP="00691D89">
      <w:pPr>
        <w:rPr>
          <w:sz w:val="20"/>
        </w:rPr>
      </w:pPr>
      <w:r>
        <w:rPr>
          <w:sz w:val="20"/>
        </w:rPr>
        <w:t>05.10.2016 12:45</w:t>
      </w:r>
    </w:p>
    <w:p w:rsidR="00280914" w:rsidRDefault="004C0046" w:rsidP="00691D89">
      <w:pPr>
        <w:rPr>
          <w:sz w:val="20"/>
          <w:lang w:val="da-DK"/>
        </w:rPr>
      </w:pPr>
      <w:r>
        <w:rPr>
          <w:sz w:val="20"/>
          <w:lang w:val="da-DK"/>
        </w:rPr>
        <w:t>1</w:t>
      </w:r>
      <w:r w:rsidR="00922051">
        <w:rPr>
          <w:sz w:val="20"/>
          <w:lang w:val="da-DK"/>
        </w:rPr>
        <w:t>096</w:t>
      </w:r>
    </w:p>
    <w:p w:rsidR="00691D89" w:rsidRPr="009264C1" w:rsidRDefault="00A24A69" w:rsidP="00691D89">
      <w:pPr>
        <w:rPr>
          <w:sz w:val="20"/>
          <w:lang w:val="da-DK"/>
        </w:rPr>
      </w:pPr>
      <w:r>
        <w:rPr>
          <w:sz w:val="20"/>
          <w:lang w:val="da-DK"/>
        </w:rPr>
        <w:t>S. Ulmane</w:t>
      </w:r>
    </w:p>
    <w:p w:rsidR="00933F1A" w:rsidRDefault="00A24A69" w:rsidP="00933F1A">
      <w:r>
        <w:rPr>
          <w:sz w:val="20"/>
          <w:szCs w:val="20"/>
        </w:rPr>
        <w:t xml:space="preserve">67016464, </w:t>
      </w:r>
      <w:hyperlink r:id="rId13" w:history="1">
        <w:r w:rsidRPr="00BA0BEB">
          <w:rPr>
            <w:rStyle w:val="Hyperlink"/>
            <w:sz w:val="20"/>
            <w:lang w:val="da-DK"/>
          </w:rPr>
          <w:t>sanita.ulmane@mfa.gov.lv</w:t>
        </w:r>
      </w:hyperlink>
      <w:r w:rsidR="00933F1A">
        <w:rPr>
          <w:color w:val="0000FF"/>
          <w:sz w:val="20"/>
          <w:u w:val="single"/>
          <w:lang w:val="da-DK"/>
        </w:rPr>
        <w:t xml:space="preserve"> </w:t>
      </w:r>
    </w:p>
    <w:sectPr w:rsidR="00933F1A" w:rsidSect="00CC59FA">
      <w:headerReference w:type="default" r:id="rId14"/>
      <w:footerReference w:type="default" r:id="rId15"/>
      <w:footerReference w:type="first" r:id="rId16"/>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D8" w:rsidRDefault="00906FD8" w:rsidP="00F17343">
      <w:r>
        <w:separator/>
      </w:r>
    </w:p>
  </w:endnote>
  <w:endnote w:type="continuationSeparator" w:id="0">
    <w:p w:rsidR="00906FD8" w:rsidRDefault="00906FD8"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1C10B3" w:rsidRDefault="00F9564F" w:rsidP="009328B7">
    <w:pPr>
      <w:pStyle w:val="Footer"/>
      <w:jc w:val="both"/>
    </w:pPr>
    <w:r>
      <w:rPr>
        <w:rFonts w:ascii="Times New Roman" w:hAnsi="Times New Roman"/>
        <w:snapToGrid/>
        <w:sz w:val="20"/>
      </w:rPr>
      <w:t>AMAnot_</w:t>
    </w:r>
    <w:r w:rsidR="00922051">
      <w:rPr>
        <w:rFonts w:ascii="Times New Roman" w:hAnsi="Times New Roman"/>
        <w:snapToGrid/>
        <w:sz w:val="20"/>
      </w:rPr>
      <w:t>0510</w:t>
    </w:r>
    <w:r w:rsidR="001C10B3" w:rsidRPr="001C10B3">
      <w:rPr>
        <w:rFonts w:ascii="Times New Roman" w:hAnsi="Times New Roman"/>
        <w:snapToGrid/>
        <w:sz w:val="20"/>
      </w:rPr>
      <w:t>16_</w:t>
    </w:r>
    <w:r w:rsidR="00A24A69">
      <w:rPr>
        <w:rFonts w:ascii="Times New Roman" w:hAnsi="Times New Roman"/>
        <w:snapToGrid/>
        <w:sz w:val="20"/>
      </w:rPr>
      <w:t>ES_Kanada.doc</w:t>
    </w:r>
    <w:r w:rsidR="001C10B3" w:rsidRPr="001C10B3">
      <w:rPr>
        <w:rFonts w:ascii="Times New Roman" w:hAnsi="Times New Roman"/>
        <w:snapToGrid/>
        <w:sz w:val="20"/>
      </w:rPr>
      <w:t>; Likumprojekta „</w:t>
    </w:r>
    <w:r w:rsidR="00A24A69">
      <w:rPr>
        <w:rFonts w:ascii="Times New Roman" w:hAnsi="Times New Roman"/>
        <w:snapToGrid/>
        <w:sz w:val="20"/>
      </w:rPr>
      <w:t>Par Stratēģiskās partnerības nolīgumu</w:t>
    </w:r>
    <w:r w:rsidR="001C10B3" w:rsidRPr="001C10B3">
      <w:rPr>
        <w:rFonts w:ascii="Times New Roman" w:hAnsi="Times New Roman"/>
        <w:snapToGrid/>
        <w:sz w:val="20"/>
      </w:rPr>
      <w:t xml:space="preserve"> starp Eiropas Savienību un tās dalībvalstīm, no vienas puses, un </w:t>
    </w:r>
    <w:r w:rsidR="00A24A69">
      <w:rPr>
        <w:rFonts w:ascii="Times New Roman" w:hAnsi="Times New Roman"/>
        <w:snapToGrid/>
        <w:sz w:val="20"/>
      </w:rPr>
      <w:t>Kanādu</w:t>
    </w:r>
    <w:r w:rsidR="001C10B3" w:rsidRPr="001C10B3">
      <w:rPr>
        <w:rFonts w:ascii="Times New Roman" w:hAnsi="Times New Roman"/>
        <w:snapToGrid/>
        <w:sz w:val="20"/>
      </w:rPr>
      <w:t>, no otras puses”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A24A69" w:rsidRDefault="00A24A69" w:rsidP="000C3CC8">
    <w:pPr>
      <w:pStyle w:val="Title"/>
      <w:jc w:val="both"/>
      <w:rPr>
        <w:b w:val="0"/>
        <w:sz w:val="20"/>
        <w:szCs w:val="20"/>
      </w:rPr>
    </w:pPr>
    <w:r w:rsidRPr="00A24A69">
      <w:rPr>
        <w:b w:val="0"/>
        <w:sz w:val="20"/>
      </w:rPr>
      <w:t>AMAnot_</w:t>
    </w:r>
    <w:r w:rsidR="00922051">
      <w:rPr>
        <w:b w:val="0"/>
        <w:sz w:val="20"/>
      </w:rPr>
      <w:t>0510</w:t>
    </w:r>
    <w:r w:rsidRPr="00A24A69">
      <w:rPr>
        <w:b w:val="0"/>
        <w:sz w:val="20"/>
      </w:rPr>
      <w:t>16_ES_Kanada.doc; Likumprojekta „Par Stratēģiskās partnerības nolīgumu starp Eiropas Savienību un tās dalībvalstīm, no vienas puses, un Kanādu, no otras puses”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D8" w:rsidRDefault="00906FD8" w:rsidP="00F17343">
      <w:r>
        <w:separator/>
      </w:r>
    </w:p>
  </w:footnote>
  <w:footnote w:type="continuationSeparator" w:id="0">
    <w:p w:rsidR="00906FD8" w:rsidRDefault="00906FD8" w:rsidP="00F1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A" w:rsidRDefault="00CC59FA">
    <w:pPr>
      <w:pStyle w:val="Header"/>
      <w:jc w:val="center"/>
    </w:pPr>
    <w:r>
      <w:fldChar w:fldCharType="begin"/>
    </w:r>
    <w:r>
      <w:instrText xml:space="preserve"> PAGE   \* MERGEFORMAT </w:instrText>
    </w:r>
    <w:r>
      <w:fldChar w:fldCharType="separate"/>
    </w:r>
    <w:r w:rsidR="00415518">
      <w:rPr>
        <w:noProof/>
      </w:rPr>
      <w:t>4</w:t>
    </w:r>
    <w:r>
      <w:rPr>
        <w:noProof/>
      </w:rPr>
      <w:fldChar w:fldCharType="end"/>
    </w:r>
  </w:p>
  <w:p w:rsidR="00CC59FA" w:rsidRDefault="00CC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3">
    <w:nsid w:val="2C4F1321"/>
    <w:multiLevelType w:val="hybridMultilevel"/>
    <w:tmpl w:val="3EC0A1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5F2AF5"/>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5"/>
    <w:rsid w:val="00000F6A"/>
    <w:rsid w:val="00001E37"/>
    <w:rsid w:val="00005B5C"/>
    <w:rsid w:val="00007D36"/>
    <w:rsid w:val="00007F44"/>
    <w:rsid w:val="00010226"/>
    <w:rsid w:val="00014BA5"/>
    <w:rsid w:val="0001651D"/>
    <w:rsid w:val="00021057"/>
    <w:rsid w:val="00022245"/>
    <w:rsid w:val="00025469"/>
    <w:rsid w:val="0002609A"/>
    <w:rsid w:val="00030A63"/>
    <w:rsid w:val="00030C41"/>
    <w:rsid w:val="00033734"/>
    <w:rsid w:val="0003609D"/>
    <w:rsid w:val="00040CBD"/>
    <w:rsid w:val="0004402E"/>
    <w:rsid w:val="0004564C"/>
    <w:rsid w:val="00045E3D"/>
    <w:rsid w:val="00046656"/>
    <w:rsid w:val="000468B0"/>
    <w:rsid w:val="00050060"/>
    <w:rsid w:val="00050705"/>
    <w:rsid w:val="00051A84"/>
    <w:rsid w:val="00053211"/>
    <w:rsid w:val="0005393E"/>
    <w:rsid w:val="00056756"/>
    <w:rsid w:val="00061FE8"/>
    <w:rsid w:val="00064532"/>
    <w:rsid w:val="000663FA"/>
    <w:rsid w:val="000706D6"/>
    <w:rsid w:val="00072868"/>
    <w:rsid w:val="00076DE8"/>
    <w:rsid w:val="00081B09"/>
    <w:rsid w:val="00090360"/>
    <w:rsid w:val="000904EA"/>
    <w:rsid w:val="00091513"/>
    <w:rsid w:val="00091995"/>
    <w:rsid w:val="000921EE"/>
    <w:rsid w:val="00093619"/>
    <w:rsid w:val="0009429A"/>
    <w:rsid w:val="0009581A"/>
    <w:rsid w:val="000A0668"/>
    <w:rsid w:val="000A130E"/>
    <w:rsid w:val="000A71BF"/>
    <w:rsid w:val="000B1BC5"/>
    <w:rsid w:val="000B2486"/>
    <w:rsid w:val="000C09CF"/>
    <w:rsid w:val="000C3CBE"/>
    <w:rsid w:val="000C3CC8"/>
    <w:rsid w:val="000C57F4"/>
    <w:rsid w:val="000C7282"/>
    <w:rsid w:val="000D005B"/>
    <w:rsid w:val="000D0F39"/>
    <w:rsid w:val="000D1811"/>
    <w:rsid w:val="000D464F"/>
    <w:rsid w:val="000D47FA"/>
    <w:rsid w:val="000D4DF7"/>
    <w:rsid w:val="000D738B"/>
    <w:rsid w:val="000E028E"/>
    <w:rsid w:val="000E1E6E"/>
    <w:rsid w:val="000F1297"/>
    <w:rsid w:val="000F3C12"/>
    <w:rsid w:val="000F60A0"/>
    <w:rsid w:val="000F74F2"/>
    <w:rsid w:val="00101586"/>
    <w:rsid w:val="00103D3B"/>
    <w:rsid w:val="001042E3"/>
    <w:rsid w:val="00106A33"/>
    <w:rsid w:val="001079C2"/>
    <w:rsid w:val="00112A73"/>
    <w:rsid w:val="001146EE"/>
    <w:rsid w:val="00115EF9"/>
    <w:rsid w:val="00117771"/>
    <w:rsid w:val="00123A40"/>
    <w:rsid w:val="0012620C"/>
    <w:rsid w:val="00137D06"/>
    <w:rsid w:val="0014010B"/>
    <w:rsid w:val="00144B69"/>
    <w:rsid w:val="0014524C"/>
    <w:rsid w:val="00145C48"/>
    <w:rsid w:val="001510CF"/>
    <w:rsid w:val="0015123F"/>
    <w:rsid w:val="00151E95"/>
    <w:rsid w:val="00152DD9"/>
    <w:rsid w:val="00157DF0"/>
    <w:rsid w:val="0016021B"/>
    <w:rsid w:val="001611C9"/>
    <w:rsid w:val="001627E0"/>
    <w:rsid w:val="00165047"/>
    <w:rsid w:val="0016599F"/>
    <w:rsid w:val="00166A88"/>
    <w:rsid w:val="00172860"/>
    <w:rsid w:val="00182F2B"/>
    <w:rsid w:val="00184953"/>
    <w:rsid w:val="00186CDA"/>
    <w:rsid w:val="0018725F"/>
    <w:rsid w:val="001923BD"/>
    <w:rsid w:val="00192AA0"/>
    <w:rsid w:val="001936AC"/>
    <w:rsid w:val="00194A4E"/>
    <w:rsid w:val="00195209"/>
    <w:rsid w:val="001A236E"/>
    <w:rsid w:val="001A2BC3"/>
    <w:rsid w:val="001A2E81"/>
    <w:rsid w:val="001A4E0F"/>
    <w:rsid w:val="001A6E90"/>
    <w:rsid w:val="001A7053"/>
    <w:rsid w:val="001B0230"/>
    <w:rsid w:val="001B1ED5"/>
    <w:rsid w:val="001B76D6"/>
    <w:rsid w:val="001C0E65"/>
    <w:rsid w:val="001C10B3"/>
    <w:rsid w:val="001C4139"/>
    <w:rsid w:val="001C4B38"/>
    <w:rsid w:val="001D2AEF"/>
    <w:rsid w:val="001D6DE9"/>
    <w:rsid w:val="001E269A"/>
    <w:rsid w:val="001E4C74"/>
    <w:rsid w:val="001F00B2"/>
    <w:rsid w:val="001F12CB"/>
    <w:rsid w:val="001F252B"/>
    <w:rsid w:val="001F363F"/>
    <w:rsid w:val="00200870"/>
    <w:rsid w:val="002044FB"/>
    <w:rsid w:val="0020553F"/>
    <w:rsid w:val="00206284"/>
    <w:rsid w:val="00207391"/>
    <w:rsid w:val="00210E66"/>
    <w:rsid w:val="00211A04"/>
    <w:rsid w:val="00212B7A"/>
    <w:rsid w:val="002130FF"/>
    <w:rsid w:val="00221B23"/>
    <w:rsid w:val="00223284"/>
    <w:rsid w:val="00226893"/>
    <w:rsid w:val="00230F14"/>
    <w:rsid w:val="00232C33"/>
    <w:rsid w:val="00233AEB"/>
    <w:rsid w:val="00237AA1"/>
    <w:rsid w:val="00242BB7"/>
    <w:rsid w:val="0024567B"/>
    <w:rsid w:val="00251339"/>
    <w:rsid w:val="00253D27"/>
    <w:rsid w:val="00255215"/>
    <w:rsid w:val="00260061"/>
    <w:rsid w:val="002608D2"/>
    <w:rsid w:val="00261EF0"/>
    <w:rsid w:val="002643AC"/>
    <w:rsid w:val="002659E2"/>
    <w:rsid w:val="00267A3F"/>
    <w:rsid w:val="00267C74"/>
    <w:rsid w:val="002746AE"/>
    <w:rsid w:val="00275D9F"/>
    <w:rsid w:val="00280914"/>
    <w:rsid w:val="0028221E"/>
    <w:rsid w:val="00283B3C"/>
    <w:rsid w:val="002922E6"/>
    <w:rsid w:val="00295C0D"/>
    <w:rsid w:val="002972A1"/>
    <w:rsid w:val="002A0654"/>
    <w:rsid w:val="002A1726"/>
    <w:rsid w:val="002A2421"/>
    <w:rsid w:val="002A2DCA"/>
    <w:rsid w:val="002A3054"/>
    <w:rsid w:val="002C3DE9"/>
    <w:rsid w:val="002C3EE5"/>
    <w:rsid w:val="002D04AF"/>
    <w:rsid w:val="002D3637"/>
    <w:rsid w:val="002D372E"/>
    <w:rsid w:val="002D79A3"/>
    <w:rsid w:val="002E0EC3"/>
    <w:rsid w:val="002E3488"/>
    <w:rsid w:val="002F0BED"/>
    <w:rsid w:val="002F2253"/>
    <w:rsid w:val="002F4378"/>
    <w:rsid w:val="00302CA7"/>
    <w:rsid w:val="0031204D"/>
    <w:rsid w:val="00321672"/>
    <w:rsid w:val="00322D4E"/>
    <w:rsid w:val="00323CAE"/>
    <w:rsid w:val="00325FBA"/>
    <w:rsid w:val="00330256"/>
    <w:rsid w:val="003346DD"/>
    <w:rsid w:val="00335F87"/>
    <w:rsid w:val="00340C49"/>
    <w:rsid w:val="003442B1"/>
    <w:rsid w:val="003652CC"/>
    <w:rsid w:val="003657A8"/>
    <w:rsid w:val="0036767C"/>
    <w:rsid w:val="003731FC"/>
    <w:rsid w:val="0037668D"/>
    <w:rsid w:val="00380A1F"/>
    <w:rsid w:val="00384568"/>
    <w:rsid w:val="00385125"/>
    <w:rsid w:val="00386DF6"/>
    <w:rsid w:val="003948B2"/>
    <w:rsid w:val="0039619C"/>
    <w:rsid w:val="003A2961"/>
    <w:rsid w:val="003A3B68"/>
    <w:rsid w:val="003A5B6C"/>
    <w:rsid w:val="003B4705"/>
    <w:rsid w:val="003B4D51"/>
    <w:rsid w:val="003C0DCA"/>
    <w:rsid w:val="003C64B3"/>
    <w:rsid w:val="003C7A9B"/>
    <w:rsid w:val="003D370F"/>
    <w:rsid w:val="003E3213"/>
    <w:rsid w:val="003E39D7"/>
    <w:rsid w:val="003E4395"/>
    <w:rsid w:val="003E5D31"/>
    <w:rsid w:val="003F0C5F"/>
    <w:rsid w:val="003F481E"/>
    <w:rsid w:val="003F72BB"/>
    <w:rsid w:val="00400947"/>
    <w:rsid w:val="00400E2E"/>
    <w:rsid w:val="004059E2"/>
    <w:rsid w:val="004061E6"/>
    <w:rsid w:val="00407832"/>
    <w:rsid w:val="004101E6"/>
    <w:rsid w:val="0041227D"/>
    <w:rsid w:val="00415518"/>
    <w:rsid w:val="0041760B"/>
    <w:rsid w:val="00420B5C"/>
    <w:rsid w:val="00422A36"/>
    <w:rsid w:val="0042384A"/>
    <w:rsid w:val="00427101"/>
    <w:rsid w:val="00432369"/>
    <w:rsid w:val="00433386"/>
    <w:rsid w:val="00436437"/>
    <w:rsid w:val="00436C20"/>
    <w:rsid w:val="00443ADC"/>
    <w:rsid w:val="0044407D"/>
    <w:rsid w:val="00450406"/>
    <w:rsid w:val="0045370C"/>
    <w:rsid w:val="0045397C"/>
    <w:rsid w:val="00456142"/>
    <w:rsid w:val="004603E9"/>
    <w:rsid w:val="0046091C"/>
    <w:rsid w:val="00460D82"/>
    <w:rsid w:val="0046244B"/>
    <w:rsid w:val="004648CC"/>
    <w:rsid w:val="00467905"/>
    <w:rsid w:val="004703A3"/>
    <w:rsid w:val="004732C2"/>
    <w:rsid w:val="004844DA"/>
    <w:rsid w:val="004910CE"/>
    <w:rsid w:val="00491B45"/>
    <w:rsid w:val="00493DEA"/>
    <w:rsid w:val="00494FA7"/>
    <w:rsid w:val="004A16D1"/>
    <w:rsid w:val="004A3F15"/>
    <w:rsid w:val="004A5686"/>
    <w:rsid w:val="004C0046"/>
    <w:rsid w:val="004C1309"/>
    <w:rsid w:val="004D07F3"/>
    <w:rsid w:val="004D0B19"/>
    <w:rsid w:val="004D19C1"/>
    <w:rsid w:val="004D2F5E"/>
    <w:rsid w:val="004D44B3"/>
    <w:rsid w:val="004D5928"/>
    <w:rsid w:val="004D6077"/>
    <w:rsid w:val="004D66A4"/>
    <w:rsid w:val="004D75F2"/>
    <w:rsid w:val="004D795F"/>
    <w:rsid w:val="004D79A2"/>
    <w:rsid w:val="004E7695"/>
    <w:rsid w:val="004F6381"/>
    <w:rsid w:val="004F70F7"/>
    <w:rsid w:val="00500AD6"/>
    <w:rsid w:val="00501C5D"/>
    <w:rsid w:val="0050762B"/>
    <w:rsid w:val="00517D01"/>
    <w:rsid w:val="0052023C"/>
    <w:rsid w:val="005211ED"/>
    <w:rsid w:val="00522CB6"/>
    <w:rsid w:val="0053440A"/>
    <w:rsid w:val="00535688"/>
    <w:rsid w:val="00537031"/>
    <w:rsid w:val="005404B2"/>
    <w:rsid w:val="00540D0C"/>
    <w:rsid w:val="00541228"/>
    <w:rsid w:val="00543BC9"/>
    <w:rsid w:val="005452D8"/>
    <w:rsid w:val="00554E9E"/>
    <w:rsid w:val="00555AC0"/>
    <w:rsid w:val="0055607D"/>
    <w:rsid w:val="0056127D"/>
    <w:rsid w:val="00561AEF"/>
    <w:rsid w:val="00564922"/>
    <w:rsid w:val="00565BB3"/>
    <w:rsid w:val="00566285"/>
    <w:rsid w:val="00570BAC"/>
    <w:rsid w:val="00570D7E"/>
    <w:rsid w:val="00574763"/>
    <w:rsid w:val="00580942"/>
    <w:rsid w:val="0058326C"/>
    <w:rsid w:val="00583636"/>
    <w:rsid w:val="00585889"/>
    <w:rsid w:val="00585C6E"/>
    <w:rsid w:val="00586210"/>
    <w:rsid w:val="0058693F"/>
    <w:rsid w:val="00586F2C"/>
    <w:rsid w:val="0058715D"/>
    <w:rsid w:val="00587422"/>
    <w:rsid w:val="00587B6B"/>
    <w:rsid w:val="00587E3B"/>
    <w:rsid w:val="0059089A"/>
    <w:rsid w:val="005912BF"/>
    <w:rsid w:val="00591A8B"/>
    <w:rsid w:val="0059404A"/>
    <w:rsid w:val="0059651D"/>
    <w:rsid w:val="005A0EDA"/>
    <w:rsid w:val="005A3B38"/>
    <w:rsid w:val="005A56A3"/>
    <w:rsid w:val="005A79E9"/>
    <w:rsid w:val="005A7C62"/>
    <w:rsid w:val="005B0A00"/>
    <w:rsid w:val="005B38E4"/>
    <w:rsid w:val="005B47E9"/>
    <w:rsid w:val="005B68E5"/>
    <w:rsid w:val="005B7706"/>
    <w:rsid w:val="005C07CE"/>
    <w:rsid w:val="005C1511"/>
    <w:rsid w:val="005C24B3"/>
    <w:rsid w:val="005C71B5"/>
    <w:rsid w:val="005D0B4D"/>
    <w:rsid w:val="005D217E"/>
    <w:rsid w:val="005D3516"/>
    <w:rsid w:val="005D6331"/>
    <w:rsid w:val="005D6610"/>
    <w:rsid w:val="005E060D"/>
    <w:rsid w:val="005E4DDF"/>
    <w:rsid w:val="005F24F2"/>
    <w:rsid w:val="005F62D9"/>
    <w:rsid w:val="006006E0"/>
    <w:rsid w:val="00600DCF"/>
    <w:rsid w:val="00603EAD"/>
    <w:rsid w:val="00605F76"/>
    <w:rsid w:val="00610444"/>
    <w:rsid w:val="00613E35"/>
    <w:rsid w:val="00614512"/>
    <w:rsid w:val="00614EE7"/>
    <w:rsid w:val="006205B6"/>
    <w:rsid w:val="00620FA9"/>
    <w:rsid w:val="0063189F"/>
    <w:rsid w:val="006420B9"/>
    <w:rsid w:val="0064492A"/>
    <w:rsid w:val="006451A6"/>
    <w:rsid w:val="00652153"/>
    <w:rsid w:val="006534D4"/>
    <w:rsid w:val="006548D2"/>
    <w:rsid w:val="00656BA3"/>
    <w:rsid w:val="0066148A"/>
    <w:rsid w:val="00664BB5"/>
    <w:rsid w:val="00667343"/>
    <w:rsid w:val="00670F56"/>
    <w:rsid w:val="00677783"/>
    <w:rsid w:val="00681336"/>
    <w:rsid w:val="006848C7"/>
    <w:rsid w:val="00686F9F"/>
    <w:rsid w:val="00690D38"/>
    <w:rsid w:val="00691D89"/>
    <w:rsid w:val="006921BD"/>
    <w:rsid w:val="00693AEB"/>
    <w:rsid w:val="00694A7E"/>
    <w:rsid w:val="0069686D"/>
    <w:rsid w:val="006971AF"/>
    <w:rsid w:val="006A4789"/>
    <w:rsid w:val="006A7A08"/>
    <w:rsid w:val="006B1FD5"/>
    <w:rsid w:val="006B33E3"/>
    <w:rsid w:val="006C4E34"/>
    <w:rsid w:val="006C59A9"/>
    <w:rsid w:val="006D33CC"/>
    <w:rsid w:val="006D5229"/>
    <w:rsid w:val="006D70A1"/>
    <w:rsid w:val="006E2D28"/>
    <w:rsid w:val="006E6EA6"/>
    <w:rsid w:val="006F04D7"/>
    <w:rsid w:val="006F05F2"/>
    <w:rsid w:val="006F3CBE"/>
    <w:rsid w:val="00706FA6"/>
    <w:rsid w:val="00707BF1"/>
    <w:rsid w:val="00713397"/>
    <w:rsid w:val="0072272E"/>
    <w:rsid w:val="007229F3"/>
    <w:rsid w:val="00723802"/>
    <w:rsid w:val="00724728"/>
    <w:rsid w:val="007260EA"/>
    <w:rsid w:val="00726276"/>
    <w:rsid w:val="00733C5D"/>
    <w:rsid w:val="007343D3"/>
    <w:rsid w:val="00734BA3"/>
    <w:rsid w:val="00734DE8"/>
    <w:rsid w:val="0073617F"/>
    <w:rsid w:val="00740740"/>
    <w:rsid w:val="0074198F"/>
    <w:rsid w:val="00742B3E"/>
    <w:rsid w:val="0074361A"/>
    <w:rsid w:val="00745421"/>
    <w:rsid w:val="00745DA0"/>
    <w:rsid w:val="00747312"/>
    <w:rsid w:val="007530BD"/>
    <w:rsid w:val="00757927"/>
    <w:rsid w:val="007627C5"/>
    <w:rsid w:val="00762BE1"/>
    <w:rsid w:val="0076609C"/>
    <w:rsid w:val="007667A7"/>
    <w:rsid w:val="00775B0A"/>
    <w:rsid w:val="00775BF1"/>
    <w:rsid w:val="00777080"/>
    <w:rsid w:val="00785C23"/>
    <w:rsid w:val="00786857"/>
    <w:rsid w:val="00791BF2"/>
    <w:rsid w:val="0079360E"/>
    <w:rsid w:val="007938BE"/>
    <w:rsid w:val="007A136C"/>
    <w:rsid w:val="007A6D38"/>
    <w:rsid w:val="007B13E4"/>
    <w:rsid w:val="007B32A5"/>
    <w:rsid w:val="007B394F"/>
    <w:rsid w:val="007B43B4"/>
    <w:rsid w:val="007B5033"/>
    <w:rsid w:val="007B79E1"/>
    <w:rsid w:val="007B7E45"/>
    <w:rsid w:val="007D032A"/>
    <w:rsid w:val="007D5150"/>
    <w:rsid w:val="007D6B43"/>
    <w:rsid w:val="007D744E"/>
    <w:rsid w:val="007D7C38"/>
    <w:rsid w:val="007E205A"/>
    <w:rsid w:val="007E752D"/>
    <w:rsid w:val="007F079F"/>
    <w:rsid w:val="00800FAB"/>
    <w:rsid w:val="00807354"/>
    <w:rsid w:val="00810227"/>
    <w:rsid w:val="00814257"/>
    <w:rsid w:val="00820858"/>
    <w:rsid w:val="00821FE0"/>
    <w:rsid w:val="0082381C"/>
    <w:rsid w:val="008300BA"/>
    <w:rsid w:val="00832167"/>
    <w:rsid w:val="00832CE5"/>
    <w:rsid w:val="0083338B"/>
    <w:rsid w:val="0084035C"/>
    <w:rsid w:val="0084058B"/>
    <w:rsid w:val="008444CF"/>
    <w:rsid w:val="00844AD5"/>
    <w:rsid w:val="00847161"/>
    <w:rsid w:val="00851367"/>
    <w:rsid w:val="00852C5E"/>
    <w:rsid w:val="00854CF2"/>
    <w:rsid w:val="00855C80"/>
    <w:rsid w:val="008633D1"/>
    <w:rsid w:val="00864AF4"/>
    <w:rsid w:val="00866628"/>
    <w:rsid w:val="00870DE4"/>
    <w:rsid w:val="0087364D"/>
    <w:rsid w:val="00875C95"/>
    <w:rsid w:val="0087666B"/>
    <w:rsid w:val="00876775"/>
    <w:rsid w:val="00877676"/>
    <w:rsid w:val="00877AFC"/>
    <w:rsid w:val="00877DBD"/>
    <w:rsid w:val="008810BF"/>
    <w:rsid w:val="008817A3"/>
    <w:rsid w:val="00881B06"/>
    <w:rsid w:val="008834F1"/>
    <w:rsid w:val="008852B6"/>
    <w:rsid w:val="008854D8"/>
    <w:rsid w:val="008858DB"/>
    <w:rsid w:val="0088602A"/>
    <w:rsid w:val="00886F2D"/>
    <w:rsid w:val="00887751"/>
    <w:rsid w:val="00890C43"/>
    <w:rsid w:val="008917DB"/>
    <w:rsid w:val="0089323B"/>
    <w:rsid w:val="008A0488"/>
    <w:rsid w:val="008A2C4D"/>
    <w:rsid w:val="008B5565"/>
    <w:rsid w:val="008B622E"/>
    <w:rsid w:val="008C4223"/>
    <w:rsid w:val="008C49DD"/>
    <w:rsid w:val="008C54D9"/>
    <w:rsid w:val="008C5764"/>
    <w:rsid w:val="008D05B2"/>
    <w:rsid w:val="008D4CD9"/>
    <w:rsid w:val="008D58E2"/>
    <w:rsid w:val="008D5BEC"/>
    <w:rsid w:val="008D5C56"/>
    <w:rsid w:val="008D745D"/>
    <w:rsid w:val="008D7F03"/>
    <w:rsid w:val="008E372D"/>
    <w:rsid w:val="008F5BB5"/>
    <w:rsid w:val="008F6347"/>
    <w:rsid w:val="00905B56"/>
    <w:rsid w:val="00906FD8"/>
    <w:rsid w:val="0091356D"/>
    <w:rsid w:val="009144CA"/>
    <w:rsid w:val="00915361"/>
    <w:rsid w:val="00921412"/>
    <w:rsid w:val="00922051"/>
    <w:rsid w:val="00922743"/>
    <w:rsid w:val="0092461C"/>
    <w:rsid w:val="00924F1D"/>
    <w:rsid w:val="009264C1"/>
    <w:rsid w:val="00927BC9"/>
    <w:rsid w:val="00931C4F"/>
    <w:rsid w:val="00931DC6"/>
    <w:rsid w:val="009328B7"/>
    <w:rsid w:val="00932CBE"/>
    <w:rsid w:val="00933F1A"/>
    <w:rsid w:val="00934D1A"/>
    <w:rsid w:val="00936281"/>
    <w:rsid w:val="0094035C"/>
    <w:rsid w:val="0094146B"/>
    <w:rsid w:val="00941B3C"/>
    <w:rsid w:val="009421E4"/>
    <w:rsid w:val="00943319"/>
    <w:rsid w:val="00946AE6"/>
    <w:rsid w:val="00947544"/>
    <w:rsid w:val="009501C7"/>
    <w:rsid w:val="00952A5E"/>
    <w:rsid w:val="00952D01"/>
    <w:rsid w:val="00957906"/>
    <w:rsid w:val="00964C63"/>
    <w:rsid w:val="0096577A"/>
    <w:rsid w:val="00965D65"/>
    <w:rsid w:val="00967259"/>
    <w:rsid w:val="00967685"/>
    <w:rsid w:val="00972D86"/>
    <w:rsid w:val="009738EE"/>
    <w:rsid w:val="00973A19"/>
    <w:rsid w:val="00973E9C"/>
    <w:rsid w:val="009773E3"/>
    <w:rsid w:val="009804FB"/>
    <w:rsid w:val="00980A93"/>
    <w:rsid w:val="00982CB9"/>
    <w:rsid w:val="00983717"/>
    <w:rsid w:val="0098591F"/>
    <w:rsid w:val="00986089"/>
    <w:rsid w:val="009872C7"/>
    <w:rsid w:val="00992AD6"/>
    <w:rsid w:val="00992E24"/>
    <w:rsid w:val="00994930"/>
    <w:rsid w:val="009A29FD"/>
    <w:rsid w:val="009A2C62"/>
    <w:rsid w:val="009A30E9"/>
    <w:rsid w:val="009B3A68"/>
    <w:rsid w:val="009B4F3B"/>
    <w:rsid w:val="009B5EE2"/>
    <w:rsid w:val="009C3D86"/>
    <w:rsid w:val="009C55AE"/>
    <w:rsid w:val="009D0CA0"/>
    <w:rsid w:val="009D0F6E"/>
    <w:rsid w:val="009D54EC"/>
    <w:rsid w:val="009D7768"/>
    <w:rsid w:val="009E3957"/>
    <w:rsid w:val="009E711C"/>
    <w:rsid w:val="009F340E"/>
    <w:rsid w:val="00A04070"/>
    <w:rsid w:val="00A0453B"/>
    <w:rsid w:val="00A05B08"/>
    <w:rsid w:val="00A12A3E"/>
    <w:rsid w:val="00A14240"/>
    <w:rsid w:val="00A14804"/>
    <w:rsid w:val="00A14841"/>
    <w:rsid w:val="00A24A69"/>
    <w:rsid w:val="00A24FA9"/>
    <w:rsid w:val="00A2531E"/>
    <w:rsid w:val="00A25AB5"/>
    <w:rsid w:val="00A306AB"/>
    <w:rsid w:val="00A31415"/>
    <w:rsid w:val="00A31F43"/>
    <w:rsid w:val="00A320A5"/>
    <w:rsid w:val="00A35EED"/>
    <w:rsid w:val="00A36BDF"/>
    <w:rsid w:val="00A40295"/>
    <w:rsid w:val="00A41755"/>
    <w:rsid w:val="00A4658F"/>
    <w:rsid w:val="00A517B0"/>
    <w:rsid w:val="00A547A5"/>
    <w:rsid w:val="00A54F10"/>
    <w:rsid w:val="00A6243C"/>
    <w:rsid w:val="00A62806"/>
    <w:rsid w:val="00A62F42"/>
    <w:rsid w:val="00A64A94"/>
    <w:rsid w:val="00A6645C"/>
    <w:rsid w:val="00A66544"/>
    <w:rsid w:val="00A72FC1"/>
    <w:rsid w:val="00A75B17"/>
    <w:rsid w:val="00A75E1C"/>
    <w:rsid w:val="00A77409"/>
    <w:rsid w:val="00A821DF"/>
    <w:rsid w:val="00A861D2"/>
    <w:rsid w:val="00A87E8B"/>
    <w:rsid w:val="00A91857"/>
    <w:rsid w:val="00A95A81"/>
    <w:rsid w:val="00A95D7C"/>
    <w:rsid w:val="00AA24F0"/>
    <w:rsid w:val="00AA266B"/>
    <w:rsid w:val="00AA4026"/>
    <w:rsid w:val="00AB03EF"/>
    <w:rsid w:val="00AB11A4"/>
    <w:rsid w:val="00AB7717"/>
    <w:rsid w:val="00AC3638"/>
    <w:rsid w:val="00AC542F"/>
    <w:rsid w:val="00AC5B02"/>
    <w:rsid w:val="00AE2AAF"/>
    <w:rsid w:val="00AE6FAC"/>
    <w:rsid w:val="00AF4892"/>
    <w:rsid w:val="00AF634C"/>
    <w:rsid w:val="00AF64AB"/>
    <w:rsid w:val="00AF6D1D"/>
    <w:rsid w:val="00B06C21"/>
    <w:rsid w:val="00B11237"/>
    <w:rsid w:val="00B11D15"/>
    <w:rsid w:val="00B11F04"/>
    <w:rsid w:val="00B16992"/>
    <w:rsid w:val="00B16BC2"/>
    <w:rsid w:val="00B21295"/>
    <w:rsid w:val="00B24289"/>
    <w:rsid w:val="00B33B82"/>
    <w:rsid w:val="00B34981"/>
    <w:rsid w:val="00B37C28"/>
    <w:rsid w:val="00B405B1"/>
    <w:rsid w:val="00B43EF1"/>
    <w:rsid w:val="00B43F66"/>
    <w:rsid w:val="00B446C9"/>
    <w:rsid w:val="00B5423B"/>
    <w:rsid w:val="00B551F2"/>
    <w:rsid w:val="00B61944"/>
    <w:rsid w:val="00B63A47"/>
    <w:rsid w:val="00B64A47"/>
    <w:rsid w:val="00B66EE2"/>
    <w:rsid w:val="00B67813"/>
    <w:rsid w:val="00B7616D"/>
    <w:rsid w:val="00B76AE8"/>
    <w:rsid w:val="00B82A09"/>
    <w:rsid w:val="00B867D7"/>
    <w:rsid w:val="00B96293"/>
    <w:rsid w:val="00B974D0"/>
    <w:rsid w:val="00BA057B"/>
    <w:rsid w:val="00BA25B0"/>
    <w:rsid w:val="00BA592A"/>
    <w:rsid w:val="00BB3D0F"/>
    <w:rsid w:val="00BB42C4"/>
    <w:rsid w:val="00BC0964"/>
    <w:rsid w:val="00BC2D2B"/>
    <w:rsid w:val="00BC5756"/>
    <w:rsid w:val="00BC6DA1"/>
    <w:rsid w:val="00BD4682"/>
    <w:rsid w:val="00BD4795"/>
    <w:rsid w:val="00BD65BC"/>
    <w:rsid w:val="00BE1F5A"/>
    <w:rsid w:val="00BE52FA"/>
    <w:rsid w:val="00BE7401"/>
    <w:rsid w:val="00BE7703"/>
    <w:rsid w:val="00BE7A09"/>
    <w:rsid w:val="00BE7BD1"/>
    <w:rsid w:val="00BF0CBC"/>
    <w:rsid w:val="00BF3A80"/>
    <w:rsid w:val="00C1065A"/>
    <w:rsid w:val="00C11DF1"/>
    <w:rsid w:val="00C130FD"/>
    <w:rsid w:val="00C13726"/>
    <w:rsid w:val="00C15F88"/>
    <w:rsid w:val="00C2401E"/>
    <w:rsid w:val="00C25670"/>
    <w:rsid w:val="00C311F8"/>
    <w:rsid w:val="00C3491A"/>
    <w:rsid w:val="00C35F54"/>
    <w:rsid w:val="00C40266"/>
    <w:rsid w:val="00C436BA"/>
    <w:rsid w:val="00C43C3A"/>
    <w:rsid w:val="00C46166"/>
    <w:rsid w:val="00C46189"/>
    <w:rsid w:val="00C50D09"/>
    <w:rsid w:val="00C527FC"/>
    <w:rsid w:val="00C5483D"/>
    <w:rsid w:val="00C605E4"/>
    <w:rsid w:val="00C66F7D"/>
    <w:rsid w:val="00C73E83"/>
    <w:rsid w:val="00C7514D"/>
    <w:rsid w:val="00C82258"/>
    <w:rsid w:val="00C844AD"/>
    <w:rsid w:val="00C84AA3"/>
    <w:rsid w:val="00C86252"/>
    <w:rsid w:val="00C878B5"/>
    <w:rsid w:val="00C9311F"/>
    <w:rsid w:val="00C96C25"/>
    <w:rsid w:val="00CA34C9"/>
    <w:rsid w:val="00CA4D4D"/>
    <w:rsid w:val="00CC3F6E"/>
    <w:rsid w:val="00CC545D"/>
    <w:rsid w:val="00CC59FA"/>
    <w:rsid w:val="00CC6021"/>
    <w:rsid w:val="00CC6AF3"/>
    <w:rsid w:val="00CD0CA6"/>
    <w:rsid w:val="00CD1D7D"/>
    <w:rsid w:val="00CD3D29"/>
    <w:rsid w:val="00CE3890"/>
    <w:rsid w:val="00CE467B"/>
    <w:rsid w:val="00CE65C7"/>
    <w:rsid w:val="00CF2F39"/>
    <w:rsid w:val="00D036C9"/>
    <w:rsid w:val="00D07682"/>
    <w:rsid w:val="00D1048F"/>
    <w:rsid w:val="00D10750"/>
    <w:rsid w:val="00D12B80"/>
    <w:rsid w:val="00D12DAE"/>
    <w:rsid w:val="00D17900"/>
    <w:rsid w:val="00D213EA"/>
    <w:rsid w:val="00D227B8"/>
    <w:rsid w:val="00D24DE3"/>
    <w:rsid w:val="00D2568B"/>
    <w:rsid w:val="00D256AD"/>
    <w:rsid w:val="00D269E9"/>
    <w:rsid w:val="00D30040"/>
    <w:rsid w:val="00D3063D"/>
    <w:rsid w:val="00D326CE"/>
    <w:rsid w:val="00D32D94"/>
    <w:rsid w:val="00D34BB0"/>
    <w:rsid w:val="00D414D6"/>
    <w:rsid w:val="00D42F89"/>
    <w:rsid w:val="00D451A8"/>
    <w:rsid w:val="00D45623"/>
    <w:rsid w:val="00D459DB"/>
    <w:rsid w:val="00D46B1A"/>
    <w:rsid w:val="00D558CA"/>
    <w:rsid w:val="00D65249"/>
    <w:rsid w:val="00D6628F"/>
    <w:rsid w:val="00D70E20"/>
    <w:rsid w:val="00D72201"/>
    <w:rsid w:val="00D72B1C"/>
    <w:rsid w:val="00D80C77"/>
    <w:rsid w:val="00D80DF0"/>
    <w:rsid w:val="00D82F66"/>
    <w:rsid w:val="00D84040"/>
    <w:rsid w:val="00D841BE"/>
    <w:rsid w:val="00D92292"/>
    <w:rsid w:val="00D92E06"/>
    <w:rsid w:val="00D9334C"/>
    <w:rsid w:val="00DA3E64"/>
    <w:rsid w:val="00DA4D45"/>
    <w:rsid w:val="00DA6D7D"/>
    <w:rsid w:val="00DB04C3"/>
    <w:rsid w:val="00DB1E0D"/>
    <w:rsid w:val="00DB2E0B"/>
    <w:rsid w:val="00DB38AA"/>
    <w:rsid w:val="00DC0275"/>
    <w:rsid w:val="00DC0D34"/>
    <w:rsid w:val="00DC47C8"/>
    <w:rsid w:val="00DC6396"/>
    <w:rsid w:val="00DC6A07"/>
    <w:rsid w:val="00DC7A89"/>
    <w:rsid w:val="00DD4951"/>
    <w:rsid w:val="00DD509A"/>
    <w:rsid w:val="00DE3C42"/>
    <w:rsid w:val="00DE78FA"/>
    <w:rsid w:val="00DF0252"/>
    <w:rsid w:val="00DF063D"/>
    <w:rsid w:val="00E02825"/>
    <w:rsid w:val="00E033B3"/>
    <w:rsid w:val="00E0371D"/>
    <w:rsid w:val="00E05349"/>
    <w:rsid w:val="00E0774C"/>
    <w:rsid w:val="00E07A06"/>
    <w:rsid w:val="00E107BA"/>
    <w:rsid w:val="00E10901"/>
    <w:rsid w:val="00E109F0"/>
    <w:rsid w:val="00E1109F"/>
    <w:rsid w:val="00E126A4"/>
    <w:rsid w:val="00E127EA"/>
    <w:rsid w:val="00E1786A"/>
    <w:rsid w:val="00E22C11"/>
    <w:rsid w:val="00E234C5"/>
    <w:rsid w:val="00E2367A"/>
    <w:rsid w:val="00E26A93"/>
    <w:rsid w:val="00E30A7D"/>
    <w:rsid w:val="00E35AC9"/>
    <w:rsid w:val="00E465C8"/>
    <w:rsid w:val="00E47580"/>
    <w:rsid w:val="00E501EE"/>
    <w:rsid w:val="00E53183"/>
    <w:rsid w:val="00E554D4"/>
    <w:rsid w:val="00E57E29"/>
    <w:rsid w:val="00E620F6"/>
    <w:rsid w:val="00E63F4D"/>
    <w:rsid w:val="00E64B02"/>
    <w:rsid w:val="00E663F3"/>
    <w:rsid w:val="00E674C4"/>
    <w:rsid w:val="00E67B48"/>
    <w:rsid w:val="00E72341"/>
    <w:rsid w:val="00E74B64"/>
    <w:rsid w:val="00E77C85"/>
    <w:rsid w:val="00E77CAA"/>
    <w:rsid w:val="00E83302"/>
    <w:rsid w:val="00E83A5A"/>
    <w:rsid w:val="00E845AE"/>
    <w:rsid w:val="00E874C9"/>
    <w:rsid w:val="00E9244B"/>
    <w:rsid w:val="00E96C7D"/>
    <w:rsid w:val="00EA04F4"/>
    <w:rsid w:val="00EA090B"/>
    <w:rsid w:val="00EA5069"/>
    <w:rsid w:val="00EB3715"/>
    <w:rsid w:val="00EB3E38"/>
    <w:rsid w:val="00EC1F71"/>
    <w:rsid w:val="00EC2D0F"/>
    <w:rsid w:val="00ED257D"/>
    <w:rsid w:val="00ED279A"/>
    <w:rsid w:val="00ED4451"/>
    <w:rsid w:val="00EE007D"/>
    <w:rsid w:val="00EE123B"/>
    <w:rsid w:val="00EE26BD"/>
    <w:rsid w:val="00EE4C38"/>
    <w:rsid w:val="00EE6113"/>
    <w:rsid w:val="00EE7F4D"/>
    <w:rsid w:val="00EF20DE"/>
    <w:rsid w:val="00EF7141"/>
    <w:rsid w:val="00F02124"/>
    <w:rsid w:val="00F02CDB"/>
    <w:rsid w:val="00F057CC"/>
    <w:rsid w:val="00F114EF"/>
    <w:rsid w:val="00F14CD7"/>
    <w:rsid w:val="00F16F2F"/>
    <w:rsid w:val="00F17343"/>
    <w:rsid w:val="00F20B7F"/>
    <w:rsid w:val="00F22DE8"/>
    <w:rsid w:val="00F2365A"/>
    <w:rsid w:val="00F24AB5"/>
    <w:rsid w:val="00F32CA1"/>
    <w:rsid w:val="00F346DF"/>
    <w:rsid w:val="00F35BEE"/>
    <w:rsid w:val="00F3724C"/>
    <w:rsid w:val="00F416C4"/>
    <w:rsid w:val="00F417AB"/>
    <w:rsid w:val="00F46AE7"/>
    <w:rsid w:val="00F53331"/>
    <w:rsid w:val="00F54C56"/>
    <w:rsid w:val="00F60EB8"/>
    <w:rsid w:val="00F6222E"/>
    <w:rsid w:val="00F63584"/>
    <w:rsid w:val="00F65575"/>
    <w:rsid w:val="00F67415"/>
    <w:rsid w:val="00F677B0"/>
    <w:rsid w:val="00F71FDA"/>
    <w:rsid w:val="00F7360C"/>
    <w:rsid w:val="00F739C5"/>
    <w:rsid w:val="00F73BF3"/>
    <w:rsid w:val="00F753EB"/>
    <w:rsid w:val="00F80135"/>
    <w:rsid w:val="00F811B1"/>
    <w:rsid w:val="00F82311"/>
    <w:rsid w:val="00F82479"/>
    <w:rsid w:val="00F85137"/>
    <w:rsid w:val="00F852E5"/>
    <w:rsid w:val="00F908B6"/>
    <w:rsid w:val="00F91B9D"/>
    <w:rsid w:val="00F93418"/>
    <w:rsid w:val="00F93EFA"/>
    <w:rsid w:val="00F94623"/>
    <w:rsid w:val="00F9564F"/>
    <w:rsid w:val="00F97E66"/>
    <w:rsid w:val="00FA06E0"/>
    <w:rsid w:val="00FA18D2"/>
    <w:rsid w:val="00FA22F4"/>
    <w:rsid w:val="00FA34BA"/>
    <w:rsid w:val="00FB21BB"/>
    <w:rsid w:val="00FB4F91"/>
    <w:rsid w:val="00FB6035"/>
    <w:rsid w:val="00FC1082"/>
    <w:rsid w:val="00FC5BF9"/>
    <w:rsid w:val="00FC7603"/>
    <w:rsid w:val="00FD0437"/>
    <w:rsid w:val="00FD2E44"/>
    <w:rsid w:val="00FD36E9"/>
    <w:rsid w:val="00FD6AD8"/>
    <w:rsid w:val="00FE056F"/>
    <w:rsid w:val="00FE33D5"/>
    <w:rsid w:val="00FE3A92"/>
    <w:rsid w:val="00FE54A6"/>
    <w:rsid w:val="00FF20A5"/>
    <w:rsid w:val="00FF2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paragraph" w:customStyle="1" w:styleId="Point1">
    <w:name w:val="Point 1"/>
    <w:basedOn w:val="Normal"/>
    <w:rsid w:val="006E2D28"/>
    <w:pPr>
      <w:spacing w:before="120" w:after="120"/>
      <w:ind w:left="1417" w:hanging="567"/>
      <w:jc w:val="both"/>
    </w:pPr>
    <w:rPr>
      <w:lang w:eastAsia="de-DE"/>
    </w:rPr>
  </w:style>
  <w:style w:type="paragraph" w:customStyle="1" w:styleId="ManualConsidrant">
    <w:name w:val="Manual Considérant"/>
    <w:basedOn w:val="Normal"/>
    <w:rsid w:val="00F93418"/>
    <w:pPr>
      <w:spacing w:before="120" w:after="120"/>
      <w:ind w:left="709" w:hanging="709"/>
      <w:jc w:val="both"/>
    </w:pPr>
    <w:rPr>
      <w:snapToGrid w:val="0"/>
      <w:lang w:eastAsia="en-GB"/>
    </w:rPr>
  </w:style>
  <w:style w:type="paragraph" w:styleId="FootnoteText">
    <w:name w:val="footnote text"/>
    <w:basedOn w:val="Normal"/>
    <w:link w:val="FootnoteTextChar"/>
    <w:rsid w:val="00F93418"/>
    <w:pPr>
      <w:spacing w:after="200" w:line="276" w:lineRule="auto"/>
    </w:pPr>
    <w:rPr>
      <w:rFonts w:eastAsia="Calibri"/>
      <w:sz w:val="20"/>
      <w:szCs w:val="20"/>
    </w:rPr>
  </w:style>
  <w:style w:type="character" w:customStyle="1" w:styleId="FootnoteTextChar">
    <w:name w:val="Footnote Text Char"/>
    <w:link w:val="FootnoteText"/>
    <w:rsid w:val="00F93418"/>
    <w:rPr>
      <w:lang w:eastAsia="en-US"/>
    </w:rPr>
  </w:style>
  <w:style w:type="character" w:styleId="FootnoteReference">
    <w:name w:val="footnote reference"/>
    <w:rsid w:val="00F93418"/>
    <w:rPr>
      <w:vertAlign w:val="superscript"/>
    </w:rPr>
  </w:style>
  <w:style w:type="paragraph" w:customStyle="1" w:styleId="Statut">
    <w:name w:val="Statut"/>
    <w:basedOn w:val="Normal"/>
    <w:next w:val="Normal"/>
    <w:rsid w:val="00F93418"/>
    <w:pPr>
      <w:spacing w:before="360"/>
      <w:jc w:val="center"/>
    </w:pPr>
    <w:rPr>
      <w:szCs w:val="20"/>
      <w:lang w:eastAsia="zh-CN"/>
    </w:rPr>
  </w:style>
  <w:style w:type="paragraph" w:styleId="Revision">
    <w:name w:val="Revision"/>
    <w:hidden/>
    <w:uiPriority w:val="99"/>
    <w:semiHidden/>
    <w:rsid w:val="00965D65"/>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paragraph" w:customStyle="1" w:styleId="Point1">
    <w:name w:val="Point 1"/>
    <w:basedOn w:val="Normal"/>
    <w:rsid w:val="006E2D28"/>
    <w:pPr>
      <w:spacing w:before="120" w:after="120"/>
      <w:ind w:left="1417" w:hanging="567"/>
      <w:jc w:val="both"/>
    </w:pPr>
    <w:rPr>
      <w:lang w:eastAsia="de-DE"/>
    </w:rPr>
  </w:style>
  <w:style w:type="paragraph" w:customStyle="1" w:styleId="ManualConsidrant">
    <w:name w:val="Manual Considérant"/>
    <w:basedOn w:val="Normal"/>
    <w:rsid w:val="00F93418"/>
    <w:pPr>
      <w:spacing w:before="120" w:after="120"/>
      <w:ind w:left="709" w:hanging="709"/>
      <w:jc w:val="both"/>
    </w:pPr>
    <w:rPr>
      <w:snapToGrid w:val="0"/>
      <w:lang w:eastAsia="en-GB"/>
    </w:rPr>
  </w:style>
  <w:style w:type="paragraph" w:styleId="FootnoteText">
    <w:name w:val="footnote text"/>
    <w:basedOn w:val="Normal"/>
    <w:link w:val="FootnoteTextChar"/>
    <w:rsid w:val="00F93418"/>
    <w:pPr>
      <w:spacing w:after="200" w:line="276" w:lineRule="auto"/>
    </w:pPr>
    <w:rPr>
      <w:rFonts w:eastAsia="Calibri"/>
      <w:sz w:val="20"/>
      <w:szCs w:val="20"/>
    </w:rPr>
  </w:style>
  <w:style w:type="character" w:customStyle="1" w:styleId="FootnoteTextChar">
    <w:name w:val="Footnote Text Char"/>
    <w:link w:val="FootnoteText"/>
    <w:rsid w:val="00F93418"/>
    <w:rPr>
      <w:lang w:eastAsia="en-US"/>
    </w:rPr>
  </w:style>
  <w:style w:type="character" w:styleId="FootnoteReference">
    <w:name w:val="footnote reference"/>
    <w:rsid w:val="00F93418"/>
    <w:rPr>
      <w:vertAlign w:val="superscript"/>
    </w:rPr>
  </w:style>
  <w:style w:type="paragraph" w:customStyle="1" w:styleId="Statut">
    <w:name w:val="Statut"/>
    <w:basedOn w:val="Normal"/>
    <w:next w:val="Normal"/>
    <w:rsid w:val="00F93418"/>
    <w:pPr>
      <w:spacing w:before="360"/>
      <w:jc w:val="center"/>
    </w:pPr>
    <w:rPr>
      <w:szCs w:val="20"/>
      <w:lang w:eastAsia="zh-CN"/>
    </w:rPr>
  </w:style>
  <w:style w:type="paragraph" w:styleId="Revision">
    <w:name w:val="Revision"/>
    <w:hidden/>
    <w:uiPriority w:val="99"/>
    <w:semiHidden/>
    <w:rsid w:val="00965D6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480">
      <w:bodyDiv w:val="1"/>
      <w:marLeft w:val="0"/>
      <w:marRight w:val="0"/>
      <w:marTop w:val="0"/>
      <w:marBottom w:val="0"/>
      <w:divBdr>
        <w:top w:val="none" w:sz="0" w:space="0" w:color="auto"/>
        <w:left w:val="none" w:sz="0" w:space="0" w:color="auto"/>
        <w:bottom w:val="none" w:sz="0" w:space="0" w:color="auto"/>
        <w:right w:val="none" w:sz="0" w:space="0" w:color="auto"/>
      </w:divBdr>
      <w:divsChild>
        <w:div w:id="1082483856">
          <w:marLeft w:val="0"/>
          <w:marRight w:val="0"/>
          <w:marTop w:val="0"/>
          <w:marBottom w:val="0"/>
          <w:divBdr>
            <w:top w:val="none" w:sz="0" w:space="0" w:color="auto"/>
            <w:left w:val="none" w:sz="0" w:space="0" w:color="auto"/>
            <w:bottom w:val="none" w:sz="0" w:space="0" w:color="auto"/>
            <w:right w:val="none" w:sz="0" w:space="0" w:color="auto"/>
          </w:divBdr>
          <w:divsChild>
            <w:div w:id="1110466865">
              <w:marLeft w:val="0"/>
              <w:marRight w:val="0"/>
              <w:marTop w:val="0"/>
              <w:marBottom w:val="0"/>
              <w:divBdr>
                <w:top w:val="none" w:sz="0" w:space="0" w:color="auto"/>
                <w:left w:val="none" w:sz="0" w:space="0" w:color="auto"/>
                <w:bottom w:val="none" w:sz="0" w:space="0" w:color="auto"/>
                <w:right w:val="none" w:sz="0" w:space="0" w:color="auto"/>
              </w:divBdr>
              <w:divsChild>
                <w:div w:id="1569344969">
                  <w:marLeft w:val="0"/>
                  <w:marRight w:val="0"/>
                  <w:marTop w:val="0"/>
                  <w:marBottom w:val="0"/>
                  <w:divBdr>
                    <w:top w:val="none" w:sz="0" w:space="0" w:color="auto"/>
                    <w:left w:val="none" w:sz="0" w:space="0" w:color="auto"/>
                    <w:bottom w:val="none" w:sz="0" w:space="0" w:color="auto"/>
                    <w:right w:val="none" w:sz="0" w:space="0" w:color="auto"/>
                  </w:divBdr>
                  <w:divsChild>
                    <w:div w:id="612593687">
                      <w:marLeft w:val="0"/>
                      <w:marRight w:val="0"/>
                      <w:marTop w:val="0"/>
                      <w:marBottom w:val="0"/>
                      <w:divBdr>
                        <w:top w:val="none" w:sz="0" w:space="0" w:color="auto"/>
                        <w:left w:val="none" w:sz="0" w:space="0" w:color="auto"/>
                        <w:bottom w:val="none" w:sz="0" w:space="0" w:color="auto"/>
                        <w:right w:val="none" w:sz="0" w:space="0" w:color="auto"/>
                      </w:divBdr>
                      <w:divsChild>
                        <w:div w:id="828903933">
                          <w:marLeft w:val="0"/>
                          <w:marRight w:val="0"/>
                          <w:marTop w:val="0"/>
                          <w:marBottom w:val="0"/>
                          <w:divBdr>
                            <w:top w:val="none" w:sz="0" w:space="0" w:color="auto"/>
                            <w:left w:val="none" w:sz="0" w:space="0" w:color="auto"/>
                            <w:bottom w:val="none" w:sz="0" w:space="0" w:color="auto"/>
                            <w:right w:val="none" w:sz="0" w:space="0" w:color="auto"/>
                          </w:divBdr>
                          <w:divsChild>
                            <w:div w:id="139234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0334">
      <w:bodyDiv w:val="1"/>
      <w:marLeft w:val="0"/>
      <w:marRight w:val="0"/>
      <w:marTop w:val="0"/>
      <w:marBottom w:val="0"/>
      <w:divBdr>
        <w:top w:val="none" w:sz="0" w:space="0" w:color="auto"/>
        <w:left w:val="none" w:sz="0" w:space="0" w:color="auto"/>
        <w:bottom w:val="none" w:sz="0" w:space="0" w:color="auto"/>
        <w:right w:val="none" w:sz="0" w:space="0" w:color="auto"/>
      </w:divBdr>
      <w:divsChild>
        <w:div w:id="315887153">
          <w:marLeft w:val="0"/>
          <w:marRight w:val="0"/>
          <w:marTop w:val="0"/>
          <w:marBottom w:val="0"/>
          <w:divBdr>
            <w:top w:val="none" w:sz="0" w:space="0" w:color="auto"/>
            <w:left w:val="none" w:sz="0" w:space="0" w:color="auto"/>
            <w:bottom w:val="none" w:sz="0" w:space="0" w:color="auto"/>
            <w:right w:val="none" w:sz="0" w:space="0" w:color="auto"/>
          </w:divBdr>
        </w:div>
      </w:divsChild>
    </w:div>
    <w:div w:id="132410584">
      <w:bodyDiv w:val="1"/>
      <w:marLeft w:val="0"/>
      <w:marRight w:val="0"/>
      <w:marTop w:val="0"/>
      <w:marBottom w:val="0"/>
      <w:divBdr>
        <w:top w:val="none" w:sz="0" w:space="0" w:color="auto"/>
        <w:left w:val="none" w:sz="0" w:space="0" w:color="auto"/>
        <w:bottom w:val="none" w:sz="0" w:space="0" w:color="auto"/>
        <w:right w:val="none" w:sz="0" w:space="0" w:color="auto"/>
      </w:divBdr>
    </w:div>
    <w:div w:id="217715622">
      <w:bodyDiv w:val="1"/>
      <w:marLeft w:val="0"/>
      <w:marRight w:val="0"/>
      <w:marTop w:val="0"/>
      <w:marBottom w:val="0"/>
      <w:divBdr>
        <w:top w:val="none" w:sz="0" w:space="0" w:color="auto"/>
        <w:left w:val="none" w:sz="0" w:space="0" w:color="auto"/>
        <w:bottom w:val="none" w:sz="0" w:space="0" w:color="auto"/>
        <w:right w:val="none" w:sz="0" w:space="0" w:color="auto"/>
      </w:divBdr>
    </w:div>
    <w:div w:id="227813329">
      <w:bodyDiv w:val="1"/>
      <w:marLeft w:val="0"/>
      <w:marRight w:val="0"/>
      <w:marTop w:val="0"/>
      <w:marBottom w:val="0"/>
      <w:divBdr>
        <w:top w:val="none" w:sz="0" w:space="0" w:color="auto"/>
        <w:left w:val="none" w:sz="0" w:space="0" w:color="auto"/>
        <w:bottom w:val="none" w:sz="0" w:space="0" w:color="auto"/>
        <w:right w:val="none" w:sz="0" w:space="0" w:color="auto"/>
      </w:divBdr>
    </w:div>
    <w:div w:id="289166328">
      <w:bodyDiv w:val="1"/>
      <w:marLeft w:val="0"/>
      <w:marRight w:val="0"/>
      <w:marTop w:val="0"/>
      <w:marBottom w:val="0"/>
      <w:divBdr>
        <w:top w:val="none" w:sz="0" w:space="0" w:color="auto"/>
        <w:left w:val="none" w:sz="0" w:space="0" w:color="auto"/>
        <w:bottom w:val="none" w:sz="0" w:space="0" w:color="auto"/>
        <w:right w:val="none" w:sz="0" w:space="0" w:color="auto"/>
      </w:divBdr>
    </w:div>
    <w:div w:id="352000014">
      <w:bodyDiv w:val="1"/>
      <w:marLeft w:val="0"/>
      <w:marRight w:val="0"/>
      <w:marTop w:val="0"/>
      <w:marBottom w:val="0"/>
      <w:divBdr>
        <w:top w:val="none" w:sz="0" w:space="0" w:color="auto"/>
        <w:left w:val="none" w:sz="0" w:space="0" w:color="auto"/>
        <w:bottom w:val="none" w:sz="0" w:space="0" w:color="auto"/>
        <w:right w:val="none" w:sz="0" w:space="0" w:color="auto"/>
      </w:divBdr>
    </w:div>
    <w:div w:id="427897088">
      <w:bodyDiv w:val="1"/>
      <w:marLeft w:val="0"/>
      <w:marRight w:val="0"/>
      <w:marTop w:val="0"/>
      <w:marBottom w:val="0"/>
      <w:divBdr>
        <w:top w:val="none" w:sz="0" w:space="0" w:color="auto"/>
        <w:left w:val="none" w:sz="0" w:space="0" w:color="auto"/>
        <w:bottom w:val="none" w:sz="0" w:space="0" w:color="auto"/>
        <w:right w:val="none" w:sz="0" w:space="0" w:color="auto"/>
      </w:divBdr>
    </w:div>
    <w:div w:id="531192474">
      <w:bodyDiv w:val="1"/>
      <w:marLeft w:val="0"/>
      <w:marRight w:val="0"/>
      <w:marTop w:val="0"/>
      <w:marBottom w:val="0"/>
      <w:divBdr>
        <w:top w:val="none" w:sz="0" w:space="0" w:color="auto"/>
        <w:left w:val="none" w:sz="0" w:space="0" w:color="auto"/>
        <w:bottom w:val="none" w:sz="0" w:space="0" w:color="auto"/>
        <w:right w:val="none" w:sz="0" w:space="0" w:color="auto"/>
      </w:divBdr>
    </w:div>
    <w:div w:id="597979568">
      <w:bodyDiv w:val="1"/>
      <w:marLeft w:val="0"/>
      <w:marRight w:val="0"/>
      <w:marTop w:val="0"/>
      <w:marBottom w:val="0"/>
      <w:divBdr>
        <w:top w:val="none" w:sz="0" w:space="0" w:color="auto"/>
        <w:left w:val="none" w:sz="0" w:space="0" w:color="auto"/>
        <w:bottom w:val="none" w:sz="0" w:space="0" w:color="auto"/>
        <w:right w:val="none" w:sz="0" w:space="0" w:color="auto"/>
      </w:divBdr>
    </w:div>
    <w:div w:id="724573350">
      <w:bodyDiv w:val="1"/>
      <w:marLeft w:val="0"/>
      <w:marRight w:val="0"/>
      <w:marTop w:val="0"/>
      <w:marBottom w:val="0"/>
      <w:divBdr>
        <w:top w:val="none" w:sz="0" w:space="0" w:color="auto"/>
        <w:left w:val="none" w:sz="0" w:space="0" w:color="auto"/>
        <w:bottom w:val="none" w:sz="0" w:space="0" w:color="auto"/>
        <w:right w:val="none" w:sz="0" w:space="0" w:color="auto"/>
      </w:divBdr>
    </w:div>
    <w:div w:id="739329728">
      <w:bodyDiv w:val="1"/>
      <w:marLeft w:val="0"/>
      <w:marRight w:val="0"/>
      <w:marTop w:val="0"/>
      <w:marBottom w:val="0"/>
      <w:divBdr>
        <w:top w:val="none" w:sz="0" w:space="0" w:color="auto"/>
        <w:left w:val="none" w:sz="0" w:space="0" w:color="auto"/>
        <w:bottom w:val="none" w:sz="0" w:space="0" w:color="auto"/>
        <w:right w:val="none" w:sz="0" w:space="0" w:color="auto"/>
      </w:divBdr>
    </w:div>
    <w:div w:id="824901844">
      <w:bodyDiv w:val="1"/>
      <w:marLeft w:val="0"/>
      <w:marRight w:val="0"/>
      <w:marTop w:val="0"/>
      <w:marBottom w:val="0"/>
      <w:divBdr>
        <w:top w:val="none" w:sz="0" w:space="0" w:color="auto"/>
        <w:left w:val="none" w:sz="0" w:space="0" w:color="auto"/>
        <w:bottom w:val="none" w:sz="0" w:space="0" w:color="auto"/>
        <w:right w:val="none" w:sz="0" w:space="0" w:color="auto"/>
      </w:divBdr>
    </w:div>
    <w:div w:id="867447978">
      <w:bodyDiv w:val="1"/>
      <w:marLeft w:val="0"/>
      <w:marRight w:val="0"/>
      <w:marTop w:val="0"/>
      <w:marBottom w:val="0"/>
      <w:divBdr>
        <w:top w:val="none" w:sz="0" w:space="0" w:color="auto"/>
        <w:left w:val="none" w:sz="0" w:space="0" w:color="auto"/>
        <w:bottom w:val="none" w:sz="0" w:space="0" w:color="auto"/>
        <w:right w:val="none" w:sz="0" w:space="0" w:color="auto"/>
      </w:divBdr>
    </w:div>
    <w:div w:id="955716289">
      <w:bodyDiv w:val="1"/>
      <w:marLeft w:val="0"/>
      <w:marRight w:val="0"/>
      <w:marTop w:val="0"/>
      <w:marBottom w:val="0"/>
      <w:divBdr>
        <w:top w:val="none" w:sz="0" w:space="0" w:color="auto"/>
        <w:left w:val="none" w:sz="0" w:space="0" w:color="auto"/>
        <w:bottom w:val="none" w:sz="0" w:space="0" w:color="auto"/>
        <w:right w:val="none" w:sz="0" w:space="0" w:color="auto"/>
      </w:divBdr>
    </w:div>
    <w:div w:id="1019114455">
      <w:bodyDiv w:val="1"/>
      <w:marLeft w:val="0"/>
      <w:marRight w:val="0"/>
      <w:marTop w:val="0"/>
      <w:marBottom w:val="0"/>
      <w:divBdr>
        <w:top w:val="none" w:sz="0" w:space="0" w:color="auto"/>
        <w:left w:val="none" w:sz="0" w:space="0" w:color="auto"/>
        <w:bottom w:val="none" w:sz="0" w:space="0" w:color="auto"/>
        <w:right w:val="none" w:sz="0" w:space="0" w:color="auto"/>
      </w:divBdr>
    </w:div>
    <w:div w:id="1306281786">
      <w:bodyDiv w:val="1"/>
      <w:marLeft w:val="0"/>
      <w:marRight w:val="0"/>
      <w:marTop w:val="0"/>
      <w:marBottom w:val="0"/>
      <w:divBdr>
        <w:top w:val="none" w:sz="0" w:space="0" w:color="auto"/>
        <w:left w:val="none" w:sz="0" w:space="0" w:color="auto"/>
        <w:bottom w:val="none" w:sz="0" w:space="0" w:color="auto"/>
        <w:right w:val="none" w:sz="0" w:space="0" w:color="auto"/>
      </w:divBdr>
      <w:divsChild>
        <w:div w:id="265499457">
          <w:marLeft w:val="0"/>
          <w:marRight w:val="0"/>
          <w:marTop w:val="0"/>
          <w:marBottom w:val="0"/>
          <w:divBdr>
            <w:top w:val="none" w:sz="0" w:space="0" w:color="auto"/>
            <w:left w:val="none" w:sz="0" w:space="0" w:color="auto"/>
            <w:bottom w:val="none" w:sz="0" w:space="0" w:color="auto"/>
            <w:right w:val="none" w:sz="0" w:space="0" w:color="auto"/>
          </w:divBdr>
        </w:div>
      </w:divsChild>
    </w:div>
    <w:div w:id="1340038203">
      <w:bodyDiv w:val="1"/>
      <w:marLeft w:val="0"/>
      <w:marRight w:val="0"/>
      <w:marTop w:val="0"/>
      <w:marBottom w:val="0"/>
      <w:divBdr>
        <w:top w:val="none" w:sz="0" w:space="0" w:color="auto"/>
        <w:left w:val="none" w:sz="0" w:space="0" w:color="auto"/>
        <w:bottom w:val="none" w:sz="0" w:space="0" w:color="auto"/>
        <w:right w:val="none" w:sz="0" w:space="0" w:color="auto"/>
      </w:divBdr>
    </w:div>
    <w:div w:id="1355494062">
      <w:bodyDiv w:val="1"/>
      <w:marLeft w:val="0"/>
      <w:marRight w:val="0"/>
      <w:marTop w:val="0"/>
      <w:marBottom w:val="0"/>
      <w:divBdr>
        <w:top w:val="none" w:sz="0" w:space="0" w:color="auto"/>
        <w:left w:val="none" w:sz="0" w:space="0" w:color="auto"/>
        <w:bottom w:val="none" w:sz="0" w:space="0" w:color="auto"/>
        <w:right w:val="none" w:sz="0" w:space="0" w:color="auto"/>
      </w:divBdr>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545828695">
      <w:bodyDiv w:val="1"/>
      <w:marLeft w:val="0"/>
      <w:marRight w:val="0"/>
      <w:marTop w:val="0"/>
      <w:marBottom w:val="0"/>
      <w:divBdr>
        <w:top w:val="none" w:sz="0" w:space="0" w:color="auto"/>
        <w:left w:val="none" w:sz="0" w:space="0" w:color="auto"/>
        <w:bottom w:val="none" w:sz="0" w:space="0" w:color="auto"/>
        <w:right w:val="none" w:sz="0" w:space="0" w:color="auto"/>
      </w:divBdr>
    </w:div>
    <w:div w:id="1552378624">
      <w:bodyDiv w:val="1"/>
      <w:marLeft w:val="0"/>
      <w:marRight w:val="0"/>
      <w:marTop w:val="0"/>
      <w:marBottom w:val="0"/>
      <w:divBdr>
        <w:top w:val="none" w:sz="0" w:space="0" w:color="auto"/>
        <w:left w:val="none" w:sz="0" w:space="0" w:color="auto"/>
        <w:bottom w:val="none" w:sz="0" w:space="0" w:color="auto"/>
        <w:right w:val="none" w:sz="0" w:space="0" w:color="auto"/>
      </w:divBdr>
    </w:div>
    <w:div w:id="1614289310">
      <w:bodyDiv w:val="1"/>
      <w:marLeft w:val="0"/>
      <w:marRight w:val="0"/>
      <w:marTop w:val="0"/>
      <w:marBottom w:val="0"/>
      <w:divBdr>
        <w:top w:val="none" w:sz="0" w:space="0" w:color="auto"/>
        <w:left w:val="none" w:sz="0" w:space="0" w:color="auto"/>
        <w:bottom w:val="none" w:sz="0" w:space="0" w:color="auto"/>
        <w:right w:val="none" w:sz="0" w:space="0" w:color="auto"/>
      </w:divBdr>
    </w:div>
    <w:div w:id="1691835057">
      <w:bodyDiv w:val="1"/>
      <w:marLeft w:val="0"/>
      <w:marRight w:val="0"/>
      <w:marTop w:val="0"/>
      <w:marBottom w:val="0"/>
      <w:divBdr>
        <w:top w:val="none" w:sz="0" w:space="0" w:color="auto"/>
        <w:left w:val="none" w:sz="0" w:space="0" w:color="auto"/>
        <w:bottom w:val="none" w:sz="0" w:space="0" w:color="auto"/>
        <w:right w:val="none" w:sz="0" w:space="0" w:color="auto"/>
      </w:divBdr>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830443453">
      <w:bodyDiv w:val="1"/>
      <w:marLeft w:val="0"/>
      <w:marRight w:val="0"/>
      <w:marTop w:val="0"/>
      <w:marBottom w:val="0"/>
      <w:divBdr>
        <w:top w:val="none" w:sz="0" w:space="0" w:color="auto"/>
        <w:left w:val="none" w:sz="0" w:space="0" w:color="auto"/>
        <w:bottom w:val="none" w:sz="0" w:space="0" w:color="auto"/>
        <w:right w:val="none" w:sz="0" w:space="0" w:color="auto"/>
      </w:divBdr>
    </w:div>
    <w:div w:id="1910263007">
      <w:bodyDiv w:val="1"/>
      <w:marLeft w:val="0"/>
      <w:marRight w:val="0"/>
      <w:marTop w:val="0"/>
      <w:marBottom w:val="0"/>
      <w:divBdr>
        <w:top w:val="none" w:sz="0" w:space="0" w:color="auto"/>
        <w:left w:val="none" w:sz="0" w:space="0" w:color="auto"/>
        <w:bottom w:val="none" w:sz="0" w:space="0" w:color="auto"/>
        <w:right w:val="none" w:sz="0" w:space="0" w:color="auto"/>
      </w:divBdr>
    </w:div>
    <w:div w:id="1915158616">
      <w:bodyDiv w:val="1"/>
      <w:marLeft w:val="0"/>
      <w:marRight w:val="0"/>
      <w:marTop w:val="0"/>
      <w:marBottom w:val="0"/>
      <w:divBdr>
        <w:top w:val="none" w:sz="0" w:space="0" w:color="auto"/>
        <w:left w:val="none" w:sz="0" w:space="0" w:color="auto"/>
        <w:bottom w:val="none" w:sz="0" w:space="0" w:color="auto"/>
        <w:right w:val="none" w:sz="0" w:space="0" w:color="auto"/>
      </w:divBdr>
      <w:divsChild>
        <w:div w:id="93938458">
          <w:marLeft w:val="0"/>
          <w:marRight w:val="0"/>
          <w:marTop w:val="0"/>
          <w:marBottom w:val="0"/>
          <w:divBdr>
            <w:top w:val="none" w:sz="0" w:space="0" w:color="auto"/>
            <w:left w:val="none" w:sz="0" w:space="0" w:color="auto"/>
            <w:bottom w:val="none" w:sz="0" w:space="0" w:color="auto"/>
            <w:right w:val="none" w:sz="0" w:space="0" w:color="auto"/>
          </w:divBdr>
          <w:divsChild>
            <w:div w:id="869220039">
              <w:marLeft w:val="0"/>
              <w:marRight w:val="0"/>
              <w:marTop w:val="0"/>
              <w:marBottom w:val="0"/>
              <w:divBdr>
                <w:top w:val="none" w:sz="0" w:space="0" w:color="auto"/>
                <w:left w:val="none" w:sz="0" w:space="0" w:color="auto"/>
                <w:bottom w:val="none" w:sz="0" w:space="0" w:color="auto"/>
                <w:right w:val="none" w:sz="0" w:space="0" w:color="auto"/>
              </w:divBdr>
              <w:divsChild>
                <w:div w:id="497379043">
                  <w:marLeft w:val="0"/>
                  <w:marRight w:val="0"/>
                  <w:marTop w:val="0"/>
                  <w:marBottom w:val="0"/>
                  <w:divBdr>
                    <w:top w:val="none" w:sz="0" w:space="0" w:color="auto"/>
                    <w:left w:val="none" w:sz="0" w:space="0" w:color="auto"/>
                    <w:bottom w:val="none" w:sz="0" w:space="0" w:color="auto"/>
                    <w:right w:val="none" w:sz="0" w:space="0" w:color="auto"/>
                  </w:divBdr>
                  <w:divsChild>
                    <w:div w:id="1721786549">
                      <w:marLeft w:val="0"/>
                      <w:marRight w:val="0"/>
                      <w:marTop w:val="0"/>
                      <w:marBottom w:val="0"/>
                      <w:divBdr>
                        <w:top w:val="none" w:sz="0" w:space="0" w:color="auto"/>
                        <w:left w:val="none" w:sz="0" w:space="0" w:color="auto"/>
                        <w:bottom w:val="none" w:sz="0" w:space="0" w:color="auto"/>
                        <w:right w:val="none" w:sz="0" w:space="0" w:color="auto"/>
                      </w:divBdr>
                      <w:divsChild>
                        <w:div w:id="1511869016">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nita.ulmane@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DKP xmlns="2e5bb04e-596e-45bd-9003-43ca78b1ba16">11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F2D1-5D07-4EF1-93FD-5E39157A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3.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4.xml><?xml version="1.0" encoding="utf-8"?>
<ds:datastoreItem xmlns:ds="http://schemas.openxmlformats.org/officeDocument/2006/customXml" ds:itemID="{9080B406-3580-47D7-B19E-6CD92C178774}">
  <ds:schemaRefs>
    <ds:schemaRef ds:uri="http://schemas.openxmlformats.org/package/2006/metadata/core-properties"/>
    <ds:schemaRef ds:uri="http://purl.org/dc/dcmitype/"/>
    <ds:schemaRef ds:uri="http://schemas.microsoft.com/office/2006/documentManagement/types"/>
    <ds:schemaRef ds:uri="http://purl.org/dc/elements/1.1/"/>
    <ds:schemaRef ds:uri="2e5bb04e-596e-45bd-9003-43ca78b1ba16"/>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FB229A8A-3412-4A25-917A-DBE17811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1096</Words>
  <Characters>7601</Characters>
  <Application>Microsoft Office Word</Application>
  <DocSecurity>0</DocSecurity>
  <Lines>234</Lines>
  <Paragraphs>82</Paragraphs>
  <ScaleCrop>false</ScaleCrop>
  <HeadingPairs>
    <vt:vector size="2" baseType="variant">
      <vt:variant>
        <vt:lpstr>Title</vt:lpstr>
      </vt:variant>
      <vt:variant>
        <vt:i4>1</vt:i4>
      </vt:variant>
    </vt:vector>
  </HeadingPairs>
  <TitlesOfParts>
    <vt:vector size="1" baseType="lpstr">
      <vt:lpstr>Likumprojekta „Par Latvijas Republikas valdības un Kipras Republikas valdības līgumu par nodokļu dubultās uzlikšanas un nodokļu nemaksāšanas novēršanu attiecībā uz ienākuma nodokļiem” sākotnējās ietekmes novērtējuma ziņojums (anotācija)</vt:lpstr>
    </vt:vector>
  </TitlesOfParts>
  <Company>Finanšu ministrija</Company>
  <LinksUpToDate>false</LinksUpToDate>
  <CharactersWithSpaces>8669</CharactersWithSpaces>
  <SharedDoc>false</SharedDoc>
  <HLinks>
    <vt:vector size="6" baseType="variant">
      <vt:variant>
        <vt:i4>1966132</vt:i4>
      </vt:variant>
      <vt:variant>
        <vt:i4>6</vt:i4>
      </vt:variant>
      <vt:variant>
        <vt:i4>0</vt:i4>
      </vt:variant>
      <vt:variant>
        <vt:i4>5</vt:i4>
      </vt:variant>
      <vt:variant>
        <vt:lpwstr>mailto:dace.patmalniece@mfa.gov.lv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Kipras Republikas valdības līgumu par nodokļu dubultās uzlikšanas un nodokļu nemaksāšanas novēršanu attiecībā uz ienākuma nodokļiem” sākotnējās ietekmes novērtējuma ziņojums (anotācija)</dc:title>
  <dc:subject>Likumprojekta anotācija</dc:subject>
  <dc:creator>S.Cāne</dc:creator>
  <dc:description>Sanda.Cane@fm.gov.lv_x000d_
67095518</dc:description>
  <cp:lastModifiedBy>Sanita Ulmane</cp:lastModifiedBy>
  <cp:revision>21</cp:revision>
  <cp:lastPrinted>2016-09-23T12:11:00Z</cp:lastPrinted>
  <dcterms:created xsi:type="dcterms:W3CDTF">2016-09-22T05:35:00Z</dcterms:created>
  <dcterms:modified xsi:type="dcterms:W3CDTF">2016-10-06T08:49:00Z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