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43" w:rsidRPr="00C962CC" w:rsidRDefault="00440443" w:rsidP="00440443">
      <w:pPr>
        <w:jc w:val="center"/>
        <w:outlineLvl w:val="0"/>
        <w:rPr>
          <w:b/>
          <w:bCs/>
          <w:color w:val="000000" w:themeColor="text1"/>
        </w:rPr>
      </w:pPr>
      <w:r w:rsidRPr="00C962CC">
        <w:rPr>
          <w:b/>
          <w:color w:val="000000" w:themeColor="text1"/>
        </w:rPr>
        <w:t>Likumprojekta „</w:t>
      </w:r>
      <w:r>
        <w:rPr>
          <w:b/>
          <w:color w:val="000000" w:themeColor="text1"/>
        </w:rPr>
        <w:t>Grozījumi elektroenerģijas tirgus likuma</w:t>
      </w:r>
      <w:r w:rsidRPr="00C962CC">
        <w:rPr>
          <w:b/>
          <w:color w:val="000000" w:themeColor="text1"/>
        </w:rPr>
        <w:t xml:space="preserve">” </w:t>
      </w:r>
      <w:r w:rsidRPr="00C962CC">
        <w:rPr>
          <w:b/>
          <w:bCs/>
          <w:color w:val="000000" w:themeColor="text1"/>
        </w:rPr>
        <w:t xml:space="preserve">sākotnējās ietekmes novērtējuma </w:t>
      </w:r>
      <w:smartTag w:uri="schemas-tilde-lv/tildestengine" w:element="veidnes">
        <w:smartTagPr>
          <w:attr w:name="text" w:val="ziņojums"/>
          <w:attr w:name="baseform" w:val="ziņojums"/>
          <w:attr w:name="id" w:val="-1"/>
        </w:smartTagPr>
        <w:r w:rsidRPr="00C962CC">
          <w:rPr>
            <w:b/>
            <w:bCs/>
            <w:color w:val="000000" w:themeColor="text1"/>
          </w:rPr>
          <w:t>ziņojums</w:t>
        </w:r>
      </w:smartTag>
      <w:r w:rsidRPr="00C962CC">
        <w:rPr>
          <w:b/>
          <w:bCs/>
          <w:color w:val="000000" w:themeColor="text1"/>
        </w:rPr>
        <w:t xml:space="preserve"> (anotācija)</w:t>
      </w:r>
    </w:p>
    <w:p w:rsidR="00440443" w:rsidRPr="005F757E" w:rsidRDefault="00440443" w:rsidP="00440443">
      <w:pPr>
        <w:jc w:val="center"/>
        <w:rPr>
          <w:b/>
          <w:color w:val="000000" w:themeColor="text1"/>
          <w:sz w:val="16"/>
          <w:szCs w:val="16"/>
        </w:rPr>
      </w:pPr>
    </w:p>
    <w:tbl>
      <w:tblPr>
        <w:tblW w:w="51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1"/>
        <w:gridCol w:w="1949"/>
        <w:gridCol w:w="7635"/>
      </w:tblGrid>
      <w:tr w:rsidR="00440443" w:rsidRPr="00C962CC" w:rsidTr="002F4267">
        <w:tc>
          <w:tcPr>
            <w:tcW w:w="5000" w:type="pct"/>
            <w:gridSpan w:val="3"/>
            <w:tcBorders>
              <w:top w:val="single" w:sz="6" w:space="0" w:color="auto"/>
              <w:left w:val="single" w:sz="6" w:space="0" w:color="auto"/>
              <w:bottom w:val="outset" w:sz="6" w:space="0" w:color="000000"/>
              <w:right w:val="single" w:sz="6" w:space="0" w:color="auto"/>
            </w:tcBorders>
            <w:vAlign w:val="center"/>
          </w:tcPr>
          <w:p w:rsidR="00440443" w:rsidRPr="00C962CC" w:rsidRDefault="00440443" w:rsidP="002F4267">
            <w:pPr>
              <w:spacing w:before="100" w:beforeAutospacing="1" w:after="100" w:afterAutospacing="1"/>
              <w:jc w:val="center"/>
              <w:rPr>
                <w:b/>
                <w:bCs/>
                <w:color w:val="000000" w:themeColor="text1"/>
              </w:rPr>
            </w:pPr>
            <w:r w:rsidRPr="00C962CC">
              <w:rPr>
                <w:b/>
                <w:bCs/>
                <w:color w:val="000000" w:themeColor="text1"/>
              </w:rPr>
              <w:t>I. Tiesību akta projekta izstrādes nepieciešamība</w:t>
            </w:r>
          </w:p>
        </w:tc>
      </w:tr>
      <w:tr w:rsidR="00440443" w:rsidRPr="00C962CC" w:rsidTr="002F4267">
        <w:tc>
          <w:tcPr>
            <w:tcW w:w="147" w:type="pct"/>
            <w:tcBorders>
              <w:top w:val="outset" w:sz="6" w:space="0" w:color="000000"/>
              <w:bottom w:val="outset" w:sz="6" w:space="0" w:color="000000"/>
              <w:right w:val="outset" w:sz="6" w:space="0" w:color="000000"/>
            </w:tcBorders>
          </w:tcPr>
          <w:p w:rsidR="00440443" w:rsidRPr="00C962CC" w:rsidRDefault="00440443" w:rsidP="002F4267">
            <w:pPr>
              <w:spacing w:before="100" w:beforeAutospacing="1" w:after="100" w:afterAutospacing="1"/>
              <w:rPr>
                <w:color w:val="000000" w:themeColor="text1"/>
              </w:rPr>
            </w:pPr>
            <w:r w:rsidRPr="00C962CC">
              <w:rPr>
                <w:color w:val="000000" w:themeColor="text1"/>
              </w:rPr>
              <w:t>1.</w:t>
            </w:r>
          </w:p>
        </w:tc>
        <w:tc>
          <w:tcPr>
            <w:tcW w:w="987" w:type="pct"/>
            <w:tcBorders>
              <w:top w:val="outset" w:sz="6" w:space="0" w:color="000000"/>
              <w:left w:val="outset" w:sz="6" w:space="0" w:color="000000"/>
              <w:bottom w:val="outset" w:sz="6" w:space="0" w:color="000000"/>
              <w:right w:val="outset" w:sz="6" w:space="0" w:color="000000"/>
            </w:tcBorders>
          </w:tcPr>
          <w:p w:rsidR="00440443" w:rsidRPr="00C857A5" w:rsidRDefault="00440443" w:rsidP="002F4267">
            <w:pPr>
              <w:spacing w:before="100" w:beforeAutospacing="1" w:after="100" w:afterAutospacing="1"/>
              <w:rPr>
                <w:color w:val="000000" w:themeColor="text1"/>
              </w:rPr>
            </w:pPr>
            <w:r w:rsidRPr="00C857A5">
              <w:rPr>
                <w:color w:val="000000" w:themeColor="text1"/>
              </w:rPr>
              <w:t>Pamatojums</w:t>
            </w:r>
          </w:p>
        </w:tc>
        <w:tc>
          <w:tcPr>
            <w:tcW w:w="3866" w:type="pct"/>
            <w:tcBorders>
              <w:top w:val="outset" w:sz="6" w:space="0" w:color="000000"/>
              <w:left w:val="outset" w:sz="6" w:space="0" w:color="000000"/>
              <w:bottom w:val="outset" w:sz="6" w:space="0" w:color="000000"/>
            </w:tcBorders>
          </w:tcPr>
          <w:p w:rsidR="00440443" w:rsidRPr="00B74E68" w:rsidRDefault="00440443" w:rsidP="002F4267">
            <w:pPr>
              <w:pStyle w:val="Default"/>
              <w:jc w:val="both"/>
              <w:rPr>
                <w:color w:val="000000" w:themeColor="text1"/>
              </w:rPr>
            </w:pPr>
            <w:r>
              <w:t>Ministru kabineta 2016.gada 13.septembra sēdē nolemtais.</w:t>
            </w:r>
          </w:p>
        </w:tc>
      </w:tr>
      <w:tr w:rsidR="00440443" w:rsidRPr="00C962CC" w:rsidTr="002F4267">
        <w:tc>
          <w:tcPr>
            <w:tcW w:w="147" w:type="pct"/>
            <w:tcBorders>
              <w:top w:val="outset" w:sz="6" w:space="0" w:color="000000"/>
              <w:bottom w:val="outset" w:sz="6" w:space="0" w:color="000000"/>
              <w:right w:val="outset" w:sz="6" w:space="0" w:color="000000"/>
            </w:tcBorders>
          </w:tcPr>
          <w:p w:rsidR="00440443" w:rsidRPr="00C962CC" w:rsidRDefault="00440443" w:rsidP="002F4267">
            <w:pPr>
              <w:spacing w:before="100" w:beforeAutospacing="1" w:after="100" w:afterAutospacing="1"/>
              <w:rPr>
                <w:color w:val="000000" w:themeColor="text1"/>
              </w:rPr>
            </w:pPr>
            <w:r w:rsidRPr="00C962CC">
              <w:rPr>
                <w:color w:val="000000" w:themeColor="text1"/>
              </w:rPr>
              <w:t>2.</w:t>
            </w:r>
          </w:p>
        </w:tc>
        <w:tc>
          <w:tcPr>
            <w:tcW w:w="987" w:type="pct"/>
            <w:tcBorders>
              <w:top w:val="outset" w:sz="6" w:space="0" w:color="000000"/>
              <w:left w:val="outset" w:sz="6" w:space="0" w:color="000000"/>
              <w:bottom w:val="outset" w:sz="6" w:space="0" w:color="000000"/>
              <w:right w:val="outset" w:sz="6" w:space="0" w:color="000000"/>
            </w:tcBorders>
          </w:tcPr>
          <w:p w:rsidR="00440443" w:rsidRPr="00C962CC" w:rsidRDefault="00440443" w:rsidP="002F4267">
            <w:pPr>
              <w:spacing w:before="100" w:beforeAutospacing="1" w:after="100" w:afterAutospacing="1"/>
              <w:rPr>
                <w:color w:val="000000" w:themeColor="text1"/>
              </w:rPr>
            </w:pPr>
            <w:r w:rsidRPr="00C962CC">
              <w:rPr>
                <w:color w:val="000000" w:themeColor="text1"/>
              </w:rPr>
              <w:t>Pašreizējā situācija un problēmas</w:t>
            </w:r>
          </w:p>
        </w:tc>
        <w:tc>
          <w:tcPr>
            <w:tcW w:w="3866" w:type="pct"/>
            <w:tcBorders>
              <w:top w:val="outset" w:sz="6" w:space="0" w:color="000000"/>
              <w:left w:val="outset" w:sz="6" w:space="0" w:color="000000"/>
              <w:bottom w:val="outset" w:sz="6" w:space="0" w:color="000000"/>
            </w:tcBorders>
          </w:tcPr>
          <w:p w:rsidR="00440443" w:rsidRDefault="00440443" w:rsidP="002F4267">
            <w:pPr>
              <w:jc w:val="both"/>
            </w:pPr>
            <w:r>
              <w:t xml:space="preserve">Līdzšinējā kārtība paredz, ka obligātā iepirkuma komponente (turpmāk – OIK) tiek aprēķināta un piemērota proporcionāli elektroenerģijas </w:t>
            </w:r>
            <w:r w:rsidR="00257275">
              <w:t>lietotāja</w:t>
            </w:r>
            <w:r>
              <w:t xml:space="preserve"> patērētājam elektroenerģijas daudzumam. Vienlaikus obligātajā iepirkumā (turpmāk – OI) iepirktās elektroenerģijas daudzums līdz 2019.gadam palielināsies. </w:t>
            </w:r>
          </w:p>
          <w:p w:rsidR="00440443" w:rsidRDefault="00440443" w:rsidP="002F4267">
            <w:pPr>
              <w:jc w:val="both"/>
            </w:pPr>
            <w:r>
              <w:t xml:space="preserve">Atbilstoši prognozētajam samazināsies elektroenerģijas tirgus cenas Baltijas reģionā. Ņemot vērā minēto, iepirktās elektroenerģijas tirgus vērtība kļūs zemāka, bet nepieciešamā atbalsta apmērs elektroenerģijas lietotājiem OIK mazināšanai lielāks. </w:t>
            </w:r>
          </w:p>
          <w:p w:rsidR="00440443" w:rsidRDefault="00440443" w:rsidP="002F4267">
            <w:pPr>
              <w:jc w:val="both"/>
            </w:pPr>
            <w:r>
              <w:t xml:space="preserve">Ņemot vērā minēto, OIK saglabāšanai 26,79 EUR/MWh apmērā turpmākajos gados strauji nepieaugot elektroenerģijas patēriņam, palielināsies nepieciešamā dotācija no budžeta elektroenerģijas lietotājiem OIK mazināšanai. </w:t>
            </w:r>
          </w:p>
          <w:p w:rsidR="00440443" w:rsidRPr="006F2E28" w:rsidRDefault="00440443" w:rsidP="002F4267">
            <w:pPr>
              <w:jc w:val="both"/>
            </w:pPr>
            <w:r w:rsidRPr="006F2E28">
              <w:t xml:space="preserve">Visas </w:t>
            </w:r>
            <w:r>
              <w:t xml:space="preserve">publiskajam tirgotājam </w:t>
            </w:r>
            <w:r w:rsidRPr="006F2E28">
              <w:t xml:space="preserve">kompensējamās </w:t>
            </w:r>
            <w:r>
              <w:t>izmaksas</w:t>
            </w:r>
            <w:r w:rsidRPr="006F2E28">
              <w:t xml:space="preserve"> var iedalīt divās daļās:</w:t>
            </w:r>
          </w:p>
          <w:p w:rsidR="00440443" w:rsidRPr="006F2E28" w:rsidRDefault="00440443" w:rsidP="00440443">
            <w:pPr>
              <w:pStyle w:val="ListParagraph"/>
              <w:numPr>
                <w:ilvl w:val="0"/>
                <w:numId w:val="4"/>
              </w:numPr>
              <w:ind w:left="557" w:hanging="425"/>
              <w:jc w:val="both"/>
            </w:pPr>
            <w:r w:rsidRPr="006F2E28">
              <w:t xml:space="preserve">mainīgās izmaksas, kas rodas OI rezultātā, lai nodrošinātu noteiktu daļu </w:t>
            </w:r>
            <w:r>
              <w:t xml:space="preserve">atjaunojamo energoresursu </w:t>
            </w:r>
            <w:r w:rsidRPr="006F2E28">
              <w:t>enerģijas galapatēriņā. Tās ir atkarīgas no OI ietvaros ie</w:t>
            </w:r>
            <w:r>
              <w:t>pirktā elektroenerģijas apjoma;</w:t>
            </w:r>
          </w:p>
          <w:p w:rsidR="00440443" w:rsidRDefault="00440443" w:rsidP="00440443">
            <w:pPr>
              <w:pStyle w:val="ListParagraph"/>
              <w:numPr>
                <w:ilvl w:val="0"/>
                <w:numId w:val="4"/>
              </w:numPr>
              <w:ind w:left="557" w:hanging="425"/>
              <w:jc w:val="both"/>
            </w:pPr>
            <w:r w:rsidRPr="006F2E28">
              <w:t>fiksētās izmaksas par jaudu, kuras ik gadu ir konstantas un sedz lielu jaudu koģenerācija</w:t>
            </w:r>
            <w:r>
              <w:t>s staciju investīciju izmaksas.</w:t>
            </w:r>
          </w:p>
          <w:p w:rsidR="00440443" w:rsidRDefault="00440443" w:rsidP="002F4267">
            <w:pPr>
              <w:jc w:val="both"/>
            </w:pPr>
            <w:r>
              <w:t xml:space="preserve">Ar grozījumiem tiek padarīta efektīvāka esošā sistēma, paredzot, ka jaudas maksājumu radītās izmaksas daļēji sedz arī elektroenerģijas </w:t>
            </w:r>
            <w:r w:rsidR="00257275">
              <w:t>lietotāji</w:t>
            </w:r>
            <w:r>
              <w:t>, kuriem ir pieslēgumi ar nulles patēriņu. Minētie grozījumi veicinās elektroenerģijas lietotāju pieslēgtās jaudas nepieciešamības izvērtēšanu, kā arī to rezultātā palielināsies pieejamība uzstādītajām, bet neizmantotajām jaudām.</w:t>
            </w:r>
          </w:p>
          <w:p w:rsidR="00440443" w:rsidRDefault="00440443" w:rsidP="002F4267">
            <w:pPr>
              <w:jc w:val="both"/>
            </w:pPr>
            <w:r>
              <w:t xml:space="preserve">Tāpat šāda mehānisma ieviešana veicinās ekonomisko izaugsmi un nodrošinās apstrādes rūpniecības konkurētspēju ilgtermiņā, veicinot OIK ietekmes mazināšanu uz apstrādes rūpniecības mainīgajām ražošanas izmaksām. Tā rezultātā sagaidāma arī elektroenerģijas patēriņa palielināšanās apstrādes rūpniecībā. </w:t>
            </w:r>
          </w:p>
          <w:p w:rsidR="00440443" w:rsidRPr="00B74E68" w:rsidRDefault="00440443" w:rsidP="002F4267">
            <w:pPr>
              <w:jc w:val="both"/>
              <w:rPr>
                <w:color w:val="000000" w:themeColor="text1"/>
              </w:rPr>
            </w:pPr>
            <w:r>
              <w:t>Tiek prognozēts, ka šāda risinājuma īstenošanas gadījumā uzņēmumu mainīgās izmaksas par katru nākamo saražoto produkcijas vienību būtu ievērojami zemākas kā šobrīd, tādējādi stimulējot uzņēmumus kāpināt ražošanas apjomu un attiecīgi arī elektroenerģijas patēriņu. Līdz ar elektroenerģijas patēriņa pieaugumu OIK apjoms uz vienu patērēto MWh kļūtu mazāks, tādējādi mazinot nepieciešamo valsts budžeta dotāciju OIK saglabāšanai vidēji 26,79 EUR/MWh apmērā.</w:t>
            </w:r>
          </w:p>
        </w:tc>
      </w:tr>
      <w:tr w:rsidR="00440443" w:rsidRPr="00C962CC" w:rsidTr="002F4267">
        <w:tc>
          <w:tcPr>
            <w:tcW w:w="147" w:type="pct"/>
            <w:tcBorders>
              <w:top w:val="outset" w:sz="6" w:space="0" w:color="000000"/>
              <w:bottom w:val="outset" w:sz="6" w:space="0" w:color="000000"/>
              <w:right w:val="outset" w:sz="6" w:space="0" w:color="000000"/>
            </w:tcBorders>
          </w:tcPr>
          <w:p w:rsidR="00440443" w:rsidRPr="00C962CC" w:rsidRDefault="00440443" w:rsidP="002F4267">
            <w:pPr>
              <w:spacing w:before="100" w:beforeAutospacing="1" w:after="100" w:afterAutospacing="1"/>
              <w:rPr>
                <w:color w:val="000000" w:themeColor="text1"/>
              </w:rPr>
            </w:pPr>
            <w:r>
              <w:rPr>
                <w:color w:val="000000" w:themeColor="text1"/>
              </w:rPr>
              <w:t>3</w:t>
            </w:r>
            <w:r w:rsidRPr="00C962CC">
              <w:rPr>
                <w:color w:val="000000" w:themeColor="text1"/>
              </w:rPr>
              <w:t>.</w:t>
            </w:r>
          </w:p>
        </w:tc>
        <w:tc>
          <w:tcPr>
            <w:tcW w:w="987" w:type="pct"/>
            <w:tcBorders>
              <w:top w:val="outset" w:sz="6" w:space="0" w:color="000000"/>
              <w:left w:val="outset" w:sz="6" w:space="0" w:color="000000"/>
              <w:bottom w:val="outset" w:sz="6" w:space="0" w:color="000000"/>
              <w:right w:val="outset" w:sz="6" w:space="0" w:color="000000"/>
            </w:tcBorders>
          </w:tcPr>
          <w:p w:rsidR="00440443" w:rsidRPr="00C962CC" w:rsidRDefault="00440443" w:rsidP="002F4267">
            <w:pPr>
              <w:spacing w:before="100" w:beforeAutospacing="1" w:after="100" w:afterAutospacing="1"/>
              <w:rPr>
                <w:color w:val="000000" w:themeColor="text1"/>
              </w:rPr>
            </w:pPr>
            <w:r w:rsidRPr="00C962CC">
              <w:rPr>
                <w:color w:val="000000" w:themeColor="text1"/>
              </w:rPr>
              <w:t>Projekta izstrādē iesaistītās institūcijas</w:t>
            </w:r>
          </w:p>
        </w:tc>
        <w:tc>
          <w:tcPr>
            <w:tcW w:w="3866" w:type="pct"/>
            <w:tcBorders>
              <w:top w:val="outset" w:sz="6" w:space="0" w:color="000000"/>
              <w:left w:val="outset" w:sz="6" w:space="0" w:color="000000"/>
              <w:bottom w:val="outset" w:sz="6" w:space="0" w:color="000000"/>
            </w:tcBorders>
          </w:tcPr>
          <w:p w:rsidR="00440443" w:rsidRPr="00C962CC" w:rsidRDefault="00440443" w:rsidP="002F4267">
            <w:pPr>
              <w:spacing w:before="100" w:beforeAutospacing="1" w:after="100" w:afterAutospacing="1"/>
              <w:jc w:val="both"/>
              <w:rPr>
                <w:color w:val="000000" w:themeColor="text1"/>
              </w:rPr>
            </w:pPr>
            <w:r w:rsidRPr="00C962CC">
              <w:rPr>
                <w:color w:val="000000" w:themeColor="text1"/>
              </w:rPr>
              <w:t>Ekonomikas ministrija.</w:t>
            </w:r>
          </w:p>
        </w:tc>
      </w:tr>
      <w:tr w:rsidR="00440443" w:rsidRPr="00C962CC" w:rsidTr="002F4267">
        <w:tc>
          <w:tcPr>
            <w:tcW w:w="147" w:type="pct"/>
            <w:tcBorders>
              <w:top w:val="outset" w:sz="6" w:space="0" w:color="000000"/>
              <w:bottom w:val="outset" w:sz="6" w:space="0" w:color="000000"/>
              <w:right w:val="outset" w:sz="6" w:space="0" w:color="000000"/>
            </w:tcBorders>
          </w:tcPr>
          <w:p w:rsidR="00440443" w:rsidRPr="00C962CC" w:rsidRDefault="00440443" w:rsidP="002F4267">
            <w:pPr>
              <w:spacing w:before="100" w:beforeAutospacing="1" w:after="100" w:afterAutospacing="1"/>
              <w:rPr>
                <w:color w:val="000000" w:themeColor="text1"/>
              </w:rPr>
            </w:pPr>
            <w:r>
              <w:rPr>
                <w:color w:val="000000" w:themeColor="text1"/>
              </w:rPr>
              <w:t>4</w:t>
            </w:r>
            <w:r w:rsidRPr="00C962CC">
              <w:rPr>
                <w:color w:val="000000" w:themeColor="text1"/>
              </w:rPr>
              <w:t>.</w:t>
            </w:r>
          </w:p>
        </w:tc>
        <w:tc>
          <w:tcPr>
            <w:tcW w:w="987" w:type="pct"/>
            <w:tcBorders>
              <w:top w:val="outset" w:sz="6" w:space="0" w:color="000000"/>
              <w:left w:val="outset" w:sz="6" w:space="0" w:color="000000"/>
              <w:bottom w:val="outset" w:sz="6" w:space="0" w:color="000000"/>
              <w:right w:val="outset" w:sz="6" w:space="0" w:color="000000"/>
            </w:tcBorders>
          </w:tcPr>
          <w:p w:rsidR="00440443" w:rsidRPr="00C962CC" w:rsidRDefault="00440443" w:rsidP="002F4267">
            <w:pPr>
              <w:spacing w:before="100" w:beforeAutospacing="1" w:after="100" w:afterAutospacing="1"/>
              <w:rPr>
                <w:color w:val="000000" w:themeColor="text1"/>
              </w:rPr>
            </w:pPr>
            <w:r w:rsidRPr="00C962CC">
              <w:rPr>
                <w:color w:val="000000" w:themeColor="text1"/>
              </w:rPr>
              <w:t>Cita informācija</w:t>
            </w:r>
          </w:p>
        </w:tc>
        <w:tc>
          <w:tcPr>
            <w:tcW w:w="3866" w:type="pct"/>
            <w:tcBorders>
              <w:top w:val="outset" w:sz="6" w:space="0" w:color="000000"/>
              <w:left w:val="outset" w:sz="6" w:space="0" w:color="000000"/>
              <w:bottom w:val="outset" w:sz="6" w:space="0" w:color="000000"/>
            </w:tcBorders>
          </w:tcPr>
          <w:p w:rsidR="00440443" w:rsidRPr="00C962CC" w:rsidRDefault="00440443" w:rsidP="002F4267">
            <w:pPr>
              <w:jc w:val="both"/>
              <w:rPr>
                <w:iCs/>
                <w:color w:val="000000" w:themeColor="text1"/>
              </w:rPr>
            </w:pPr>
            <w:r>
              <w:rPr>
                <w:iCs/>
                <w:color w:val="000000" w:themeColor="text1"/>
              </w:rPr>
              <w:t>Nav</w:t>
            </w:r>
          </w:p>
        </w:tc>
      </w:tr>
    </w:tbl>
    <w:p w:rsidR="00440443" w:rsidRPr="005F757E" w:rsidRDefault="00440443" w:rsidP="00440443">
      <w:pPr>
        <w:rPr>
          <w:color w:val="000000" w:themeColor="text1"/>
          <w:sz w:val="16"/>
          <w:szCs w:val="16"/>
        </w:rPr>
      </w:pPr>
    </w:p>
    <w:tbl>
      <w:tblPr>
        <w:tblW w:w="51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2"/>
        <w:gridCol w:w="3427"/>
        <w:gridCol w:w="5976"/>
      </w:tblGrid>
      <w:tr w:rsidR="00440443" w:rsidRPr="00C962CC" w:rsidTr="002F4267">
        <w:tc>
          <w:tcPr>
            <w:tcW w:w="5000" w:type="pct"/>
            <w:gridSpan w:val="3"/>
            <w:tcBorders>
              <w:top w:val="single" w:sz="6" w:space="0" w:color="auto"/>
              <w:left w:val="single" w:sz="6" w:space="0" w:color="auto"/>
              <w:bottom w:val="outset" w:sz="6" w:space="0" w:color="000000"/>
              <w:right w:val="single" w:sz="6" w:space="0" w:color="auto"/>
            </w:tcBorders>
            <w:vAlign w:val="center"/>
          </w:tcPr>
          <w:p w:rsidR="00440443" w:rsidRPr="00C962CC" w:rsidRDefault="00440443" w:rsidP="002F4267">
            <w:pPr>
              <w:spacing w:before="100" w:beforeAutospacing="1" w:after="100" w:afterAutospacing="1"/>
              <w:ind w:right="-580"/>
              <w:jc w:val="center"/>
              <w:rPr>
                <w:b/>
                <w:bCs/>
                <w:color w:val="000000" w:themeColor="text1"/>
              </w:rPr>
            </w:pPr>
            <w:r w:rsidRPr="00C962CC">
              <w:rPr>
                <w:b/>
                <w:bCs/>
                <w:color w:val="000000" w:themeColor="text1"/>
              </w:rPr>
              <w:t>II. Tiesību akta projekta ietekme uz sabiedrību</w:t>
            </w:r>
          </w:p>
        </w:tc>
      </w:tr>
      <w:tr w:rsidR="00440443" w:rsidRPr="00C962CC" w:rsidTr="002F4267">
        <w:tc>
          <w:tcPr>
            <w:tcW w:w="239" w:type="pct"/>
            <w:tcBorders>
              <w:top w:val="outset" w:sz="6" w:space="0" w:color="000000"/>
              <w:bottom w:val="outset" w:sz="6" w:space="0" w:color="000000"/>
              <w:right w:val="outset" w:sz="6" w:space="0" w:color="000000"/>
            </w:tcBorders>
          </w:tcPr>
          <w:p w:rsidR="00440443" w:rsidRPr="00C962CC" w:rsidRDefault="00440443" w:rsidP="002F4267">
            <w:pPr>
              <w:spacing w:before="100" w:beforeAutospacing="1" w:after="100" w:afterAutospacing="1"/>
              <w:rPr>
                <w:color w:val="000000" w:themeColor="text1"/>
              </w:rPr>
            </w:pPr>
            <w:r w:rsidRPr="00C962CC">
              <w:rPr>
                <w:color w:val="000000" w:themeColor="text1"/>
              </w:rPr>
              <w:t>1.</w:t>
            </w:r>
          </w:p>
        </w:tc>
        <w:tc>
          <w:tcPr>
            <w:tcW w:w="1735" w:type="pct"/>
            <w:tcBorders>
              <w:top w:val="outset" w:sz="6" w:space="0" w:color="000000"/>
              <w:left w:val="outset" w:sz="6" w:space="0" w:color="000000"/>
              <w:bottom w:val="outset" w:sz="6" w:space="0" w:color="000000"/>
              <w:right w:val="outset" w:sz="6" w:space="0" w:color="000000"/>
            </w:tcBorders>
          </w:tcPr>
          <w:p w:rsidR="00440443" w:rsidRPr="00C962CC" w:rsidRDefault="00440443" w:rsidP="002F4267">
            <w:pPr>
              <w:spacing w:before="100" w:beforeAutospacing="1" w:after="100" w:afterAutospacing="1"/>
              <w:rPr>
                <w:color w:val="000000" w:themeColor="text1"/>
              </w:rPr>
            </w:pPr>
            <w:r w:rsidRPr="00440443">
              <w:rPr>
                <w:color w:val="000000" w:themeColor="text1"/>
              </w:rPr>
              <w:t>Sabiedrības mērķgrupas, kuras tiesiskais regulējums ietekmē vai varētu ietekmēt</w:t>
            </w:r>
          </w:p>
        </w:tc>
        <w:tc>
          <w:tcPr>
            <w:tcW w:w="3026" w:type="pct"/>
            <w:tcBorders>
              <w:top w:val="outset" w:sz="6" w:space="0" w:color="000000"/>
              <w:left w:val="outset" w:sz="6" w:space="0" w:color="000000"/>
              <w:bottom w:val="outset" w:sz="6" w:space="0" w:color="000000"/>
            </w:tcBorders>
          </w:tcPr>
          <w:p w:rsidR="00440443" w:rsidRPr="00C962CC" w:rsidRDefault="00440443" w:rsidP="002F4267">
            <w:pPr>
              <w:pStyle w:val="tv2131"/>
              <w:spacing w:before="0" w:line="240" w:lineRule="auto"/>
              <w:ind w:firstLine="0"/>
              <w:rPr>
                <w:color w:val="000000" w:themeColor="text1"/>
                <w:sz w:val="24"/>
                <w:szCs w:val="24"/>
              </w:rPr>
            </w:pPr>
            <w:r>
              <w:rPr>
                <w:rFonts w:ascii="Times New Roman" w:hAnsi="Times New Roman"/>
                <w:color w:val="000000" w:themeColor="text1"/>
                <w:sz w:val="24"/>
                <w:szCs w:val="24"/>
              </w:rPr>
              <w:t>E</w:t>
            </w:r>
            <w:r w:rsidRPr="00C962CC">
              <w:rPr>
                <w:rFonts w:ascii="Times New Roman" w:hAnsi="Times New Roman"/>
                <w:color w:val="000000" w:themeColor="text1"/>
                <w:sz w:val="24"/>
                <w:szCs w:val="24"/>
              </w:rPr>
              <w:t xml:space="preserve">lektroenerģijas </w:t>
            </w:r>
            <w:r>
              <w:rPr>
                <w:rFonts w:ascii="Times New Roman" w:hAnsi="Times New Roman"/>
                <w:color w:val="000000" w:themeColor="text1"/>
                <w:sz w:val="24"/>
                <w:szCs w:val="24"/>
              </w:rPr>
              <w:t>lietotāji.</w:t>
            </w:r>
          </w:p>
        </w:tc>
      </w:tr>
      <w:tr w:rsidR="00440443" w:rsidRPr="00C962CC" w:rsidTr="002F4267">
        <w:tc>
          <w:tcPr>
            <w:tcW w:w="239" w:type="pct"/>
            <w:tcBorders>
              <w:top w:val="outset" w:sz="6" w:space="0" w:color="000000"/>
              <w:bottom w:val="outset" w:sz="6" w:space="0" w:color="000000"/>
              <w:right w:val="outset" w:sz="6" w:space="0" w:color="000000"/>
            </w:tcBorders>
          </w:tcPr>
          <w:p w:rsidR="00440443" w:rsidRPr="00C962CC" w:rsidRDefault="00440443" w:rsidP="002F4267">
            <w:pPr>
              <w:spacing w:before="100" w:beforeAutospacing="1" w:after="100" w:afterAutospacing="1"/>
              <w:rPr>
                <w:color w:val="000000" w:themeColor="text1"/>
              </w:rPr>
            </w:pPr>
            <w:r>
              <w:rPr>
                <w:color w:val="000000" w:themeColor="text1"/>
              </w:rPr>
              <w:lastRenderedPageBreak/>
              <w:t>2</w:t>
            </w:r>
            <w:r w:rsidRPr="00C962CC">
              <w:rPr>
                <w:color w:val="000000" w:themeColor="text1"/>
              </w:rPr>
              <w:t>.</w:t>
            </w:r>
          </w:p>
        </w:tc>
        <w:tc>
          <w:tcPr>
            <w:tcW w:w="1735" w:type="pct"/>
            <w:tcBorders>
              <w:top w:val="outset" w:sz="6" w:space="0" w:color="000000"/>
              <w:left w:val="outset" w:sz="6" w:space="0" w:color="000000"/>
              <w:bottom w:val="outset" w:sz="6" w:space="0" w:color="000000"/>
              <w:right w:val="outset" w:sz="6" w:space="0" w:color="000000"/>
            </w:tcBorders>
          </w:tcPr>
          <w:p w:rsidR="00440443" w:rsidRPr="00C962CC" w:rsidRDefault="00440443" w:rsidP="002F4267">
            <w:pPr>
              <w:spacing w:before="100" w:beforeAutospacing="1" w:after="100" w:afterAutospacing="1"/>
              <w:rPr>
                <w:color w:val="000000" w:themeColor="text1"/>
              </w:rPr>
            </w:pPr>
            <w:r w:rsidRPr="00440443">
              <w:rPr>
                <w:color w:val="000000" w:themeColor="text1"/>
              </w:rPr>
              <w:t>Tiesiskā regulējuma ietekme uz tautsaimniecību un administratīvo slogu</w:t>
            </w:r>
          </w:p>
        </w:tc>
        <w:tc>
          <w:tcPr>
            <w:tcW w:w="3026" w:type="pct"/>
            <w:tcBorders>
              <w:top w:val="outset" w:sz="6" w:space="0" w:color="000000"/>
              <w:left w:val="outset" w:sz="6" w:space="0" w:color="000000"/>
              <w:bottom w:val="outset" w:sz="6" w:space="0" w:color="000000"/>
            </w:tcBorders>
          </w:tcPr>
          <w:p w:rsidR="00440443" w:rsidRPr="00A27C29" w:rsidRDefault="00440443" w:rsidP="002F4267">
            <w:pPr>
              <w:jc w:val="both"/>
              <w:rPr>
                <w:color w:val="000000" w:themeColor="text1"/>
              </w:rPr>
            </w:pPr>
            <w:r w:rsidRPr="004E66B1">
              <w:t>Sagaidāms, ka šāda mehānisma ieviešana veicinās ekonomisko izaugsmi un nodrošinās apstrādes rūpniecības konkurētspēju ilgtermiņā, veicinot OIK ietekmes mazināšanu uz apstrādes rūpniecības</w:t>
            </w:r>
            <w:r>
              <w:t xml:space="preserve"> mainīgajām ražošanas izmaksām. Tiks veicināts efektīva elektroenerģijas patēriņa pieaugums, kas </w:t>
            </w:r>
            <w:r w:rsidRPr="00C0501C">
              <w:t>ilgtermiņā samazin</w:t>
            </w:r>
            <w:r>
              <w:t>ās</w:t>
            </w:r>
            <w:r w:rsidRPr="00C0501C">
              <w:t xml:space="preserve"> nepieciešamo valsts budžeta finansējumu elektroenerģijas lietotāju atbalstam</w:t>
            </w:r>
            <w:r>
              <w:t>.</w:t>
            </w:r>
          </w:p>
        </w:tc>
      </w:tr>
      <w:tr w:rsidR="00440443" w:rsidRPr="00C962CC" w:rsidTr="002F4267">
        <w:tc>
          <w:tcPr>
            <w:tcW w:w="239" w:type="pct"/>
            <w:tcBorders>
              <w:top w:val="outset" w:sz="6" w:space="0" w:color="000000"/>
              <w:bottom w:val="outset" w:sz="6" w:space="0" w:color="000000"/>
              <w:right w:val="outset" w:sz="6" w:space="0" w:color="000000"/>
            </w:tcBorders>
          </w:tcPr>
          <w:p w:rsidR="00440443" w:rsidRPr="00C962CC" w:rsidRDefault="00440443" w:rsidP="002F4267">
            <w:pPr>
              <w:spacing w:after="100" w:afterAutospacing="1"/>
              <w:rPr>
                <w:color w:val="000000" w:themeColor="text1"/>
              </w:rPr>
            </w:pPr>
            <w:r>
              <w:rPr>
                <w:color w:val="000000" w:themeColor="text1"/>
              </w:rPr>
              <w:t>3.</w:t>
            </w:r>
          </w:p>
        </w:tc>
        <w:tc>
          <w:tcPr>
            <w:tcW w:w="1735" w:type="pct"/>
            <w:tcBorders>
              <w:top w:val="outset" w:sz="6" w:space="0" w:color="000000"/>
              <w:left w:val="outset" w:sz="6" w:space="0" w:color="000000"/>
              <w:bottom w:val="outset" w:sz="6" w:space="0" w:color="000000"/>
              <w:right w:val="outset" w:sz="6" w:space="0" w:color="000000"/>
            </w:tcBorders>
          </w:tcPr>
          <w:p w:rsidR="00440443" w:rsidRPr="00C962CC" w:rsidRDefault="00440443" w:rsidP="002F4267">
            <w:pPr>
              <w:spacing w:after="100" w:afterAutospacing="1"/>
              <w:rPr>
                <w:color w:val="000000" w:themeColor="text1"/>
              </w:rPr>
            </w:pPr>
            <w:r w:rsidRPr="00C962CC">
              <w:rPr>
                <w:color w:val="000000" w:themeColor="text1"/>
              </w:rPr>
              <w:t>Administratīvo izmaksu monetārs novērtējums</w:t>
            </w:r>
          </w:p>
        </w:tc>
        <w:tc>
          <w:tcPr>
            <w:tcW w:w="3026" w:type="pct"/>
            <w:tcBorders>
              <w:top w:val="outset" w:sz="6" w:space="0" w:color="000000"/>
              <w:left w:val="outset" w:sz="6" w:space="0" w:color="000000"/>
              <w:bottom w:val="outset" w:sz="6" w:space="0" w:color="000000"/>
            </w:tcBorders>
          </w:tcPr>
          <w:p w:rsidR="00440443" w:rsidRPr="00A27C29" w:rsidRDefault="00440443" w:rsidP="002F4267">
            <w:pPr>
              <w:spacing w:after="100" w:afterAutospacing="1"/>
              <w:rPr>
                <w:color w:val="000000" w:themeColor="text1"/>
              </w:rPr>
            </w:pPr>
            <w:r w:rsidRPr="00A27C29">
              <w:rPr>
                <w:color w:val="000000" w:themeColor="text1"/>
              </w:rPr>
              <w:t>Projekts šo jomu neskar.</w:t>
            </w:r>
          </w:p>
        </w:tc>
      </w:tr>
      <w:tr w:rsidR="00440443" w:rsidRPr="00C962CC" w:rsidTr="002F4267">
        <w:tc>
          <w:tcPr>
            <w:tcW w:w="239" w:type="pct"/>
            <w:tcBorders>
              <w:top w:val="outset" w:sz="6" w:space="0" w:color="000000"/>
              <w:bottom w:val="outset" w:sz="6" w:space="0" w:color="000000"/>
              <w:right w:val="outset" w:sz="6" w:space="0" w:color="000000"/>
            </w:tcBorders>
          </w:tcPr>
          <w:p w:rsidR="00440443" w:rsidRPr="00C962CC" w:rsidRDefault="00440443" w:rsidP="002F4267">
            <w:pPr>
              <w:spacing w:after="100" w:afterAutospacing="1"/>
              <w:rPr>
                <w:color w:val="000000" w:themeColor="text1"/>
              </w:rPr>
            </w:pPr>
            <w:r>
              <w:rPr>
                <w:color w:val="000000" w:themeColor="text1"/>
              </w:rPr>
              <w:t>4</w:t>
            </w:r>
            <w:r w:rsidRPr="00C962CC">
              <w:rPr>
                <w:color w:val="000000" w:themeColor="text1"/>
              </w:rPr>
              <w:t>.</w:t>
            </w:r>
          </w:p>
        </w:tc>
        <w:tc>
          <w:tcPr>
            <w:tcW w:w="1735" w:type="pct"/>
            <w:tcBorders>
              <w:top w:val="outset" w:sz="6" w:space="0" w:color="000000"/>
              <w:left w:val="outset" w:sz="6" w:space="0" w:color="000000"/>
              <w:bottom w:val="outset" w:sz="6" w:space="0" w:color="000000"/>
              <w:right w:val="outset" w:sz="6" w:space="0" w:color="000000"/>
            </w:tcBorders>
          </w:tcPr>
          <w:p w:rsidR="00440443" w:rsidRPr="00C962CC" w:rsidRDefault="00440443" w:rsidP="002F4267">
            <w:pPr>
              <w:spacing w:after="100" w:afterAutospacing="1"/>
              <w:rPr>
                <w:color w:val="000000" w:themeColor="text1"/>
              </w:rPr>
            </w:pPr>
            <w:r w:rsidRPr="00C962CC">
              <w:rPr>
                <w:color w:val="000000" w:themeColor="text1"/>
              </w:rPr>
              <w:t>Cita informācija</w:t>
            </w:r>
          </w:p>
        </w:tc>
        <w:tc>
          <w:tcPr>
            <w:tcW w:w="3026" w:type="pct"/>
            <w:tcBorders>
              <w:top w:val="outset" w:sz="6" w:space="0" w:color="000000"/>
              <w:left w:val="outset" w:sz="6" w:space="0" w:color="000000"/>
              <w:bottom w:val="outset" w:sz="6" w:space="0" w:color="000000"/>
            </w:tcBorders>
          </w:tcPr>
          <w:p w:rsidR="00440443" w:rsidRPr="00A27C29" w:rsidRDefault="00440443" w:rsidP="002F4267">
            <w:pPr>
              <w:spacing w:after="100" w:afterAutospacing="1"/>
              <w:rPr>
                <w:color w:val="000000" w:themeColor="text1"/>
              </w:rPr>
            </w:pPr>
            <w:r w:rsidRPr="00A27C29">
              <w:rPr>
                <w:color w:val="000000" w:themeColor="text1"/>
              </w:rPr>
              <w:t>Nav</w:t>
            </w:r>
          </w:p>
        </w:tc>
      </w:tr>
    </w:tbl>
    <w:p w:rsidR="00440443" w:rsidRPr="005F757E" w:rsidRDefault="00440443" w:rsidP="00440443">
      <w:pPr>
        <w:rPr>
          <w:color w:val="000000" w:themeColor="text1"/>
          <w:sz w:val="16"/>
          <w:szCs w:val="16"/>
        </w:rPr>
      </w:pPr>
    </w:p>
    <w:tbl>
      <w:tblPr>
        <w:tblW w:w="9883" w:type="dxa"/>
        <w:tblInd w:w="30" w:type="dxa"/>
        <w:shd w:val="clear" w:color="auto" w:fill="FFFFFF"/>
        <w:tblCellMar>
          <w:left w:w="0" w:type="dxa"/>
          <w:right w:w="0" w:type="dxa"/>
        </w:tblCellMar>
        <w:tblLook w:val="04A0" w:firstRow="1" w:lastRow="0" w:firstColumn="1" w:lastColumn="0" w:noHBand="0" w:noVBand="1"/>
      </w:tblPr>
      <w:tblGrid>
        <w:gridCol w:w="10053"/>
      </w:tblGrid>
      <w:tr w:rsidR="00440443" w:rsidRPr="002C21F0" w:rsidTr="002F4267">
        <w:tc>
          <w:tcPr>
            <w:tcW w:w="9883" w:type="dxa"/>
            <w:tcBorders>
              <w:top w:val="outset" w:sz="8" w:space="0" w:color="000000"/>
              <w:left w:val="outset" w:sz="8" w:space="0" w:color="000000"/>
              <w:bottom w:val="outset" w:sz="8" w:space="0" w:color="000000"/>
              <w:right w:val="outset" w:sz="8" w:space="0" w:color="000000"/>
            </w:tcBorders>
            <w:shd w:val="clear" w:color="auto" w:fill="FFFFFF"/>
            <w:tcMar>
              <w:top w:w="30" w:type="dxa"/>
              <w:left w:w="30" w:type="dxa"/>
              <w:bottom w:w="30" w:type="dxa"/>
              <w:right w:w="30" w:type="dxa"/>
            </w:tcMar>
            <w:hideMark/>
          </w:tcPr>
          <w:p w:rsidR="00440443" w:rsidRPr="002C21F0" w:rsidRDefault="00440443" w:rsidP="002F4267">
            <w:pPr>
              <w:jc w:val="center"/>
            </w:pPr>
            <w:r w:rsidRPr="002C21F0">
              <w:rPr>
                <w:b/>
                <w:bCs/>
              </w:rPr>
              <w:t>III. Tiesību akta projekta ietekme uz valsts budžetu un pašvaldību budžetiem</w:t>
            </w:r>
          </w:p>
        </w:tc>
      </w:tr>
      <w:tr w:rsidR="00440443" w:rsidRPr="002C21F0" w:rsidTr="002F4267">
        <w:tc>
          <w:tcPr>
            <w:tcW w:w="9883" w:type="dxa"/>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hideMark/>
          </w:tcPr>
          <w:tbl>
            <w:tblPr>
              <w:tblW w:w="9977" w:type="dxa"/>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835"/>
              <w:gridCol w:w="1188"/>
              <w:gridCol w:w="1402"/>
              <w:gridCol w:w="1219"/>
              <w:gridCol w:w="1280"/>
              <w:gridCol w:w="2053"/>
            </w:tblGrid>
            <w:tr w:rsidR="00440443" w:rsidRPr="00440443" w:rsidTr="00FE6220">
              <w:trPr>
                <w:tblCellSpacing w:w="15" w:type="dxa"/>
                <w:jc w:val="center"/>
              </w:trPr>
              <w:tc>
                <w:tcPr>
                  <w:tcW w:w="1417" w:type="pct"/>
                  <w:vMerge w:val="restar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ind w:firstLine="300"/>
                    <w:jc w:val="center"/>
                    <w:rPr>
                      <w:color w:val="000000" w:themeColor="text1"/>
                    </w:rPr>
                  </w:pPr>
                  <w:r w:rsidRPr="00440443">
                    <w:rPr>
                      <w:color w:val="000000" w:themeColor="text1"/>
                    </w:rPr>
                    <w:t>Rādītāji</w:t>
                  </w:r>
                </w:p>
              </w:tc>
              <w:tc>
                <w:tcPr>
                  <w:tcW w:w="127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jc w:val="center"/>
                    <w:rPr>
                      <w:color w:val="000000" w:themeColor="text1"/>
                    </w:rPr>
                  </w:pPr>
                  <w:r>
                    <w:rPr>
                      <w:color w:val="000000" w:themeColor="text1"/>
                    </w:rPr>
                    <w:t>2016.</w:t>
                  </w:r>
                  <w:r w:rsidRPr="00440443">
                    <w:rPr>
                      <w:color w:val="000000" w:themeColor="text1"/>
                    </w:rPr>
                    <w:t xml:space="preserve"> gads</w:t>
                  </w:r>
                </w:p>
              </w:tc>
              <w:tc>
                <w:tcPr>
                  <w:tcW w:w="2245" w:type="pct"/>
                  <w:gridSpan w:val="3"/>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jc w:val="center"/>
                    <w:rPr>
                      <w:color w:val="000000" w:themeColor="text1"/>
                    </w:rPr>
                  </w:pPr>
                  <w:r w:rsidRPr="00440443">
                    <w:rPr>
                      <w:color w:val="000000" w:themeColor="text1"/>
                    </w:rPr>
                    <w:t>Turpmākie trīs gadi (euro)</w:t>
                  </w:r>
                </w:p>
              </w:tc>
            </w:tr>
            <w:tr w:rsidR="00440443" w:rsidRPr="00440443" w:rsidTr="00FE622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rPr>
                      <w:color w:val="000000" w:themeColor="text1"/>
                    </w:rPr>
                  </w:pPr>
                </w:p>
              </w:tc>
              <w:tc>
                <w:tcPr>
                  <w:tcW w:w="1278" w:type="pct"/>
                  <w:gridSpan w:val="2"/>
                  <w:vMerge/>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rPr>
                      <w:color w:val="000000" w:themeColor="text1"/>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jc w:val="center"/>
                    <w:rPr>
                      <w:color w:val="000000" w:themeColor="text1"/>
                    </w:rPr>
                  </w:pPr>
                  <w:r>
                    <w:rPr>
                      <w:color w:val="000000" w:themeColor="text1"/>
                    </w:rPr>
                    <w:t>2017.</w:t>
                  </w:r>
                </w:p>
              </w:tc>
              <w:tc>
                <w:tcPr>
                  <w:tcW w:w="635"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jc w:val="center"/>
                    <w:rPr>
                      <w:color w:val="000000" w:themeColor="text1"/>
                    </w:rPr>
                  </w:pPr>
                  <w:r>
                    <w:rPr>
                      <w:color w:val="000000" w:themeColor="text1"/>
                    </w:rPr>
                    <w:t>2018.</w:t>
                  </w:r>
                </w:p>
              </w:tc>
              <w:tc>
                <w:tcPr>
                  <w:tcW w:w="975"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jc w:val="center"/>
                    <w:rPr>
                      <w:color w:val="000000" w:themeColor="text1"/>
                    </w:rPr>
                  </w:pPr>
                  <w:r>
                    <w:rPr>
                      <w:color w:val="000000" w:themeColor="text1"/>
                    </w:rPr>
                    <w:t>2019.</w:t>
                  </w:r>
                </w:p>
              </w:tc>
            </w:tr>
            <w:tr w:rsidR="00440443" w:rsidRPr="00440443" w:rsidTr="00FE622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rPr>
                      <w:color w:val="000000" w:themeColor="text1"/>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jc w:val="center"/>
                    <w:rPr>
                      <w:color w:val="000000" w:themeColor="text1"/>
                    </w:rPr>
                  </w:pPr>
                  <w:r w:rsidRPr="00440443">
                    <w:rPr>
                      <w:color w:val="000000" w:themeColor="text1"/>
                    </w:rPr>
                    <w:t>saskaņā ar valsts budžetu kārtējam gadam</w:t>
                  </w:r>
                </w:p>
              </w:tc>
              <w:tc>
                <w:tcPr>
                  <w:tcW w:w="683"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jc w:val="center"/>
                    <w:rPr>
                      <w:color w:val="000000" w:themeColor="text1"/>
                    </w:rPr>
                  </w:pPr>
                  <w:r w:rsidRPr="00440443">
                    <w:rPr>
                      <w:color w:val="000000" w:themeColor="text1"/>
                    </w:rPr>
                    <w:t>izmaiņas kārtējā gadā, salīdzinot ar valsts budžetu kārtējam gadam</w:t>
                  </w:r>
                </w:p>
              </w:tc>
              <w:tc>
                <w:tcPr>
                  <w:tcW w:w="605"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jc w:val="center"/>
                    <w:rPr>
                      <w:color w:val="000000" w:themeColor="text1"/>
                    </w:rPr>
                  </w:pPr>
                  <w:r w:rsidRPr="00440443">
                    <w:rPr>
                      <w:color w:val="000000" w:themeColor="text1"/>
                    </w:rPr>
                    <w:t xml:space="preserve">izmaiņas, salīdzinot ar </w:t>
                  </w:r>
                  <w:r>
                    <w:rPr>
                      <w:color w:val="000000" w:themeColor="text1"/>
                    </w:rPr>
                    <w:t xml:space="preserve">kārtējo </w:t>
                  </w:r>
                  <w:r w:rsidR="00705E91">
                    <w:rPr>
                      <w:color w:val="000000" w:themeColor="text1"/>
                    </w:rPr>
                    <w:t>2016.</w:t>
                  </w:r>
                  <w:r w:rsidRPr="00440443">
                    <w:rPr>
                      <w:color w:val="000000" w:themeColor="text1"/>
                    </w:rPr>
                    <w:t>gadu</w:t>
                  </w:r>
                </w:p>
              </w:tc>
              <w:tc>
                <w:tcPr>
                  <w:tcW w:w="635"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jc w:val="center"/>
                    <w:rPr>
                      <w:color w:val="000000" w:themeColor="text1"/>
                    </w:rPr>
                  </w:pPr>
                  <w:r w:rsidRPr="00440443">
                    <w:rPr>
                      <w:color w:val="000000" w:themeColor="text1"/>
                    </w:rPr>
                    <w:t xml:space="preserve">izmaiņas, salīdzinot ar kārtējo </w:t>
                  </w:r>
                  <w:r w:rsidR="00705E91">
                    <w:rPr>
                      <w:color w:val="000000" w:themeColor="text1"/>
                    </w:rPr>
                    <w:t>2016.</w:t>
                  </w:r>
                  <w:r w:rsidRPr="00440443">
                    <w:rPr>
                      <w:color w:val="000000" w:themeColor="text1"/>
                    </w:rPr>
                    <w:t>gadu</w:t>
                  </w:r>
                </w:p>
              </w:tc>
              <w:tc>
                <w:tcPr>
                  <w:tcW w:w="975"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jc w:val="center"/>
                    <w:rPr>
                      <w:color w:val="000000" w:themeColor="text1"/>
                    </w:rPr>
                  </w:pPr>
                  <w:r w:rsidRPr="00440443">
                    <w:rPr>
                      <w:color w:val="000000" w:themeColor="text1"/>
                    </w:rPr>
                    <w:t xml:space="preserve">izmaiņas, salīdzinot ar kārtējo </w:t>
                  </w:r>
                  <w:r w:rsidR="00705E91">
                    <w:rPr>
                      <w:color w:val="000000" w:themeColor="text1"/>
                    </w:rPr>
                    <w:t>2016.</w:t>
                  </w:r>
                  <w:r w:rsidRPr="00440443">
                    <w:rPr>
                      <w:color w:val="000000" w:themeColor="text1"/>
                    </w:rPr>
                    <w:t>gadu</w:t>
                  </w:r>
                </w:p>
              </w:tc>
            </w:tr>
            <w:tr w:rsidR="00440443" w:rsidRPr="00440443" w:rsidTr="00FE6220">
              <w:trPr>
                <w:trHeight w:val="215"/>
                <w:tblCellSpacing w:w="15" w:type="dxa"/>
                <w:jc w:val="center"/>
              </w:trPr>
              <w:tc>
                <w:tcPr>
                  <w:tcW w:w="1417"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ind w:firstLine="300"/>
                    <w:jc w:val="center"/>
                    <w:rPr>
                      <w:color w:val="000000" w:themeColor="text1"/>
                    </w:rPr>
                  </w:pPr>
                  <w:r w:rsidRPr="00440443">
                    <w:rPr>
                      <w:color w:val="000000" w:themeColor="text1"/>
                    </w:rPr>
                    <w:t>1</w:t>
                  </w:r>
                </w:p>
              </w:tc>
              <w:tc>
                <w:tcPr>
                  <w:tcW w:w="580"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ind w:firstLine="300"/>
                    <w:jc w:val="center"/>
                    <w:rPr>
                      <w:color w:val="000000" w:themeColor="text1"/>
                    </w:rPr>
                  </w:pPr>
                  <w:r w:rsidRPr="00440443">
                    <w:rPr>
                      <w:color w:val="000000" w:themeColor="text1"/>
                    </w:rPr>
                    <w:t>2</w:t>
                  </w:r>
                </w:p>
              </w:tc>
              <w:tc>
                <w:tcPr>
                  <w:tcW w:w="683"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ind w:firstLine="300"/>
                    <w:jc w:val="center"/>
                    <w:rPr>
                      <w:color w:val="000000" w:themeColor="text1"/>
                    </w:rPr>
                  </w:pPr>
                  <w:r w:rsidRPr="00440443">
                    <w:rPr>
                      <w:color w:val="000000" w:themeColor="text1"/>
                    </w:rPr>
                    <w:t>3</w:t>
                  </w:r>
                </w:p>
              </w:tc>
              <w:tc>
                <w:tcPr>
                  <w:tcW w:w="605"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ind w:firstLine="300"/>
                    <w:jc w:val="center"/>
                    <w:rPr>
                      <w:color w:val="000000" w:themeColor="text1"/>
                    </w:rPr>
                  </w:pPr>
                  <w:r w:rsidRPr="00440443">
                    <w:rPr>
                      <w:color w:val="000000" w:themeColor="text1"/>
                    </w:rPr>
                    <w:t>4</w:t>
                  </w:r>
                </w:p>
              </w:tc>
              <w:tc>
                <w:tcPr>
                  <w:tcW w:w="635"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ind w:firstLine="300"/>
                    <w:jc w:val="center"/>
                    <w:rPr>
                      <w:color w:val="000000" w:themeColor="text1"/>
                    </w:rPr>
                  </w:pPr>
                  <w:r w:rsidRPr="00440443">
                    <w:rPr>
                      <w:color w:val="000000" w:themeColor="text1"/>
                    </w:rPr>
                    <w:t>5</w:t>
                  </w:r>
                </w:p>
              </w:tc>
              <w:tc>
                <w:tcPr>
                  <w:tcW w:w="975" w:type="pct"/>
                  <w:tcBorders>
                    <w:top w:val="outset" w:sz="6" w:space="0" w:color="auto"/>
                    <w:left w:val="outset" w:sz="6" w:space="0" w:color="auto"/>
                    <w:bottom w:val="outset" w:sz="6" w:space="0" w:color="auto"/>
                    <w:right w:val="outset" w:sz="6" w:space="0" w:color="auto"/>
                  </w:tcBorders>
                  <w:vAlign w:val="center"/>
                  <w:hideMark/>
                </w:tcPr>
                <w:p w:rsidR="00440443" w:rsidRPr="00440443" w:rsidRDefault="00440443" w:rsidP="002F4267">
                  <w:pPr>
                    <w:spacing w:before="100" w:beforeAutospacing="1" w:after="100" w:afterAutospacing="1" w:line="360" w:lineRule="auto"/>
                    <w:ind w:firstLine="300"/>
                    <w:jc w:val="center"/>
                    <w:rPr>
                      <w:color w:val="000000" w:themeColor="text1"/>
                    </w:rPr>
                  </w:pPr>
                  <w:r w:rsidRPr="00440443">
                    <w:rPr>
                      <w:color w:val="000000" w:themeColor="text1"/>
                    </w:rPr>
                    <w:t>6</w:t>
                  </w:r>
                </w:p>
              </w:tc>
            </w:tr>
            <w:tr w:rsidR="00014154"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440443" w:rsidRPr="00440443" w:rsidRDefault="00440443" w:rsidP="002F4267">
                  <w:pPr>
                    <w:rPr>
                      <w:color w:val="000000" w:themeColor="text1"/>
                    </w:rPr>
                  </w:pPr>
                  <w:r w:rsidRPr="00440443">
                    <w:rPr>
                      <w:color w:val="000000" w:themeColor="text1"/>
                    </w:rPr>
                    <w:t>1. Budžeta ieņēmumi:</w:t>
                  </w:r>
                </w:p>
              </w:tc>
              <w:tc>
                <w:tcPr>
                  <w:tcW w:w="580" w:type="pct"/>
                  <w:tcBorders>
                    <w:top w:val="outset" w:sz="6" w:space="0" w:color="auto"/>
                    <w:left w:val="outset" w:sz="6" w:space="0" w:color="auto"/>
                    <w:bottom w:val="outset" w:sz="6" w:space="0" w:color="auto"/>
                    <w:right w:val="outset" w:sz="6" w:space="0" w:color="auto"/>
                  </w:tcBorders>
                  <w:hideMark/>
                </w:tcPr>
                <w:p w:rsidR="00440443" w:rsidRPr="00014154" w:rsidRDefault="00FE6220" w:rsidP="00014154">
                  <w:pPr>
                    <w:jc w:val="center"/>
                    <w:rPr>
                      <w:color w:val="000000" w:themeColor="text1"/>
                    </w:rPr>
                  </w:pPr>
                  <w:r w:rsidRPr="00014154">
                    <w:rPr>
                      <w:bCs/>
                      <w:color w:val="000000"/>
                    </w:rPr>
                    <w:t>68 624 945</w:t>
                  </w:r>
                </w:p>
              </w:tc>
              <w:tc>
                <w:tcPr>
                  <w:tcW w:w="683" w:type="pct"/>
                  <w:tcBorders>
                    <w:top w:val="outset" w:sz="6" w:space="0" w:color="auto"/>
                    <w:left w:val="outset" w:sz="6" w:space="0" w:color="auto"/>
                    <w:bottom w:val="outset" w:sz="6" w:space="0" w:color="auto"/>
                    <w:right w:val="outset" w:sz="6" w:space="0" w:color="auto"/>
                  </w:tcBorders>
                </w:tcPr>
                <w:p w:rsidR="00440443" w:rsidRPr="00014154" w:rsidRDefault="00440443" w:rsidP="00014154">
                  <w:pPr>
                    <w:jc w:val="center"/>
                    <w:rPr>
                      <w:color w:val="000000" w:themeColor="text1"/>
                    </w:rPr>
                  </w:pPr>
                </w:p>
              </w:tc>
              <w:tc>
                <w:tcPr>
                  <w:tcW w:w="605" w:type="pct"/>
                  <w:tcBorders>
                    <w:top w:val="outset" w:sz="6" w:space="0" w:color="auto"/>
                    <w:left w:val="outset" w:sz="6" w:space="0" w:color="auto"/>
                    <w:bottom w:val="outset" w:sz="6" w:space="0" w:color="auto"/>
                    <w:right w:val="outset" w:sz="6" w:space="0" w:color="auto"/>
                  </w:tcBorders>
                  <w:hideMark/>
                </w:tcPr>
                <w:p w:rsidR="00440443" w:rsidRPr="00014154" w:rsidRDefault="00014154" w:rsidP="00014154">
                  <w:pPr>
                    <w:jc w:val="center"/>
                    <w:rPr>
                      <w:color w:val="000000" w:themeColor="text1"/>
                    </w:rPr>
                  </w:pPr>
                  <w:r w:rsidRPr="00014154">
                    <w:rPr>
                      <w:color w:val="000000" w:themeColor="text1"/>
                    </w:rPr>
                    <w:t>10 181 279</w:t>
                  </w:r>
                </w:p>
              </w:tc>
              <w:tc>
                <w:tcPr>
                  <w:tcW w:w="635" w:type="pct"/>
                  <w:tcBorders>
                    <w:top w:val="outset" w:sz="6" w:space="0" w:color="auto"/>
                    <w:left w:val="outset" w:sz="6" w:space="0" w:color="auto"/>
                    <w:bottom w:val="outset" w:sz="6" w:space="0" w:color="auto"/>
                    <w:right w:val="outset" w:sz="6" w:space="0" w:color="auto"/>
                  </w:tcBorders>
                  <w:hideMark/>
                </w:tcPr>
                <w:p w:rsidR="00440443" w:rsidRPr="00014154" w:rsidRDefault="00014154" w:rsidP="00014154">
                  <w:pPr>
                    <w:jc w:val="center"/>
                    <w:rPr>
                      <w:color w:val="000000" w:themeColor="text1"/>
                    </w:rPr>
                  </w:pPr>
                  <w:r w:rsidRPr="00014154">
                    <w:rPr>
                      <w:color w:val="000000" w:themeColor="text1"/>
                    </w:rPr>
                    <w:t>18 647 472</w:t>
                  </w:r>
                </w:p>
              </w:tc>
              <w:tc>
                <w:tcPr>
                  <w:tcW w:w="975" w:type="pct"/>
                  <w:tcBorders>
                    <w:top w:val="outset" w:sz="6" w:space="0" w:color="auto"/>
                    <w:left w:val="outset" w:sz="6" w:space="0" w:color="auto"/>
                    <w:bottom w:val="outset" w:sz="6" w:space="0" w:color="auto"/>
                    <w:right w:val="outset" w:sz="6" w:space="0" w:color="auto"/>
                  </w:tcBorders>
                  <w:hideMark/>
                </w:tcPr>
                <w:p w:rsidR="00440443" w:rsidRPr="00014154" w:rsidRDefault="00014154" w:rsidP="006C2FC5">
                  <w:pPr>
                    <w:rPr>
                      <w:color w:val="000000" w:themeColor="text1"/>
                    </w:rPr>
                  </w:pPr>
                  <w:r w:rsidRPr="00014154">
                    <w:rPr>
                      <w:color w:val="000000" w:themeColor="text1"/>
                    </w:rPr>
                    <w:t>20 616 816</w:t>
                  </w:r>
                </w:p>
              </w:tc>
            </w:tr>
            <w:tr w:rsidR="00440443"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440443" w:rsidRPr="00440443" w:rsidRDefault="00440443" w:rsidP="002F4267">
                  <w:pPr>
                    <w:rPr>
                      <w:color w:val="000000" w:themeColor="text1"/>
                    </w:rPr>
                  </w:pPr>
                  <w:r w:rsidRPr="00440443">
                    <w:rPr>
                      <w:color w:val="000000" w:themeColor="text1"/>
                    </w:rPr>
                    <w:t>1.1. valsts pamatbudžets, tai skaitā ieņēmumi no maksas pakalpojumiem un citi pašu ieņēmumi</w:t>
                  </w:r>
                </w:p>
              </w:tc>
              <w:tc>
                <w:tcPr>
                  <w:tcW w:w="580" w:type="pct"/>
                  <w:tcBorders>
                    <w:top w:val="outset" w:sz="6" w:space="0" w:color="auto"/>
                    <w:left w:val="outset" w:sz="6" w:space="0" w:color="auto"/>
                    <w:bottom w:val="outset" w:sz="6" w:space="0" w:color="auto"/>
                    <w:right w:val="outset" w:sz="6" w:space="0" w:color="auto"/>
                  </w:tcBorders>
                  <w:hideMark/>
                </w:tcPr>
                <w:p w:rsidR="00440443" w:rsidRPr="00014154" w:rsidRDefault="00FE6220" w:rsidP="00014154">
                  <w:pPr>
                    <w:jc w:val="center"/>
                    <w:rPr>
                      <w:color w:val="000000" w:themeColor="text1"/>
                    </w:rPr>
                  </w:pPr>
                  <w:r w:rsidRPr="00014154">
                    <w:rPr>
                      <w:bCs/>
                      <w:color w:val="000000"/>
                    </w:rPr>
                    <w:t>68 624 945</w:t>
                  </w:r>
                </w:p>
              </w:tc>
              <w:tc>
                <w:tcPr>
                  <w:tcW w:w="683" w:type="pct"/>
                  <w:tcBorders>
                    <w:top w:val="outset" w:sz="6" w:space="0" w:color="auto"/>
                    <w:left w:val="outset" w:sz="6" w:space="0" w:color="auto"/>
                    <w:bottom w:val="outset" w:sz="6" w:space="0" w:color="auto"/>
                    <w:right w:val="outset" w:sz="6" w:space="0" w:color="auto"/>
                  </w:tcBorders>
                  <w:hideMark/>
                </w:tcPr>
                <w:p w:rsidR="00440443" w:rsidRPr="00014154" w:rsidRDefault="00440443" w:rsidP="00014154">
                  <w:pPr>
                    <w:jc w:val="center"/>
                    <w:rPr>
                      <w:color w:val="000000" w:themeColor="text1"/>
                    </w:rPr>
                  </w:pPr>
                </w:p>
              </w:tc>
              <w:tc>
                <w:tcPr>
                  <w:tcW w:w="605" w:type="pct"/>
                  <w:tcBorders>
                    <w:top w:val="outset" w:sz="6" w:space="0" w:color="auto"/>
                    <w:left w:val="outset" w:sz="6" w:space="0" w:color="auto"/>
                    <w:bottom w:val="outset" w:sz="6" w:space="0" w:color="auto"/>
                    <w:right w:val="outset" w:sz="6" w:space="0" w:color="auto"/>
                  </w:tcBorders>
                  <w:hideMark/>
                </w:tcPr>
                <w:p w:rsidR="00440443" w:rsidRPr="00014154" w:rsidRDefault="00014154" w:rsidP="00014154">
                  <w:pPr>
                    <w:jc w:val="center"/>
                    <w:rPr>
                      <w:color w:val="000000" w:themeColor="text1"/>
                    </w:rPr>
                  </w:pPr>
                  <w:r w:rsidRPr="00014154">
                    <w:rPr>
                      <w:color w:val="000000" w:themeColor="text1"/>
                    </w:rPr>
                    <w:t>10 181 279</w:t>
                  </w:r>
                </w:p>
              </w:tc>
              <w:tc>
                <w:tcPr>
                  <w:tcW w:w="635" w:type="pct"/>
                  <w:tcBorders>
                    <w:top w:val="outset" w:sz="6" w:space="0" w:color="auto"/>
                    <w:left w:val="outset" w:sz="6" w:space="0" w:color="auto"/>
                    <w:bottom w:val="outset" w:sz="6" w:space="0" w:color="auto"/>
                    <w:right w:val="outset" w:sz="6" w:space="0" w:color="auto"/>
                  </w:tcBorders>
                  <w:hideMark/>
                </w:tcPr>
                <w:p w:rsidR="00440443" w:rsidRPr="00014154" w:rsidRDefault="00014154" w:rsidP="00014154">
                  <w:pPr>
                    <w:jc w:val="center"/>
                    <w:rPr>
                      <w:color w:val="000000" w:themeColor="text1"/>
                    </w:rPr>
                  </w:pPr>
                  <w:r w:rsidRPr="00014154">
                    <w:rPr>
                      <w:color w:val="000000" w:themeColor="text1"/>
                    </w:rPr>
                    <w:t>18 647 472</w:t>
                  </w:r>
                </w:p>
              </w:tc>
              <w:tc>
                <w:tcPr>
                  <w:tcW w:w="975" w:type="pct"/>
                  <w:tcBorders>
                    <w:top w:val="outset" w:sz="6" w:space="0" w:color="auto"/>
                    <w:left w:val="outset" w:sz="6" w:space="0" w:color="auto"/>
                    <w:bottom w:val="outset" w:sz="6" w:space="0" w:color="auto"/>
                    <w:right w:val="outset" w:sz="6" w:space="0" w:color="auto"/>
                  </w:tcBorders>
                  <w:hideMark/>
                </w:tcPr>
                <w:p w:rsidR="00440443" w:rsidRPr="00014154" w:rsidRDefault="00014154" w:rsidP="006C2FC5">
                  <w:pPr>
                    <w:rPr>
                      <w:color w:val="000000" w:themeColor="text1"/>
                    </w:rPr>
                  </w:pPr>
                  <w:r w:rsidRPr="00014154">
                    <w:rPr>
                      <w:color w:val="000000" w:themeColor="text1"/>
                    </w:rPr>
                    <w:t>20 616 816</w:t>
                  </w:r>
                </w:p>
              </w:tc>
            </w:tr>
            <w:tr w:rsidR="00440443"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440443" w:rsidRPr="00440443" w:rsidRDefault="00440443" w:rsidP="002F4267">
                  <w:pPr>
                    <w:rPr>
                      <w:color w:val="000000" w:themeColor="text1"/>
                    </w:rPr>
                  </w:pPr>
                  <w:r w:rsidRPr="00440443">
                    <w:rPr>
                      <w:color w:val="000000" w:themeColor="text1"/>
                    </w:rPr>
                    <w:t>1.2. valsts speciālais budžets</w:t>
                  </w:r>
                </w:p>
              </w:tc>
              <w:tc>
                <w:tcPr>
                  <w:tcW w:w="580" w:type="pct"/>
                  <w:tcBorders>
                    <w:top w:val="outset" w:sz="6" w:space="0" w:color="auto"/>
                    <w:left w:val="outset" w:sz="6" w:space="0" w:color="auto"/>
                    <w:bottom w:val="outset" w:sz="6" w:space="0" w:color="auto"/>
                    <w:right w:val="outset" w:sz="6" w:space="0" w:color="auto"/>
                  </w:tcBorders>
                  <w:hideMark/>
                </w:tcPr>
                <w:p w:rsidR="00440443" w:rsidRPr="00014154" w:rsidRDefault="00440443" w:rsidP="002F4267">
                  <w:pPr>
                    <w:rPr>
                      <w:color w:val="000000" w:themeColor="text1"/>
                    </w:rPr>
                  </w:pPr>
                  <w:r w:rsidRPr="00014154">
                    <w:rPr>
                      <w:color w:val="000000" w:themeColor="text1"/>
                    </w:rPr>
                    <w:t> </w:t>
                  </w:r>
                </w:p>
              </w:tc>
              <w:tc>
                <w:tcPr>
                  <w:tcW w:w="683" w:type="pct"/>
                  <w:tcBorders>
                    <w:top w:val="outset" w:sz="6" w:space="0" w:color="auto"/>
                    <w:left w:val="outset" w:sz="6" w:space="0" w:color="auto"/>
                    <w:bottom w:val="outset" w:sz="6" w:space="0" w:color="auto"/>
                    <w:right w:val="outset" w:sz="6" w:space="0" w:color="auto"/>
                  </w:tcBorders>
                  <w:hideMark/>
                </w:tcPr>
                <w:p w:rsidR="00440443" w:rsidRPr="00014154" w:rsidRDefault="00440443" w:rsidP="002F4267">
                  <w:pPr>
                    <w:rPr>
                      <w:color w:val="000000" w:themeColor="text1"/>
                    </w:rPr>
                  </w:pPr>
                  <w:r w:rsidRPr="00014154">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hideMark/>
                </w:tcPr>
                <w:p w:rsidR="00440443" w:rsidRPr="00014154" w:rsidRDefault="00440443" w:rsidP="002F4267">
                  <w:pPr>
                    <w:rPr>
                      <w:color w:val="000000" w:themeColor="text1"/>
                    </w:rPr>
                  </w:pPr>
                  <w:r w:rsidRPr="00014154">
                    <w:rPr>
                      <w:color w:val="000000" w:themeColor="text1"/>
                    </w:rPr>
                    <w:t> </w:t>
                  </w:r>
                </w:p>
              </w:tc>
              <w:tc>
                <w:tcPr>
                  <w:tcW w:w="635" w:type="pct"/>
                  <w:tcBorders>
                    <w:top w:val="outset" w:sz="6" w:space="0" w:color="auto"/>
                    <w:left w:val="outset" w:sz="6" w:space="0" w:color="auto"/>
                    <w:bottom w:val="outset" w:sz="6" w:space="0" w:color="auto"/>
                    <w:right w:val="outset" w:sz="6" w:space="0" w:color="auto"/>
                  </w:tcBorders>
                  <w:hideMark/>
                </w:tcPr>
                <w:p w:rsidR="00440443" w:rsidRPr="00014154" w:rsidRDefault="00440443" w:rsidP="002F4267">
                  <w:pPr>
                    <w:rPr>
                      <w:color w:val="000000" w:themeColor="text1"/>
                    </w:rPr>
                  </w:pPr>
                  <w:r w:rsidRPr="00014154">
                    <w:rPr>
                      <w:color w:val="000000" w:themeColor="text1"/>
                    </w:rPr>
                    <w:t> </w:t>
                  </w:r>
                </w:p>
              </w:tc>
              <w:tc>
                <w:tcPr>
                  <w:tcW w:w="975" w:type="pct"/>
                  <w:tcBorders>
                    <w:top w:val="outset" w:sz="6" w:space="0" w:color="auto"/>
                    <w:left w:val="outset" w:sz="6" w:space="0" w:color="auto"/>
                    <w:bottom w:val="outset" w:sz="6" w:space="0" w:color="auto"/>
                    <w:right w:val="outset" w:sz="6" w:space="0" w:color="auto"/>
                  </w:tcBorders>
                  <w:hideMark/>
                </w:tcPr>
                <w:p w:rsidR="00440443" w:rsidRPr="00014154" w:rsidRDefault="00440443" w:rsidP="002F4267">
                  <w:pPr>
                    <w:rPr>
                      <w:color w:val="000000" w:themeColor="text1"/>
                    </w:rPr>
                  </w:pPr>
                  <w:r w:rsidRPr="00014154">
                    <w:rPr>
                      <w:color w:val="000000" w:themeColor="text1"/>
                    </w:rPr>
                    <w:t> </w:t>
                  </w:r>
                </w:p>
              </w:tc>
            </w:tr>
            <w:tr w:rsidR="00440443"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440443" w:rsidRPr="00440443" w:rsidRDefault="00440443" w:rsidP="002F4267">
                  <w:pPr>
                    <w:rPr>
                      <w:color w:val="000000" w:themeColor="text1"/>
                    </w:rPr>
                  </w:pPr>
                  <w:r w:rsidRPr="00440443">
                    <w:rPr>
                      <w:color w:val="000000" w:themeColor="text1"/>
                    </w:rPr>
                    <w:t>1.3. pašvaldību budžets</w:t>
                  </w:r>
                </w:p>
              </w:tc>
              <w:tc>
                <w:tcPr>
                  <w:tcW w:w="580" w:type="pct"/>
                  <w:tcBorders>
                    <w:top w:val="outset" w:sz="6" w:space="0" w:color="auto"/>
                    <w:left w:val="outset" w:sz="6" w:space="0" w:color="auto"/>
                    <w:bottom w:val="outset" w:sz="6" w:space="0" w:color="auto"/>
                    <w:right w:val="outset" w:sz="6" w:space="0" w:color="auto"/>
                  </w:tcBorders>
                  <w:hideMark/>
                </w:tcPr>
                <w:p w:rsidR="00440443" w:rsidRPr="00014154" w:rsidRDefault="00440443" w:rsidP="002F4267">
                  <w:pPr>
                    <w:rPr>
                      <w:color w:val="000000" w:themeColor="text1"/>
                    </w:rPr>
                  </w:pPr>
                  <w:r w:rsidRPr="00014154">
                    <w:rPr>
                      <w:color w:val="000000" w:themeColor="text1"/>
                    </w:rPr>
                    <w:t> </w:t>
                  </w:r>
                </w:p>
              </w:tc>
              <w:tc>
                <w:tcPr>
                  <w:tcW w:w="683" w:type="pct"/>
                  <w:tcBorders>
                    <w:top w:val="outset" w:sz="6" w:space="0" w:color="auto"/>
                    <w:left w:val="outset" w:sz="6" w:space="0" w:color="auto"/>
                    <w:bottom w:val="outset" w:sz="6" w:space="0" w:color="auto"/>
                    <w:right w:val="outset" w:sz="6" w:space="0" w:color="auto"/>
                  </w:tcBorders>
                  <w:hideMark/>
                </w:tcPr>
                <w:p w:rsidR="00440443" w:rsidRPr="00014154" w:rsidRDefault="00440443" w:rsidP="002F4267">
                  <w:pPr>
                    <w:rPr>
                      <w:color w:val="000000" w:themeColor="text1"/>
                    </w:rPr>
                  </w:pPr>
                  <w:r w:rsidRPr="00014154">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hideMark/>
                </w:tcPr>
                <w:p w:rsidR="00440443" w:rsidRPr="00014154" w:rsidRDefault="00440443" w:rsidP="002F4267">
                  <w:pPr>
                    <w:rPr>
                      <w:color w:val="000000" w:themeColor="text1"/>
                    </w:rPr>
                  </w:pPr>
                  <w:r w:rsidRPr="00014154">
                    <w:rPr>
                      <w:color w:val="000000" w:themeColor="text1"/>
                    </w:rPr>
                    <w:t> </w:t>
                  </w:r>
                </w:p>
              </w:tc>
              <w:tc>
                <w:tcPr>
                  <w:tcW w:w="635" w:type="pct"/>
                  <w:tcBorders>
                    <w:top w:val="outset" w:sz="6" w:space="0" w:color="auto"/>
                    <w:left w:val="outset" w:sz="6" w:space="0" w:color="auto"/>
                    <w:bottom w:val="outset" w:sz="6" w:space="0" w:color="auto"/>
                    <w:right w:val="outset" w:sz="6" w:space="0" w:color="auto"/>
                  </w:tcBorders>
                  <w:hideMark/>
                </w:tcPr>
                <w:p w:rsidR="00440443" w:rsidRPr="00014154" w:rsidRDefault="00440443" w:rsidP="002F4267">
                  <w:pPr>
                    <w:rPr>
                      <w:color w:val="000000" w:themeColor="text1"/>
                    </w:rPr>
                  </w:pPr>
                  <w:r w:rsidRPr="00014154">
                    <w:rPr>
                      <w:color w:val="000000" w:themeColor="text1"/>
                    </w:rPr>
                    <w:t> </w:t>
                  </w:r>
                </w:p>
              </w:tc>
              <w:tc>
                <w:tcPr>
                  <w:tcW w:w="975" w:type="pct"/>
                  <w:tcBorders>
                    <w:top w:val="outset" w:sz="6" w:space="0" w:color="auto"/>
                    <w:left w:val="outset" w:sz="6" w:space="0" w:color="auto"/>
                    <w:bottom w:val="outset" w:sz="6" w:space="0" w:color="auto"/>
                    <w:right w:val="outset" w:sz="6" w:space="0" w:color="auto"/>
                  </w:tcBorders>
                  <w:hideMark/>
                </w:tcPr>
                <w:p w:rsidR="00440443" w:rsidRPr="00014154" w:rsidRDefault="00440443" w:rsidP="002F4267">
                  <w:pPr>
                    <w:rPr>
                      <w:color w:val="000000" w:themeColor="text1"/>
                    </w:rPr>
                  </w:pPr>
                  <w:r w:rsidRPr="00014154">
                    <w:rPr>
                      <w:color w:val="000000" w:themeColor="text1"/>
                    </w:rPr>
                    <w:t> </w:t>
                  </w:r>
                </w:p>
              </w:tc>
            </w:tr>
            <w:tr w:rsidR="00014154"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2. Budžeta izdevumi:</w:t>
                  </w:r>
                </w:p>
              </w:tc>
              <w:tc>
                <w:tcPr>
                  <w:tcW w:w="580" w:type="pct"/>
                  <w:tcBorders>
                    <w:top w:val="outset" w:sz="6" w:space="0" w:color="auto"/>
                    <w:left w:val="outset" w:sz="6" w:space="0" w:color="auto"/>
                    <w:bottom w:val="outset" w:sz="6" w:space="0" w:color="auto"/>
                    <w:right w:val="outset" w:sz="6" w:space="0" w:color="auto"/>
                  </w:tcBorders>
                  <w:hideMark/>
                </w:tcPr>
                <w:p w:rsidR="00FE6220" w:rsidRPr="00014154" w:rsidRDefault="00FE6220" w:rsidP="00FE6220">
                  <w:pPr>
                    <w:rPr>
                      <w:color w:val="000000" w:themeColor="text1"/>
                    </w:rPr>
                  </w:pPr>
                  <w:r w:rsidRPr="00014154">
                    <w:t>68 624 945</w:t>
                  </w:r>
                </w:p>
              </w:tc>
              <w:tc>
                <w:tcPr>
                  <w:tcW w:w="683" w:type="pct"/>
                  <w:tcBorders>
                    <w:top w:val="outset" w:sz="6" w:space="0" w:color="auto"/>
                    <w:left w:val="outset" w:sz="6" w:space="0" w:color="auto"/>
                    <w:bottom w:val="outset" w:sz="6" w:space="0" w:color="auto"/>
                    <w:right w:val="outset" w:sz="6" w:space="0" w:color="auto"/>
                  </w:tcBorders>
                  <w:hideMark/>
                </w:tcPr>
                <w:p w:rsidR="00FE6220" w:rsidRPr="00014154" w:rsidRDefault="00FE6220" w:rsidP="00FE6220">
                  <w:pPr>
                    <w:rPr>
                      <w:color w:val="000000" w:themeColor="text1"/>
                    </w:rPr>
                  </w:pPr>
                  <w:r w:rsidRPr="00014154">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vAlign w:val="bottom"/>
                  <w:hideMark/>
                </w:tcPr>
                <w:p w:rsidR="00FE6220" w:rsidRPr="00014154" w:rsidRDefault="00FE6220" w:rsidP="004F0E37">
                  <w:pPr>
                    <w:jc w:val="center"/>
                    <w:rPr>
                      <w:color w:val="000000"/>
                    </w:rPr>
                  </w:pPr>
                  <w:r w:rsidRPr="00014154">
                    <w:rPr>
                      <w:color w:val="000000" w:themeColor="text1"/>
                    </w:rPr>
                    <w:t>10 181 2</w:t>
                  </w:r>
                  <w:r w:rsidR="004F0E37">
                    <w:rPr>
                      <w:color w:val="000000" w:themeColor="text1"/>
                    </w:rPr>
                    <w:t>7</w:t>
                  </w:r>
                  <w:r w:rsidRPr="00014154">
                    <w:rPr>
                      <w:color w:val="000000" w:themeColor="text1"/>
                    </w:rPr>
                    <w:t>9</w:t>
                  </w:r>
                </w:p>
              </w:tc>
              <w:tc>
                <w:tcPr>
                  <w:tcW w:w="635" w:type="pct"/>
                  <w:tcBorders>
                    <w:top w:val="outset" w:sz="6" w:space="0" w:color="auto"/>
                    <w:left w:val="outset" w:sz="6" w:space="0" w:color="auto"/>
                    <w:bottom w:val="outset" w:sz="6" w:space="0" w:color="auto"/>
                    <w:right w:val="outset" w:sz="6" w:space="0" w:color="auto"/>
                  </w:tcBorders>
                  <w:vAlign w:val="bottom"/>
                  <w:hideMark/>
                </w:tcPr>
                <w:p w:rsidR="00FE6220" w:rsidRPr="00014154" w:rsidRDefault="00FE6220" w:rsidP="00FE6220">
                  <w:pPr>
                    <w:jc w:val="right"/>
                    <w:rPr>
                      <w:color w:val="000000"/>
                    </w:rPr>
                  </w:pPr>
                  <w:r w:rsidRPr="00014154">
                    <w:rPr>
                      <w:color w:val="000000" w:themeColor="text1"/>
                    </w:rPr>
                    <w:t>18 647 472</w:t>
                  </w:r>
                </w:p>
              </w:tc>
              <w:tc>
                <w:tcPr>
                  <w:tcW w:w="975" w:type="pct"/>
                  <w:tcBorders>
                    <w:top w:val="outset" w:sz="6" w:space="0" w:color="auto"/>
                    <w:left w:val="outset" w:sz="6" w:space="0" w:color="auto"/>
                    <w:bottom w:val="outset" w:sz="6" w:space="0" w:color="auto"/>
                    <w:right w:val="outset" w:sz="6" w:space="0" w:color="auto"/>
                  </w:tcBorders>
                  <w:vAlign w:val="bottom"/>
                  <w:hideMark/>
                </w:tcPr>
                <w:p w:rsidR="00FE6220" w:rsidRPr="00014154" w:rsidRDefault="00FE6220" w:rsidP="00FE6220">
                  <w:pPr>
                    <w:rPr>
                      <w:color w:val="000000"/>
                    </w:rPr>
                  </w:pPr>
                  <w:r w:rsidRPr="00014154">
                    <w:rPr>
                      <w:color w:val="000000" w:themeColor="text1"/>
                    </w:rPr>
                    <w:t>20 616 816</w:t>
                  </w:r>
                </w:p>
              </w:tc>
            </w:tr>
            <w:tr w:rsidR="00014154"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2.1. valsts pamatbudžets</w:t>
                  </w:r>
                </w:p>
              </w:tc>
              <w:tc>
                <w:tcPr>
                  <w:tcW w:w="580" w:type="pct"/>
                  <w:tcBorders>
                    <w:top w:val="outset" w:sz="6" w:space="0" w:color="auto"/>
                    <w:left w:val="outset" w:sz="6" w:space="0" w:color="auto"/>
                    <w:bottom w:val="outset" w:sz="6" w:space="0" w:color="auto"/>
                    <w:right w:val="outset" w:sz="6" w:space="0" w:color="auto"/>
                  </w:tcBorders>
                  <w:hideMark/>
                </w:tcPr>
                <w:p w:rsidR="00FE6220" w:rsidRPr="00014154" w:rsidRDefault="00FE6220" w:rsidP="00FE6220">
                  <w:pPr>
                    <w:rPr>
                      <w:color w:val="000000" w:themeColor="text1"/>
                    </w:rPr>
                  </w:pPr>
                  <w:r w:rsidRPr="00014154">
                    <w:t>68 624 945</w:t>
                  </w:r>
                </w:p>
              </w:tc>
              <w:tc>
                <w:tcPr>
                  <w:tcW w:w="683" w:type="pct"/>
                  <w:tcBorders>
                    <w:top w:val="outset" w:sz="6" w:space="0" w:color="auto"/>
                    <w:left w:val="outset" w:sz="6" w:space="0" w:color="auto"/>
                    <w:bottom w:val="outset" w:sz="6" w:space="0" w:color="auto"/>
                    <w:right w:val="outset" w:sz="6" w:space="0" w:color="auto"/>
                  </w:tcBorders>
                  <w:hideMark/>
                </w:tcPr>
                <w:p w:rsidR="00FE6220" w:rsidRPr="00014154" w:rsidRDefault="00FE6220" w:rsidP="00FE6220">
                  <w:pPr>
                    <w:jc w:val="center"/>
                    <w:rPr>
                      <w:color w:val="000000" w:themeColor="text1"/>
                    </w:rPr>
                  </w:pPr>
                </w:p>
              </w:tc>
              <w:tc>
                <w:tcPr>
                  <w:tcW w:w="605" w:type="pct"/>
                  <w:tcBorders>
                    <w:top w:val="outset" w:sz="6" w:space="0" w:color="auto"/>
                    <w:left w:val="outset" w:sz="6" w:space="0" w:color="auto"/>
                    <w:bottom w:val="outset" w:sz="6" w:space="0" w:color="auto"/>
                    <w:right w:val="outset" w:sz="6" w:space="0" w:color="auto"/>
                  </w:tcBorders>
                  <w:vAlign w:val="bottom"/>
                </w:tcPr>
                <w:p w:rsidR="00FE6220" w:rsidRPr="00014154" w:rsidRDefault="00FE6220" w:rsidP="004F0E37">
                  <w:pPr>
                    <w:jc w:val="center"/>
                    <w:rPr>
                      <w:color w:val="000000"/>
                    </w:rPr>
                  </w:pPr>
                  <w:r w:rsidRPr="00014154">
                    <w:rPr>
                      <w:color w:val="000000" w:themeColor="text1"/>
                    </w:rPr>
                    <w:t>10 181 2</w:t>
                  </w:r>
                  <w:r w:rsidR="004F0E37">
                    <w:rPr>
                      <w:color w:val="000000" w:themeColor="text1"/>
                    </w:rPr>
                    <w:t>7</w:t>
                  </w:r>
                  <w:r w:rsidRPr="00014154">
                    <w:rPr>
                      <w:color w:val="000000" w:themeColor="text1"/>
                    </w:rPr>
                    <w:t>9</w:t>
                  </w:r>
                </w:p>
              </w:tc>
              <w:tc>
                <w:tcPr>
                  <w:tcW w:w="635" w:type="pct"/>
                  <w:tcBorders>
                    <w:top w:val="outset" w:sz="6" w:space="0" w:color="auto"/>
                    <w:left w:val="outset" w:sz="6" w:space="0" w:color="auto"/>
                    <w:bottom w:val="outset" w:sz="6" w:space="0" w:color="auto"/>
                    <w:right w:val="outset" w:sz="6" w:space="0" w:color="auto"/>
                  </w:tcBorders>
                  <w:vAlign w:val="bottom"/>
                </w:tcPr>
                <w:p w:rsidR="00FE6220" w:rsidRPr="00014154" w:rsidRDefault="00FE6220" w:rsidP="00FE6220">
                  <w:pPr>
                    <w:jc w:val="right"/>
                    <w:rPr>
                      <w:color w:val="000000"/>
                    </w:rPr>
                  </w:pPr>
                  <w:r w:rsidRPr="00014154">
                    <w:rPr>
                      <w:color w:val="000000" w:themeColor="text1"/>
                    </w:rPr>
                    <w:t>18 647 472</w:t>
                  </w:r>
                </w:p>
              </w:tc>
              <w:tc>
                <w:tcPr>
                  <w:tcW w:w="975" w:type="pct"/>
                  <w:tcBorders>
                    <w:top w:val="outset" w:sz="6" w:space="0" w:color="auto"/>
                    <w:left w:val="outset" w:sz="6" w:space="0" w:color="auto"/>
                    <w:bottom w:val="outset" w:sz="6" w:space="0" w:color="auto"/>
                    <w:right w:val="outset" w:sz="6" w:space="0" w:color="auto"/>
                  </w:tcBorders>
                  <w:vAlign w:val="bottom"/>
                </w:tcPr>
                <w:p w:rsidR="00FE6220" w:rsidRPr="00014154" w:rsidRDefault="00FE6220" w:rsidP="00FE6220">
                  <w:pPr>
                    <w:rPr>
                      <w:color w:val="000000"/>
                    </w:rPr>
                  </w:pPr>
                  <w:r w:rsidRPr="00014154">
                    <w:rPr>
                      <w:color w:val="000000" w:themeColor="text1"/>
                    </w:rPr>
                    <w:t>20 616 816</w:t>
                  </w:r>
                </w:p>
              </w:tc>
            </w:tr>
            <w:tr w:rsidR="00014154"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2.2. valsts speciālais budžets</w:t>
                  </w:r>
                </w:p>
              </w:tc>
              <w:tc>
                <w:tcPr>
                  <w:tcW w:w="580" w:type="pct"/>
                  <w:tcBorders>
                    <w:top w:val="outset" w:sz="6" w:space="0" w:color="auto"/>
                    <w:left w:val="outset" w:sz="6" w:space="0" w:color="auto"/>
                    <w:bottom w:val="outset" w:sz="6" w:space="0" w:color="auto"/>
                    <w:right w:val="outset" w:sz="6" w:space="0" w:color="auto"/>
                  </w:tcBorders>
                </w:tcPr>
                <w:p w:rsidR="00FE6220" w:rsidRPr="00440443" w:rsidRDefault="00FE6220" w:rsidP="00FE6220">
                  <w:pPr>
                    <w:rPr>
                      <w:color w:val="000000" w:themeColor="text1"/>
                    </w:rPr>
                  </w:pPr>
                </w:p>
              </w:tc>
              <w:tc>
                <w:tcPr>
                  <w:tcW w:w="683" w:type="pct"/>
                  <w:tcBorders>
                    <w:top w:val="outset" w:sz="6" w:space="0" w:color="auto"/>
                    <w:left w:val="outset" w:sz="6" w:space="0" w:color="auto"/>
                    <w:bottom w:val="outset" w:sz="6" w:space="0" w:color="auto"/>
                    <w:right w:val="outset" w:sz="6" w:space="0" w:color="auto"/>
                  </w:tcBorders>
                </w:tcPr>
                <w:p w:rsidR="00FE6220" w:rsidRPr="00440443" w:rsidRDefault="00FE6220" w:rsidP="00FE6220">
                  <w:pPr>
                    <w:rPr>
                      <w:color w:val="000000" w:themeColor="text1"/>
                    </w:rPr>
                  </w:pPr>
                </w:p>
              </w:tc>
              <w:tc>
                <w:tcPr>
                  <w:tcW w:w="60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3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97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r>
            <w:tr w:rsidR="00014154"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2.3. pašvaldību budžets</w:t>
                  </w:r>
                </w:p>
              </w:tc>
              <w:tc>
                <w:tcPr>
                  <w:tcW w:w="580"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83"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3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97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r>
            <w:tr w:rsidR="00014154"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3. Finansiālā ietekme:</w:t>
                  </w:r>
                </w:p>
              </w:tc>
              <w:tc>
                <w:tcPr>
                  <w:tcW w:w="580" w:type="pct"/>
                  <w:tcBorders>
                    <w:top w:val="outset" w:sz="6" w:space="0" w:color="auto"/>
                    <w:left w:val="outset" w:sz="6" w:space="0" w:color="auto"/>
                    <w:bottom w:val="outset" w:sz="6" w:space="0" w:color="auto"/>
                    <w:right w:val="outset" w:sz="6" w:space="0" w:color="auto"/>
                  </w:tcBorders>
                  <w:vAlign w:val="center"/>
                  <w:hideMark/>
                </w:tcPr>
                <w:p w:rsidR="00FE6220" w:rsidRPr="00440443" w:rsidRDefault="00FE6220" w:rsidP="00FE6220">
                  <w:pPr>
                    <w:rPr>
                      <w:color w:val="000000" w:themeColor="text1"/>
                    </w:rPr>
                  </w:pPr>
                  <w:r w:rsidRPr="00440443">
                    <w:rPr>
                      <w:color w:val="000000" w:themeColor="text1"/>
                    </w:rPr>
                    <w:t> </w:t>
                  </w:r>
                  <w:r w:rsidR="006C2FC5">
                    <w:rPr>
                      <w:color w:val="000000" w:themeColor="text1"/>
                    </w:rPr>
                    <w:t>0</w:t>
                  </w:r>
                </w:p>
              </w:tc>
              <w:tc>
                <w:tcPr>
                  <w:tcW w:w="683"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r w:rsidR="006C2FC5">
                    <w:rPr>
                      <w:color w:val="000000" w:themeColor="text1"/>
                    </w:rPr>
                    <w:t>0</w:t>
                  </w:r>
                </w:p>
              </w:tc>
              <w:tc>
                <w:tcPr>
                  <w:tcW w:w="63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r w:rsidR="006C2FC5">
                    <w:rPr>
                      <w:color w:val="000000" w:themeColor="text1"/>
                    </w:rPr>
                    <w:t>0</w:t>
                  </w:r>
                </w:p>
              </w:tc>
              <w:tc>
                <w:tcPr>
                  <w:tcW w:w="97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r w:rsidR="006C2FC5">
                    <w:rPr>
                      <w:color w:val="000000" w:themeColor="text1"/>
                    </w:rPr>
                    <w:t>0</w:t>
                  </w:r>
                </w:p>
              </w:tc>
            </w:tr>
            <w:tr w:rsidR="00014154"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3.1. valsts pamatbudžets</w:t>
                  </w:r>
                </w:p>
              </w:tc>
              <w:tc>
                <w:tcPr>
                  <w:tcW w:w="580"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83"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0E4C">
                  <w:pPr>
                    <w:rPr>
                      <w:color w:val="000000" w:themeColor="text1"/>
                    </w:rPr>
                  </w:pPr>
                  <w:r w:rsidRPr="00440443">
                    <w:rPr>
                      <w:color w:val="000000" w:themeColor="text1"/>
                    </w:rPr>
                    <w:t> </w:t>
                  </w:r>
                </w:p>
              </w:tc>
              <w:tc>
                <w:tcPr>
                  <w:tcW w:w="63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0E4C">
                  <w:pPr>
                    <w:rPr>
                      <w:color w:val="000000" w:themeColor="text1"/>
                    </w:rPr>
                  </w:pPr>
                  <w:r w:rsidRPr="00440443">
                    <w:rPr>
                      <w:color w:val="000000" w:themeColor="text1"/>
                    </w:rPr>
                    <w:t> </w:t>
                  </w:r>
                </w:p>
              </w:tc>
              <w:tc>
                <w:tcPr>
                  <w:tcW w:w="97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p>
              </w:tc>
            </w:tr>
            <w:tr w:rsidR="00014154"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3.2. speciālais budžets</w:t>
                  </w:r>
                </w:p>
              </w:tc>
              <w:tc>
                <w:tcPr>
                  <w:tcW w:w="580"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83"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3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97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r>
            <w:tr w:rsidR="00014154"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3.3. pašvaldību budžets</w:t>
                  </w:r>
                </w:p>
              </w:tc>
              <w:tc>
                <w:tcPr>
                  <w:tcW w:w="580"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83"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3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97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r>
            <w:tr w:rsidR="00014154" w:rsidRPr="00440443" w:rsidTr="00FE6220">
              <w:trPr>
                <w:tblCellSpacing w:w="15" w:type="dxa"/>
                <w:jc w:val="center"/>
              </w:trPr>
              <w:tc>
                <w:tcPr>
                  <w:tcW w:w="1417" w:type="pct"/>
                  <w:vMerge w:val="restar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lastRenderedPageBreak/>
                    <w:t>4. Finanšu līdzekļi papildu izdevumu finansēšanai (kompensējošu izdevumu samazinājumu norāda ar "+" zīmi)</w:t>
                  </w:r>
                </w:p>
              </w:tc>
              <w:tc>
                <w:tcPr>
                  <w:tcW w:w="580" w:type="pct"/>
                  <w:vMerge w:val="restar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spacing w:before="100" w:beforeAutospacing="1" w:after="100" w:afterAutospacing="1" w:line="360" w:lineRule="auto"/>
                    <w:ind w:firstLine="300"/>
                    <w:jc w:val="center"/>
                    <w:rPr>
                      <w:color w:val="000000" w:themeColor="text1"/>
                    </w:rPr>
                  </w:pPr>
                  <w:r w:rsidRPr="00440443">
                    <w:rPr>
                      <w:color w:val="000000" w:themeColor="text1"/>
                    </w:rPr>
                    <w:t>X</w:t>
                  </w:r>
                </w:p>
              </w:tc>
              <w:tc>
                <w:tcPr>
                  <w:tcW w:w="683"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6C2FC5">
                  <w:pPr>
                    <w:rPr>
                      <w:color w:val="000000" w:themeColor="text1"/>
                    </w:rPr>
                  </w:pPr>
                  <w:r w:rsidRPr="00440443">
                    <w:rPr>
                      <w:color w:val="000000" w:themeColor="text1"/>
                    </w:rPr>
                    <w:t> </w:t>
                  </w:r>
                </w:p>
              </w:tc>
              <w:tc>
                <w:tcPr>
                  <w:tcW w:w="63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97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r>
            <w:tr w:rsidR="00FE6220" w:rsidRPr="00440443" w:rsidTr="00FE622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220" w:rsidRPr="00440443" w:rsidRDefault="00FE6220" w:rsidP="00FE6220">
                  <w:pP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220" w:rsidRPr="00440443" w:rsidRDefault="00FE6220" w:rsidP="00FE6220">
                  <w:pPr>
                    <w:rPr>
                      <w:color w:val="000000" w:themeColor="text1"/>
                    </w:rPr>
                  </w:pPr>
                </w:p>
              </w:tc>
              <w:tc>
                <w:tcPr>
                  <w:tcW w:w="683"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3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97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r>
            <w:tr w:rsidR="00FE6220" w:rsidRPr="00440443" w:rsidTr="00FE622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220" w:rsidRPr="00440443" w:rsidRDefault="00FE6220" w:rsidP="00FE6220">
                  <w:pP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220" w:rsidRPr="00440443" w:rsidRDefault="00FE6220" w:rsidP="00FE6220">
                  <w:pPr>
                    <w:rPr>
                      <w:color w:val="000000" w:themeColor="text1"/>
                    </w:rPr>
                  </w:pPr>
                </w:p>
              </w:tc>
              <w:tc>
                <w:tcPr>
                  <w:tcW w:w="683"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3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97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r>
            <w:tr w:rsidR="00014154"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5. Precizēta finansiālā ietekme:</w:t>
                  </w:r>
                </w:p>
              </w:tc>
              <w:tc>
                <w:tcPr>
                  <w:tcW w:w="580" w:type="pct"/>
                  <w:vMerge w:val="restar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spacing w:before="100" w:beforeAutospacing="1" w:after="100" w:afterAutospacing="1" w:line="360" w:lineRule="auto"/>
                    <w:ind w:firstLine="300"/>
                    <w:jc w:val="center"/>
                    <w:rPr>
                      <w:color w:val="000000" w:themeColor="text1"/>
                    </w:rPr>
                  </w:pPr>
                  <w:r w:rsidRPr="00440443">
                    <w:rPr>
                      <w:color w:val="000000" w:themeColor="text1"/>
                    </w:rPr>
                    <w:t>X</w:t>
                  </w:r>
                </w:p>
              </w:tc>
              <w:tc>
                <w:tcPr>
                  <w:tcW w:w="683"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3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97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r>
            <w:tr w:rsidR="00014154" w:rsidRPr="00440443" w:rsidTr="00576005">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220" w:rsidRPr="00440443" w:rsidRDefault="00FE6220" w:rsidP="00FE6220">
                  <w:pPr>
                    <w:rPr>
                      <w:color w:val="000000" w:themeColor="text1"/>
                    </w:rPr>
                  </w:pPr>
                </w:p>
              </w:tc>
              <w:tc>
                <w:tcPr>
                  <w:tcW w:w="683"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tcPr>
                <w:p w:rsidR="00FE6220" w:rsidRPr="00440443" w:rsidRDefault="00FE6220" w:rsidP="00FE6220">
                  <w:pPr>
                    <w:jc w:val="center"/>
                    <w:rPr>
                      <w:color w:val="000000" w:themeColor="text1"/>
                    </w:rPr>
                  </w:pPr>
                </w:p>
              </w:tc>
              <w:tc>
                <w:tcPr>
                  <w:tcW w:w="635" w:type="pct"/>
                  <w:tcBorders>
                    <w:top w:val="outset" w:sz="6" w:space="0" w:color="auto"/>
                    <w:left w:val="outset" w:sz="6" w:space="0" w:color="auto"/>
                    <w:bottom w:val="outset" w:sz="6" w:space="0" w:color="auto"/>
                    <w:right w:val="outset" w:sz="6" w:space="0" w:color="auto"/>
                  </w:tcBorders>
                </w:tcPr>
                <w:p w:rsidR="00FE6220" w:rsidRPr="00440443" w:rsidRDefault="00FE6220" w:rsidP="00FE6220">
                  <w:pPr>
                    <w:jc w:val="center"/>
                    <w:rPr>
                      <w:color w:val="000000" w:themeColor="text1"/>
                    </w:rPr>
                  </w:pPr>
                </w:p>
              </w:tc>
              <w:tc>
                <w:tcPr>
                  <w:tcW w:w="975" w:type="pct"/>
                  <w:tcBorders>
                    <w:top w:val="outset" w:sz="6" w:space="0" w:color="auto"/>
                    <w:left w:val="outset" w:sz="6" w:space="0" w:color="auto"/>
                    <w:bottom w:val="outset" w:sz="6" w:space="0" w:color="auto"/>
                    <w:right w:val="outset" w:sz="6" w:space="0" w:color="auto"/>
                  </w:tcBorders>
                </w:tcPr>
                <w:p w:rsidR="00FE6220" w:rsidRPr="00440443" w:rsidRDefault="00FE6220" w:rsidP="00FE6220">
                  <w:pPr>
                    <w:jc w:val="center"/>
                    <w:rPr>
                      <w:color w:val="000000" w:themeColor="text1"/>
                    </w:rPr>
                  </w:pPr>
                </w:p>
              </w:tc>
            </w:tr>
            <w:tr w:rsidR="00014154"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220" w:rsidRPr="00440443" w:rsidRDefault="00FE6220" w:rsidP="00FE6220">
                  <w:pPr>
                    <w:rPr>
                      <w:color w:val="000000" w:themeColor="text1"/>
                    </w:rPr>
                  </w:pPr>
                </w:p>
              </w:tc>
              <w:tc>
                <w:tcPr>
                  <w:tcW w:w="683"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3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97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r>
            <w:tr w:rsidR="00014154"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220" w:rsidRPr="00440443" w:rsidRDefault="00FE6220" w:rsidP="00FE6220">
                  <w:pPr>
                    <w:rPr>
                      <w:color w:val="000000" w:themeColor="text1"/>
                    </w:rPr>
                  </w:pPr>
                </w:p>
              </w:tc>
              <w:tc>
                <w:tcPr>
                  <w:tcW w:w="683"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0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63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c>
                <w:tcPr>
                  <w:tcW w:w="975"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 </w:t>
                  </w:r>
                </w:p>
              </w:tc>
            </w:tr>
            <w:tr w:rsidR="00FE6220"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6. Detalizēts ieņēmumu un izdevumu aprēķins (ja nepieciešams, detalizētu ieņēmumu un izdevumu aprēķinu var pievienot anotācijas pielikumā):</w:t>
                  </w:r>
                </w:p>
              </w:tc>
              <w:tc>
                <w:tcPr>
                  <w:tcW w:w="3538"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D45C64" w:rsidRDefault="00FE6220" w:rsidP="00974A34">
                  <w:pPr>
                    <w:spacing w:after="240"/>
                    <w:jc w:val="both"/>
                    <w:rPr>
                      <w:color w:val="000000" w:themeColor="text1"/>
                    </w:rPr>
                  </w:pPr>
                  <w:r w:rsidRPr="00576005">
                    <w:rPr>
                      <w:color w:val="000000" w:themeColor="text1"/>
                    </w:rPr>
                    <w:t xml:space="preserve">Ikgadējais finansējumu </w:t>
                  </w:r>
                  <w:r w:rsidR="00576005" w:rsidRPr="00576005">
                    <w:rPr>
                      <w:rFonts w:eastAsia="Calibri"/>
                    </w:rPr>
                    <w:t>Ekonomikas ministrijas budžeta apakšprogrammā 29.02.00 “Elektroenerģijas lietotāju atbalsts”</w:t>
                  </w:r>
                  <w:r w:rsidR="00576005">
                    <w:rPr>
                      <w:rFonts w:eastAsia="Calibri"/>
                    </w:rPr>
                    <w:t xml:space="preserve"> </w:t>
                  </w:r>
                  <w:r w:rsidRPr="00576005">
                    <w:rPr>
                      <w:color w:val="000000" w:themeColor="text1"/>
                    </w:rPr>
                    <w:t xml:space="preserve">plānots šādā apmērā: 2017.gadā  78 806 224 EUR, 2018.gadā  87 272 417 EUR, 2019.gadā  89 241 761 EUR. </w:t>
                  </w:r>
                  <w:r w:rsidR="00576005">
                    <w:rPr>
                      <w:color w:val="000000" w:themeColor="text1"/>
                    </w:rPr>
                    <w:t xml:space="preserve">Attiecīgi </w:t>
                  </w:r>
                  <w:r w:rsidR="00974A34">
                    <w:rPr>
                      <w:color w:val="000000" w:themeColor="text1"/>
                    </w:rPr>
                    <w:t>plānot</w:t>
                  </w:r>
                  <w:r w:rsidR="00840586">
                    <w:rPr>
                      <w:color w:val="000000" w:themeColor="text1"/>
                    </w:rPr>
                    <w:t>ais</w:t>
                  </w:r>
                  <w:r w:rsidR="00974A34">
                    <w:rPr>
                      <w:color w:val="000000" w:themeColor="text1"/>
                    </w:rPr>
                    <w:t xml:space="preserve"> budžeta </w:t>
                  </w:r>
                  <w:r w:rsidR="00840586">
                    <w:rPr>
                      <w:color w:val="000000" w:themeColor="text1"/>
                    </w:rPr>
                    <w:t xml:space="preserve">ieņēmumu un izdevumu palielinājums </w:t>
                  </w:r>
                  <w:r w:rsidR="00576005">
                    <w:rPr>
                      <w:color w:val="000000" w:themeColor="text1"/>
                    </w:rPr>
                    <w:t>salīdzinājumā ar 2016.gadu</w:t>
                  </w:r>
                  <w:r w:rsidR="00974A34">
                    <w:rPr>
                      <w:color w:val="000000" w:themeColor="text1"/>
                    </w:rPr>
                    <w:t>:</w:t>
                  </w:r>
                  <w:r w:rsidR="00576005">
                    <w:rPr>
                      <w:color w:val="000000" w:themeColor="text1"/>
                    </w:rPr>
                    <w:t xml:space="preserve"> 2017.gadā </w:t>
                  </w:r>
                  <w:r w:rsidR="00576005" w:rsidRPr="00014154">
                    <w:rPr>
                      <w:color w:val="000000" w:themeColor="text1"/>
                    </w:rPr>
                    <w:t>10 181</w:t>
                  </w:r>
                  <w:r w:rsidR="00576005">
                    <w:rPr>
                      <w:color w:val="000000" w:themeColor="text1"/>
                    </w:rPr>
                    <w:t> </w:t>
                  </w:r>
                  <w:r w:rsidR="00576005" w:rsidRPr="00014154">
                    <w:rPr>
                      <w:color w:val="000000" w:themeColor="text1"/>
                    </w:rPr>
                    <w:t>279</w:t>
                  </w:r>
                  <w:r w:rsidR="00576005">
                    <w:rPr>
                      <w:color w:val="000000" w:themeColor="text1"/>
                    </w:rPr>
                    <w:t xml:space="preserve"> EUR, 2018.gadā </w:t>
                  </w:r>
                  <w:r w:rsidR="00576005" w:rsidRPr="00014154">
                    <w:rPr>
                      <w:color w:val="000000" w:themeColor="text1"/>
                    </w:rPr>
                    <w:t>18 647</w:t>
                  </w:r>
                  <w:r w:rsidR="00576005">
                    <w:rPr>
                      <w:color w:val="000000" w:themeColor="text1"/>
                    </w:rPr>
                    <w:t> </w:t>
                  </w:r>
                  <w:r w:rsidR="00576005" w:rsidRPr="00014154">
                    <w:rPr>
                      <w:color w:val="000000" w:themeColor="text1"/>
                    </w:rPr>
                    <w:t>472</w:t>
                  </w:r>
                  <w:r w:rsidR="00576005">
                    <w:rPr>
                      <w:color w:val="000000" w:themeColor="text1"/>
                    </w:rPr>
                    <w:t xml:space="preserve"> EUR, bet 2019.gadā </w:t>
                  </w:r>
                  <w:r w:rsidR="00576005" w:rsidRPr="00014154">
                    <w:rPr>
                      <w:color w:val="000000" w:themeColor="text1"/>
                    </w:rPr>
                    <w:t>20 616</w:t>
                  </w:r>
                  <w:r w:rsidR="00576005">
                    <w:rPr>
                      <w:color w:val="000000" w:themeColor="text1"/>
                    </w:rPr>
                    <w:t> </w:t>
                  </w:r>
                  <w:r w:rsidR="00576005" w:rsidRPr="00014154">
                    <w:rPr>
                      <w:color w:val="000000" w:themeColor="text1"/>
                    </w:rPr>
                    <w:t>816</w:t>
                  </w:r>
                  <w:r w:rsidR="00576005">
                    <w:rPr>
                      <w:color w:val="000000" w:themeColor="text1"/>
                    </w:rPr>
                    <w:t> EUR.</w:t>
                  </w:r>
                  <w:r w:rsidR="00D45C64">
                    <w:rPr>
                      <w:color w:val="000000" w:themeColor="text1"/>
                    </w:rPr>
                    <w:t xml:space="preserve"> </w:t>
                  </w:r>
                </w:p>
                <w:p w:rsidR="00FE6220" w:rsidRPr="00440443" w:rsidRDefault="00D45C64" w:rsidP="00974A34">
                  <w:pPr>
                    <w:spacing w:after="240"/>
                    <w:jc w:val="both"/>
                    <w:rPr>
                      <w:color w:val="000000" w:themeColor="text1"/>
                    </w:rPr>
                  </w:pPr>
                  <w:r>
                    <w:rPr>
                      <w:color w:val="000000" w:themeColor="text1"/>
                    </w:rPr>
                    <w:t xml:space="preserve">Detalizēts ietekmes izvērtējums sniegts </w:t>
                  </w:r>
                  <w:r w:rsidRPr="00BA6BD4">
                    <w:rPr>
                      <w:color w:val="000000" w:themeColor="text1"/>
                    </w:rPr>
                    <w:t>konceptuāl</w:t>
                  </w:r>
                  <w:r>
                    <w:rPr>
                      <w:color w:val="000000" w:themeColor="text1"/>
                    </w:rPr>
                    <w:t>aj</w:t>
                  </w:r>
                  <w:r w:rsidRPr="00BA6BD4">
                    <w:rPr>
                      <w:color w:val="000000" w:themeColor="text1"/>
                    </w:rPr>
                    <w:t>ā ziņojuma “Kompleksi pasākumi elektroenerģijas tirgus attīstībai”</w:t>
                  </w:r>
                  <w:r>
                    <w:rPr>
                      <w:color w:val="000000" w:themeColor="text1"/>
                    </w:rPr>
                    <w:t xml:space="preserve">, kas izskatīts </w:t>
                  </w:r>
                  <w:r w:rsidRPr="00BA6BD4">
                    <w:rPr>
                      <w:color w:val="000000" w:themeColor="text1"/>
                    </w:rPr>
                    <w:t>2016.gada 13.septembra sēdē</w:t>
                  </w:r>
                  <w:r>
                    <w:rPr>
                      <w:color w:val="000000" w:themeColor="text1"/>
                    </w:rPr>
                    <w:t xml:space="preserve"> Ministru kabinetā</w:t>
                  </w:r>
                  <w:r w:rsidRPr="00BA6BD4">
                    <w:rPr>
                      <w:color w:val="000000" w:themeColor="text1"/>
                    </w:rPr>
                    <w:t>.</w:t>
                  </w:r>
                </w:p>
              </w:tc>
            </w:tr>
            <w:tr w:rsidR="00FE6220"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6.1. detalizēts ieņēmumu aprēķins</w:t>
                  </w:r>
                </w:p>
              </w:tc>
              <w:tc>
                <w:tcPr>
                  <w:tcW w:w="3538" w:type="pct"/>
                  <w:gridSpan w:val="5"/>
                  <w:vMerge/>
                  <w:tcBorders>
                    <w:top w:val="outset" w:sz="6" w:space="0" w:color="auto"/>
                    <w:left w:val="outset" w:sz="6" w:space="0" w:color="auto"/>
                    <w:bottom w:val="outset" w:sz="6" w:space="0" w:color="auto"/>
                    <w:right w:val="outset" w:sz="6" w:space="0" w:color="auto"/>
                  </w:tcBorders>
                  <w:vAlign w:val="center"/>
                  <w:hideMark/>
                </w:tcPr>
                <w:p w:rsidR="00FE6220" w:rsidRPr="00440443" w:rsidRDefault="00FE6220" w:rsidP="00FE6220">
                  <w:pPr>
                    <w:rPr>
                      <w:color w:val="000000" w:themeColor="text1"/>
                    </w:rPr>
                  </w:pPr>
                </w:p>
              </w:tc>
            </w:tr>
            <w:tr w:rsidR="00FE6220" w:rsidRPr="00440443" w:rsidTr="00FE6220">
              <w:trPr>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6.2. detalizēts izdevumu aprēķins</w:t>
                  </w:r>
                </w:p>
              </w:tc>
              <w:tc>
                <w:tcPr>
                  <w:tcW w:w="3538" w:type="pct"/>
                  <w:gridSpan w:val="5"/>
                  <w:vMerge/>
                  <w:tcBorders>
                    <w:top w:val="outset" w:sz="6" w:space="0" w:color="auto"/>
                    <w:left w:val="outset" w:sz="6" w:space="0" w:color="auto"/>
                    <w:bottom w:val="outset" w:sz="6" w:space="0" w:color="auto"/>
                    <w:right w:val="outset" w:sz="6" w:space="0" w:color="auto"/>
                  </w:tcBorders>
                  <w:vAlign w:val="center"/>
                  <w:hideMark/>
                </w:tcPr>
                <w:p w:rsidR="00FE6220" w:rsidRPr="00440443" w:rsidRDefault="00FE6220" w:rsidP="00FE6220">
                  <w:pPr>
                    <w:rPr>
                      <w:color w:val="000000" w:themeColor="text1"/>
                    </w:rPr>
                  </w:pPr>
                </w:p>
              </w:tc>
            </w:tr>
            <w:tr w:rsidR="00FE6220" w:rsidRPr="00440443" w:rsidTr="00FE6220">
              <w:trPr>
                <w:trHeight w:val="444"/>
                <w:tblCellSpacing w:w="15" w:type="dxa"/>
                <w:jc w:val="center"/>
              </w:trPr>
              <w:tc>
                <w:tcPr>
                  <w:tcW w:w="1417" w:type="pct"/>
                  <w:tcBorders>
                    <w:top w:val="outset" w:sz="6" w:space="0" w:color="auto"/>
                    <w:left w:val="outset" w:sz="6" w:space="0" w:color="auto"/>
                    <w:bottom w:val="outset" w:sz="6" w:space="0" w:color="auto"/>
                    <w:right w:val="outset" w:sz="6" w:space="0" w:color="auto"/>
                  </w:tcBorders>
                  <w:hideMark/>
                </w:tcPr>
                <w:p w:rsidR="00FE6220" w:rsidRPr="00440443" w:rsidRDefault="00FE6220" w:rsidP="00FE6220">
                  <w:pPr>
                    <w:rPr>
                      <w:color w:val="000000" w:themeColor="text1"/>
                    </w:rPr>
                  </w:pPr>
                  <w:r w:rsidRPr="00440443">
                    <w:rPr>
                      <w:color w:val="000000" w:themeColor="text1"/>
                    </w:rPr>
                    <w:t>7. Cita informācija</w:t>
                  </w:r>
                </w:p>
              </w:tc>
              <w:tc>
                <w:tcPr>
                  <w:tcW w:w="3538" w:type="pct"/>
                  <w:gridSpan w:val="5"/>
                  <w:tcBorders>
                    <w:top w:val="outset" w:sz="6" w:space="0" w:color="auto"/>
                    <w:left w:val="outset" w:sz="6" w:space="0" w:color="auto"/>
                    <w:bottom w:val="outset" w:sz="6" w:space="0" w:color="auto"/>
                    <w:right w:val="outset" w:sz="6" w:space="0" w:color="auto"/>
                  </w:tcBorders>
                  <w:hideMark/>
                </w:tcPr>
                <w:p w:rsidR="00FA2DF1" w:rsidRDefault="00D45C64" w:rsidP="00FA2DF1">
                  <w:pPr>
                    <w:spacing w:after="240"/>
                    <w:jc w:val="both"/>
                    <w:rPr>
                      <w:rFonts w:eastAsia="Calibri"/>
                    </w:rPr>
                  </w:pPr>
                  <w:r w:rsidRPr="00576005">
                    <w:rPr>
                      <w:rFonts w:eastAsia="Calibri"/>
                    </w:rPr>
                    <w:t xml:space="preserve">Likumprojekts tiks īstenots Ekonomikas ministrijas budžeta apakšprogrammā 29.02.00 “Elektroenerģijas lietotāju atbalsts” piešķirto līdzekļu ietvaros. </w:t>
                  </w:r>
                </w:p>
                <w:p w:rsidR="00FE6220" w:rsidRDefault="00D45C64" w:rsidP="00FA2DF1">
                  <w:pPr>
                    <w:spacing w:after="240"/>
                    <w:jc w:val="both"/>
                    <w:rPr>
                      <w:rFonts w:eastAsia="Calibri"/>
                    </w:rPr>
                  </w:pPr>
                  <w:r w:rsidRPr="00576005">
                    <w:rPr>
                      <w:rFonts w:eastAsia="Calibri"/>
                    </w:rPr>
                    <w:t xml:space="preserve">Ekonomikas ministrija iesniegs priekšlikumus likumprojekta “Par valsts budžetu 2017.gadam” un likumprojekta “Par vidēja termiņa budžeta ietvaru 2017., 2018. un 2019.gadam” izskatīšanai otrajā lasījumā, </w:t>
                  </w:r>
                  <w:r w:rsidR="00FA2DF1">
                    <w:rPr>
                      <w:rFonts w:eastAsia="Calibri"/>
                    </w:rPr>
                    <w:t>samazinot</w:t>
                  </w:r>
                  <w:r w:rsidR="00FA2DF1" w:rsidRPr="00FA2DF1">
                    <w:rPr>
                      <w:rFonts w:eastAsia="Calibri"/>
                    </w:rPr>
                    <w:t xml:space="preserve"> Ekonomikas ministrijas izdevumus valsts budžeta programmā “Elektroenerģijas lietotāju atbalsts” 2017.gadā par 17 846</w:t>
                  </w:r>
                  <w:r w:rsidR="00FA2DF1">
                    <w:rPr>
                      <w:rFonts w:eastAsia="Calibri"/>
                    </w:rPr>
                    <w:t> </w:t>
                  </w:r>
                  <w:r w:rsidR="00FA2DF1" w:rsidRPr="00FA2DF1">
                    <w:rPr>
                      <w:rFonts w:eastAsia="Calibri"/>
                    </w:rPr>
                    <w:t>427</w:t>
                  </w:r>
                  <w:r w:rsidR="00FA2DF1">
                    <w:rPr>
                      <w:rFonts w:eastAsia="Calibri"/>
                    </w:rPr>
                    <w:t xml:space="preserve"> </w:t>
                  </w:r>
                  <w:r w:rsidR="00FA2DF1" w:rsidRPr="00FA2DF1">
                    <w:rPr>
                      <w:rFonts w:eastAsia="Calibri"/>
                    </w:rPr>
                    <w:t xml:space="preserve">EUR  un 2018.gadā par 21 722 899 EUR, palielinot 2019.gadā par 43 322 065 </w:t>
                  </w:r>
                  <w:r w:rsidR="00FA2DF1">
                    <w:rPr>
                      <w:rFonts w:eastAsia="Calibri"/>
                    </w:rPr>
                    <w:t>EUR</w:t>
                  </w:r>
                  <w:r w:rsidR="00FA2DF1" w:rsidRPr="00FA2DF1">
                    <w:rPr>
                      <w:rFonts w:eastAsia="Calibri"/>
                    </w:rPr>
                    <w:t>.</w:t>
                  </w:r>
                </w:p>
                <w:p w:rsidR="00FA2DF1" w:rsidRPr="00FA2DF1" w:rsidRDefault="00FA2DF1" w:rsidP="00FA2DF1">
                  <w:pPr>
                    <w:spacing w:after="240"/>
                    <w:jc w:val="both"/>
                    <w:rPr>
                      <w:rFonts w:eastAsia="Calibri"/>
                    </w:rPr>
                  </w:pPr>
                  <w:r>
                    <w:rPr>
                      <w:rFonts w:eastAsia="Calibri"/>
                    </w:rPr>
                    <w:t>Ministru kabinets š.g. 13.septembra sēdē, izskatot iepriekš minēto konceptuālo ziņojumu noteica, ka s</w:t>
                  </w:r>
                  <w:r w:rsidRPr="00FA2DF1">
                    <w:rPr>
                      <w:rFonts w:eastAsia="Calibri"/>
                    </w:rPr>
                    <w:t>agatavojot likumprojektu “Par valsts budžetu 2018.gadam” un likumprojektu “Par vidējā termiņa budžeta ietvaru 2018., 2019. un 2020.gadam” finansējums valsts budžeta programmai “Elektroenerģijas lietotāju atbalsts” ir valdības prioritāte un attiecīgi Ekonomikas ministrijai sadarbībā ar Finanšu ministriju sagatavot priekšlikumus, lai nodrošinātu nepieciešamā finansējuma apmēru 2019.gadā.</w:t>
                  </w:r>
                </w:p>
              </w:tc>
            </w:tr>
          </w:tbl>
          <w:p w:rsidR="00440443" w:rsidRPr="002C21F0" w:rsidRDefault="00440443" w:rsidP="002F4267">
            <w:pPr>
              <w:jc w:val="center"/>
            </w:pPr>
          </w:p>
        </w:tc>
      </w:tr>
    </w:tbl>
    <w:p w:rsidR="00440443" w:rsidRPr="005F757E" w:rsidRDefault="00440443" w:rsidP="00440443">
      <w:pPr>
        <w:rPr>
          <w:color w:val="000000" w:themeColor="text1"/>
          <w:sz w:val="16"/>
          <w:szCs w:val="16"/>
        </w:rPr>
      </w:pPr>
    </w:p>
    <w:tbl>
      <w:tblPr>
        <w:tblW w:w="99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0" w:type="dxa"/>
          <w:right w:w="0" w:type="dxa"/>
        </w:tblCellMar>
        <w:tblLook w:val="04A0" w:firstRow="1" w:lastRow="0" w:firstColumn="1" w:lastColumn="0" w:noHBand="0" w:noVBand="1"/>
      </w:tblPr>
      <w:tblGrid>
        <w:gridCol w:w="411"/>
        <w:gridCol w:w="2976"/>
        <w:gridCol w:w="6526"/>
      </w:tblGrid>
      <w:tr w:rsidR="00440443" w:rsidRPr="00A27C29" w:rsidTr="002F4267">
        <w:tc>
          <w:tcPr>
            <w:tcW w:w="9913"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108" w:type="dxa"/>
              <w:bottom w:w="0" w:type="dxa"/>
              <w:right w:w="108" w:type="dxa"/>
            </w:tcMar>
            <w:hideMark/>
          </w:tcPr>
          <w:p w:rsidR="00440443" w:rsidRPr="00A27C29" w:rsidRDefault="00440443" w:rsidP="002F4267">
            <w:pPr>
              <w:jc w:val="center"/>
              <w:rPr>
                <w:b/>
                <w:bCs/>
              </w:rPr>
            </w:pPr>
            <w:r w:rsidRPr="00A27C29">
              <w:rPr>
                <w:b/>
                <w:bCs/>
              </w:rPr>
              <w:t>IV. Tiesību akta projekta ietekme uz spēkā esošo tiesību normu sistēmu</w:t>
            </w:r>
          </w:p>
        </w:tc>
      </w:tr>
      <w:tr w:rsidR="00440443" w:rsidRPr="00A27C29" w:rsidTr="002F4267">
        <w:trPr>
          <w:trHeight w:val="344"/>
        </w:trPr>
        <w:tc>
          <w:tcPr>
            <w:tcW w:w="411"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hideMark/>
          </w:tcPr>
          <w:p w:rsidR="00440443" w:rsidRPr="00440443" w:rsidRDefault="00440443" w:rsidP="002F4267">
            <w:pPr>
              <w:rPr>
                <w:color w:val="000000" w:themeColor="text1"/>
              </w:rPr>
            </w:pPr>
            <w:r w:rsidRPr="00440443">
              <w:rPr>
                <w:color w:val="000000" w:themeColor="text1"/>
              </w:rPr>
              <w:t>1.</w:t>
            </w:r>
          </w:p>
        </w:tc>
        <w:tc>
          <w:tcPr>
            <w:tcW w:w="2976" w:type="dxa"/>
            <w:tcBorders>
              <w:top w:val="outset" w:sz="6" w:space="0" w:color="000000"/>
              <w:left w:val="outset" w:sz="6" w:space="0" w:color="000000"/>
              <w:bottom w:val="outset" w:sz="6" w:space="0" w:color="000000"/>
              <w:right w:val="outset" w:sz="6" w:space="0" w:color="000000"/>
            </w:tcBorders>
          </w:tcPr>
          <w:p w:rsidR="00440443" w:rsidRPr="00440443" w:rsidRDefault="00440443" w:rsidP="002F4267">
            <w:pPr>
              <w:rPr>
                <w:color w:val="000000" w:themeColor="text1"/>
              </w:rPr>
            </w:pPr>
            <w:r w:rsidRPr="00440443">
              <w:rPr>
                <w:color w:val="000000" w:themeColor="text1"/>
              </w:rPr>
              <w:t>Nepieciešamie saistītie tiesību aktu projekti</w:t>
            </w:r>
          </w:p>
        </w:tc>
        <w:tc>
          <w:tcPr>
            <w:tcW w:w="6526" w:type="dxa"/>
            <w:tcBorders>
              <w:top w:val="outset" w:sz="6" w:space="0" w:color="000000"/>
              <w:left w:val="outset" w:sz="6" w:space="0" w:color="000000"/>
              <w:bottom w:val="outset" w:sz="6" w:space="0" w:color="000000"/>
              <w:right w:val="outset" w:sz="6" w:space="0" w:color="000000"/>
            </w:tcBorders>
          </w:tcPr>
          <w:p w:rsidR="00440443" w:rsidRPr="00440443" w:rsidRDefault="00257275" w:rsidP="00257275">
            <w:pPr>
              <w:rPr>
                <w:color w:val="000000" w:themeColor="text1"/>
              </w:rPr>
            </w:pPr>
            <w:r>
              <w:rPr>
                <w:color w:val="000000" w:themeColor="text1"/>
              </w:rPr>
              <w:t>Sabiedrisko pakalpojumu regulēšanas komisija līdz 2017.gada 15.janvārim izdod likumprojekta “Grozījumi Elektroenerģijas tirgus likuma” 28.</w:t>
            </w:r>
            <w:r w:rsidRPr="00257275">
              <w:rPr>
                <w:color w:val="000000" w:themeColor="text1"/>
                <w:vertAlign w:val="superscript"/>
              </w:rPr>
              <w:t>1</w:t>
            </w:r>
            <w:r>
              <w:rPr>
                <w:color w:val="000000" w:themeColor="text1"/>
              </w:rPr>
              <w:t>panta ceturtajā daļā paredzēto izmaksu attiecināšanas aprēķina metodiku.</w:t>
            </w:r>
          </w:p>
        </w:tc>
      </w:tr>
      <w:tr w:rsidR="00440443" w:rsidRPr="00A27C29" w:rsidTr="002F4267">
        <w:trPr>
          <w:trHeight w:val="343"/>
        </w:trPr>
        <w:tc>
          <w:tcPr>
            <w:tcW w:w="411"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tcPr>
          <w:p w:rsidR="00440443" w:rsidRPr="00440443" w:rsidRDefault="00440443" w:rsidP="002F4267">
            <w:pPr>
              <w:rPr>
                <w:color w:val="000000" w:themeColor="text1"/>
              </w:rPr>
            </w:pPr>
            <w:r w:rsidRPr="00440443">
              <w:rPr>
                <w:color w:val="000000" w:themeColor="text1"/>
              </w:rPr>
              <w:t>2.</w:t>
            </w:r>
          </w:p>
        </w:tc>
        <w:tc>
          <w:tcPr>
            <w:tcW w:w="2976" w:type="dxa"/>
            <w:tcBorders>
              <w:top w:val="outset" w:sz="6" w:space="0" w:color="000000"/>
              <w:left w:val="outset" w:sz="6" w:space="0" w:color="000000"/>
              <w:bottom w:val="outset" w:sz="6" w:space="0" w:color="000000"/>
              <w:right w:val="outset" w:sz="6" w:space="0" w:color="000000"/>
            </w:tcBorders>
          </w:tcPr>
          <w:p w:rsidR="00440443" w:rsidRPr="00440443" w:rsidRDefault="00440443" w:rsidP="002F4267">
            <w:pPr>
              <w:rPr>
                <w:color w:val="000000" w:themeColor="text1"/>
              </w:rPr>
            </w:pPr>
            <w:r w:rsidRPr="00440443">
              <w:rPr>
                <w:color w:val="000000" w:themeColor="text1"/>
              </w:rPr>
              <w:t>Atbildīgā institūcija</w:t>
            </w:r>
          </w:p>
        </w:tc>
        <w:tc>
          <w:tcPr>
            <w:tcW w:w="6526" w:type="dxa"/>
            <w:tcBorders>
              <w:top w:val="outset" w:sz="6" w:space="0" w:color="000000"/>
              <w:left w:val="outset" w:sz="6" w:space="0" w:color="000000"/>
              <w:bottom w:val="outset" w:sz="6" w:space="0" w:color="000000"/>
              <w:right w:val="outset" w:sz="6" w:space="0" w:color="000000"/>
            </w:tcBorders>
          </w:tcPr>
          <w:p w:rsidR="00440443" w:rsidRPr="00440443" w:rsidRDefault="00440443" w:rsidP="002F4267">
            <w:pPr>
              <w:rPr>
                <w:color w:val="000000" w:themeColor="text1"/>
              </w:rPr>
            </w:pPr>
            <w:r>
              <w:rPr>
                <w:color w:val="000000" w:themeColor="text1"/>
              </w:rPr>
              <w:t>Sabiedrisko pakalpojumu regulēšanas komisija</w:t>
            </w:r>
          </w:p>
        </w:tc>
      </w:tr>
      <w:tr w:rsidR="00440443" w:rsidRPr="00A27C29" w:rsidTr="002F4267">
        <w:trPr>
          <w:trHeight w:val="343"/>
        </w:trPr>
        <w:tc>
          <w:tcPr>
            <w:tcW w:w="411" w:type="dxa"/>
            <w:tcBorders>
              <w:top w:val="outset" w:sz="6" w:space="0" w:color="000000"/>
              <w:left w:val="outset" w:sz="6" w:space="0" w:color="000000"/>
              <w:bottom w:val="outset" w:sz="6" w:space="0" w:color="000000"/>
              <w:right w:val="outset" w:sz="6" w:space="0" w:color="000000"/>
            </w:tcBorders>
            <w:tcMar>
              <w:top w:w="0" w:type="dxa"/>
              <w:left w:w="108" w:type="dxa"/>
              <w:bottom w:w="0" w:type="dxa"/>
              <w:right w:w="108" w:type="dxa"/>
            </w:tcMar>
          </w:tcPr>
          <w:p w:rsidR="00440443" w:rsidRPr="00440443" w:rsidRDefault="00440443" w:rsidP="002F4267">
            <w:pPr>
              <w:rPr>
                <w:color w:val="000000" w:themeColor="text1"/>
              </w:rPr>
            </w:pPr>
            <w:r w:rsidRPr="00440443">
              <w:rPr>
                <w:color w:val="000000" w:themeColor="text1"/>
              </w:rPr>
              <w:lastRenderedPageBreak/>
              <w:t>3.</w:t>
            </w:r>
          </w:p>
        </w:tc>
        <w:tc>
          <w:tcPr>
            <w:tcW w:w="2976" w:type="dxa"/>
            <w:tcBorders>
              <w:top w:val="outset" w:sz="6" w:space="0" w:color="000000"/>
              <w:left w:val="outset" w:sz="6" w:space="0" w:color="000000"/>
              <w:bottom w:val="outset" w:sz="6" w:space="0" w:color="000000"/>
              <w:right w:val="outset" w:sz="6" w:space="0" w:color="000000"/>
            </w:tcBorders>
          </w:tcPr>
          <w:p w:rsidR="00440443" w:rsidRPr="00440443" w:rsidRDefault="00440443" w:rsidP="002F4267">
            <w:pPr>
              <w:rPr>
                <w:color w:val="000000" w:themeColor="text1"/>
              </w:rPr>
            </w:pPr>
            <w:r w:rsidRPr="00440443">
              <w:rPr>
                <w:color w:val="000000" w:themeColor="text1"/>
              </w:rPr>
              <w:t>Cita informācija</w:t>
            </w:r>
          </w:p>
        </w:tc>
        <w:tc>
          <w:tcPr>
            <w:tcW w:w="6526" w:type="dxa"/>
            <w:tcBorders>
              <w:top w:val="outset" w:sz="6" w:space="0" w:color="000000"/>
              <w:left w:val="outset" w:sz="6" w:space="0" w:color="000000"/>
              <w:bottom w:val="outset" w:sz="6" w:space="0" w:color="000000"/>
              <w:right w:val="outset" w:sz="6" w:space="0" w:color="000000"/>
            </w:tcBorders>
          </w:tcPr>
          <w:p w:rsidR="00440443" w:rsidRPr="00440443" w:rsidRDefault="00440443" w:rsidP="002F4267">
            <w:pPr>
              <w:spacing w:before="100" w:beforeAutospacing="1" w:after="100" w:afterAutospacing="1" w:line="360" w:lineRule="auto"/>
              <w:rPr>
                <w:color w:val="000000" w:themeColor="text1"/>
              </w:rPr>
            </w:pPr>
            <w:r>
              <w:rPr>
                <w:color w:val="000000" w:themeColor="text1"/>
              </w:rPr>
              <w:t>Nav</w:t>
            </w:r>
          </w:p>
        </w:tc>
      </w:tr>
    </w:tbl>
    <w:p w:rsidR="00440443" w:rsidRPr="005F757E" w:rsidRDefault="00440443" w:rsidP="00440443">
      <w:pPr>
        <w:shd w:val="clear" w:color="auto" w:fill="FFFFFF"/>
        <w:jc w:val="both"/>
        <w:rPr>
          <w:color w:val="000000"/>
          <w:sz w:val="16"/>
          <w:szCs w:val="16"/>
        </w:rPr>
      </w:pPr>
    </w:p>
    <w:tbl>
      <w:tblPr>
        <w:tblW w:w="99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15"/>
      </w:tblGrid>
      <w:tr w:rsidR="00440443" w:rsidRPr="00A27C29" w:rsidTr="002F4267">
        <w:tc>
          <w:tcPr>
            <w:tcW w:w="9915" w:type="dxa"/>
            <w:tcBorders>
              <w:top w:val="outset" w:sz="6" w:space="0" w:color="000000"/>
              <w:left w:val="outset" w:sz="6" w:space="0" w:color="000000"/>
              <w:bottom w:val="outset" w:sz="6" w:space="0" w:color="000000"/>
              <w:right w:val="outset" w:sz="6" w:space="0" w:color="000000"/>
            </w:tcBorders>
            <w:shd w:val="clear" w:color="auto" w:fill="FFFFFF"/>
            <w:tcMar>
              <w:top w:w="28" w:type="dxa"/>
              <w:left w:w="28" w:type="dxa"/>
              <w:bottom w:w="28" w:type="dxa"/>
              <w:right w:w="28" w:type="dxa"/>
            </w:tcMar>
            <w:vAlign w:val="center"/>
            <w:hideMark/>
          </w:tcPr>
          <w:p w:rsidR="00440443" w:rsidRPr="00A27C29" w:rsidRDefault="00440443" w:rsidP="002F4267">
            <w:pPr>
              <w:jc w:val="center"/>
            </w:pPr>
            <w:r w:rsidRPr="00A27C29">
              <w:rPr>
                <w:b/>
                <w:bCs/>
              </w:rPr>
              <w:t>V. Tiesību akta projekta atbilstība Latvijas Republikas starptautiskajām saistībām</w:t>
            </w:r>
          </w:p>
        </w:tc>
      </w:tr>
      <w:tr w:rsidR="00440443" w:rsidRPr="00A27C29" w:rsidTr="002F4267">
        <w:tc>
          <w:tcPr>
            <w:tcW w:w="9915" w:type="dxa"/>
            <w:tcBorders>
              <w:top w:val="outset" w:sz="6" w:space="0" w:color="000000"/>
              <w:left w:val="outset" w:sz="6" w:space="0" w:color="000000"/>
              <w:bottom w:val="outset" w:sz="6" w:space="0" w:color="000000"/>
              <w:right w:val="outset" w:sz="6" w:space="0" w:color="000000"/>
            </w:tcBorders>
            <w:shd w:val="clear" w:color="auto" w:fill="FFFFFF"/>
            <w:tcMar>
              <w:top w:w="28" w:type="dxa"/>
              <w:left w:w="28" w:type="dxa"/>
              <w:bottom w:w="28" w:type="dxa"/>
              <w:right w:w="28" w:type="dxa"/>
            </w:tcMar>
            <w:hideMark/>
          </w:tcPr>
          <w:p w:rsidR="00440443" w:rsidRPr="002C21F0" w:rsidRDefault="00440443" w:rsidP="002F4267">
            <w:pPr>
              <w:jc w:val="center"/>
              <w:rPr>
                <w:i/>
              </w:rPr>
            </w:pPr>
            <w:r>
              <w:rPr>
                <w:i/>
              </w:rPr>
              <w:t>Projekts šo jomu neskar.</w:t>
            </w:r>
          </w:p>
        </w:tc>
      </w:tr>
    </w:tbl>
    <w:p w:rsidR="00440443" w:rsidRPr="005F757E" w:rsidRDefault="00440443" w:rsidP="00440443">
      <w:pPr>
        <w:shd w:val="clear" w:color="auto" w:fill="FFFFFF"/>
        <w:rPr>
          <w:color w:val="000000"/>
          <w:sz w:val="16"/>
          <w:szCs w:val="16"/>
        </w:rPr>
      </w:pPr>
    </w:p>
    <w:tbl>
      <w:tblPr>
        <w:tblW w:w="99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1"/>
        <w:gridCol w:w="2976"/>
        <w:gridCol w:w="6526"/>
      </w:tblGrid>
      <w:tr w:rsidR="00440443" w:rsidRPr="00A27C29" w:rsidTr="002F4267">
        <w:tc>
          <w:tcPr>
            <w:tcW w:w="9913" w:type="dxa"/>
            <w:gridSpan w:val="3"/>
            <w:tcBorders>
              <w:top w:val="outset" w:sz="6" w:space="0" w:color="000000"/>
              <w:left w:val="outset" w:sz="6" w:space="0" w:color="000000"/>
              <w:bottom w:val="single" w:sz="12" w:space="0" w:color="auto"/>
              <w:right w:val="outset" w:sz="6" w:space="0" w:color="000000"/>
            </w:tcBorders>
            <w:shd w:val="clear" w:color="auto" w:fill="FFFFFF"/>
            <w:tcMar>
              <w:top w:w="0" w:type="dxa"/>
              <w:left w:w="108" w:type="dxa"/>
              <w:bottom w:w="0" w:type="dxa"/>
              <w:right w:w="108" w:type="dxa"/>
            </w:tcMar>
            <w:hideMark/>
          </w:tcPr>
          <w:p w:rsidR="00440443" w:rsidRPr="00A27C29" w:rsidRDefault="00440443" w:rsidP="002F4267">
            <w:pPr>
              <w:jc w:val="center"/>
              <w:rPr>
                <w:b/>
                <w:bCs/>
              </w:rPr>
            </w:pPr>
            <w:r w:rsidRPr="00A27C29">
              <w:rPr>
                <w:b/>
                <w:bCs/>
              </w:rPr>
              <w:t>VI. Sabiedrības līdzdalība un šīs līdzdalības rezultāti</w:t>
            </w:r>
          </w:p>
        </w:tc>
      </w:tr>
      <w:tr w:rsidR="00440443" w:rsidTr="002F4267">
        <w:trPr>
          <w:trHeight w:val="344"/>
        </w:trPr>
        <w:tc>
          <w:tcPr>
            <w:tcW w:w="411" w:type="dxa"/>
            <w:tcBorders>
              <w:top w:val="outset" w:sz="6" w:space="0" w:color="000000"/>
              <w:left w:val="outset" w:sz="6" w:space="0" w:color="000000"/>
              <w:bottom w:val="outset" w:sz="6" w:space="0" w:color="auto"/>
              <w:right w:val="outset" w:sz="6" w:space="0" w:color="auto"/>
            </w:tcBorders>
            <w:tcMar>
              <w:top w:w="0" w:type="dxa"/>
              <w:left w:w="108" w:type="dxa"/>
              <w:bottom w:w="0" w:type="dxa"/>
              <w:right w:w="108" w:type="dxa"/>
            </w:tcMar>
          </w:tcPr>
          <w:p w:rsidR="00440443" w:rsidRPr="000401B8" w:rsidRDefault="00440443" w:rsidP="002F4267">
            <w:pPr>
              <w:rPr>
                <w:color w:val="000000" w:themeColor="text1"/>
              </w:rPr>
            </w:pPr>
            <w:r w:rsidRPr="000401B8">
              <w:rPr>
                <w:color w:val="000000" w:themeColor="text1"/>
              </w:rPr>
              <w:t>1.</w:t>
            </w:r>
          </w:p>
        </w:tc>
        <w:tc>
          <w:tcPr>
            <w:tcW w:w="2976" w:type="dxa"/>
            <w:tcBorders>
              <w:top w:val="outset" w:sz="6" w:space="0" w:color="000000"/>
              <w:left w:val="outset" w:sz="6" w:space="0" w:color="auto"/>
              <w:bottom w:val="outset" w:sz="6" w:space="0" w:color="auto"/>
              <w:right w:val="outset" w:sz="6" w:space="0" w:color="auto"/>
            </w:tcBorders>
          </w:tcPr>
          <w:p w:rsidR="00440443" w:rsidRPr="000401B8" w:rsidRDefault="00440443" w:rsidP="002F4267">
            <w:pPr>
              <w:rPr>
                <w:color w:val="000000" w:themeColor="text1"/>
              </w:rPr>
            </w:pPr>
            <w:r w:rsidRPr="000401B8">
              <w:rPr>
                <w:color w:val="000000" w:themeColor="text1"/>
              </w:rPr>
              <w:t>Plānotās sabiedrības līdzdalības un komunikācijas aktivitātes saistībā ar projektu</w:t>
            </w:r>
          </w:p>
        </w:tc>
        <w:tc>
          <w:tcPr>
            <w:tcW w:w="6526" w:type="dxa"/>
            <w:vMerge w:val="restart"/>
            <w:tcBorders>
              <w:top w:val="outset" w:sz="6" w:space="0" w:color="000000"/>
              <w:left w:val="outset" w:sz="6" w:space="0" w:color="auto"/>
              <w:right w:val="outset" w:sz="6" w:space="0" w:color="000000"/>
            </w:tcBorders>
            <w:vAlign w:val="center"/>
          </w:tcPr>
          <w:p w:rsidR="00440443" w:rsidRDefault="00440443" w:rsidP="002F4267">
            <w:pPr>
              <w:rPr>
                <w:color w:val="000000" w:themeColor="text1"/>
              </w:rPr>
            </w:pPr>
            <w:r w:rsidRPr="000401B8">
              <w:t>Šāds risinājums apspriests ar Latvijas darba devēju konfederāciju un ar Latvijas tirdzniecības un rūpniecības kameru</w:t>
            </w:r>
            <w:r>
              <w:t>.</w:t>
            </w:r>
          </w:p>
        </w:tc>
      </w:tr>
      <w:tr w:rsidR="00440443" w:rsidRPr="00440443" w:rsidTr="002F4267">
        <w:trPr>
          <w:trHeight w:val="344"/>
        </w:trPr>
        <w:tc>
          <w:tcPr>
            <w:tcW w:w="411" w:type="dxa"/>
            <w:tcBorders>
              <w:top w:val="single" w:sz="12" w:space="0" w:color="auto"/>
              <w:left w:val="outset" w:sz="6" w:space="0" w:color="000000"/>
              <w:bottom w:val="outset" w:sz="6" w:space="0" w:color="auto"/>
              <w:right w:val="outset" w:sz="6" w:space="0" w:color="auto"/>
            </w:tcBorders>
            <w:tcMar>
              <w:top w:w="0" w:type="dxa"/>
              <w:left w:w="108" w:type="dxa"/>
              <w:bottom w:w="0" w:type="dxa"/>
              <w:right w:w="108" w:type="dxa"/>
            </w:tcMar>
            <w:hideMark/>
          </w:tcPr>
          <w:p w:rsidR="00440443" w:rsidRPr="000401B8" w:rsidRDefault="00440443" w:rsidP="002F4267">
            <w:pPr>
              <w:rPr>
                <w:color w:val="000000" w:themeColor="text1"/>
              </w:rPr>
            </w:pPr>
            <w:r w:rsidRPr="000401B8">
              <w:rPr>
                <w:color w:val="000000" w:themeColor="text1"/>
              </w:rPr>
              <w:t>2.</w:t>
            </w:r>
          </w:p>
        </w:tc>
        <w:tc>
          <w:tcPr>
            <w:tcW w:w="2976" w:type="dxa"/>
            <w:tcBorders>
              <w:top w:val="single" w:sz="12" w:space="0" w:color="auto"/>
              <w:left w:val="outset" w:sz="6" w:space="0" w:color="auto"/>
              <w:bottom w:val="outset" w:sz="6" w:space="0" w:color="auto"/>
              <w:right w:val="outset" w:sz="6" w:space="0" w:color="auto"/>
            </w:tcBorders>
          </w:tcPr>
          <w:p w:rsidR="00440443" w:rsidRPr="000401B8" w:rsidRDefault="00440443" w:rsidP="002F4267">
            <w:pPr>
              <w:rPr>
                <w:color w:val="000000" w:themeColor="text1"/>
              </w:rPr>
            </w:pPr>
            <w:r w:rsidRPr="000401B8">
              <w:rPr>
                <w:color w:val="000000" w:themeColor="text1"/>
              </w:rPr>
              <w:t>Sabiedrības līdzdalība projekta izstrādē</w:t>
            </w:r>
          </w:p>
        </w:tc>
        <w:tc>
          <w:tcPr>
            <w:tcW w:w="6526" w:type="dxa"/>
            <w:vMerge/>
            <w:tcBorders>
              <w:left w:val="outset" w:sz="6" w:space="0" w:color="auto"/>
              <w:bottom w:val="outset" w:sz="6" w:space="0" w:color="auto"/>
              <w:right w:val="outset" w:sz="6" w:space="0" w:color="000000"/>
            </w:tcBorders>
          </w:tcPr>
          <w:p w:rsidR="00440443" w:rsidRPr="00440443" w:rsidRDefault="00440443" w:rsidP="002F4267">
            <w:pPr>
              <w:rPr>
                <w:color w:val="000000" w:themeColor="text1"/>
              </w:rPr>
            </w:pPr>
          </w:p>
        </w:tc>
      </w:tr>
      <w:tr w:rsidR="00440443" w:rsidRPr="00440443" w:rsidTr="002F4267">
        <w:trPr>
          <w:trHeight w:val="343"/>
        </w:trPr>
        <w:tc>
          <w:tcPr>
            <w:tcW w:w="411" w:type="dxa"/>
            <w:tcBorders>
              <w:top w:val="outset" w:sz="6" w:space="0" w:color="auto"/>
              <w:left w:val="outset" w:sz="6" w:space="0" w:color="000000"/>
              <w:bottom w:val="outset" w:sz="6" w:space="0" w:color="auto"/>
              <w:right w:val="outset" w:sz="6" w:space="0" w:color="auto"/>
            </w:tcBorders>
            <w:tcMar>
              <w:top w:w="0" w:type="dxa"/>
              <w:left w:w="108" w:type="dxa"/>
              <w:bottom w:w="0" w:type="dxa"/>
              <w:right w:w="108" w:type="dxa"/>
            </w:tcMar>
          </w:tcPr>
          <w:p w:rsidR="00440443" w:rsidRPr="000401B8" w:rsidRDefault="00440443" w:rsidP="002F4267">
            <w:pPr>
              <w:rPr>
                <w:color w:val="000000" w:themeColor="text1"/>
              </w:rPr>
            </w:pPr>
            <w:r w:rsidRPr="000401B8">
              <w:rPr>
                <w:color w:val="000000" w:themeColor="text1"/>
              </w:rPr>
              <w:t>3.</w:t>
            </w:r>
          </w:p>
        </w:tc>
        <w:tc>
          <w:tcPr>
            <w:tcW w:w="2976" w:type="dxa"/>
            <w:tcBorders>
              <w:top w:val="outset" w:sz="6" w:space="0" w:color="auto"/>
              <w:left w:val="outset" w:sz="6" w:space="0" w:color="auto"/>
              <w:bottom w:val="outset" w:sz="6" w:space="0" w:color="auto"/>
              <w:right w:val="outset" w:sz="6" w:space="0" w:color="auto"/>
            </w:tcBorders>
          </w:tcPr>
          <w:p w:rsidR="00440443" w:rsidRPr="000401B8" w:rsidRDefault="00440443" w:rsidP="002F4267">
            <w:pPr>
              <w:rPr>
                <w:color w:val="000000" w:themeColor="text1"/>
              </w:rPr>
            </w:pPr>
            <w:r w:rsidRPr="000401B8">
              <w:rPr>
                <w:color w:val="000000" w:themeColor="text1"/>
              </w:rPr>
              <w:t>Sabiedrības līdzdalības rezultāti</w:t>
            </w:r>
          </w:p>
        </w:tc>
        <w:tc>
          <w:tcPr>
            <w:tcW w:w="6526" w:type="dxa"/>
            <w:tcBorders>
              <w:top w:val="outset" w:sz="6" w:space="0" w:color="auto"/>
              <w:left w:val="outset" w:sz="6" w:space="0" w:color="auto"/>
              <w:bottom w:val="outset" w:sz="6" w:space="0" w:color="auto"/>
              <w:right w:val="outset" w:sz="6" w:space="0" w:color="000000"/>
            </w:tcBorders>
          </w:tcPr>
          <w:p w:rsidR="00440443" w:rsidRPr="00440443" w:rsidRDefault="00440443" w:rsidP="002F4267">
            <w:pPr>
              <w:rPr>
                <w:color w:val="000000" w:themeColor="text1"/>
              </w:rPr>
            </w:pPr>
            <w:r w:rsidRPr="000401B8">
              <w:t>Latvijas darba devēju konfederāciju un Latvijas tir</w:t>
            </w:r>
            <w:r>
              <w:t>dzniecības un rūpniecības kamera atbalsta šādu risinājumu.</w:t>
            </w:r>
          </w:p>
        </w:tc>
      </w:tr>
      <w:tr w:rsidR="00440443" w:rsidRPr="00440443" w:rsidTr="002F4267">
        <w:trPr>
          <w:trHeight w:val="343"/>
        </w:trPr>
        <w:tc>
          <w:tcPr>
            <w:tcW w:w="411" w:type="dxa"/>
            <w:tcBorders>
              <w:top w:val="outset" w:sz="6" w:space="0" w:color="auto"/>
              <w:left w:val="outset" w:sz="6" w:space="0" w:color="000000"/>
              <w:bottom w:val="outset" w:sz="6" w:space="0" w:color="000000"/>
              <w:right w:val="outset" w:sz="6" w:space="0" w:color="auto"/>
            </w:tcBorders>
            <w:tcMar>
              <w:top w:w="0" w:type="dxa"/>
              <w:left w:w="108" w:type="dxa"/>
              <w:bottom w:w="0" w:type="dxa"/>
              <w:right w:w="108" w:type="dxa"/>
            </w:tcMar>
          </w:tcPr>
          <w:p w:rsidR="00440443" w:rsidRPr="000401B8" w:rsidRDefault="00440443" w:rsidP="002F4267">
            <w:pPr>
              <w:rPr>
                <w:color w:val="000000" w:themeColor="text1"/>
              </w:rPr>
            </w:pPr>
            <w:r w:rsidRPr="000401B8">
              <w:rPr>
                <w:color w:val="000000" w:themeColor="text1"/>
              </w:rPr>
              <w:t>4.</w:t>
            </w:r>
          </w:p>
        </w:tc>
        <w:tc>
          <w:tcPr>
            <w:tcW w:w="2976" w:type="dxa"/>
            <w:tcBorders>
              <w:top w:val="outset" w:sz="6" w:space="0" w:color="auto"/>
              <w:left w:val="outset" w:sz="6" w:space="0" w:color="auto"/>
              <w:bottom w:val="outset" w:sz="6" w:space="0" w:color="000000"/>
              <w:right w:val="outset" w:sz="6" w:space="0" w:color="auto"/>
            </w:tcBorders>
          </w:tcPr>
          <w:p w:rsidR="00440443" w:rsidRPr="000401B8" w:rsidRDefault="00440443" w:rsidP="002F4267">
            <w:pPr>
              <w:rPr>
                <w:color w:val="000000" w:themeColor="text1"/>
              </w:rPr>
            </w:pPr>
            <w:r w:rsidRPr="000401B8">
              <w:rPr>
                <w:color w:val="000000" w:themeColor="text1"/>
              </w:rPr>
              <w:t>Cita informācija</w:t>
            </w:r>
          </w:p>
        </w:tc>
        <w:tc>
          <w:tcPr>
            <w:tcW w:w="6526" w:type="dxa"/>
            <w:tcBorders>
              <w:top w:val="outset" w:sz="6" w:space="0" w:color="auto"/>
              <w:left w:val="outset" w:sz="6" w:space="0" w:color="auto"/>
              <w:bottom w:val="outset" w:sz="6" w:space="0" w:color="000000"/>
              <w:right w:val="outset" w:sz="6" w:space="0" w:color="000000"/>
            </w:tcBorders>
          </w:tcPr>
          <w:p w:rsidR="00440443" w:rsidRPr="00440443" w:rsidRDefault="00440443" w:rsidP="002F4267">
            <w:pPr>
              <w:spacing w:before="100" w:beforeAutospacing="1" w:after="100" w:afterAutospacing="1" w:line="360" w:lineRule="auto"/>
              <w:rPr>
                <w:color w:val="000000" w:themeColor="text1"/>
              </w:rPr>
            </w:pPr>
            <w:r>
              <w:rPr>
                <w:color w:val="000000" w:themeColor="text1"/>
              </w:rPr>
              <w:t>Nav</w:t>
            </w:r>
          </w:p>
        </w:tc>
      </w:tr>
    </w:tbl>
    <w:p w:rsidR="00440443" w:rsidRDefault="00440443" w:rsidP="00440443"/>
    <w:tbl>
      <w:tblPr>
        <w:tblW w:w="9913" w:type="dxa"/>
        <w:shd w:val="clear" w:color="auto" w:fill="FFFFFF"/>
        <w:tblCellMar>
          <w:left w:w="0" w:type="dxa"/>
          <w:right w:w="0" w:type="dxa"/>
        </w:tblCellMar>
        <w:tblLook w:val="04A0" w:firstRow="1" w:lastRow="0" w:firstColumn="1" w:lastColumn="0" w:noHBand="0" w:noVBand="1"/>
      </w:tblPr>
      <w:tblGrid>
        <w:gridCol w:w="9913"/>
      </w:tblGrid>
      <w:tr w:rsidR="00440443" w:rsidRPr="00A27C29" w:rsidTr="002F4267">
        <w:tc>
          <w:tcPr>
            <w:tcW w:w="991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440443" w:rsidRPr="00A27C29" w:rsidRDefault="00440443" w:rsidP="002F4267">
            <w:pPr>
              <w:ind w:left="57" w:right="57"/>
              <w:jc w:val="center"/>
              <w:rPr>
                <w:b/>
                <w:bCs/>
              </w:rPr>
            </w:pPr>
            <w:r w:rsidRPr="00A27C29">
              <w:rPr>
                <w:b/>
                <w:bCs/>
              </w:rPr>
              <w:t>VII. Tiesību akta projekta izpildes nodrošināšana un tās ietekme uz institūcijām</w:t>
            </w:r>
          </w:p>
        </w:tc>
      </w:tr>
      <w:tr w:rsidR="00440443" w:rsidRPr="00A27C29" w:rsidTr="002F4267">
        <w:trPr>
          <w:trHeight w:val="280"/>
        </w:trPr>
        <w:tc>
          <w:tcPr>
            <w:tcW w:w="9913"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440443" w:rsidRPr="002C21F0" w:rsidRDefault="00440443" w:rsidP="002F4267">
            <w:pPr>
              <w:ind w:right="57"/>
              <w:jc w:val="center"/>
              <w:rPr>
                <w:b/>
                <w:bCs/>
                <w:i/>
              </w:rPr>
            </w:pPr>
            <w:r w:rsidRPr="002C21F0">
              <w:rPr>
                <w:i/>
              </w:rPr>
              <w:t>Projekts šo jomu neskar.</w:t>
            </w:r>
          </w:p>
        </w:tc>
      </w:tr>
    </w:tbl>
    <w:p w:rsidR="00440443" w:rsidRDefault="00440443" w:rsidP="00440443"/>
    <w:p w:rsidR="00440443" w:rsidRPr="00C962CC" w:rsidRDefault="00440443" w:rsidP="00440443">
      <w:pPr>
        <w:tabs>
          <w:tab w:val="left" w:pos="5940"/>
        </w:tabs>
        <w:rPr>
          <w:color w:val="000000" w:themeColor="text1"/>
        </w:rPr>
      </w:pPr>
    </w:p>
    <w:p w:rsidR="00440443" w:rsidRPr="00A516FF" w:rsidRDefault="00440443" w:rsidP="00440443">
      <w:pPr>
        <w:tabs>
          <w:tab w:val="left" w:pos="7371"/>
        </w:tabs>
        <w:jc w:val="both"/>
        <w:rPr>
          <w:sz w:val="28"/>
          <w:szCs w:val="28"/>
        </w:rPr>
      </w:pPr>
      <w:r w:rsidRPr="00A516FF">
        <w:rPr>
          <w:sz w:val="28"/>
          <w:szCs w:val="28"/>
        </w:rPr>
        <w:t>Ministru prezidenta biedrs,</w:t>
      </w:r>
    </w:p>
    <w:p w:rsidR="00440443" w:rsidRPr="00A516FF" w:rsidRDefault="00440443" w:rsidP="00440443">
      <w:pPr>
        <w:pStyle w:val="NormalWeb"/>
        <w:shd w:val="clear" w:color="auto" w:fill="FFFFFF"/>
        <w:tabs>
          <w:tab w:val="left" w:pos="8080"/>
        </w:tabs>
        <w:spacing w:before="0" w:beforeAutospacing="0" w:after="0" w:afterAutospacing="0" w:line="293" w:lineRule="atLeast"/>
        <w:jc w:val="both"/>
        <w:rPr>
          <w:sz w:val="28"/>
          <w:szCs w:val="28"/>
        </w:rPr>
      </w:pPr>
      <w:r w:rsidRPr="00A516FF">
        <w:rPr>
          <w:sz w:val="28"/>
          <w:szCs w:val="28"/>
        </w:rPr>
        <w:t>ekonomikas ministrs</w:t>
      </w:r>
      <w:r>
        <w:rPr>
          <w:sz w:val="28"/>
          <w:szCs w:val="28"/>
        </w:rPr>
        <w:tab/>
      </w:r>
      <w:r w:rsidRPr="00A516FF">
        <w:rPr>
          <w:sz w:val="28"/>
          <w:szCs w:val="28"/>
        </w:rPr>
        <w:t>A.Ašeradens</w:t>
      </w:r>
    </w:p>
    <w:p w:rsidR="00440443" w:rsidRDefault="00440443" w:rsidP="00440443">
      <w:pPr>
        <w:jc w:val="both"/>
        <w:rPr>
          <w:sz w:val="28"/>
          <w:szCs w:val="28"/>
        </w:rPr>
      </w:pPr>
    </w:p>
    <w:p w:rsidR="00440443" w:rsidRDefault="00440443" w:rsidP="00440443">
      <w:pPr>
        <w:jc w:val="both"/>
        <w:rPr>
          <w:sz w:val="28"/>
          <w:szCs w:val="28"/>
        </w:rPr>
      </w:pPr>
    </w:p>
    <w:p w:rsidR="00440443" w:rsidRPr="00A516FF" w:rsidRDefault="00440443" w:rsidP="00440443">
      <w:pPr>
        <w:tabs>
          <w:tab w:val="left" w:pos="7655"/>
        </w:tabs>
        <w:jc w:val="both"/>
        <w:rPr>
          <w:sz w:val="28"/>
          <w:szCs w:val="28"/>
        </w:rPr>
      </w:pPr>
      <w:r w:rsidRPr="00A516FF">
        <w:rPr>
          <w:sz w:val="28"/>
          <w:szCs w:val="28"/>
        </w:rPr>
        <w:t>Valsts sekretār</w:t>
      </w:r>
      <w:r>
        <w:rPr>
          <w:sz w:val="28"/>
          <w:szCs w:val="28"/>
        </w:rPr>
        <w:t>s</w:t>
      </w:r>
      <w:r>
        <w:rPr>
          <w:sz w:val="28"/>
          <w:szCs w:val="28"/>
        </w:rPr>
        <w:tab/>
      </w:r>
      <w:r>
        <w:rPr>
          <w:sz w:val="28"/>
          <w:szCs w:val="28"/>
        </w:rPr>
        <w:tab/>
        <w:t>J.Stinka</w:t>
      </w:r>
    </w:p>
    <w:p w:rsidR="00440443" w:rsidRDefault="00440443" w:rsidP="00440443">
      <w:pPr>
        <w:pStyle w:val="NormalWeb"/>
        <w:spacing w:before="0" w:beforeAutospacing="0" w:after="0" w:afterAutospacing="0"/>
        <w:jc w:val="both"/>
        <w:rPr>
          <w:color w:val="000000" w:themeColor="text1"/>
          <w:sz w:val="28"/>
          <w:szCs w:val="28"/>
        </w:rPr>
      </w:pPr>
    </w:p>
    <w:p w:rsidR="00440443" w:rsidRDefault="00440443" w:rsidP="00440443">
      <w:pPr>
        <w:pStyle w:val="NormalWeb"/>
        <w:spacing w:before="0" w:beforeAutospacing="0" w:after="0" w:afterAutospacing="0"/>
        <w:jc w:val="both"/>
        <w:rPr>
          <w:color w:val="000000" w:themeColor="text1"/>
          <w:sz w:val="28"/>
          <w:szCs w:val="28"/>
        </w:rPr>
      </w:pPr>
    </w:p>
    <w:p w:rsidR="00440443" w:rsidRDefault="00440443" w:rsidP="00440443">
      <w:pPr>
        <w:pStyle w:val="NormalWeb"/>
        <w:spacing w:before="0" w:beforeAutospacing="0" w:after="0" w:afterAutospacing="0"/>
        <w:jc w:val="both"/>
        <w:rPr>
          <w:color w:val="000000" w:themeColor="text1"/>
          <w:sz w:val="28"/>
          <w:szCs w:val="28"/>
        </w:rPr>
      </w:pPr>
    </w:p>
    <w:p w:rsidR="00440443" w:rsidRPr="005C44D3" w:rsidRDefault="00974A34" w:rsidP="00440443">
      <w:pPr>
        <w:jc w:val="both"/>
        <w:rPr>
          <w:color w:val="000000" w:themeColor="text1"/>
          <w:sz w:val="20"/>
          <w:szCs w:val="20"/>
        </w:rPr>
      </w:pPr>
      <w:r>
        <w:rPr>
          <w:color w:val="000000" w:themeColor="text1"/>
          <w:sz w:val="20"/>
          <w:szCs w:val="20"/>
        </w:rPr>
        <w:t>2</w:t>
      </w:r>
      <w:r w:rsidR="00125096">
        <w:rPr>
          <w:color w:val="000000" w:themeColor="text1"/>
          <w:sz w:val="20"/>
          <w:szCs w:val="20"/>
        </w:rPr>
        <w:t>6</w:t>
      </w:r>
      <w:r w:rsidR="00440443">
        <w:rPr>
          <w:color w:val="000000" w:themeColor="text1"/>
          <w:sz w:val="20"/>
          <w:szCs w:val="20"/>
        </w:rPr>
        <w:t>.09.2016</w:t>
      </w:r>
      <w:r w:rsidR="00440443" w:rsidRPr="005C44D3">
        <w:rPr>
          <w:color w:val="000000" w:themeColor="text1"/>
          <w:sz w:val="20"/>
          <w:szCs w:val="20"/>
        </w:rPr>
        <w:t xml:space="preserve">. </w:t>
      </w:r>
      <w:r w:rsidR="00125096">
        <w:rPr>
          <w:color w:val="000000" w:themeColor="text1"/>
          <w:sz w:val="20"/>
          <w:szCs w:val="20"/>
        </w:rPr>
        <w:t>15</w:t>
      </w:r>
      <w:r w:rsidR="003C52C7">
        <w:rPr>
          <w:color w:val="000000" w:themeColor="text1"/>
          <w:sz w:val="20"/>
          <w:szCs w:val="20"/>
        </w:rPr>
        <w:t>:</w:t>
      </w:r>
      <w:r w:rsidR="00B80E33">
        <w:rPr>
          <w:color w:val="000000" w:themeColor="text1"/>
          <w:sz w:val="20"/>
          <w:szCs w:val="20"/>
        </w:rPr>
        <w:t>20</w:t>
      </w:r>
      <w:bookmarkStart w:id="0" w:name="_GoBack"/>
      <w:bookmarkEnd w:id="0"/>
    </w:p>
    <w:p w:rsidR="00440443" w:rsidRPr="005C44D3" w:rsidRDefault="00F976C1" w:rsidP="00440443">
      <w:pPr>
        <w:pStyle w:val="NormalWeb"/>
        <w:spacing w:before="0" w:beforeAutospacing="0" w:after="0" w:afterAutospacing="0"/>
        <w:jc w:val="both"/>
        <w:rPr>
          <w:color w:val="000000" w:themeColor="text1"/>
          <w:sz w:val="20"/>
          <w:szCs w:val="20"/>
        </w:rPr>
      </w:pPr>
      <w:r>
        <w:rPr>
          <w:color w:val="000000" w:themeColor="text1"/>
          <w:sz w:val="20"/>
          <w:szCs w:val="20"/>
        </w:rPr>
        <w:t>9</w:t>
      </w:r>
      <w:r w:rsidR="00125096">
        <w:rPr>
          <w:color w:val="000000" w:themeColor="text1"/>
          <w:sz w:val="20"/>
          <w:szCs w:val="20"/>
        </w:rPr>
        <w:t>40</w:t>
      </w:r>
    </w:p>
    <w:p w:rsidR="00440443" w:rsidRDefault="00440443" w:rsidP="00440443">
      <w:pPr>
        <w:pStyle w:val="NormalWeb"/>
        <w:spacing w:before="0" w:beforeAutospacing="0" w:after="0" w:afterAutospacing="0"/>
        <w:jc w:val="both"/>
        <w:rPr>
          <w:color w:val="000000" w:themeColor="text1"/>
          <w:sz w:val="20"/>
          <w:szCs w:val="20"/>
        </w:rPr>
      </w:pPr>
      <w:r>
        <w:rPr>
          <w:color w:val="000000" w:themeColor="text1"/>
          <w:sz w:val="20"/>
          <w:szCs w:val="20"/>
        </w:rPr>
        <w:t>H.Skarbnieks, 67013226</w:t>
      </w:r>
    </w:p>
    <w:p w:rsidR="00440443" w:rsidRDefault="00440443" w:rsidP="00440443">
      <w:r>
        <w:rPr>
          <w:color w:val="000000" w:themeColor="text1"/>
          <w:sz w:val="20"/>
          <w:szCs w:val="20"/>
        </w:rPr>
        <w:t>Haralds.Skarbnieks@em.gov.lv</w:t>
      </w:r>
    </w:p>
    <w:p w:rsidR="00A27C29" w:rsidRPr="00440443" w:rsidRDefault="00A27C29" w:rsidP="00440443"/>
    <w:sectPr w:rsidR="00A27C29" w:rsidRPr="00440443" w:rsidSect="009970FD">
      <w:headerReference w:type="even" r:id="rId8"/>
      <w:headerReference w:type="default" r:id="rId9"/>
      <w:footerReference w:type="default" r:id="rId10"/>
      <w:footerReference w:type="first" r:id="rId11"/>
      <w:pgSz w:w="11906" w:h="16838"/>
      <w:pgMar w:top="1134" w:right="794"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AD" w:rsidRDefault="004658AD">
      <w:r>
        <w:separator/>
      </w:r>
    </w:p>
  </w:endnote>
  <w:endnote w:type="continuationSeparator" w:id="0">
    <w:p w:rsidR="004658AD" w:rsidRDefault="0046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Nimbus Sans L">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846" w:rsidRPr="00483194" w:rsidRDefault="00483194" w:rsidP="00483194">
    <w:pPr>
      <w:jc w:val="both"/>
      <w:outlineLvl w:val="0"/>
    </w:pPr>
    <w:r w:rsidRPr="00483194">
      <w:rPr>
        <w:color w:val="000000" w:themeColor="text1"/>
        <w:sz w:val="20"/>
        <w:szCs w:val="20"/>
      </w:rPr>
      <w:t>EMAnot_</w:t>
    </w:r>
    <w:r w:rsidR="00F976C1">
      <w:rPr>
        <w:color w:val="000000" w:themeColor="text1"/>
        <w:sz w:val="20"/>
        <w:szCs w:val="20"/>
      </w:rPr>
      <w:t>2</w:t>
    </w:r>
    <w:r w:rsidR="00125096">
      <w:rPr>
        <w:color w:val="000000" w:themeColor="text1"/>
        <w:sz w:val="20"/>
        <w:szCs w:val="20"/>
      </w:rPr>
      <w:t>6</w:t>
    </w:r>
    <w:r w:rsidR="00B532B7">
      <w:rPr>
        <w:color w:val="000000" w:themeColor="text1"/>
        <w:sz w:val="20"/>
        <w:szCs w:val="20"/>
      </w:rPr>
      <w:t>09</w:t>
    </w:r>
    <w:r w:rsidR="00950702" w:rsidRPr="00483194">
      <w:rPr>
        <w:color w:val="000000" w:themeColor="text1"/>
        <w:sz w:val="20"/>
        <w:szCs w:val="20"/>
      </w:rPr>
      <w:t>1</w:t>
    </w:r>
    <w:r w:rsidR="009970FD">
      <w:rPr>
        <w:color w:val="000000" w:themeColor="text1"/>
        <w:sz w:val="20"/>
        <w:szCs w:val="20"/>
      </w:rPr>
      <w:t>6</w:t>
    </w:r>
    <w:r w:rsidRPr="00483194">
      <w:rPr>
        <w:color w:val="000000" w:themeColor="text1"/>
        <w:sz w:val="20"/>
        <w:szCs w:val="20"/>
      </w:rPr>
      <w:t>_</w:t>
    </w:r>
    <w:r w:rsidR="00B532B7">
      <w:rPr>
        <w:color w:val="000000" w:themeColor="text1"/>
        <w:sz w:val="20"/>
        <w:szCs w:val="20"/>
      </w:rPr>
      <w:t>ETL</w:t>
    </w:r>
    <w:r w:rsidRPr="00483194">
      <w:rPr>
        <w:color w:val="000000" w:themeColor="text1"/>
        <w:sz w:val="20"/>
        <w:szCs w:val="20"/>
      </w:rPr>
      <w:t>; Likumprojekta „</w:t>
    </w:r>
    <w:r w:rsidR="009970FD">
      <w:rPr>
        <w:color w:val="000000" w:themeColor="text1"/>
        <w:sz w:val="20"/>
        <w:szCs w:val="20"/>
      </w:rPr>
      <w:t>Grozījum</w:t>
    </w:r>
    <w:r w:rsidR="00B532B7">
      <w:rPr>
        <w:color w:val="000000" w:themeColor="text1"/>
        <w:sz w:val="20"/>
        <w:szCs w:val="20"/>
      </w:rPr>
      <w:t>i</w:t>
    </w:r>
    <w:r w:rsidR="009970FD">
      <w:rPr>
        <w:color w:val="000000" w:themeColor="text1"/>
        <w:sz w:val="20"/>
        <w:szCs w:val="20"/>
      </w:rPr>
      <w:t xml:space="preserve"> </w:t>
    </w:r>
    <w:r w:rsidR="00B532B7">
      <w:rPr>
        <w:color w:val="000000" w:themeColor="text1"/>
        <w:sz w:val="20"/>
        <w:szCs w:val="20"/>
      </w:rPr>
      <w:t>Elektroenerģijas tirgus likumā</w:t>
    </w:r>
    <w:r w:rsidRPr="00483194">
      <w:rPr>
        <w:color w:val="000000" w:themeColor="text1"/>
        <w:sz w:val="20"/>
        <w:szCs w:val="20"/>
      </w:rPr>
      <w:t xml:space="preserve">” </w:t>
    </w:r>
    <w:r w:rsidRPr="00483194">
      <w:rPr>
        <w:bCs/>
        <w:color w:val="000000" w:themeColor="text1"/>
        <w:sz w:val="20"/>
        <w:szCs w:val="20"/>
      </w:rPr>
      <w:t xml:space="preserve">sākotnējās ietekmes novērtējuma </w:t>
    </w:r>
    <w:smartTag w:uri="schemas-tilde-lv/tildestengine" w:element="veidnes">
      <w:smartTagPr>
        <w:attr w:name="text" w:val="ziņojums"/>
        <w:attr w:name="baseform" w:val="ziņojums"/>
        <w:attr w:name="id" w:val="-1"/>
      </w:smartTagPr>
      <w:r w:rsidRPr="00483194">
        <w:rPr>
          <w:bCs/>
          <w:color w:val="000000" w:themeColor="text1"/>
          <w:sz w:val="20"/>
          <w:szCs w:val="20"/>
        </w:rPr>
        <w:t>ziņojums</w:t>
      </w:r>
    </w:smartTag>
    <w:r w:rsidRPr="00483194">
      <w:rPr>
        <w:bCs/>
        <w:color w:val="000000" w:themeColor="text1"/>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94" w:rsidRPr="00A27C29" w:rsidRDefault="005444C1" w:rsidP="00483194">
    <w:pPr>
      <w:jc w:val="both"/>
      <w:outlineLvl w:val="0"/>
      <w:rPr>
        <w:bCs/>
        <w:color w:val="000000" w:themeColor="text1"/>
        <w:sz w:val="20"/>
        <w:szCs w:val="20"/>
      </w:rPr>
    </w:pPr>
    <w:r w:rsidRPr="00A27C29">
      <w:rPr>
        <w:color w:val="000000" w:themeColor="text1"/>
        <w:sz w:val="20"/>
        <w:szCs w:val="20"/>
      </w:rPr>
      <w:t>EMAnot_</w:t>
    </w:r>
    <w:r w:rsidR="00EE77AD" w:rsidRPr="00A27C29">
      <w:rPr>
        <w:color w:val="000000" w:themeColor="text1"/>
        <w:sz w:val="20"/>
        <w:szCs w:val="20"/>
      </w:rPr>
      <w:t>2</w:t>
    </w:r>
    <w:r w:rsidR="009970FD">
      <w:rPr>
        <w:color w:val="000000" w:themeColor="text1"/>
        <w:sz w:val="20"/>
        <w:szCs w:val="20"/>
      </w:rPr>
      <w:t>4</w:t>
    </w:r>
    <w:r w:rsidR="00950702" w:rsidRPr="00A27C29">
      <w:rPr>
        <w:color w:val="000000" w:themeColor="text1"/>
        <w:sz w:val="20"/>
        <w:szCs w:val="20"/>
      </w:rPr>
      <w:t>0</w:t>
    </w:r>
    <w:r w:rsidR="00A27C29" w:rsidRPr="00A27C29">
      <w:rPr>
        <w:color w:val="000000" w:themeColor="text1"/>
        <w:sz w:val="20"/>
        <w:szCs w:val="20"/>
      </w:rPr>
      <w:t>316</w:t>
    </w:r>
    <w:r w:rsidRPr="00A27C29">
      <w:rPr>
        <w:color w:val="000000" w:themeColor="text1"/>
        <w:sz w:val="20"/>
        <w:szCs w:val="20"/>
      </w:rPr>
      <w:t>_</w:t>
    </w:r>
    <w:r w:rsidR="00483194" w:rsidRPr="00A27C29">
      <w:rPr>
        <w:color w:val="000000" w:themeColor="text1"/>
        <w:sz w:val="20"/>
        <w:szCs w:val="20"/>
      </w:rPr>
      <w:t>SEN</w:t>
    </w:r>
    <w:r w:rsidRPr="00A27C29">
      <w:rPr>
        <w:color w:val="000000" w:themeColor="text1"/>
        <w:sz w:val="20"/>
        <w:szCs w:val="20"/>
      </w:rPr>
      <w:t xml:space="preserve">; </w:t>
    </w:r>
    <w:r w:rsidR="00A27C29" w:rsidRPr="00A27C29">
      <w:rPr>
        <w:color w:val="000000" w:themeColor="text1"/>
        <w:sz w:val="20"/>
        <w:szCs w:val="20"/>
      </w:rPr>
      <w:t>Likumprojekta „Grozījum</w:t>
    </w:r>
    <w:r w:rsidR="009970FD">
      <w:rPr>
        <w:color w:val="000000" w:themeColor="text1"/>
        <w:sz w:val="20"/>
        <w:szCs w:val="20"/>
      </w:rPr>
      <w:t>s</w:t>
    </w:r>
    <w:r w:rsidR="00A27C29" w:rsidRPr="00A27C29">
      <w:rPr>
        <w:color w:val="000000" w:themeColor="text1"/>
        <w:sz w:val="20"/>
        <w:szCs w:val="20"/>
      </w:rPr>
      <w:t xml:space="preserve"> Subsidētās elektroenerģijas nodokļa likumā” </w:t>
    </w:r>
    <w:r w:rsidR="00A27C29" w:rsidRPr="00A27C29">
      <w:rPr>
        <w:bCs/>
        <w:color w:val="000000" w:themeColor="text1"/>
        <w:sz w:val="20"/>
        <w:szCs w:val="20"/>
      </w:rPr>
      <w:t xml:space="preserve">sākotnējās ietekmes novērtējuma </w:t>
    </w:r>
    <w:smartTag w:uri="schemas-tilde-lv/tildestengine" w:element="veidnes">
      <w:smartTagPr>
        <w:attr w:name="text" w:val="ziņojums"/>
        <w:attr w:name="baseform" w:val="ziņojums"/>
        <w:attr w:name="id" w:val="-1"/>
      </w:smartTagPr>
      <w:r w:rsidR="00A27C29" w:rsidRPr="00A27C29">
        <w:rPr>
          <w:bCs/>
          <w:color w:val="000000" w:themeColor="text1"/>
          <w:sz w:val="20"/>
          <w:szCs w:val="20"/>
        </w:rPr>
        <w:t>ziņojums</w:t>
      </w:r>
    </w:smartTag>
    <w:r w:rsidR="00A27C29" w:rsidRPr="00A27C29">
      <w:rPr>
        <w:bCs/>
        <w:color w:val="000000" w:themeColor="text1"/>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AD" w:rsidRDefault="004658AD">
      <w:r>
        <w:separator/>
      </w:r>
    </w:p>
  </w:footnote>
  <w:footnote w:type="continuationSeparator" w:id="0">
    <w:p w:rsidR="004658AD" w:rsidRDefault="0046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846" w:rsidRDefault="00572FC3" w:rsidP="000D7206">
    <w:pPr>
      <w:pStyle w:val="Header"/>
      <w:framePr w:wrap="around" w:vAnchor="text" w:hAnchor="margin" w:xAlign="center" w:y="1"/>
      <w:rPr>
        <w:rStyle w:val="PageNumber"/>
      </w:rPr>
    </w:pPr>
    <w:r>
      <w:rPr>
        <w:rStyle w:val="PageNumber"/>
      </w:rPr>
      <w:fldChar w:fldCharType="begin"/>
    </w:r>
    <w:r w:rsidR="00802846">
      <w:rPr>
        <w:rStyle w:val="PageNumber"/>
      </w:rPr>
      <w:instrText xml:space="preserve">PAGE  </w:instrText>
    </w:r>
    <w:r>
      <w:rPr>
        <w:rStyle w:val="PageNumber"/>
      </w:rPr>
      <w:fldChar w:fldCharType="separate"/>
    </w:r>
    <w:r w:rsidR="00802846">
      <w:rPr>
        <w:rStyle w:val="PageNumber"/>
        <w:noProof/>
      </w:rPr>
      <w:t>10</w:t>
    </w:r>
    <w:r>
      <w:rPr>
        <w:rStyle w:val="PageNumber"/>
      </w:rPr>
      <w:fldChar w:fldCharType="end"/>
    </w:r>
  </w:p>
  <w:p w:rsidR="00802846" w:rsidRDefault="00802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846" w:rsidRPr="00DB073B" w:rsidRDefault="00572FC3" w:rsidP="000D7206">
    <w:pPr>
      <w:pStyle w:val="Header"/>
      <w:framePr w:wrap="around" w:vAnchor="text" w:hAnchor="margin" w:xAlign="center" w:y="1"/>
      <w:rPr>
        <w:rStyle w:val="PageNumber"/>
        <w:sz w:val="20"/>
        <w:szCs w:val="20"/>
      </w:rPr>
    </w:pPr>
    <w:r w:rsidRPr="00DB073B">
      <w:rPr>
        <w:rStyle w:val="PageNumber"/>
        <w:sz w:val="20"/>
        <w:szCs w:val="20"/>
      </w:rPr>
      <w:fldChar w:fldCharType="begin"/>
    </w:r>
    <w:r w:rsidR="00802846" w:rsidRPr="00DB073B">
      <w:rPr>
        <w:rStyle w:val="PageNumber"/>
        <w:sz w:val="20"/>
        <w:szCs w:val="20"/>
      </w:rPr>
      <w:instrText xml:space="preserve">PAGE  </w:instrText>
    </w:r>
    <w:r w:rsidRPr="00DB073B">
      <w:rPr>
        <w:rStyle w:val="PageNumber"/>
        <w:sz w:val="20"/>
        <w:szCs w:val="20"/>
      </w:rPr>
      <w:fldChar w:fldCharType="separate"/>
    </w:r>
    <w:r w:rsidR="00B80E33">
      <w:rPr>
        <w:rStyle w:val="PageNumber"/>
        <w:noProof/>
        <w:sz w:val="20"/>
        <w:szCs w:val="20"/>
      </w:rPr>
      <w:t>4</w:t>
    </w:r>
    <w:r w:rsidRPr="00DB073B">
      <w:rPr>
        <w:rStyle w:val="PageNumber"/>
        <w:sz w:val="20"/>
        <w:szCs w:val="20"/>
      </w:rPr>
      <w:fldChar w:fldCharType="end"/>
    </w:r>
  </w:p>
  <w:p w:rsidR="00802846" w:rsidRDefault="00802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2334D"/>
    <w:multiLevelType w:val="hybridMultilevel"/>
    <w:tmpl w:val="9D288A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BF02D5"/>
    <w:multiLevelType w:val="hybridMultilevel"/>
    <w:tmpl w:val="C13482EE"/>
    <w:lvl w:ilvl="0" w:tplc="CEB6D93E">
      <w:start w:val="201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717F5A8A"/>
    <w:multiLevelType w:val="hybridMultilevel"/>
    <w:tmpl w:val="924A858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06"/>
    <w:rsid w:val="00000B6E"/>
    <w:rsid w:val="0000249B"/>
    <w:rsid w:val="000052F5"/>
    <w:rsid w:val="00014154"/>
    <w:rsid w:val="000306C7"/>
    <w:rsid w:val="00030BAC"/>
    <w:rsid w:val="00031170"/>
    <w:rsid w:val="000332A5"/>
    <w:rsid w:val="00033EBA"/>
    <w:rsid w:val="00035B7C"/>
    <w:rsid w:val="00037148"/>
    <w:rsid w:val="00040C06"/>
    <w:rsid w:val="00041708"/>
    <w:rsid w:val="00050B65"/>
    <w:rsid w:val="00050EC4"/>
    <w:rsid w:val="0005606F"/>
    <w:rsid w:val="00056BC9"/>
    <w:rsid w:val="00065296"/>
    <w:rsid w:val="00072A95"/>
    <w:rsid w:val="00072B35"/>
    <w:rsid w:val="00073859"/>
    <w:rsid w:val="00073C58"/>
    <w:rsid w:val="00075C8C"/>
    <w:rsid w:val="00083596"/>
    <w:rsid w:val="00086DB6"/>
    <w:rsid w:val="00087F4D"/>
    <w:rsid w:val="00090C29"/>
    <w:rsid w:val="00091195"/>
    <w:rsid w:val="00095324"/>
    <w:rsid w:val="000A1CE3"/>
    <w:rsid w:val="000A1DEA"/>
    <w:rsid w:val="000A26DE"/>
    <w:rsid w:val="000A5A35"/>
    <w:rsid w:val="000B0CEC"/>
    <w:rsid w:val="000B1B0A"/>
    <w:rsid w:val="000D0A3B"/>
    <w:rsid w:val="000D4C99"/>
    <w:rsid w:val="000D50CB"/>
    <w:rsid w:val="000D7206"/>
    <w:rsid w:val="000E0469"/>
    <w:rsid w:val="000E1AC9"/>
    <w:rsid w:val="000E3D85"/>
    <w:rsid w:val="000E7531"/>
    <w:rsid w:val="000F15AF"/>
    <w:rsid w:val="000F2A7A"/>
    <w:rsid w:val="000F60B1"/>
    <w:rsid w:val="000F78F7"/>
    <w:rsid w:val="00120BAF"/>
    <w:rsid w:val="00122032"/>
    <w:rsid w:val="00125096"/>
    <w:rsid w:val="0012625B"/>
    <w:rsid w:val="00140EB0"/>
    <w:rsid w:val="001414B6"/>
    <w:rsid w:val="00143D6E"/>
    <w:rsid w:val="00154F92"/>
    <w:rsid w:val="0016584D"/>
    <w:rsid w:val="0017028D"/>
    <w:rsid w:val="00170300"/>
    <w:rsid w:val="001716AA"/>
    <w:rsid w:val="0017507E"/>
    <w:rsid w:val="00176E40"/>
    <w:rsid w:val="001779FF"/>
    <w:rsid w:val="00177E00"/>
    <w:rsid w:val="00181C8E"/>
    <w:rsid w:val="0018691D"/>
    <w:rsid w:val="00186928"/>
    <w:rsid w:val="0018750E"/>
    <w:rsid w:val="001904AC"/>
    <w:rsid w:val="00195EDF"/>
    <w:rsid w:val="001A55E9"/>
    <w:rsid w:val="001A56AB"/>
    <w:rsid w:val="001A5804"/>
    <w:rsid w:val="001A5BCF"/>
    <w:rsid w:val="001A6D70"/>
    <w:rsid w:val="001B5358"/>
    <w:rsid w:val="001B5777"/>
    <w:rsid w:val="001B6428"/>
    <w:rsid w:val="001C547C"/>
    <w:rsid w:val="001D0DE6"/>
    <w:rsid w:val="001D27A2"/>
    <w:rsid w:val="001D6357"/>
    <w:rsid w:val="001E0E24"/>
    <w:rsid w:val="001E1797"/>
    <w:rsid w:val="001E314A"/>
    <w:rsid w:val="001E7785"/>
    <w:rsid w:val="001F5C4D"/>
    <w:rsid w:val="002035A8"/>
    <w:rsid w:val="00204918"/>
    <w:rsid w:val="00217C59"/>
    <w:rsid w:val="00220FB4"/>
    <w:rsid w:val="00224779"/>
    <w:rsid w:val="00227215"/>
    <w:rsid w:val="00230906"/>
    <w:rsid w:val="00232167"/>
    <w:rsid w:val="002325FD"/>
    <w:rsid w:val="00232ADB"/>
    <w:rsid w:val="00233CE1"/>
    <w:rsid w:val="0024447C"/>
    <w:rsid w:val="002471CB"/>
    <w:rsid w:val="002508D4"/>
    <w:rsid w:val="00254FB8"/>
    <w:rsid w:val="00257275"/>
    <w:rsid w:val="0027189E"/>
    <w:rsid w:val="00281AE5"/>
    <w:rsid w:val="002849D6"/>
    <w:rsid w:val="0028746D"/>
    <w:rsid w:val="00287AA0"/>
    <w:rsid w:val="002917B7"/>
    <w:rsid w:val="002B0634"/>
    <w:rsid w:val="002B1DF6"/>
    <w:rsid w:val="002B5A10"/>
    <w:rsid w:val="002B6231"/>
    <w:rsid w:val="002C21F0"/>
    <w:rsid w:val="002C2B56"/>
    <w:rsid w:val="002C2F48"/>
    <w:rsid w:val="002C6A00"/>
    <w:rsid w:val="002C7EA2"/>
    <w:rsid w:val="002D668A"/>
    <w:rsid w:val="002D6FA7"/>
    <w:rsid w:val="002E0C2E"/>
    <w:rsid w:val="002E15F5"/>
    <w:rsid w:val="002E2087"/>
    <w:rsid w:val="002E3EBF"/>
    <w:rsid w:val="002E4ABC"/>
    <w:rsid w:val="002E7F2F"/>
    <w:rsid w:val="002F38E8"/>
    <w:rsid w:val="002F473E"/>
    <w:rsid w:val="002F79A5"/>
    <w:rsid w:val="002F7DF0"/>
    <w:rsid w:val="003040EC"/>
    <w:rsid w:val="00306DB1"/>
    <w:rsid w:val="00310146"/>
    <w:rsid w:val="00316CE7"/>
    <w:rsid w:val="003215BB"/>
    <w:rsid w:val="00332494"/>
    <w:rsid w:val="00332E01"/>
    <w:rsid w:val="003344B0"/>
    <w:rsid w:val="003467DB"/>
    <w:rsid w:val="00351FEE"/>
    <w:rsid w:val="003527C3"/>
    <w:rsid w:val="00353AEC"/>
    <w:rsid w:val="003548BD"/>
    <w:rsid w:val="00356035"/>
    <w:rsid w:val="00370392"/>
    <w:rsid w:val="00372F85"/>
    <w:rsid w:val="00373687"/>
    <w:rsid w:val="003739DD"/>
    <w:rsid w:val="003742EE"/>
    <w:rsid w:val="0037459E"/>
    <w:rsid w:val="003745C7"/>
    <w:rsid w:val="00382956"/>
    <w:rsid w:val="00386408"/>
    <w:rsid w:val="00390784"/>
    <w:rsid w:val="0039181A"/>
    <w:rsid w:val="003931CA"/>
    <w:rsid w:val="00395E99"/>
    <w:rsid w:val="003A5C72"/>
    <w:rsid w:val="003A74FC"/>
    <w:rsid w:val="003B30ED"/>
    <w:rsid w:val="003B5B2F"/>
    <w:rsid w:val="003C19AA"/>
    <w:rsid w:val="003C4EC4"/>
    <w:rsid w:val="003C5258"/>
    <w:rsid w:val="003C52C7"/>
    <w:rsid w:val="003D4835"/>
    <w:rsid w:val="003D6C84"/>
    <w:rsid w:val="003E475C"/>
    <w:rsid w:val="003F73B6"/>
    <w:rsid w:val="00402B26"/>
    <w:rsid w:val="00406403"/>
    <w:rsid w:val="00406CCF"/>
    <w:rsid w:val="004101BD"/>
    <w:rsid w:val="00410D68"/>
    <w:rsid w:val="00412C19"/>
    <w:rsid w:val="0041456D"/>
    <w:rsid w:val="0041691D"/>
    <w:rsid w:val="00420C43"/>
    <w:rsid w:val="0042469B"/>
    <w:rsid w:val="00424C65"/>
    <w:rsid w:val="004340E1"/>
    <w:rsid w:val="004352C5"/>
    <w:rsid w:val="00440443"/>
    <w:rsid w:val="00440C13"/>
    <w:rsid w:val="00444844"/>
    <w:rsid w:val="00445F28"/>
    <w:rsid w:val="004501F7"/>
    <w:rsid w:val="00457ECE"/>
    <w:rsid w:val="004628EC"/>
    <w:rsid w:val="004658AD"/>
    <w:rsid w:val="00471207"/>
    <w:rsid w:val="00471F9D"/>
    <w:rsid w:val="00483194"/>
    <w:rsid w:val="00497D66"/>
    <w:rsid w:val="004A4E7B"/>
    <w:rsid w:val="004A7398"/>
    <w:rsid w:val="004B138F"/>
    <w:rsid w:val="004B41A6"/>
    <w:rsid w:val="004B6FC6"/>
    <w:rsid w:val="004B741A"/>
    <w:rsid w:val="004C0096"/>
    <w:rsid w:val="004C0972"/>
    <w:rsid w:val="004C327F"/>
    <w:rsid w:val="004C3740"/>
    <w:rsid w:val="004D278E"/>
    <w:rsid w:val="004D763A"/>
    <w:rsid w:val="004E1548"/>
    <w:rsid w:val="004E2DA9"/>
    <w:rsid w:val="004F0E37"/>
    <w:rsid w:val="004F245E"/>
    <w:rsid w:val="004F4A06"/>
    <w:rsid w:val="004F5F8E"/>
    <w:rsid w:val="004F6CD6"/>
    <w:rsid w:val="00502964"/>
    <w:rsid w:val="00513027"/>
    <w:rsid w:val="005163AB"/>
    <w:rsid w:val="00521234"/>
    <w:rsid w:val="005243E5"/>
    <w:rsid w:val="00525D32"/>
    <w:rsid w:val="00542060"/>
    <w:rsid w:val="005444C1"/>
    <w:rsid w:val="0054668B"/>
    <w:rsid w:val="00560841"/>
    <w:rsid w:val="00561A01"/>
    <w:rsid w:val="005663E4"/>
    <w:rsid w:val="005705D5"/>
    <w:rsid w:val="00572D14"/>
    <w:rsid w:val="00572F6A"/>
    <w:rsid w:val="00572FC3"/>
    <w:rsid w:val="00576005"/>
    <w:rsid w:val="005768FC"/>
    <w:rsid w:val="00576CAE"/>
    <w:rsid w:val="00582132"/>
    <w:rsid w:val="00584597"/>
    <w:rsid w:val="005854BB"/>
    <w:rsid w:val="00586EC4"/>
    <w:rsid w:val="00591B85"/>
    <w:rsid w:val="00593890"/>
    <w:rsid w:val="005946C9"/>
    <w:rsid w:val="005A1726"/>
    <w:rsid w:val="005A4E66"/>
    <w:rsid w:val="005B1804"/>
    <w:rsid w:val="005B75C1"/>
    <w:rsid w:val="005C0993"/>
    <w:rsid w:val="005C115A"/>
    <w:rsid w:val="005C6BB0"/>
    <w:rsid w:val="005C7B43"/>
    <w:rsid w:val="005D1D44"/>
    <w:rsid w:val="005D68D2"/>
    <w:rsid w:val="005E1796"/>
    <w:rsid w:val="005E6414"/>
    <w:rsid w:val="005F0330"/>
    <w:rsid w:val="005F2AFE"/>
    <w:rsid w:val="005F4E19"/>
    <w:rsid w:val="005F5DC1"/>
    <w:rsid w:val="005F6DA0"/>
    <w:rsid w:val="005F757E"/>
    <w:rsid w:val="00605462"/>
    <w:rsid w:val="0060670D"/>
    <w:rsid w:val="00607A51"/>
    <w:rsid w:val="0061581F"/>
    <w:rsid w:val="00623D9F"/>
    <w:rsid w:val="00633721"/>
    <w:rsid w:val="006346BD"/>
    <w:rsid w:val="0063760A"/>
    <w:rsid w:val="00642DE2"/>
    <w:rsid w:val="00643526"/>
    <w:rsid w:val="00643BDC"/>
    <w:rsid w:val="00653D2E"/>
    <w:rsid w:val="00656772"/>
    <w:rsid w:val="00657487"/>
    <w:rsid w:val="00664531"/>
    <w:rsid w:val="0066784D"/>
    <w:rsid w:val="00670EE3"/>
    <w:rsid w:val="00672D4B"/>
    <w:rsid w:val="006812E8"/>
    <w:rsid w:val="0069330F"/>
    <w:rsid w:val="00696609"/>
    <w:rsid w:val="006B62DF"/>
    <w:rsid w:val="006C2FC5"/>
    <w:rsid w:val="006C3223"/>
    <w:rsid w:val="006C4DA0"/>
    <w:rsid w:val="006C5509"/>
    <w:rsid w:val="006C565A"/>
    <w:rsid w:val="006C7890"/>
    <w:rsid w:val="006D2C40"/>
    <w:rsid w:val="006D492F"/>
    <w:rsid w:val="006D5BA0"/>
    <w:rsid w:val="006F1F7C"/>
    <w:rsid w:val="006F2E28"/>
    <w:rsid w:val="006F5442"/>
    <w:rsid w:val="007026F9"/>
    <w:rsid w:val="00703D77"/>
    <w:rsid w:val="00705E91"/>
    <w:rsid w:val="00705FBD"/>
    <w:rsid w:val="00713B6A"/>
    <w:rsid w:val="0071479F"/>
    <w:rsid w:val="00714CED"/>
    <w:rsid w:val="00717EA4"/>
    <w:rsid w:val="00717EBB"/>
    <w:rsid w:val="00717F74"/>
    <w:rsid w:val="0072327F"/>
    <w:rsid w:val="00725AFA"/>
    <w:rsid w:val="00726E1A"/>
    <w:rsid w:val="00732A3F"/>
    <w:rsid w:val="007343EF"/>
    <w:rsid w:val="007367CB"/>
    <w:rsid w:val="00736FF5"/>
    <w:rsid w:val="00750F7D"/>
    <w:rsid w:val="00756639"/>
    <w:rsid w:val="007620AA"/>
    <w:rsid w:val="00762990"/>
    <w:rsid w:val="0076361B"/>
    <w:rsid w:val="00764CA7"/>
    <w:rsid w:val="0076684A"/>
    <w:rsid w:val="00766CF9"/>
    <w:rsid w:val="007732E8"/>
    <w:rsid w:val="00777111"/>
    <w:rsid w:val="0078465C"/>
    <w:rsid w:val="0079086B"/>
    <w:rsid w:val="007912B7"/>
    <w:rsid w:val="00793950"/>
    <w:rsid w:val="00797F33"/>
    <w:rsid w:val="007A2FDB"/>
    <w:rsid w:val="007C121D"/>
    <w:rsid w:val="007D5BBC"/>
    <w:rsid w:val="007E41DD"/>
    <w:rsid w:val="007E58AC"/>
    <w:rsid w:val="007E7CC4"/>
    <w:rsid w:val="0080017F"/>
    <w:rsid w:val="008010E4"/>
    <w:rsid w:val="00802846"/>
    <w:rsid w:val="00803983"/>
    <w:rsid w:val="00814F97"/>
    <w:rsid w:val="008237C3"/>
    <w:rsid w:val="00824F1A"/>
    <w:rsid w:val="00825C76"/>
    <w:rsid w:val="008337C8"/>
    <w:rsid w:val="00834EA5"/>
    <w:rsid w:val="008367B2"/>
    <w:rsid w:val="00837343"/>
    <w:rsid w:val="00840586"/>
    <w:rsid w:val="00840A6E"/>
    <w:rsid w:val="00841859"/>
    <w:rsid w:val="008436F6"/>
    <w:rsid w:val="008478E0"/>
    <w:rsid w:val="00857429"/>
    <w:rsid w:val="0085755F"/>
    <w:rsid w:val="00860BD2"/>
    <w:rsid w:val="0086195E"/>
    <w:rsid w:val="00862A42"/>
    <w:rsid w:val="00863235"/>
    <w:rsid w:val="00880BD8"/>
    <w:rsid w:val="0088311B"/>
    <w:rsid w:val="008871A0"/>
    <w:rsid w:val="00887E91"/>
    <w:rsid w:val="008901A0"/>
    <w:rsid w:val="008910B7"/>
    <w:rsid w:val="008969CF"/>
    <w:rsid w:val="008A2335"/>
    <w:rsid w:val="008A6FB6"/>
    <w:rsid w:val="008B18F1"/>
    <w:rsid w:val="008B3D9D"/>
    <w:rsid w:val="008B5DDC"/>
    <w:rsid w:val="008C25CB"/>
    <w:rsid w:val="008C508C"/>
    <w:rsid w:val="008C6B08"/>
    <w:rsid w:val="008C79D8"/>
    <w:rsid w:val="008D5176"/>
    <w:rsid w:val="008E1D96"/>
    <w:rsid w:val="0090792A"/>
    <w:rsid w:val="00907936"/>
    <w:rsid w:val="00914AB1"/>
    <w:rsid w:val="0091625F"/>
    <w:rsid w:val="00921F77"/>
    <w:rsid w:val="00923749"/>
    <w:rsid w:val="00931121"/>
    <w:rsid w:val="00933626"/>
    <w:rsid w:val="00935794"/>
    <w:rsid w:val="00936D7B"/>
    <w:rsid w:val="009400C0"/>
    <w:rsid w:val="00940242"/>
    <w:rsid w:val="0094048C"/>
    <w:rsid w:val="0094450B"/>
    <w:rsid w:val="00946015"/>
    <w:rsid w:val="00950702"/>
    <w:rsid w:val="00954FBB"/>
    <w:rsid w:val="009676B6"/>
    <w:rsid w:val="00974A34"/>
    <w:rsid w:val="00984CA0"/>
    <w:rsid w:val="00993A56"/>
    <w:rsid w:val="0099619E"/>
    <w:rsid w:val="00996A5E"/>
    <w:rsid w:val="00996B16"/>
    <w:rsid w:val="00996B6B"/>
    <w:rsid w:val="009970FD"/>
    <w:rsid w:val="009A2831"/>
    <w:rsid w:val="009A47CD"/>
    <w:rsid w:val="009A729B"/>
    <w:rsid w:val="009B53A0"/>
    <w:rsid w:val="009C5B07"/>
    <w:rsid w:val="009E29FF"/>
    <w:rsid w:val="009E359B"/>
    <w:rsid w:val="009E5C1C"/>
    <w:rsid w:val="009F7B47"/>
    <w:rsid w:val="00A006AF"/>
    <w:rsid w:val="00A02931"/>
    <w:rsid w:val="00A03E92"/>
    <w:rsid w:val="00A04B24"/>
    <w:rsid w:val="00A050D6"/>
    <w:rsid w:val="00A1456E"/>
    <w:rsid w:val="00A27C29"/>
    <w:rsid w:val="00A34BC3"/>
    <w:rsid w:val="00A448AD"/>
    <w:rsid w:val="00A51142"/>
    <w:rsid w:val="00A516FF"/>
    <w:rsid w:val="00A53000"/>
    <w:rsid w:val="00A554BF"/>
    <w:rsid w:val="00A56BC2"/>
    <w:rsid w:val="00A57BDA"/>
    <w:rsid w:val="00A604E8"/>
    <w:rsid w:val="00A662A2"/>
    <w:rsid w:val="00A666C2"/>
    <w:rsid w:val="00A7151B"/>
    <w:rsid w:val="00A72965"/>
    <w:rsid w:val="00A83FF9"/>
    <w:rsid w:val="00A84887"/>
    <w:rsid w:val="00A9194E"/>
    <w:rsid w:val="00A96158"/>
    <w:rsid w:val="00AA2B3F"/>
    <w:rsid w:val="00AA3DB9"/>
    <w:rsid w:val="00AA5E8B"/>
    <w:rsid w:val="00AB3CB8"/>
    <w:rsid w:val="00AB4CC9"/>
    <w:rsid w:val="00AB4D4C"/>
    <w:rsid w:val="00AC6EED"/>
    <w:rsid w:val="00AD44ED"/>
    <w:rsid w:val="00AE47A4"/>
    <w:rsid w:val="00B00617"/>
    <w:rsid w:val="00B04431"/>
    <w:rsid w:val="00B10DA6"/>
    <w:rsid w:val="00B13790"/>
    <w:rsid w:val="00B23A8D"/>
    <w:rsid w:val="00B35AAC"/>
    <w:rsid w:val="00B37D47"/>
    <w:rsid w:val="00B45FA1"/>
    <w:rsid w:val="00B517B4"/>
    <w:rsid w:val="00B52CD7"/>
    <w:rsid w:val="00B532B7"/>
    <w:rsid w:val="00B53509"/>
    <w:rsid w:val="00B63F96"/>
    <w:rsid w:val="00B64EBA"/>
    <w:rsid w:val="00B65111"/>
    <w:rsid w:val="00B73C34"/>
    <w:rsid w:val="00B74E68"/>
    <w:rsid w:val="00B80E33"/>
    <w:rsid w:val="00B85065"/>
    <w:rsid w:val="00B90C05"/>
    <w:rsid w:val="00BA33C0"/>
    <w:rsid w:val="00BA79BC"/>
    <w:rsid w:val="00BB29EA"/>
    <w:rsid w:val="00BB46BB"/>
    <w:rsid w:val="00BB5CAF"/>
    <w:rsid w:val="00BD05C7"/>
    <w:rsid w:val="00BE0EE7"/>
    <w:rsid w:val="00BE6CC3"/>
    <w:rsid w:val="00BF45B5"/>
    <w:rsid w:val="00BF5411"/>
    <w:rsid w:val="00BF6FFF"/>
    <w:rsid w:val="00C00896"/>
    <w:rsid w:val="00C03630"/>
    <w:rsid w:val="00C04710"/>
    <w:rsid w:val="00C06778"/>
    <w:rsid w:val="00C06ED8"/>
    <w:rsid w:val="00C07733"/>
    <w:rsid w:val="00C11735"/>
    <w:rsid w:val="00C12F5F"/>
    <w:rsid w:val="00C25EC9"/>
    <w:rsid w:val="00C276C8"/>
    <w:rsid w:val="00C33976"/>
    <w:rsid w:val="00C36D4F"/>
    <w:rsid w:val="00C37260"/>
    <w:rsid w:val="00C41209"/>
    <w:rsid w:val="00C41313"/>
    <w:rsid w:val="00C4518A"/>
    <w:rsid w:val="00C51587"/>
    <w:rsid w:val="00C54EB9"/>
    <w:rsid w:val="00C665F9"/>
    <w:rsid w:val="00C732D8"/>
    <w:rsid w:val="00C75BC1"/>
    <w:rsid w:val="00C8494A"/>
    <w:rsid w:val="00C84FA8"/>
    <w:rsid w:val="00C857A5"/>
    <w:rsid w:val="00C86F68"/>
    <w:rsid w:val="00C91C99"/>
    <w:rsid w:val="00C935A4"/>
    <w:rsid w:val="00C94D27"/>
    <w:rsid w:val="00C962CC"/>
    <w:rsid w:val="00CA2580"/>
    <w:rsid w:val="00CA3011"/>
    <w:rsid w:val="00CB0413"/>
    <w:rsid w:val="00CB1AD2"/>
    <w:rsid w:val="00CD7869"/>
    <w:rsid w:val="00CD7FF6"/>
    <w:rsid w:val="00CE15CB"/>
    <w:rsid w:val="00CE20E5"/>
    <w:rsid w:val="00CF5A90"/>
    <w:rsid w:val="00D12D78"/>
    <w:rsid w:val="00D1324A"/>
    <w:rsid w:val="00D15792"/>
    <w:rsid w:val="00D2124E"/>
    <w:rsid w:val="00D22685"/>
    <w:rsid w:val="00D311D6"/>
    <w:rsid w:val="00D32753"/>
    <w:rsid w:val="00D34928"/>
    <w:rsid w:val="00D40ED1"/>
    <w:rsid w:val="00D42302"/>
    <w:rsid w:val="00D45C64"/>
    <w:rsid w:val="00D5192A"/>
    <w:rsid w:val="00D5263A"/>
    <w:rsid w:val="00D56915"/>
    <w:rsid w:val="00D60CD1"/>
    <w:rsid w:val="00D6104D"/>
    <w:rsid w:val="00D65222"/>
    <w:rsid w:val="00D70324"/>
    <w:rsid w:val="00D77767"/>
    <w:rsid w:val="00D823D8"/>
    <w:rsid w:val="00D8294A"/>
    <w:rsid w:val="00D862C7"/>
    <w:rsid w:val="00D91565"/>
    <w:rsid w:val="00D95700"/>
    <w:rsid w:val="00DA1200"/>
    <w:rsid w:val="00DA1E93"/>
    <w:rsid w:val="00DA231E"/>
    <w:rsid w:val="00DA5C6E"/>
    <w:rsid w:val="00DB073B"/>
    <w:rsid w:val="00DB2A1D"/>
    <w:rsid w:val="00DB325C"/>
    <w:rsid w:val="00DB4DBA"/>
    <w:rsid w:val="00DB7DD9"/>
    <w:rsid w:val="00DC2EEC"/>
    <w:rsid w:val="00DC6860"/>
    <w:rsid w:val="00DD1EBA"/>
    <w:rsid w:val="00DD70C8"/>
    <w:rsid w:val="00DE0324"/>
    <w:rsid w:val="00DE1D58"/>
    <w:rsid w:val="00DE1E79"/>
    <w:rsid w:val="00DE33E0"/>
    <w:rsid w:val="00DE4A3D"/>
    <w:rsid w:val="00DF04F1"/>
    <w:rsid w:val="00DF7F28"/>
    <w:rsid w:val="00E036C1"/>
    <w:rsid w:val="00E0467C"/>
    <w:rsid w:val="00E1386E"/>
    <w:rsid w:val="00E21A74"/>
    <w:rsid w:val="00E22EE2"/>
    <w:rsid w:val="00E237DD"/>
    <w:rsid w:val="00E25FB2"/>
    <w:rsid w:val="00E25FDA"/>
    <w:rsid w:val="00E3438D"/>
    <w:rsid w:val="00E370E5"/>
    <w:rsid w:val="00E40400"/>
    <w:rsid w:val="00E40E06"/>
    <w:rsid w:val="00E40FD4"/>
    <w:rsid w:val="00E5243C"/>
    <w:rsid w:val="00E5458B"/>
    <w:rsid w:val="00E551B9"/>
    <w:rsid w:val="00E5665F"/>
    <w:rsid w:val="00E57100"/>
    <w:rsid w:val="00E6512F"/>
    <w:rsid w:val="00E65E27"/>
    <w:rsid w:val="00E66304"/>
    <w:rsid w:val="00E70136"/>
    <w:rsid w:val="00E76B70"/>
    <w:rsid w:val="00E87427"/>
    <w:rsid w:val="00E91160"/>
    <w:rsid w:val="00EA3725"/>
    <w:rsid w:val="00EA3D27"/>
    <w:rsid w:val="00EA74D0"/>
    <w:rsid w:val="00EB0E1C"/>
    <w:rsid w:val="00EB4EA2"/>
    <w:rsid w:val="00EB5FBB"/>
    <w:rsid w:val="00EC488B"/>
    <w:rsid w:val="00EC569A"/>
    <w:rsid w:val="00EC74B0"/>
    <w:rsid w:val="00ED6024"/>
    <w:rsid w:val="00EE0189"/>
    <w:rsid w:val="00EE1BBF"/>
    <w:rsid w:val="00EE77AD"/>
    <w:rsid w:val="00EF28CF"/>
    <w:rsid w:val="00EF501E"/>
    <w:rsid w:val="00F04FD8"/>
    <w:rsid w:val="00F05A61"/>
    <w:rsid w:val="00F06B2B"/>
    <w:rsid w:val="00F179A1"/>
    <w:rsid w:val="00F2111C"/>
    <w:rsid w:val="00F243E7"/>
    <w:rsid w:val="00F2502B"/>
    <w:rsid w:val="00F3239A"/>
    <w:rsid w:val="00F32AB8"/>
    <w:rsid w:val="00F32C3A"/>
    <w:rsid w:val="00F330DD"/>
    <w:rsid w:val="00F35800"/>
    <w:rsid w:val="00F525CB"/>
    <w:rsid w:val="00F55217"/>
    <w:rsid w:val="00F56541"/>
    <w:rsid w:val="00F72402"/>
    <w:rsid w:val="00F818D1"/>
    <w:rsid w:val="00F83DA2"/>
    <w:rsid w:val="00F860A3"/>
    <w:rsid w:val="00F928A9"/>
    <w:rsid w:val="00F936EF"/>
    <w:rsid w:val="00F976C1"/>
    <w:rsid w:val="00FA2370"/>
    <w:rsid w:val="00FA2DF1"/>
    <w:rsid w:val="00FB1FD6"/>
    <w:rsid w:val="00FC3C14"/>
    <w:rsid w:val="00FE0E4C"/>
    <w:rsid w:val="00FE4010"/>
    <w:rsid w:val="00FE5453"/>
    <w:rsid w:val="00FE6220"/>
    <w:rsid w:val="00FF0988"/>
    <w:rsid w:val="00FF3AA5"/>
    <w:rsid w:val="00FF70BF"/>
    <w:rsid w:val="00FF71D6"/>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5F44AEFB-33C2-4FE1-B8D3-0385AC9D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30"/>
    <w:rPr>
      <w:rFonts w:ascii="Times New Roman" w:eastAsia="Times New Roman" w:hAnsi="Times New Roman"/>
      <w:sz w:val="24"/>
      <w:szCs w:val="24"/>
    </w:rPr>
  </w:style>
  <w:style w:type="paragraph" w:styleId="Heading3">
    <w:name w:val="heading 3"/>
    <w:basedOn w:val="Normal"/>
    <w:link w:val="Heading3Char"/>
    <w:uiPriority w:val="99"/>
    <w:qFormat/>
    <w:rsid w:val="000D7206"/>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00249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D7206"/>
    <w:rPr>
      <w:rFonts w:ascii="Times New Roman" w:hAnsi="Times New Roman" w:cs="Times New Roman"/>
      <w:b/>
      <w:bCs/>
      <w:sz w:val="27"/>
      <w:szCs w:val="27"/>
      <w:lang w:eastAsia="lv-LV"/>
    </w:rPr>
  </w:style>
  <w:style w:type="character" w:customStyle="1" w:styleId="Heading5Char">
    <w:name w:val="Heading 5 Char"/>
    <w:link w:val="Heading5"/>
    <w:uiPriority w:val="99"/>
    <w:semiHidden/>
    <w:locked/>
    <w:rsid w:val="0000249B"/>
    <w:rPr>
      <w:rFonts w:ascii="Cambria" w:hAnsi="Cambria" w:cs="Times New Roman"/>
      <w:color w:val="243F60"/>
      <w:sz w:val="24"/>
      <w:szCs w:val="24"/>
      <w:lang w:eastAsia="lv-LV"/>
    </w:rPr>
  </w:style>
  <w:style w:type="paragraph" w:styleId="Header">
    <w:name w:val="header"/>
    <w:basedOn w:val="Normal"/>
    <w:link w:val="HeaderChar"/>
    <w:uiPriority w:val="99"/>
    <w:rsid w:val="000D7206"/>
    <w:pPr>
      <w:tabs>
        <w:tab w:val="center" w:pos="4153"/>
        <w:tab w:val="right" w:pos="8306"/>
      </w:tabs>
    </w:pPr>
  </w:style>
  <w:style w:type="character" w:customStyle="1" w:styleId="HeaderChar">
    <w:name w:val="Header Char"/>
    <w:link w:val="Header"/>
    <w:uiPriority w:val="99"/>
    <w:locked/>
    <w:rsid w:val="000D7206"/>
    <w:rPr>
      <w:rFonts w:ascii="Times New Roman" w:hAnsi="Times New Roman" w:cs="Times New Roman"/>
      <w:sz w:val="24"/>
      <w:szCs w:val="24"/>
      <w:lang w:eastAsia="lv-LV"/>
    </w:rPr>
  </w:style>
  <w:style w:type="character" w:styleId="PageNumber">
    <w:name w:val="page number"/>
    <w:uiPriority w:val="99"/>
    <w:rsid w:val="000D7206"/>
    <w:rPr>
      <w:rFonts w:cs="Times New Roman"/>
    </w:rPr>
  </w:style>
  <w:style w:type="paragraph" w:customStyle="1" w:styleId="naislab">
    <w:name w:val="naislab"/>
    <w:basedOn w:val="Normal"/>
    <w:uiPriority w:val="99"/>
    <w:rsid w:val="000D7206"/>
    <w:pPr>
      <w:spacing w:before="75" w:after="75"/>
      <w:jc w:val="right"/>
    </w:pPr>
  </w:style>
  <w:style w:type="paragraph" w:styleId="Footer">
    <w:name w:val="footer"/>
    <w:basedOn w:val="Normal"/>
    <w:link w:val="FooterChar"/>
    <w:uiPriority w:val="99"/>
    <w:rsid w:val="000D7206"/>
    <w:pPr>
      <w:tabs>
        <w:tab w:val="center" w:pos="4153"/>
        <w:tab w:val="right" w:pos="8306"/>
      </w:tabs>
    </w:pPr>
  </w:style>
  <w:style w:type="character" w:customStyle="1" w:styleId="FooterChar">
    <w:name w:val="Footer Char"/>
    <w:link w:val="Footer"/>
    <w:uiPriority w:val="99"/>
    <w:locked/>
    <w:rsid w:val="000D7206"/>
    <w:rPr>
      <w:rFonts w:ascii="Times New Roman" w:hAnsi="Times New Roman" w:cs="Times New Roman"/>
      <w:sz w:val="24"/>
      <w:szCs w:val="24"/>
      <w:lang w:eastAsia="lv-LV"/>
    </w:rPr>
  </w:style>
  <w:style w:type="character" w:styleId="Hyperlink">
    <w:name w:val="Hyperlink"/>
    <w:uiPriority w:val="99"/>
    <w:rsid w:val="000D7206"/>
    <w:rPr>
      <w:rFonts w:cs="Times New Roman"/>
      <w:color w:val="0000FF"/>
      <w:u w:val="single"/>
    </w:rPr>
  </w:style>
  <w:style w:type="paragraph" w:styleId="NormalWeb">
    <w:name w:val="Normal (Web)"/>
    <w:basedOn w:val="Normal"/>
    <w:link w:val="NormalWebChar"/>
    <w:rsid w:val="000D7206"/>
    <w:pPr>
      <w:spacing w:before="100" w:beforeAutospacing="1" w:after="100" w:afterAutospacing="1"/>
    </w:pPr>
  </w:style>
  <w:style w:type="character" w:customStyle="1" w:styleId="c1">
    <w:name w:val="c1"/>
    <w:uiPriority w:val="99"/>
    <w:rsid w:val="000D7206"/>
    <w:rPr>
      <w:rFonts w:cs="Times New Roman"/>
    </w:rPr>
  </w:style>
  <w:style w:type="character" w:styleId="Strong">
    <w:name w:val="Strong"/>
    <w:uiPriority w:val="99"/>
    <w:qFormat/>
    <w:rsid w:val="000D7206"/>
    <w:rPr>
      <w:rFonts w:cs="Times New Roman"/>
      <w:b/>
      <w:bCs/>
    </w:rPr>
  </w:style>
  <w:style w:type="character" w:customStyle="1" w:styleId="c3">
    <w:name w:val="c3"/>
    <w:uiPriority w:val="99"/>
    <w:rsid w:val="000D7206"/>
    <w:rPr>
      <w:rFonts w:cs="Times New Roman"/>
    </w:rPr>
  </w:style>
  <w:style w:type="paragraph" w:customStyle="1" w:styleId="naiskr">
    <w:name w:val="naiskr"/>
    <w:basedOn w:val="Normal"/>
    <w:rsid w:val="000D7206"/>
    <w:pPr>
      <w:spacing w:before="75" w:after="75"/>
    </w:pPr>
  </w:style>
  <w:style w:type="character" w:customStyle="1" w:styleId="BalloonTextChar">
    <w:name w:val="Balloon Text Char"/>
    <w:uiPriority w:val="99"/>
    <w:semiHidden/>
    <w:locked/>
    <w:rsid w:val="000D7206"/>
    <w:rPr>
      <w:rFonts w:ascii="Tahoma" w:hAnsi="Tahoma" w:cs="Tahoma"/>
      <w:sz w:val="16"/>
      <w:szCs w:val="16"/>
      <w:lang w:eastAsia="lv-LV"/>
    </w:rPr>
  </w:style>
  <w:style w:type="paragraph" w:styleId="BalloonText">
    <w:name w:val="Balloon Text"/>
    <w:basedOn w:val="Normal"/>
    <w:link w:val="BalloonTextChar1"/>
    <w:uiPriority w:val="99"/>
    <w:semiHidden/>
    <w:rsid w:val="000D7206"/>
    <w:rPr>
      <w:rFonts w:ascii="Tahoma" w:hAnsi="Tahoma" w:cs="Tahoma"/>
      <w:sz w:val="16"/>
      <w:szCs w:val="16"/>
    </w:rPr>
  </w:style>
  <w:style w:type="character" w:customStyle="1" w:styleId="BalloonTextChar1">
    <w:name w:val="Balloon Text Char1"/>
    <w:link w:val="BalloonText"/>
    <w:uiPriority w:val="99"/>
    <w:semiHidden/>
    <w:locked/>
    <w:rsid w:val="00D77767"/>
    <w:rPr>
      <w:rFonts w:ascii="Times New Roman" w:hAnsi="Times New Roman" w:cs="Times New Roman"/>
      <w:sz w:val="2"/>
    </w:rPr>
  </w:style>
  <w:style w:type="paragraph" w:styleId="ListParagraph">
    <w:name w:val="List Paragraph"/>
    <w:basedOn w:val="Normal"/>
    <w:uiPriority w:val="34"/>
    <w:qFormat/>
    <w:rsid w:val="000D7206"/>
    <w:pPr>
      <w:ind w:left="720"/>
      <w:contextualSpacing/>
    </w:pPr>
  </w:style>
  <w:style w:type="paragraph" w:customStyle="1" w:styleId="naisf">
    <w:name w:val="naisf"/>
    <w:basedOn w:val="Normal"/>
    <w:rsid w:val="000D7206"/>
    <w:pPr>
      <w:spacing w:before="75" w:after="75"/>
      <w:ind w:firstLine="375"/>
      <w:jc w:val="both"/>
    </w:pPr>
  </w:style>
  <w:style w:type="paragraph" w:styleId="CommentText">
    <w:name w:val="annotation text"/>
    <w:basedOn w:val="Normal"/>
    <w:link w:val="CommentTextChar"/>
    <w:uiPriority w:val="99"/>
    <w:rsid w:val="000D7206"/>
    <w:rPr>
      <w:sz w:val="20"/>
      <w:szCs w:val="20"/>
    </w:rPr>
  </w:style>
  <w:style w:type="character" w:customStyle="1" w:styleId="CommentTextChar">
    <w:name w:val="Comment Text Char"/>
    <w:link w:val="CommentText"/>
    <w:uiPriority w:val="99"/>
    <w:locked/>
    <w:rsid w:val="000D7206"/>
    <w:rPr>
      <w:rFonts w:ascii="Times New Roman" w:hAnsi="Times New Roman" w:cs="Times New Roman"/>
      <w:sz w:val="20"/>
      <w:szCs w:val="20"/>
      <w:lang w:eastAsia="lv-LV"/>
    </w:rPr>
  </w:style>
  <w:style w:type="paragraph" w:styleId="FootnoteText">
    <w:name w:val="footnote text"/>
    <w:basedOn w:val="Normal"/>
    <w:link w:val="FootnoteTextChar"/>
    <w:uiPriority w:val="99"/>
    <w:semiHidden/>
    <w:rsid w:val="000D7206"/>
    <w:pPr>
      <w:ind w:left="720" w:hanging="720"/>
      <w:jc w:val="both"/>
    </w:pPr>
    <w:rPr>
      <w:sz w:val="20"/>
      <w:szCs w:val="20"/>
      <w:lang w:eastAsia="en-GB"/>
    </w:rPr>
  </w:style>
  <w:style w:type="character" w:customStyle="1" w:styleId="FootnoteTextChar">
    <w:name w:val="Footnote Text Char"/>
    <w:link w:val="FootnoteText"/>
    <w:uiPriority w:val="99"/>
    <w:semiHidden/>
    <w:locked/>
    <w:rsid w:val="000D7206"/>
    <w:rPr>
      <w:rFonts w:ascii="Times New Roman" w:hAnsi="Times New Roman" w:cs="Times New Roman"/>
      <w:sz w:val="20"/>
      <w:szCs w:val="20"/>
      <w:lang w:eastAsia="en-GB"/>
    </w:rPr>
  </w:style>
  <w:style w:type="character" w:styleId="CommentReference">
    <w:name w:val="annotation reference"/>
    <w:uiPriority w:val="99"/>
    <w:rsid w:val="000D7206"/>
    <w:rPr>
      <w:rFonts w:cs="Times New Roman"/>
      <w:sz w:val="16"/>
      <w:szCs w:val="16"/>
    </w:rPr>
  </w:style>
  <w:style w:type="character" w:customStyle="1" w:styleId="CommentSubjectChar">
    <w:name w:val="Comment Subject Char"/>
    <w:uiPriority w:val="99"/>
    <w:semiHidden/>
    <w:locked/>
    <w:rsid w:val="000D7206"/>
    <w:rPr>
      <w:rFonts w:ascii="Times New Roman" w:hAnsi="Times New Roman" w:cs="Times New Roman"/>
      <w:b/>
      <w:bCs/>
      <w:sz w:val="20"/>
      <w:szCs w:val="20"/>
      <w:lang w:eastAsia="lv-LV"/>
    </w:rPr>
  </w:style>
  <w:style w:type="paragraph" w:styleId="CommentSubject">
    <w:name w:val="annotation subject"/>
    <w:basedOn w:val="CommentText"/>
    <w:next w:val="CommentText"/>
    <w:link w:val="CommentSubjectChar1"/>
    <w:uiPriority w:val="99"/>
    <w:semiHidden/>
    <w:rsid w:val="000D7206"/>
    <w:rPr>
      <w:b/>
      <w:bCs/>
    </w:rPr>
  </w:style>
  <w:style w:type="character" w:customStyle="1" w:styleId="CommentSubjectChar1">
    <w:name w:val="Comment Subject Char1"/>
    <w:link w:val="CommentSubject"/>
    <w:uiPriority w:val="99"/>
    <w:semiHidden/>
    <w:locked/>
    <w:rsid w:val="00D77767"/>
    <w:rPr>
      <w:rFonts w:ascii="Times New Roman" w:hAnsi="Times New Roman" w:cs="Times New Roman"/>
      <w:b/>
      <w:bCs/>
      <w:sz w:val="20"/>
      <w:szCs w:val="20"/>
      <w:lang w:eastAsia="lv-LV"/>
    </w:rPr>
  </w:style>
  <w:style w:type="character" w:customStyle="1" w:styleId="NormalWebChar">
    <w:name w:val="Normal (Web) Char"/>
    <w:link w:val="NormalWeb"/>
    <w:locked/>
    <w:rsid w:val="00880BD8"/>
    <w:rPr>
      <w:rFonts w:ascii="Times New Roman" w:hAnsi="Times New Roman" w:cs="Times New Roman"/>
      <w:sz w:val="24"/>
      <w:szCs w:val="24"/>
      <w:lang w:eastAsia="lv-LV"/>
    </w:rPr>
  </w:style>
  <w:style w:type="paragraph" w:customStyle="1" w:styleId="naisc">
    <w:name w:val="naisc"/>
    <w:basedOn w:val="Normal"/>
    <w:uiPriority w:val="99"/>
    <w:rsid w:val="00880BD8"/>
    <w:pPr>
      <w:spacing w:before="100" w:beforeAutospacing="1" w:after="100" w:afterAutospacing="1"/>
    </w:pPr>
  </w:style>
  <w:style w:type="paragraph" w:styleId="ListBullet">
    <w:name w:val="List Bullet"/>
    <w:basedOn w:val="Normal"/>
    <w:uiPriority w:val="99"/>
    <w:rsid w:val="00120BAF"/>
    <w:pPr>
      <w:tabs>
        <w:tab w:val="num" w:pos="360"/>
      </w:tabs>
      <w:ind w:left="360" w:hanging="360"/>
      <w:contextualSpacing/>
    </w:pPr>
    <w:rPr>
      <w:lang w:eastAsia="en-US"/>
    </w:rPr>
  </w:style>
  <w:style w:type="paragraph" w:customStyle="1" w:styleId="tv2131">
    <w:name w:val="tv2131"/>
    <w:basedOn w:val="Normal"/>
    <w:uiPriority w:val="99"/>
    <w:rsid w:val="00BB5CAF"/>
    <w:pPr>
      <w:spacing w:before="240" w:line="360" w:lineRule="auto"/>
      <w:ind w:firstLine="272"/>
      <w:jc w:val="both"/>
    </w:pPr>
    <w:rPr>
      <w:rFonts w:ascii="Verdana" w:hAnsi="Verdana"/>
      <w:sz w:val="16"/>
      <w:szCs w:val="16"/>
    </w:rPr>
  </w:style>
  <w:style w:type="table" w:styleId="TableGrid">
    <w:name w:val="Table Grid"/>
    <w:basedOn w:val="TableNormal"/>
    <w:locked/>
    <w:rsid w:val="00A7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914AB1"/>
  </w:style>
  <w:style w:type="paragraph" w:styleId="BodyText">
    <w:name w:val="Body Text"/>
    <w:basedOn w:val="Normal"/>
    <w:link w:val="BodyTextChar"/>
    <w:uiPriority w:val="99"/>
    <w:rsid w:val="00D95700"/>
    <w:pPr>
      <w:suppressAutoHyphens/>
      <w:spacing w:after="120"/>
      <w:ind w:firstLine="720"/>
      <w:jc w:val="both"/>
    </w:pPr>
    <w:rPr>
      <w:rFonts w:eastAsia="Nimbus Sans L" w:cs="Nimbus Sans L"/>
      <w:kern w:val="1"/>
      <w:sz w:val="28"/>
      <w:lang w:val="en-US" w:eastAsia="hi-IN" w:bidi="hi-IN"/>
    </w:rPr>
  </w:style>
  <w:style w:type="character" w:customStyle="1" w:styleId="BodyTextChar">
    <w:name w:val="Body Text Char"/>
    <w:basedOn w:val="DefaultParagraphFont"/>
    <w:link w:val="BodyText"/>
    <w:uiPriority w:val="99"/>
    <w:rsid w:val="00D95700"/>
    <w:rPr>
      <w:rFonts w:ascii="Times New Roman" w:eastAsia="Nimbus Sans L" w:hAnsi="Times New Roman" w:cs="Nimbus Sans L"/>
      <w:kern w:val="1"/>
      <w:sz w:val="28"/>
      <w:szCs w:val="24"/>
      <w:lang w:val="en-US" w:eastAsia="hi-IN" w:bidi="hi-IN"/>
    </w:rPr>
  </w:style>
  <w:style w:type="character" w:styleId="FootnoteReference">
    <w:name w:val="footnote reference"/>
    <w:basedOn w:val="DefaultParagraphFont"/>
    <w:uiPriority w:val="99"/>
    <w:semiHidden/>
    <w:unhideWhenUsed/>
    <w:rsid w:val="000E3D85"/>
    <w:rPr>
      <w:vertAlign w:val="superscript"/>
    </w:rPr>
  </w:style>
  <w:style w:type="paragraph" w:customStyle="1" w:styleId="Default">
    <w:name w:val="Default"/>
    <w:rsid w:val="003C4EC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642DE2"/>
  </w:style>
  <w:style w:type="paragraph" w:customStyle="1" w:styleId="naisnod">
    <w:name w:val="naisnod"/>
    <w:basedOn w:val="Normal"/>
    <w:rsid w:val="00A27C29"/>
    <w:pPr>
      <w:spacing w:before="100" w:beforeAutospacing="1" w:after="100" w:afterAutospacing="1"/>
    </w:pPr>
  </w:style>
  <w:style w:type="paragraph" w:customStyle="1" w:styleId="tv213">
    <w:name w:val="tv213"/>
    <w:basedOn w:val="Normal"/>
    <w:rsid w:val="00B74E68"/>
    <w:pPr>
      <w:spacing w:before="100" w:beforeAutospacing="1" w:after="100" w:afterAutospacing="1"/>
    </w:pPr>
  </w:style>
  <w:style w:type="paragraph" w:customStyle="1" w:styleId="liknoteik">
    <w:name w:val="lik_noteik"/>
    <w:basedOn w:val="Normal"/>
    <w:rsid w:val="00083596"/>
    <w:pPr>
      <w:spacing w:before="100" w:beforeAutospacing="1" w:after="100" w:afterAutospacing="1"/>
    </w:pPr>
  </w:style>
  <w:style w:type="paragraph" w:customStyle="1" w:styleId="likdat">
    <w:name w:val="lik_dat"/>
    <w:basedOn w:val="Normal"/>
    <w:rsid w:val="000835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177">
      <w:bodyDiv w:val="1"/>
      <w:marLeft w:val="0"/>
      <w:marRight w:val="0"/>
      <w:marTop w:val="0"/>
      <w:marBottom w:val="0"/>
      <w:divBdr>
        <w:top w:val="none" w:sz="0" w:space="0" w:color="auto"/>
        <w:left w:val="none" w:sz="0" w:space="0" w:color="auto"/>
        <w:bottom w:val="none" w:sz="0" w:space="0" w:color="auto"/>
        <w:right w:val="none" w:sz="0" w:space="0" w:color="auto"/>
      </w:divBdr>
      <w:divsChild>
        <w:div w:id="1561014302">
          <w:marLeft w:val="0"/>
          <w:marRight w:val="0"/>
          <w:marTop w:val="0"/>
          <w:marBottom w:val="0"/>
          <w:divBdr>
            <w:top w:val="none" w:sz="0" w:space="0" w:color="auto"/>
            <w:left w:val="none" w:sz="0" w:space="0" w:color="auto"/>
            <w:bottom w:val="none" w:sz="0" w:space="0" w:color="auto"/>
            <w:right w:val="none" w:sz="0" w:space="0" w:color="auto"/>
          </w:divBdr>
          <w:divsChild>
            <w:div w:id="716851721">
              <w:marLeft w:val="0"/>
              <w:marRight w:val="0"/>
              <w:marTop w:val="0"/>
              <w:marBottom w:val="0"/>
              <w:divBdr>
                <w:top w:val="none" w:sz="0" w:space="0" w:color="auto"/>
                <w:left w:val="none" w:sz="0" w:space="0" w:color="auto"/>
                <w:bottom w:val="none" w:sz="0" w:space="0" w:color="auto"/>
                <w:right w:val="none" w:sz="0" w:space="0" w:color="auto"/>
              </w:divBdr>
              <w:divsChild>
                <w:div w:id="5135361">
                  <w:marLeft w:val="0"/>
                  <w:marRight w:val="0"/>
                  <w:marTop w:val="0"/>
                  <w:marBottom w:val="0"/>
                  <w:divBdr>
                    <w:top w:val="none" w:sz="0" w:space="0" w:color="auto"/>
                    <w:left w:val="none" w:sz="0" w:space="0" w:color="auto"/>
                    <w:bottom w:val="none" w:sz="0" w:space="0" w:color="auto"/>
                    <w:right w:val="none" w:sz="0" w:space="0" w:color="auto"/>
                  </w:divBdr>
                  <w:divsChild>
                    <w:div w:id="1129325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5855915">
      <w:bodyDiv w:val="1"/>
      <w:marLeft w:val="0"/>
      <w:marRight w:val="0"/>
      <w:marTop w:val="0"/>
      <w:marBottom w:val="0"/>
      <w:divBdr>
        <w:top w:val="none" w:sz="0" w:space="0" w:color="auto"/>
        <w:left w:val="none" w:sz="0" w:space="0" w:color="auto"/>
        <w:bottom w:val="none" w:sz="0" w:space="0" w:color="auto"/>
        <w:right w:val="none" w:sz="0" w:space="0" w:color="auto"/>
      </w:divBdr>
    </w:div>
    <w:div w:id="394672064">
      <w:bodyDiv w:val="1"/>
      <w:marLeft w:val="0"/>
      <w:marRight w:val="0"/>
      <w:marTop w:val="0"/>
      <w:marBottom w:val="0"/>
      <w:divBdr>
        <w:top w:val="none" w:sz="0" w:space="0" w:color="auto"/>
        <w:left w:val="none" w:sz="0" w:space="0" w:color="auto"/>
        <w:bottom w:val="none" w:sz="0" w:space="0" w:color="auto"/>
        <w:right w:val="none" w:sz="0" w:space="0" w:color="auto"/>
      </w:divBdr>
    </w:div>
    <w:div w:id="588464659">
      <w:bodyDiv w:val="1"/>
      <w:marLeft w:val="0"/>
      <w:marRight w:val="0"/>
      <w:marTop w:val="0"/>
      <w:marBottom w:val="0"/>
      <w:divBdr>
        <w:top w:val="none" w:sz="0" w:space="0" w:color="auto"/>
        <w:left w:val="none" w:sz="0" w:space="0" w:color="auto"/>
        <w:bottom w:val="none" w:sz="0" w:space="0" w:color="auto"/>
        <w:right w:val="none" w:sz="0" w:space="0" w:color="auto"/>
      </w:divBdr>
      <w:divsChild>
        <w:div w:id="125973386">
          <w:marLeft w:val="0"/>
          <w:marRight w:val="0"/>
          <w:marTop w:val="480"/>
          <w:marBottom w:val="240"/>
          <w:divBdr>
            <w:top w:val="none" w:sz="0" w:space="0" w:color="auto"/>
            <w:left w:val="none" w:sz="0" w:space="0" w:color="auto"/>
            <w:bottom w:val="none" w:sz="0" w:space="0" w:color="auto"/>
            <w:right w:val="none" w:sz="0" w:space="0" w:color="auto"/>
          </w:divBdr>
        </w:div>
        <w:div w:id="1547717391">
          <w:marLeft w:val="0"/>
          <w:marRight w:val="0"/>
          <w:marTop w:val="0"/>
          <w:marBottom w:val="567"/>
          <w:divBdr>
            <w:top w:val="none" w:sz="0" w:space="0" w:color="auto"/>
            <w:left w:val="none" w:sz="0" w:space="0" w:color="auto"/>
            <w:bottom w:val="none" w:sz="0" w:space="0" w:color="auto"/>
            <w:right w:val="none" w:sz="0" w:space="0" w:color="auto"/>
          </w:divBdr>
        </w:div>
      </w:divsChild>
    </w:div>
    <w:div w:id="590747174">
      <w:bodyDiv w:val="1"/>
      <w:marLeft w:val="0"/>
      <w:marRight w:val="0"/>
      <w:marTop w:val="0"/>
      <w:marBottom w:val="0"/>
      <w:divBdr>
        <w:top w:val="none" w:sz="0" w:space="0" w:color="auto"/>
        <w:left w:val="none" w:sz="0" w:space="0" w:color="auto"/>
        <w:bottom w:val="none" w:sz="0" w:space="0" w:color="auto"/>
        <w:right w:val="none" w:sz="0" w:space="0" w:color="auto"/>
      </w:divBdr>
      <w:divsChild>
        <w:div w:id="1113936155">
          <w:marLeft w:val="0"/>
          <w:marRight w:val="0"/>
          <w:marTop w:val="0"/>
          <w:marBottom w:val="0"/>
          <w:divBdr>
            <w:top w:val="none" w:sz="0" w:space="0" w:color="auto"/>
            <w:left w:val="none" w:sz="0" w:space="0" w:color="auto"/>
            <w:bottom w:val="none" w:sz="0" w:space="0" w:color="auto"/>
            <w:right w:val="none" w:sz="0" w:space="0" w:color="auto"/>
          </w:divBdr>
          <w:divsChild>
            <w:div w:id="1188451045">
              <w:marLeft w:val="0"/>
              <w:marRight w:val="0"/>
              <w:marTop w:val="0"/>
              <w:marBottom w:val="0"/>
              <w:divBdr>
                <w:top w:val="none" w:sz="0" w:space="0" w:color="auto"/>
                <w:left w:val="none" w:sz="0" w:space="0" w:color="auto"/>
                <w:bottom w:val="none" w:sz="0" w:space="0" w:color="auto"/>
                <w:right w:val="none" w:sz="0" w:space="0" w:color="auto"/>
              </w:divBdr>
              <w:divsChild>
                <w:div w:id="1060832064">
                  <w:marLeft w:val="0"/>
                  <w:marRight w:val="0"/>
                  <w:marTop w:val="0"/>
                  <w:marBottom w:val="0"/>
                  <w:divBdr>
                    <w:top w:val="none" w:sz="0" w:space="0" w:color="auto"/>
                    <w:left w:val="none" w:sz="0" w:space="0" w:color="auto"/>
                    <w:bottom w:val="none" w:sz="0" w:space="0" w:color="auto"/>
                    <w:right w:val="none" w:sz="0" w:space="0" w:color="auto"/>
                  </w:divBdr>
                  <w:divsChild>
                    <w:div w:id="536624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09629547">
      <w:bodyDiv w:val="1"/>
      <w:marLeft w:val="0"/>
      <w:marRight w:val="0"/>
      <w:marTop w:val="0"/>
      <w:marBottom w:val="0"/>
      <w:divBdr>
        <w:top w:val="none" w:sz="0" w:space="0" w:color="auto"/>
        <w:left w:val="none" w:sz="0" w:space="0" w:color="auto"/>
        <w:bottom w:val="none" w:sz="0" w:space="0" w:color="auto"/>
        <w:right w:val="none" w:sz="0" w:space="0" w:color="auto"/>
      </w:divBdr>
      <w:divsChild>
        <w:div w:id="339821825">
          <w:marLeft w:val="0"/>
          <w:marRight w:val="0"/>
          <w:marTop w:val="480"/>
          <w:marBottom w:val="240"/>
          <w:divBdr>
            <w:top w:val="none" w:sz="0" w:space="0" w:color="auto"/>
            <w:left w:val="none" w:sz="0" w:space="0" w:color="auto"/>
            <w:bottom w:val="none" w:sz="0" w:space="0" w:color="auto"/>
            <w:right w:val="none" w:sz="0" w:space="0" w:color="auto"/>
          </w:divBdr>
        </w:div>
        <w:div w:id="1382435649">
          <w:marLeft w:val="0"/>
          <w:marRight w:val="0"/>
          <w:marTop w:val="0"/>
          <w:marBottom w:val="567"/>
          <w:divBdr>
            <w:top w:val="none" w:sz="0" w:space="0" w:color="auto"/>
            <w:left w:val="none" w:sz="0" w:space="0" w:color="auto"/>
            <w:bottom w:val="none" w:sz="0" w:space="0" w:color="auto"/>
            <w:right w:val="none" w:sz="0" w:space="0" w:color="auto"/>
          </w:divBdr>
        </w:div>
      </w:divsChild>
    </w:div>
    <w:div w:id="634872851">
      <w:bodyDiv w:val="1"/>
      <w:marLeft w:val="0"/>
      <w:marRight w:val="0"/>
      <w:marTop w:val="0"/>
      <w:marBottom w:val="0"/>
      <w:divBdr>
        <w:top w:val="none" w:sz="0" w:space="0" w:color="auto"/>
        <w:left w:val="none" w:sz="0" w:space="0" w:color="auto"/>
        <w:bottom w:val="none" w:sz="0" w:space="0" w:color="auto"/>
        <w:right w:val="none" w:sz="0" w:space="0" w:color="auto"/>
      </w:divBdr>
    </w:div>
    <w:div w:id="644773924">
      <w:bodyDiv w:val="1"/>
      <w:marLeft w:val="0"/>
      <w:marRight w:val="0"/>
      <w:marTop w:val="0"/>
      <w:marBottom w:val="0"/>
      <w:divBdr>
        <w:top w:val="none" w:sz="0" w:space="0" w:color="auto"/>
        <w:left w:val="none" w:sz="0" w:space="0" w:color="auto"/>
        <w:bottom w:val="none" w:sz="0" w:space="0" w:color="auto"/>
        <w:right w:val="none" w:sz="0" w:space="0" w:color="auto"/>
      </w:divBdr>
      <w:divsChild>
        <w:div w:id="635645286">
          <w:marLeft w:val="0"/>
          <w:marRight w:val="0"/>
          <w:marTop w:val="0"/>
          <w:marBottom w:val="0"/>
          <w:divBdr>
            <w:top w:val="none" w:sz="0" w:space="0" w:color="auto"/>
            <w:left w:val="none" w:sz="0" w:space="0" w:color="auto"/>
            <w:bottom w:val="none" w:sz="0" w:space="0" w:color="auto"/>
            <w:right w:val="none" w:sz="0" w:space="0" w:color="auto"/>
          </w:divBdr>
          <w:divsChild>
            <w:div w:id="2005156563">
              <w:marLeft w:val="0"/>
              <w:marRight w:val="0"/>
              <w:marTop w:val="0"/>
              <w:marBottom w:val="0"/>
              <w:divBdr>
                <w:top w:val="none" w:sz="0" w:space="0" w:color="auto"/>
                <w:left w:val="none" w:sz="0" w:space="0" w:color="auto"/>
                <w:bottom w:val="none" w:sz="0" w:space="0" w:color="auto"/>
                <w:right w:val="none" w:sz="0" w:space="0" w:color="auto"/>
              </w:divBdr>
              <w:divsChild>
                <w:div w:id="2081320217">
                  <w:marLeft w:val="0"/>
                  <w:marRight w:val="0"/>
                  <w:marTop w:val="0"/>
                  <w:marBottom w:val="0"/>
                  <w:divBdr>
                    <w:top w:val="none" w:sz="0" w:space="0" w:color="auto"/>
                    <w:left w:val="none" w:sz="0" w:space="0" w:color="auto"/>
                    <w:bottom w:val="none" w:sz="0" w:space="0" w:color="auto"/>
                    <w:right w:val="none" w:sz="0" w:space="0" w:color="auto"/>
                  </w:divBdr>
                  <w:divsChild>
                    <w:div w:id="619606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62513357">
      <w:bodyDiv w:val="1"/>
      <w:marLeft w:val="0"/>
      <w:marRight w:val="0"/>
      <w:marTop w:val="0"/>
      <w:marBottom w:val="0"/>
      <w:divBdr>
        <w:top w:val="none" w:sz="0" w:space="0" w:color="auto"/>
        <w:left w:val="none" w:sz="0" w:space="0" w:color="auto"/>
        <w:bottom w:val="none" w:sz="0" w:space="0" w:color="auto"/>
        <w:right w:val="none" w:sz="0" w:space="0" w:color="auto"/>
      </w:divBdr>
      <w:divsChild>
        <w:div w:id="1569143810">
          <w:marLeft w:val="0"/>
          <w:marRight w:val="0"/>
          <w:marTop w:val="0"/>
          <w:marBottom w:val="0"/>
          <w:divBdr>
            <w:top w:val="none" w:sz="0" w:space="0" w:color="auto"/>
            <w:left w:val="none" w:sz="0" w:space="0" w:color="auto"/>
            <w:bottom w:val="none" w:sz="0" w:space="0" w:color="auto"/>
            <w:right w:val="none" w:sz="0" w:space="0" w:color="auto"/>
          </w:divBdr>
          <w:divsChild>
            <w:div w:id="1841500764">
              <w:marLeft w:val="0"/>
              <w:marRight w:val="0"/>
              <w:marTop w:val="0"/>
              <w:marBottom w:val="0"/>
              <w:divBdr>
                <w:top w:val="none" w:sz="0" w:space="0" w:color="auto"/>
                <w:left w:val="none" w:sz="0" w:space="0" w:color="auto"/>
                <w:bottom w:val="none" w:sz="0" w:space="0" w:color="auto"/>
                <w:right w:val="none" w:sz="0" w:space="0" w:color="auto"/>
              </w:divBdr>
              <w:divsChild>
                <w:div w:id="83500414">
                  <w:marLeft w:val="0"/>
                  <w:marRight w:val="0"/>
                  <w:marTop w:val="0"/>
                  <w:marBottom w:val="0"/>
                  <w:divBdr>
                    <w:top w:val="none" w:sz="0" w:space="0" w:color="auto"/>
                    <w:left w:val="none" w:sz="0" w:space="0" w:color="auto"/>
                    <w:bottom w:val="none" w:sz="0" w:space="0" w:color="auto"/>
                    <w:right w:val="none" w:sz="0" w:space="0" w:color="auto"/>
                  </w:divBdr>
                  <w:divsChild>
                    <w:div w:id="627132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68094170">
      <w:bodyDiv w:val="1"/>
      <w:marLeft w:val="0"/>
      <w:marRight w:val="0"/>
      <w:marTop w:val="0"/>
      <w:marBottom w:val="0"/>
      <w:divBdr>
        <w:top w:val="none" w:sz="0" w:space="0" w:color="auto"/>
        <w:left w:val="none" w:sz="0" w:space="0" w:color="auto"/>
        <w:bottom w:val="none" w:sz="0" w:space="0" w:color="auto"/>
        <w:right w:val="none" w:sz="0" w:space="0" w:color="auto"/>
      </w:divBdr>
    </w:div>
    <w:div w:id="879827883">
      <w:bodyDiv w:val="1"/>
      <w:marLeft w:val="0"/>
      <w:marRight w:val="0"/>
      <w:marTop w:val="0"/>
      <w:marBottom w:val="0"/>
      <w:divBdr>
        <w:top w:val="none" w:sz="0" w:space="0" w:color="auto"/>
        <w:left w:val="none" w:sz="0" w:space="0" w:color="auto"/>
        <w:bottom w:val="none" w:sz="0" w:space="0" w:color="auto"/>
        <w:right w:val="none" w:sz="0" w:space="0" w:color="auto"/>
      </w:divBdr>
      <w:divsChild>
        <w:div w:id="1188832420">
          <w:marLeft w:val="0"/>
          <w:marRight w:val="0"/>
          <w:marTop w:val="0"/>
          <w:marBottom w:val="0"/>
          <w:divBdr>
            <w:top w:val="none" w:sz="0" w:space="0" w:color="auto"/>
            <w:left w:val="none" w:sz="0" w:space="0" w:color="auto"/>
            <w:bottom w:val="none" w:sz="0" w:space="0" w:color="auto"/>
            <w:right w:val="none" w:sz="0" w:space="0" w:color="auto"/>
          </w:divBdr>
          <w:divsChild>
            <w:div w:id="1327398319">
              <w:marLeft w:val="0"/>
              <w:marRight w:val="0"/>
              <w:marTop w:val="0"/>
              <w:marBottom w:val="0"/>
              <w:divBdr>
                <w:top w:val="none" w:sz="0" w:space="0" w:color="auto"/>
                <w:left w:val="none" w:sz="0" w:space="0" w:color="auto"/>
                <w:bottom w:val="none" w:sz="0" w:space="0" w:color="auto"/>
                <w:right w:val="none" w:sz="0" w:space="0" w:color="auto"/>
              </w:divBdr>
              <w:divsChild>
                <w:div w:id="1350067226">
                  <w:marLeft w:val="0"/>
                  <w:marRight w:val="0"/>
                  <w:marTop w:val="0"/>
                  <w:marBottom w:val="0"/>
                  <w:divBdr>
                    <w:top w:val="none" w:sz="0" w:space="0" w:color="auto"/>
                    <w:left w:val="none" w:sz="0" w:space="0" w:color="auto"/>
                    <w:bottom w:val="none" w:sz="0" w:space="0" w:color="auto"/>
                    <w:right w:val="none" w:sz="0" w:space="0" w:color="auto"/>
                  </w:divBdr>
                  <w:divsChild>
                    <w:div w:id="13556944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07111138">
      <w:bodyDiv w:val="1"/>
      <w:marLeft w:val="0"/>
      <w:marRight w:val="0"/>
      <w:marTop w:val="0"/>
      <w:marBottom w:val="0"/>
      <w:divBdr>
        <w:top w:val="none" w:sz="0" w:space="0" w:color="auto"/>
        <w:left w:val="none" w:sz="0" w:space="0" w:color="auto"/>
        <w:bottom w:val="none" w:sz="0" w:space="0" w:color="auto"/>
        <w:right w:val="none" w:sz="0" w:space="0" w:color="auto"/>
      </w:divBdr>
      <w:divsChild>
        <w:div w:id="2087920143">
          <w:marLeft w:val="0"/>
          <w:marRight w:val="0"/>
          <w:marTop w:val="0"/>
          <w:marBottom w:val="0"/>
          <w:divBdr>
            <w:top w:val="none" w:sz="0" w:space="0" w:color="auto"/>
            <w:left w:val="none" w:sz="0" w:space="0" w:color="auto"/>
            <w:bottom w:val="none" w:sz="0" w:space="0" w:color="auto"/>
            <w:right w:val="none" w:sz="0" w:space="0" w:color="auto"/>
          </w:divBdr>
          <w:divsChild>
            <w:div w:id="1919098058">
              <w:marLeft w:val="0"/>
              <w:marRight w:val="0"/>
              <w:marTop w:val="0"/>
              <w:marBottom w:val="0"/>
              <w:divBdr>
                <w:top w:val="none" w:sz="0" w:space="0" w:color="auto"/>
                <w:left w:val="none" w:sz="0" w:space="0" w:color="auto"/>
                <w:bottom w:val="none" w:sz="0" w:space="0" w:color="auto"/>
                <w:right w:val="none" w:sz="0" w:space="0" w:color="auto"/>
              </w:divBdr>
              <w:divsChild>
                <w:div w:id="1726756103">
                  <w:marLeft w:val="0"/>
                  <w:marRight w:val="0"/>
                  <w:marTop w:val="0"/>
                  <w:marBottom w:val="0"/>
                  <w:divBdr>
                    <w:top w:val="none" w:sz="0" w:space="0" w:color="auto"/>
                    <w:left w:val="none" w:sz="0" w:space="0" w:color="auto"/>
                    <w:bottom w:val="none" w:sz="0" w:space="0" w:color="auto"/>
                    <w:right w:val="none" w:sz="0" w:space="0" w:color="auto"/>
                  </w:divBdr>
                  <w:divsChild>
                    <w:div w:id="20452522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57818100">
      <w:bodyDiv w:val="1"/>
      <w:marLeft w:val="0"/>
      <w:marRight w:val="0"/>
      <w:marTop w:val="0"/>
      <w:marBottom w:val="0"/>
      <w:divBdr>
        <w:top w:val="none" w:sz="0" w:space="0" w:color="auto"/>
        <w:left w:val="none" w:sz="0" w:space="0" w:color="auto"/>
        <w:bottom w:val="none" w:sz="0" w:space="0" w:color="auto"/>
        <w:right w:val="none" w:sz="0" w:space="0" w:color="auto"/>
      </w:divBdr>
      <w:divsChild>
        <w:div w:id="1430269276">
          <w:marLeft w:val="0"/>
          <w:marRight w:val="0"/>
          <w:marTop w:val="0"/>
          <w:marBottom w:val="0"/>
          <w:divBdr>
            <w:top w:val="none" w:sz="0" w:space="0" w:color="auto"/>
            <w:left w:val="none" w:sz="0" w:space="0" w:color="auto"/>
            <w:bottom w:val="none" w:sz="0" w:space="0" w:color="auto"/>
            <w:right w:val="none" w:sz="0" w:space="0" w:color="auto"/>
          </w:divBdr>
          <w:divsChild>
            <w:div w:id="875120660">
              <w:marLeft w:val="0"/>
              <w:marRight w:val="0"/>
              <w:marTop w:val="0"/>
              <w:marBottom w:val="0"/>
              <w:divBdr>
                <w:top w:val="none" w:sz="0" w:space="0" w:color="auto"/>
                <w:left w:val="none" w:sz="0" w:space="0" w:color="auto"/>
                <w:bottom w:val="none" w:sz="0" w:space="0" w:color="auto"/>
                <w:right w:val="none" w:sz="0" w:space="0" w:color="auto"/>
              </w:divBdr>
              <w:divsChild>
                <w:div w:id="58484204">
                  <w:marLeft w:val="0"/>
                  <w:marRight w:val="0"/>
                  <w:marTop w:val="0"/>
                  <w:marBottom w:val="0"/>
                  <w:divBdr>
                    <w:top w:val="none" w:sz="0" w:space="0" w:color="auto"/>
                    <w:left w:val="none" w:sz="0" w:space="0" w:color="auto"/>
                    <w:bottom w:val="none" w:sz="0" w:space="0" w:color="auto"/>
                    <w:right w:val="none" w:sz="0" w:space="0" w:color="auto"/>
                  </w:divBdr>
                  <w:divsChild>
                    <w:div w:id="2045593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15370785">
      <w:bodyDiv w:val="1"/>
      <w:marLeft w:val="0"/>
      <w:marRight w:val="0"/>
      <w:marTop w:val="0"/>
      <w:marBottom w:val="0"/>
      <w:divBdr>
        <w:top w:val="none" w:sz="0" w:space="0" w:color="auto"/>
        <w:left w:val="none" w:sz="0" w:space="0" w:color="auto"/>
        <w:bottom w:val="none" w:sz="0" w:space="0" w:color="auto"/>
        <w:right w:val="none" w:sz="0" w:space="0" w:color="auto"/>
      </w:divBdr>
    </w:div>
    <w:div w:id="1188446148">
      <w:bodyDiv w:val="1"/>
      <w:marLeft w:val="0"/>
      <w:marRight w:val="0"/>
      <w:marTop w:val="0"/>
      <w:marBottom w:val="0"/>
      <w:divBdr>
        <w:top w:val="none" w:sz="0" w:space="0" w:color="auto"/>
        <w:left w:val="none" w:sz="0" w:space="0" w:color="auto"/>
        <w:bottom w:val="none" w:sz="0" w:space="0" w:color="auto"/>
        <w:right w:val="none" w:sz="0" w:space="0" w:color="auto"/>
      </w:divBdr>
    </w:div>
    <w:div w:id="1310940693">
      <w:bodyDiv w:val="1"/>
      <w:marLeft w:val="0"/>
      <w:marRight w:val="0"/>
      <w:marTop w:val="0"/>
      <w:marBottom w:val="0"/>
      <w:divBdr>
        <w:top w:val="none" w:sz="0" w:space="0" w:color="auto"/>
        <w:left w:val="none" w:sz="0" w:space="0" w:color="auto"/>
        <w:bottom w:val="none" w:sz="0" w:space="0" w:color="auto"/>
        <w:right w:val="none" w:sz="0" w:space="0" w:color="auto"/>
      </w:divBdr>
      <w:divsChild>
        <w:div w:id="1287850954">
          <w:marLeft w:val="0"/>
          <w:marRight w:val="0"/>
          <w:marTop w:val="0"/>
          <w:marBottom w:val="0"/>
          <w:divBdr>
            <w:top w:val="none" w:sz="0" w:space="0" w:color="auto"/>
            <w:left w:val="none" w:sz="0" w:space="0" w:color="auto"/>
            <w:bottom w:val="none" w:sz="0" w:space="0" w:color="auto"/>
            <w:right w:val="none" w:sz="0" w:space="0" w:color="auto"/>
          </w:divBdr>
          <w:divsChild>
            <w:div w:id="1894653079">
              <w:marLeft w:val="0"/>
              <w:marRight w:val="0"/>
              <w:marTop w:val="0"/>
              <w:marBottom w:val="0"/>
              <w:divBdr>
                <w:top w:val="none" w:sz="0" w:space="0" w:color="auto"/>
                <w:left w:val="none" w:sz="0" w:space="0" w:color="auto"/>
                <w:bottom w:val="none" w:sz="0" w:space="0" w:color="auto"/>
                <w:right w:val="none" w:sz="0" w:space="0" w:color="auto"/>
              </w:divBdr>
              <w:divsChild>
                <w:div w:id="369691148">
                  <w:marLeft w:val="0"/>
                  <w:marRight w:val="0"/>
                  <w:marTop w:val="0"/>
                  <w:marBottom w:val="0"/>
                  <w:divBdr>
                    <w:top w:val="none" w:sz="0" w:space="0" w:color="auto"/>
                    <w:left w:val="none" w:sz="0" w:space="0" w:color="auto"/>
                    <w:bottom w:val="none" w:sz="0" w:space="0" w:color="auto"/>
                    <w:right w:val="none" w:sz="0" w:space="0" w:color="auto"/>
                  </w:divBdr>
                  <w:divsChild>
                    <w:div w:id="1135610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89847774">
      <w:bodyDiv w:val="1"/>
      <w:marLeft w:val="0"/>
      <w:marRight w:val="0"/>
      <w:marTop w:val="0"/>
      <w:marBottom w:val="0"/>
      <w:divBdr>
        <w:top w:val="none" w:sz="0" w:space="0" w:color="auto"/>
        <w:left w:val="none" w:sz="0" w:space="0" w:color="auto"/>
        <w:bottom w:val="none" w:sz="0" w:space="0" w:color="auto"/>
        <w:right w:val="none" w:sz="0" w:space="0" w:color="auto"/>
      </w:divBdr>
    </w:div>
    <w:div w:id="1591230636">
      <w:bodyDiv w:val="1"/>
      <w:marLeft w:val="0"/>
      <w:marRight w:val="0"/>
      <w:marTop w:val="0"/>
      <w:marBottom w:val="0"/>
      <w:divBdr>
        <w:top w:val="none" w:sz="0" w:space="0" w:color="auto"/>
        <w:left w:val="none" w:sz="0" w:space="0" w:color="auto"/>
        <w:bottom w:val="none" w:sz="0" w:space="0" w:color="auto"/>
        <w:right w:val="none" w:sz="0" w:space="0" w:color="auto"/>
      </w:divBdr>
    </w:div>
    <w:div w:id="1640186837">
      <w:bodyDiv w:val="1"/>
      <w:marLeft w:val="0"/>
      <w:marRight w:val="0"/>
      <w:marTop w:val="0"/>
      <w:marBottom w:val="0"/>
      <w:divBdr>
        <w:top w:val="none" w:sz="0" w:space="0" w:color="auto"/>
        <w:left w:val="none" w:sz="0" w:space="0" w:color="auto"/>
        <w:bottom w:val="none" w:sz="0" w:space="0" w:color="auto"/>
        <w:right w:val="none" w:sz="0" w:space="0" w:color="auto"/>
      </w:divBdr>
      <w:divsChild>
        <w:div w:id="716054446">
          <w:marLeft w:val="0"/>
          <w:marRight w:val="0"/>
          <w:marTop w:val="0"/>
          <w:marBottom w:val="0"/>
          <w:divBdr>
            <w:top w:val="none" w:sz="0" w:space="0" w:color="auto"/>
            <w:left w:val="none" w:sz="0" w:space="0" w:color="auto"/>
            <w:bottom w:val="none" w:sz="0" w:space="0" w:color="auto"/>
            <w:right w:val="none" w:sz="0" w:space="0" w:color="auto"/>
          </w:divBdr>
          <w:divsChild>
            <w:div w:id="1071462685">
              <w:marLeft w:val="0"/>
              <w:marRight w:val="0"/>
              <w:marTop w:val="0"/>
              <w:marBottom w:val="0"/>
              <w:divBdr>
                <w:top w:val="none" w:sz="0" w:space="0" w:color="auto"/>
                <w:left w:val="none" w:sz="0" w:space="0" w:color="auto"/>
                <w:bottom w:val="none" w:sz="0" w:space="0" w:color="auto"/>
                <w:right w:val="none" w:sz="0" w:space="0" w:color="auto"/>
              </w:divBdr>
              <w:divsChild>
                <w:div w:id="2137285444">
                  <w:marLeft w:val="0"/>
                  <w:marRight w:val="0"/>
                  <w:marTop w:val="0"/>
                  <w:marBottom w:val="0"/>
                  <w:divBdr>
                    <w:top w:val="none" w:sz="0" w:space="0" w:color="auto"/>
                    <w:left w:val="none" w:sz="0" w:space="0" w:color="auto"/>
                    <w:bottom w:val="none" w:sz="0" w:space="0" w:color="auto"/>
                    <w:right w:val="none" w:sz="0" w:space="0" w:color="auto"/>
                  </w:divBdr>
                  <w:divsChild>
                    <w:div w:id="1129400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50286075">
      <w:bodyDiv w:val="1"/>
      <w:marLeft w:val="0"/>
      <w:marRight w:val="0"/>
      <w:marTop w:val="0"/>
      <w:marBottom w:val="0"/>
      <w:divBdr>
        <w:top w:val="none" w:sz="0" w:space="0" w:color="auto"/>
        <w:left w:val="none" w:sz="0" w:space="0" w:color="auto"/>
        <w:bottom w:val="none" w:sz="0" w:space="0" w:color="auto"/>
        <w:right w:val="none" w:sz="0" w:space="0" w:color="auto"/>
      </w:divBdr>
      <w:divsChild>
        <w:div w:id="1610576596">
          <w:marLeft w:val="0"/>
          <w:marRight w:val="0"/>
          <w:marTop w:val="0"/>
          <w:marBottom w:val="0"/>
          <w:divBdr>
            <w:top w:val="none" w:sz="0" w:space="0" w:color="auto"/>
            <w:left w:val="none" w:sz="0" w:space="0" w:color="auto"/>
            <w:bottom w:val="none" w:sz="0" w:space="0" w:color="auto"/>
            <w:right w:val="none" w:sz="0" w:space="0" w:color="auto"/>
          </w:divBdr>
          <w:divsChild>
            <w:div w:id="50272363">
              <w:marLeft w:val="0"/>
              <w:marRight w:val="0"/>
              <w:marTop w:val="0"/>
              <w:marBottom w:val="0"/>
              <w:divBdr>
                <w:top w:val="none" w:sz="0" w:space="0" w:color="auto"/>
                <w:left w:val="none" w:sz="0" w:space="0" w:color="auto"/>
                <w:bottom w:val="none" w:sz="0" w:space="0" w:color="auto"/>
                <w:right w:val="none" w:sz="0" w:space="0" w:color="auto"/>
              </w:divBdr>
              <w:divsChild>
                <w:div w:id="1277256831">
                  <w:marLeft w:val="0"/>
                  <w:marRight w:val="0"/>
                  <w:marTop w:val="0"/>
                  <w:marBottom w:val="0"/>
                  <w:divBdr>
                    <w:top w:val="none" w:sz="0" w:space="0" w:color="auto"/>
                    <w:left w:val="none" w:sz="0" w:space="0" w:color="auto"/>
                    <w:bottom w:val="none" w:sz="0" w:space="0" w:color="auto"/>
                    <w:right w:val="none" w:sz="0" w:space="0" w:color="auto"/>
                  </w:divBdr>
                  <w:divsChild>
                    <w:div w:id="1141190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16269809">
      <w:bodyDiv w:val="1"/>
      <w:marLeft w:val="0"/>
      <w:marRight w:val="0"/>
      <w:marTop w:val="0"/>
      <w:marBottom w:val="0"/>
      <w:divBdr>
        <w:top w:val="none" w:sz="0" w:space="0" w:color="auto"/>
        <w:left w:val="none" w:sz="0" w:space="0" w:color="auto"/>
        <w:bottom w:val="none" w:sz="0" w:space="0" w:color="auto"/>
        <w:right w:val="none" w:sz="0" w:space="0" w:color="auto"/>
      </w:divBdr>
      <w:divsChild>
        <w:div w:id="1910117647">
          <w:marLeft w:val="0"/>
          <w:marRight w:val="0"/>
          <w:marTop w:val="0"/>
          <w:marBottom w:val="0"/>
          <w:divBdr>
            <w:top w:val="none" w:sz="0" w:space="0" w:color="auto"/>
            <w:left w:val="none" w:sz="0" w:space="0" w:color="auto"/>
            <w:bottom w:val="none" w:sz="0" w:space="0" w:color="auto"/>
            <w:right w:val="none" w:sz="0" w:space="0" w:color="auto"/>
          </w:divBdr>
          <w:divsChild>
            <w:div w:id="62459197">
              <w:marLeft w:val="0"/>
              <w:marRight w:val="0"/>
              <w:marTop w:val="0"/>
              <w:marBottom w:val="0"/>
              <w:divBdr>
                <w:top w:val="none" w:sz="0" w:space="0" w:color="auto"/>
                <w:left w:val="none" w:sz="0" w:space="0" w:color="auto"/>
                <w:bottom w:val="none" w:sz="0" w:space="0" w:color="auto"/>
                <w:right w:val="none" w:sz="0" w:space="0" w:color="auto"/>
              </w:divBdr>
              <w:divsChild>
                <w:div w:id="1527137845">
                  <w:marLeft w:val="0"/>
                  <w:marRight w:val="0"/>
                  <w:marTop w:val="0"/>
                  <w:marBottom w:val="0"/>
                  <w:divBdr>
                    <w:top w:val="none" w:sz="0" w:space="0" w:color="auto"/>
                    <w:left w:val="none" w:sz="0" w:space="0" w:color="auto"/>
                    <w:bottom w:val="none" w:sz="0" w:space="0" w:color="auto"/>
                    <w:right w:val="none" w:sz="0" w:space="0" w:color="auto"/>
                  </w:divBdr>
                  <w:divsChild>
                    <w:div w:id="1611282181">
                      <w:marLeft w:val="0"/>
                      <w:marRight w:val="0"/>
                      <w:marTop w:val="0"/>
                      <w:marBottom w:val="0"/>
                      <w:divBdr>
                        <w:top w:val="none" w:sz="0" w:space="0" w:color="auto"/>
                        <w:left w:val="none" w:sz="0" w:space="0" w:color="auto"/>
                        <w:bottom w:val="none" w:sz="0" w:space="0" w:color="auto"/>
                        <w:right w:val="none" w:sz="0" w:space="0" w:color="auto"/>
                      </w:divBdr>
                      <w:divsChild>
                        <w:div w:id="2034383492">
                          <w:marLeft w:val="0"/>
                          <w:marRight w:val="0"/>
                          <w:marTop w:val="300"/>
                          <w:marBottom w:val="0"/>
                          <w:divBdr>
                            <w:top w:val="none" w:sz="0" w:space="0" w:color="auto"/>
                            <w:left w:val="none" w:sz="0" w:space="0" w:color="auto"/>
                            <w:bottom w:val="none" w:sz="0" w:space="0" w:color="auto"/>
                            <w:right w:val="none" w:sz="0" w:space="0" w:color="auto"/>
                          </w:divBdr>
                          <w:divsChild>
                            <w:div w:id="1131557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236865">
      <w:bodyDiv w:val="1"/>
      <w:marLeft w:val="0"/>
      <w:marRight w:val="0"/>
      <w:marTop w:val="0"/>
      <w:marBottom w:val="0"/>
      <w:divBdr>
        <w:top w:val="none" w:sz="0" w:space="0" w:color="auto"/>
        <w:left w:val="none" w:sz="0" w:space="0" w:color="auto"/>
        <w:bottom w:val="none" w:sz="0" w:space="0" w:color="auto"/>
        <w:right w:val="none" w:sz="0" w:space="0" w:color="auto"/>
      </w:divBdr>
      <w:divsChild>
        <w:div w:id="1777477030">
          <w:marLeft w:val="0"/>
          <w:marRight w:val="0"/>
          <w:marTop w:val="0"/>
          <w:marBottom w:val="0"/>
          <w:divBdr>
            <w:top w:val="none" w:sz="0" w:space="0" w:color="auto"/>
            <w:left w:val="none" w:sz="0" w:space="0" w:color="auto"/>
            <w:bottom w:val="none" w:sz="0" w:space="0" w:color="auto"/>
            <w:right w:val="none" w:sz="0" w:space="0" w:color="auto"/>
          </w:divBdr>
          <w:divsChild>
            <w:div w:id="1008101983">
              <w:marLeft w:val="0"/>
              <w:marRight w:val="0"/>
              <w:marTop w:val="0"/>
              <w:marBottom w:val="0"/>
              <w:divBdr>
                <w:top w:val="none" w:sz="0" w:space="0" w:color="auto"/>
                <w:left w:val="none" w:sz="0" w:space="0" w:color="auto"/>
                <w:bottom w:val="none" w:sz="0" w:space="0" w:color="auto"/>
                <w:right w:val="none" w:sz="0" w:space="0" w:color="auto"/>
              </w:divBdr>
              <w:divsChild>
                <w:div w:id="1319722659">
                  <w:marLeft w:val="0"/>
                  <w:marRight w:val="0"/>
                  <w:marTop w:val="0"/>
                  <w:marBottom w:val="0"/>
                  <w:divBdr>
                    <w:top w:val="none" w:sz="0" w:space="0" w:color="auto"/>
                    <w:left w:val="none" w:sz="0" w:space="0" w:color="auto"/>
                    <w:bottom w:val="none" w:sz="0" w:space="0" w:color="auto"/>
                    <w:right w:val="none" w:sz="0" w:space="0" w:color="auto"/>
                  </w:divBdr>
                  <w:divsChild>
                    <w:div w:id="681123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0923470">
      <w:bodyDiv w:val="1"/>
      <w:marLeft w:val="0"/>
      <w:marRight w:val="0"/>
      <w:marTop w:val="0"/>
      <w:marBottom w:val="0"/>
      <w:divBdr>
        <w:top w:val="none" w:sz="0" w:space="0" w:color="auto"/>
        <w:left w:val="none" w:sz="0" w:space="0" w:color="auto"/>
        <w:bottom w:val="none" w:sz="0" w:space="0" w:color="auto"/>
        <w:right w:val="none" w:sz="0" w:space="0" w:color="auto"/>
      </w:divBdr>
    </w:div>
    <w:div w:id="2003968976">
      <w:bodyDiv w:val="1"/>
      <w:marLeft w:val="0"/>
      <w:marRight w:val="0"/>
      <w:marTop w:val="0"/>
      <w:marBottom w:val="0"/>
      <w:divBdr>
        <w:top w:val="none" w:sz="0" w:space="0" w:color="auto"/>
        <w:left w:val="none" w:sz="0" w:space="0" w:color="auto"/>
        <w:bottom w:val="none" w:sz="0" w:space="0" w:color="auto"/>
        <w:right w:val="none" w:sz="0" w:space="0" w:color="auto"/>
      </w:divBdr>
    </w:div>
    <w:div w:id="2057704763">
      <w:bodyDiv w:val="1"/>
      <w:marLeft w:val="0"/>
      <w:marRight w:val="0"/>
      <w:marTop w:val="0"/>
      <w:marBottom w:val="0"/>
      <w:divBdr>
        <w:top w:val="none" w:sz="0" w:space="0" w:color="auto"/>
        <w:left w:val="none" w:sz="0" w:space="0" w:color="auto"/>
        <w:bottom w:val="none" w:sz="0" w:space="0" w:color="auto"/>
        <w:right w:val="none" w:sz="0" w:space="0" w:color="auto"/>
      </w:divBdr>
    </w:div>
    <w:div w:id="2064787339">
      <w:bodyDiv w:val="1"/>
      <w:marLeft w:val="0"/>
      <w:marRight w:val="0"/>
      <w:marTop w:val="0"/>
      <w:marBottom w:val="0"/>
      <w:divBdr>
        <w:top w:val="none" w:sz="0" w:space="0" w:color="auto"/>
        <w:left w:val="none" w:sz="0" w:space="0" w:color="auto"/>
        <w:bottom w:val="none" w:sz="0" w:space="0" w:color="auto"/>
        <w:right w:val="none" w:sz="0" w:space="0" w:color="auto"/>
      </w:divBdr>
      <w:divsChild>
        <w:div w:id="1945266824">
          <w:marLeft w:val="0"/>
          <w:marRight w:val="0"/>
          <w:marTop w:val="0"/>
          <w:marBottom w:val="0"/>
          <w:divBdr>
            <w:top w:val="none" w:sz="0" w:space="0" w:color="auto"/>
            <w:left w:val="none" w:sz="0" w:space="0" w:color="auto"/>
            <w:bottom w:val="none" w:sz="0" w:space="0" w:color="auto"/>
            <w:right w:val="none" w:sz="0" w:space="0" w:color="auto"/>
          </w:divBdr>
          <w:divsChild>
            <w:div w:id="739909707">
              <w:marLeft w:val="0"/>
              <w:marRight w:val="0"/>
              <w:marTop w:val="0"/>
              <w:marBottom w:val="0"/>
              <w:divBdr>
                <w:top w:val="none" w:sz="0" w:space="0" w:color="auto"/>
                <w:left w:val="none" w:sz="0" w:space="0" w:color="auto"/>
                <w:bottom w:val="none" w:sz="0" w:space="0" w:color="auto"/>
                <w:right w:val="none" w:sz="0" w:space="0" w:color="auto"/>
              </w:divBdr>
              <w:divsChild>
                <w:div w:id="725034838">
                  <w:marLeft w:val="0"/>
                  <w:marRight w:val="0"/>
                  <w:marTop w:val="0"/>
                  <w:marBottom w:val="0"/>
                  <w:divBdr>
                    <w:top w:val="none" w:sz="0" w:space="0" w:color="auto"/>
                    <w:left w:val="none" w:sz="0" w:space="0" w:color="auto"/>
                    <w:bottom w:val="none" w:sz="0" w:space="0" w:color="auto"/>
                    <w:right w:val="none" w:sz="0" w:space="0" w:color="auto"/>
                  </w:divBdr>
                  <w:divsChild>
                    <w:div w:id="1008943763">
                      <w:marLeft w:val="0"/>
                      <w:marRight w:val="0"/>
                      <w:marTop w:val="0"/>
                      <w:marBottom w:val="0"/>
                      <w:divBdr>
                        <w:top w:val="none" w:sz="0" w:space="0" w:color="auto"/>
                        <w:left w:val="none" w:sz="0" w:space="0" w:color="auto"/>
                        <w:bottom w:val="none" w:sz="0" w:space="0" w:color="auto"/>
                        <w:right w:val="none" w:sz="0" w:space="0" w:color="auto"/>
                      </w:divBdr>
                      <w:divsChild>
                        <w:div w:id="1627079448">
                          <w:marLeft w:val="0"/>
                          <w:marRight w:val="0"/>
                          <w:marTop w:val="300"/>
                          <w:marBottom w:val="0"/>
                          <w:divBdr>
                            <w:top w:val="none" w:sz="0" w:space="0" w:color="auto"/>
                            <w:left w:val="none" w:sz="0" w:space="0" w:color="auto"/>
                            <w:bottom w:val="none" w:sz="0" w:space="0" w:color="auto"/>
                            <w:right w:val="none" w:sz="0" w:space="0" w:color="auto"/>
                          </w:divBdr>
                          <w:divsChild>
                            <w:div w:id="1093626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038D-3F1D-4C2D-9895-EB81FD83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5000</Words>
  <Characters>2851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„Subsidētās elektroenerģijas nodokļa likums”</vt:lpstr>
      <vt:lpstr/>
    </vt:vector>
  </TitlesOfParts>
  <Company>IeM</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„Subsidētās elektroenerģijas nodokļa likums”</dc:title>
  <dc:subject/>
  <dc:creator>Mr. Scruff</dc:creator>
  <cp:keywords/>
  <dc:description>Kārlis Piģēns, 67013133</dc:description>
  <cp:lastModifiedBy>Haralds Skarbnieks</cp:lastModifiedBy>
  <cp:revision>4</cp:revision>
  <cp:lastPrinted>2016-09-13T10:05:00Z</cp:lastPrinted>
  <dcterms:created xsi:type="dcterms:W3CDTF">2016-09-26T12:14:00Z</dcterms:created>
  <dcterms:modified xsi:type="dcterms:W3CDTF">2016-09-26T12:20:00Z</dcterms:modified>
  <cp:contentStatus/>
</cp:coreProperties>
</file>