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A06" w:rsidRPr="00CD2766" w:rsidRDefault="00D93A06" w:rsidP="00D93A06">
      <w:pPr>
        <w:spacing w:before="120" w:after="0" w:line="240" w:lineRule="auto"/>
        <w:ind w:firstLine="567"/>
        <w:jc w:val="right"/>
        <w:rPr>
          <w:rFonts w:ascii="Times New Roman" w:hAnsi="Times New Roman" w:cs="Times New Roman"/>
          <w:b/>
          <w:color w:val="000000" w:themeColor="text1"/>
          <w:sz w:val="24"/>
          <w:szCs w:val="24"/>
        </w:rPr>
      </w:pPr>
      <w:r w:rsidRPr="00CD2766">
        <w:rPr>
          <w:rFonts w:ascii="Times New Roman" w:hAnsi="Times New Roman" w:cs="Times New Roman"/>
          <w:b/>
          <w:color w:val="000000" w:themeColor="text1"/>
          <w:sz w:val="24"/>
          <w:szCs w:val="24"/>
        </w:rPr>
        <w:t>3.pielikums</w:t>
      </w:r>
    </w:p>
    <w:p w:rsidR="00D93A06" w:rsidRPr="00CD2766" w:rsidRDefault="00D93A06" w:rsidP="00D93A06">
      <w:pPr>
        <w:spacing w:before="120" w:after="0" w:line="240" w:lineRule="auto"/>
        <w:ind w:firstLine="567"/>
        <w:jc w:val="center"/>
        <w:rPr>
          <w:rFonts w:ascii="Times New Roman" w:hAnsi="Times New Roman" w:cs="Times New Roman"/>
          <w:b/>
          <w:color w:val="000000" w:themeColor="text1"/>
          <w:sz w:val="24"/>
          <w:szCs w:val="24"/>
        </w:rPr>
      </w:pPr>
      <w:r w:rsidRPr="00CD2766">
        <w:rPr>
          <w:rFonts w:ascii="Times New Roman" w:hAnsi="Times New Roman" w:cs="Times New Roman"/>
          <w:b/>
          <w:color w:val="000000" w:themeColor="text1"/>
          <w:sz w:val="24"/>
          <w:szCs w:val="24"/>
        </w:rPr>
        <w:t xml:space="preserve">Starptautiskā prakse nodokļu atbalsta stimuliem </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Līdzšinējā praksē Eiropas Savienības (turpmāk – ES) valstīs tiek piemēroti nodokļu atvieglojumi, kas paredz samazinātas UIN likmes, nodokļu kredītus vai IIN likmes, kā arī atvieglotas grāmatvedības prasības, bet tikai atsevišķos gadījumos tiek piemērotas samazinātas sociālo apdrošināšanas iemaksu likmes.</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b/>
          <w:color w:val="000000" w:themeColor="text1"/>
          <w:sz w:val="24"/>
          <w:szCs w:val="24"/>
        </w:rPr>
        <w:t>Austrijā</w:t>
      </w:r>
      <w:r w:rsidRPr="00CD2766">
        <w:rPr>
          <w:rFonts w:ascii="Times New Roman" w:hAnsi="Times New Roman" w:cs="Times New Roman"/>
          <w:color w:val="000000" w:themeColor="text1"/>
          <w:sz w:val="24"/>
          <w:szCs w:val="24"/>
        </w:rPr>
        <w:t xml:space="preserve"> gan uzņēmumi, gan </w:t>
      </w:r>
      <w:proofErr w:type="spellStart"/>
      <w:r w:rsidRPr="00CD2766">
        <w:rPr>
          <w:rFonts w:ascii="Times New Roman" w:hAnsi="Times New Roman" w:cs="Times New Roman"/>
          <w:color w:val="000000" w:themeColor="text1"/>
          <w:sz w:val="24"/>
          <w:szCs w:val="24"/>
        </w:rPr>
        <w:t>pašnodarbinātas</w:t>
      </w:r>
      <w:proofErr w:type="spellEnd"/>
      <w:r w:rsidRPr="00CD2766">
        <w:rPr>
          <w:rFonts w:ascii="Times New Roman" w:hAnsi="Times New Roman" w:cs="Times New Roman"/>
          <w:color w:val="000000" w:themeColor="text1"/>
          <w:sz w:val="24"/>
          <w:szCs w:val="24"/>
        </w:rPr>
        <w:t xml:space="preserve"> personas tiek apliktas ar ienākuma nodokli. UIN standarta likme ir 25%, tomēr uzņēmumiem, kuri darbojas ar zaudējumiem vai to peļņa nav pietiekami liela, ir jāmaksā minimālais UIN – 1750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xml:space="preserve">, 3500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xml:space="preserve"> vai 5452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xml:space="preserve">, atkarībā no uzņēmuma juridiskā statusa vai nozares. Maziem un vidējiem uzņēmumiem ir noteiktas atvieglotas prasības grāmatvedības kārtošanā. Mazajiem uzņēmumiem (darbinieku skaits mazāks par 50, bilances vērtība nav lielāka par 4,84 milj.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xml:space="preserve"> un apgrozījums iepriekšējos 12 mēnešos nepārsniedz 9,68 milj.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nav nepieciešams gatavot operatīvos pārskatus (</w:t>
      </w:r>
      <w:proofErr w:type="spellStart"/>
      <w:r w:rsidRPr="00CD2766">
        <w:rPr>
          <w:rFonts w:ascii="Times New Roman" w:hAnsi="Times New Roman" w:cs="Times New Roman"/>
          <w:i/>
          <w:color w:val="000000" w:themeColor="text1"/>
          <w:sz w:val="24"/>
          <w:szCs w:val="24"/>
        </w:rPr>
        <w:t>Statement</w:t>
      </w:r>
      <w:proofErr w:type="spellEnd"/>
      <w:r w:rsidRPr="00CD2766">
        <w:rPr>
          <w:rFonts w:ascii="Times New Roman" w:hAnsi="Times New Roman" w:cs="Times New Roman"/>
          <w:i/>
          <w:color w:val="000000" w:themeColor="text1"/>
          <w:sz w:val="24"/>
          <w:szCs w:val="24"/>
        </w:rPr>
        <w:t xml:space="preserve"> </w:t>
      </w:r>
      <w:proofErr w:type="spellStart"/>
      <w:r w:rsidRPr="00CD2766">
        <w:rPr>
          <w:rFonts w:ascii="Times New Roman" w:hAnsi="Times New Roman" w:cs="Times New Roman"/>
          <w:i/>
          <w:color w:val="000000" w:themeColor="text1"/>
          <w:sz w:val="24"/>
          <w:szCs w:val="24"/>
        </w:rPr>
        <w:t>of</w:t>
      </w:r>
      <w:proofErr w:type="spellEnd"/>
      <w:r w:rsidRPr="00CD2766">
        <w:rPr>
          <w:rFonts w:ascii="Times New Roman" w:hAnsi="Times New Roman" w:cs="Times New Roman"/>
          <w:i/>
          <w:color w:val="000000" w:themeColor="text1"/>
          <w:sz w:val="24"/>
          <w:szCs w:val="24"/>
        </w:rPr>
        <w:t xml:space="preserve"> </w:t>
      </w:r>
      <w:proofErr w:type="spellStart"/>
      <w:r w:rsidRPr="00CD2766">
        <w:rPr>
          <w:rFonts w:ascii="Times New Roman" w:hAnsi="Times New Roman" w:cs="Times New Roman"/>
          <w:i/>
          <w:color w:val="000000" w:themeColor="text1"/>
          <w:sz w:val="24"/>
          <w:szCs w:val="24"/>
        </w:rPr>
        <w:t>affairs</w:t>
      </w:r>
      <w:proofErr w:type="spellEnd"/>
      <w:r w:rsidRPr="00CD2766">
        <w:rPr>
          <w:rFonts w:ascii="Times New Roman" w:hAnsi="Times New Roman" w:cs="Times New Roman"/>
          <w:color w:val="000000" w:themeColor="text1"/>
          <w:sz w:val="24"/>
          <w:szCs w:val="24"/>
        </w:rPr>
        <w:t xml:space="preserve">), kā arī peļņas vai zaudējumu aprēķins nav obligāts. Savukārt vidējiem uzņēmumiem (darbinieku skaits mazāks par 250, bilances vērtība nav lielāka par 19,25 milj.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xml:space="preserve"> un apgrozījums iepriekšējos 12 mēnešos nepārsniedz 38,5 milj.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xml:space="preserve">) ir samazinātas prasības peļņas vai zaudējumu aprēķinam, bilancei (gada pārskatam) un tā pielikumiem. Pašnodarbinātās personas maksā IIN, kas atkarīgs no faktiskajiem ienākumiem – 0%, ja ienākumi nepārsniedz 11 000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xml:space="preserve">, 36,5%, ja ienākumi ir no 11 000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xml:space="preserve"> līdz 25 000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xml:space="preserve">, 43,2%, ja ienākumi ir no 25 000 līdz 60 000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xml:space="preserve"> un 50%, ja ienākumi pārsniedz 60 000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xml:space="preserve"> gadā. </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b/>
          <w:color w:val="000000" w:themeColor="text1"/>
          <w:sz w:val="24"/>
          <w:szCs w:val="24"/>
        </w:rPr>
        <w:t>Beļģijā</w:t>
      </w:r>
      <w:r w:rsidRPr="00CD2766">
        <w:rPr>
          <w:rFonts w:ascii="Times New Roman" w:hAnsi="Times New Roman" w:cs="Times New Roman"/>
          <w:color w:val="000000" w:themeColor="text1"/>
          <w:sz w:val="24"/>
          <w:szCs w:val="24"/>
        </w:rPr>
        <w:t xml:space="preserve"> maziem un vidējiem uzņēmumiem, kuru ar UIN apliekamais ienākums nepārsniedz 322 500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piemēro samazināto-progresīvo UIN, kurš var sasniegt no 24,25% līdz 34,5% (standarta likme 33,9%). Tāpat mazajiem un vidējiem ir ieviesti arī citi atvieglojumi: 1) papildus izmaksas, kas ir saistītas ar aktīvu iegādi var tikt norakstītas tajā gadā, kad tās radušās; 2) aktīvu iegādes pirmā gada vērtība var tikt norakstīta pilnā apmērā, nevis rēķinot atlikušās gada dienas; 3) ieguldījumus drošībā mazie uzņēmumi var norakstīt 120% apmērā; 4) nepietiekamu avansa maksājumu gadījumā, mazie uzņēmumi trīs gadus nav pakļauti nodokļu pieaugumam. Pašnodarbināto ienākuma iekļauj kopīgajā personas gada ienākumā, un apliek ar iedzīvotāju ienākuma nodokli vispārējā kārtībā.</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b/>
          <w:color w:val="000000" w:themeColor="text1"/>
          <w:sz w:val="24"/>
          <w:szCs w:val="24"/>
        </w:rPr>
        <w:t>Francijā</w:t>
      </w:r>
      <w:r w:rsidRPr="00CD2766">
        <w:rPr>
          <w:rFonts w:ascii="Times New Roman" w:hAnsi="Times New Roman" w:cs="Times New Roman"/>
          <w:color w:val="000000" w:themeColor="text1"/>
          <w:sz w:val="24"/>
          <w:szCs w:val="24"/>
        </w:rPr>
        <w:t xml:space="preserve"> mikrouzņēmumiem ir īpašs nodokļu maksāšanas režīms, kas sevī ietver gan vienkāršotu nodokli, gan atvieglotas grāmatvedības prasības un ir piemērojams tikai komersantiem (</w:t>
      </w:r>
      <w:proofErr w:type="spellStart"/>
      <w:r w:rsidRPr="00CD2766">
        <w:rPr>
          <w:rFonts w:ascii="Times New Roman" w:hAnsi="Times New Roman" w:cs="Times New Roman"/>
          <w:i/>
          <w:color w:val="000000" w:themeColor="text1"/>
          <w:sz w:val="24"/>
          <w:szCs w:val="24"/>
        </w:rPr>
        <w:t>sole</w:t>
      </w:r>
      <w:proofErr w:type="spellEnd"/>
      <w:r w:rsidRPr="00CD2766">
        <w:rPr>
          <w:rFonts w:ascii="Times New Roman" w:hAnsi="Times New Roman" w:cs="Times New Roman"/>
          <w:i/>
          <w:color w:val="000000" w:themeColor="text1"/>
          <w:sz w:val="24"/>
          <w:szCs w:val="24"/>
        </w:rPr>
        <w:t xml:space="preserve"> </w:t>
      </w:r>
      <w:proofErr w:type="spellStart"/>
      <w:r w:rsidRPr="00CD2766">
        <w:rPr>
          <w:rFonts w:ascii="Times New Roman" w:hAnsi="Times New Roman" w:cs="Times New Roman"/>
          <w:i/>
          <w:color w:val="000000" w:themeColor="text1"/>
          <w:sz w:val="24"/>
          <w:szCs w:val="24"/>
        </w:rPr>
        <w:t>trader</w:t>
      </w:r>
      <w:proofErr w:type="spellEnd"/>
      <w:r w:rsidRPr="00CD2766">
        <w:rPr>
          <w:rFonts w:ascii="Times New Roman" w:hAnsi="Times New Roman" w:cs="Times New Roman"/>
          <w:color w:val="000000" w:themeColor="text1"/>
          <w:sz w:val="24"/>
          <w:szCs w:val="24"/>
        </w:rPr>
        <w:t>), kas nav juridiskas personas. Vienkāršoto nodokļu režīmu var piemērot komersanti ar noteiktu gada apgrozījumu, kuru maksimālie sliekšņi var būt atkarīgi no saimnieciskās darbības veida. Francijā ir pieejami divu veidu nodokļu maksāšanas režīmi mazajiem uzņēmumiem:</w:t>
      </w:r>
    </w:p>
    <w:p w:rsidR="00D93A06" w:rsidRPr="00CD2766" w:rsidRDefault="00D93A06" w:rsidP="00D93A06">
      <w:pPr>
        <w:numPr>
          <w:ilvl w:val="0"/>
          <w:numId w:val="1"/>
        </w:numPr>
        <w:spacing w:before="120" w:after="0" w:line="240" w:lineRule="auto"/>
        <w:ind w:left="0" w:firstLine="567"/>
        <w:jc w:val="both"/>
        <w:rPr>
          <w:rFonts w:ascii="Times New Roman" w:hAnsi="Times New Roman" w:cs="Times New Roman"/>
          <w:color w:val="000000" w:themeColor="text1"/>
          <w:sz w:val="24"/>
          <w:szCs w:val="24"/>
        </w:rPr>
      </w:pPr>
      <w:proofErr w:type="spellStart"/>
      <w:r w:rsidRPr="00CD2766">
        <w:rPr>
          <w:rFonts w:ascii="Times New Roman" w:hAnsi="Times New Roman" w:cs="Times New Roman"/>
          <w:i/>
          <w:color w:val="000000" w:themeColor="text1"/>
          <w:sz w:val="24"/>
          <w:szCs w:val="24"/>
        </w:rPr>
        <w:t>Regime</w:t>
      </w:r>
      <w:proofErr w:type="spellEnd"/>
      <w:r w:rsidRPr="00CD2766">
        <w:rPr>
          <w:rFonts w:ascii="Times New Roman" w:hAnsi="Times New Roman" w:cs="Times New Roman"/>
          <w:i/>
          <w:color w:val="000000" w:themeColor="text1"/>
          <w:sz w:val="24"/>
          <w:szCs w:val="24"/>
        </w:rPr>
        <w:t xml:space="preserve"> </w:t>
      </w:r>
      <w:proofErr w:type="spellStart"/>
      <w:r w:rsidRPr="00CD2766">
        <w:rPr>
          <w:rFonts w:ascii="Times New Roman" w:hAnsi="Times New Roman" w:cs="Times New Roman"/>
          <w:i/>
          <w:color w:val="000000" w:themeColor="text1"/>
          <w:sz w:val="24"/>
          <w:szCs w:val="24"/>
        </w:rPr>
        <w:t>de</w:t>
      </w:r>
      <w:proofErr w:type="spellEnd"/>
      <w:r w:rsidRPr="00CD2766">
        <w:rPr>
          <w:rFonts w:ascii="Times New Roman" w:hAnsi="Times New Roman" w:cs="Times New Roman"/>
          <w:i/>
          <w:color w:val="000000" w:themeColor="text1"/>
          <w:sz w:val="24"/>
          <w:szCs w:val="24"/>
        </w:rPr>
        <w:t xml:space="preserve"> </w:t>
      </w:r>
      <w:proofErr w:type="spellStart"/>
      <w:r w:rsidRPr="00CD2766">
        <w:rPr>
          <w:rFonts w:ascii="Times New Roman" w:hAnsi="Times New Roman" w:cs="Times New Roman"/>
          <w:i/>
          <w:color w:val="000000" w:themeColor="text1"/>
          <w:sz w:val="24"/>
          <w:szCs w:val="24"/>
        </w:rPr>
        <w:t>Base</w:t>
      </w:r>
      <w:proofErr w:type="spellEnd"/>
      <w:r w:rsidRPr="00CD2766">
        <w:rPr>
          <w:rFonts w:ascii="Times New Roman" w:hAnsi="Times New Roman" w:cs="Times New Roman"/>
          <w:color w:val="000000" w:themeColor="text1"/>
          <w:sz w:val="24"/>
          <w:szCs w:val="24"/>
        </w:rPr>
        <w:t xml:space="preserve"> – nodokļu maksāšanas režīms, kurā ienākuma nodoklis un sociālās apdrošināšanas iemaksas tiek aprēķinātas, ņemot vērā personas gada apgrozījumu un atskaitot noteiktu saimnieciskās darbības izdevumu daļu.</w:t>
      </w:r>
    </w:p>
    <w:tbl>
      <w:tblPr>
        <w:tblStyle w:val="TableGrid"/>
        <w:tblW w:w="9209" w:type="dxa"/>
        <w:tblLayout w:type="fixed"/>
        <w:tblLook w:val="04A0" w:firstRow="1" w:lastRow="0" w:firstColumn="1" w:lastColumn="0" w:noHBand="0" w:noVBand="1"/>
      </w:tblPr>
      <w:tblGrid>
        <w:gridCol w:w="3227"/>
        <w:gridCol w:w="2126"/>
        <w:gridCol w:w="1843"/>
        <w:gridCol w:w="2013"/>
      </w:tblGrid>
      <w:tr w:rsidR="00D93A06" w:rsidRPr="00CD2766" w:rsidTr="00CD2766">
        <w:tc>
          <w:tcPr>
            <w:tcW w:w="3227" w:type="dxa"/>
            <w:vAlign w:val="center"/>
          </w:tcPr>
          <w:p w:rsidR="00D93A06" w:rsidRPr="00CD2766" w:rsidRDefault="00D93A06" w:rsidP="00D93A06">
            <w:pPr>
              <w:spacing w:before="120"/>
              <w:jc w:val="center"/>
              <w:rPr>
                <w:rFonts w:ascii="Times New Roman" w:hAnsi="Times New Roman" w:cs="Times New Roman"/>
                <w:b/>
                <w:color w:val="000000" w:themeColor="text1"/>
                <w:sz w:val="24"/>
                <w:szCs w:val="24"/>
              </w:rPr>
            </w:pPr>
            <w:r w:rsidRPr="00CD2766">
              <w:rPr>
                <w:rFonts w:ascii="Times New Roman" w:hAnsi="Times New Roman" w:cs="Times New Roman"/>
                <w:b/>
                <w:color w:val="000000" w:themeColor="text1"/>
                <w:sz w:val="24"/>
                <w:szCs w:val="24"/>
              </w:rPr>
              <w:t>Saimnieciskā darbība</w:t>
            </w:r>
          </w:p>
        </w:tc>
        <w:tc>
          <w:tcPr>
            <w:tcW w:w="2126" w:type="dxa"/>
            <w:vAlign w:val="center"/>
          </w:tcPr>
          <w:p w:rsidR="00D93A06" w:rsidRPr="00CD2766" w:rsidRDefault="00D93A06" w:rsidP="00D93A06">
            <w:pPr>
              <w:spacing w:before="120"/>
              <w:jc w:val="center"/>
              <w:rPr>
                <w:rFonts w:ascii="Times New Roman" w:hAnsi="Times New Roman" w:cs="Times New Roman"/>
                <w:b/>
                <w:color w:val="000000" w:themeColor="text1"/>
                <w:sz w:val="24"/>
                <w:szCs w:val="24"/>
              </w:rPr>
            </w:pPr>
            <w:r w:rsidRPr="00CD2766">
              <w:rPr>
                <w:rFonts w:ascii="Times New Roman" w:hAnsi="Times New Roman" w:cs="Times New Roman"/>
                <w:b/>
                <w:color w:val="000000" w:themeColor="text1"/>
                <w:sz w:val="24"/>
                <w:szCs w:val="24"/>
              </w:rPr>
              <w:t>Tirdzniecība</w:t>
            </w:r>
          </w:p>
        </w:tc>
        <w:tc>
          <w:tcPr>
            <w:tcW w:w="1843" w:type="dxa"/>
            <w:vAlign w:val="center"/>
          </w:tcPr>
          <w:p w:rsidR="00D93A06" w:rsidRPr="00CD2766" w:rsidRDefault="00D93A06" w:rsidP="00D93A06">
            <w:pPr>
              <w:spacing w:before="120"/>
              <w:jc w:val="center"/>
              <w:rPr>
                <w:rFonts w:ascii="Times New Roman" w:hAnsi="Times New Roman" w:cs="Times New Roman"/>
                <w:b/>
                <w:color w:val="000000" w:themeColor="text1"/>
                <w:sz w:val="24"/>
                <w:szCs w:val="24"/>
              </w:rPr>
            </w:pPr>
            <w:r w:rsidRPr="00CD2766">
              <w:rPr>
                <w:rFonts w:ascii="Times New Roman" w:hAnsi="Times New Roman" w:cs="Times New Roman"/>
                <w:b/>
                <w:color w:val="000000" w:themeColor="text1"/>
                <w:sz w:val="24"/>
                <w:szCs w:val="24"/>
              </w:rPr>
              <w:t>Pakalpojumi</w:t>
            </w:r>
          </w:p>
        </w:tc>
        <w:tc>
          <w:tcPr>
            <w:tcW w:w="2013" w:type="dxa"/>
            <w:vAlign w:val="center"/>
          </w:tcPr>
          <w:p w:rsidR="00D93A06" w:rsidRPr="00CD2766" w:rsidRDefault="00D93A06" w:rsidP="00D93A06">
            <w:pPr>
              <w:spacing w:before="120"/>
              <w:jc w:val="center"/>
              <w:rPr>
                <w:rFonts w:ascii="Times New Roman" w:hAnsi="Times New Roman" w:cs="Times New Roman"/>
                <w:b/>
                <w:color w:val="000000" w:themeColor="text1"/>
                <w:sz w:val="24"/>
                <w:szCs w:val="24"/>
              </w:rPr>
            </w:pPr>
            <w:r w:rsidRPr="00CD2766">
              <w:rPr>
                <w:rFonts w:ascii="Times New Roman" w:hAnsi="Times New Roman" w:cs="Times New Roman"/>
                <w:b/>
                <w:color w:val="000000" w:themeColor="text1"/>
                <w:sz w:val="24"/>
                <w:szCs w:val="24"/>
              </w:rPr>
              <w:t>Profesionālā darbība</w:t>
            </w:r>
          </w:p>
        </w:tc>
      </w:tr>
      <w:tr w:rsidR="00D93A06" w:rsidRPr="00CD2766" w:rsidTr="00CD2766">
        <w:tc>
          <w:tcPr>
            <w:tcW w:w="3227"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Maksimālais apgrozījuma slieksnis</w:t>
            </w:r>
          </w:p>
        </w:tc>
        <w:tc>
          <w:tcPr>
            <w:tcW w:w="2126"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82 200 euro</w:t>
            </w:r>
          </w:p>
        </w:tc>
        <w:tc>
          <w:tcPr>
            <w:tcW w:w="1843"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32 900 euro</w:t>
            </w:r>
          </w:p>
        </w:tc>
        <w:tc>
          <w:tcPr>
            <w:tcW w:w="2013"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32 900 euro</w:t>
            </w:r>
          </w:p>
        </w:tc>
      </w:tr>
      <w:tr w:rsidR="00D93A06" w:rsidRPr="00CD2766" w:rsidTr="00CD2766">
        <w:tc>
          <w:tcPr>
            <w:tcW w:w="3227"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Atskaitāmā izdevumu daļa</w:t>
            </w:r>
          </w:p>
        </w:tc>
        <w:tc>
          <w:tcPr>
            <w:tcW w:w="2126"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71%</w:t>
            </w:r>
          </w:p>
        </w:tc>
        <w:tc>
          <w:tcPr>
            <w:tcW w:w="1843"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50%</w:t>
            </w:r>
          </w:p>
        </w:tc>
        <w:tc>
          <w:tcPr>
            <w:tcW w:w="2013"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34%</w:t>
            </w:r>
          </w:p>
        </w:tc>
      </w:tr>
    </w:tbl>
    <w:p w:rsidR="00D93A06" w:rsidRPr="00CD2766" w:rsidRDefault="00D93A06" w:rsidP="00D93A06">
      <w:pPr>
        <w:numPr>
          <w:ilvl w:val="0"/>
          <w:numId w:val="1"/>
        </w:numPr>
        <w:spacing w:before="120" w:after="0" w:line="240" w:lineRule="auto"/>
        <w:ind w:left="0" w:firstLine="0"/>
        <w:jc w:val="both"/>
        <w:rPr>
          <w:rFonts w:ascii="Times New Roman" w:hAnsi="Times New Roman" w:cs="Times New Roman"/>
          <w:color w:val="000000" w:themeColor="text1"/>
          <w:sz w:val="24"/>
          <w:szCs w:val="24"/>
        </w:rPr>
      </w:pPr>
      <w:r w:rsidRPr="00CD2766">
        <w:rPr>
          <w:rFonts w:ascii="Times New Roman" w:hAnsi="Times New Roman" w:cs="Times New Roman"/>
          <w:i/>
          <w:color w:val="000000" w:themeColor="text1"/>
          <w:sz w:val="24"/>
          <w:szCs w:val="24"/>
        </w:rPr>
        <w:t>Mikro-sociālais nodoklis</w:t>
      </w:r>
      <w:r w:rsidRPr="00CD2766">
        <w:rPr>
          <w:rFonts w:ascii="Times New Roman" w:hAnsi="Times New Roman" w:cs="Times New Roman"/>
          <w:color w:val="000000" w:themeColor="text1"/>
          <w:sz w:val="24"/>
          <w:szCs w:val="24"/>
        </w:rPr>
        <w:t xml:space="preserve"> – tiek piemērota samazināta IIN likme un sociālo apdrošināšanas iemaksu likme.</w:t>
      </w:r>
    </w:p>
    <w:tbl>
      <w:tblPr>
        <w:tblStyle w:val="TableGrid"/>
        <w:tblW w:w="0" w:type="auto"/>
        <w:tblLook w:val="04A0" w:firstRow="1" w:lastRow="0" w:firstColumn="1" w:lastColumn="0" w:noHBand="0" w:noVBand="1"/>
      </w:tblPr>
      <w:tblGrid>
        <w:gridCol w:w="2417"/>
        <w:gridCol w:w="3105"/>
        <w:gridCol w:w="1604"/>
        <w:gridCol w:w="1936"/>
      </w:tblGrid>
      <w:tr w:rsidR="00D93A06" w:rsidRPr="00CD2766" w:rsidTr="009B5277">
        <w:tc>
          <w:tcPr>
            <w:tcW w:w="2518" w:type="dxa"/>
            <w:vAlign w:val="center"/>
          </w:tcPr>
          <w:p w:rsidR="00D93A06" w:rsidRPr="00CD2766" w:rsidRDefault="00D93A06" w:rsidP="00D93A06">
            <w:pPr>
              <w:spacing w:before="120"/>
              <w:jc w:val="center"/>
              <w:rPr>
                <w:rFonts w:ascii="Times New Roman" w:hAnsi="Times New Roman" w:cs="Times New Roman"/>
                <w:b/>
                <w:color w:val="000000" w:themeColor="text1"/>
                <w:sz w:val="24"/>
                <w:szCs w:val="24"/>
              </w:rPr>
            </w:pPr>
            <w:r w:rsidRPr="00CD2766">
              <w:rPr>
                <w:rFonts w:ascii="Times New Roman" w:hAnsi="Times New Roman" w:cs="Times New Roman"/>
                <w:b/>
                <w:color w:val="000000" w:themeColor="text1"/>
                <w:sz w:val="24"/>
                <w:szCs w:val="24"/>
              </w:rPr>
              <w:lastRenderedPageBreak/>
              <w:t>Saimnieciskā darbība</w:t>
            </w:r>
          </w:p>
        </w:tc>
        <w:tc>
          <w:tcPr>
            <w:tcW w:w="3260" w:type="dxa"/>
            <w:vAlign w:val="center"/>
          </w:tcPr>
          <w:p w:rsidR="00D93A06" w:rsidRPr="00CD2766" w:rsidRDefault="00D93A06" w:rsidP="00D93A06">
            <w:pPr>
              <w:spacing w:before="120"/>
              <w:jc w:val="center"/>
              <w:rPr>
                <w:rFonts w:ascii="Times New Roman" w:hAnsi="Times New Roman" w:cs="Times New Roman"/>
                <w:b/>
                <w:color w:val="000000" w:themeColor="text1"/>
                <w:sz w:val="24"/>
                <w:szCs w:val="24"/>
              </w:rPr>
            </w:pPr>
            <w:r w:rsidRPr="00CD2766">
              <w:rPr>
                <w:rFonts w:ascii="Times New Roman" w:hAnsi="Times New Roman" w:cs="Times New Roman"/>
                <w:b/>
                <w:color w:val="000000" w:themeColor="text1"/>
                <w:sz w:val="24"/>
                <w:szCs w:val="24"/>
              </w:rPr>
              <w:t>Sociālo apdrošināšanas iemaksu likme</w:t>
            </w:r>
          </w:p>
        </w:tc>
        <w:tc>
          <w:tcPr>
            <w:tcW w:w="1701" w:type="dxa"/>
            <w:vAlign w:val="center"/>
          </w:tcPr>
          <w:p w:rsidR="00D93A06" w:rsidRPr="00CD2766" w:rsidRDefault="00D93A06" w:rsidP="00D93A06">
            <w:pPr>
              <w:spacing w:before="120"/>
              <w:jc w:val="center"/>
              <w:rPr>
                <w:rFonts w:ascii="Times New Roman" w:hAnsi="Times New Roman" w:cs="Times New Roman"/>
                <w:b/>
                <w:color w:val="000000" w:themeColor="text1"/>
                <w:sz w:val="24"/>
                <w:szCs w:val="24"/>
              </w:rPr>
            </w:pPr>
            <w:r w:rsidRPr="00CD2766">
              <w:rPr>
                <w:rFonts w:ascii="Times New Roman" w:hAnsi="Times New Roman" w:cs="Times New Roman"/>
                <w:b/>
                <w:color w:val="000000" w:themeColor="text1"/>
                <w:sz w:val="24"/>
                <w:szCs w:val="24"/>
              </w:rPr>
              <w:t>IIN likme</w:t>
            </w:r>
          </w:p>
        </w:tc>
        <w:tc>
          <w:tcPr>
            <w:tcW w:w="1985" w:type="dxa"/>
            <w:vAlign w:val="center"/>
          </w:tcPr>
          <w:p w:rsidR="00D93A06" w:rsidRPr="00CD2766" w:rsidRDefault="00D93A06" w:rsidP="00D93A06">
            <w:pPr>
              <w:spacing w:before="120"/>
              <w:jc w:val="center"/>
              <w:rPr>
                <w:rFonts w:ascii="Times New Roman" w:hAnsi="Times New Roman" w:cs="Times New Roman"/>
                <w:b/>
                <w:color w:val="000000" w:themeColor="text1"/>
                <w:sz w:val="24"/>
                <w:szCs w:val="24"/>
              </w:rPr>
            </w:pPr>
            <w:r w:rsidRPr="00CD2766">
              <w:rPr>
                <w:rFonts w:ascii="Times New Roman" w:hAnsi="Times New Roman" w:cs="Times New Roman"/>
                <w:b/>
                <w:color w:val="000000" w:themeColor="text1"/>
                <w:sz w:val="24"/>
                <w:szCs w:val="24"/>
              </w:rPr>
              <w:t>Kopējā likme</w:t>
            </w:r>
          </w:p>
        </w:tc>
      </w:tr>
      <w:tr w:rsidR="00D93A06" w:rsidRPr="00CD2766" w:rsidTr="009B5277">
        <w:tc>
          <w:tcPr>
            <w:tcW w:w="2518"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Tirdzniecība</w:t>
            </w:r>
          </w:p>
        </w:tc>
        <w:tc>
          <w:tcPr>
            <w:tcW w:w="3260"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14,2%</w:t>
            </w:r>
          </w:p>
        </w:tc>
        <w:tc>
          <w:tcPr>
            <w:tcW w:w="1701"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1%</w:t>
            </w:r>
          </w:p>
        </w:tc>
        <w:tc>
          <w:tcPr>
            <w:tcW w:w="1985"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15,2%</w:t>
            </w:r>
          </w:p>
        </w:tc>
      </w:tr>
      <w:tr w:rsidR="00D93A06" w:rsidRPr="00CD2766" w:rsidTr="009B5277">
        <w:tc>
          <w:tcPr>
            <w:tcW w:w="2518"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Pakalpojumi</w:t>
            </w:r>
          </w:p>
        </w:tc>
        <w:tc>
          <w:tcPr>
            <w:tcW w:w="3260"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24,8%/24,9%</w:t>
            </w:r>
          </w:p>
        </w:tc>
        <w:tc>
          <w:tcPr>
            <w:tcW w:w="1701"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1,7%</w:t>
            </w:r>
          </w:p>
        </w:tc>
        <w:tc>
          <w:tcPr>
            <w:tcW w:w="1985"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26,5%/26,6%</w:t>
            </w:r>
          </w:p>
        </w:tc>
      </w:tr>
      <w:tr w:rsidR="00D93A06" w:rsidRPr="00CD2766" w:rsidTr="009B5277">
        <w:tc>
          <w:tcPr>
            <w:tcW w:w="2518"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Profesionālā darbība</w:t>
            </w:r>
          </w:p>
        </w:tc>
        <w:tc>
          <w:tcPr>
            <w:tcW w:w="3260"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24,8%</w:t>
            </w:r>
          </w:p>
        </w:tc>
        <w:tc>
          <w:tcPr>
            <w:tcW w:w="1701"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2,2%</w:t>
            </w:r>
          </w:p>
        </w:tc>
        <w:tc>
          <w:tcPr>
            <w:tcW w:w="1985"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27%/25,7%</w:t>
            </w:r>
          </w:p>
        </w:tc>
      </w:tr>
    </w:tbl>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b/>
          <w:color w:val="000000" w:themeColor="text1"/>
          <w:sz w:val="24"/>
          <w:szCs w:val="24"/>
        </w:rPr>
        <w:t>Lietuvā</w:t>
      </w:r>
      <w:r w:rsidRPr="00CD2766">
        <w:rPr>
          <w:rFonts w:ascii="Times New Roman" w:hAnsi="Times New Roman" w:cs="Times New Roman"/>
          <w:color w:val="000000" w:themeColor="text1"/>
          <w:sz w:val="24"/>
          <w:szCs w:val="24"/>
        </w:rPr>
        <w:t xml:space="preserve"> fiziskajām personām, kas veic saimniecisko darbību un ir IIN maksātājas, ir iespēja izvēlēties starp diviem nodokļu režīmiem: fiksēto ienākuma nodokli (maksātājs iegādājas saimnieciskās darbības jeb biznesa apliecību) un vispārējo nodokļu režīmu.</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 xml:space="preserve">Vispārējā nodokļu režīma maksāšanas kārtībā komersantiem ir iespēja piemērot 5% IIN likmi, ja to gada ienākumi nepārsniedz 290 000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to darbinieku skaits nepārsniedz 10, kā arī īpašniekam nepieder vairāk kā 50% citu uzņēmumu kapitāldaļas.</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b/>
          <w:color w:val="000000" w:themeColor="text1"/>
          <w:sz w:val="24"/>
          <w:szCs w:val="24"/>
        </w:rPr>
        <w:t>Polijas</w:t>
      </w:r>
      <w:r w:rsidRPr="00CD2766">
        <w:rPr>
          <w:rFonts w:ascii="Times New Roman" w:hAnsi="Times New Roman" w:cs="Times New Roman"/>
          <w:color w:val="000000" w:themeColor="text1"/>
          <w:sz w:val="24"/>
          <w:szCs w:val="24"/>
        </w:rPr>
        <w:t xml:space="preserve"> mazie uzņēmumi – IIN maksātāji, var izvēlēties starp vispārējo režīmu un trīs veidu speciālajiem nodokļu režīmiem mazajiem saimnieciskās darbības veicējiem – nodoklis, kas bāzēts uz apgrozījumu, vienotās summas nodoklis (pēc būtības patents), kura apmērs noteikts, pamatojoties uz dažādiem indikatoriem (t.s. „nodokļa kartes”), vai speciālās lauksaimnieciskās darbības nodoklis. Atbilstoši vispārējam IIN režīmam saimnieciskās darbības veicēji maksā nodokli pēc progresīvas nodokļu likmju skalas 18% - 32% apmērā (kopš 2009.gada).</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 xml:space="preserve">Par mazajiem nodokļu maksātājiem uzskata maksātājus, kuru gada apgrozījums nepārsniedz 1,2 milj.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xml:space="preserve">. Šādu uzņēmumu darbības veicināšanai vispārējais nodokļu režīms paredz tādus pasākumus kā vienkāršota grāmatvedības uzskaites vešana, iespēja izmantot naudas plūsmas metodi, paātrinātā pamatlīdzekļu nolietojuma norakstīšana, avansa maksājumi reizi ceturksnī, iespējama nodokļa samaksas termiņa atlikšana. </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Mazie uzņēmumi - var arī izvēlēties kādu no vienkāršotajiem nodokļu režīmiem:</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 xml:space="preserve">1) </w:t>
      </w:r>
      <w:r w:rsidRPr="00CD2766">
        <w:rPr>
          <w:rFonts w:ascii="Times New Roman" w:hAnsi="Times New Roman" w:cs="Times New Roman"/>
          <w:color w:val="000000" w:themeColor="text1"/>
          <w:sz w:val="24"/>
          <w:szCs w:val="24"/>
          <w:u w:val="single"/>
        </w:rPr>
        <w:t>Nodoklis, kas aprēķināts no apgrozījuma.</w:t>
      </w:r>
      <w:r w:rsidRPr="00CD2766">
        <w:rPr>
          <w:rFonts w:ascii="Times New Roman" w:hAnsi="Times New Roman" w:cs="Times New Roman"/>
          <w:color w:val="000000" w:themeColor="text1"/>
          <w:sz w:val="24"/>
          <w:szCs w:val="24"/>
        </w:rPr>
        <w:t xml:space="preserve"> – šis nodokļa režīms var tikt piemērots maksātājiem ar maksimālo gada ienākumu 138 tūkst.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Nodokļa likme ir atkarīga no saimnieciskās darbības veida:</w:t>
      </w:r>
    </w:p>
    <w:p w:rsidR="00D93A06" w:rsidRPr="00CD2766" w:rsidRDefault="00D93A06" w:rsidP="00D93A06">
      <w:pPr>
        <w:numPr>
          <w:ilvl w:val="0"/>
          <w:numId w:val="2"/>
        </w:numPr>
        <w:spacing w:before="120" w:after="0" w:line="240" w:lineRule="auto"/>
        <w:ind w:left="567" w:hanging="283"/>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tirdzniecībai - 3%;</w:t>
      </w:r>
    </w:p>
    <w:p w:rsidR="00D93A06" w:rsidRPr="00CD2766" w:rsidRDefault="00D93A06" w:rsidP="00D93A06">
      <w:pPr>
        <w:numPr>
          <w:ilvl w:val="0"/>
          <w:numId w:val="2"/>
        </w:numPr>
        <w:spacing w:before="120" w:after="0" w:line="240" w:lineRule="auto"/>
        <w:ind w:left="567" w:hanging="283"/>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ražošanai un celtniecībai – 5,5%;</w:t>
      </w:r>
    </w:p>
    <w:p w:rsidR="00D93A06" w:rsidRPr="00CD2766" w:rsidRDefault="00D93A06" w:rsidP="00D93A06">
      <w:pPr>
        <w:numPr>
          <w:ilvl w:val="0"/>
          <w:numId w:val="2"/>
        </w:numPr>
        <w:spacing w:before="120" w:after="0" w:line="240" w:lineRule="auto"/>
        <w:ind w:left="567" w:hanging="283"/>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 xml:space="preserve">pakalpojumiem 8,5%; </w:t>
      </w:r>
    </w:p>
    <w:p w:rsidR="00D93A06" w:rsidRPr="00CD2766" w:rsidRDefault="00D93A06" w:rsidP="00D93A06">
      <w:pPr>
        <w:numPr>
          <w:ilvl w:val="0"/>
          <w:numId w:val="2"/>
        </w:numPr>
        <w:spacing w:before="120" w:after="0" w:line="240" w:lineRule="auto"/>
        <w:ind w:left="567" w:hanging="283"/>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augstas rentabilitātes pakalpojumiem (tirdzniecība ar nekustamo īpašumu, mašīnu noma, viesnīcu darbība, konsultāciju pakalpojumi) – 17%;</w:t>
      </w:r>
    </w:p>
    <w:p w:rsidR="00D93A06" w:rsidRPr="00CD2766" w:rsidRDefault="00D93A06" w:rsidP="00D93A06">
      <w:pPr>
        <w:numPr>
          <w:ilvl w:val="0"/>
          <w:numId w:val="2"/>
        </w:numPr>
        <w:spacing w:before="120" w:after="0" w:line="240" w:lineRule="auto"/>
        <w:ind w:left="567" w:hanging="283"/>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brīvajām profesijām – 20%.</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Šiem maksātājiem arī izvirzīta prasība izmantot kases aparātus un tiem ir jāsniedz tikai gada ienākumu deklarācija, savukārt avansa maksājumi tiek veikti reizi mēnesī vai reizi ceturksnī. Aprakstīto režīmu nevar izmantot farmācijas nozarē, akcīzes preču ražotāji, nodokļu konsultanti, arhitekti, advokāti, reklāmas nozarē strādājošie.</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 xml:space="preserve">2) </w:t>
      </w:r>
      <w:r w:rsidRPr="00CD2766">
        <w:rPr>
          <w:rFonts w:ascii="Times New Roman" w:hAnsi="Times New Roman" w:cs="Times New Roman"/>
          <w:color w:val="000000" w:themeColor="text1"/>
          <w:sz w:val="24"/>
          <w:szCs w:val="24"/>
          <w:u w:val="single"/>
        </w:rPr>
        <w:t>Vienotās summas nodoklis (patents jeb „nodokļa karte”).</w:t>
      </w:r>
      <w:r w:rsidRPr="00CD2766">
        <w:rPr>
          <w:rFonts w:ascii="Times New Roman" w:hAnsi="Times New Roman" w:cs="Times New Roman"/>
          <w:color w:val="000000" w:themeColor="text1"/>
          <w:sz w:val="24"/>
          <w:szCs w:val="24"/>
        </w:rPr>
        <w:t xml:space="preserve"> – Šis nodokļa režīmu piemēro galvenokārt amatniecības nozarēs, darbietilpīgās nozarēs, mazumtirdzniecībā. Pastāv ierobežojumi nodarbināto skaitam (atkarībā no nozares, piemēram, juvelieru pakalpojumiem – 2, friziera pakalpojumiem - 5 u. tml.). Patenta apmērs tiek noteikts atkarībā no saimnieciskās darbības veida (apmēram 100 veidi), nodarbināto skaits (līdz 5) un saimnieciskās darbības veikšanas vietas (maza, vidēja vai liela apdzīvota vieta). Likumā noteiktās nodokļa likmes var </w:t>
      </w:r>
      <w:r w:rsidRPr="00CD2766">
        <w:rPr>
          <w:rFonts w:ascii="Times New Roman" w:hAnsi="Times New Roman" w:cs="Times New Roman"/>
          <w:color w:val="000000" w:themeColor="text1"/>
          <w:sz w:val="24"/>
          <w:szCs w:val="24"/>
        </w:rPr>
        <w:lastRenderedPageBreak/>
        <w:t>precizēt nodokļu administrācija. Maksājumi tiek veikti reizi mēnesī, nav prasība veikt grāmatvedības uzskaiti vai izmantot kases aparātus. Nodokļa likmes fiksētas noteiktas summas veidā un tiek katru gadu indeksētas (mērķis – atspoguļot saimnieciskās darbības rentabilitāti). Dažos gadījumos nodoklis tiek noteikts, pamatojoties uz specifiskiem kritērijiem (piemēram, stāvlaukumos – automašīnu vietu skaits).</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u w:val="single"/>
        </w:rPr>
        <w:t>Speciālās lauksaimnieciskās darbības nodoklis.</w:t>
      </w:r>
      <w:r w:rsidRPr="00CD2766">
        <w:rPr>
          <w:rFonts w:ascii="Times New Roman" w:hAnsi="Times New Roman" w:cs="Times New Roman"/>
          <w:color w:val="000000" w:themeColor="text1"/>
          <w:sz w:val="24"/>
          <w:szCs w:val="24"/>
        </w:rPr>
        <w:t xml:space="preserve"> – šo nodokļa režīmu piemēro īpaša veida lauksaimnieciskajai darbībai, piemēram, dārzkopībai siltumnīcās, kažokzvēru vai laboratorijas dzīvnieku audzēšanai. Nodokļa režīms ir balstīts uz tādiem rādītājiem kā lauksaimniecībā izmantojamās zemes platība vai dzīvnieku skaits un gada peļņas normu attiecīgajā darbības veidā (piemēram, dekoratīvo augu audzēšana siltumnīcās –1,75 eiro/m</w:t>
      </w:r>
      <w:r w:rsidRPr="00CD2766">
        <w:rPr>
          <w:rFonts w:ascii="Times New Roman" w:hAnsi="Times New Roman" w:cs="Times New Roman"/>
          <w:color w:val="000000" w:themeColor="text1"/>
          <w:sz w:val="24"/>
          <w:szCs w:val="24"/>
          <w:vertAlign w:val="superscript"/>
        </w:rPr>
        <w:t>2</w:t>
      </w:r>
      <w:r w:rsidRPr="00CD2766">
        <w:rPr>
          <w:rFonts w:ascii="Times New Roman" w:hAnsi="Times New Roman" w:cs="Times New Roman"/>
          <w:color w:val="000000" w:themeColor="text1"/>
          <w:sz w:val="24"/>
          <w:szCs w:val="24"/>
        </w:rPr>
        <w:t>). Maksātāji deklarāciju iesniedz vienreiz gadā, bet maksājumus veic reizi mēnesī. Neatkarīgi no darbības apjoma šiem maksātājiem netiek izvirzīta prasība veikt grāmatvedības uzskaiti.</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 xml:space="preserve">Attiecībā uz sociālo apdrošināšu iemaksām, piemēram, </w:t>
      </w:r>
      <w:r w:rsidRPr="00CD2766">
        <w:rPr>
          <w:rFonts w:ascii="Times New Roman" w:hAnsi="Times New Roman" w:cs="Times New Roman"/>
          <w:b/>
          <w:color w:val="000000" w:themeColor="text1"/>
          <w:sz w:val="24"/>
          <w:szCs w:val="24"/>
        </w:rPr>
        <w:t xml:space="preserve">Vācijā </w:t>
      </w:r>
      <w:r w:rsidRPr="00CD2766">
        <w:rPr>
          <w:rFonts w:ascii="Times New Roman" w:hAnsi="Times New Roman" w:cs="Times New Roman"/>
          <w:color w:val="000000" w:themeColor="text1"/>
          <w:sz w:val="24"/>
          <w:szCs w:val="24"/>
        </w:rPr>
        <w:t xml:space="preserve">ir noteikts minimālais ienākumu līmenis, no kura sociālie maksājumi veicami, pat, ja reālie ienākumi ir zemāki. Šāda pieeja ir arī </w:t>
      </w:r>
      <w:r w:rsidRPr="00CD2766">
        <w:rPr>
          <w:rFonts w:ascii="Times New Roman" w:hAnsi="Times New Roman" w:cs="Times New Roman"/>
          <w:b/>
          <w:color w:val="000000" w:themeColor="text1"/>
          <w:sz w:val="24"/>
          <w:szCs w:val="24"/>
        </w:rPr>
        <w:t>Igaunijā</w:t>
      </w:r>
      <w:r w:rsidRPr="00CD2766">
        <w:rPr>
          <w:rFonts w:ascii="Times New Roman" w:hAnsi="Times New Roman" w:cs="Times New Roman"/>
          <w:color w:val="000000" w:themeColor="text1"/>
          <w:sz w:val="24"/>
          <w:szCs w:val="24"/>
        </w:rPr>
        <w:t>, kur maksājama sociālā apdrošināšana vismaz no minimālās algas arī personām ar nepilnu darba slodzi.</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 xml:space="preserve">Lai atbalstītu mazos un vidējos uzņēmumus lielā daļā valstu tiek piedāvāti nodokļu samazinājumi, atbrīvojumi vai nodokļu kredīti. Piemēram, lai sniegtu atbalstu pētniecībā, attīstībā un inovācijā </w:t>
      </w:r>
      <w:r w:rsidRPr="00CD2766">
        <w:rPr>
          <w:rFonts w:ascii="Times New Roman" w:hAnsi="Times New Roman" w:cs="Times New Roman"/>
          <w:b/>
          <w:color w:val="000000" w:themeColor="text1"/>
          <w:sz w:val="24"/>
          <w:szCs w:val="24"/>
        </w:rPr>
        <w:t>Francija</w:t>
      </w:r>
      <w:r w:rsidRPr="00CD2766">
        <w:rPr>
          <w:rFonts w:ascii="Times New Roman" w:hAnsi="Times New Roman" w:cs="Times New Roman"/>
          <w:color w:val="000000" w:themeColor="text1"/>
          <w:sz w:val="24"/>
          <w:szCs w:val="24"/>
        </w:rPr>
        <w:t xml:space="preserve"> piedāvā nodokļu kredītu maziem un vidējiem uzņēmumiem kā paplašinātu vispārējās pētniecības kredītu (</w:t>
      </w:r>
      <w:r w:rsidRPr="00CD2766">
        <w:rPr>
          <w:rFonts w:ascii="Times New Roman" w:hAnsi="Times New Roman" w:cs="Times New Roman"/>
          <w:i/>
          <w:color w:val="000000" w:themeColor="text1"/>
          <w:sz w:val="24"/>
          <w:szCs w:val="24"/>
          <w:lang w:val="fr-FR"/>
        </w:rPr>
        <w:t>Crédit d’impôt innovation</w:t>
      </w:r>
      <w:r w:rsidRPr="00CD2766">
        <w:rPr>
          <w:rFonts w:ascii="Times New Roman" w:hAnsi="Times New Roman" w:cs="Times New Roman"/>
          <w:color w:val="000000" w:themeColor="text1"/>
          <w:sz w:val="24"/>
          <w:szCs w:val="24"/>
        </w:rPr>
        <w:t>). Atbilstoši kredīta nosacījumiem nodokļa maksātājs var saņemt atbalstu izdevumiem, kas saistīti ar pētījumiem jaunos produktos. Gada ietvaros ir attiecināmas līdz 400 000 euro izmaksas ar 20% likmi izdevumiem.</w:t>
      </w:r>
    </w:p>
    <w:p w:rsidR="00D93A06" w:rsidRPr="00CD2766" w:rsidRDefault="00D93A06" w:rsidP="00D93A06">
      <w:pPr>
        <w:autoSpaceDE w:val="0"/>
        <w:autoSpaceDN w:val="0"/>
        <w:adjustRightInd w:val="0"/>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Francija piedāvā arī nodokļu kredītu jauniem inovatīviem uzņēmumiem (</w:t>
      </w:r>
      <w:r w:rsidRPr="00CD2766">
        <w:rPr>
          <w:rFonts w:ascii="Times New Roman" w:hAnsi="Times New Roman" w:cs="Times New Roman"/>
          <w:i/>
          <w:color w:val="000000" w:themeColor="text1"/>
          <w:sz w:val="24"/>
          <w:szCs w:val="24"/>
          <w:lang w:val="fr-FR"/>
        </w:rPr>
        <w:t>Jeunes Entreprises Innovantes</w:t>
      </w:r>
      <w:r w:rsidRPr="00CD2766">
        <w:rPr>
          <w:rFonts w:ascii="Times New Roman" w:hAnsi="Times New Roman" w:cs="Times New Roman"/>
          <w:color w:val="000000" w:themeColor="text1"/>
          <w:sz w:val="24"/>
          <w:szCs w:val="24"/>
        </w:rPr>
        <w:t xml:space="preserve">), ja izdevumi pētniecībā un attīstībā sasniedz vismaz 15% no kopējām izmaksām. Šo atbalsta mehānismu Eiropas Komisija 2014.gadā atzinusi kā labāko praksi, jo tas sekmē inovāciju ieviešanu un ļauj sniegt tūlītēju atbalstu. </w:t>
      </w:r>
    </w:p>
    <w:p w:rsidR="00D93A06" w:rsidRPr="00CD2766" w:rsidRDefault="00D93A06" w:rsidP="00D93A06">
      <w:pPr>
        <w:autoSpaceDE w:val="0"/>
        <w:autoSpaceDN w:val="0"/>
        <w:adjustRightInd w:val="0"/>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b/>
          <w:color w:val="000000" w:themeColor="text1"/>
          <w:sz w:val="24"/>
          <w:szCs w:val="24"/>
        </w:rPr>
        <w:t>Dānijas</w:t>
      </w:r>
      <w:r w:rsidRPr="00CD2766">
        <w:rPr>
          <w:rFonts w:ascii="Times New Roman" w:hAnsi="Times New Roman" w:cs="Times New Roman"/>
          <w:color w:val="000000" w:themeColor="text1"/>
          <w:sz w:val="24"/>
          <w:szCs w:val="24"/>
        </w:rPr>
        <w:t xml:space="preserve"> uzņēmējiem ir pieejams nodokļu kredīts pētniecībai un attīstībai un tas neparedz ierobežojumus attiecībā uz uzņēmuma lielumu, lai gan visbiežāk šādu atbalsta mehānismu izmanto tieši mazie un vidējie uzņēmumi. Ja uzņēmumam no izdevumiem, kas saistīti ar pētniecību un attīstību ir nodokļu zaudējumi (līdz 25 milj. DDK), tas var novirzīt nodokļu vērtību deficītā (līdz 5,87 milj. DKK), līdz ar to zaudējumi var tikt pārnesti un samazināti, pamatojoties uz faktiski veiktajiem izdevumiem. </w:t>
      </w:r>
    </w:p>
    <w:p w:rsidR="00D93A06" w:rsidRPr="00CD2766" w:rsidRDefault="00D93A06" w:rsidP="00D93A06">
      <w:pPr>
        <w:autoSpaceDE w:val="0"/>
        <w:autoSpaceDN w:val="0"/>
        <w:adjustRightInd w:val="0"/>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b/>
          <w:color w:val="000000" w:themeColor="text1"/>
          <w:sz w:val="24"/>
          <w:szCs w:val="24"/>
        </w:rPr>
        <w:t xml:space="preserve">Nīderlandē </w:t>
      </w:r>
      <w:r w:rsidRPr="00CD2766">
        <w:rPr>
          <w:rFonts w:ascii="Times New Roman" w:hAnsi="Times New Roman" w:cs="Times New Roman"/>
          <w:color w:val="000000" w:themeColor="text1"/>
          <w:sz w:val="24"/>
          <w:szCs w:val="24"/>
        </w:rPr>
        <w:t>maziem un vidējiem uzņēmumiem vai start-</w:t>
      </w:r>
      <w:proofErr w:type="spellStart"/>
      <w:r w:rsidRPr="00CD2766">
        <w:rPr>
          <w:rFonts w:ascii="Times New Roman" w:hAnsi="Times New Roman" w:cs="Times New Roman"/>
          <w:color w:val="000000" w:themeColor="text1"/>
          <w:sz w:val="24"/>
          <w:szCs w:val="24"/>
        </w:rPr>
        <w:t>upiem</w:t>
      </w:r>
      <w:proofErr w:type="spellEnd"/>
      <w:r w:rsidRPr="00CD2766">
        <w:rPr>
          <w:rFonts w:ascii="Times New Roman" w:hAnsi="Times New Roman" w:cs="Times New Roman"/>
          <w:color w:val="000000" w:themeColor="text1"/>
          <w:sz w:val="24"/>
          <w:szCs w:val="24"/>
        </w:rPr>
        <w:t xml:space="preserve"> ir pieejama</w:t>
      </w:r>
      <w:r w:rsidRPr="00CD2766">
        <w:rPr>
          <w:rFonts w:ascii="Times New Roman" w:hAnsi="Times New Roman" w:cs="Times New Roman"/>
          <w:b/>
          <w:color w:val="000000" w:themeColor="text1"/>
          <w:sz w:val="24"/>
          <w:szCs w:val="24"/>
        </w:rPr>
        <w:t xml:space="preserve"> </w:t>
      </w:r>
      <w:r w:rsidRPr="00CD2766">
        <w:rPr>
          <w:rFonts w:ascii="Times New Roman" w:hAnsi="Times New Roman" w:cs="Times New Roman"/>
          <w:color w:val="000000" w:themeColor="text1"/>
          <w:sz w:val="24"/>
          <w:szCs w:val="24"/>
        </w:rPr>
        <w:t xml:space="preserve">atbalsta programma </w:t>
      </w:r>
      <w:proofErr w:type="spellStart"/>
      <w:r w:rsidRPr="00CD2766">
        <w:rPr>
          <w:rFonts w:ascii="Times New Roman" w:hAnsi="Times New Roman" w:cs="Times New Roman"/>
          <w:color w:val="000000" w:themeColor="text1"/>
          <w:sz w:val="24"/>
          <w:szCs w:val="24"/>
        </w:rPr>
        <w:t>the</w:t>
      </w:r>
      <w:proofErr w:type="spellEnd"/>
      <w:r w:rsidRPr="00CD2766">
        <w:rPr>
          <w:rFonts w:ascii="Times New Roman" w:hAnsi="Times New Roman" w:cs="Times New Roman"/>
          <w:color w:val="000000" w:themeColor="text1"/>
          <w:sz w:val="24"/>
          <w:szCs w:val="24"/>
        </w:rPr>
        <w:t xml:space="preserve"> </w:t>
      </w:r>
      <w:proofErr w:type="spellStart"/>
      <w:r w:rsidRPr="00CD2766">
        <w:rPr>
          <w:rFonts w:ascii="Times New Roman" w:hAnsi="Times New Roman" w:cs="Times New Roman"/>
          <w:i/>
          <w:color w:val="000000" w:themeColor="text1"/>
          <w:sz w:val="24"/>
          <w:szCs w:val="24"/>
        </w:rPr>
        <w:t>Wet</w:t>
      </w:r>
      <w:proofErr w:type="spellEnd"/>
      <w:r w:rsidRPr="00CD2766">
        <w:rPr>
          <w:rFonts w:ascii="Times New Roman" w:hAnsi="Times New Roman" w:cs="Times New Roman"/>
          <w:i/>
          <w:color w:val="000000" w:themeColor="text1"/>
          <w:sz w:val="24"/>
          <w:szCs w:val="24"/>
        </w:rPr>
        <w:t xml:space="preserve"> </w:t>
      </w:r>
      <w:proofErr w:type="spellStart"/>
      <w:r w:rsidRPr="00CD2766">
        <w:rPr>
          <w:rFonts w:ascii="Times New Roman" w:hAnsi="Times New Roman" w:cs="Times New Roman"/>
          <w:i/>
          <w:color w:val="000000" w:themeColor="text1"/>
          <w:sz w:val="24"/>
          <w:szCs w:val="24"/>
        </w:rPr>
        <w:t>Bevordering</w:t>
      </w:r>
      <w:proofErr w:type="spellEnd"/>
      <w:r w:rsidRPr="00CD2766">
        <w:rPr>
          <w:rFonts w:ascii="Times New Roman" w:hAnsi="Times New Roman" w:cs="Times New Roman"/>
          <w:i/>
          <w:color w:val="000000" w:themeColor="text1"/>
          <w:sz w:val="24"/>
          <w:szCs w:val="24"/>
        </w:rPr>
        <w:t xml:space="preserve"> </w:t>
      </w:r>
      <w:proofErr w:type="spellStart"/>
      <w:r w:rsidRPr="00CD2766">
        <w:rPr>
          <w:rFonts w:ascii="Times New Roman" w:hAnsi="Times New Roman" w:cs="Times New Roman"/>
          <w:i/>
          <w:color w:val="000000" w:themeColor="text1"/>
          <w:sz w:val="24"/>
          <w:szCs w:val="24"/>
        </w:rPr>
        <w:t>Speur</w:t>
      </w:r>
      <w:proofErr w:type="spellEnd"/>
      <w:r w:rsidRPr="00CD2766">
        <w:rPr>
          <w:rFonts w:ascii="Times New Roman" w:hAnsi="Times New Roman" w:cs="Times New Roman"/>
          <w:i/>
          <w:color w:val="000000" w:themeColor="text1"/>
          <w:sz w:val="24"/>
          <w:szCs w:val="24"/>
        </w:rPr>
        <w:t xml:space="preserve"> - </w:t>
      </w:r>
      <w:proofErr w:type="spellStart"/>
      <w:r w:rsidRPr="00CD2766">
        <w:rPr>
          <w:rFonts w:ascii="Times New Roman" w:hAnsi="Times New Roman" w:cs="Times New Roman"/>
          <w:i/>
          <w:color w:val="000000" w:themeColor="text1"/>
          <w:sz w:val="24"/>
          <w:szCs w:val="24"/>
        </w:rPr>
        <w:t>en</w:t>
      </w:r>
      <w:proofErr w:type="spellEnd"/>
      <w:r w:rsidRPr="00CD2766">
        <w:rPr>
          <w:rFonts w:ascii="Times New Roman" w:hAnsi="Times New Roman" w:cs="Times New Roman"/>
          <w:i/>
          <w:color w:val="000000" w:themeColor="text1"/>
          <w:sz w:val="24"/>
          <w:szCs w:val="24"/>
        </w:rPr>
        <w:t xml:space="preserve"> </w:t>
      </w:r>
      <w:proofErr w:type="spellStart"/>
      <w:r w:rsidRPr="00CD2766">
        <w:rPr>
          <w:rFonts w:ascii="Times New Roman" w:hAnsi="Times New Roman" w:cs="Times New Roman"/>
          <w:i/>
          <w:color w:val="000000" w:themeColor="text1"/>
          <w:sz w:val="24"/>
          <w:szCs w:val="24"/>
        </w:rPr>
        <w:t>Ontwikkelingswerk</w:t>
      </w:r>
      <w:proofErr w:type="spellEnd"/>
      <w:r w:rsidRPr="00CD2766">
        <w:rPr>
          <w:rFonts w:ascii="Times New Roman" w:hAnsi="Times New Roman" w:cs="Times New Roman"/>
          <w:i/>
          <w:color w:val="000000" w:themeColor="text1"/>
          <w:sz w:val="24"/>
          <w:szCs w:val="24"/>
        </w:rPr>
        <w:t xml:space="preserve"> </w:t>
      </w:r>
      <w:r w:rsidRPr="00CD2766">
        <w:rPr>
          <w:rFonts w:ascii="Times New Roman" w:hAnsi="Times New Roman" w:cs="Times New Roman"/>
          <w:color w:val="000000" w:themeColor="text1"/>
          <w:sz w:val="24"/>
          <w:szCs w:val="24"/>
        </w:rPr>
        <w:t xml:space="preserve">(WBSO), kas nodrošina, ka mazie un vidējie uzņēmumi, kuri darbojas pētniecībā un attīstībā ar nodokļa kredīta palīdzību var saņemt darbaspēka nodokļa atlaides. Atbalsta programmai var pieteikties trīs reizes gadā, programma paredzēta informācijas tehnoloģiju uzņēmumiem, lai attīstītu tehnoloģiski jaunus produktus vai programmatūras, kā arī zinātnes tehnoloģiskiem pētījumiem. </w:t>
      </w:r>
    </w:p>
    <w:tbl>
      <w:tblPr>
        <w:tblStyle w:val="TableGrid"/>
        <w:tblW w:w="0" w:type="auto"/>
        <w:tblInd w:w="1101" w:type="dxa"/>
        <w:tblLook w:val="04A0" w:firstRow="1" w:lastRow="0" w:firstColumn="1" w:lastColumn="0" w:noHBand="0" w:noVBand="1"/>
      </w:tblPr>
      <w:tblGrid>
        <w:gridCol w:w="3423"/>
        <w:gridCol w:w="3115"/>
      </w:tblGrid>
      <w:tr w:rsidR="00D93A06" w:rsidRPr="00CD2766" w:rsidTr="009B5277">
        <w:tc>
          <w:tcPr>
            <w:tcW w:w="3423" w:type="dxa"/>
          </w:tcPr>
          <w:p w:rsidR="00D93A06" w:rsidRPr="00CD2766" w:rsidRDefault="00D93A06" w:rsidP="00D93A06">
            <w:pPr>
              <w:autoSpaceDE w:val="0"/>
              <w:autoSpaceDN w:val="0"/>
              <w:adjustRightInd w:val="0"/>
              <w:spacing w:before="120"/>
              <w:jc w:val="center"/>
              <w:rPr>
                <w:rFonts w:ascii="Times New Roman" w:hAnsi="Times New Roman" w:cs="Times New Roman"/>
                <w:b/>
                <w:color w:val="000000" w:themeColor="text1"/>
                <w:sz w:val="24"/>
                <w:szCs w:val="24"/>
              </w:rPr>
            </w:pPr>
            <w:r w:rsidRPr="00CD2766">
              <w:rPr>
                <w:rFonts w:ascii="Times New Roman" w:hAnsi="Times New Roman" w:cs="Times New Roman"/>
                <w:b/>
                <w:color w:val="000000" w:themeColor="text1"/>
                <w:sz w:val="24"/>
                <w:szCs w:val="24"/>
              </w:rPr>
              <w:t>Atlīdzības izmaksas</w:t>
            </w:r>
          </w:p>
        </w:tc>
        <w:tc>
          <w:tcPr>
            <w:tcW w:w="3115" w:type="dxa"/>
          </w:tcPr>
          <w:p w:rsidR="00D93A06" w:rsidRPr="00CD2766" w:rsidRDefault="00D93A06" w:rsidP="00D93A06">
            <w:pPr>
              <w:autoSpaceDE w:val="0"/>
              <w:autoSpaceDN w:val="0"/>
              <w:adjustRightInd w:val="0"/>
              <w:spacing w:before="120"/>
              <w:jc w:val="center"/>
              <w:rPr>
                <w:rFonts w:ascii="Times New Roman" w:hAnsi="Times New Roman" w:cs="Times New Roman"/>
                <w:b/>
                <w:color w:val="000000" w:themeColor="text1"/>
                <w:sz w:val="24"/>
                <w:szCs w:val="24"/>
              </w:rPr>
            </w:pPr>
            <w:r w:rsidRPr="00CD2766">
              <w:rPr>
                <w:rFonts w:ascii="Times New Roman" w:hAnsi="Times New Roman" w:cs="Times New Roman"/>
                <w:b/>
                <w:color w:val="000000" w:themeColor="text1"/>
                <w:sz w:val="24"/>
                <w:szCs w:val="24"/>
              </w:rPr>
              <w:t>Nodokļa atlaide %</w:t>
            </w:r>
          </w:p>
        </w:tc>
      </w:tr>
      <w:tr w:rsidR="00D93A06" w:rsidRPr="00CD2766" w:rsidTr="009B5277">
        <w:tc>
          <w:tcPr>
            <w:tcW w:w="3423" w:type="dxa"/>
          </w:tcPr>
          <w:p w:rsidR="00D93A06" w:rsidRPr="00CD2766" w:rsidRDefault="00D93A06" w:rsidP="00D93A06">
            <w:pPr>
              <w:autoSpaceDE w:val="0"/>
              <w:autoSpaceDN w:val="0"/>
              <w:adjustRightInd w:val="0"/>
              <w:spacing w:before="120"/>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lang w:val="en-GB"/>
              </w:rPr>
              <w:t xml:space="preserve">&lt;350 000,00 </w:t>
            </w:r>
          </w:p>
        </w:tc>
        <w:tc>
          <w:tcPr>
            <w:tcW w:w="3115" w:type="dxa"/>
          </w:tcPr>
          <w:p w:rsidR="00D93A06" w:rsidRPr="00CD2766" w:rsidRDefault="00D93A06" w:rsidP="00D93A06">
            <w:pPr>
              <w:autoSpaceDE w:val="0"/>
              <w:autoSpaceDN w:val="0"/>
              <w:adjustRightInd w:val="0"/>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32%</w:t>
            </w:r>
          </w:p>
        </w:tc>
      </w:tr>
      <w:tr w:rsidR="00D93A06" w:rsidRPr="00CD2766" w:rsidTr="009B5277">
        <w:tc>
          <w:tcPr>
            <w:tcW w:w="3423" w:type="dxa"/>
          </w:tcPr>
          <w:p w:rsidR="00D93A06" w:rsidRPr="00CD2766" w:rsidRDefault="00D93A06" w:rsidP="00D93A06">
            <w:pPr>
              <w:autoSpaceDE w:val="0"/>
              <w:autoSpaceDN w:val="0"/>
              <w:adjustRightInd w:val="0"/>
              <w:spacing w:before="120"/>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lang w:val="en-GB"/>
              </w:rPr>
              <w:t xml:space="preserve">&lt;350 000,00 start-up </w:t>
            </w:r>
            <w:proofErr w:type="spellStart"/>
            <w:r w:rsidRPr="00CD2766">
              <w:rPr>
                <w:rFonts w:ascii="Times New Roman" w:hAnsi="Times New Roman" w:cs="Times New Roman"/>
                <w:color w:val="000000" w:themeColor="text1"/>
                <w:sz w:val="24"/>
                <w:szCs w:val="24"/>
                <w:lang w:val="en-GB"/>
              </w:rPr>
              <w:t>uzņēmumi</w:t>
            </w:r>
            <w:proofErr w:type="spellEnd"/>
          </w:p>
        </w:tc>
        <w:tc>
          <w:tcPr>
            <w:tcW w:w="3115" w:type="dxa"/>
          </w:tcPr>
          <w:p w:rsidR="00D93A06" w:rsidRPr="00CD2766" w:rsidRDefault="00D93A06" w:rsidP="00D93A06">
            <w:pPr>
              <w:autoSpaceDE w:val="0"/>
              <w:autoSpaceDN w:val="0"/>
              <w:adjustRightInd w:val="0"/>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40%</w:t>
            </w:r>
          </w:p>
        </w:tc>
      </w:tr>
      <w:tr w:rsidR="00D93A06" w:rsidRPr="00CD2766" w:rsidTr="009B5277">
        <w:tc>
          <w:tcPr>
            <w:tcW w:w="3423" w:type="dxa"/>
          </w:tcPr>
          <w:p w:rsidR="00D93A06" w:rsidRPr="00CD2766" w:rsidRDefault="00D93A06" w:rsidP="00D93A06">
            <w:pPr>
              <w:autoSpaceDE w:val="0"/>
              <w:autoSpaceDN w:val="0"/>
              <w:adjustRightInd w:val="0"/>
              <w:spacing w:before="120"/>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lang w:val="en-GB"/>
              </w:rPr>
              <w:t xml:space="preserve">&gt;350 000,00 </w:t>
            </w:r>
          </w:p>
        </w:tc>
        <w:tc>
          <w:tcPr>
            <w:tcW w:w="3115" w:type="dxa"/>
          </w:tcPr>
          <w:p w:rsidR="00D93A06" w:rsidRPr="00CD2766" w:rsidRDefault="00D93A06" w:rsidP="00D93A06">
            <w:pPr>
              <w:autoSpaceDE w:val="0"/>
              <w:autoSpaceDN w:val="0"/>
              <w:adjustRightInd w:val="0"/>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16%</w:t>
            </w:r>
          </w:p>
        </w:tc>
      </w:tr>
    </w:tbl>
    <w:p w:rsidR="00D93A06" w:rsidRPr="00CD2766" w:rsidRDefault="00D93A06" w:rsidP="00D93A06">
      <w:pPr>
        <w:spacing w:before="120" w:after="0" w:line="240" w:lineRule="auto"/>
        <w:ind w:firstLine="567"/>
        <w:rPr>
          <w:rFonts w:ascii="Times New Roman" w:hAnsi="Times New Roman" w:cs="Times New Roman"/>
          <w:color w:val="000000" w:themeColor="text1"/>
          <w:sz w:val="24"/>
          <w:szCs w:val="24"/>
          <w:lang w:val="en-US"/>
        </w:rPr>
      </w:pPr>
    </w:p>
    <w:p w:rsidR="00D93A06" w:rsidRPr="00CD2766" w:rsidRDefault="00D93A06" w:rsidP="00D93A06">
      <w:pPr>
        <w:autoSpaceDE w:val="0"/>
        <w:autoSpaceDN w:val="0"/>
        <w:adjustRightInd w:val="0"/>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lastRenderedPageBreak/>
        <w:t>Lai sekmētu inovācijas mazajiem un vidējiem uzņēmumiem Nīderlande ir izstrādājusi arī īpašu atbalsta mehānismu, saskaņā, ar kuru ienākumiem, kas rada nemateriālos aktīvus un kas pārsniedz saistītos pētniecības un attīstības izdevumus tiek piemērota 5% nodokļa likme. Minētā atbalsta programma paredz, ka gada ietvaros izdevumiem līdz 25 000 euro nav nepieciešams pierādīt to pamatotību.</w:t>
      </w:r>
    </w:p>
    <w:p w:rsidR="009526BC" w:rsidRDefault="00D93A06" w:rsidP="00D93A06">
      <w:pPr>
        <w:autoSpaceDE w:val="0"/>
        <w:autoSpaceDN w:val="0"/>
        <w:adjustRightInd w:val="0"/>
        <w:spacing w:before="120" w:after="0" w:line="240" w:lineRule="auto"/>
        <w:ind w:firstLine="567"/>
        <w:jc w:val="both"/>
        <w:rPr>
          <w:rFonts w:ascii="Times New Roman" w:hAnsi="Times New Roman" w:cs="Times New Roman"/>
          <w:color w:val="000000" w:themeColor="text1"/>
          <w:kern w:val="24"/>
          <w:sz w:val="24"/>
          <w:szCs w:val="24"/>
        </w:rPr>
      </w:pPr>
      <w:r w:rsidRPr="00CD2766">
        <w:rPr>
          <w:rFonts w:ascii="Times New Roman" w:hAnsi="Times New Roman" w:cs="Times New Roman"/>
          <w:b/>
          <w:color w:val="000000" w:themeColor="text1"/>
          <w:sz w:val="24"/>
          <w:szCs w:val="24"/>
        </w:rPr>
        <w:t>Itālija</w:t>
      </w:r>
      <w:r w:rsidRPr="00CD2766">
        <w:rPr>
          <w:rFonts w:ascii="Times New Roman" w:hAnsi="Times New Roman" w:cs="Times New Roman"/>
          <w:color w:val="000000" w:themeColor="text1"/>
          <w:sz w:val="24"/>
          <w:szCs w:val="24"/>
        </w:rPr>
        <w:t xml:space="preserve"> ir izstrādājusi īpašu start-</w:t>
      </w:r>
      <w:proofErr w:type="spellStart"/>
      <w:r w:rsidRPr="00CD2766">
        <w:rPr>
          <w:rFonts w:ascii="Times New Roman" w:hAnsi="Times New Roman" w:cs="Times New Roman"/>
          <w:color w:val="000000" w:themeColor="text1"/>
          <w:sz w:val="24"/>
          <w:szCs w:val="24"/>
        </w:rPr>
        <w:t>up</w:t>
      </w:r>
      <w:proofErr w:type="spellEnd"/>
      <w:r w:rsidRPr="00CD2766">
        <w:rPr>
          <w:rFonts w:ascii="Times New Roman" w:hAnsi="Times New Roman" w:cs="Times New Roman"/>
          <w:color w:val="000000" w:themeColor="text1"/>
          <w:sz w:val="24"/>
          <w:szCs w:val="24"/>
        </w:rPr>
        <w:t xml:space="preserve"> atbalsta programmu uzņēmumiem, kas ražo, attīsta </w:t>
      </w:r>
      <w:r w:rsidRPr="00CD2766">
        <w:rPr>
          <w:rFonts w:ascii="Times New Roman" w:hAnsi="Times New Roman" w:cs="Times New Roman"/>
          <w:color w:val="000000" w:themeColor="text1"/>
          <w:kern w:val="24"/>
          <w:sz w:val="24"/>
          <w:szCs w:val="24"/>
        </w:rPr>
        <w:t xml:space="preserve">un pārdod inovatīvas preces vai pakalpojumus ar augstu tehnoloģisko vērtību. Lai pretendentu uz atbalstu uzņēmumam ir jāatbilst kādai inovatīvai pazīmei, kā, piemēram, nodrošinot, ka 15% no izdevumiem tiek novirzīti zinātnei un attīstība, papildus tam jānodrošina, ka uzņēmums darbojas mazāk nekā piecus gadus, gada apgrozījums ir mazāks par 5 milj. euro, uzņēmuma peļņa netiek sadalīta, u.c. Atbalsta programma nodrošina nodokļu atlaidi par augsti kvalificēta darbaspēka nodarbināšanu, bezmaksas reģistrāciju uzņēmuma reģistrā, valsts garantijas banku kredītiem līdz 2,5 milj. euro apmērā, iespēju samazināt kapitālu 2 finanšu gados pēc gada, kad bijuši zaudējumi, u.c. </w:t>
      </w:r>
    </w:p>
    <w:p w:rsidR="00CD2766" w:rsidRDefault="00CD2766" w:rsidP="00D93A06">
      <w:pPr>
        <w:autoSpaceDE w:val="0"/>
        <w:autoSpaceDN w:val="0"/>
        <w:adjustRightInd w:val="0"/>
        <w:spacing w:before="120" w:after="0" w:line="240" w:lineRule="auto"/>
        <w:ind w:firstLine="567"/>
        <w:jc w:val="both"/>
        <w:rPr>
          <w:rFonts w:ascii="Times New Roman" w:hAnsi="Times New Roman" w:cs="Times New Roman"/>
          <w:color w:val="000000" w:themeColor="text1"/>
          <w:kern w:val="24"/>
          <w:sz w:val="24"/>
          <w:szCs w:val="24"/>
        </w:rPr>
      </w:pPr>
    </w:p>
    <w:p w:rsidR="00CD2766" w:rsidRDefault="00CD2766" w:rsidP="00D93A06">
      <w:pPr>
        <w:autoSpaceDE w:val="0"/>
        <w:autoSpaceDN w:val="0"/>
        <w:adjustRightInd w:val="0"/>
        <w:spacing w:before="120" w:after="0" w:line="240" w:lineRule="auto"/>
        <w:ind w:firstLine="567"/>
        <w:jc w:val="both"/>
        <w:rPr>
          <w:rFonts w:ascii="Times New Roman" w:hAnsi="Times New Roman" w:cs="Times New Roman"/>
          <w:color w:val="000000" w:themeColor="text1"/>
          <w:kern w:val="24"/>
          <w:sz w:val="24"/>
          <w:szCs w:val="24"/>
        </w:rPr>
      </w:pPr>
    </w:p>
    <w:p w:rsidR="00CD2766" w:rsidRPr="00CD2766" w:rsidRDefault="00CD2766" w:rsidP="00D93A06">
      <w:pPr>
        <w:autoSpaceDE w:val="0"/>
        <w:autoSpaceDN w:val="0"/>
        <w:adjustRightInd w:val="0"/>
        <w:spacing w:before="120" w:after="0" w:line="240" w:lineRule="auto"/>
        <w:ind w:firstLine="567"/>
        <w:jc w:val="both"/>
        <w:rPr>
          <w:rFonts w:ascii="Times New Roman" w:hAnsi="Times New Roman" w:cs="Times New Roman"/>
          <w:color w:val="000000" w:themeColor="text1"/>
          <w:sz w:val="24"/>
          <w:szCs w:val="24"/>
        </w:rPr>
      </w:pPr>
    </w:p>
    <w:p w:rsidR="009526BC" w:rsidRPr="009526BC" w:rsidRDefault="009526BC" w:rsidP="009526BC">
      <w:pPr>
        <w:rPr>
          <w:rFonts w:ascii="Times New Roman" w:hAnsi="Times New Roman" w:cs="Times New Roman"/>
          <w:sz w:val="26"/>
          <w:szCs w:val="26"/>
        </w:rPr>
      </w:pPr>
    </w:p>
    <w:p w:rsidR="00CD2766" w:rsidRPr="00D4230B" w:rsidRDefault="00CD2766" w:rsidP="00CD2766">
      <w:pPr>
        <w:spacing w:after="0" w:line="240" w:lineRule="auto"/>
        <w:jc w:val="both"/>
        <w:rPr>
          <w:rFonts w:ascii="Times New Roman" w:hAnsi="Times New Roman" w:cs="Times New Roman"/>
          <w:sz w:val="24"/>
          <w:szCs w:val="24"/>
        </w:rPr>
      </w:pPr>
      <w:r w:rsidRPr="00D4230B">
        <w:rPr>
          <w:rFonts w:ascii="Times New Roman" w:hAnsi="Times New Roman" w:cs="Times New Roman"/>
          <w:sz w:val="24"/>
          <w:szCs w:val="24"/>
        </w:rPr>
        <w:t>Ministru prezidenta biedrs,</w:t>
      </w:r>
    </w:p>
    <w:p w:rsidR="009526BC" w:rsidRDefault="00CD2766" w:rsidP="00CD2766">
      <w:pPr>
        <w:rPr>
          <w:rFonts w:ascii="Times New Roman" w:hAnsi="Times New Roman" w:cs="Times New Roman"/>
          <w:sz w:val="26"/>
          <w:szCs w:val="26"/>
        </w:rPr>
      </w:pPr>
      <w:r w:rsidRPr="00D4230B">
        <w:rPr>
          <w:rFonts w:ascii="Times New Roman" w:hAnsi="Times New Roman" w:cs="Times New Roman"/>
          <w:sz w:val="24"/>
          <w:szCs w:val="24"/>
        </w:rPr>
        <w:t>ekonomikas ministrs</w:t>
      </w:r>
      <w:r w:rsidRPr="00D4230B">
        <w:rPr>
          <w:rFonts w:ascii="Times New Roman" w:hAnsi="Times New Roman" w:cs="Times New Roman"/>
          <w:sz w:val="24"/>
          <w:szCs w:val="24"/>
        </w:rPr>
        <w:tab/>
      </w:r>
      <w:r w:rsidRPr="00D4230B">
        <w:rPr>
          <w:rFonts w:ascii="Times New Roman" w:hAnsi="Times New Roman" w:cs="Times New Roman"/>
          <w:sz w:val="24"/>
          <w:szCs w:val="24"/>
        </w:rPr>
        <w:tab/>
      </w:r>
      <w:r w:rsidRPr="00D4230B">
        <w:rPr>
          <w:rFonts w:ascii="Times New Roman" w:hAnsi="Times New Roman" w:cs="Times New Roman"/>
          <w:sz w:val="24"/>
          <w:szCs w:val="24"/>
        </w:rPr>
        <w:tab/>
      </w:r>
      <w:r w:rsidRPr="00D4230B">
        <w:rPr>
          <w:rFonts w:ascii="Times New Roman" w:hAnsi="Times New Roman" w:cs="Times New Roman"/>
          <w:sz w:val="24"/>
          <w:szCs w:val="24"/>
        </w:rPr>
        <w:tab/>
      </w:r>
      <w:r w:rsidRPr="00D4230B">
        <w:rPr>
          <w:rFonts w:ascii="Times New Roman" w:hAnsi="Times New Roman" w:cs="Times New Roman"/>
          <w:sz w:val="24"/>
          <w:szCs w:val="24"/>
        </w:rPr>
        <w:tab/>
      </w:r>
      <w:r w:rsidRPr="00D4230B">
        <w:rPr>
          <w:rFonts w:ascii="Times New Roman" w:hAnsi="Times New Roman" w:cs="Times New Roman"/>
          <w:sz w:val="24"/>
          <w:szCs w:val="24"/>
        </w:rPr>
        <w:tab/>
      </w:r>
      <w:r w:rsidRPr="00D4230B">
        <w:rPr>
          <w:rFonts w:ascii="Times New Roman" w:hAnsi="Times New Roman" w:cs="Times New Roman"/>
          <w:sz w:val="24"/>
          <w:szCs w:val="24"/>
        </w:rPr>
        <w:tab/>
      </w:r>
      <w:r w:rsidRPr="00D4230B">
        <w:rPr>
          <w:rFonts w:ascii="Times New Roman" w:hAnsi="Times New Roman" w:cs="Times New Roman"/>
          <w:sz w:val="24"/>
          <w:szCs w:val="24"/>
        </w:rPr>
        <w:tab/>
        <w:t>A.Ašeradens</w:t>
      </w:r>
    </w:p>
    <w:p w:rsidR="00CD2766" w:rsidRDefault="00CD2766" w:rsidP="009526BC">
      <w:pPr>
        <w:suppressAutoHyphens/>
        <w:spacing w:after="0" w:line="240" w:lineRule="auto"/>
        <w:rPr>
          <w:rFonts w:ascii="Times New Roman" w:hAnsi="Times New Roman"/>
          <w:color w:val="000000" w:themeColor="text1"/>
          <w:sz w:val="16"/>
          <w:szCs w:val="16"/>
        </w:rPr>
      </w:pPr>
    </w:p>
    <w:p w:rsidR="00CD2766" w:rsidRDefault="00CD2766" w:rsidP="009526BC">
      <w:pPr>
        <w:suppressAutoHyphens/>
        <w:spacing w:after="0" w:line="240" w:lineRule="auto"/>
        <w:rPr>
          <w:rFonts w:ascii="Times New Roman" w:hAnsi="Times New Roman"/>
          <w:color w:val="000000" w:themeColor="text1"/>
          <w:sz w:val="16"/>
          <w:szCs w:val="16"/>
        </w:rPr>
      </w:pPr>
    </w:p>
    <w:p w:rsidR="00CD2766" w:rsidRDefault="00CD2766" w:rsidP="009526BC">
      <w:pPr>
        <w:suppressAutoHyphens/>
        <w:spacing w:after="0" w:line="240" w:lineRule="auto"/>
        <w:rPr>
          <w:rFonts w:ascii="Times New Roman" w:hAnsi="Times New Roman"/>
          <w:color w:val="000000" w:themeColor="text1"/>
          <w:sz w:val="16"/>
          <w:szCs w:val="16"/>
        </w:rPr>
      </w:pPr>
    </w:p>
    <w:p w:rsidR="00CD2766" w:rsidRDefault="00CD2766" w:rsidP="009526BC">
      <w:pPr>
        <w:suppressAutoHyphens/>
        <w:spacing w:after="0" w:line="240" w:lineRule="auto"/>
        <w:rPr>
          <w:rFonts w:ascii="Times New Roman" w:hAnsi="Times New Roman"/>
          <w:color w:val="000000" w:themeColor="text1"/>
          <w:sz w:val="16"/>
          <w:szCs w:val="16"/>
        </w:rPr>
      </w:pPr>
    </w:p>
    <w:p w:rsidR="00CD2766" w:rsidRDefault="00CD2766" w:rsidP="009526BC">
      <w:pPr>
        <w:suppressAutoHyphens/>
        <w:spacing w:after="0" w:line="240" w:lineRule="auto"/>
        <w:rPr>
          <w:rFonts w:ascii="Times New Roman" w:hAnsi="Times New Roman"/>
          <w:color w:val="000000" w:themeColor="text1"/>
          <w:sz w:val="16"/>
          <w:szCs w:val="16"/>
        </w:rPr>
      </w:pPr>
    </w:p>
    <w:p w:rsidR="00CD2766" w:rsidRDefault="00CD2766" w:rsidP="009526BC">
      <w:pPr>
        <w:suppressAutoHyphens/>
        <w:spacing w:after="0" w:line="240" w:lineRule="auto"/>
        <w:rPr>
          <w:rFonts w:ascii="Times New Roman" w:hAnsi="Times New Roman"/>
          <w:color w:val="000000" w:themeColor="text1"/>
          <w:sz w:val="16"/>
          <w:szCs w:val="16"/>
        </w:rPr>
      </w:pPr>
    </w:p>
    <w:p w:rsidR="00CD2766" w:rsidRDefault="00CD2766" w:rsidP="009526BC">
      <w:pPr>
        <w:suppressAutoHyphens/>
        <w:spacing w:after="0" w:line="240" w:lineRule="auto"/>
        <w:rPr>
          <w:rFonts w:ascii="Times New Roman" w:hAnsi="Times New Roman"/>
          <w:color w:val="000000" w:themeColor="text1"/>
          <w:sz w:val="16"/>
          <w:szCs w:val="16"/>
        </w:rPr>
      </w:pPr>
    </w:p>
    <w:p w:rsidR="00CD2766" w:rsidRDefault="00CD2766" w:rsidP="009526BC">
      <w:pPr>
        <w:suppressAutoHyphens/>
        <w:spacing w:after="0" w:line="240" w:lineRule="auto"/>
        <w:rPr>
          <w:rFonts w:ascii="Times New Roman" w:hAnsi="Times New Roman"/>
          <w:color w:val="000000" w:themeColor="text1"/>
          <w:sz w:val="16"/>
          <w:szCs w:val="16"/>
        </w:rPr>
      </w:pPr>
    </w:p>
    <w:p w:rsidR="00CD2766" w:rsidRDefault="00CD2766" w:rsidP="009526BC">
      <w:pPr>
        <w:suppressAutoHyphens/>
        <w:spacing w:after="0" w:line="240" w:lineRule="auto"/>
        <w:rPr>
          <w:rFonts w:ascii="Times New Roman" w:hAnsi="Times New Roman"/>
          <w:color w:val="000000" w:themeColor="text1"/>
          <w:sz w:val="16"/>
          <w:szCs w:val="16"/>
        </w:rPr>
      </w:pPr>
    </w:p>
    <w:p w:rsidR="009526BC" w:rsidRPr="00B15CA3" w:rsidRDefault="00CD2766" w:rsidP="009526BC">
      <w:pPr>
        <w:suppressAutoHyphens/>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1</w:t>
      </w:r>
      <w:r w:rsidR="007D44C7">
        <w:rPr>
          <w:rFonts w:ascii="Times New Roman" w:hAnsi="Times New Roman"/>
          <w:color w:val="000000" w:themeColor="text1"/>
          <w:sz w:val="16"/>
          <w:szCs w:val="16"/>
        </w:rPr>
        <w:t>4</w:t>
      </w:r>
      <w:r w:rsidR="00177A18">
        <w:rPr>
          <w:rFonts w:ascii="Times New Roman" w:hAnsi="Times New Roman"/>
          <w:color w:val="000000" w:themeColor="text1"/>
          <w:sz w:val="16"/>
          <w:szCs w:val="16"/>
        </w:rPr>
        <w:t>.0</w:t>
      </w:r>
      <w:r w:rsidR="007D44C7">
        <w:rPr>
          <w:rFonts w:ascii="Times New Roman" w:hAnsi="Times New Roman"/>
          <w:color w:val="000000" w:themeColor="text1"/>
          <w:sz w:val="16"/>
          <w:szCs w:val="16"/>
        </w:rPr>
        <w:t>9</w:t>
      </w:r>
      <w:bookmarkStart w:id="0" w:name="_GoBack"/>
      <w:bookmarkEnd w:id="0"/>
      <w:r w:rsidR="009526BC" w:rsidRPr="00B15CA3">
        <w:rPr>
          <w:rFonts w:ascii="Times New Roman" w:hAnsi="Times New Roman"/>
          <w:color w:val="000000" w:themeColor="text1"/>
          <w:sz w:val="16"/>
          <w:szCs w:val="16"/>
        </w:rPr>
        <w:t xml:space="preserve">.2016. </w:t>
      </w:r>
      <w:r w:rsidR="009526BC">
        <w:rPr>
          <w:rFonts w:ascii="Times New Roman" w:hAnsi="Times New Roman"/>
          <w:color w:val="000000" w:themeColor="text1"/>
          <w:sz w:val="16"/>
          <w:szCs w:val="16"/>
        </w:rPr>
        <w:t>16</w:t>
      </w:r>
      <w:r w:rsidR="009526BC" w:rsidRPr="00B15CA3">
        <w:rPr>
          <w:rFonts w:ascii="Times New Roman" w:hAnsi="Times New Roman"/>
          <w:color w:val="000000" w:themeColor="text1"/>
          <w:sz w:val="16"/>
          <w:szCs w:val="16"/>
        </w:rPr>
        <w:t>:</w:t>
      </w:r>
      <w:r w:rsidR="009526BC">
        <w:rPr>
          <w:rFonts w:ascii="Times New Roman" w:hAnsi="Times New Roman"/>
          <w:color w:val="000000" w:themeColor="text1"/>
          <w:sz w:val="16"/>
          <w:szCs w:val="16"/>
        </w:rPr>
        <w:t>28</w:t>
      </w:r>
    </w:p>
    <w:p w:rsidR="009526BC" w:rsidRPr="00B15CA3" w:rsidRDefault="009526BC" w:rsidP="009526BC">
      <w:pPr>
        <w:tabs>
          <w:tab w:val="left" w:pos="6000"/>
        </w:tabs>
        <w:suppressAutoHyphens/>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14</w:t>
      </w:r>
      <w:r w:rsidR="00CD2766">
        <w:rPr>
          <w:rFonts w:ascii="Times New Roman" w:hAnsi="Times New Roman"/>
          <w:color w:val="000000" w:themeColor="text1"/>
          <w:sz w:val="16"/>
          <w:szCs w:val="16"/>
        </w:rPr>
        <w:t>24</w:t>
      </w:r>
      <w:r w:rsidRPr="00B15CA3">
        <w:rPr>
          <w:rFonts w:ascii="Times New Roman" w:hAnsi="Times New Roman"/>
          <w:color w:val="000000" w:themeColor="text1"/>
          <w:sz w:val="16"/>
          <w:szCs w:val="16"/>
        </w:rPr>
        <w:tab/>
      </w:r>
    </w:p>
    <w:p w:rsidR="009526BC" w:rsidRPr="00B15CA3" w:rsidRDefault="009526BC" w:rsidP="009526BC">
      <w:pPr>
        <w:spacing w:after="0" w:line="240" w:lineRule="auto"/>
        <w:rPr>
          <w:rFonts w:ascii="Times New Roman" w:hAnsi="Times New Roman"/>
          <w:color w:val="000000" w:themeColor="text1"/>
          <w:sz w:val="16"/>
          <w:szCs w:val="16"/>
        </w:rPr>
      </w:pPr>
      <w:r w:rsidRPr="00B15CA3">
        <w:rPr>
          <w:rFonts w:ascii="Times New Roman" w:hAnsi="Times New Roman"/>
          <w:color w:val="000000" w:themeColor="text1"/>
          <w:sz w:val="16"/>
          <w:szCs w:val="16"/>
        </w:rPr>
        <w:t>I.Lore</w:t>
      </w:r>
    </w:p>
    <w:p w:rsidR="009526BC" w:rsidRPr="00B15CA3" w:rsidRDefault="009526BC" w:rsidP="009526BC">
      <w:pPr>
        <w:tabs>
          <w:tab w:val="left" w:pos="6804"/>
        </w:tabs>
        <w:spacing w:after="0" w:line="240" w:lineRule="auto"/>
        <w:rPr>
          <w:rStyle w:val="Hyperlink"/>
          <w:rFonts w:ascii="Times New Roman" w:hAnsi="Times New Roman"/>
          <w:color w:val="000000" w:themeColor="text1"/>
          <w:sz w:val="16"/>
          <w:szCs w:val="16"/>
          <w:lang w:val="en-US"/>
        </w:rPr>
      </w:pPr>
      <w:r w:rsidRPr="00B15CA3">
        <w:rPr>
          <w:rFonts w:ascii="Times New Roman" w:hAnsi="Times New Roman"/>
          <w:color w:val="000000" w:themeColor="text1"/>
          <w:sz w:val="16"/>
          <w:szCs w:val="16"/>
        </w:rPr>
        <w:t xml:space="preserve">67013099, </w:t>
      </w:r>
      <w:hyperlink r:id="rId7" w:history="1">
        <w:r w:rsidRPr="00B15CA3">
          <w:rPr>
            <w:rStyle w:val="Hyperlink"/>
            <w:rFonts w:ascii="Times New Roman" w:hAnsi="Times New Roman"/>
            <w:color w:val="000000" w:themeColor="text1"/>
            <w:sz w:val="16"/>
            <w:szCs w:val="16"/>
            <w:lang w:val="en-US"/>
          </w:rPr>
          <w:t>Ilze.Lore@em.gov.lv</w:t>
        </w:r>
      </w:hyperlink>
    </w:p>
    <w:p w:rsidR="009526BC" w:rsidRPr="00B15CA3" w:rsidRDefault="009526BC" w:rsidP="009526BC">
      <w:pPr>
        <w:tabs>
          <w:tab w:val="left" w:pos="6804"/>
        </w:tabs>
        <w:spacing w:before="120" w:after="0" w:line="240" w:lineRule="auto"/>
        <w:rPr>
          <w:rStyle w:val="Hyperlink"/>
          <w:rFonts w:ascii="Times New Roman" w:hAnsi="Times New Roman"/>
          <w:color w:val="000000" w:themeColor="text1"/>
          <w:sz w:val="16"/>
          <w:szCs w:val="16"/>
          <w:lang w:val="en-US"/>
        </w:rPr>
      </w:pPr>
      <w:proofErr w:type="spellStart"/>
      <w:r w:rsidRPr="00B15CA3">
        <w:rPr>
          <w:rStyle w:val="Hyperlink"/>
          <w:rFonts w:ascii="Times New Roman" w:hAnsi="Times New Roman"/>
          <w:color w:val="000000" w:themeColor="text1"/>
          <w:sz w:val="16"/>
          <w:szCs w:val="16"/>
          <w:lang w:val="en-US"/>
        </w:rPr>
        <w:t>I.Baltābola</w:t>
      </w:r>
      <w:proofErr w:type="spellEnd"/>
    </w:p>
    <w:p w:rsidR="009526BC" w:rsidRPr="00B15CA3" w:rsidRDefault="009526BC" w:rsidP="009526BC">
      <w:pPr>
        <w:tabs>
          <w:tab w:val="left" w:pos="6804"/>
        </w:tabs>
        <w:spacing w:after="0" w:line="240" w:lineRule="auto"/>
        <w:rPr>
          <w:rStyle w:val="Hyperlink"/>
          <w:rFonts w:ascii="Times New Roman" w:hAnsi="Times New Roman"/>
          <w:color w:val="000000" w:themeColor="text1"/>
          <w:sz w:val="16"/>
          <w:szCs w:val="16"/>
          <w:lang w:val="en-US"/>
        </w:rPr>
      </w:pPr>
      <w:r w:rsidRPr="00B15CA3">
        <w:rPr>
          <w:rStyle w:val="Hyperlink"/>
          <w:rFonts w:ascii="Times New Roman" w:hAnsi="Times New Roman"/>
          <w:color w:val="000000" w:themeColor="text1"/>
          <w:sz w:val="16"/>
          <w:szCs w:val="16"/>
          <w:lang w:val="en-US"/>
        </w:rPr>
        <w:t xml:space="preserve">67013271, </w:t>
      </w:r>
      <w:hyperlink r:id="rId8" w:history="1">
        <w:r w:rsidRPr="00B15CA3">
          <w:rPr>
            <w:rStyle w:val="Hyperlink"/>
            <w:rFonts w:ascii="Times New Roman" w:hAnsi="Times New Roman"/>
            <w:color w:val="000000" w:themeColor="text1"/>
            <w:sz w:val="16"/>
            <w:szCs w:val="16"/>
            <w:lang w:val="en-US"/>
          </w:rPr>
          <w:t>Ilze.Baltabola@em.gov.lv</w:t>
        </w:r>
      </w:hyperlink>
    </w:p>
    <w:p w:rsidR="009526BC" w:rsidRPr="00B15CA3" w:rsidRDefault="009526BC" w:rsidP="009526BC">
      <w:pPr>
        <w:tabs>
          <w:tab w:val="left" w:pos="6804"/>
        </w:tabs>
        <w:spacing w:after="0" w:line="240" w:lineRule="auto"/>
        <w:rPr>
          <w:rStyle w:val="Hyperlink"/>
          <w:rFonts w:ascii="Times New Roman" w:hAnsi="Times New Roman"/>
          <w:color w:val="000000" w:themeColor="text1"/>
          <w:sz w:val="16"/>
          <w:szCs w:val="16"/>
          <w:lang w:val="en-US"/>
        </w:rPr>
      </w:pPr>
    </w:p>
    <w:p w:rsidR="00177A18" w:rsidRDefault="00177A18" w:rsidP="009526BC">
      <w:pPr>
        <w:ind w:firstLine="720"/>
        <w:rPr>
          <w:rFonts w:ascii="Times New Roman" w:hAnsi="Times New Roman" w:cs="Times New Roman"/>
          <w:sz w:val="26"/>
          <w:szCs w:val="26"/>
        </w:rPr>
      </w:pPr>
    </w:p>
    <w:p w:rsidR="00177A18" w:rsidRPr="00177A18" w:rsidRDefault="00177A18" w:rsidP="00177A18">
      <w:pPr>
        <w:rPr>
          <w:rFonts w:ascii="Times New Roman" w:hAnsi="Times New Roman" w:cs="Times New Roman"/>
          <w:sz w:val="26"/>
          <w:szCs w:val="26"/>
        </w:rPr>
      </w:pPr>
    </w:p>
    <w:p w:rsidR="009C2927" w:rsidRPr="00177A18" w:rsidRDefault="00177A18" w:rsidP="00177A18">
      <w:pPr>
        <w:tabs>
          <w:tab w:val="left" w:pos="1920"/>
        </w:tabs>
        <w:rPr>
          <w:rFonts w:ascii="Times New Roman" w:hAnsi="Times New Roman" w:cs="Times New Roman"/>
          <w:sz w:val="26"/>
          <w:szCs w:val="26"/>
        </w:rPr>
      </w:pPr>
      <w:r>
        <w:rPr>
          <w:rFonts w:ascii="Times New Roman" w:hAnsi="Times New Roman" w:cs="Times New Roman"/>
          <w:sz w:val="26"/>
          <w:szCs w:val="26"/>
        </w:rPr>
        <w:tab/>
      </w:r>
    </w:p>
    <w:sectPr w:rsidR="009C2927" w:rsidRPr="00177A18" w:rsidSect="00CD2766">
      <w:headerReference w:type="default" r:id="rId9"/>
      <w:footerReference w:type="default" r:id="rId10"/>
      <w:footerReference w:type="first" r:id="rId11"/>
      <w:pgSz w:w="11906" w:h="16838"/>
      <w:pgMar w:top="1135" w:right="1274"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D1E" w:rsidRDefault="00D56D1E" w:rsidP="0031552B">
      <w:pPr>
        <w:spacing w:after="0" w:line="240" w:lineRule="auto"/>
      </w:pPr>
      <w:r>
        <w:separator/>
      </w:r>
    </w:p>
  </w:endnote>
  <w:endnote w:type="continuationSeparator" w:id="0">
    <w:p w:rsidR="00D56D1E" w:rsidRDefault="00D56D1E" w:rsidP="0031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5E" w:rsidRPr="00D96ABA" w:rsidRDefault="00D96ABA" w:rsidP="00D96ABA">
    <w:pPr>
      <w:pStyle w:val="Footer"/>
    </w:pPr>
    <w:r w:rsidRPr="00D96ABA">
      <w:rPr>
        <w:rFonts w:ascii="Times New Roman" w:hAnsi="Times New Roman" w:cs="Times New Roman"/>
      </w:rPr>
      <w:t>EMZino_</w:t>
    </w:r>
    <w:r>
      <w:rPr>
        <w:rFonts w:ascii="Times New Roman" w:hAnsi="Times New Roman" w:cs="Times New Roman"/>
      </w:rPr>
      <w:t>3</w:t>
    </w:r>
    <w:r w:rsidR="00FE63C2">
      <w:rPr>
        <w:rFonts w:ascii="Times New Roman" w:hAnsi="Times New Roman" w:cs="Times New Roman"/>
      </w:rPr>
      <w:t>p_</w:t>
    </w:r>
    <w:r w:rsidR="00CD2766">
      <w:rPr>
        <w:rFonts w:ascii="Times New Roman" w:hAnsi="Times New Roman" w:cs="Times New Roman"/>
      </w:rPr>
      <w:t>1</w:t>
    </w:r>
    <w:r w:rsidR="007D44C7">
      <w:rPr>
        <w:rFonts w:ascii="Times New Roman" w:hAnsi="Times New Roman" w:cs="Times New Roman"/>
      </w:rPr>
      <w:t>4</w:t>
    </w:r>
    <w:r w:rsidR="00177A18">
      <w:rPr>
        <w:rFonts w:ascii="Times New Roman" w:hAnsi="Times New Roman" w:cs="Times New Roman"/>
      </w:rPr>
      <w:t>0</w:t>
    </w:r>
    <w:r w:rsidR="007D44C7">
      <w:rPr>
        <w:rFonts w:ascii="Times New Roman" w:hAnsi="Times New Roman" w:cs="Times New Roman"/>
      </w:rPr>
      <w:t>9</w:t>
    </w:r>
    <w:r w:rsidRPr="00D96ABA">
      <w:rPr>
        <w:rFonts w:ascii="Times New Roman" w:hAnsi="Times New Roman" w:cs="Times New Roman"/>
      </w:rPr>
      <w:t xml:space="preserve">16_ </w:t>
    </w:r>
    <w:proofErr w:type="spellStart"/>
    <w:r w:rsidRPr="00D96ABA">
      <w:rPr>
        <w:rFonts w:ascii="Times New Roman" w:hAnsi="Times New Roman" w:cs="Times New Roman"/>
      </w:rPr>
      <w:t>uznduzsak</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9B" w:rsidRPr="00D96ABA" w:rsidRDefault="00D96ABA" w:rsidP="00D96ABA">
    <w:pPr>
      <w:pStyle w:val="Footer"/>
    </w:pPr>
    <w:r w:rsidRPr="00D96ABA">
      <w:rPr>
        <w:rFonts w:ascii="Times New Roman" w:hAnsi="Times New Roman" w:cs="Times New Roman"/>
      </w:rPr>
      <w:t>EMZino_</w:t>
    </w:r>
    <w:r>
      <w:rPr>
        <w:rFonts w:ascii="Times New Roman" w:hAnsi="Times New Roman" w:cs="Times New Roman"/>
      </w:rPr>
      <w:t>3</w:t>
    </w:r>
    <w:r w:rsidR="00FE63C2">
      <w:rPr>
        <w:rFonts w:ascii="Times New Roman" w:hAnsi="Times New Roman" w:cs="Times New Roman"/>
      </w:rPr>
      <w:t>p_</w:t>
    </w:r>
    <w:r w:rsidR="007D44C7">
      <w:rPr>
        <w:rFonts w:ascii="Times New Roman" w:hAnsi="Times New Roman" w:cs="Times New Roman"/>
      </w:rPr>
      <w:t>1409</w:t>
    </w:r>
    <w:r w:rsidRPr="00D96ABA">
      <w:rPr>
        <w:rFonts w:ascii="Times New Roman" w:hAnsi="Times New Roman" w:cs="Times New Roman"/>
      </w:rPr>
      <w:t xml:space="preserve">16_ </w:t>
    </w:r>
    <w:proofErr w:type="spellStart"/>
    <w:r w:rsidRPr="00D96ABA">
      <w:rPr>
        <w:rFonts w:ascii="Times New Roman" w:hAnsi="Times New Roman" w:cs="Times New Roman"/>
      </w:rPr>
      <w:t>uznduzsak</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D1E" w:rsidRDefault="00D56D1E" w:rsidP="0031552B">
      <w:pPr>
        <w:spacing w:after="0" w:line="240" w:lineRule="auto"/>
      </w:pPr>
      <w:r>
        <w:separator/>
      </w:r>
    </w:p>
  </w:footnote>
  <w:footnote w:type="continuationSeparator" w:id="0">
    <w:p w:rsidR="00D56D1E" w:rsidRDefault="00D56D1E" w:rsidP="00315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25533"/>
      <w:docPartObj>
        <w:docPartGallery w:val="Page Numbers (Top of Page)"/>
        <w:docPartUnique/>
      </w:docPartObj>
    </w:sdtPr>
    <w:sdtEndPr>
      <w:rPr>
        <w:noProof/>
      </w:rPr>
    </w:sdtEndPr>
    <w:sdtContent>
      <w:p w:rsidR="0031552B" w:rsidRDefault="0031552B">
        <w:pPr>
          <w:pStyle w:val="Header"/>
          <w:jc w:val="center"/>
        </w:pPr>
        <w:r>
          <w:fldChar w:fldCharType="begin"/>
        </w:r>
        <w:r>
          <w:instrText xml:space="preserve"> PAGE   \* MERGEFORMAT </w:instrText>
        </w:r>
        <w:r>
          <w:fldChar w:fldCharType="separate"/>
        </w:r>
        <w:r w:rsidR="007D44C7">
          <w:rPr>
            <w:noProof/>
          </w:rPr>
          <w:t>3</w:t>
        </w:r>
        <w:r>
          <w:rPr>
            <w:noProof/>
          </w:rPr>
          <w:fldChar w:fldCharType="end"/>
        </w:r>
      </w:p>
    </w:sdtContent>
  </w:sdt>
  <w:p w:rsidR="0031552B" w:rsidRDefault="00315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F2AAA"/>
    <w:multiLevelType w:val="hybridMultilevel"/>
    <w:tmpl w:val="E2487E40"/>
    <w:lvl w:ilvl="0" w:tplc="94608F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874081B"/>
    <w:multiLevelType w:val="hybridMultilevel"/>
    <w:tmpl w:val="3B94E74C"/>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CD"/>
    <w:rsid w:val="00177A18"/>
    <w:rsid w:val="002058CD"/>
    <w:rsid w:val="0031552B"/>
    <w:rsid w:val="003A55FC"/>
    <w:rsid w:val="004972A5"/>
    <w:rsid w:val="005C5F91"/>
    <w:rsid w:val="007D44C7"/>
    <w:rsid w:val="009526BC"/>
    <w:rsid w:val="009C2927"/>
    <w:rsid w:val="00A3715E"/>
    <w:rsid w:val="00BF2AB4"/>
    <w:rsid w:val="00CD2766"/>
    <w:rsid w:val="00CD4985"/>
    <w:rsid w:val="00D20342"/>
    <w:rsid w:val="00D460EE"/>
    <w:rsid w:val="00D56D1E"/>
    <w:rsid w:val="00D93A06"/>
    <w:rsid w:val="00D96ABA"/>
    <w:rsid w:val="00DC159B"/>
    <w:rsid w:val="00EB4EF9"/>
    <w:rsid w:val="00EE647E"/>
    <w:rsid w:val="00F11D8C"/>
    <w:rsid w:val="00FE63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6BEC2-F105-4A97-A31A-90425964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55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552B"/>
  </w:style>
  <w:style w:type="paragraph" w:styleId="Footer">
    <w:name w:val="footer"/>
    <w:basedOn w:val="Normal"/>
    <w:link w:val="FooterChar"/>
    <w:uiPriority w:val="99"/>
    <w:unhideWhenUsed/>
    <w:rsid w:val="003155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552B"/>
  </w:style>
  <w:style w:type="character" w:styleId="Hyperlink">
    <w:name w:val="Hyperlink"/>
    <w:basedOn w:val="DefaultParagraphFont"/>
    <w:uiPriority w:val="99"/>
    <w:unhideWhenUsed/>
    <w:rsid w:val="009526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Baltabola@e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ze.Lore@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7078</Words>
  <Characters>4036</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Lore</dc:creator>
  <cp:keywords/>
  <dc:description/>
  <cp:lastModifiedBy>Linda Aršauska</cp:lastModifiedBy>
  <cp:revision>2</cp:revision>
  <dcterms:created xsi:type="dcterms:W3CDTF">2016-09-13T08:19:00Z</dcterms:created>
  <dcterms:modified xsi:type="dcterms:W3CDTF">2016-09-13T08:19:00Z</dcterms:modified>
</cp:coreProperties>
</file>