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A9" w:rsidRPr="00EA07D5" w:rsidRDefault="005642A9" w:rsidP="005642A9">
      <w:pPr>
        <w:spacing w:after="0" w:line="240" w:lineRule="auto"/>
        <w:ind w:firstLine="567"/>
        <w:contextualSpacing/>
        <w:jc w:val="center"/>
        <w:rPr>
          <w:rFonts w:ascii="Times New Roman" w:hAnsi="Times New Roman" w:cs="Times New Roman"/>
          <w:b/>
          <w:bCs/>
          <w:sz w:val="24"/>
          <w:szCs w:val="24"/>
          <w:lang w:val="en-US"/>
        </w:rPr>
      </w:pPr>
    </w:p>
    <w:p w:rsidR="00C90803" w:rsidRPr="00EA07D5" w:rsidRDefault="00C90803" w:rsidP="00C90803">
      <w:pPr>
        <w:spacing w:after="160" w:line="252" w:lineRule="auto"/>
        <w:ind w:left="720" w:firstLine="360"/>
        <w:contextualSpacing/>
        <w:jc w:val="right"/>
        <w:rPr>
          <w:rFonts w:ascii="Times New Roman" w:hAnsi="Times New Roman" w:cs="Times New Roman"/>
          <w:sz w:val="24"/>
          <w:szCs w:val="24"/>
        </w:rPr>
      </w:pPr>
      <w:r w:rsidRPr="00EA07D5">
        <w:rPr>
          <w:rFonts w:ascii="Times New Roman" w:hAnsi="Times New Roman" w:cs="Times New Roman"/>
          <w:sz w:val="24"/>
          <w:szCs w:val="24"/>
        </w:rPr>
        <w:t>Projekts</w:t>
      </w:r>
    </w:p>
    <w:p w:rsidR="005642A9" w:rsidRPr="00EA07D5" w:rsidRDefault="005642A9" w:rsidP="005642A9">
      <w:pPr>
        <w:spacing w:after="0" w:line="240" w:lineRule="auto"/>
        <w:ind w:firstLine="567"/>
        <w:contextualSpacing/>
        <w:jc w:val="center"/>
        <w:rPr>
          <w:rFonts w:ascii="Times New Roman" w:hAnsi="Times New Roman" w:cs="Times New Roman"/>
          <w:b/>
          <w:bCs/>
          <w:sz w:val="24"/>
          <w:szCs w:val="24"/>
          <w:lang w:val="en-US"/>
        </w:rPr>
      </w:pPr>
    </w:p>
    <w:p w:rsidR="005642A9" w:rsidRPr="009D0629" w:rsidRDefault="005642A9" w:rsidP="005642A9">
      <w:pPr>
        <w:spacing w:after="0" w:line="240" w:lineRule="auto"/>
        <w:ind w:firstLine="567"/>
        <w:contextualSpacing/>
        <w:jc w:val="center"/>
        <w:rPr>
          <w:rFonts w:ascii="Times New Roman" w:hAnsi="Times New Roman" w:cs="Times New Roman"/>
          <w:b/>
          <w:bCs/>
          <w:sz w:val="26"/>
          <w:szCs w:val="26"/>
        </w:rPr>
      </w:pPr>
      <w:bookmarkStart w:id="0" w:name="_GoBack"/>
      <w:r w:rsidRPr="009D0629">
        <w:rPr>
          <w:rFonts w:ascii="Times New Roman" w:hAnsi="Times New Roman" w:cs="Times New Roman"/>
          <w:b/>
          <w:bCs/>
          <w:sz w:val="26"/>
          <w:szCs w:val="26"/>
          <w:lang w:eastAsia="lv-LV"/>
        </w:rPr>
        <w:t xml:space="preserve">Likumprojekta “Grozījumi likumā “Par uzņēmumu ienākuma nodokli”” </w:t>
      </w:r>
      <w:bookmarkEnd w:id="0"/>
      <w:r w:rsidRPr="009D0629">
        <w:rPr>
          <w:rFonts w:ascii="Times New Roman" w:hAnsi="Times New Roman" w:cs="Times New Roman"/>
          <w:b/>
          <w:bCs/>
          <w:sz w:val="26"/>
          <w:szCs w:val="26"/>
        </w:rPr>
        <w:t>sākotnējās ietekmes novērtējuma ziņojums (anotācija)</w:t>
      </w:r>
    </w:p>
    <w:p w:rsidR="00A61F5C" w:rsidRPr="00EA07D5" w:rsidRDefault="00A61F5C" w:rsidP="005642A9">
      <w:pPr>
        <w:spacing w:after="0" w:line="240" w:lineRule="auto"/>
        <w:ind w:firstLine="567"/>
        <w:contextualSpacing/>
        <w:jc w:val="center"/>
        <w:rPr>
          <w:rFonts w:ascii="Times New Roman" w:hAnsi="Times New Roman" w:cs="Times New Roman"/>
          <w:b/>
          <w:sz w:val="24"/>
          <w:szCs w:val="24"/>
        </w:rPr>
      </w:pPr>
    </w:p>
    <w:tbl>
      <w:tblPr>
        <w:tblW w:w="504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8"/>
        <w:gridCol w:w="1848"/>
        <w:gridCol w:w="7006"/>
      </w:tblGrid>
      <w:tr w:rsidR="005642A9" w:rsidRPr="009D0629" w:rsidTr="007B0240">
        <w:tc>
          <w:tcPr>
            <w:tcW w:w="5000" w:type="pct"/>
            <w:gridSpan w:val="3"/>
            <w:tcBorders>
              <w:top w:val="single" w:sz="6" w:space="0" w:color="auto"/>
              <w:left w:val="single" w:sz="6" w:space="0" w:color="auto"/>
              <w:bottom w:val="outset" w:sz="6" w:space="0" w:color="000000"/>
              <w:right w:val="single" w:sz="6" w:space="0" w:color="auto"/>
            </w:tcBorders>
            <w:vAlign w:val="center"/>
          </w:tcPr>
          <w:p w:rsidR="005642A9" w:rsidRPr="009D0629" w:rsidRDefault="005642A9" w:rsidP="007B0240">
            <w:pPr>
              <w:spacing w:before="100" w:beforeAutospacing="1" w:after="100" w:afterAutospacing="1"/>
              <w:jc w:val="center"/>
              <w:rPr>
                <w:rFonts w:ascii="Times New Roman" w:hAnsi="Times New Roman" w:cs="Times New Roman"/>
                <w:b/>
                <w:bCs/>
                <w:sz w:val="26"/>
                <w:szCs w:val="26"/>
                <w:lang w:val="en-US"/>
              </w:rPr>
            </w:pPr>
            <w:r w:rsidRPr="009D0629">
              <w:rPr>
                <w:rFonts w:ascii="Times New Roman" w:hAnsi="Times New Roman" w:cs="Times New Roman"/>
                <w:b/>
                <w:bCs/>
                <w:sz w:val="26"/>
                <w:szCs w:val="26"/>
                <w:lang w:val="en-US"/>
              </w:rPr>
              <w:t xml:space="preserve">I. </w:t>
            </w:r>
            <w:proofErr w:type="spellStart"/>
            <w:r w:rsidRPr="009D0629">
              <w:rPr>
                <w:rFonts w:ascii="Times New Roman" w:hAnsi="Times New Roman" w:cs="Times New Roman"/>
                <w:b/>
                <w:bCs/>
                <w:sz w:val="26"/>
                <w:szCs w:val="26"/>
                <w:lang w:val="en-US"/>
              </w:rPr>
              <w:t>Tiesību</w:t>
            </w:r>
            <w:proofErr w:type="spellEnd"/>
            <w:r w:rsidRPr="009D0629">
              <w:rPr>
                <w:rFonts w:ascii="Times New Roman" w:hAnsi="Times New Roman" w:cs="Times New Roman"/>
                <w:b/>
                <w:bCs/>
                <w:sz w:val="26"/>
                <w:szCs w:val="26"/>
                <w:lang w:val="en-US"/>
              </w:rPr>
              <w:t xml:space="preserve"> </w:t>
            </w:r>
            <w:proofErr w:type="spellStart"/>
            <w:r w:rsidRPr="009D0629">
              <w:rPr>
                <w:rFonts w:ascii="Times New Roman" w:hAnsi="Times New Roman" w:cs="Times New Roman"/>
                <w:b/>
                <w:bCs/>
                <w:sz w:val="26"/>
                <w:szCs w:val="26"/>
                <w:lang w:val="en-US"/>
              </w:rPr>
              <w:t>akta</w:t>
            </w:r>
            <w:proofErr w:type="spellEnd"/>
            <w:r w:rsidRPr="009D0629">
              <w:rPr>
                <w:rFonts w:ascii="Times New Roman" w:hAnsi="Times New Roman" w:cs="Times New Roman"/>
                <w:b/>
                <w:bCs/>
                <w:sz w:val="26"/>
                <w:szCs w:val="26"/>
                <w:lang w:val="en-US"/>
              </w:rPr>
              <w:t xml:space="preserve"> </w:t>
            </w:r>
            <w:proofErr w:type="spellStart"/>
            <w:r w:rsidRPr="009D0629">
              <w:rPr>
                <w:rFonts w:ascii="Times New Roman" w:hAnsi="Times New Roman" w:cs="Times New Roman"/>
                <w:b/>
                <w:bCs/>
                <w:sz w:val="26"/>
                <w:szCs w:val="26"/>
                <w:lang w:val="en-US"/>
              </w:rPr>
              <w:t>projekta</w:t>
            </w:r>
            <w:proofErr w:type="spellEnd"/>
            <w:r w:rsidRPr="009D0629">
              <w:rPr>
                <w:rFonts w:ascii="Times New Roman" w:hAnsi="Times New Roman" w:cs="Times New Roman"/>
                <w:b/>
                <w:bCs/>
                <w:sz w:val="26"/>
                <w:szCs w:val="26"/>
                <w:lang w:val="en-US"/>
              </w:rPr>
              <w:t xml:space="preserve"> </w:t>
            </w:r>
            <w:proofErr w:type="spellStart"/>
            <w:r w:rsidRPr="009D0629">
              <w:rPr>
                <w:rFonts w:ascii="Times New Roman" w:hAnsi="Times New Roman" w:cs="Times New Roman"/>
                <w:b/>
                <w:bCs/>
                <w:sz w:val="26"/>
                <w:szCs w:val="26"/>
                <w:lang w:val="en-US"/>
              </w:rPr>
              <w:t>izstrādes</w:t>
            </w:r>
            <w:proofErr w:type="spellEnd"/>
            <w:r w:rsidRPr="009D0629">
              <w:rPr>
                <w:rFonts w:ascii="Times New Roman" w:hAnsi="Times New Roman" w:cs="Times New Roman"/>
                <w:b/>
                <w:bCs/>
                <w:sz w:val="26"/>
                <w:szCs w:val="26"/>
                <w:lang w:val="en-US"/>
              </w:rPr>
              <w:t xml:space="preserve"> </w:t>
            </w:r>
            <w:proofErr w:type="spellStart"/>
            <w:r w:rsidRPr="009D0629">
              <w:rPr>
                <w:rFonts w:ascii="Times New Roman" w:hAnsi="Times New Roman" w:cs="Times New Roman"/>
                <w:b/>
                <w:bCs/>
                <w:sz w:val="26"/>
                <w:szCs w:val="26"/>
                <w:lang w:val="en-US"/>
              </w:rPr>
              <w:t>nepieciešamība</w:t>
            </w:r>
            <w:proofErr w:type="spellEnd"/>
          </w:p>
        </w:tc>
      </w:tr>
      <w:tr w:rsidR="005642A9" w:rsidRPr="009D0629" w:rsidTr="007B0240">
        <w:tc>
          <w:tcPr>
            <w:tcW w:w="152"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1.</w:t>
            </w:r>
          </w:p>
        </w:tc>
        <w:tc>
          <w:tcPr>
            <w:tcW w:w="1012"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Pamatojums</w:t>
            </w:r>
          </w:p>
        </w:tc>
        <w:tc>
          <w:tcPr>
            <w:tcW w:w="3836" w:type="pct"/>
            <w:tcBorders>
              <w:top w:val="outset" w:sz="6" w:space="0" w:color="000000"/>
              <w:left w:val="outset" w:sz="6" w:space="0" w:color="000000"/>
              <w:bottom w:val="outset" w:sz="6" w:space="0" w:color="000000"/>
              <w:right w:val="outset" w:sz="6" w:space="0" w:color="000000"/>
            </w:tcBorders>
          </w:tcPr>
          <w:p w:rsidR="005642A9" w:rsidRPr="009D0629" w:rsidRDefault="00440411" w:rsidP="000A35B2">
            <w:pPr>
              <w:spacing w:after="0" w:line="240" w:lineRule="auto"/>
              <w:ind w:firstLine="104"/>
              <w:contextualSpacing/>
              <w:jc w:val="both"/>
              <w:rPr>
                <w:rFonts w:ascii="Times New Roman" w:hAnsi="Times New Roman" w:cs="Times New Roman"/>
                <w:sz w:val="26"/>
                <w:szCs w:val="26"/>
              </w:rPr>
            </w:pPr>
            <w:r w:rsidRPr="009D0629">
              <w:rPr>
                <w:rFonts w:ascii="Times New Roman" w:hAnsi="Times New Roman" w:cs="Times New Roman"/>
                <w:sz w:val="26"/>
                <w:szCs w:val="26"/>
                <w:lang w:eastAsia="lv-LV"/>
              </w:rPr>
              <w:t>Likumprojekts “Grozījumi likumā “Par uzņēmumu ienākuma nodokli”” (turpmāk – likumprojekts) ir izstrādāts</w:t>
            </w:r>
            <w:r w:rsidR="00B553A9" w:rsidRPr="009D0629">
              <w:rPr>
                <w:rFonts w:ascii="Times New Roman" w:hAnsi="Times New Roman" w:cs="Times New Roman"/>
                <w:sz w:val="26"/>
                <w:szCs w:val="26"/>
                <w:lang w:eastAsia="lv-LV"/>
              </w:rPr>
              <w:t>,</w:t>
            </w:r>
            <w:r w:rsidRPr="009D0629">
              <w:rPr>
                <w:rFonts w:ascii="Times New Roman" w:hAnsi="Times New Roman" w:cs="Times New Roman"/>
                <w:sz w:val="26"/>
                <w:szCs w:val="26"/>
                <w:lang w:eastAsia="lv-LV"/>
              </w:rPr>
              <w:t xml:space="preserve"> ņemot vērā Ministru kabineta 2016.gada 2.augusta </w:t>
            </w:r>
            <w:proofErr w:type="spellStart"/>
            <w:r w:rsidRPr="009D0629">
              <w:rPr>
                <w:rFonts w:ascii="Times New Roman" w:hAnsi="Times New Roman" w:cs="Times New Roman"/>
                <w:sz w:val="26"/>
                <w:szCs w:val="26"/>
                <w:lang w:eastAsia="lv-LV"/>
              </w:rPr>
              <w:t>protokollēmuma</w:t>
            </w:r>
            <w:proofErr w:type="spellEnd"/>
            <w:r w:rsidRPr="009D0629">
              <w:rPr>
                <w:rFonts w:ascii="Times New Roman" w:hAnsi="Times New Roman" w:cs="Times New Roman"/>
                <w:sz w:val="26"/>
                <w:szCs w:val="26"/>
                <w:lang w:eastAsia="lv-LV"/>
              </w:rPr>
              <w:t xml:space="preserve"> Nr.38 49.§ 2.8. </w:t>
            </w:r>
            <w:r w:rsidR="00E142F4" w:rsidRPr="009D0629">
              <w:rPr>
                <w:rFonts w:ascii="Times New Roman" w:hAnsi="Times New Roman" w:cs="Times New Roman"/>
                <w:sz w:val="26"/>
                <w:szCs w:val="26"/>
                <w:lang w:eastAsia="lv-LV"/>
              </w:rPr>
              <w:t>apakš</w:t>
            </w:r>
            <w:r w:rsidRPr="009D0629">
              <w:rPr>
                <w:rFonts w:ascii="Times New Roman" w:hAnsi="Times New Roman" w:cs="Times New Roman"/>
                <w:sz w:val="26"/>
                <w:szCs w:val="26"/>
                <w:lang w:eastAsia="lv-LV"/>
              </w:rPr>
              <w:t>punktā doto uzdevumu, kas paredz veikt grozījumus likumā “Par uzņēmumu ienākuma nodokli”</w:t>
            </w:r>
            <w:r w:rsidR="00276C7B" w:rsidRPr="009D0629">
              <w:rPr>
                <w:rFonts w:ascii="Times New Roman" w:hAnsi="Times New Roman" w:cs="Times New Roman"/>
                <w:sz w:val="26"/>
                <w:szCs w:val="26"/>
                <w:lang w:eastAsia="lv-LV"/>
              </w:rPr>
              <w:t>,</w:t>
            </w:r>
            <w:r w:rsidRPr="009D0629">
              <w:rPr>
                <w:rFonts w:ascii="Times New Roman" w:hAnsi="Times New Roman" w:cs="Times New Roman"/>
                <w:sz w:val="26"/>
                <w:szCs w:val="26"/>
                <w:lang w:eastAsia="lv-LV"/>
              </w:rPr>
              <w:t xml:space="preserve"> nosakot, ka</w:t>
            </w:r>
            <w:r w:rsidR="00276C7B" w:rsidRPr="009D0629">
              <w:rPr>
                <w:rFonts w:ascii="Times New Roman" w:hAnsi="Times New Roman" w:cs="Times New Roman"/>
                <w:sz w:val="26"/>
                <w:szCs w:val="26"/>
                <w:lang w:eastAsia="lv-LV"/>
              </w:rPr>
              <w:t>,</w:t>
            </w:r>
            <w:r w:rsidRPr="009D0629">
              <w:rPr>
                <w:rFonts w:ascii="Times New Roman" w:hAnsi="Times New Roman" w:cs="Times New Roman"/>
                <w:sz w:val="26"/>
                <w:szCs w:val="26"/>
                <w:lang w:eastAsia="lv-LV"/>
              </w:rPr>
              <w:t xml:space="preserve"> sākot ar 2017.gada 1.janvāri</w:t>
            </w:r>
            <w:r w:rsidR="00276C7B" w:rsidRPr="009D0629">
              <w:rPr>
                <w:rFonts w:ascii="Times New Roman" w:hAnsi="Times New Roman" w:cs="Times New Roman"/>
                <w:sz w:val="26"/>
                <w:szCs w:val="26"/>
                <w:lang w:eastAsia="lv-LV"/>
              </w:rPr>
              <w:t>,</w:t>
            </w:r>
            <w:r w:rsidRPr="009D0629">
              <w:rPr>
                <w:rFonts w:ascii="Times New Roman" w:hAnsi="Times New Roman" w:cs="Times New Roman"/>
                <w:sz w:val="26"/>
                <w:szCs w:val="26"/>
                <w:lang w:eastAsia="lv-LV"/>
              </w:rPr>
              <w:t xml:space="preserve"> kravas automobiļi ar pilnu masu līdz 3000 kilogramiem, kuru iegādes vērtība bez pievienotās vērtības nodokļa pārsniedz 50 000 </w:t>
            </w:r>
            <w:proofErr w:type="spellStart"/>
            <w:r w:rsidRPr="009D0629">
              <w:rPr>
                <w:rFonts w:ascii="Times New Roman" w:hAnsi="Times New Roman" w:cs="Times New Roman"/>
                <w:i/>
                <w:sz w:val="26"/>
                <w:szCs w:val="26"/>
                <w:lang w:eastAsia="lv-LV"/>
              </w:rPr>
              <w:t>euro</w:t>
            </w:r>
            <w:proofErr w:type="spellEnd"/>
            <w:r w:rsidRPr="009D0629">
              <w:rPr>
                <w:rFonts w:ascii="Times New Roman" w:hAnsi="Times New Roman" w:cs="Times New Roman"/>
                <w:sz w:val="26"/>
                <w:szCs w:val="26"/>
                <w:lang w:eastAsia="lv-LV"/>
              </w:rPr>
              <w:t xml:space="preserve">, kas </w:t>
            </w:r>
            <w:r w:rsidR="005E60C7" w:rsidRPr="009D0629">
              <w:rPr>
                <w:rFonts w:ascii="Times New Roman" w:hAnsi="Times New Roman" w:cs="Times New Roman"/>
                <w:sz w:val="26"/>
                <w:szCs w:val="26"/>
                <w:lang w:eastAsia="lv-LV"/>
              </w:rPr>
              <w:t>pārklasificēti</w:t>
            </w:r>
            <w:r w:rsidRPr="009D0629">
              <w:rPr>
                <w:rFonts w:ascii="Times New Roman" w:hAnsi="Times New Roman" w:cs="Times New Roman"/>
                <w:sz w:val="26"/>
                <w:szCs w:val="26"/>
                <w:lang w:eastAsia="lv-LV"/>
              </w:rPr>
              <w:t xml:space="preserve"> no vieglā automobiļa (M1 kategorija) par kravas automobili (N1 kategorija)</w:t>
            </w:r>
            <w:r w:rsidR="00276C7B" w:rsidRPr="009D0629">
              <w:rPr>
                <w:rFonts w:ascii="Times New Roman" w:hAnsi="Times New Roman" w:cs="Times New Roman"/>
                <w:sz w:val="26"/>
                <w:szCs w:val="26"/>
                <w:lang w:eastAsia="lv-LV"/>
              </w:rPr>
              <w:t>,</w:t>
            </w:r>
            <w:r w:rsidRPr="009D0629">
              <w:rPr>
                <w:rFonts w:ascii="Times New Roman" w:hAnsi="Times New Roman" w:cs="Times New Roman"/>
                <w:sz w:val="26"/>
                <w:szCs w:val="26"/>
                <w:lang w:eastAsia="lv-LV"/>
              </w:rPr>
              <w:t xml:space="preserve"> uzskatāmi par reprezentatīviem automobiļiem. Papildus minētajam</w:t>
            </w:r>
            <w:r w:rsidR="00276C7B" w:rsidRPr="009D0629">
              <w:rPr>
                <w:rFonts w:ascii="Times New Roman" w:hAnsi="Times New Roman" w:cs="Times New Roman"/>
                <w:sz w:val="26"/>
                <w:szCs w:val="26"/>
                <w:lang w:eastAsia="lv-LV"/>
              </w:rPr>
              <w:t>,</w:t>
            </w:r>
            <w:r w:rsidRPr="009D0629">
              <w:rPr>
                <w:rFonts w:ascii="Times New Roman" w:hAnsi="Times New Roman" w:cs="Times New Roman"/>
                <w:sz w:val="26"/>
                <w:szCs w:val="26"/>
                <w:lang w:eastAsia="lv-LV"/>
              </w:rPr>
              <w:t xml:space="preserve"> likumprojekts ir izstrādāts</w:t>
            </w:r>
            <w:r w:rsidR="00276C7B" w:rsidRPr="009D0629">
              <w:rPr>
                <w:rFonts w:ascii="Times New Roman" w:hAnsi="Times New Roman" w:cs="Times New Roman"/>
                <w:sz w:val="26"/>
                <w:szCs w:val="26"/>
                <w:lang w:eastAsia="lv-LV"/>
              </w:rPr>
              <w:t>,</w:t>
            </w:r>
            <w:r w:rsidRPr="009D0629">
              <w:rPr>
                <w:rFonts w:ascii="Times New Roman" w:hAnsi="Times New Roman" w:cs="Times New Roman"/>
                <w:sz w:val="26"/>
                <w:szCs w:val="26"/>
                <w:lang w:eastAsia="lv-LV"/>
              </w:rPr>
              <w:t xml:space="preserve"> ņemot vērā Ministru kabineta 2016.gada 18.augusta </w:t>
            </w:r>
            <w:proofErr w:type="spellStart"/>
            <w:r w:rsidRPr="009D0629">
              <w:rPr>
                <w:rFonts w:ascii="Times New Roman" w:hAnsi="Times New Roman" w:cs="Times New Roman"/>
                <w:sz w:val="26"/>
                <w:szCs w:val="26"/>
                <w:lang w:eastAsia="lv-LV"/>
              </w:rPr>
              <w:t>protokollēmuma</w:t>
            </w:r>
            <w:proofErr w:type="spellEnd"/>
            <w:r w:rsidRPr="009D0629">
              <w:rPr>
                <w:rFonts w:ascii="Times New Roman" w:hAnsi="Times New Roman" w:cs="Times New Roman"/>
                <w:sz w:val="26"/>
                <w:szCs w:val="26"/>
                <w:lang w:eastAsia="lv-LV"/>
              </w:rPr>
              <w:t xml:space="preserve"> Nr.41 5.§ 4.punktā doto uzdevumu, kas paredz</w:t>
            </w:r>
            <w:r w:rsidR="000A35B2" w:rsidRPr="009D0629">
              <w:rPr>
                <w:rFonts w:ascii="Times New Roman" w:hAnsi="Times New Roman" w:cs="Times New Roman"/>
                <w:sz w:val="26"/>
                <w:szCs w:val="26"/>
                <w:lang w:eastAsia="lv-LV"/>
              </w:rPr>
              <w:t>,</w:t>
            </w:r>
            <w:r w:rsidR="000A35B2" w:rsidRPr="009D0629">
              <w:rPr>
                <w:rFonts w:ascii="Times New Roman" w:hAnsi="Times New Roman" w:cs="Times New Roman"/>
                <w:sz w:val="26"/>
                <w:szCs w:val="26"/>
              </w:rPr>
              <w:t xml:space="preserve"> </w:t>
            </w:r>
            <w:r w:rsidR="000A35B2" w:rsidRPr="009D0629">
              <w:rPr>
                <w:rFonts w:ascii="Times New Roman" w:hAnsi="Times New Roman" w:cs="Times New Roman"/>
                <w:sz w:val="26"/>
                <w:szCs w:val="26"/>
                <w:lang w:eastAsia="lv-LV"/>
              </w:rPr>
              <w:t>ka</w:t>
            </w:r>
            <w:r w:rsidR="00276C7B" w:rsidRPr="009D0629">
              <w:rPr>
                <w:rFonts w:ascii="Times New Roman" w:hAnsi="Times New Roman" w:cs="Times New Roman"/>
                <w:sz w:val="26"/>
                <w:szCs w:val="26"/>
                <w:lang w:eastAsia="lv-LV"/>
              </w:rPr>
              <w:t>,</w:t>
            </w:r>
            <w:r w:rsidR="000A35B2" w:rsidRPr="009D0629">
              <w:rPr>
                <w:rFonts w:ascii="Times New Roman" w:hAnsi="Times New Roman" w:cs="Times New Roman"/>
                <w:sz w:val="26"/>
                <w:szCs w:val="26"/>
                <w:lang w:eastAsia="lv-LV"/>
              </w:rPr>
              <w:t xml:space="preserve"> sākot ar taksācijas periodu, kas sākas 2017.gadā</w:t>
            </w:r>
            <w:r w:rsidR="00276C7B" w:rsidRPr="009D0629">
              <w:rPr>
                <w:rFonts w:ascii="Times New Roman" w:hAnsi="Times New Roman" w:cs="Times New Roman"/>
                <w:sz w:val="26"/>
                <w:szCs w:val="26"/>
                <w:lang w:eastAsia="lv-LV"/>
              </w:rPr>
              <w:t>,</w:t>
            </w:r>
            <w:r w:rsidR="000A35B2" w:rsidRPr="009D0629">
              <w:rPr>
                <w:rFonts w:ascii="Times New Roman" w:hAnsi="Times New Roman" w:cs="Times New Roman"/>
                <w:sz w:val="26"/>
                <w:szCs w:val="26"/>
                <w:lang w:eastAsia="lv-LV"/>
              </w:rPr>
              <w:t xml:space="preserve"> un turpmākajos taksācijas periodos</w:t>
            </w:r>
            <w:r w:rsidR="00276C7B" w:rsidRPr="009D0629">
              <w:rPr>
                <w:rFonts w:ascii="Times New Roman" w:hAnsi="Times New Roman" w:cs="Times New Roman"/>
                <w:sz w:val="26"/>
                <w:szCs w:val="26"/>
                <w:lang w:eastAsia="lv-LV"/>
              </w:rPr>
              <w:t>,</w:t>
            </w:r>
            <w:r w:rsidR="000A35B2" w:rsidRPr="009D0629">
              <w:rPr>
                <w:rFonts w:ascii="Times New Roman" w:hAnsi="Times New Roman" w:cs="Times New Roman"/>
                <w:sz w:val="26"/>
                <w:szCs w:val="26"/>
                <w:lang w:eastAsia="lv-LV"/>
              </w:rPr>
              <w:t xml:space="preserve"> iepriekšējo taksācijas periodu zaudējumus (sākot ar zaudējumiem, kas radušies taksācijas periodā, kas sākās 2008.gadā un turpmākajos taksācijas periodos) ir tiesības segt apmērā, kas nepārsniedz 75% no attiecīgā taksācijas perioda ar uzņēmumu ienākuma nodokli apliekamā ienākuma.</w:t>
            </w:r>
          </w:p>
        </w:tc>
      </w:tr>
      <w:tr w:rsidR="005642A9" w:rsidRPr="009D0629" w:rsidTr="007B0240">
        <w:tc>
          <w:tcPr>
            <w:tcW w:w="152"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2.</w:t>
            </w:r>
          </w:p>
        </w:tc>
        <w:tc>
          <w:tcPr>
            <w:tcW w:w="1012"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pStyle w:val="naiskr"/>
              <w:tabs>
                <w:tab w:val="left" w:pos="170"/>
              </w:tabs>
              <w:spacing w:before="0" w:beforeAutospacing="0" w:after="0" w:afterAutospacing="0"/>
              <w:contextualSpacing/>
              <w:rPr>
                <w:sz w:val="26"/>
                <w:szCs w:val="26"/>
              </w:rPr>
            </w:pPr>
            <w:r w:rsidRPr="009D0629">
              <w:rPr>
                <w:sz w:val="26"/>
                <w:szCs w:val="26"/>
              </w:rPr>
              <w:t xml:space="preserve">Pašreizējā situācija un problēmas, kuru risināšanai tiesību akta projekts izstrādāts, tiesiskā regulējuma mērķis un būtība </w:t>
            </w:r>
          </w:p>
          <w:p w:rsidR="005642A9" w:rsidRPr="009D0629" w:rsidRDefault="005642A9" w:rsidP="007B0240">
            <w:pPr>
              <w:spacing w:after="0" w:line="240" w:lineRule="auto"/>
              <w:contextualSpacing/>
              <w:jc w:val="both"/>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jc w:val="right"/>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rPr>
                <w:rFonts w:ascii="Times New Roman" w:hAnsi="Times New Roman" w:cs="Times New Roman"/>
                <w:sz w:val="26"/>
                <w:szCs w:val="26"/>
              </w:rPr>
            </w:pPr>
          </w:p>
          <w:p w:rsidR="005642A9" w:rsidRPr="009D0629" w:rsidRDefault="005642A9" w:rsidP="007B0240">
            <w:pPr>
              <w:ind w:firstLine="720"/>
              <w:rPr>
                <w:rFonts w:ascii="Times New Roman" w:hAnsi="Times New Roman" w:cs="Times New Roman"/>
                <w:sz w:val="26"/>
                <w:szCs w:val="26"/>
              </w:rPr>
            </w:pPr>
          </w:p>
        </w:tc>
        <w:tc>
          <w:tcPr>
            <w:tcW w:w="3836"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pStyle w:val="DefaultParagraphFont1"/>
              <w:ind w:firstLine="104"/>
              <w:contextualSpacing/>
              <w:jc w:val="both"/>
              <w:rPr>
                <w:rFonts w:ascii="Times New Roman" w:hAnsi="Times New Roman"/>
                <w:b/>
                <w:i/>
                <w:sz w:val="26"/>
                <w:szCs w:val="26"/>
                <w:u w:val="single"/>
              </w:rPr>
            </w:pPr>
            <w:r w:rsidRPr="009D0629">
              <w:rPr>
                <w:rFonts w:ascii="Times New Roman" w:hAnsi="Times New Roman"/>
                <w:b/>
                <w:i/>
                <w:sz w:val="26"/>
                <w:szCs w:val="26"/>
                <w:u w:val="single"/>
              </w:rPr>
              <w:lastRenderedPageBreak/>
              <w:t xml:space="preserve">Reprezentatīvais automobilis </w:t>
            </w:r>
            <w:r w:rsidRPr="009D0629">
              <w:rPr>
                <w:rFonts w:ascii="Times New Roman" w:hAnsi="Times New Roman"/>
                <w:sz w:val="26"/>
                <w:szCs w:val="26"/>
              </w:rPr>
              <w:t xml:space="preserve">(likuma </w:t>
            </w:r>
            <w:r w:rsidR="00A16D62" w:rsidRPr="009D0629">
              <w:rPr>
                <w:rFonts w:ascii="Times New Roman" w:hAnsi="Times New Roman"/>
                <w:sz w:val="26"/>
                <w:szCs w:val="26"/>
              </w:rPr>
              <w:t xml:space="preserve">“Par uzņēmumu ienākuma nodokli” (turpmāk – likums) </w:t>
            </w:r>
            <w:r w:rsidRPr="009D0629">
              <w:rPr>
                <w:rFonts w:ascii="Times New Roman" w:hAnsi="Times New Roman"/>
                <w:sz w:val="26"/>
                <w:szCs w:val="26"/>
              </w:rPr>
              <w:t xml:space="preserve">1.panta </w:t>
            </w:r>
            <w:r w:rsidR="006166A6" w:rsidRPr="009D0629">
              <w:rPr>
                <w:rFonts w:ascii="Times New Roman" w:hAnsi="Times New Roman"/>
                <w:sz w:val="26"/>
                <w:szCs w:val="26"/>
              </w:rPr>
              <w:t xml:space="preserve">divdesmit sestā </w:t>
            </w:r>
            <w:r w:rsidRPr="009D0629">
              <w:rPr>
                <w:rFonts w:ascii="Times New Roman" w:hAnsi="Times New Roman"/>
                <w:sz w:val="26"/>
                <w:szCs w:val="26"/>
              </w:rPr>
              <w:t>daļa)</w:t>
            </w:r>
            <w:r w:rsidR="00E6303B" w:rsidRPr="009D0629">
              <w:rPr>
                <w:rFonts w:ascii="Times New Roman" w:hAnsi="Times New Roman"/>
                <w:sz w:val="26"/>
                <w:szCs w:val="26"/>
              </w:rPr>
              <w:t>.</w:t>
            </w:r>
          </w:p>
          <w:p w:rsidR="006166A6" w:rsidRPr="009D0629" w:rsidRDefault="006166A6" w:rsidP="007B0240">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 xml:space="preserve">Nepieciešams </w:t>
            </w:r>
            <w:r w:rsidR="005642A9" w:rsidRPr="009D0629">
              <w:rPr>
                <w:rFonts w:ascii="Times New Roman" w:hAnsi="Times New Roman"/>
                <w:sz w:val="26"/>
                <w:szCs w:val="26"/>
              </w:rPr>
              <w:t xml:space="preserve">novērst situāciju, ka vieglie automobiļi (M1 kategorija), kuri pēc ekonomiskās būtības ir uzskatāmi par reprezentatīviem </w:t>
            </w:r>
            <w:r w:rsidR="00276C7B" w:rsidRPr="009D0629">
              <w:rPr>
                <w:rFonts w:ascii="Times New Roman" w:hAnsi="Times New Roman"/>
                <w:sz w:val="26"/>
                <w:szCs w:val="26"/>
              </w:rPr>
              <w:t xml:space="preserve">automobiļiem </w:t>
            </w:r>
            <w:r w:rsidR="005642A9" w:rsidRPr="009D0629">
              <w:rPr>
                <w:rFonts w:ascii="Times New Roman" w:hAnsi="Times New Roman"/>
                <w:sz w:val="26"/>
                <w:szCs w:val="26"/>
              </w:rPr>
              <w:t>un</w:t>
            </w:r>
            <w:r w:rsidR="00276C7B" w:rsidRPr="009D0629">
              <w:rPr>
                <w:rFonts w:ascii="Times New Roman" w:hAnsi="Times New Roman"/>
                <w:sz w:val="26"/>
                <w:szCs w:val="26"/>
              </w:rPr>
              <w:t xml:space="preserve"> </w:t>
            </w:r>
            <w:r w:rsidR="005642A9" w:rsidRPr="009D0629">
              <w:rPr>
                <w:rFonts w:ascii="Times New Roman" w:hAnsi="Times New Roman"/>
                <w:sz w:val="26"/>
                <w:szCs w:val="26"/>
              </w:rPr>
              <w:t xml:space="preserve"> neveic kravu pārvadājumus</w:t>
            </w:r>
            <w:r w:rsidR="00700546" w:rsidRPr="009D0629">
              <w:rPr>
                <w:rFonts w:ascii="Times New Roman" w:hAnsi="Times New Roman"/>
                <w:sz w:val="26"/>
                <w:szCs w:val="26"/>
              </w:rPr>
              <w:t>,</w:t>
            </w:r>
            <w:r w:rsidR="005642A9" w:rsidRPr="009D0629">
              <w:rPr>
                <w:rFonts w:ascii="Times New Roman" w:hAnsi="Times New Roman"/>
                <w:sz w:val="26"/>
                <w:szCs w:val="26"/>
              </w:rPr>
              <w:t xml:space="preserve"> tiek </w:t>
            </w:r>
            <w:r w:rsidR="00044C3D" w:rsidRPr="009D0629">
              <w:rPr>
                <w:rFonts w:ascii="Times New Roman" w:hAnsi="Times New Roman"/>
                <w:sz w:val="26"/>
                <w:szCs w:val="26"/>
              </w:rPr>
              <w:t>klasificēti</w:t>
            </w:r>
            <w:r w:rsidR="005642A9" w:rsidRPr="009D0629">
              <w:rPr>
                <w:rFonts w:ascii="Times New Roman" w:hAnsi="Times New Roman"/>
                <w:sz w:val="26"/>
                <w:szCs w:val="26"/>
              </w:rPr>
              <w:t xml:space="preserve"> par kravas automobiļiem (N1 kategorija) ar mērķi samazināt </w:t>
            </w:r>
            <w:r w:rsidR="00276C7B" w:rsidRPr="009D0629">
              <w:rPr>
                <w:rFonts w:ascii="Times New Roman" w:hAnsi="Times New Roman"/>
                <w:sz w:val="26"/>
                <w:szCs w:val="26"/>
              </w:rPr>
              <w:t xml:space="preserve">ar </w:t>
            </w:r>
            <w:r w:rsidR="005642A9" w:rsidRPr="009D0629">
              <w:rPr>
                <w:rFonts w:ascii="Times New Roman" w:hAnsi="Times New Roman"/>
                <w:sz w:val="26"/>
                <w:szCs w:val="26"/>
              </w:rPr>
              <w:t>uzņēmumu ienākuma nodokli</w:t>
            </w:r>
            <w:r w:rsidR="00EC78CD" w:rsidRPr="009D0629">
              <w:rPr>
                <w:rFonts w:ascii="Times New Roman" w:hAnsi="Times New Roman"/>
                <w:sz w:val="26"/>
                <w:szCs w:val="26"/>
              </w:rPr>
              <w:t xml:space="preserve"> (turpmāk – UIN)</w:t>
            </w:r>
            <w:r w:rsidR="00276C7B" w:rsidRPr="009D0629">
              <w:rPr>
                <w:rFonts w:ascii="Times New Roman" w:hAnsi="Times New Roman"/>
                <w:sz w:val="26"/>
                <w:szCs w:val="26"/>
              </w:rPr>
              <w:t xml:space="preserve"> apliekamo ienākumu</w:t>
            </w:r>
            <w:r w:rsidRPr="009D0629">
              <w:rPr>
                <w:rFonts w:ascii="Times New Roman" w:hAnsi="Times New Roman"/>
                <w:sz w:val="26"/>
                <w:szCs w:val="26"/>
              </w:rPr>
              <w:t>.</w:t>
            </w:r>
            <w:r w:rsidR="00DE40CB" w:rsidRPr="009D0629">
              <w:rPr>
                <w:rFonts w:ascii="Times New Roman" w:hAnsi="Times New Roman"/>
                <w:sz w:val="26"/>
                <w:szCs w:val="26"/>
              </w:rPr>
              <w:t xml:space="preserve"> </w:t>
            </w:r>
          </w:p>
          <w:p w:rsidR="005642A9" w:rsidRPr="009D0629" w:rsidRDefault="005642A9" w:rsidP="007B0240">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 xml:space="preserve">2014.gadā tika </w:t>
            </w:r>
            <w:r w:rsidR="00044C3D" w:rsidRPr="009D0629">
              <w:rPr>
                <w:rFonts w:ascii="Times New Roman" w:hAnsi="Times New Roman"/>
                <w:sz w:val="26"/>
                <w:szCs w:val="26"/>
              </w:rPr>
              <w:t>pārklasificēti</w:t>
            </w:r>
            <w:r w:rsidRPr="009D0629">
              <w:rPr>
                <w:rFonts w:ascii="Times New Roman" w:hAnsi="Times New Roman"/>
                <w:sz w:val="26"/>
                <w:szCs w:val="26"/>
              </w:rPr>
              <w:t xml:space="preserve"> 597 vieglie automobiļi. Salīdzinot ar </w:t>
            </w:r>
            <w:r w:rsidR="00044C3D" w:rsidRPr="009D0629">
              <w:rPr>
                <w:rFonts w:ascii="Times New Roman" w:hAnsi="Times New Roman"/>
                <w:sz w:val="26"/>
                <w:szCs w:val="26"/>
              </w:rPr>
              <w:t>pārklasificētiem</w:t>
            </w:r>
            <w:r w:rsidRPr="009D0629">
              <w:rPr>
                <w:rFonts w:ascii="Times New Roman" w:hAnsi="Times New Roman"/>
                <w:sz w:val="26"/>
                <w:szCs w:val="26"/>
              </w:rPr>
              <w:t xml:space="preserve"> 157 vieglajiem automobiļiem 2010.gadā, pieaugums ir gandrīz četras reizes. Turklāt</w:t>
            </w:r>
            <w:r w:rsidR="00D85D2B" w:rsidRPr="009D0629">
              <w:rPr>
                <w:rFonts w:ascii="Times New Roman" w:hAnsi="Times New Roman"/>
                <w:sz w:val="26"/>
                <w:szCs w:val="26"/>
              </w:rPr>
              <w:t>,</w:t>
            </w:r>
            <w:r w:rsidRPr="009D0629">
              <w:rPr>
                <w:rFonts w:ascii="Times New Roman" w:hAnsi="Times New Roman"/>
                <w:sz w:val="26"/>
                <w:szCs w:val="26"/>
              </w:rPr>
              <w:t xml:space="preserve"> pēdējos trijos gados ir novērojama savdabīga tendence, ka aizvien vairāk tiek </w:t>
            </w:r>
            <w:r w:rsidR="00044C3D" w:rsidRPr="009D0629">
              <w:rPr>
                <w:rFonts w:ascii="Times New Roman" w:hAnsi="Times New Roman"/>
                <w:sz w:val="26"/>
                <w:szCs w:val="26"/>
              </w:rPr>
              <w:t>pārklasificēti</w:t>
            </w:r>
            <w:r w:rsidRPr="009D0629">
              <w:rPr>
                <w:rFonts w:ascii="Times New Roman" w:hAnsi="Times New Roman"/>
                <w:sz w:val="26"/>
                <w:szCs w:val="26"/>
              </w:rPr>
              <w:t xml:space="preserve"> jeb “pārreģistrēti” attiecīgajā gadā pirmo reizi reģistrēti</w:t>
            </w:r>
            <w:r w:rsidR="00D85D2B" w:rsidRPr="009D0629">
              <w:rPr>
                <w:rFonts w:ascii="Times New Roman" w:hAnsi="Times New Roman"/>
                <w:sz w:val="26"/>
                <w:szCs w:val="26"/>
              </w:rPr>
              <w:t>e</w:t>
            </w:r>
            <w:r w:rsidRPr="009D0629">
              <w:rPr>
                <w:rFonts w:ascii="Times New Roman" w:hAnsi="Times New Roman"/>
                <w:sz w:val="26"/>
                <w:szCs w:val="26"/>
              </w:rPr>
              <w:t xml:space="preserve"> vieglie automobiļi. 2014.gadā tika </w:t>
            </w:r>
            <w:r w:rsidR="00044C3D" w:rsidRPr="009D0629">
              <w:rPr>
                <w:rFonts w:ascii="Times New Roman" w:hAnsi="Times New Roman"/>
                <w:sz w:val="26"/>
                <w:szCs w:val="26"/>
              </w:rPr>
              <w:t>pārklasificēti</w:t>
            </w:r>
            <w:r w:rsidRPr="009D0629">
              <w:rPr>
                <w:rFonts w:ascii="Times New Roman" w:hAnsi="Times New Roman"/>
                <w:sz w:val="26"/>
                <w:szCs w:val="26"/>
              </w:rPr>
              <w:t xml:space="preserve"> 54 vieglie automobiļi, kuru pirmā reģistrācija bija 2014.gadā, un tas </w:t>
            </w:r>
            <w:r w:rsidR="00EC78CD" w:rsidRPr="009D0629">
              <w:rPr>
                <w:rFonts w:ascii="Times New Roman" w:hAnsi="Times New Roman"/>
                <w:sz w:val="26"/>
                <w:szCs w:val="26"/>
              </w:rPr>
              <w:t xml:space="preserve">bija </w:t>
            </w:r>
            <w:r w:rsidRPr="009D0629">
              <w:rPr>
                <w:rFonts w:ascii="Times New Roman" w:hAnsi="Times New Roman"/>
                <w:sz w:val="26"/>
                <w:szCs w:val="26"/>
              </w:rPr>
              <w:t xml:space="preserve">9,05% no visiem </w:t>
            </w:r>
            <w:r w:rsidR="00044C3D" w:rsidRPr="009D0629">
              <w:rPr>
                <w:rFonts w:ascii="Times New Roman" w:hAnsi="Times New Roman"/>
                <w:sz w:val="26"/>
                <w:szCs w:val="26"/>
              </w:rPr>
              <w:t>pārklasificēti</w:t>
            </w:r>
            <w:r w:rsidRPr="009D0629">
              <w:rPr>
                <w:rFonts w:ascii="Times New Roman" w:hAnsi="Times New Roman"/>
                <w:sz w:val="26"/>
                <w:szCs w:val="26"/>
              </w:rPr>
              <w:t xml:space="preserve">em vieglajiem automobiļiem šajā gadā, salīdzinot ar 2011.gadu, kad tika </w:t>
            </w:r>
            <w:r w:rsidR="00044C3D" w:rsidRPr="009D0629">
              <w:rPr>
                <w:rFonts w:ascii="Times New Roman" w:hAnsi="Times New Roman"/>
                <w:sz w:val="26"/>
                <w:szCs w:val="26"/>
              </w:rPr>
              <w:t xml:space="preserve">pārklasificēti </w:t>
            </w:r>
            <w:r w:rsidRPr="009D0629">
              <w:rPr>
                <w:rFonts w:ascii="Times New Roman" w:hAnsi="Times New Roman"/>
                <w:sz w:val="26"/>
                <w:szCs w:val="26"/>
              </w:rPr>
              <w:t xml:space="preserve">tikai 0,76% no minētajā gadā pirmo reizi reģistrētajiem vieglajiem automobiļiem. Visvairāk </w:t>
            </w:r>
            <w:r w:rsidR="00044C3D" w:rsidRPr="009D0629">
              <w:rPr>
                <w:rFonts w:ascii="Times New Roman" w:hAnsi="Times New Roman"/>
                <w:sz w:val="26"/>
                <w:szCs w:val="26"/>
              </w:rPr>
              <w:t>pārklasificētais</w:t>
            </w:r>
            <w:r w:rsidRPr="009D0629">
              <w:rPr>
                <w:rFonts w:ascii="Times New Roman" w:hAnsi="Times New Roman"/>
                <w:sz w:val="26"/>
                <w:szCs w:val="26"/>
              </w:rPr>
              <w:t xml:space="preserve"> jaunais vieglo automobiļu modelis 2014.gadā ir </w:t>
            </w:r>
            <w:proofErr w:type="spellStart"/>
            <w:r w:rsidRPr="009D0629">
              <w:rPr>
                <w:rFonts w:ascii="Times New Roman" w:hAnsi="Times New Roman"/>
                <w:sz w:val="26"/>
                <w:szCs w:val="26"/>
              </w:rPr>
              <w:t>Toyota</w:t>
            </w:r>
            <w:proofErr w:type="spellEnd"/>
            <w:r w:rsidRPr="009D0629">
              <w:rPr>
                <w:rFonts w:ascii="Times New Roman" w:hAnsi="Times New Roman"/>
                <w:sz w:val="26"/>
                <w:szCs w:val="26"/>
              </w:rPr>
              <w:t xml:space="preserve"> </w:t>
            </w:r>
            <w:proofErr w:type="spellStart"/>
            <w:r w:rsidRPr="009D0629">
              <w:rPr>
                <w:rFonts w:ascii="Times New Roman" w:hAnsi="Times New Roman"/>
                <w:sz w:val="26"/>
                <w:szCs w:val="26"/>
              </w:rPr>
              <w:t>Land</w:t>
            </w:r>
            <w:proofErr w:type="spellEnd"/>
            <w:r w:rsidRPr="009D0629">
              <w:rPr>
                <w:rFonts w:ascii="Times New Roman" w:hAnsi="Times New Roman"/>
                <w:sz w:val="26"/>
                <w:szCs w:val="26"/>
              </w:rPr>
              <w:t xml:space="preserve"> </w:t>
            </w:r>
            <w:proofErr w:type="spellStart"/>
            <w:r w:rsidRPr="009D0629">
              <w:rPr>
                <w:rFonts w:ascii="Times New Roman" w:hAnsi="Times New Roman"/>
                <w:sz w:val="26"/>
                <w:szCs w:val="26"/>
              </w:rPr>
              <w:t>Cruiser</w:t>
            </w:r>
            <w:proofErr w:type="spellEnd"/>
            <w:r w:rsidRPr="009D0629">
              <w:rPr>
                <w:rFonts w:ascii="Times New Roman" w:hAnsi="Times New Roman"/>
                <w:sz w:val="26"/>
                <w:szCs w:val="26"/>
              </w:rPr>
              <w:t xml:space="preserve"> - 41 no 54 transportlīdzekļiem jeb 76%.</w:t>
            </w:r>
          </w:p>
          <w:p w:rsidR="00DE2A51" w:rsidRPr="009D0629" w:rsidRDefault="005642A9" w:rsidP="00DE2A51">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 xml:space="preserve">Aizvien vairāk jaunu automobiļu ražotāju pārstāvji un dīleri Latvijā reklamē iespēju uzņēmējiem optimizēt nodokļus,  iegādājoties jaunu transportlīdzekli, kas atbilst N1 kategorijai, bet </w:t>
            </w:r>
            <w:r w:rsidRPr="009D0629">
              <w:rPr>
                <w:rFonts w:ascii="Times New Roman" w:hAnsi="Times New Roman"/>
                <w:sz w:val="26"/>
                <w:szCs w:val="26"/>
              </w:rPr>
              <w:lastRenderedPageBreak/>
              <w:t>faktiski pēc tehniskā izpildījuma un ekspluatācijas mērķa atbilst vieglajam automobilim (M1 kategorija).</w:t>
            </w:r>
            <w:r w:rsidR="00DE2A51" w:rsidRPr="009D0629">
              <w:rPr>
                <w:rFonts w:ascii="Times New Roman" w:hAnsi="Times New Roman"/>
                <w:sz w:val="26"/>
                <w:szCs w:val="26"/>
              </w:rPr>
              <w:t xml:space="preserve"> </w:t>
            </w:r>
          </w:p>
          <w:p w:rsidR="00DE2A51" w:rsidRPr="009D0629" w:rsidRDefault="00DE2A51" w:rsidP="00DE2A51">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Lai novērstu izvairīšanos no uzņēmumu vieglo transportlīdzekļu nodokļa nomaksas attiecībā uz N1 kategorijas automobiļiem, jau 2015.gadā tika mainītas arī Transportlīdzekļa ekspluatācijas nodokļa un uzņēmumu vieglo transportlīdzekļu nodokļa likuma normas.</w:t>
            </w:r>
          </w:p>
          <w:p w:rsidR="006166A6" w:rsidRPr="009D0629" w:rsidRDefault="006166A6" w:rsidP="006166A6">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Ņemot vērā minēto</w:t>
            </w:r>
            <w:r w:rsidR="004A4C0E" w:rsidRPr="009D0629">
              <w:rPr>
                <w:rFonts w:ascii="Times New Roman" w:hAnsi="Times New Roman"/>
                <w:sz w:val="26"/>
                <w:szCs w:val="26"/>
              </w:rPr>
              <w:t>,</w:t>
            </w:r>
            <w:r w:rsidRPr="009D0629">
              <w:rPr>
                <w:rFonts w:ascii="Times New Roman" w:hAnsi="Times New Roman"/>
                <w:sz w:val="26"/>
                <w:szCs w:val="26"/>
              </w:rPr>
              <w:t xml:space="preserve"> likumā tiek paplašināta reprezentatīvo automobiļu definīcija, kas paredz, ka  par reprezentatīvo automobili ir uzskatāms arī kravas automobilis</w:t>
            </w:r>
            <w:r w:rsidR="004A4C0E" w:rsidRPr="009D0629">
              <w:rPr>
                <w:rFonts w:ascii="Times New Roman" w:hAnsi="Times New Roman"/>
                <w:sz w:val="26"/>
                <w:szCs w:val="26"/>
              </w:rPr>
              <w:t xml:space="preserve"> </w:t>
            </w:r>
            <w:r w:rsidRPr="009D0629">
              <w:rPr>
                <w:rFonts w:ascii="Times New Roman" w:hAnsi="Times New Roman"/>
                <w:sz w:val="26"/>
                <w:szCs w:val="26"/>
              </w:rPr>
              <w:t>ar pilnu masu līdz 3000 kilogramiem</w:t>
            </w:r>
            <w:r w:rsidR="004A4C0E" w:rsidRPr="009D0629">
              <w:rPr>
                <w:rFonts w:ascii="Times New Roman" w:hAnsi="Times New Roman"/>
                <w:sz w:val="26"/>
                <w:szCs w:val="26"/>
              </w:rPr>
              <w:t xml:space="preserve">, ja tā vērtība bez pievienotās vērtības nodokļa pārsniedz 50 000 </w:t>
            </w:r>
            <w:proofErr w:type="spellStart"/>
            <w:r w:rsidR="004A4C0E" w:rsidRPr="009D0629">
              <w:rPr>
                <w:rFonts w:ascii="Times New Roman" w:hAnsi="Times New Roman"/>
                <w:i/>
                <w:sz w:val="26"/>
                <w:szCs w:val="26"/>
              </w:rPr>
              <w:t>euro</w:t>
            </w:r>
            <w:proofErr w:type="spellEnd"/>
            <w:r w:rsidR="00D85D2B" w:rsidRPr="009D0629">
              <w:rPr>
                <w:rFonts w:ascii="Times New Roman" w:hAnsi="Times New Roman"/>
                <w:i/>
                <w:sz w:val="26"/>
                <w:szCs w:val="26"/>
              </w:rPr>
              <w:t>,</w:t>
            </w:r>
            <w:r w:rsidR="004A4C0E" w:rsidRPr="009D0629">
              <w:rPr>
                <w:rFonts w:ascii="Times New Roman" w:hAnsi="Times New Roman"/>
                <w:i/>
                <w:sz w:val="26"/>
                <w:szCs w:val="26"/>
              </w:rPr>
              <w:t xml:space="preserve"> </w:t>
            </w:r>
            <w:r w:rsidR="004A4C0E" w:rsidRPr="009D0629">
              <w:rPr>
                <w:rFonts w:ascii="Times New Roman" w:hAnsi="Times New Roman"/>
                <w:sz w:val="26"/>
                <w:szCs w:val="26"/>
              </w:rPr>
              <w:t>un</w:t>
            </w:r>
            <w:r w:rsidRPr="009D0629">
              <w:rPr>
                <w:rFonts w:ascii="Times New Roman" w:hAnsi="Times New Roman"/>
                <w:sz w:val="26"/>
                <w:szCs w:val="26"/>
              </w:rPr>
              <w:t xml:space="preserve"> </w:t>
            </w:r>
            <w:r w:rsidR="005E1DCD" w:rsidRPr="009D0629">
              <w:rPr>
                <w:rFonts w:ascii="Times New Roman" w:hAnsi="Times New Roman"/>
                <w:sz w:val="26"/>
                <w:szCs w:val="26"/>
              </w:rPr>
              <w:t xml:space="preserve">tas </w:t>
            </w:r>
            <w:r w:rsidRPr="009D0629">
              <w:rPr>
                <w:rFonts w:ascii="Times New Roman" w:hAnsi="Times New Roman"/>
                <w:sz w:val="26"/>
                <w:szCs w:val="26"/>
              </w:rPr>
              <w:t>ir klasificēts  par kravas automobili (N1 kategorija), bet pēc būtības ir vieglais automobilis</w:t>
            </w:r>
            <w:r w:rsidR="00044C3D" w:rsidRPr="009D0629">
              <w:rPr>
                <w:rFonts w:ascii="Times New Roman" w:hAnsi="Times New Roman"/>
                <w:sz w:val="26"/>
                <w:szCs w:val="26"/>
              </w:rPr>
              <w:t xml:space="preserve"> (M1 kategorija)</w:t>
            </w:r>
            <w:r w:rsidRPr="009D0629">
              <w:rPr>
                <w:rFonts w:ascii="Times New Roman" w:hAnsi="Times New Roman"/>
                <w:sz w:val="26"/>
                <w:szCs w:val="26"/>
              </w:rPr>
              <w:t>.</w:t>
            </w:r>
          </w:p>
          <w:p w:rsidR="00EA53B1" w:rsidRPr="009D0629" w:rsidRDefault="00EA53B1" w:rsidP="00E84FD9">
            <w:pPr>
              <w:pStyle w:val="DefaultParagraphFont1"/>
              <w:ind w:firstLine="104"/>
              <w:contextualSpacing/>
              <w:jc w:val="both"/>
              <w:rPr>
                <w:rFonts w:ascii="Times New Roman" w:hAnsi="Times New Roman"/>
                <w:sz w:val="26"/>
                <w:szCs w:val="26"/>
              </w:rPr>
            </w:pPr>
            <w:r w:rsidRPr="009D0629">
              <w:rPr>
                <w:rFonts w:ascii="Times New Roman" w:hAnsi="Times New Roman"/>
                <w:b/>
                <w:i/>
                <w:sz w:val="26"/>
                <w:szCs w:val="26"/>
                <w:u w:val="single"/>
              </w:rPr>
              <w:t>Atbalstāmās investīcijas</w:t>
            </w:r>
            <w:r w:rsidRPr="009D0629">
              <w:rPr>
                <w:rFonts w:ascii="Times New Roman" w:hAnsi="Times New Roman"/>
                <w:b/>
                <w:i/>
                <w:sz w:val="26"/>
                <w:szCs w:val="26"/>
              </w:rPr>
              <w:t xml:space="preserve"> </w:t>
            </w:r>
            <w:r w:rsidRPr="009D0629">
              <w:rPr>
                <w:rFonts w:ascii="Times New Roman" w:hAnsi="Times New Roman"/>
                <w:sz w:val="26"/>
                <w:szCs w:val="26"/>
              </w:rPr>
              <w:t>(likuma 17.</w:t>
            </w:r>
            <w:r w:rsidRPr="009D0629">
              <w:rPr>
                <w:rFonts w:ascii="Times New Roman" w:hAnsi="Times New Roman"/>
                <w:sz w:val="26"/>
                <w:szCs w:val="26"/>
                <w:vertAlign w:val="superscript"/>
              </w:rPr>
              <w:t>2</w:t>
            </w:r>
            <w:r w:rsidRPr="009D0629">
              <w:rPr>
                <w:rFonts w:ascii="Times New Roman" w:hAnsi="Times New Roman"/>
                <w:sz w:val="26"/>
                <w:szCs w:val="26"/>
              </w:rPr>
              <w:t>pants un 27.panta 10.daļa)</w:t>
            </w:r>
            <w:r w:rsidR="008C3BDB" w:rsidRPr="009D0629">
              <w:rPr>
                <w:rFonts w:ascii="Times New Roman" w:hAnsi="Times New Roman"/>
                <w:sz w:val="26"/>
                <w:szCs w:val="26"/>
              </w:rPr>
              <w:t>.</w:t>
            </w:r>
          </w:p>
          <w:p w:rsidR="00B824AB" w:rsidRPr="009D0629" w:rsidRDefault="00063928" w:rsidP="00E84FD9">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 xml:space="preserve">Likuma ceturtās daļas 6.punkts šobrīd paredz, ka </w:t>
            </w:r>
            <w:r w:rsidRPr="009D0629">
              <w:rPr>
                <w:rFonts w:ascii="Times New Roman" w:hAnsi="Times New Roman" w:cs="Times New Roman"/>
                <w:sz w:val="26"/>
                <w:szCs w:val="26"/>
                <w:u w:val="single"/>
              </w:rPr>
              <w:t>Ekonomikas ministrija izvērtē</w:t>
            </w:r>
            <w:r w:rsidRPr="009D0629">
              <w:rPr>
                <w:rFonts w:ascii="Times New Roman" w:hAnsi="Times New Roman" w:cs="Times New Roman"/>
                <w:sz w:val="26"/>
                <w:szCs w:val="26"/>
              </w:rPr>
              <w:t xml:space="preserve"> atbalstāmo investīciju projekta </w:t>
            </w:r>
            <w:r w:rsidRPr="009D0629">
              <w:rPr>
                <w:rFonts w:ascii="Times New Roman" w:hAnsi="Times New Roman" w:cs="Times New Roman"/>
                <w:sz w:val="26"/>
                <w:szCs w:val="26"/>
                <w:u w:val="single"/>
              </w:rPr>
              <w:t>ietekmi uz valsts ekonomiku</w:t>
            </w:r>
            <w:r w:rsidR="00D85D2B" w:rsidRPr="009D0629">
              <w:rPr>
                <w:rFonts w:ascii="Times New Roman" w:hAnsi="Times New Roman" w:cs="Times New Roman"/>
                <w:sz w:val="26"/>
                <w:szCs w:val="26"/>
                <w:u w:val="single"/>
              </w:rPr>
              <w:t>,</w:t>
            </w:r>
            <w:r w:rsidRPr="009D0629">
              <w:rPr>
                <w:rFonts w:ascii="Times New Roman" w:hAnsi="Times New Roman" w:cs="Times New Roman"/>
                <w:sz w:val="26"/>
                <w:szCs w:val="26"/>
              </w:rPr>
              <w:t xml:space="preserve"> uz kura pamata Ministru kabinets pieņem lēmumu par atbalstāmo investīciju projekta atbalstīšanu vai atteikumu ne vēlāk kā triju mēnešu laikā no dienas, kad atbalstāmo investīciju projekts ir saņemts Ekonomikas ministrijā.</w:t>
            </w:r>
            <w:r w:rsidR="00B824AB" w:rsidRPr="009D0629">
              <w:rPr>
                <w:rFonts w:ascii="Times New Roman" w:hAnsi="Times New Roman" w:cs="Times New Roman"/>
                <w:sz w:val="26"/>
                <w:szCs w:val="26"/>
              </w:rPr>
              <w:t xml:space="preserve"> Attiecībā uz atbalstāmo investīciju projektu virzību, līdz 2016.gada 7.septembrim investīciju projektu izvērtēšanas komisija</w:t>
            </w:r>
            <w:r w:rsidR="00D85D2B" w:rsidRPr="009D0629">
              <w:rPr>
                <w:rFonts w:ascii="Times New Roman" w:hAnsi="Times New Roman" w:cs="Times New Roman"/>
                <w:sz w:val="26"/>
                <w:szCs w:val="26"/>
              </w:rPr>
              <w:t xml:space="preserve"> (turpmāk – Komisija) </w:t>
            </w:r>
            <w:r w:rsidR="00B824AB" w:rsidRPr="009D0629">
              <w:rPr>
                <w:rFonts w:ascii="Times New Roman" w:hAnsi="Times New Roman" w:cs="Times New Roman"/>
                <w:sz w:val="26"/>
                <w:szCs w:val="26"/>
              </w:rPr>
              <w:t xml:space="preserve">ir izvērtējusi un lēmumu pieņēmusi par 27 projektiem. Prakse liecina, ka </w:t>
            </w:r>
            <w:r w:rsidR="00D85D2B" w:rsidRPr="009D0629">
              <w:rPr>
                <w:rFonts w:ascii="Times New Roman" w:hAnsi="Times New Roman" w:cs="Times New Roman"/>
                <w:sz w:val="26"/>
                <w:szCs w:val="26"/>
              </w:rPr>
              <w:t>K</w:t>
            </w:r>
            <w:r w:rsidR="00B824AB" w:rsidRPr="009D0629">
              <w:rPr>
                <w:rFonts w:ascii="Times New Roman" w:hAnsi="Times New Roman" w:cs="Times New Roman"/>
                <w:sz w:val="26"/>
                <w:szCs w:val="26"/>
              </w:rPr>
              <w:t xml:space="preserve">omisijai 17 gadījumos no 27 projektiem lēmuma pieņemšanai par projekta atbalstīšanu vai noraidīšanu ir bijusi nepieciešama papildus informācija no projekta iesniedzēja. Periods no </w:t>
            </w:r>
            <w:r w:rsidR="00D85D2B" w:rsidRPr="009D0629">
              <w:rPr>
                <w:rFonts w:ascii="Times New Roman" w:hAnsi="Times New Roman" w:cs="Times New Roman"/>
                <w:sz w:val="26"/>
                <w:szCs w:val="26"/>
              </w:rPr>
              <w:t>K</w:t>
            </w:r>
            <w:r w:rsidR="00B824AB" w:rsidRPr="009D0629">
              <w:rPr>
                <w:rFonts w:ascii="Times New Roman" w:hAnsi="Times New Roman" w:cs="Times New Roman"/>
                <w:sz w:val="26"/>
                <w:szCs w:val="26"/>
              </w:rPr>
              <w:t>omisijas informācijas pieprasījuma sagatavošanas līdz atbildes saņemšanai no projekta iesniedzēja ilgst vidēji 30-45 dienas. Turklāt, 4 gadījumos no 17 minētajiem gadījumiem ir bijusi nepieciešama vairākkārtēja papildu informācijas pieprasīšana. Līdz ar to</w:t>
            </w:r>
            <w:r w:rsidR="00F7505D" w:rsidRPr="009D0629">
              <w:rPr>
                <w:rFonts w:ascii="Times New Roman" w:hAnsi="Times New Roman" w:cs="Times New Roman"/>
                <w:sz w:val="26"/>
                <w:szCs w:val="26"/>
              </w:rPr>
              <w:t>,</w:t>
            </w:r>
            <w:r w:rsidR="00B824AB" w:rsidRPr="009D0629">
              <w:rPr>
                <w:rFonts w:ascii="Times New Roman" w:hAnsi="Times New Roman" w:cs="Times New Roman"/>
                <w:sz w:val="26"/>
                <w:szCs w:val="26"/>
              </w:rPr>
              <w:t xml:space="preserve"> </w:t>
            </w:r>
            <w:r w:rsidR="00C60203" w:rsidRPr="009D0629">
              <w:rPr>
                <w:rFonts w:ascii="Times New Roman" w:hAnsi="Times New Roman" w:cs="Times New Roman"/>
                <w:sz w:val="26"/>
                <w:szCs w:val="26"/>
              </w:rPr>
              <w:t xml:space="preserve">praksē </w:t>
            </w:r>
            <w:r w:rsidR="00B824AB" w:rsidRPr="009D0629">
              <w:rPr>
                <w:rFonts w:ascii="Times New Roman" w:hAnsi="Times New Roman" w:cs="Times New Roman"/>
                <w:sz w:val="26"/>
                <w:szCs w:val="26"/>
              </w:rPr>
              <w:t>nav iespējams iekļauties likuma 17.</w:t>
            </w:r>
            <w:r w:rsidR="00B824AB" w:rsidRPr="009D0629">
              <w:rPr>
                <w:rFonts w:ascii="Times New Roman" w:hAnsi="Times New Roman" w:cs="Times New Roman"/>
                <w:sz w:val="26"/>
                <w:szCs w:val="26"/>
                <w:vertAlign w:val="superscript"/>
              </w:rPr>
              <w:t>2</w:t>
            </w:r>
            <w:r w:rsidR="00B824AB" w:rsidRPr="009D0629">
              <w:rPr>
                <w:rFonts w:ascii="Times New Roman" w:hAnsi="Times New Roman" w:cs="Times New Roman"/>
                <w:sz w:val="26"/>
                <w:szCs w:val="26"/>
              </w:rPr>
              <w:t xml:space="preserve">panta ceturtās daļas 6.punktā noteiktajā termiņā (t.i., trijos mēnešos). Ministru kabineta rīkojuma par projekta atbalstīšanu vai noraidīšanu sagatavošana, saskaņošana un apstiprināšana ilgst ne mazāk kā 30 dienas. Jāņem vērā, ka </w:t>
            </w:r>
            <w:r w:rsidR="00D85D2B" w:rsidRPr="009D0629">
              <w:rPr>
                <w:rFonts w:ascii="Times New Roman" w:hAnsi="Times New Roman" w:cs="Times New Roman"/>
                <w:sz w:val="26"/>
                <w:szCs w:val="26"/>
              </w:rPr>
              <w:t>K</w:t>
            </w:r>
            <w:r w:rsidR="00B824AB" w:rsidRPr="009D0629">
              <w:rPr>
                <w:rFonts w:ascii="Times New Roman" w:hAnsi="Times New Roman" w:cs="Times New Roman"/>
                <w:sz w:val="26"/>
                <w:szCs w:val="26"/>
              </w:rPr>
              <w:t>omisija ir lemttiesīga, ja tajā piedalās vismaz puse no tās locekļiem, līdz ar to</w:t>
            </w:r>
            <w:r w:rsidR="00F7505D" w:rsidRPr="009D0629">
              <w:rPr>
                <w:rFonts w:ascii="Times New Roman" w:hAnsi="Times New Roman" w:cs="Times New Roman"/>
                <w:sz w:val="26"/>
                <w:szCs w:val="26"/>
              </w:rPr>
              <w:t>,</w:t>
            </w:r>
            <w:r w:rsidR="00B824AB" w:rsidRPr="009D0629">
              <w:rPr>
                <w:rFonts w:ascii="Times New Roman" w:hAnsi="Times New Roman" w:cs="Times New Roman"/>
                <w:sz w:val="26"/>
                <w:szCs w:val="26"/>
              </w:rPr>
              <w:t xml:space="preserve"> atsevišķos gadījumos nav iespējams operatīvi sasaukt sēdes. Līdz ar to</w:t>
            </w:r>
            <w:r w:rsidR="00F7505D" w:rsidRPr="009D0629">
              <w:rPr>
                <w:rFonts w:ascii="Times New Roman" w:hAnsi="Times New Roman" w:cs="Times New Roman"/>
                <w:sz w:val="26"/>
                <w:szCs w:val="26"/>
              </w:rPr>
              <w:t>,</w:t>
            </w:r>
            <w:r w:rsidR="003520C8" w:rsidRPr="009D0629">
              <w:rPr>
                <w:rFonts w:ascii="Times New Roman" w:hAnsi="Times New Roman" w:cs="Times New Roman"/>
                <w:sz w:val="26"/>
                <w:szCs w:val="26"/>
              </w:rPr>
              <w:t xml:space="preserve"> </w:t>
            </w:r>
            <w:r w:rsidRPr="009D0629">
              <w:rPr>
                <w:rFonts w:ascii="Times New Roman" w:hAnsi="Times New Roman" w:cs="Times New Roman"/>
                <w:sz w:val="26"/>
                <w:szCs w:val="26"/>
              </w:rPr>
              <w:t>likum</w:t>
            </w:r>
            <w:r w:rsidR="007C26A6" w:rsidRPr="009D0629">
              <w:rPr>
                <w:rFonts w:ascii="Times New Roman" w:hAnsi="Times New Roman" w:cs="Times New Roman"/>
                <w:sz w:val="26"/>
                <w:szCs w:val="26"/>
              </w:rPr>
              <w:t xml:space="preserve">a ceturtās daļas 6.punktā </w:t>
            </w:r>
            <w:r w:rsidRPr="009D0629">
              <w:rPr>
                <w:rFonts w:ascii="Times New Roman" w:hAnsi="Times New Roman" w:cs="Times New Roman"/>
                <w:sz w:val="26"/>
                <w:szCs w:val="26"/>
              </w:rPr>
              <w:t xml:space="preserve">noteiktais izvērtēšanas periods tiek </w:t>
            </w:r>
            <w:r w:rsidR="003520C8" w:rsidRPr="009D0629">
              <w:rPr>
                <w:rFonts w:ascii="Times New Roman" w:hAnsi="Times New Roman" w:cs="Times New Roman"/>
                <w:sz w:val="26"/>
                <w:szCs w:val="26"/>
              </w:rPr>
              <w:t>pagarināts</w:t>
            </w:r>
            <w:r w:rsidRPr="009D0629">
              <w:rPr>
                <w:rFonts w:ascii="Times New Roman" w:hAnsi="Times New Roman" w:cs="Times New Roman"/>
                <w:sz w:val="26"/>
                <w:szCs w:val="26"/>
              </w:rPr>
              <w:t xml:space="preserve"> no trijiem mēnešiem līdz </w:t>
            </w:r>
            <w:r w:rsidR="00712C2D" w:rsidRPr="009D0629">
              <w:rPr>
                <w:rFonts w:ascii="Times New Roman" w:hAnsi="Times New Roman" w:cs="Times New Roman"/>
                <w:sz w:val="26"/>
                <w:szCs w:val="26"/>
              </w:rPr>
              <w:t>12</w:t>
            </w:r>
            <w:r w:rsidRPr="009D0629">
              <w:rPr>
                <w:rFonts w:ascii="Times New Roman" w:hAnsi="Times New Roman" w:cs="Times New Roman"/>
                <w:sz w:val="26"/>
                <w:szCs w:val="26"/>
              </w:rPr>
              <w:t xml:space="preserve"> mēnešiem.</w:t>
            </w:r>
          </w:p>
          <w:p w:rsidR="00D92FAE" w:rsidRPr="009D0629" w:rsidRDefault="007C26A6" w:rsidP="00A76B29">
            <w:pPr>
              <w:spacing w:after="0" w:line="240" w:lineRule="auto"/>
              <w:contextualSpacing/>
              <w:jc w:val="both"/>
              <w:rPr>
                <w:rFonts w:ascii="Times New Roman" w:eastAsia="Times New Roman" w:hAnsi="Times New Roman" w:cs="Times New Roman"/>
                <w:sz w:val="26"/>
                <w:szCs w:val="26"/>
              </w:rPr>
            </w:pPr>
            <w:r w:rsidRPr="009D0629">
              <w:rPr>
                <w:rFonts w:ascii="Times New Roman" w:hAnsi="Times New Roman" w:cs="Times New Roman"/>
                <w:sz w:val="26"/>
                <w:szCs w:val="26"/>
              </w:rPr>
              <w:t xml:space="preserve"> Papildus tam, Ministru kabinet</w:t>
            </w:r>
            <w:r w:rsidR="00E011AD" w:rsidRPr="009D0629">
              <w:rPr>
                <w:rFonts w:ascii="Times New Roman" w:hAnsi="Times New Roman" w:cs="Times New Roman"/>
                <w:sz w:val="26"/>
                <w:szCs w:val="26"/>
              </w:rPr>
              <w:t>a</w:t>
            </w:r>
            <w:r w:rsidRPr="009D0629">
              <w:rPr>
                <w:rFonts w:ascii="Times New Roman" w:hAnsi="Times New Roman" w:cs="Times New Roman"/>
                <w:sz w:val="26"/>
                <w:szCs w:val="26"/>
              </w:rPr>
              <w:t xml:space="preserve"> </w:t>
            </w:r>
            <w:r w:rsidR="00E011AD" w:rsidRPr="009D0629">
              <w:rPr>
                <w:rFonts w:ascii="Times New Roman" w:hAnsi="Times New Roman" w:cs="Times New Roman"/>
                <w:sz w:val="26"/>
                <w:szCs w:val="26"/>
              </w:rPr>
              <w:t>l</w:t>
            </w:r>
            <w:r w:rsidRPr="009D0629">
              <w:rPr>
                <w:rFonts w:ascii="Times New Roman" w:hAnsi="Times New Roman" w:cs="Times New Roman"/>
                <w:sz w:val="26"/>
                <w:szCs w:val="26"/>
              </w:rPr>
              <w:t>ēmum</w:t>
            </w:r>
            <w:r w:rsidR="00E011AD" w:rsidRPr="009D0629">
              <w:rPr>
                <w:rFonts w:ascii="Times New Roman" w:hAnsi="Times New Roman" w:cs="Times New Roman"/>
                <w:sz w:val="26"/>
                <w:szCs w:val="26"/>
              </w:rPr>
              <w:t>s tiek pieņemts</w:t>
            </w:r>
            <w:r w:rsidR="00CC4B52" w:rsidRPr="009D0629">
              <w:rPr>
                <w:rFonts w:ascii="Times New Roman" w:hAnsi="Times New Roman" w:cs="Times New Roman"/>
                <w:sz w:val="26"/>
                <w:szCs w:val="26"/>
              </w:rPr>
              <w:t>,</w:t>
            </w:r>
            <w:r w:rsidR="00E011AD" w:rsidRPr="009D0629">
              <w:rPr>
                <w:rFonts w:ascii="Times New Roman" w:hAnsi="Times New Roman" w:cs="Times New Roman"/>
                <w:sz w:val="26"/>
                <w:szCs w:val="26"/>
              </w:rPr>
              <w:t xml:space="preserve"> balstoties uz Ekonomikas ministrijas veikto</w:t>
            </w:r>
            <w:r w:rsidR="00D92FAE" w:rsidRPr="009D0629">
              <w:rPr>
                <w:rFonts w:ascii="Times New Roman" w:hAnsi="Times New Roman" w:cs="Times New Roman"/>
                <w:sz w:val="26"/>
                <w:szCs w:val="26"/>
              </w:rPr>
              <w:t xml:space="preserve"> atbalstāmā investīciju projekta</w:t>
            </w:r>
            <w:r w:rsidR="00E011AD" w:rsidRPr="009D0629">
              <w:rPr>
                <w:rFonts w:ascii="Times New Roman" w:hAnsi="Times New Roman" w:cs="Times New Roman"/>
                <w:sz w:val="26"/>
                <w:szCs w:val="26"/>
              </w:rPr>
              <w:t xml:space="preserve"> vērtējumu </w:t>
            </w:r>
            <w:r w:rsidR="00A76B29" w:rsidRPr="009D0629">
              <w:rPr>
                <w:rFonts w:ascii="Times New Roman" w:hAnsi="Times New Roman" w:cs="Times New Roman"/>
                <w:sz w:val="26"/>
                <w:szCs w:val="26"/>
              </w:rPr>
              <w:t xml:space="preserve">saskaņā ar </w:t>
            </w:r>
            <w:r w:rsidR="00A76B29" w:rsidRPr="009D0629">
              <w:rPr>
                <w:rFonts w:ascii="Times New Roman" w:eastAsia="Times New Roman" w:hAnsi="Times New Roman" w:cs="Times New Roman"/>
                <w:sz w:val="26"/>
                <w:szCs w:val="26"/>
              </w:rPr>
              <w:t>Ministru kabineta 2015.gada 19.maija noteikumiem Nr.244 “Atbalstāmo investīciju projekta apstiprināšanas un īstenošanas kārtība”</w:t>
            </w:r>
            <w:r w:rsidR="00D92FAE" w:rsidRPr="009D0629">
              <w:rPr>
                <w:rFonts w:ascii="Times New Roman" w:eastAsia="Times New Roman" w:hAnsi="Times New Roman" w:cs="Times New Roman"/>
                <w:sz w:val="26"/>
                <w:szCs w:val="26"/>
              </w:rPr>
              <w:t xml:space="preserve"> (turpmāk – </w:t>
            </w:r>
            <w:r w:rsidR="00A21742" w:rsidRPr="009D0629">
              <w:rPr>
                <w:rFonts w:ascii="Times New Roman" w:eastAsia="Times New Roman" w:hAnsi="Times New Roman" w:cs="Times New Roman"/>
                <w:sz w:val="26"/>
                <w:szCs w:val="26"/>
              </w:rPr>
              <w:t>N</w:t>
            </w:r>
            <w:r w:rsidR="00D92FAE" w:rsidRPr="009D0629">
              <w:rPr>
                <w:rFonts w:ascii="Times New Roman" w:eastAsia="Times New Roman" w:hAnsi="Times New Roman" w:cs="Times New Roman"/>
                <w:sz w:val="26"/>
                <w:szCs w:val="26"/>
              </w:rPr>
              <w:t>oteikumi)</w:t>
            </w:r>
            <w:r w:rsidR="00A76B29" w:rsidRPr="009D0629">
              <w:rPr>
                <w:rFonts w:ascii="Times New Roman" w:eastAsia="Times New Roman" w:hAnsi="Times New Roman" w:cs="Times New Roman"/>
                <w:sz w:val="26"/>
                <w:szCs w:val="26"/>
              </w:rPr>
              <w:t xml:space="preserve">. </w:t>
            </w:r>
            <w:r w:rsidR="00D12965" w:rsidRPr="009D0629">
              <w:rPr>
                <w:rFonts w:ascii="Times New Roman" w:eastAsia="Times New Roman" w:hAnsi="Times New Roman" w:cs="Times New Roman"/>
                <w:sz w:val="26"/>
                <w:szCs w:val="26"/>
              </w:rPr>
              <w:t>N</w:t>
            </w:r>
            <w:r w:rsidR="00D92FAE" w:rsidRPr="009D0629">
              <w:rPr>
                <w:rFonts w:ascii="Times New Roman" w:eastAsia="Times New Roman" w:hAnsi="Times New Roman" w:cs="Times New Roman"/>
                <w:sz w:val="26"/>
                <w:szCs w:val="26"/>
              </w:rPr>
              <w:t xml:space="preserve">oteikumu  45.punkts paredz, ja pēc projekta īstenošanas projekts </w:t>
            </w:r>
            <w:r w:rsidR="00D92FAE" w:rsidRPr="009D0629">
              <w:rPr>
                <w:rFonts w:ascii="Times New Roman" w:eastAsia="Times New Roman" w:hAnsi="Times New Roman" w:cs="Times New Roman"/>
                <w:sz w:val="26"/>
                <w:szCs w:val="26"/>
              </w:rPr>
              <w:lastRenderedPageBreak/>
              <w:t>neatbilst likumā vai noteikumos ietvertajām prasībām, tai skaitā otrajā gadā pēc projekta īstenošanas faktiskie saimnieciskās darbības rādītāji saskaņā ar noteikumu 3.pielikuma 3. punktā minētajiem kvalitātes kritērijiem neiegūst vismaz 45 punktus, un tiek konstatēts, ka projekta iesniedzējs nav tiesīgs piemērot nodokļa atlaidi, Ekonomikas ministrija sagatavo un iesniedz Ministru kabinetā jaunu Ministru kabineta rīkojuma projektu, lai atceltu atbilstoši likuma 17.</w:t>
            </w:r>
            <w:r w:rsidR="00D92FAE" w:rsidRPr="009D0629">
              <w:rPr>
                <w:rFonts w:ascii="Times New Roman" w:eastAsia="Times New Roman" w:hAnsi="Times New Roman" w:cs="Times New Roman"/>
                <w:sz w:val="26"/>
                <w:szCs w:val="26"/>
                <w:vertAlign w:val="superscript"/>
              </w:rPr>
              <w:t>2</w:t>
            </w:r>
            <w:r w:rsidR="00D92FAE" w:rsidRPr="009D0629">
              <w:rPr>
                <w:rFonts w:ascii="Times New Roman" w:eastAsia="Times New Roman" w:hAnsi="Times New Roman" w:cs="Times New Roman"/>
                <w:sz w:val="26"/>
                <w:szCs w:val="26"/>
              </w:rPr>
              <w:t xml:space="preserve">panta ceturtās daļas 6.punktam pieņemto Ministru kabineta lēmumu. </w:t>
            </w:r>
            <w:r w:rsidR="00D92FAE" w:rsidRPr="009D0629">
              <w:rPr>
                <w:rFonts w:ascii="Times New Roman" w:eastAsia="Times New Roman" w:hAnsi="Times New Roman" w:cs="Times New Roman"/>
                <w:i/>
                <w:sz w:val="26"/>
                <w:szCs w:val="26"/>
              </w:rPr>
              <w:t>Lai nodrošinātu skaidru priekšstatu</w:t>
            </w:r>
            <w:r w:rsidR="00D92FAE" w:rsidRPr="009D0629">
              <w:rPr>
                <w:rFonts w:ascii="Times New Roman" w:eastAsia="Times New Roman" w:hAnsi="Times New Roman" w:cs="Times New Roman"/>
                <w:sz w:val="26"/>
                <w:szCs w:val="26"/>
              </w:rPr>
              <w:t xml:space="preserve"> par likuma normu piemērošanu, minētā kārtība tiek iekļauta </w:t>
            </w:r>
            <w:r w:rsidR="00D92FAE" w:rsidRPr="009D0629">
              <w:rPr>
                <w:rFonts w:ascii="Times New Roman" w:eastAsia="Times New Roman" w:hAnsi="Times New Roman" w:cs="Times New Roman"/>
                <w:i/>
                <w:sz w:val="26"/>
                <w:szCs w:val="26"/>
              </w:rPr>
              <w:t>arī</w:t>
            </w:r>
            <w:r w:rsidR="00D92FAE" w:rsidRPr="009D0629">
              <w:rPr>
                <w:rFonts w:ascii="Times New Roman" w:eastAsia="Times New Roman" w:hAnsi="Times New Roman" w:cs="Times New Roman"/>
                <w:sz w:val="26"/>
                <w:szCs w:val="26"/>
              </w:rPr>
              <w:t xml:space="preserve"> likuma 17.</w:t>
            </w:r>
            <w:r w:rsidR="00D92FAE" w:rsidRPr="009D0629">
              <w:rPr>
                <w:rFonts w:ascii="Times New Roman" w:eastAsia="Times New Roman" w:hAnsi="Times New Roman" w:cs="Times New Roman"/>
                <w:sz w:val="26"/>
                <w:szCs w:val="26"/>
                <w:vertAlign w:val="superscript"/>
              </w:rPr>
              <w:t>2</w:t>
            </w:r>
            <w:r w:rsidR="00D92FAE" w:rsidRPr="009D0629">
              <w:rPr>
                <w:rFonts w:ascii="Times New Roman" w:eastAsia="Times New Roman" w:hAnsi="Times New Roman" w:cs="Times New Roman"/>
                <w:sz w:val="26"/>
                <w:szCs w:val="26"/>
              </w:rPr>
              <w:t>pantā</w:t>
            </w:r>
            <w:r w:rsidR="00CC4B52" w:rsidRPr="009D0629">
              <w:rPr>
                <w:rFonts w:ascii="Times New Roman" w:eastAsia="Times New Roman" w:hAnsi="Times New Roman" w:cs="Times New Roman"/>
                <w:sz w:val="26"/>
                <w:szCs w:val="26"/>
              </w:rPr>
              <w:t>,</w:t>
            </w:r>
            <w:r w:rsidR="00D92FAE" w:rsidRPr="009D0629">
              <w:rPr>
                <w:rFonts w:ascii="Times New Roman" w:eastAsia="Times New Roman" w:hAnsi="Times New Roman" w:cs="Times New Roman"/>
                <w:sz w:val="26"/>
                <w:szCs w:val="26"/>
              </w:rPr>
              <w:t xml:space="preserve"> papildinot to ar 4.</w:t>
            </w:r>
            <w:r w:rsidR="00D92FAE" w:rsidRPr="009D0629">
              <w:rPr>
                <w:rFonts w:ascii="Times New Roman" w:eastAsia="Times New Roman" w:hAnsi="Times New Roman" w:cs="Times New Roman"/>
                <w:sz w:val="26"/>
                <w:szCs w:val="26"/>
                <w:vertAlign w:val="superscript"/>
              </w:rPr>
              <w:t>2</w:t>
            </w:r>
            <w:r w:rsidR="00D92FAE" w:rsidRPr="009D0629">
              <w:rPr>
                <w:rFonts w:ascii="Times New Roman" w:eastAsia="Times New Roman" w:hAnsi="Times New Roman" w:cs="Times New Roman"/>
                <w:sz w:val="26"/>
                <w:szCs w:val="26"/>
              </w:rPr>
              <w:t xml:space="preserve">daļu.  </w:t>
            </w:r>
          </w:p>
          <w:p w:rsidR="00A21742" w:rsidRPr="009D0629" w:rsidRDefault="00581BE5" w:rsidP="00E84FD9">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Katru atbalstām</w:t>
            </w:r>
            <w:r w:rsidR="00C60203" w:rsidRPr="009D0629">
              <w:rPr>
                <w:rFonts w:ascii="Times New Roman" w:hAnsi="Times New Roman"/>
                <w:sz w:val="26"/>
                <w:szCs w:val="26"/>
              </w:rPr>
              <w:t>o</w:t>
            </w:r>
            <w:r w:rsidRPr="009D0629">
              <w:rPr>
                <w:rFonts w:ascii="Times New Roman" w:hAnsi="Times New Roman"/>
                <w:sz w:val="26"/>
                <w:szCs w:val="26"/>
              </w:rPr>
              <w:t xml:space="preserve"> investīciju projektu izvērtē </w:t>
            </w:r>
            <w:r w:rsidR="00A06D80" w:rsidRPr="009D0629">
              <w:rPr>
                <w:rFonts w:ascii="Times New Roman" w:hAnsi="Times New Roman"/>
                <w:sz w:val="26"/>
                <w:szCs w:val="26"/>
              </w:rPr>
              <w:t>e</w:t>
            </w:r>
            <w:r w:rsidRPr="009D0629">
              <w:rPr>
                <w:rFonts w:ascii="Times New Roman" w:hAnsi="Times New Roman"/>
                <w:sz w:val="26"/>
                <w:szCs w:val="26"/>
              </w:rPr>
              <w:t>konomikas ministr</w:t>
            </w:r>
            <w:r w:rsidR="00A06D80" w:rsidRPr="009D0629">
              <w:rPr>
                <w:rFonts w:ascii="Times New Roman" w:hAnsi="Times New Roman"/>
                <w:sz w:val="26"/>
                <w:szCs w:val="26"/>
              </w:rPr>
              <w:t>a</w:t>
            </w:r>
            <w:r w:rsidRPr="009D0629">
              <w:rPr>
                <w:rFonts w:ascii="Times New Roman" w:hAnsi="Times New Roman"/>
                <w:sz w:val="26"/>
                <w:szCs w:val="26"/>
              </w:rPr>
              <w:t xml:space="preserve"> izveidota komisija. Lai nodrošinātu minētās darbības pilnvarojumu Ministru kabinetam</w:t>
            </w:r>
            <w:r w:rsidR="00C60203" w:rsidRPr="009D0629">
              <w:rPr>
                <w:rFonts w:ascii="Times New Roman" w:hAnsi="Times New Roman"/>
                <w:sz w:val="26"/>
                <w:szCs w:val="26"/>
              </w:rPr>
              <w:t>, l</w:t>
            </w:r>
            <w:r w:rsidRPr="009D0629">
              <w:rPr>
                <w:rFonts w:ascii="Times New Roman" w:hAnsi="Times New Roman"/>
                <w:sz w:val="26"/>
                <w:szCs w:val="26"/>
              </w:rPr>
              <w:t>ikuma 27.panta desmitā daļa tiek precizēta</w:t>
            </w:r>
            <w:r w:rsidR="00CC4B52" w:rsidRPr="009D0629">
              <w:rPr>
                <w:rFonts w:ascii="Times New Roman" w:hAnsi="Times New Roman"/>
                <w:sz w:val="26"/>
                <w:szCs w:val="26"/>
              </w:rPr>
              <w:t>,</w:t>
            </w:r>
            <w:r w:rsidRPr="009D0629">
              <w:rPr>
                <w:rFonts w:ascii="Times New Roman" w:hAnsi="Times New Roman"/>
                <w:sz w:val="26"/>
                <w:szCs w:val="26"/>
              </w:rPr>
              <w:t xml:space="preserve"> papildinot to ar atsauci uz </w:t>
            </w:r>
            <w:r w:rsidR="00CC4B52" w:rsidRPr="009D0629">
              <w:rPr>
                <w:rFonts w:ascii="Times New Roman" w:hAnsi="Times New Roman"/>
                <w:sz w:val="26"/>
                <w:szCs w:val="26"/>
              </w:rPr>
              <w:t>K</w:t>
            </w:r>
            <w:r w:rsidRPr="009D0629">
              <w:rPr>
                <w:rFonts w:ascii="Times New Roman" w:hAnsi="Times New Roman"/>
                <w:sz w:val="26"/>
                <w:szCs w:val="26"/>
              </w:rPr>
              <w:t>omisijas darbību, kā arī atbalstāmo investīcij</w:t>
            </w:r>
            <w:r w:rsidR="00CC4B52" w:rsidRPr="009D0629">
              <w:rPr>
                <w:rFonts w:ascii="Times New Roman" w:hAnsi="Times New Roman"/>
                <w:sz w:val="26"/>
                <w:szCs w:val="26"/>
              </w:rPr>
              <w:t>u</w:t>
            </w:r>
            <w:r w:rsidRPr="009D0629">
              <w:rPr>
                <w:rFonts w:ascii="Times New Roman" w:hAnsi="Times New Roman"/>
                <w:sz w:val="26"/>
                <w:szCs w:val="26"/>
              </w:rPr>
              <w:t xml:space="preserve"> projektu grozīšanas kārtību.</w:t>
            </w:r>
            <w:r w:rsidR="009916B2" w:rsidRPr="009D0629">
              <w:rPr>
                <w:rFonts w:ascii="Times New Roman" w:hAnsi="Times New Roman"/>
                <w:sz w:val="26"/>
                <w:szCs w:val="26"/>
              </w:rPr>
              <w:t xml:space="preserve"> </w:t>
            </w:r>
          </w:p>
          <w:p w:rsidR="00581BE5" w:rsidRPr="009D0629" w:rsidRDefault="009916B2" w:rsidP="00E84FD9">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 xml:space="preserve">Minētie grozījumi </w:t>
            </w:r>
            <w:r w:rsidR="00F167BE" w:rsidRPr="009D0629">
              <w:rPr>
                <w:rFonts w:ascii="Times New Roman" w:hAnsi="Times New Roman"/>
                <w:sz w:val="26"/>
                <w:szCs w:val="26"/>
              </w:rPr>
              <w:t>izstrādāti</w:t>
            </w:r>
            <w:r w:rsidRPr="009D0629">
              <w:rPr>
                <w:rFonts w:ascii="Times New Roman" w:hAnsi="Times New Roman"/>
                <w:sz w:val="26"/>
                <w:szCs w:val="26"/>
              </w:rPr>
              <w:t xml:space="preserve"> atbilstoši Ekonomikas ministrijas ierosinājumam. </w:t>
            </w:r>
            <w:r w:rsidR="00581BE5" w:rsidRPr="009D0629">
              <w:rPr>
                <w:rFonts w:ascii="Times New Roman" w:hAnsi="Times New Roman"/>
                <w:sz w:val="26"/>
                <w:szCs w:val="26"/>
              </w:rPr>
              <w:t xml:space="preserve"> </w:t>
            </w:r>
          </w:p>
          <w:p w:rsidR="00375C53" w:rsidRPr="009D0629" w:rsidRDefault="00375C53" w:rsidP="007B0240">
            <w:pPr>
              <w:pStyle w:val="DefaultParagraphFont1"/>
              <w:ind w:firstLine="104"/>
              <w:contextualSpacing/>
              <w:jc w:val="both"/>
              <w:rPr>
                <w:rFonts w:ascii="Times New Roman" w:hAnsi="Times New Roman"/>
                <w:sz w:val="26"/>
                <w:szCs w:val="26"/>
              </w:rPr>
            </w:pPr>
            <w:r w:rsidRPr="009D0629">
              <w:rPr>
                <w:rFonts w:ascii="Times New Roman" w:hAnsi="Times New Roman"/>
                <w:b/>
                <w:i/>
                <w:sz w:val="26"/>
                <w:szCs w:val="26"/>
                <w:u w:val="single"/>
              </w:rPr>
              <w:t>Zaudējumu segšanas ierobežojumi</w:t>
            </w:r>
            <w:r w:rsidRPr="009D0629">
              <w:rPr>
                <w:rFonts w:ascii="Times New Roman" w:hAnsi="Times New Roman"/>
                <w:sz w:val="26"/>
                <w:szCs w:val="26"/>
              </w:rPr>
              <w:t xml:space="preserve"> (likuma 14.pants</w:t>
            </w:r>
            <w:r w:rsidR="00D12965" w:rsidRPr="009D0629">
              <w:rPr>
                <w:rFonts w:ascii="Times New Roman" w:hAnsi="Times New Roman"/>
                <w:sz w:val="26"/>
                <w:szCs w:val="26"/>
              </w:rPr>
              <w:t xml:space="preserve"> un pārejas noteikumu 129.punkts</w:t>
            </w:r>
            <w:r w:rsidRPr="009D0629">
              <w:rPr>
                <w:rFonts w:ascii="Times New Roman" w:hAnsi="Times New Roman"/>
                <w:sz w:val="26"/>
                <w:szCs w:val="26"/>
              </w:rPr>
              <w:t>)</w:t>
            </w:r>
            <w:r w:rsidR="00E6303B" w:rsidRPr="009D0629">
              <w:rPr>
                <w:rFonts w:ascii="Times New Roman" w:hAnsi="Times New Roman"/>
                <w:sz w:val="26"/>
                <w:szCs w:val="26"/>
              </w:rPr>
              <w:t>.</w:t>
            </w:r>
          </w:p>
          <w:p w:rsidR="004F6474" w:rsidRPr="009D0629" w:rsidRDefault="004F6474" w:rsidP="004F6474">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 xml:space="preserve">Ņemot vērā krīzes periodā uzkrāto zaudējumu apmēru un </w:t>
            </w:r>
            <w:r w:rsidR="00C60203" w:rsidRPr="009D0629">
              <w:rPr>
                <w:rFonts w:ascii="Times New Roman" w:hAnsi="Times New Roman"/>
                <w:sz w:val="26"/>
                <w:szCs w:val="26"/>
              </w:rPr>
              <w:t>piemērojamo</w:t>
            </w:r>
            <w:r w:rsidRPr="009D0629">
              <w:rPr>
                <w:rFonts w:ascii="Times New Roman" w:hAnsi="Times New Roman"/>
                <w:sz w:val="26"/>
                <w:szCs w:val="26"/>
              </w:rPr>
              <w:t xml:space="preserve"> zemo </w:t>
            </w:r>
            <w:r w:rsidR="00CC4B52" w:rsidRPr="009D0629">
              <w:rPr>
                <w:rFonts w:ascii="Times New Roman" w:hAnsi="Times New Roman"/>
                <w:sz w:val="26"/>
                <w:szCs w:val="26"/>
              </w:rPr>
              <w:t>UIN</w:t>
            </w:r>
            <w:r w:rsidRPr="009D0629">
              <w:rPr>
                <w:rFonts w:ascii="Times New Roman" w:hAnsi="Times New Roman"/>
                <w:sz w:val="26"/>
                <w:szCs w:val="26"/>
              </w:rPr>
              <w:t xml:space="preserve"> likmi</w:t>
            </w:r>
            <w:r w:rsidR="00CC4B52" w:rsidRPr="009D0629">
              <w:rPr>
                <w:rFonts w:ascii="Times New Roman" w:hAnsi="Times New Roman"/>
                <w:sz w:val="26"/>
                <w:szCs w:val="26"/>
              </w:rPr>
              <w:t xml:space="preserve">, kā arī </w:t>
            </w:r>
            <w:r w:rsidRPr="009D0629">
              <w:rPr>
                <w:rFonts w:ascii="Times New Roman" w:hAnsi="Times New Roman"/>
                <w:sz w:val="26"/>
                <w:szCs w:val="26"/>
              </w:rPr>
              <w:t xml:space="preserve">ar </w:t>
            </w:r>
            <w:r w:rsidR="00CC4B52" w:rsidRPr="009D0629">
              <w:rPr>
                <w:rFonts w:ascii="Times New Roman" w:hAnsi="Times New Roman"/>
                <w:sz w:val="26"/>
                <w:szCs w:val="26"/>
              </w:rPr>
              <w:t>UIN</w:t>
            </w:r>
            <w:r w:rsidRPr="009D0629">
              <w:rPr>
                <w:rFonts w:ascii="Times New Roman" w:hAnsi="Times New Roman"/>
                <w:sz w:val="26"/>
                <w:szCs w:val="26"/>
              </w:rPr>
              <w:t xml:space="preserve"> apliekamo bāzi, kuru nosakot</w:t>
            </w:r>
            <w:r w:rsidR="00CC4B52" w:rsidRPr="009D0629">
              <w:rPr>
                <w:rFonts w:ascii="Times New Roman" w:hAnsi="Times New Roman"/>
                <w:sz w:val="26"/>
                <w:szCs w:val="26"/>
              </w:rPr>
              <w:t>,</w:t>
            </w:r>
            <w:r w:rsidRPr="009D0629">
              <w:rPr>
                <w:rFonts w:ascii="Times New Roman" w:hAnsi="Times New Roman"/>
                <w:sz w:val="26"/>
                <w:szCs w:val="26"/>
              </w:rPr>
              <w:t xml:space="preserve"> tiek ņemti vērā nodokļu stimuli, šobrīd esošais regulējums, kas paredz neierobežot</w:t>
            </w:r>
            <w:r w:rsidR="00C60203" w:rsidRPr="009D0629">
              <w:rPr>
                <w:rFonts w:ascii="Times New Roman" w:hAnsi="Times New Roman"/>
                <w:sz w:val="26"/>
                <w:szCs w:val="26"/>
              </w:rPr>
              <w:t>ā</w:t>
            </w:r>
            <w:r w:rsidRPr="009D0629">
              <w:rPr>
                <w:rFonts w:ascii="Times New Roman" w:hAnsi="Times New Roman"/>
                <w:sz w:val="26"/>
                <w:szCs w:val="26"/>
              </w:rPr>
              <w:t xml:space="preserve"> laika period</w:t>
            </w:r>
            <w:r w:rsidR="00C60203" w:rsidRPr="009D0629">
              <w:rPr>
                <w:rFonts w:ascii="Times New Roman" w:hAnsi="Times New Roman"/>
                <w:sz w:val="26"/>
                <w:szCs w:val="26"/>
              </w:rPr>
              <w:t>ā</w:t>
            </w:r>
            <w:r w:rsidRPr="009D0629">
              <w:rPr>
                <w:rFonts w:ascii="Times New Roman" w:hAnsi="Times New Roman"/>
                <w:sz w:val="26"/>
                <w:szCs w:val="26"/>
              </w:rPr>
              <w:t xml:space="preserve"> </w:t>
            </w:r>
            <w:r w:rsidR="00C60203" w:rsidRPr="009D0629">
              <w:rPr>
                <w:rFonts w:ascii="Times New Roman" w:hAnsi="Times New Roman"/>
                <w:sz w:val="26"/>
                <w:szCs w:val="26"/>
              </w:rPr>
              <w:t>segt</w:t>
            </w:r>
            <w:r w:rsidRPr="009D0629">
              <w:rPr>
                <w:rFonts w:ascii="Times New Roman" w:hAnsi="Times New Roman"/>
                <w:sz w:val="26"/>
                <w:szCs w:val="26"/>
              </w:rPr>
              <w:t xml:space="preserve"> iepriekšējo taksācijas periodu zaudējumu</w:t>
            </w:r>
            <w:r w:rsidR="00C60203" w:rsidRPr="009D0629">
              <w:rPr>
                <w:rFonts w:ascii="Times New Roman" w:hAnsi="Times New Roman"/>
                <w:sz w:val="26"/>
                <w:szCs w:val="26"/>
              </w:rPr>
              <w:t>s</w:t>
            </w:r>
            <w:r w:rsidR="00CC4B52" w:rsidRPr="009D0629">
              <w:rPr>
                <w:rFonts w:ascii="Times New Roman" w:hAnsi="Times New Roman"/>
                <w:sz w:val="26"/>
                <w:szCs w:val="26"/>
              </w:rPr>
              <w:t>,</w:t>
            </w:r>
            <w:r w:rsidRPr="009D0629">
              <w:rPr>
                <w:rFonts w:ascii="Times New Roman" w:hAnsi="Times New Roman"/>
                <w:sz w:val="26"/>
                <w:szCs w:val="26"/>
              </w:rPr>
              <w:t xml:space="preserve"> noved pie nesamērīgi zemiem budžeta ieņēmumiem. Uzkrāto zaudējumu apjoms (balstoties uz 2014.gada </w:t>
            </w:r>
            <w:r w:rsidR="00EC78CD" w:rsidRPr="009D0629">
              <w:rPr>
                <w:rFonts w:ascii="Times New Roman" w:hAnsi="Times New Roman"/>
                <w:sz w:val="26"/>
                <w:szCs w:val="26"/>
              </w:rPr>
              <w:t>UIN</w:t>
            </w:r>
            <w:r w:rsidRPr="009D0629">
              <w:rPr>
                <w:rFonts w:ascii="Times New Roman" w:hAnsi="Times New Roman"/>
                <w:sz w:val="26"/>
                <w:szCs w:val="26"/>
              </w:rPr>
              <w:t xml:space="preserve"> deklarācijās uzrādīto informāciju) veido  8 085 milj. </w:t>
            </w:r>
            <w:proofErr w:type="spellStart"/>
            <w:r w:rsidRPr="009D0629">
              <w:rPr>
                <w:rFonts w:ascii="Times New Roman" w:hAnsi="Times New Roman"/>
                <w:i/>
                <w:sz w:val="26"/>
                <w:szCs w:val="26"/>
              </w:rPr>
              <w:t>euro</w:t>
            </w:r>
            <w:proofErr w:type="spellEnd"/>
            <w:r w:rsidRPr="009D0629">
              <w:rPr>
                <w:rFonts w:ascii="Times New Roman" w:hAnsi="Times New Roman"/>
                <w:sz w:val="26"/>
                <w:szCs w:val="26"/>
              </w:rPr>
              <w:t xml:space="preserve">. </w:t>
            </w:r>
          </w:p>
          <w:p w:rsidR="004F6474" w:rsidRPr="009D0629" w:rsidRDefault="004F6474" w:rsidP="004F6474">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 xml:space="preserve">Lai nodrošinātu samērīgus budžeta ieņēmumus, ņemot vērā  Pasaules Bankas ieteikumu, nepieciešams ierobežot iepriekšējo taksācijas periodu zaudējumu </w:t>
            </w:r>
            <w:r w:rsidR="00391E6A" w:rsidRPr="009D0629">
              <w:rPr>
                <w:rFonts w:ascii="Times New Roman" w:hAnsi="Times New Roman"/>
                <w:sz w:val="26"/>
                <w:szCs w:val="26"/>
              </w:rPr>
              <w:t>segšanu</w:t>
            </w:r>
            <w:r w:rsidRPr="009D0629">
              <w:rPr>
                <w:rFonts w:ascii="Times New Roman" w:hAnsi="Times New Roman"/>
                <w:sz w:val="26"/>
                <w:szCs w:val="26"/>
              </w:rPr>
              <w:t>.</w:t>
            </w:r>
          </w:p>
          <w:p w:rsidR="004F6474" w:rsidRPr="009D0629" w:rsidRDefault="004F6474" w:rsidP="004F6474">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Līdz ar to likuma 14.pantā tiek noteikts, ka, sākot ar taksācijas periodu, kas sākas 2017.gadā</w:t>
            </w:r>
            <w:r w:rsidR="00EC78CD" w:rsidRPr="009D0629">
              <w:rPr>
                <w:rFonts w:ascii="Times New Roman" w:hAnsi="Times New Roman"/>
                <w:sz w:val="26"/>
                <w:szCs w:val="26"/>
              </w:rPr>
              <w:t>,</w:t>
            </w:r>
            <w:r w:rsidRPr="009D0629">
              <w:rPr>
                <w:rFonts w:ascii="Times New Roman" w:hAnsi="Times New Roman"/>
                <w:sz w:val="26"/>
                <w:szCs w:val="26"/>
              </w:rPr>
              <w:t xml:space="preserve"> un turpmākajos taksācijas periodos iepriekšējo taksācijas periodu zaudējumus (sākot ar zaudējumiem, kas radušies taksācijas periodā, kas sākās 2008.gadā un turpmākajos taksācijas periodos) ir tiesības segt apmērā, kas nepārsniedz </w:t>
            </w:r>
            <w:r w:rsidR="00D65B46" w:rsidRPr="009D0629">
              <w:rPr>
                <w:rFonts w:ascii="Times New Roman" w:hAnsi="Times New Roman"/>
                <w:sz w:val="26"/>
                <w:szCs w:val="26"/>
              </w:rPr>
              <w:t>75</w:t>
            </w:r>
            <w:r w:rsidRPr="009D0629">
              <w:rPr>
                <w:rFonts w:ascii="Times New Roman" w:hAnsi="Times New Roman"/>
                <w:sz w:val="26"/>
                <w:szCs w:val="26"/>
              </w:rPr>
              <w:t xml:space="preserve">% no attiecīgā taksācijas perioda ar </w:t>
            </w:r>
            <w:r w:rsidR="00EC78CD" w:rsidRPr="009D0629">
              <w:rPr>
                <w:rFonts w:ascii="Times New Roman" w:hAnsi="Times New Roman"/>
                <w:sz w:val="26"/>
                <w:szCs w:val="26"/>
              </w:rPr>
              <w:t>UIN</w:t>
            </w:r>
            <w:r w:rsidRPr="009D0629">
              <w:rPr>
                <w:rFonts w:ascii="Times New Roman" w:hAnsi="Times New Roman"/>
                <w:sz w:val="26"/>
                <w:szCs w:val="26"/>
              </w:rPr>
              <w:t xml:space="preserve"> apliekamā ienākuma</w:t>
            </w:r>
            <w:r w:rsidR="00AB5B73" w:rsidRPr="009D0629">
              <w:rPr>
                <w:rFonts w:ascii="Times New Roman" w:hAnsi="Times New Roman"/>
                <w:sz w:val="26"/>
                <w:szCs w:val="26"/>
              </w:rPr>
              <w:t xml:space="preserve"> pēc </w:t>
            </w:r>
            <w:r w:rsidR="00E15356" w:rsidRPr="009D0629">
              <w:rPr>
                <w:rFonts w:ascii="Times New Roman" w:hAnsi="Times New Roman"/>
                <w:sz w:val="26"/>
                <w:szCs w:val="26"/>
              </w:rPr>
              <w:t>peļņas</w:t>
            </w:r>
            <w:r w:rsidR="00AB5B73" w:rsidRPr="009D0629">
              <w:rPr>
                <w:rFonts w:ascii="Times New Roman" w:hAnsi="Times New Roman"/>
                <w:sz w:val="26"/>
                <w:szCs w:val="26"/>
              </w:rPr>
              <w:t xml:space="preserve"> koriģēšanas</w:t>
            </w:r>
            <w:r w:rsidRPr="009D0629">
              <w:rPr>
                <w:rFonts w:ascii="Times New Roman" w:hAnsi="Times New Roman"/>
                <w:sz w:val="26"/>
                <w:szCs w:val="26"/>
              </w:rPr>
              <w:t>.</w:t>
            </w:r>
          </w:p>
          <w:p w:rsidR="004F6474" w:rsidRPr="009D0629" w:rsidRDefault="004F6474" w:rsidP="004F6474">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 xml:space="preserve">Šāda pieeja ierobežos tikai </w:t>
            </w:r>
            <w:r w:rsidR="00CC4B52" w:rsidRPr="009D0629">
              <w:rPr>
                <w:rFonts w:ascii="Times New Roman" w:hAnsi="Times New Roman"/>
                <w:sz w:val="26"/>
                <w:szCs w:val="26"/>
              </w:rPr>
              <w:t xml:space="preserve">konkrētā taksācijas periodā </w:t>
            </w:r>
            <w:r w:rsidRPr="009D0629">
              <w:rPr>
                <w:rFonts w:ascii="Times New Roman" w:hAnsi="Times New Roman"/>
                <w:sz w:val="26"/>
                <w:szCs w:val="26"/>
              </w:rPr>
              <w:t>sedzamo zaudējumu apmēr</w:t>
            </w:r>
            <w:r w:rsidR="00EC78CD" w:rsidRPr="009D0629">
              <w:rPr>
                <w:rFonts w:ascii="Times New Roman" w:hAnsi="Times New Roman"/>
                <w:sz w:val="26"/>
                <w:szCs w:val="26"/>
              </w:rPr>
              <w:t>u</w:t>
            </w:r>
            <w:r w:rsidRPr="009D0629">
              <w:rPr>
                <w:rFonts w:ascii="Times New Roman" w:hAnsi="Times New Roman"/>
                <w:sz w:val="26"/>
                <w:szCs w:val="26"/>
              </w:rPr>
              <w:t xml:space="preserve">, </w:t>
            </w:r>
            <w:r w:rsidR="00391E6A" w:rsidRPr="009D0629">
              <w:rPr>
                <w:rFonts w:ascii="Times New Roman" w:hAnsi="Times New Roman"/>
                <w:sz w:val="26"/>
                <w:szCs w:val="26"/>
              </w:rPr>
              <w:t>vienlaicīgi saglabājot</w:t>
            </w:r>
            <w:r w:rsidR="00F9119B" w:rsidRPr="009D0629">
              <w:rPr>
                <w:rFonts w:ascii="Times New Roman" w:hAnsi="Times New Roman"/>
                <w:sz w:val="26"/>
                <w:szCs w:val="26"/>
              </w:rPr>
              <w:t xml:space="preserve"> iespēju segt </w:t>
            </w:r>
            <w:r w:rsidR="00391E6A" w:rsidRPr="009D0629">
              <w:rPr>
                <w:rFonts w:ascii="Times New Roman" w:hAnsi="Times New Roman"/>
                <w:sz w:val="26"/>
                <w:szCs w:val="26"/>
              </w:rPr>
              <w:t xml:space="preserve">visus iepriekšējos taksācijas periodos </w:t>
            </w:r>
            <w:r w:rsidR="00F167BE" w:rsidRPr="009D0629">
              <w:rPr>
                <w:rFonts w:ascii="Times New Roman" w:hAnsi="Times New Roman"/>
                <w:sz w:val="26"/>
                <w:szCs w:val="26"/>
              </w:rPr>
              <w:t xml:space="preserve">(no 2008.gada) </w:t>
            </w:r>
            <w:r w:rsidR="00391E6A" w:rsidRPr="009D0629">
              <w:rPr>
                <w:rFonts w:ascii="Times New Roman" w:hAnsi="Times New Roman"/>
                <w:sz w:val="26"/>
                <w:szCs w:val="26"/>
              </w:rPr>
              <w:t xml:space="preserve">radušos </w:t>
            </w:r>
            <w:r w:rsidR="00F9119B" w:rsidRPr="009D0629">
              <w:rPr>
                <w:rFonts w:ascii="Times New Roman" w:hAnsi="Times New Roman"/>
                <w:sz w:val="26"/>
                <w:szCs w:val="26"/>
              </w:rPr>
              <w:t>zaudējumus neierobežot</w:t>
            </w:r>
            <w:r w:rsidR="00391E6A" w:rsidRPr="009D0629">
              <w:rPr>
                <w:rFonts w:ascii="Times New Roman" w:hAnsi="Times New Roman"/>
                <w:sz w:val="26"/>
                <w:szCs w:val="26"/>
              </w:rPr>
              <w:t>ā</w:t>
            </w:r>
            <w:r w:rsidR="00F9119B" w:rsidRPr="009D0629">
              <w:rPr>
                <w:rFonts w:ascii="Times New Roman" w:hAnsi="Times New Roman"/>
                <w:sz w:val="26"/>
                <w:szCs w:val="26"/>
              </w:rPr>
              <w:t xml:space="preserve"> laika period</w:t>
            </w:r>
            <w:r w:rsidR="00391E6A" w:rsidRPr="009D0629">
              <w:rPr>
                <w:rFonts w:ascii="Times New Roman" w:hAnsi="Times New Roman"/>
                <w:sz w:val="26"/>
                <w:szCs w:val="26"/>
              </w:rPr>
              <w:t>ā</w:t>
            </w:r>
            <w:r w:rsidRPr="009D0629">
              <w:rPr>
                <w:rFonts w:ascii="Times New Roman" w:hAnsi="Times New Roman"/>
                <w:sz w:val="26"/>
                <w:szCs w:val="26"/>
              </w:rPr>
              <w:t xml:space="preserve">. Līdzīga pieeja ir vērojama arī vairākās citās Eiropas Savienības dalībvalstīs. </w:t>
            </w:r>
          </w:p>
          <w:p w:rsidR="00C13285" w:rsidRPr="009D0629" w:rsidRDefault="00C13285" w:rsidP="004F6474">
            <w:pPr>
              <w:pStyle w:val="DefaultParagraphFont1"/>
              <w:ind w:firstLine="104"/>
              <w:contextualSpacing/>
              <w:jc w:val="both"/>
              <w:rPr>
                <w:rFonts w:ascii="Times New Roman" w:hAnsi="Times New Roman"/>
                <w:b/>
                <w:i/>
                <w:sz w:val="26"/>
                <w:szCs w:val="26"/>
                <w:u w:val="single"/>
              </w:rPr>
            </w:pPr>
            <w:r w:rsidRPr="009D0629">
              <w:rPr>
                <w:rFonts w:ascii="Times New Roman" w:hAnsi="Times New Roman"/>
                <w:b/>
                <w:i/>
                <w:sz w:val="26"/>
                <w:szCs w:val="26"/>
                <w:u w:val="single"/>
              </w:rPr>
              <w:t>UIN deklarācija maksātnespējas gadījumā</w:t>
            </w:r>
            <w:r w:rsidR="007B1457" w:rsidRPr="009D0629">
              <w:rPr>
                <w:rFonts w:ascii="Times New Roman" w:hAnsi="Times New Roman"/>
                <w:b/>
                <w:i/>
                <w:sz w:val="26"/>
                <w:szCs w:val="26"/>
                <w:u w:val="single"/>
              </w:rPr>
              <w:t xml:space="preserve"> </w:t>
            </w:r>
            <w:r w:rsidR="007B1457" w:rsidRPr="009D0629">
              <w:rPr>
                <w:rFonts w:ascii="Times New Roman" w:hAnsi="Times New Roman"/>
                <w:sz w:val="26"/>
                <w:szCs w:val="26"/>
              </w:rPr>
              <w:t xml:space="preserve"> (likuma 22.pants)</w:t>
            </w:r>
          </w:p>
          <w:p w:rsidR="00A67C43" w:rsidRPr="009D0629" w:rsidRDefault="00A67C43" w:rsidP="00A67C43">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 xml:space="preserve">Likuma 22.pantā ir noteikts pienākums deklarāciju iesniegt vienlaikus ar gada pārskatu termiņā, kāds noteikts LR normatīvajos </w:t>
            </w:r>
            <w:r w:rsidRPr="009D0629">
              <w:rPr>
                <w:rFonts w:ascii="Times New Roman" w:hAnsi="Times New Roman"/>
                <w:sz w:val="26"/>
                <w:szCs w:val="26"/>
              </w:rPr>
              <w:lastRenderedPageBreak/>
              <w:t>aktos, kas attiecīgajam subjektam nosaka gada pārskata sagatavošanas kārtību.</w:t>
            </w:r>
          </w:p>
          <w:p w:rsidR="00A67C43" w:rsidRPr="009D0629" w:rsidRDefault="00A67C43" w:rsidP="00A67C43">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Savukārt</w:t>
            </w:r>
            <w:r w:rsidR="00CC4B52" w:rsidRPr="009D0629">
              <w:rPr>
                <w:rFonts w:ascii="Times New Roman" w:hAnsi="Times New Roman"/>
                <w:sz w:val="26"/>
                <w:szCs w:val="26"/>
              </w:rPr>
              <w:t>,</w:t>
            </w:r>
            <w:r w:rsidRPr="009D0629">
              <w:rPr>
                <w:rFonts w:ascii="Times New Roman" w:hAnsi="Times New Roman"/>
                <w:sz w:val="26"/>
                <w:szCs w:val="26"/>
              </w:rPr>
              <w:t xml:space="preserve"> 2016.gadā veiktie grozījumi likuma “Par grāmatvedību” 13.pantā paredz, ka tādiem uzņēmumiem, kam pasludināts maksātnespējas process un administrators ir pieņēmis lēmumu par saimnieciskās darbības neturpināšanu, kamēr turpinās uzņēmuma maksātnespējas process</w:t>
            </w:r>
            <w:r w:rsidR="00CC4B52" w:rsidRPr="009D0629">
              <w:rPr>
                <w:rFonts w:ascii="Times New Roman" w:hAnsi="Times New Roman"/>
                <w:sz w:val="26"/>
                <w:szCs w:val="26"/>
              </w:rPr>
              <w:t>, nepieciešams</w:t>
            </w:r>
            <w:r w:rsidRPr="009D0629">
              <w:rPr>
                <w:rFonts w:ascii="Times New Roman" w:hAnsi="Times New Roman"/>
                <w:sz w:val="26"/>
                <w:szCs w:val="26"/>
              </w:rPr>
              <w:t xml:space="preserve"> sagatavot finanšu pārskatu sastāvdaļas - bilanci un peļņas vai zaudējumu aprēķinu, tomēr minētajā likumā nav noteikta šo finanšu pārskatu sastāvdaļu iesniegšanas kārtība. Turklāt</w:t>
            </w:r>
            <w:r w:rsidR="00CC4B52" w:rsidRPr="009D0629">
              <w:rPr>
                <w:rFonts w:ascii="Times New Roman" w:hAnsi="Times New Roman"/>
                <w:sz w:val="26"/>
                <w:szCs w:val="26"/>
              </w:rPr>
              <w:t>,</w:t>
            </w:r>
            <w:r w:rsidRPr="009D0629">
              <w:rPr>
                <w:rFonts w:ascii="Times New Roman" w:hAnsi="Times New Roman"/>
                <w:sz w:val="26"/>
                <w:szCs w:val="26"/>
              </w:rPr>
              <w:t xml:space="preserve"> Maksātnespējas likuma 26.panta piektā daļa no</w:t>
            </w:r>
            <w:r w:rsidR="00CC4B52" w:rsidRPr="009D0629">
              <w:rPr>
                <w:rFonts w:ascii="Times New Roman" w:hAnsi="Times New Roman"/>
                <w:sz w:val="26"/>
                <w:szCs w:val="26"/>
              </w:rPr>
              <w:t>saka</w:t>
            </w:r>
            <w:r w:rsidRPr="009D0629">
              <w:rPr>
                <w:rFonts w:ascii="Times New Roman" w:hAnsi="Times New Roman"/>
                <w:sz w:val="26"/>
                <w:szCs w:val="26"/>
              </w:rPr>
              <w:t>, ka administrators iesniedz Valsts ieņēmumu dienestam (turpmāk – VID) gada pārskata un zvērināta revidenta ziņojuma (ja tāds ir nepieciešams) norakstu tikai tajos gadījumos, kad administrators ir pieņēmis lēmumu par parādnieka saimnieciskās darbības turpināšanu pilnā vai ierobežotā apjomā. Ministra kabineta 2016.gada 19.aprīļa noteikumi Nr.247 “Noteikumi par maksātnespējas procesa administratora darbības pārskatu un tā aizpildīšanas kārtību” 10.punktā noteikts pienākum</w:t>
            </w:r>
            <w:r w:rsidR="00CC4B52" w:rsidRPr="009D0629">
              <w:rPr>
                <w:rFonts w:ascii="Times New Roman" w:hAnsi="Times New Roman"/>
                <w:sz w:val="26"/>
                <w:szCs w:val="26"/>
              </w:rPr>
              <w:t>s,</w:t>
            </w:r>
            <w:r w:rsidRPr="009D0629">
              <w:rPr>
                <w:rFonts w:ascii="Times New Roman" w:hAnsi="Times New Roman"/>
                <w:sz w:val="26"/>
                <w:szCs w:val="26"/>
              </w:rPr>
              <w:t xml:space="preserve">  iesniedzot Maksātnespējas administrācijā kārtējo darbības pārskatu, administratoram  pievienot juridiskās personas maksātnespējas procesā – kārtējā pārskata gada sākumā bilanci par iepriekšējo pārskata gadu, ja administrators ir pieņēmis lēmumu neturpināt saimniecisko darbību. Tātad</w:t>
            </w:r>
            <w:r w:rsidR="00CC4B52" w:rsidRPr="009D0629">
              <w:rPr>
                <w:rFonts w:ascii="Times New Roman" w:hAnsi="Times New Roman"/>
                <w:sz w:val="26"/>
                <w:szCs w:val="26"/>
              </w:rPr>
              <w:t>,</w:t>
            </w:r>
            <w:r w:rsidRPr="009D0629">
              <w:rPr>
                <w:rFonts w:ascii="Times New Roman" w:hAnsi="Times New Roman"/>
                <w:sz w:val="26"/>
                <w:szCs w:val="26"/>
              </w:rPr>
              <w:t xml:space="preserve"> šobrīd normatīvie akti paredz sagatavoto bilanci iesniegt Maksātnespējas administrācijā. Savukārt</w:t>
            </w:r>
            <w:r w:rsidR="00CC4B52" w:rsidRPr="009D0629">
              <w:rPr>
                <w:rFonts w:ascii="Times New Roman" w:hAnsi="Times New Roman"/>
                <w:sz w:val="26"/>
                <w:szCs w:val="26"/>
              </w:rPr>
              <w:t>,</w:t>
            </w:r>
            <w:r w:rsidRPr="009D0629">
              <w:rPr>
                <w:rFonts w:ascii="Times New Roman" w:hAnsi="Times New Roman"/>
                <w:sz w:val="26"/>
                <w:szCs w:val="26"/>
              </w:rPr>
              <w:t xml:space="preserve"> Maksātnespējas administrācijai ir pienākums darbības pārskatu un arī pievienoto bilanci nosūtīt visiem kreditoriem</w:t>
            </w:r>
            <w:r w:rsidR="002E754E" w:rsidRPr="009D0629">
              <w:rPr>
                <w:rFonts w:ascii="Times New Roman" w:hAnsi="Times New Roman"/>
                <w:sz w:val="26"/>
                <w:szCs w:val="26"/>
              </w:rPr>
              <w:t>, t.i., arī VID</w:t>
            </w:r>
            <w:r w:rsidRPr="009D0629">
              <w:rPr>
                <w:rFonts w:ascii="Times New Roman" w:hAnsi="Times New Roman"/>
                <w:sz w:val="26"/>
                <w:szCs w:val="26"/>
              </w:rPr>
              <w:t>, ja VID ir kreditors (nodokļa maksātājam ir parādi). Lai  VID gūtu pilnīgu informāciju attiecībā uz UIN aprēķināšanu minētajā maksātnespējas gadījumā, nepieciešams  iesniegt arī  peļņas vai zaudējumu aprēķinu.</w:t>
            </w:r>
          </w:p>
          <w:p w:rsidR="00A67C43" w:rsidRPr="009D0629" w:rsidRDefault="00A67C43" w:rsidP="00A67C43">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Saskaņā ar likuma 1.panta devīto daļu saimnieciskā darbība ir darbība, kas vērsta uz preču ražošanu, darbu izpildi, tirdzniecību, pakalpojumu sniegšanu un cita veida darbību par atlīdzību. Tātad, neatkarīgi no tā, ka nodokļa maksātājs neveic saimniecisko darbību, ienākums, kas gūts atsavinot nodokļa maksātāja mantu</w:t>
            </w:r>
            <w:r w:rsidR="00A21742" w:rsidRPr="009D0629">
              <w:rPr>
                <w:rFonts w:ascii="Times New Roman" w:hAnsi="Times New Roman"/>
                <w:sz w:val="26"/>
                <w:szCs w:val="26"/>
              </w:rPr>
              <w:t>,</w:t>
            </w:r>
            <w:r w:rsidRPr="009D0629">
              <w:rPr>
                <w:rFonts w:ascii="Times New Roman" w:hAnsi="Times New Roman"/>
                <w:sz w:val="26"/>
                <w:szCs w:val="26"/>
              </w:rPr>
              <w:t xml:space="preserve"> ir ar uzņēmumu ienākuma nodokli apliekams objekts. </w:t>
            </w:r>
          </w:p>
          <w:p w:rsidR="00A67C43" w:rsidRPr="009D0629" w:rsidRDefault="00A67C43" w:rsidP="00A67C43">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Lai nodrošinātu, ka nodokļa maksātājs, kam pasludināts maksātnespējas process un administrators ir pieņēmis lēmumu par saimnieciskās darbības neturpināšanu, VID arī turpmāk iesniegtu UIN deklarāciju kopā ar bilanci un peļņas vai zaudējumu aprēķinu, tiek papildināta likuma 22.panta pirmā daļa</w:t>
            </w:r>
            <w:r w:rsidR="00A21742" w:rsidRPr="009D0629">
              <w:rPr>
                <w:rFonts w:ascii="Times New Roman" w:hAnsi="Times New Roman"/>
                <w:sz w:val="26"/>
                <w:szCs w:val="26"/>
              </w:rPr>
              <w:t>,</w:t>
            </w:r>
            <w:r w:rsidRPr="009D0629">
              <w:rPr>
                <w:rFonts w:ascii="Times New Roman" w:hAnsi="Times New Roman"/>
                <w:sz w:val="26"/>
                <w:szCs w:val="26"/>
              </w:rPr>
              <w:t xml:space="preserve"> paredzot š</w:t>
            </w:r>
            <w:r w:rsidR="00794DBA" w:rsidRPr="009D0629">
              <w:rPr>
                <w:rFonts w:ascii="Times New Roman" w:hAnsi="Times New Roman"/>
                <w:sz w:val="26"/>
                <w:szCs w:val="26"/>
              </w:rPr>
              <w:t>ādu nodokļa maksātāja pienākumu, t.i., minētajiem nodokļa maksātājiem arī turpmāk UIN deklarācija jāiesniedz VID vienlaikus ar bilanci un peļņas vai zaudējumu aprēķinu ne vēlāk kā četrus mēnešus pēc pārskata gada beigām</w:t>
            </w:r>
          </w:p>
          <w:p w:rsidR="00A67C43" w:rsidRPr="009D0629" w:rsidRDefault="00A67C43" w:rsidP="00A67C43">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lastRenderedPageBreak/>
              <w:t>Lai gan nodokļa maksātājiem ir pasludināts maksātnespējas process, pēc pieejamās informācijas, vairākiem nodokļu maksātājiem</w:t>
            </w:r>
            <w:r w:rsidR="00A21742" w:rsidRPr="009D0629">
              <w:rPr>
                <w:rFonts w:ascii="Times New Roman" w:hAnsi="Times New Roman"/>
                <w:sz w:val="26"/>
                <w:szCs w:val="26"/>
              </w:rPr>
              <w:t>,</w:t>
            </w:r>
            <w:r w:rsidRPr="009D0629">
              <w:rPr>
                <w:rFonts w:ascii="Times New Roman" w:hAnsi="Times New Roman"/>
                <w:sz w:val="26"/>
                <w:szCs w:val="26"/>
              </w:rPr>
              <w:t xml:space="preserve"> atsavinot tam piederošus īpašumus</w:t>
            </w:r>
            <w:r w:rsidR="00A21742" w:rsidRPr="009D0629">
              <w:rPr>
                <w:rFonts w:ascii="Times New Roman" w:hAnsi="Times New Roman"/>
                <w:sz w:val="26"/>
                <w:szCs w:val="26"/>
              </w:rPr>
              <w:t>,</w:t>
            </w:r>
            <w:r w:rsidRPr="009D0629">
              <w:rPr>
                <w:rFonts w:ascii="Times New Roman" w:hAnsi="Times New Roman"/>
                <w:sz w:val="26"/>
                <w:szCs w:val="26"/>
              </w:rPr>
              <w:t xml:space="preserve"> veidojas ar UIN apliekams ienākums. Līdz ar to, nodokļu maksātājiem, kuriem pasludināts maksātnespējas process</w:t>
            </w:r>
            <w:r w:rsidR="00A21742" w:rsidRPr="009D0629">
              <w:rPr>
                <w:rFonts w:ascii="Times New Roman" w:hAnsi="Times New Roman"/>
                <w:sz w:val="26"/>
                <w:szCs w:val="26"/>
              </w:rPr>
              <w:t>,</w:t>
            </w:r>
            <w:r w:rsidRPr="009D0629">
              <w:rPr>
                <w:rFonts w:ascii="Times New Roman" w:hAnsi="Times New Roman"/>
                <w:sz w:val="26"/>
                <w:szCs w:val="26"/>
              </w:rPr>
              <w:t xml:space="preserve"> </w:t>
            </w:r>
            <w:r w:rsidR="00A21742" w:rsidRPr="009D0629">
              <w:rPr>
                <w:rFonts w:ascii="Times New Roman" w:hAnsi="Times New Roman"/>
                <w:sz w:val="26"/>
                <w:szCs w:val="26"/>
              </w:rPr>
              <w:t xml:space="preserve">nav pamata </w:t>
            </w:r>
            <w:r w:rsidRPr="009D0629">
              <w:rPr>
                <w:rFonts w:ascii="Times New Roman" w:hAnsi="Times New Roman"/>
                <w:sz w:val="26"/>
                <w:szCs w:val="26"/>
              </w:rPr>
              <w:t>noteikt labvēlīgāku UIN režīmu.</w:t>
            </w:r>
          </w:p>
          <w:p w:rsidR="005642A9" w:rsidRPr="009D0629" w:rsidRDefault="005642A9" w:rsidP="00A67C43">
            <w:pPr>
              <w:pStyle w:val="DefaultParagraphFont1"/>
              <w:ind w:firstLine="104"/>
              <w:contextualSpacing/>
              <w:jc w:val="both"/>
              <w:rPr>
                <w:rFonts w:ascii="Times New Roman" w:hAnsi="Times New Roman"/>
                <w:b/>
                <w:i/>
                <w:sz w:val="26"/>
                <w:szCs w:val="26"/>
                <w:u w:val="single"/>
              </w:rPr>
            </w:pPr>
            <w:r w:rsidRPr="009D0629">
              <w:rPr>
                <w:rFonts w:ascii="Times New Roman" w:hAnsi="Times New Roman"/>
                <w:b/>
                <w:i/>
                <w:sz w:val="26"/>
                <w:szCs w:val="26"/>
                <w:u w:val="single"/>
              </w:rPr>
              <w:t xml:space="preserve">Avansa maksājumi </w:t>
            </w:r>
            <w:r w:rsidRPr="009D0629">
              <w:rPr>
                <w:rFonts w:ascii="Times New Roman" w:hAnsi="Times New Roman"/>
                <w:sz w:val="26"/>
                <w:szCs w:val="26"/>
              </w:rPr>
              <w:t>(likuma 23.pants)</w:t>
            </w:r>
            <w:r w:rsidR="00E6303B" w:rsidRPr="009D0629">
              <w:rPr>
                <w:rFonts w:ascii="Times New Roman" w:hAnsi="Times New Roman"/>
                <w:sz w:val="26"/>
                <w:szCs w:val="26"/>
              </w:rPr>
              <w:t>.</w:t>
            </w:r>
          </w:p>
          <w:p w:rsidR="005642A9" w:rsidRPr="009D0629" w:rsidRDefault="005642A9" w:rsidP="007B0240">
            <w:pPr>
              <w:pStyle w:val="DefaultParagraphFont1"/>
              <w:ind w:firstLine="104"/>
              <w:contextualSpacing/>
              <w:jc w:val="both"/>
              <w:rPr>
                <w:rFonts w:ascii="Times New Roman" w:hAnsi="Times New Roman"/>
                <w:sz w:val="26"/>
                <w:szCs w:val="26"/>
              </w:rPr>
            </w:pPr>
            <w:r w:rsidRPr="009D0629">
              <w:rPr>
                <w:rFonts w:ascii="Times New Roman" w:hAnsi="Times New Roman"/>
                <w:sz w:val="26"/>
                <w:szCs w:val="26"/>
              </w:rPr>
              <w:t>Lai samazinātu administratīvo slogu</w:t>
            </w:r>
            <w:r w:rsidR="00A21742" w:rsidRPr="009D0629">
              <w:rPr>
                <w:rFonts w:ascii="Times New Roman" w:hAnsi="Times New Roman"/>
                <w:sz w:val="26"/>
                <w:szCs w:val="26"/>
              </w:rPr>
              <w:t>,</w:t>
            </w:r>
            <w:r w:rsidRPr="009D0629">
              <w:rPr>
                <w:rFonts w:ascii="Times New Roman" w:hAnsi="Times New Roman"/>
                <w:sz w:val="26"/>
                <w:szCs w:val="26"/>
              </w:rPr>
              <w:t xml:space="preserve"> no likuma 23.panta tiek izslēgtas normas, kas avansa maksājumu aprēķinā paredz piemērot Centrālās statistikas pārvaldes noteikto patēriņa cenu indeksu. Savukārt, ņemot vērā, ka nodokļu maksātāji </w:t>
            </w:r>
            <w:r w:rsidR="00EC78CD" w:rsidRPr="009D0629">
              <w:rPr>
                <w:rFonts w:ascii="Times New Roman" w:hAnsi="Times New Roman"/>
                <w:sz w:val="26"/>
                <w:szCs w:val="26"/>
              </w:rPr>
              <w:t>UIN</w:t>
            </w:r>
            <w:r w:rsidRPr="009D0629">
              <w:rPr>
                <w:rFonts w:ascii="Times New Roman" w:hAnsi="Times New Roman"/>
                <w:sz w:val="26"/>
                <w:szCs w:val="26"/>
              </w:rPr>
              <w:t xml:space="preserve"> deklarācijas </w:t>
            </w:r>
            <w:r w:rsidR="007B1457" w:rsidRPr="009D0629">
              <w:rPr>
                <w:rFonts w:ascii="Times New Roman" w:hAnsi="Times New Roman"/>
                <w:sz w:val="26"/>
                <w:szCs w:val="26"/>
              </w:rPr>
              <w:t xml:space="preserve">VID </w:t>
            </w:r>
            <w:r w:rsidRPr="009D0629">
              <w:rPr>
                <w:rFonts w:ascii="Times New Roman" w:hAnsi="Times New Roman"/>
                <w:sz w:val="26"/>
                <w:szCs w:val="26"/>
              </w:rPr>
              <w:t>iesniedz elektronisk</w:t>
            </w:r>
            <w:r w:rsidR="00EE64DF" w:rsidRPr="009D0629">
              <w:rPr>
                <w:rFonts w:ascii="Times New Roman" w:hAnsi="Times New Roman"/>
                <w:sz w:val="26"/>
                <w:szCs w:val="26"/>
              </w:rPr>
              <w:t>ās deklarēšanas sistēmā</w:t>
            </w:r>
            <w:r w:rsidRPr="009D0629">
              <w:rPr>
                <w:rFonts w:ascii="Times New Roman" w:hAnsi="Times New Roman"/>
                <w:sz w:val="26"/>
                <w:szCs w:val="26"/>
              </w:rPr>
              <w:t xml:space="preserve"> (EDS), </w:t>
            </w:r>
            <w:r w:rsidR="00EC78CD" w:rsidRPr="009D0629">
              <w:rPr>
                <w:rFonts w:ascii="Times New Roman" w:hAnsi="Times New Roman"/>
                <w:sz w:val="26"/>
                <w:szCs w:val="26"/>
              </w:rPr>
              <w:t>UIN</w:t>
            </w:r>
            <w:r w:rsidRPr="009D0629">
              <w:rPr>
                <w:rFonts w:ascii="Times New Roman" w:hAnsi="Times New Roman"/>
                <w:sz w:val="26"/>
                <w:szCs w:val="26"/>
              </w:rPr>
              <w:t xml:space="preserve"> avansa </w:t>
            </w:r>
            <w:r w:rsidR="0010184A" w:rsidRPr="009D0629">
              <w:rPr>
                <w:rFonts w:ascii="Times New Roman" w:hAnsi="Times New Roman"/>
                <w:sz w:val="26"/>
                <w:szCs w:val="26"/>
              </w:rPr>
              <w:t xml:space="preserve">maksājumu </w:t>
            </w:r>
            <w:r w:rsidRPr="009D0629">
              <w:rPr>
                <w:rFonts w:ascii="Times New Roman" w:hAnsi="Times New Roman"/>
                <w:sz w:val="26"/>
                <w:szCs w:val="26"/>
              </w:rPr>
              <w:t xml:space="preserve">aprēķinu </w:t>
            </w:r>
            <w:r w:rsidR="00734F31" w:rsidRPr="009D0629">
              <w:rPr>
                <w:rFonts w:ascii="Times New Roman" w:hAnsi="Times New Roman"/>
                <w:sz w:val="26"/>
                <w:szCs w:val="26"/>
              </w:rPr>
              <w:t>VID</w:t>
            </w:r>
            <w:r w:rsidRPr="009D0629">
              <w:rPr>
                <w:rFonts w:ascii="Times New Roman" w:hAnsi="Times New Roman"/>
                <w:sz w:val="26"/>
                <w:szCs w:val="26"/>
              </w:rPr>
              <w:t xml:space="preserve"> var nodrošināt automātiski. Līdz ar to, likuma 23.pant</w:t>
            </w:r>
            <w:r w:rsidR="00700546" w:rsidRPr="009D0629">
              <w:rPr>
                <w:rFonts w:ascii="Times New Roman" w:hAnsi="Times New Roman"/>
                <w:sz w:val="26"/>
                <w:szCs w:val="26"/>
              </w:rPr>
              <w:t>s</w:t>
            </w:r>
            <w:r w:rsidRPr="009D0629">
              <w:rPr>
                <w:rFonts w:ascii="Times New Roman" w:hAnsi="Times New Roman"/>
                <w:sz w:val="26"/>
                <w:szCs w:val="26"/>
              </w:rPr>
              <w:t xml:space="preserve"> paredzēs, ka </w:t>
            </w:r>
            <w:r w:rsidR="0010184A" w:rsidRPr="009D0629">
              <w:rPr>
                <w:rFonts w:ascii="Times New Roman" w:hAnsi="Times New Roman"/>
                <w:sz w:val="26"/>
                <w:szCs w:val="26"/>
              </w:rPr>
              <w:t xml:space="preserve">VID veic </w:t>
            </w:r>
            <w:r w:rsidR="00EC78CD" w:rsidRPr="009D0629">
              <w:rPr>
                <w:rFonts w:ascii="Times New Roman" w:hAnsi="Times New Roman"/>
                <w:sz w:val="26"/>
                <w:szCs w:val="26"/>
              </w:rPr>
              <w:t>UIN</w:t>
            </w:r>
            <w:r w:rsidRPr="009D0629">
              <w:rPr>
                <w:rFonts w:ascii="Times New Roman" w:hAnsi="Times New Roman"/>
                <w:sz w:val="26"/>
                <w:szCs w:val="26"/>
              </w:rPr>
              <w:t xml:space="preserve"> avans</w:t>
            </w:r>
            <w:r w:rsidR="0010184A" w:rsidRPr="009D0629">
              <w:rPr>
                <w:rFonts w:ascii="Times New Roman" w:hAnsi="Times New Roman"/>
                <w:sz w:val="26"/>
                <w:szCs w:val="26"/>
              </w:rPr>
              <w:t>a maksājuma apmēra aprēķinu</w:t>
            </w:r>
            <w:r w:rsidRPr="009D0629">
              <w:rPr>
                <w:rFonts w:ascii="Times New Roman" w:hAnsi="Times New Roman"/>
                <w:sz w:val="26"/>
                <w:szCs w:val="26"/>
              </w:rPr>
              <w:t>, savukārt, nodokļu maksātājs, pamatojoties uz minēto aprēķinu, valsts budžetā veic noteiktos avansa maksājumus.</w:t>
            </w:r>
          </w:p>
          <w:p w:rsidR="00844814" w:rsidRPr="009D0629" w:rsidRDefault="00844814" w:rsidP="00844814">
            <w:pPr>
              <w:spacing w:after="0" w:line="240" w:lineRule="auto"/>
              <w:ind w:firstLine="104"/>
              <w:jc w:val="both"/>
              <w:rPr>
                <w:rFonts w:ascii="Times New Roman" w:hAnsi="Times New Roman" w:cs="Times New Roman"/>
                <w:sz w:val="26"/>
                <w:szCs w:val="26"/>
              </w:rPr>
            </w:pPr>
            <w:r w:rsidRPr="009D0629">
              <w:rPr>
                <w:rFonts w:ascii="Times New Roman" w:hAnsi="Times New Roman" w:cs="Times New Roman"/>
                <w:sz w:val="26"/>
                <w:szCs w:val="26"/>
              </w:rPr>
              <w:t>Likuma 23.panta 1.</w:t>
            </w:r>
            <w:r w:rsidRPr="009D0629">
              <w:rPr>
                <w:rFonts w:ascii="Times New Roman" w:hAnsi="Times New Roman" w:cs="Times New Roman"/>
                <w:sz w:val="26"/>
                <w:szCs w:val="26"/>
                <w:vertAlign w:val="superscript"/>
              </w:rPr>
              <w:t>2</w:t>
            </w:r>
            <w:r w:rsidRPr="009D0629">
              <w:rPr>
                <w:rFonts w:ascii="Times New Roman" w:hAnsi="Times New Roman" w:cs="Times New Roman"/>
                <w:sz w:val="26"/>
                <w:szCs w:val="26"/>
              </w:rPr>
              <w:t xml:space="preserve">daļā ir noteikts, ka </w:t>
            </w:r>
            <w:r w:rsidR="00EC78CD" w:rsidRPr="009D0629">
              <w:rPr>
                <w:rFonts w:ascii="Times New Roman" w:hAnsi="Times New Roman" w:cs="Times New Roman"/>
                <w:sz w:val="26"/>
                <w:szCs w:val="26"/>
              </w:rPr>
              <w:t>UIN</w:t>
            </w:r>
            <w:r w:rsidRPr="009D0629">
              <w:rPr>
                <w:rFonts w:ascii="Times New Roman" w:hAnsi="Times New Roman" w:cs="Times New Roman"/>
                <w:sz w:val="26"/>
                <w:szCs w:val="26"/>
              </w:rPr>
              <w:t xml:space="preserve"> avansa maksājumus var neveikt mēnešos, kuros saimnieciskā darbība ir apturēta, ja </w:t>
            </w:r>
            <w:r w:rsidR="00734F31" w:rsidRPr="009D0629">
              <w:rPr>
                <w:rFonts w:ascii="Times New Roman" w:hAnsi="Times New Roman" w:cs="Times New Roman"/>
                <w:sz w:val="26"/>
                <w:szCs w:val="26"/>
              </w:rPr>
              <w:t>VID</w:t>
            </w:r>
            <w:r w:rsidRPr="009D0629">
              <w:rPr>
                <w:rFonts w:ascii="Times New Roman" w:hAnsi="Times New Roman" w:cs="Times New Roman"/>
                <w:sz w:val="26"/>
                <w:szCs w:val="26"/>
              </w:rPr>
              <w:t xml:space="preserve"> ir iesniegts iesniegums par saimnieciskās darbības apturēšanu.</w:t>
            </w:r>
          </w:p>
          <w:p w:rsidR="00844814" w:rsidRPr="009D0629" w:rsidRDefault="00844814" w:rsidP="00844814">
            <w:pPr>
              <w:pStyle w:val="tv2132"/>
              <w:spacing w:line="240" w:lineRule="auto"/>
              <w:ind w:firstLine="104"/>
              <w:jc w:val="both"/>
              <w:rPr>
                <w:sz w:val="26"/>
                <w:szCs w:val="26"/>
              </w:rPr>
            </w:pPr>
            <w:r w:rsidRPr="009D0629">
              <w:rPr>
                <w:color w:val="auto"/>
                <w:sz w:val="26"/>
                <w:szCs w:val="26"/>
              </w:rPr>
              <w:t>Savukārt</w:t>
            </w:r>
            <w:r w:rsidR="00A21742" w:rsidRPr="009D0629">
              <w:rPr>
                <w:color w:val="auto"/>
                <w:sz w:val="26"/>
                <w:szCs w:val="26"/>
              </w:rPr>
              <w:t>,</w:t>
            </w:r>
            <w:r w:rsidRPr="009D0629">
              <w:rPr>
                <w:color w:val="auto"/>
                <w:sz w:val="26"/>
                <w:szCs w:val="26"/>
              </w:rPr>
              <w:t xml:space="preserve"> Komerclikuma 333.</w:t>
            </w:r>
            <w:r w:rsidRPr="009D0629">
              <w:rPr>
                <w:color w:val="auto"/>
                <w:sz w:val="26"/>
                <w:szCs w:val="26"/>
                <w:vertAlign w:val="superscript"/>
              </w:rPr>
              <w:t>2</w:t>
            </w:r>
            <w:r w:rsidRPr="009D0629">
              <w:rPr>
                <w:color w:val="auto"/>
                <w:sz w:val="26"/>
                <w:szCs w:val="26"/>
              </w:rPr>
              <w:t>pantā</w:t>
            </w:r>
            <w:r w:rsidRPr="009D0629">
              <w:rPr>
                <w:b/>
                <w:bCs/>
                <w:color w:val="auto"/>
                <w:sz w:val="26"/>
                <w:szCs w:val="26"/>
              </w:rPr>
              <w:t xml:space="preserve"> </w:t>
            </w:r>
            <w:r w:rsidRPr="009D0629">
              <w:rPr>
                <w:color w:val="auto"/>
                <w:sz w:val="26"/>
                <w:szCs w:val="26"/>
              </w:rPr>
              <w:t>noteikts, ka komersanta darbība ir apturēta ar dienu, kad komercreģistrā ierakstītas ziņas par komersanta darbības apturēšanu</w:t>
            </w:r>
            <w:r w:rsidRPr="009D0629">
              <w:rPr>
                <w:sz w:val="26"/>
                <w:szCs w:val="26"/>
              </w:rPr>
              <w:t>.</w:t>
            </w:r>
          </w:p>
          <w:p w:rsidR="00BD365E" w:rsidRPr="009D0629" w:rsidRDefault="00844814" w:rsidP="00EC78CD">
            <w:pPr>
              <w:spacing w:after="0" w:line="240" w:lineRule="auto"/>
              <w:ind w:firstLine="104"/>
              <w:jc w:val="both"/>
              <w:rPr>
                <w:rFonts w:ascii="Times New Roman" w:hAnsi="Times New Roman" w:cs="Times New Roman"/>
                <w:sz w:val="26"/>
                <w:szCs w:val="26"/>
              </w:rPr>
            </w:pPr>
            <w:r w:rsidRPr="009D0629">
              <w:rPr>
                <w:rFonts w:ascii="Times New Roman" w:hAnsi="Times New Roman" w:cs="Times New Roman"/>
                <w:sz w:val="26"/>
                <w:szCs w:val="26"/>
              </w:rPr>
              <w:t>Lai minētā norma būtu viennozīmīgi piemērojama un atbilstu Komerclikumā noteiktajai komercdarbības apturēšanas kārtībai, tiek veikti grozījumi likuma 23.panta 1.</w:t>
            </w:r>
            <w:r w:rsidRPr="009D0629">
              <w:rPr>
                <w:rFonts w:ascii="Times New Roman" w:hAnsi="Times New Roman" w:cs="Times New Roman"/>
                <w:sz w:val="26"/>
                <w:szCs w:val="26"/>
                <w:vertAlign w:val="superscript"/>
              </w:rPr>
              <w:t>2</w:t>
            </w:r>
            <w:r w:rsidRPr="009D0629">
              <w:rPr>
                <w:rFonts w:ascii="Times New Roman" w:hAnsi="Times New Roman" w:cs="Times New Roman"/>
                <w:sz w:val="26"/>
                <w:szCs w:val="26"/>
              </w:rPr>
              <w:t xml:space="preserve">daļā, kas paredz, ka nodokļa maksātājs neveic </w:t>
            </w:r>
            <w:r w:rsidR="00EC78CD" w:rsidRPr="009D0629">
              <w:rPr>
                <w:rFonts w:ascii="Times New Roman" w:hAnsi="Times New Roman" w:cs="Times New Roman"/>
                <w:sz w:val="26"/>
                <w:szCs w:val="26"/>
              </w:rPr>
              <w:t>UIN</w:t>
            </w:r>
            <w:r w:rsidRPr="009D0629">
              <w:rPr>
                <w:rFonts w:ascii="Times New Roman" w:hAnsi="Times New Roman" w:cs="Times New Roman"/>
                <w:sz w:val="26"/>
                <w:szCs w:val="26"/>
              </w:rPr>
              <w:t xml:space="preserve"> avansa maksājumus, sākot ar mēnesi</w:t>
            </w:r>
            <w:r w:rsidR="00A21742" w:rsidRPr="009D0629">
              <w:rPr>
                <w:rFonts w:ascii="Times New Roman" w:hAnsi="Times New Roman" w:cs="Times New Roman"/>
                <w:sz w:val="26"/>
                <w:szCs w:val="26"/>
              </w:rPr>
              <w:t>,</w:t>
            </w:r>
            <w:r w:rsidRPr="009D0629">
              <w:rPr>
                <w:rFonts w:ascii="Times New Roman" w:hAnsi="Times New Roman" w:cs="Times New Roman"/>
                <w:sz w:val="26"/>
                <w:szCs w:val="26"/>
              </w:rPr>
              <w:t xml:space="preserve"> kurā komercreģistrā izdarīts ieraksts par komersanta darbības apturēšanu</w:t>
            </w:r>
            <w:r w:rsidR="00EC78CD" w:rsidRPr="009D0629">
              <w:rPr>
                <w:rFonts w:ascii="Times New Roman" w:hAnsi="Times New Roman" w:cs="Times New Roman"/>
                <w:sz w:val="26"/>
                <w:szCs w:val="26"/>
              </w:rPr>
              <w:t>,</w:t>
            </w:r>
            <w:r w:rsidRPr="009D0629">
              <w:rPr>
                <w:rFonts w:ascii="Times New Roman" w:hAnsi="Times New Roman" w:cs="Times New Roman"/>
                <w:sz w:val="26"/>
                <w:szCs w:val="26"/>
              </w:rPr>
              <w:t xml:space="preserve"> nevis iesniegts iesniegums </w:t>
            </w:r>
            <w:r w:rsidR="00734F31" w:rsidRPr="009D0629">
              <w:rPr>
                <w:rFonts w:ascii="Times New Roman" w:hAnsi="Times New Roman" w:cs="Times New Roman"/>
                <w:sz w:val="26"/>
                <w:szCs w:val="26"/>
              </w:rPr>
              <w:t>VID</w:t>
            </w:r>
            <w:r w:rsidRPr="009D0629">
              <w:rPr>
                <w:rFonts w:ascii="Times New Roman" w:hAnsi="Times New Roman" w:cs="Times New Roman"/>
                <w:sz w:val="26"/>
                <w:szCs w:val="26"/>
              </w:rPr>
              <w:t xml:space="preserve">. </w:t>
            </w:r>
            <w:r w:rsidR="00BD365E" w:rsidRPr="009D0629">
              <w:rPr>
                <w:rFonts w:ascii="Times New Roman" w:hAnsi="Times New Roman" w:cs="Times New Roman"/>
                <w:sz w:val="26"/>
                <w:szCs w:val="26"/>
              </w:rPr>
              <w:t xml:space="preserve"> </w:t>
            </w:r>
          </w:p>
        </w:tc>
      </w:tr>
      <w:tr w:rsidR="005642A9" w:rsidRPr="009D0629" w:rsidTr="007B0240">
        <w:tc>
          <w:tcPr>
            <w:tcW w:w="152"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lastRenderedPageBreak/>
              <w:t>3.</w:t>
            </w:r>
          </w:p>
        </w:tc>
        <w:tc>
          <w:tcPr>
            <w:tcW w:w="1012"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pStyle w:val="naiskr"/>
              <w:spacing w:before="0" w:beforeAutospacing="0" w:after="0" w:afterAutospacing="0"/>
              <w:contextualSpacing/>
              <w:rPr>
                <w:sz w:val="26"/>
                <w:szCs w:val="26"/>
              </w:rPr>
            </w:pPr>
            <w:r w:rsidRPr="009D0629">
              <w:rPr>
                <w:sz w:val="26"/>
                <w:szCs w:val="26"/>
              </w:rPr>
              <w:t>Projekta izstrādē iesaistītās institūcijas</w:t>
            </w:r>
          </w:p>
        </w:tc>
        <w:tc>
          <w:tcPr>
            <w:tcW w:w="3836" w:type="pct"/>
            <w:tcBorders>
              <w:top w:val="outset" w:sz="6" w:space="0" w:color="000000"/>
              <w:left w:val="outset" w:sz="6" w:space="0" w:color="000000"/>
              <w:bottom w:val="outset" w:sz="6" w:space="0" w:color="000000"/>
              <w:right w:val="outset" w:sz="6" w:space="0" w:color="000000"/>
            </w:tcBorders>
          </w:tcPr>
          <w:p w:rsidR="005642A9" w:rsidRPr="009D0629" w:rsidRDefault="005642A9" w:rsidP="00A21742">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Valsts ieņēmumu dienests</w:t>
            </w:r>
            <w:r w:rsidR="004F6474" w:rsidRPr="009D0629">
              <w:rPr>
                <w:rFonts w:ascii="Times New Roman" w:hAnsi="Times New Roman" w:cs="Times New Roman"/>
                <w:sz w:val="26"/>
                <w:szCs w:val="26"/>
              </w:rPr>
              <w:t>,</w:t>
            </w:r>
            <w:r w:rsidR="007B7FA7">
              <w:rPr>
                <w:rFonts w:ascii="Times New Roman" w:hAnsi="Times New Roman" w:cs="Times New Roman"/>
                <w:sz w:val="26"/>
                <w:szCs w:val="26"/>
              </w:rPr>
              <w:t xml:space="preserve"> Ekonomikas ministrija,</w:t>
            </w:r>
            <w:r w:rsidR="004F6474" w:rsidRPr="009D0629">
              <w:rPr>
                <w:rFonts w:ascii="Times New Roman" w:hAnsi="Times New Roman" w:cs="Times New Roman"/>
                <w:sz w:val="26"/>
                <w:szCs w:val="26"/>
              </w:rPr>
              <w:t xml:space="preserve"> Latvijas Tirdzniecības un rūpniecības kamera un Latvijas Darb</w:t>
            </w:r>
            <w:r w:rsidR="00A21742" w:rsidRPr="009D0629">
              <w:rPr>
                <w:rFonts w:ascii="Times New Roman" w:hAnsi="Times New Roman" w:cs="Times New Roman"/>
                <w:sz w:val="26"/>
                <w:szCs w:val="26"/>
              </w:rPr>
              <w:t>a</w:t>
            </w:r>
            <w:r w:rsidR="004F6474" w:rsidRPr="009D0629">
              <w:rPr>
                <w:rFonts w:ascii="Times New Roman" w:hAnsi="Times New Roman" w:cs="Times New Roman"/>
                <w:sz w:val="26"/>
                <w:szCs w:val="26"/>
              </w:rPr>
              <w:t xml:space="preserve"> devēju konfederācija</w:t>
            </w:r>
            <w:r w:rsidRPr="009D0629">
              <w:rPr>
                <w:rFonts w:ascii="Times New Roman" w:hAnsi="Times New Roman" w:cs="Times New Roman"/>
                <w:sz w:val="26"/>
                <w:szCs w:val="26"/>
              </w:rPr>
              <w:t>.</w:t>
            </w:r>
          </w:p>
        </w:tc>
      </w:tr>
      <w:tr w:rsidR="005642A9" w:rsidRPr="009D0629" w:rsidTr="007B0240">
        <w:tc>
          <w:tcPr>
            <w:tcW w:w="152"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lang w:val="en-US"/>
              </w:rPr>
            </w:pPr>
            <w:r w:rsidRPr="009D0629">
              <w:rPr>
                <w:rFonts w:ascii="Times New Roman" w:hAnsi="Times New Roman" w:cs="Times New Roman"/>
                <w:sz w:val="26"/>
                <w:szCs w:val="26"/>
                <w:lang w:val="en-US"/>
              </w:rPr>
              <w:t>4.</w:t>
            </w:r>
          </w:p>
        </w:tc>
        <w:tc>
          <w:tcPr>
            <w:tcW w:w="1012"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pStyle w:val="naiskr"/>
              <w:spacing w:before="0" w:beforeAutospacing="0" w:after="0" w:afterAutospacing="0"/>
              <w:contextualSpacing/>
              <w:rPr>
                <w:sz w:val="26"/>
                <w:szCs w:val="26"/>
              </w:rPr>
            </w:pPr>
            <w:r w:rsidRPr="009D0629">
              <w:rPr>
                <w:sz w:val="26"/>
                <w:szCs w:val="26"/>
              </w:rPr>
              <w:t>Cita informācija</w:t>
            </w:r>
          </w:p>
        </w:tc>
        <w:tc>
          <w:tcPr>
            <w:tcW w:w="3836"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Nav.</w:t>
            </w:r>
          </w:p>
        </w:tc>
      </w:tr>
    </w:tbl>
    <w:p w:rsidR="005642A9" w:rsidRPr="009D0629" w:rsidRDefault="005642A9" w:rsidP="005642A9">
      <w:pPr>
        <w:spacing w:after="0" w:line="240" w:lineRule="auto"/>
        <w:contextualSpacing/>
        <w:jc w:val="both"/>
        <w:rPr>
          <w:rFonts w:ascii="Times New Roman" w:hAnsi="Times New Roman" w:cs="Times New Roman"/>
          <w:sz w:val="26"/>
          <w:szCs w:val="26"/>
          <w:lang w:val="en-US"/>
        </w:rPr>
      </w:pPr>
    </w:p>
    <w:p w:rsidR="00A61F5C" w:rsidRPr="009D0629" w:rsidRDefault="00A61F5C" w:rsidP="005642A9">
      <w:pPr>
        <w:spacing w:after="0" w:line="240" w:lineRule="auto"/>
        <w:contextualSpacing/>
        <w:jc w:val="both"/>
        <w:rPr>
          <w:rFonts w:ascii="Times New Roman" w:hAnsi="Times New Roman" w:cs="Times New Roman"/>
          <w:sz w:val="26"/>
          <w:szCs w:val="26"/>
          <w:lang w:val="en-US"/>
        </w:rPr>
      </w:pP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8"/>
        <w:gridCol w:w="4235"/>
        <w:gridCol w:w="4433"/>
      </w:tblGrid>
      <w:tr w:rsidR="005642A9" w:rsidRPr="009D0629" w:rsidTr="007B0240">
        <w:tc>
          <w:tcPr>
            <w:tcW w:w="5000" w:type="pct"/>
            <w:gridSpan w:val="3"/>
            <w:tcBorders>
              <w:top w:val="single" w:sz="6" w:space="0" w:color="auto"/>
              <w:left w:val="single" w:sz="6" w:space="0" w:color="auto"/>
              <w:bottom w:val="outset" w:sz="6" w:space="0" w:color="000000"/>
              <w:right w:val="single" w:sz="6" w:space="0" w:color="auto"/>
            </w:tcBorders>
            <w:vAlign w:val="center"/>
          </w:tcPr>
          <w:p w:rsidR="005642A9" w:rsidRPr="009D0629" w:rsidRDefault="005642A9" w:rsidP="007B0240">
            <w:pPr>
              <w:spacing w:after="0" w:line="240" w:lineRule="auto"/>
              <w:contextualSpacing/>
              <w:rPr>
                <w:rFonts w:ascii="Times New Roman" w:hAnsi="Times New Roman" w:cs="Times New Roman"/>
                <w:b/>
                <w:bCs/>
                <w:sz w:val="26"/>
                <w:szCs w:val="26"/>
                <w:lang w:val="en-US"/>
              </w:rPr>
            </w:pPr>
            <w:r w:rsidRPr="009D0629">
              <w:rPr>
                <w:rFonts w:ascii="Times New Roman" w:hAnsi="Times New Roman" w:cs="Times New Roman"/>
                <w:b/>
                <w:bCs/>
                <w:sz w:val="26"/>
                <w:szCs w:val="26"/>
                <w:lang w:val="en-US"/>
              </w:rPr>
              <w:t xml:space="preserve">II. </w:t>
            </w:r>
            <w:r w:rsidRPr="009D0629">
              <w:rPr>
                <w:rFonts w:ascii="Times New Roman" w:hAnsi="Times New Roman" w:cs="Times New Roman"/>
                <w:b/>
                <w:sz w:val="26"/>
                <w:szCs w:val="26"/>
              </w:rPr>
              <w:t>Tiesību akta projekta ietekme uz sabiedrību, tautsaimniecības attīstību un administratīvo slogu</w:t>
            </w:r>
          </w:p>
        </w:tc>
      </w:tr>
      <w:tr w:rsidR="005642A9" w:rsidRPr="009D0629" w:rsidTr="007B0240">
        <w:tc>
          <w:tcPr>
            <w:tcW w:w="256"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1.</w:t>
            </w:r>
          </w:p>
        </w:tc>
        <w:tc>
          <w:tcPr>
            <w:tcW w:w="2318"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pStyle w:val="naiskr"/>
              <w:spacing w:before="0" w:beforeAutospacing="0" w:after="0" w:afterAutospacing="0"/>
              <w:contextualSpacing/>
              <w:rPr>
                <w:sz w:val="26"/>
                <w:szCs w:val="26"/>
              </w:rPr>
            </w:pPr>
            <w:r w:rsidRPr="009D0629">
              <w:rPr>
                <w:sz w:val="26"/>
                <w:szCs w:val="26"/>
              </w:rPr>
              <w:t xml:space="preserve">Sabiedrības </w:t>
            </w:r>
            <w:proofErr w:type="spellStart"/>
            <w:r w:rsidRPr="009D0629">
              <w:rPr>
                <w:sz w:val="26"/>
                <w:szCs w:val="26"/>
              </w:rPr>
              <w:t>mērķgrupas</w:t>
            </w:r>
            <w:proofErr w:type="spellEnd"/>
            <w:r w:rsidRPr="009D0629">
              <w:rPr>
                <w:sz w:val="26"/>
                <w:szCs w:val="26"/>
              </w:rPr>
              <w:t>, kuras tiesiskais regulējums ietekmē vai varētu ietekmēt</w:t>
            </w:r>
          </w:p>
        </w:tc>
        <w:tc>
          <w:tcPr>
            <w:tcW w:w="2426" w:type="pct"/>
            <w:tcBorders>
              <w:top w:val="outset" w:sz="6" w:space="0" w:color="000000"/>
              <w:left w:val="outset" w:sz="6" w:space="0" w:color="000000"/>
              <w:bottom w:val="outset" w:sz="6" w:space="0" w:color="000000"/>
              <w:right w:val="outset" w:sz="6" w:space="0" w:color="000000"/>
            </w:tcBorders>
          </w:tcPr>
          <w:p w:rsidR="005642A9" w:rsidRPr="009D0629" w:rsidRDefault="00B44B6E" w:rsidP="00EC78CD">
            <w:pPr>
              <w:tabs>
                <w:tab w:val="left" w:pos="927"/>
                <w:tab w:val="left" w:pos="3222"/>
              </w:tabs>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V</w:t>
            </w:r>
            <w:r w:rsidR="005642A9" w:rsidRPr="009D0629">
              <w:rPr>
                <w:rFonts w:ascii="Times New Roman" w:hAnsi="Times New Roman" w:cs="Times New Roman"/>
                <w:sz w:val="26"/>
                <w:szCs w:val="26"/>
              </w:rPr>
              <w:t xml:space="preserve">isi </w:t>
            </w:r>
            <w:r w:rsidR="00EC78CD" w:rsidRPr="009D0629">
              <w:rPr>
                <w:rFonts w:ascii="Times New Roman" w:hAnsi="Times New Roman" w:cs="Times New Roman"/>
                <w:sz w:val="26"/>
                <w:szCs w:val="26"/>
              </w:rPr>
              <w:t>UIN</w:t>
            </w:r>
            <w:r w:rsidR="005642A9" w:rsidRPr="009D0629">
              <w:rPr>
                <w:rFonts w:ascii="Times New Roman" w:hAnsi="Times New Roman" w:cs="Times New Roman"/>
                <w:sz w:val="26"/>
                <w:szCs w:val="26"/>
              </w:rPr>
              <w:t xml:space="preserve"> maksātāji. </w:t>
            </w:r>
          </w:p>
        </w:tc>
      </w:tr>
      <w:tr w:rsidR="005642A9" w:rsidRPr="009D0629" w:rsidTr="007B0240">
        <w:tc>
          <w:tcPr>
            <w:tcW w:w="256"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2.</w:t>
            </w:r>
          </w:p>
        </w:tc>
        <w:tc>
          <w:tcPr>
            <w:tcW w:w="2318"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pStyle w:val="naiskr"/>
              <w:spacing w:before="0" w:beforeAutospacing="0" w:after="0" w:afterAutospacing="0"/>
              <w:contextualSpacing/>
              <w:rPr>
                <w:sz w:val="26"/>
                <w:szCs w:val="26"/>
              </w:rPr>
            </w:pPr>
            <w:r w:rsidRPr="009D0629">
              <w:rPr>
                <w:sz w:val="26"/>
                <w:szCs w:val="26"/>
              </w:rPr>
              <w:t>Tiesiskā regulējuma ietekme uz tautsaimniecību un administratīvo slogu</w:t>
            </w:r>
          </w:p>
        </w:tc>
        <w:tc>
          <w:tcPr>
            <w:tcW w:w="2426" w:type="pct"/>
            <w:tcBorders>
              <w:top w:val="outset" w:sz="6" w:space="0" w:color="000000"/>
              <w:left w:val="outset" w:sz="6" w:space="0" w:color="000000"/>
              <w:bottom w:val="outset" w:sz="6" w:space="0" w:color="000000"/>
              <w:right w:val="outset" w:sz="6" w:space="0" w:color="000000"/>
            </w:tcBorders>
          </w:tcPr>
          <w:p w:rsidR="005642A9" w:rsidRPr="009D0629" w:rsidRDefault="00B44B6E" w:rsidP="00A21742">
            <w:pPr>
              <w:spacing w:after="0" w:line="240" w:lineRule="auto"/>
              <w:ind w:right="130"/>
              <w:contextualSpacing/>
              <w:jc w:val="both"/>
              <w:rPr>
                <w:rFonts w:ascii="Times New Roman" w:hAnsi="Times New Roman" w:cs="Times New Roman"/>
                <w:sz w:val="26"/>
                <w:szCs w:val="26"/>
              </w:rPr>
            </w:pPr>
            <w:r w:rsidRPr="009D0629">
              <w:rPr>
                <w:rFonts w:ascii="Times New Roman" w:hAnsi="Times New Roman" w:cs="Times New Roman"/>
                <w:sz w:val="26"/>
                <w:szCs w:val="26"/>
              </w:rPr>
              <w:t>Likumprojekts</w:t>
            </w:r>
            <w:r w:rsidR="005642A9" w:rsidRPr="009D0629">
              <w:rPr>
                <w:rFonts w:ascii="Times New Roman" w:hAnsi="Times New Roman" w:cs="Times New Roman"/>
                <w:sz w:val="26"/>
                <w:szCs w:val="26"/>
              </w:rPr>
              <w:t xml:space="preserve"> </w:t>
            </w:r>
            <w:r w:rsidR="009B1E5A" w:rsidRPr="009D0629">
              <w:rPr>
                <w:rFonts w:ascii="Times New Roman" w:hAnsi="Times New Roman" w:cs="Times New Roman"/>
                <w:sz w:val="26"/>
                <w:szCs w:val="26"/>
              </w:rPr>
              <w:t xml:space="preserve">ierobežos </w:t>
            </w:r>
            <w:r w:rsidR="00EC78CD" w:rsidRPr="009D0629">
              <w:rPr>
                <w:rFonts w:ascii="Times New Roman" w:hAnsi="Times New Roman" w:cs="Times New Roman"/>
                <w:sz w:val="26"/>
                <w:szCs w:val="26"/>
              </w:rPr>
              <w:t>UIN</w:t>
            </w:r>
            <w:r w:rsidR="005642A9" w:rsidRPr="009D0629">
              <w:rPr>
                <w:rFonts w:ascii="Times New Roman" w:hAnsi="Times New Roman" w:cs="Times New Roman"/>
                <w:sz w:val="26"/>
                <w:szCs w:val="26"/>
              </w:rPr>
              <w:t xml:space="preserve"> </w:t>
            </w:r>
            <w:r w:rsidRPr="009D0629">
              <w:rPr>
                <w:rFonts w:ascii="Times New Roman" w:hAnsi="Times New Roman" w:cs="Times New Roman"/>
                <w:sz w:val="26"/>
                <w:szCs w:val="26"/>
              </w:rPr>
              <w:t>samazināšanu</w:t>
            </w:r>
            <w:r w:rsidR="009B1E5A" w:rsidRPr="009D0629">
              <w:rPr>
                <w:rFonts w:ascii="Times New Roman" w:hAnsi="Times New Roman" w:cs="Times New Roman"/>
                <w:sz w:val="26"/>
                <w:szCs w:val="26"/>
              </w:rPr>
              <w:t xml:space="preserve"> attiecībā uz reprezentatīvajiem automobiļiem. Ierobežojot iepriekšējo taksācijas periodu zaudējumu segšanu, tiks nodrošināti </w:t>
            </w:r>
            <w:r w:rsidR="004308A4" w:rsidRPr="009D0629">
              <w:rPr>
                <w:rFonts w:ascii="Times New Roman" w:hAnsi="Times New Roman" w:cs="Times New Roman"/>
                <w:sz w:val="26"/>
                <w:szCs w:val="26"/>
              </w:rPr>
              <w:t>prognozējam</w:t>
            </w:r>
            <w:r w:rsidR="009B1E5A" w:rsidRPr="009D0629">
              <w:rPr>
                <w:rFonts w:ascii="Times New Roman" w:hAnsi="Times New Roman" w:cs="Times New Roman"/>
                <w:sz w:val="26"/>
                <w:szCs w:val="26"/>
              </w:rPr>
              <w:t>i</w:t>
            </w:r>
            <w:r w:rsidR="004308A4" w:rsidRPr="009D0629">
              <w:rPr>
                <w:rFonts w:ascii="Times New Roman" w:hAnsi="Times New Roman" w:cs="Times New Roman"/>
                <w:sz w:val="26"/>
                <w:szCs w:val="26"/>
              </w:rPr>
              <w:t xml:space="preserve"> </w:t>
            </w:r>
            <w:r w:rsidR="00EC78CD" w:rsidRPr="009D0629">
              <w:rPr>
                <w:rFonts w:ascii="Times New Roman" w:hAnsi="Times New Roman" w:cs="Times New Roman"/>
                <w:sz w:val="26"/>
                <w:szCs w:val="26"/>
              </w:rPr>
              <w:t>UIN</w:t>
            </w:r>
            <w:r w:rsidR="004308A4" w:rsidRPr="009D0629">
              <w:rPr>
                <w:rFonts w:ascii="Times New Roman" w:hAnsi="Times New Roman" w:cs="Times New Roman"/>
                <w:sz w:val="26"/>
                <w:szCs w:val="26"/>
              </w:rPr>
              <w:t xml:space="preserve"> </w:t>
            </w:r>
            <w:r w:rsidR="004308A4" w:rsidRPr="009D0629">
              <w:rPr>
                <w:rFonts w:ascii="Times New Roman" w:hAnsi="Times New Roman" w:cs="Times New Roman"/>
                <w:sz w:val="26"/>
                <w:szCs w:val="26"/>
              </w:rPr>
              <w:lastRenderedPageBreak/>
              <w:t>ieņēmum</w:t>
            </w:r>
            <w:r w:rsidR="009B1E5A" w:rsidRPr="009D0629">
              <w:rPr>
                <w:rFonts w:ascii="Times New Roman" w:hAnsi="Times New Roman" w:cs="Times New Roman"/>
                <w:sz w:val="26"/>
                <w:szCs w:val="26"/>
              </w:rPr>
              <w:t>i</w:t>
            </w:r>
            <w:r w:rsidR="004308A4" w:rsidRPr="009D0629">
              <w:rPr>
                <w:rFonts w:ascii="Times New Roman" w:hAnsi="Times New Roman" w:cs="Times New Roman"/>
                <w:sz w:val="26"/>
                <w:szCs w:val="26"/>
              </w:rPr>
              <w:t xml:space="preserve"> valsts budžetā</w:t>
            </w:r>
            <w:r w:rsidR="009B1E5A" w:rsidRPr="009D0629">
              <w:rPr>
                <w:rFonts w:ascii="Times New Roman" w:hAnsi="Times New Roman" w:cs="Times New Roman"/>
                <w:sz w:val="26"/>
                <w:szCs w:val="26"/>
              </w:rPr>
              <w:t>. Savukārt</w:t>
            </w:r>
            <w:r w:rsidR="00A21742" w:rsidRPr="009D0629">
              <w:rPr>
                <w:rFonts w:ascii="Times New Roman" w:hAnsi="Times New Roman" w:cs="Times New Roman"/>
                <w:sz w:val="26"/>
                <w:szCs w:val="26"/>
              </w:rPr>
              <w:t>,</w:t>
            </w:r>
            <w:r w:rsidR="009B1E5A" w:rsidRPr="009D0629">
              <w:rPr>
                <w:rFonts w:ascii="Times New Roman" w:hAnsi="Times New Roman" w:cs="Times New Roman"/>
                <w:sz w:val="26"/>
                <w:szCs w:val="26"/>
              </w:rPr>
              <w:t xml:space="preserve"> likumprojekta normas attiecībā uz atbalstāmo investīciju projektu pārraudzību ietekmi neradīs, jo tiek veikti tikai tehniski precizējumi</w:t>
            </w:r>
            <w:r w:rsidR="00A21742" w:rsidRPr="009D0629">
              <w:rPr>
                <w:rFonts w:ascii="Times New Roman" w:hAnsi="Times New Roman" w:cs="Times New Roman"/>
                <w:sz w:val="26"/>
                <w:szCs w:val="26"/>
              </w:rPr>
              <w:t>,</w:t>
            </w:r>
            <w:r w:rsidR="009B1E5A" w:rsidRPr="009D0629">
              <w:rPr>
                <w:rFonts w:ascii="Times New Roman" w:hAnsi="Times New Roman" w:cs="Times New Roman"/>
                <w:sz w:val="26"/>
                <w:szCs w:val="26"/>
              </w:rPr>
              <w:t xml:space="preserve"> ņemot vērā, ka attiecīgās darbības šobrīd jau ietvertas </w:t>
            </w:r>
            <w:r w:rsidR="00A21742" w:rsidRPr="009D0629">
              <w:rPr>
                <w:rFonts w:ascii="Times New Roman" w:hAnsi="Times New Roman" w:cs="Times New Roman"/>
                <w:sz w:val="26"/>
                <w:szCs w:val="26"/>
              </w:rPr>
              <w:t>N</w:t>
            </w:r>
            <w:r w:rsidR="009B1E5A" w:rsidRPr="009D0629">
              <w:rPr>
                <w:rFonts w:ascii="Times New Roman" w:hAnsi="Times New Roman" w:cs="Times New Roman"/>
                <w:sz w:val="26"/>
                <w:szCs w:val="26"/>
              </w:rPr>
              <w:t xml:space="preserve">oteikumos. </w:t>
            </w:r>
            <w:r w:rsidR="005A3E19" w:rsidRPr="009D0629">
              <w:rPr>
                <w:rFonts w:ascii="Times New Roman" w:hAnsi="Times New Roman" w:cs="Times New Roman"/>
                <w:sz w:val="26"/>
                <w:szCs w:val="26"/>
              </w:rPr>
              <w:t xml:space="preserve">Likumprojekts nodrošinās, ka nodokļu maksātājiem, kuriem pasludināta maksātnespēja, </w:t>
            </w:r>
            <w:r w:rsidR="00A21742" w:rsidRPr="009D0629">
              <w:rPr>
                <w:rFonts w:ascii="Times New Roman" w:hAnsi="Times New Roman" w:cs="Times New Roman"/>
                <w:sz w:val="26"/>
                <w:szCs w:val="26"/>
              </w:rPr>
              <w:t xml:space="preserve">arī turpmāk </w:t>
            </w:r>
            <w:r w:rsidR="005A3E19" w:rsidRPr="009D0629">
              <w:rPr>
                <w:rFonts w:ascii="Times New Roman" w:hAnsi="Times New Roman" w:cs="Times New Roman"/>
                <w:sz w:val="26"/>
                <w:szCs w:val="26"/>
              </w:rPr>
              <w:t xml:space="preserve">iesniedz </w:t>
            </w:r>
            <w:r w:rsidR="0066590F" w:rsidRPr="009D0629">
              <w:rPr>
                <w:rFonts w:ascii="Times New Roman" w:hAnsi="Times New Roman" w:cs="Times New Roman"/>
                <w:sz w:val="26"/>
                <w:szCs w:val="26"/>
              </w:rPr>
              <w:t xml:space="preserve">bilanci, peļņas vai zaudējumu aprēķinu un </w:t>
            </w:r>
            <w:r w:rsidR="005A3E19" w:rsidRPr="009D0629">
              <w:rPr>
                <w:rFonts w:ascii="Times New Roman" w:hAnsi="Times New Roman" w:cs="Times New Roman"/>
                <w:sz w:val="26"/>
                <w:szCs w:val="26"/>
              </w:rPr>
              <w:t xml:space="preserve">UIN deklarāciju VID. </w:t>
            </w:r>
            <w:r w:rsidR="009B1E5A" w:rsidRPr="009D0629">
              <w:rPr>
                <w:rFonts w:ascii="Times New Roman" w:hAnsi="Times New Roman" w:cs="Times New Roman"/>
                <w:sz w:val="26"/>
                <w:szCs w:val="26"/>
              </w:rPr>
              <w:t>Papildus minētajam, likumprojekts</w:t>
            </w:r>
            <w:r w:rsidR="005642A9" w:rsidRPr="009D0629">
              <w:rPr>
                <w:rFonts w:ascii="Times New Roman" w:hAnsi="Times New Roman" w:cs="Times New Roman"/>
                <w:sz w:val="26"/>
                <w:szCs w:val="26"/>
              </w:rPr>
              <w:t xml:space="preserve"> samazinās administratīvo slogu attiecībā uz </w:t>
            </w:r>
            <w:r w:rsidR="00EC78CD" w:rsidRPr="009D0629">
              <w:rPr>
                <w:rFonts w:ascii="Times New Roman" w:hAnsi="Times New Roman" w:cs="Times New Roman"/>
                <w:sz w:val="26"/>
                <w:szCs w:val="26"/>
              </w:rPr>
              <w:t>UIN</w:t>
            </w:r>
            <w:r w:rsidR="005642A9" w:rsidRPr="009D0629">
              <w:rPr>
                <w:rFonts w:ascii="Times New Roman" w:hAnsi="Times New Roman" w:cs="Times New Roman"/>
                <w:sz w:val="26"/>
                <w:szCs w:val="26"/>
              </w:rPr>
              <w:t xml:space="preserve"> avansa </w:t>
            </w:r>
            <w:r w:rsidR="00073041" w:rsidRPr="009D0629">
              <w:rPr>
                <w:rFonts w:ascii="Times New Roman" w:hAnsi="Times New Roman" w:cs="Times New Roman"/>
                <w:sz w:val="26"/>
                <w:szCs w:val="26"/>
              </w:rPr>
              <w:t xml:space="preserve">maksājumu </w:t>
            </w:r>
            <w:r w:rsidR="009B1E5A" w:rsidRPr="009D0629">
              <w:rPr>
                <w:rFonts w:ascii="Times New Roman" w:hAnsi="Times New Roman" w:cs="Times New Roman"/>
                <w:sz w:val="26"/>
                <w:szCs w:val="26"/>
              </w:rPr>
              <w:t>aprēķina kārtību</w:t>
            </w:r>
            <w:r w:rsidR="005A3E19" w:rsidRPr="009D0629">
              <w:rPr>
                <w:rFonts w:ascii="Times New Roman" w:hAnsi="Times New Roman" w:cs="Times New Roman"/>
                <w:sz w:val="26"/>
                <w:szCs w:val="26"/>
              </w:rPr>
              <w:t xml:space="preserve">. </w:t>
            </w:r>
          </w:p>
        </w:tc>
      </w:tr>
      <w:tr w:rsidR="005642A9" w:rsidRPr="009D0629" w:rsidTr="007B0240">
        <w:tc>
          <w:tcPr>
            <w:tcW w:w="256"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lastRenderedPageBreak/>
              <w:t>3.</w:t>
            </w:r>
          </w:p>
        </w:tc>
        <w:tc>
          <w:tcPr>
            <w:tcW w:w="2318"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pStyle w:val="naiskr"/>
              <w:spacing w:before="0" w:beforeAutospacing="0" w:after="0" w:afterAutospacing="0"/>
              <w:contextualSpacing/>
              <w:rPr>
                <w:sz w:val="26"/>
                <w:szCs w:val="26"/>
              </w:rPr>
            </w:pPr>
            <w:r w:rsidRPr="009D0629">
              <w:rPr>
                <w:sz w:val="26"/>
                <w:szCs w:val="26"/>
              </w:rPr>
              <w:t>Administratīvo izmaksu monetārs novērtējums</w:t>
            </w:r>
          </w:p>
        </w:tc>
        <w:tc>
          <w:tcPr>
            <w:tcW w:w="2426" w:type="pct"/>
            <w:tcBorders>
              <w:top w:val="outset" w:sz="6" w:space="0" w:color="000000"/>
              <w:left w:val="outset" w:sz="6" w:space="0" w:color="000000"/>
              <w:bottom w:val="outset" w:sz="6" w:space="0" w:color="000000"/>
              <w:right w:val="outset" w:sz="6" w:space="0" w:color="000000"/>
            </w:tcBorders>
          </w:tcPr>
          <w:p w:rsidR="005642A9" w:rsidRPr="009D0629" w:rsidRDefault="005642A9" w:rsidP="00A21742">
            <w:pPr>
              <w:pStyle w:val="ListParagraph"/>
              <w:spacing w:after="0" w:line="240" w:lineRule="auto"/>
              <w:ind w:left="79"/>
              <w:jc w:val="both"/>
              <w:rPr>
                <w:rFonts w:ascii="Times New Roman" w:hAnsi="Times New Roman" w:cs="Times New Roman"/>
                <w:sz w:val="26"/>
                <w:szCs w:val="26"/>
              </w:rPr>
            </w:pPr>
            <w:r w:rsidRPr="009D0629">
              <w:rPr>
                <w:rFonts w:ascii="Times New Roman" w:hAnsi="Times New Roman" w:cs="Times New Roman"/>
                <w:sz w:val="26"/>
                <w:szCs w:val="26"/>
              </w:rPr>
              <w:t xml:space="preserve">Ņemot vērā, ka </w:t>
            </w:r>
            <w:r w:rsidR="0089388A" w:rsidRPr="009D0629">
              <w:rPr>
                <w:rFonts w:ascii="Times New Roman" w:hAnsi="Times New Roman" w:cs="Times New Roman"/>
                <w:sz w:val="26"/>
                <w:szCs w:val="26"/>
              </w:rPr>
              <w:t xml:space="preserve">nodokļu maksātājiem pašiem nebūs jāaizpilda </w:t>
            </w:r>
            <w:r w:rsidRPr="009D0629">
              <w:rPr>
                <w:rFonts w:ascii="Times New Roman" w:hAnsi="Times New Roman" w:cs="Times New Roman"/>
                <w:sz w:val="26"/>
                <w:szCs w:val="26"/>
              </w:rPr>
              <w:t xml:space="preserve">avansa maksājumu </w:t>
            </w:r>
            <w:r w:rsidR="0089388A" w:rsidRPr="009D0629">
              <w:rPr>
                <w:rFonts w:ascii="Times New Roman" w:hAnsi="Times New Roman" w:cs="Times New Roman"/>
                <w:sz w:val="26"/>
                <w:szCs w:val="26"/>
              </w:rPr>
              <w:t>aprēķins</w:t>
            </w:r>
            <w:r w:rsidRPr="009D0629">
              <w:rPr>
                <w:rFonts w:ascii="Times New Roman" w:hAnsi="Times New Roman" w:cs="Times New Roman"/>
                <w:sz w:val="26"/>
                <w:szCs w:val="26"/>
              </w:rPr>
              <w:t>, tad administratīvais slogs nodokļu maksātājam samazināsies.</w:t>
            </w:r>
            <w:r w:rsidR="0089388A" w:rsidRPr="009D0629">
              <w:rPr>
                <w:rFonts w:ascii="Times New Roman" w:hAnsi="Times New Roman" w:cs="Times New Roman"/>
                <w:sz w:val="26"/>
                <w:szCs w:val="26"/>
              </w:rPr>
              <w:t xml:space="preserve"> Savukārt</w:t>
            </w:r>
            <w:r w:rsidR="00A21742" w:rsidRPr="009D0629">
              <w:rPr>
                <w:rFonts w:ascii="Times New Roman" w:hAnsi="Times New Roman" w:cs="Times New Roman"/>
                <w:sz w:val="26"/>
                <w:szCs w:val="26"/>
              </w:rPr>
              <w:t>,</w:t>
            </w:r>
            <w:r w:rsidR="0089388A" w:rsidRPr="009D0629">
              <w:rPr>
                <w:rFonts w:ascii="Times New Roman" w:hAnsi="Times New Roman" w:cs="Times New Roman"/>
                <w:sz w:val="26"/>
                <w:szCs w:val="26"/>
              </w:rPr>
              <w:t xml:space="preserve">  VID UIN avanss</w:t>
            </w:r>
            <w:r w:rsidR="009E53A7" w:rsidRPr="009D0629">
              <w:rPr>
                <w:rFonts w:ascii="Times New Roman" w:hAnsi="Times New Roman" w:cs="Times New Roman"/>
                <w:sz w:val="26"/>
                <w:szCs w:val="26"/>
              </w:rPr>
              <w:t xml:space="preserve"> </w:t>
            </w:r>
            <w:r w:rsidR="0089388A" w:rsidRPr="009D0629">
              <w:rPr>
                <w:rFonts w:ascii="Times New Roman" w:hAnsi="Times New Roman" w:cs="Times New Roman"/>
                <w:sz w:val="26"/>
                <w:szCs w:val="26"/>
              </w:rPr>
              <w:t xml:space="preserve">EDS sistēmā tiks aprēķināts automātiski. </w:t>
            </w:r>
            <w:r w:rsidR="009E53A7" w:rsidRPr="009D0629">
              <w:rPr>
                <w:rFonts w:ascii="Times New Roman" w:hAnsi="Times New Roman" w:cs="Times New Roman"/>
                <w:sz w:val="26"/>
                <w:szCs w:val="26"/>
              </w:rPr>
              <w:t xml:space="preserve">Paredzamās izmaksas izmaiņām </w:t>
            </w:r>
            <w:r w:rsidR="00734F31" w:rsidRPr="009D0629">
              <w:rPr>
                <w:rFonts w:ascii="Times New Roman" w:hAnsi="Times New Roman" w:cs="Times New Roman"/>
                <w:sz w:val="26"/>
                <w:szCs w:val="26"/>
              </w:rPr>
              <w:t>VID</w:t>
            </w:r>
            <w:r w:rsidR="009E53A7" w:rsidRPr="009D0629">
              <w:rPr>
                <w:rFonts w:ascii="Times New Roman" w:hAnsi="Times New Roman" w:cs="Times New Roman"/>
                <w:sz w:val="26"/>
                <w:szCs w:val="26"/>
              </w:rPr>
              <w:t xml:space="preserve"> informācijas sistēmās saistībā ar grozījum</w:t>
            </w:r>
            <w:r w:rsidR="006D5FB7" w:rsidRPr="009D0629">
              <w:rPr>
                <w:rFonts w:ascii="Times New Roman" w:hAnsi="Times New Roman" w:cs="Times New Roman"/>
                <w:sz w:val="26"/>
                <w:szCs w:val="26"/>
              </w:rPr>
              <w:t>iem</w:t>
            </w:r>
            <w:r w:rsidR="009E53A7" w:rsidRPr="009D0629">
              <w:rPr>
                <w:rFonts w:ascii="Times New Roman" w:hAnsi="Times New Roman" w:cs="Times New Roman"/>
                <w:sz w:val="26"/>
                <w:szCs w:val="26"/>
              </w:rPr>
              <w:t xml:space="preserve"> likum</w:t>
            </w:r>
            <w:r w:rsidR="00525B27" w:rsidRPr="009D0629">
              <w:rPr>
                <w:rFonts w:ascii="Times New Roman" w:hAnsi="Times New Roman" w:cs="Times New Roman"/>
                <w:sz w:val="26"/>
                <w:szCs w:val="26"/>
              </w:rPr>
              <w:t>ā</w:t>
            </w:r>
            <w:r w:rsidR="009E53A7" w:rsidRPr="009D0629">
              <w:rPr>
                <w:rFonts w:ascii="Times New Roman" w:hAnsi="Times New Roman" w:cs="Times New Roman"/>
                <w:sz w:val="26"/>
                <w:szCs w:val="26"/>
              </w:rPr>
              <w:t xml:space="preserve"> tiks nodrošināt</w:t>
            </w:r>
            <w:r w:rsidR="00391E6A" w:rsidRPr="009D0629">
              <w:rPr>
                <w:rFonts w:ascii="Times New Roman" w:hAnsi="Times New Roman" w:cs="Times New Roman"/>
                <w:sz w:val="26"/>
                <w:szCs w:val="26"/>
              </w:rPr>
              <w:t>as</w:t>
            </w:r>
            <w:r w:rsidR="009E53A7" w:rsidRPr="009D0629">
              <w:rPr>
                <w:rFonts w:ascii="Times New Roman" w:hAnsi="Times New Roman" w:cs="Times New Roman"/>
                <w:sz w:val="26"/>
                <w:szCs w:val="26"/>
              </w:rPr>
              <w:t xml:space="preserve"> no </w:t>
            </w:r>
            <w:r w:rsidR="00734F31" w:rsidRPr="009D0629">
              <w:rPr>
                <w:rFonts w:ascii="Times New Roman" w:hAnsi="Times New Roman" w:cs="Times New Roman"/>
                <w:sz w:val="26"/>
                <w:szCs w:val="26"/>
              </w:rPr>
              <w:t>VID</w:t>
            </w:r>
            <w:r w:rsidR="009E53A7" w:rsidRPr="009D0629">
              <w:rPr>
                <w:rFonts w:ascii="Times New Roman" w:hAnsi="Times New Roman" w:cs="Times New Roman"/>
                <w:sz w:val="26"/>
                <w:szCs w:val="26"/>
              </w:rPr>
              <w:t xml:space="preserve"> dotācijas budžetā piešķirtā finansējuma.</w:t>
            </w:r>
            <w:r w:rsidR="00A21344" w:rsidRPr="009D0629">
              <w:rPr>
                <w:rFonts w:ascii="Times New Roman" w:hAnsi="Times New Roman" w:cs="Times New Roman"/>
                <w:sz w:val="26"/>
                <w:szCs w:val="26"/>
              </w:rPr>
              <w:t xml:space="preserve"> Ņemot vērā, ka normas attiecībā uz atbalstāmo investīciju projektu izvērtēšanu tiek iekļautas likumā, lai tikai nodrošinātu  pilnvarojumu (attiecīgie pasākumi jau šobrīd ir noteikti </w:t>
            </w:r>
            <w:r w:rsidR="00A21742" w:rsidRPr="009D0629">
              <w:rPr>
                <w:rFonts w:ascii="Times New Roman" w:hAnsi="Times New Roman" w:cs="Times New Roman"/>
                <w:sz w:val="26"/>
                <w:szCs w:val="26"/>
              </w:rPr>
              <w:t>N</w:t>
            </w:r>
            <w:r w:rsidR="00A21344" w:rsidRPr="009D0629">
              <w:rPr>
                <w:rFonts w:ascii="Times New Roman" w:hAnsi="Times New Roman" w:cs="Times New Roman"/>
                <w:sz w:val="26"/>
                <w:szCs w:val="26"/>
              </w:rPr>
              <w:t xml:space="preserve">oteikumos), tās neradīs izmaiņas ne VID, ne arī nodokļu maksātāju darbībā. </w:t>
            </w:r>
          </w:p>
        </w:tc>
      </w:tr>
      <w:tr w:rsidR="005642A9" w:rsidRPr="009D0629" w:rsidTr="007B0240">
        <w:tc>
          <w:tcPr>
            <w:tcW w:w="256"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4.</w:t>
            </w:r>
          </w:p>
        </w:tc>
        <w:tc>
          <w:tcPr>
            <w:tcW w:w="2318"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pStyle w:val="naiskr"/>
              <w:spacing w:before="0" w:beforeAutospacing="0" w:after="0" w:afterAutospacing="0"/>
              <w:contextualSpacing/>
              <w:rPr>
                <w:sz w:val="26"/>
                <w:szCs w:val="26"/>
              </w:rPr>
            </w:pPr>
            <w:r w:rsidRPr="009D0629">
              <w:rPr>
                <w:sz w:val="26"/>
                <w:szCs w:val="26"/>
              </w:rPr>
              <w:t>Cita informācija</w:t>
            </w:r>
          </w:p>
        </w:tc>
        <w:tc>
          <w:tcPr>
            <w:tcW w:w="2426"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Nav.</w:t>
            </w:r>
          </w:p>
        </w:tc>
      </w:tr>
    </w:tbl>
    <w:p w:rsidR="005642A9" w:rsidRPr="009D0629" w:rsidRDefault="005642A9" w:rsidP="005642A9">
      <w:pPr>
        <w:spacing w:after="0" w:line="240" w:lineRule="auto"/>
        <w:contextualSpacing/>
        <w:rPr>
          <w:rFonts w:ascii="Times New Roman" w:hAnsi="Times New Roman" w:cs="Times New Roman"/>
          <w:sz w:val="26"/>
          <w:szCs w:val="26"/>
        </w:rPr>
      </w:pPr>
    </w:p>
    <w:tbl>
      <w:tblPr>
        <w:tblW w:w="9781" w:type="dxa"/>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55"/>
        <w:gridCol w:w="1305"/>
        <w:gridCol w:w="1371"/>
        <w:gridCol w:w="1432"/>
        <w:gridCol w:w="1579"/>
        <w:gridCol w:w="1639"/>
      </w:tblGrid>
      <w:tr w:rsidR="005642A9" w:rsidRPr="009D0629" w:rsidTr="00FB779E">
        <w:tc>
          <w:tcPr>
            <w:tcW w:w="5000" w:type="pct"/>
            <w:gridSpan w:val="6"/>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b/>
                <w:bCs/>
                <w:color w:val="000000"/>
                <w:sz w:val="26"/>
                <w:szCs w:val="26"/>
              </w:rPr>
            </w:pPr>
            <w:r w:rsidRPr="009D0629">
              <w:rPr>
                <w:rFonts w:ascii="Times New Roman" w:hAnsi="Times New Roman" w:cs="Times New Roman"/>
                <w:b/>
                <w:bCs/>
                <w:color w:val="000000"/>
                <w:sz w:val="26"/>
                <w:szCs w:val="26"/>
              </w:rPr>
              <w:t>III. Tiesību akta projekta ietekme uz valsts budžetu un pašvaldību budžetiem</w:t>
            </w:r>
          </w:p>
        </w:tc>
      </w:tr>
      <w:tr w:rsidR="005642A9" w:rsidRPr="009D0629" w:rsidTr="00FB779E">
        <w:tc>
          <w:tcPr>
            <w:tcW w:w="1255" w:type="pct"/>
            <w:vMerge w:val="restar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b/>
                <w:color w:val="000000"/>
                <w:sz w:val="26"/>
                <w:szCs w:val="26"/>
              </w:rPr>
            </w:pPr>
            <w:r w:rsidRPr="009D0629">
              <w:rPr>
                <w:rFonts w:ascii="Times New Roman" w:hAnsi="Times New Roman" w:cs="Times New Roman"/>
                <w:b/>
                <w:color w:val="000000"/>
                <w:sz w:val="26"/>
                <w:szCs w:val="26"/>
              </w:rPr>
              <w:t>Rādītāji</w:t>
            </w:r>
          </w:p>
        </w:tc>
        <w:tc>
          <w:tcPr>
            <w:tcW w:w="1368" w:type="pct"/>
            <w:gridSpan w:val="2"/>
            <w:vMerge w:val="restar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b/>
                <w:color w:val="000000"/>
                <w:sz w:val="26"/>
                <w:szCs w:val="26"/>
              </w:rPr>
            </w:pPr>
            <w:r w:rsidRPr="009D0629">
              <w:rPr>
                <w:rFonts w:ascii="Times New Roman" w:hAnsi="Times New Roman" w:cs="Times New Roman"/>
                <w:b/>
                <w:color w:val="000000"/>
                <w:sz w:val="26"/>
                <w:szCs w:val="26"/>
              </w:rPr>
              <w:t>2016.</w:t>
            </w:r>
          </w:p>
        </w:tc>
        <w:tc>
          <w:tcPr>
            <w:tcW w:w="2377" w:type="pct"/>
            <w:gridSpan w:val="3"/>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Turpmākie trīs gadi (</w:t>
            </w:r>
            <w:proofErr w:type="spellStart"/>
            <w:r w:rsidRPr="009D0629">
              <w:rPr>
                <w:rFonts w:ascii="Times New Roman" w:hAnsi="Times New Roman" w:cs="Times New Roman"/>
                <w:i/>
                <w:color w:val="000000"/>
                <w:sz w:val="26"/>
                <w:szCs w:val="26"/>
              </w:rPr>
              <w:t>euro</w:t>
            </w:r>
            <w:proofErr w:type="spellEnd"/>
            <w:r w:rsidRPr="009D0629">
              <w:rPr>
                <w:rFonts w:ascii="Times New Roman" w:hAnsi="Times New Roman" w:cs="Times New Roman"/>
                <w:color w:val="000000"/>
                <w:sz w:val="26"/>
                <w:szCs w:val="26"/>
              </w:rPr>
              <w:t>)</w:t>
            </w:r>
          </w:p>
        </w:tc>
      </w:tr>
      <w:tr w:rsidR="005642A9" w:rsidRPr="009D0629" w:rsidTr="00FB779E">
        <w:trPr>
          <w:trHeight w:val="96"/>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5642A9" w:rsidRPr="009D0629" w:rsidRDefault="005642A9" w:rsidP="007B0240">
            <w:pPr>
              <w:rPr>
                <w:rFonts w:ascii="Times New Roman" w:hAnsi="Times New Roman" w:cs="Times New Roman"/>
                <w:b/>
                <w:color w:val="000000"/>
                <w:sz w:val="26"/>
                <w:szCs w:val="26"/>
              </w:rPr>
            </w:pPr>
          </w:p>
        </w:tc>
        <w:tc>
          <w:tcPr>
            <w:tcW w:w="1368" w:type="pct"/>
            <w:gridSpan w:val="2"/>
            <w:vMerge/>
            <w:tcBorders>
              <w:top w:val="single" w:sz="4" w:space="0" w:color="auto"/>
              <w:left w:val="single" w:sz="4" w:space="0" w:color="auto"/>
              <w:bottom w:val="single" w:sz="4" w:space="0" w:color="auto"/>
              <w:right w:val="single" w:sz="4" w:space="0" w:color="auto"/>
            </w:tcBorders>
            <w:vAlign w:val="center"/>
            <w:hideMark/>
          </w:tcPr>
          <w:p w:rsidR="005642A9" w:rsidRPr="009D0629" w:rsidRDefault="005642A9" w:rsidP="007B0240">
            <w:pPr>
              <w:rPr>
                <w:rFonts w:ascii="Times New Roman" w:hAnsi="Times New Roman" w:cs="Times New Roman"/>
                <w:b/>
                <w:color w:val="000000"/>
                <w:sz w:val="26"/>
                <w:szCs w:val="26"/>
              </w:rPr>
            </w:pPr>
          </w:p>
        </w:tc>
        <w:tc>
          <w:tcPr>
            <w:tcW w:w="732"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b/>
                <w:color w:val="000000"/>
                <w:sz w:val="26"/>
                <w:szCs w:val="26"/>
              </w:rPr>
            </w:pPr>
            <w:r w:rsidRPr="009D0629">
              <w:rPr>
                <w:rFonts w:ascii="Times New Roman" w:hAnsi="Times New Roman" w:cs="Times New Roman"/>
                <w:b/>
                <w:color w:val="000000"/>
                <w:sz w:val="26"/>
                <w:szCs w:val="26"/>
              </w:rPr>
              <w:t>2017.</w:t>
            </w:r>
          </w:p>
        </w:tc>
        <w:tc>
          <w:tcPr>
            <w:tcW w:w="80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b/>
                <w:color w:val="000000"/>
                <w:sz w:val="26"/>
                <w:szCs w:val="26"/>
              </w:rPr>
            </w:pPr>
            <w:r w:rsidRPr="009D0629">
              <w:rPr>
                <w:rFonts w:ascii="Times New Roman" w:hAnsi="Times New Roman" w:cs="Times New Roman"/>
                <w:b/>
                <w:color w:val="000000"/>
                <w:sz w:val="26"/>
                <w:szCs w:val="26"/>
              </w:rPr>
              <w:t>2018.</w:t>
            </w:r>
          </w:p>
        </w:tc>
        <w:tc>
          <w:tcPr>
            <w:tcW w:w="838"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b/>
                <w:color w:val="000000"/>
                <w:sz w:val="26"/>
                <w:szCs w:val="26"/>
              </w:rPr>
            </w:pPr>
            <w:r w:rsidRPr="009D0629">
              <w:rPr>
                <w:rFonts w:ascii="Times New Roman" w:hAnsi="Times New Roman" w:cs="Times New Roman"/>
                <w:b/>
                <w:color w:val="000000"/>
                <w:sz w:val="26"/>
                <w:szCs w:val="26"/>
              </w:rPr>
              <w:t>2019.</w:t>
            </w:r>
          </w:p>
        </w:tc>
      </w:tr>
      <w:tr w:rsidR="005642A9" w:rsidRPr="009D0629" w:rsidTr="00FB779E">
        <w:trPr>
          <w:trHeight w:val="96"/>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5642A9" w:rsidRPr="009D0629" w:rsidRDefault="005642A9" w:rsidP="007B0240">
            <w:pPr>
              <w:rPr>
                <w:rFonts w:ascii="Times New Roman" w:hAnsi="Times New Roman" w:cs="Times New Roman"/>
                <w:b/>
                <w:color w:val="000000"/>
                <w:sz w:val="26"/>
                <w:szCs w:val="26"/>
              </w:rPr>
            </w:pP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Saskaņā ar valsts budžetu kārtējam gadam</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pacing w:val="-6"/>
                <w:sz w:val="26"/>
                <w:szCs w:val="26"/>
              </w:rPr>
            </w:pPr>
            <w:r w:rsidRPr="009D0629">
              <w:rPr>
                <w:rFonts w:ascii="Times New Roman" w:hAnsi="Times New Roman" w:cs="Times New Roman"/>
                <w:color w:val="000000"/>
                <w:spacing w:val="-6"/>
                <w:sz w:val="26"/>
                <w:szCs w:val="26"/>
              </w:rPr>
              <w:t>Izmaiņas kārtējā gadā, salīdzinot ar budžetu kārtējam gadam</w:t>
            </w:r>
          </w:p>
        </w:tc>
        <w:tc>
          <w:tcPr>
            <w:tcW w:w="732"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Izmaiņas, salīdzinot ar kārtējo (n) gadu</w:t>
            </w:r>
          </w:p>
        </w:tc>
        <w:tc>
          <w:tcPr>
            <w:tcW w:w="80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Izmaiņas, salīdzinot ar kārtējo (n) gadu</w:t>
            </w:r>
          </w:p>
        </w:tc>
        <w:tc>
          <w:tcPr>
            <w:tcW w:w="838"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Izmaiņas, salīdzinot ar kārtējo (n) gadu</w:t>
            </w:r>
          </w:p>
        </w:tc>
      </w:tr>
      <w:tr w:rsidR="005642A9" w:rsidRPr="009D0629" w:rsidTr="00FB779E">
        <w:trPr>
          <w:trHeight w:val="96"/>
        </w:trPr>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lastRenderedPageBreak/>
              <w:t>1</w:t>
            </w: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2</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3</w:t>
            </w:r>
          </w:p>
        </w:tc>
        <w:tc>
          <w:tcPr>
            <w:tcW w:w="732"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4</w:t>
            </w:r>
          </w:p>
        </w:tc>
        <w:tc>
          <w:tcPr>
            <w:tcW w:w="80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5</w:t>
            </w:r>
          </w:p>
        </w:tc>
        <w:tc>
          <w:tcPr>
            <w:tcW w:w="838"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6</w:t>
            </w:r>
          </w:p>
        </w:tc>
      </w:tr>
      <w:tr w:rsidR="00FB779E" w:rsidRPr="009D0629" w:rsidTr="00FB779E">
        <w:trPr>
          <w:trHeight w:val="96"/>
        </w:trPr>
        <w:tc>
          <w:tcPr>
            <w:tcW w:w="1255"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spacing w:before="100" w:beforeAutospacing="1" w:after="100" w:afterAutospacing="1"/>
              <w:ind w:left="254" w:hanging="254"/>
              <w:jc w:val="both"/>
              <w:rPr>
                <w:rFonts w:ascii="Times New Roman" w:hAnsi="Times New Roman" w:cs="Times New Roman"/>
                <w:color w:val="000000"/>
                <w:sz w:val="26"/>
                <w:szCs w:val="26"/>
              </w:rPr>
            </w:pPr>
            <w:r w:rsidRPr="009D0629">
              <w:rPr>
                <w:rFonts w:ascii="Times New Roman" w:hAnsi="Times New Roman" w:cs="Times New Roman"/>
                <w:color w:val="000000"/>
                <w:sz w:val="26"/>
                <w:szCs w:val="26"/>
              </w:rPr>
              <w:t>1.   Budžeta ieņēmumi:</w:t>
            </w:r>
          </w:p>
        </w:tc>
        <w:tc>
          <w:tcPr>
            <w:tcW w:w="667"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397146000</w:t>
            </w:r>
          </w:p>
        </w:tc>
        <w:tc>
          <w:tcPr>
            <w:tcW w:w="701"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0</w:t>
            </w:r>
          </w:p>
        </w:tc>
        <w:tc>
          <w:tcPr>
            <w:tcW w:w="732"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0</w:t>
            </w:r>
          </w:p>
        </w:tc>
        <w:tc>
          <w:tcPr>
            <w:tcW w:w="807"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12 518 000</w:t>
            </w:r>
          </w:p>
        </w:tc>
        <w:tc>
          <w:tcPr>
            <w:tcW w:w="838"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11 314 000</w:t>
            </w:r>
          </w:p>
        </w:tc>
      </w:tr>
      <w:tr w:rsidR="00FB779E"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1</w:t>
            </w:r>
            <w:r w:rsidRPr="009D0629">
              <w:rPr>
                <w:rFonts w:ascii="Times New Roman" w:hAnsi="Times New Roman" w:cs="Times New Roman"/>
                <w:color w:val="000000"/>
                <w:spacing w:val="-6"/>
                <w:sz w:val="26"/>
                <w:szCs w:val="26"/>
              </w:rPr>
              <w:t>.1. valsts pamatbudžets, tai skaitā ieņēmumi no maksas pakalpojumiem un citi pašu ieņēmumi</w:t>
            </w:r>
          </w:p>
        </w:tc>
        <w:tc>
          <w:tcPr>
            <w:tcW w:w="667"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397146000</w:t>
            </w:r>
          </w:p>
        </w:tc>
        <w:tc>
          <w:tcPr>
            <w:tcW w:w="701"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0</w:t>
            </w:r>
          </w:p>
        </w:tc>
        <w:tc>
          <w:tcPr>
            <w:tcW w:w="732"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0</w:t>
            </w:r>
          </w:p>
        </w:tc>
        <w:tc>
          <w:tcPr>
            <w:tcW w:w="807"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12 518 000</w:t>
            </w:r>
          </w:p>
        </w:tc>
        <w:tc>
          <w:tcPr>
            <w:tcW w:w="838"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11 314 000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1.2. valsts speciālais budžets</w:t>
            </w: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1.3. pašvaldību budžets</w:t>
            </w:r>
          </w:p>
        </w:tc>
        <w:tc>
          <w:tcPr>
            <w:tcW w:w="667" w:type="pct"/>
            <w:tcBorders>
              <w:top w:val="single" w:sz="4" w:space="0" w:color="auto"/>
              <w:left w:val="single" w:sz="4" w:space="0" w:color="auto"/>
              <w:bottom w:val="single" w:sz="4" w:space="0" w:color="auto"/>
              <w:right w:val="single" w:sz="4" w:space="0" w:color="auto"/>
            </w:tcBorders>
            <w:vAlign w:val="center"/>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vAlign w:val="center"/>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r>
      <w:tr w:rsidR="005642A9" w:rsidRPr="009D0629" w:rsidTr="00FB779E">
        <w:trPr>
          <w:trHeight w:val="96"/>
        </w:trPr>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ind w:left="254" w:hanging="254"/>
              <w:jc w:val="both"/>
              <w:rPr>
                <w:rFonts w:ascii="Times New Roman" w:hAnsi="Times New Roman" w:cs="Times New Roman"/>
                <w:color w:val="000000"/>
                <w:sz w:val="26"/>
                <w:szCs w:val="26"/>
              </w:rPr>
            </w:pPr>
            <w:r w:rsidRPr="009D0629">
              <w:rPr>
                <w:rFonts w:ascii="Times New Roman" w:hAnsi="Times New Roman" w:cs="Times New Roman"/>
                <w:color w:val="000000"/>
                <w:sz w:val="26"/>
                <w:szCs w:val="26"/>
              </w:rPr>
              <w:t>2.   Budžeta izdevumi:</w:t>
            </w: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2.1. valsts pamatbudžets</w:t>
            </w: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2.2. valsts speciālais budžets</w:t>
            </w: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2.3. pašvaldību budžets</w:t>
            </w:r>
          </w:p>
        </w:tc>
        <w:tc>
          <w:tcPr>
            <w:tcW w:w="667"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r>
      <w:tr w:rsidR="00FB779E" w:rsidRPr="009D0629" w:rsidTr="00FB779E">
        <w:trPr>
          <w:trHeight w:val="96"/>
        </w:trPr>
        <w:tc>
          <w:tcPr>
            <w:tcW w:w="1255"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spacing w:before="100" w:beforeAutospacing="1" w:after="100" w:afterAutospacing="1"/>
              <w:ind w:left="254" w:hanging="254"/>
              <w:jc w:val="both"/>
              <w:rPr>
                <w:rFonts w:ascii="Times New Roman" w:hAnsi="Times New Roman" w:cs="Times New Roman"/>
                <w:color w:val="000000"/>
                <w:sz w:val="26"/>
                <w:szCs w:val="26"/>
              </w:rPr>
            </w:pPr>
            <w:r w:rsidRPr="009D0629">
              <w:rPr>
                <w:rFonts w:ascii="Times New Roman" w:hAnsi="Times New Roman" w:cs="Times New Roman"/>
                <w:color w:val="000000"/>
                <w:sz w:val="26"/>
                <w:szCs w:val="26"/>
              </w:rPr>
              <w:t>3.   Finansiālā ietekme:</w:t>
            </w:r>
          </w:p>
        </w:tc>
        <w:tc>
          <w:tcPr>
            <w:tcW w:w="667"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12 518 000</w:t>
            </w:r>
          </w:p>
        </w:tc>
        <w:tc>
          <w:tcPr>
            <w:tcW w:w="838"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11 314 000</w:t>
            </w:r>
          </w:p>
        </w:tc>
      </w:tr>
      <w:tr w:rsidR="00FB779E"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3.1. valsts pamatbudžets</w:t>
            </w:r>
          </w:p>
        </w:tc>
        <w:tc>
          <w:tcPr>
            <w:tcW w:w="667"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hideMark/>
          </w:tcPr>
          <w:p w:rsidR="00FB779E" w:rsidRPr="009D0629" w:rsidRDefault="00FB779E" w:rsidP="00FB779E">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12 518 000</w:t>
            </w:r>
          </w:p>
        </w:tc>
        <w:tc>
          <w:tcPr>
            <w:tcW w:w="838" w:type="pct"/>
            <w:tcBorders>
              <w:top w:val="single" w:sz="4" w:space="0" w:color="auto"/>
              <w:left w:val="single" w:sz="4" w:space="0" w:color="auto"/>
              <w:bottom w:val="single" w:sz="4" w:space="0" w:color="auto"/>
              <w:right w:val="single" w:sz="4" w:space="0" w:color="auto"/>
            </w:tcBorders>
          </w:tcPr>
          <w:p w:rsidR="00FB779E" w:rsidRPr="009D0629" w:rsidRDefault="00FB779E" w:rsidP="00FB779E">
            <w:pPr>
              <w:rPr>
                <w:rFonts w:ascii="Times New Roman" w:hAnsi="Times New Roman" w:cs="Times New Roman"/>
                <w:sz w:val="26"/>
                <w:szCs w:val="26"/>
              </w:rPr>
            </w:pPr>
            <w:r w:rsidRPr="009D0629">
              <w:rPr>
                <w:rFonts w:ascii="Times New Roman" w:hAnsi="Times New Roman" w:cs="Times New Roman"/>
                <w:sz w:val="26"/>
                <w:szCs w:val="26"/>
              </w:rPr>
              <w:t>11 314 000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3.2. speciālais budžets</w:t>
            </w: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3.3. pašvaldību budžets</w:t>
            </w:r>
          </w:p>
        </w:tc>
        <w:tc>
          <w:tcPr>
            <w:tcW w:w="667"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jc w:val="center"/>
              <w:rPr>
                <w:rFonts w:ascii="Times New Roman" w:hAnsi="Times New Roman" w:cs="Times New Roman"/>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both"/>
              <w:rPr>
                <w:rFonts w:ascii="Times New Roman" w:hAnsi="Times New Roman" w:cs="Times New Roman"/>
                <w:color w:val="000000"/>
                <w:sz w:val="26"/>
                <w:szCs w:val="26"/>
              </w:rPr>
            </w:pPr>
            <w:r w:rsidRPr="009D0629">
              <w:rPr>
                <w:rFonts w:ascii="Times New Roman" w:hAnsi="Times New Roman" w:cs="Times New Roman"/>
                <w:color w:val="000000"/>
                <w:sz w:val="26"/>
                <w:szCs w:val="26"/>
              </w:rPr>
              <w:t>4</w:t>
            </w:r>
            <w:r w:rsidRPr="009D0629">
              <w:rPr>
                <w:rFonts w:ascii="Times New Roman" w:hAnsi="Times New Roman" w:cs="Times New Roman"/>
                <w:color w:val="000000"/>
                <w:spacing w:val="-6"/>
                <w:sz w:val="26"/>
                <w:szCs w:val="26"/>
              </w:rPr>
              <w:t>.Finanšu līdzekļi papildu izdevumu finansēšanai (kompensējošu izdevumu samazinājumu norāda ar "+" zīmi)</w:t>
            </w: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X</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ind w:left="255" w:hanging="255"/>
              <w:jc w:val="both"/>
              <w:rPr>
                <w:rFonts w:ascii="Times New Roman" w:hAnsi="Times New Roman" w:cs="Times New Roman"/>
                <w:color w:val="000000"/>
                <w:sz w:val="26"/>
                <w:szCs w:val="26"/>
              </w:rPr>
            </w:pPr>
            <w:r w:rsidRPr="009D0629">
              <w:rPr>
                <w:rFonts w:ascii="Times New Roman" w:hAnsi="Times New Roman" w:cs="Times New Roman"/>
                <w:color w:val="000000"/>
                <w:sz w:val="26"/>
                <w:szCs w:val="26"/>
              </w:rPr>
              <w:t>5.   Precizēta finansiālā ietekme:</w:t>
            </w: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X</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5.1. valsts pamatbudžets</w:t>
            </w: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lastRenderedPageBreak/>
              <w:t>5.2. speciālais budžets</w:t>
            </w:r>
          </w:p>
        </w:tc>
        <w:tc>
          <w:tcPr>
            <w:tcW w:w="66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hideMark/>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5.3. pašvaldību budžets</w:t>
            </w:r>
          </w:p>
        </w:tc>
        <w:tc>
          <w:tcPr>
            <w:tcW w:w="667"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01"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732"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07"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c>
          <w:tcPr>
            <w:tcW w:w="838" w:type="pct"/>
            <w:tcBorders>
              <w:top w:val="single" w:sz="4" w:space="0" w:color="auto"/>
              <w:left w:val="single" w:sz="4" w:space="0" w:color="auto"/>
              <w:bottom w:val="single" w:sz="4" w:space="0" w:color="auto"/>
              <w:right w:val="single" w:sz="4" w:space="0" w:color="auto"/>
            </w:tcBorders>
          </w:tcPr>
          <w:p w:rsidR="005642A9" w:rsidRPr="009D0629" w:rsidRDefault="005642A9" w:rsidP="007B0240">
            <w:pPr>
              <w:spacing w:before="100" w:beforeAutospacing="1" w:after="100" w:afterAutospacing="1"/>
              <w:jc w:val="center"/>
              <w:rPr>
                <w:rFonts w:ascii="Times New Roman" w:hAnsi="Times New Roman" w:cs="Times New Roman"/>
                <w:color w:val="000000"/>
                <w:sz w:val="26"/>
                <w:szCs w:val="26"/>
              </w:rPr>
            </w:pPr>
            <w:r w:rsidRPr="009D0629">
              <w:rPr>
                <w:rFonts w:ascii="Times New Roman" w:hAnsi="Times New Roman" w:cs="Times New Roman"/>
                <w:color w:val="000000"/>
                <w:sz w:val="26"/>
                <w:szCs w:val="26"/>
              </w:rPr>
              <w:t>0</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2F6204">
            <w:pPr>
              <w:spacing w:before="100" w:beforeAutospacing="1" w:after="100" w:afterAutospacing="1"/>
              <w:jc w:val="both"/>
              <w:rPr>
                <w:rFonts w:ascii="Times New Roman" w:hAnsi="Times New Roman" w:cs="Times New Roman"/>
                <w:color w:val="000000"/>
                <w:spacing w:val="-6"/>
                <w:sz w:val="26"/>
                <w:szCs w:val="26"/>
              </w:rPr>
            </w:pPr>
            <w:r w:rsidRPr="009D0629">
              <w:rPr>
                <w:rFonts w:ascii="Times New Roman" w:hAnsi="Times New Roman" w:cs="Times New Roman"/>
                <w:color w:val="000000"/>
                <w:spacing w:val="-6"/>
                <w:sz w:val="26"/>
                <w:szCs w:val="26"/>
              </w:rPr>
              <w:t>6. Detalizēts ieņēmumu un izdevumu aprēķins (ja nepieciešams, detalizētu ieņēmumu un izdevumu aprēķinu var pievienot anotācijas pielikumā):</w:t>
            </w:r>
          </w:p>
        </w:tc>
        <w:tc>
          <w:tcPr>
            <w:tcW w:w="3745" w:type="pct"/>
            <w:gridSpan w:val="5"/>
            <w:tcBorders>
              <w:top w:val="single" w:sz="4" w:space="0" w:color="auto"/>
              <w:left w:val="single" w:sz="4" w:space="0" w:color="auto"/>
              <w:bottom w:val="single" w:sz="4" w:space="0" w:color="auto"/>
              <w:right w:val="single" w:sz="4" w:space="0" w:color="auto"/>
            </w:tcBorders>
          </w:tcPr>
          <w:p w:rsidR="004F6474" w:rsidRPr="009D0629" w:rsidRDefault="004F6474" w:rsidP="002F6204">
            <w:pPr>
              <w:spacing w:before="100" w:beforeAutospacing="1" w:after="100" w:afterAutospacing="1" w:line="240" w:lineRule="auto"/>
              <w:ind w:right="142"/>
              <w:contextualSpacing/>
              <w:jc w:val="both"/>
              <w:rPr>
                <w:rFonts w:ascii="Times New Roman" w:eastAsia="Times New Roman" w:hAnsi="Times New Roman" w:cs="Times New Roman"/>
                <w:i/>
                <w:sz w:val="26"/>
                <w:szCs w:val="26"/>
                <w:lang w:eastAsia="lv-LV"/>
              </w:rPr>
            </w:pPr>
            <w:r w:rsidRPr="009D0629">
              <w:rPr>
                <w:rFonts w:ascii="Times New Roman" w:eastAsia="Times New Roman" w:hAnsi="Times New Roman" w:cs="Times New Roman"/>
                <w:i/>
                <w:sz w:val="26"/>
                <w:szCs w:val="26"/>
                <w:lang w:eastAsia="lv-LV"/>
              </w:rPr>
              <w:t>Reprezentatīvie automobiļi</w:t>
            </w:r>
            <w:r w:rsidR="00E6303B" w:rsidRPr="009D0629">
              <w:rPr>
                <w:rFonts w:ascii="Times New Roman" w:eastAsia="Times New Roman" w:hAnsi="Times New Roman" w:cs="Times New Roman"/>
                <w:i/>
                <w:sz w:val="26"/>
                <w:szCs w:val="26"/>
                <w:lang w:eastAsia="lv-LV"/>
              </w:rPr>
              <w:t>.</w:t>
            </w:r>
          </w:p>
          <w:p w:rsidR="00103148" w:rsidRPr="009D0629" w:rsidRDefault="00103148" w:rsidP="002F6204">
            <w:pPr>
              <w:spacing w:before="100" w:beforeAutospacing="1" w:after="100" w:afterAutospacing="1" w:line="240" w:lineRule="auto"/>
              <w:ind w:right="142"/>
              <w:contextualSpacing/>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 xml:space="preserve">Pēc Finanšu ministrijas aplēsēm, nosakot, ka kravas automobilis ar pilnu masu līdz 3000 kilogramiem, kas ir reģistrēts kā kravas furgons un kam ir vairāk nekā trīs sēdvietas (ieskaitot vadītāja sēdvietu), ja tas ir </w:t>
            </w:r>
            <w:r w:rsidR="00391E6A" w:rsidRPr="009D0629">
              <w:rPr>
                <w:rFonts w:ascii="Times New Roman" w:eastAsia="Times New Roman" w:hAnsi="Times New Roman" w:cs="Times New Roman"/>
                <w:sz w:val="26"/>
                <w:szCs w:val="26"/>
                <w:lang w:eastAsia="lv-LV"/>
              </w:rPr>
              <w:t>pārklasificēts</w:t>
            </w:r>
            <w:r w:rsidRPr="009D0629">
              <w:rPr>
                <w:rFonts w:ascii="Times New Roman" w:eastAsia="Times New Roman" w:hAnsi="Times New Roman" w:cs="Times New Roman"/>
                <w:sz w:val="26"/>
                <w:szCs w:val="26"/>
                <w:lang w:eastAsia="lv-LV"/>
              </w:rPr>
              <w:t xml:space="preserve"> no vieglā automobiļa (M1 kategorija) par kravas automobili (N1 kategorija)</w:t>
            </w:r>
            <w:r w:rsidR="00EC78CD" w:rsidRPr="009D0629">
              <w:rPr>
                <w:rFonts w:ascii="Times New Roman" w:eastAsia="Times New Roman" w:hAnsi="Times New Roman" w:cs="Times New Roman"/>
                <w:sz w:val="26"/>
                <w:szCs w:val="26"/>
                <w:lang w:eastAsia="lv-LV"/>
              </w:rPr>
              <w:t>,</w:t>
            </w:r>
            <w:r w:rsidRPr="009D0629">
              <w:rPr>
                <w:rFonts w:ascii="Times New Roman" w:eastAsia="Times New Roman" w:hAnsi="Times New Roman" w:cs="Times New Roman"/>
                <w:sz w:val="26"/>
                <w:szCs w:val="26"/>
                <w:lang w:eastAsia="lv-LV"/>
              </w:rPr>
              <w:t xml:space="preserve"> ir uzskatāms par reprezentatīvo automobili, fiskālā ietekme uz valsts budžetu 2018. un 2019.gadā būtu attiecīgi  18 tūkst.</w:t>
            </w:r>
            <w:r w:rsidR="00A21742" w:rsidRPr="009D0629">
              <w:rPr>
                <w:rFonts w:ascii="Times New Roman" w:eastAsia="Times New Roman" w:hAnsi="Times New Roman" w:cs="Times New Roman"/>
                <w:sz w:val="26"/>
                <w:szCs w:val="26"/>
                <w:lang w:eastAsia="lv-LV"/>
              </w:rPr>
              <w:t xml:space="preserve"> </w:t>
            </w:r>
            <w:proofErr w:type="spellStart"/>
            <w:r w:rsidRPr="009D0629">
              <w:rPr>
                <w:rFonts w:ascii="Times New Roman" w:eastAsia="Times New Roman" w:hAnsi="Times New Roman" w:cs="Times New Roman"/>
                <w:i/>
                <w:sz w:val="26"/>
                <w:szCs w:val="26"/>
                <w:lang w:eastAsia="lv-LV"/>
              </w:rPr>
              <w:t>euro</w:t>
            </w:r>
            <w:proofErr w:type="spellEnd"/>
            <w:r w:rsidRPr="009D0629">
              <w:rPr>
                <w:rFonts w:ascii="Times New Roman" w:eastAsia="Times New Roman" w:hAnsi="Times New Roman" w:cs="Times New Roman"/>
                <w:sz w:val="26"/>
                <w:szCs w:val="26"/>
                <w:lang w:eastAsia="lv-LV"/>
              </w:rPr>
              <w:t xml:space="preserve"> un 14 tūkst.</w:t>
            </w:r>
            <w:r w:rsidR="00A21742" w:rsidRPr="009D0629">
              <w:rPr>
                <w:rFonts w:ascii="Times New Roman" w:eastAsia="Times New Roman" w:hAnsi="Times New Roman" w:cs="Times New Roman"/>
                <w:sz w:val="26"/>
                <w:szCs w:val="26"/>
                <w:lang w:eastAsia="lv-LV"/>
              </w:rPr>
              <w:t xml:space="preserve"> </w:t>
            </w:r>
            <w:proofErr w:type="spellStart"/>
            <w:r w:rsidRPr="009D0629">
              <w:rPr>
                <w:rFonts w:ascii="Times New Roman" w:eastAsia="Times New Roman" w:hAnsi="Times New Roman" w:cs="Times New Roman"/>
                <w:i/>
                <w:sz w:val="26"/>
                <w:szCs w:val="26"/>
                <w:lang w:eastAsia="lv-LV"/>
              </w:rPr>
              <w:t>euro</w:t>
            </w:r>
            <w:proofErr w:type="spellEnd"/>
            <w:r w:rsidRPr="009D0629">
              <w:rPr>
                <w:rFonts w:ascii="Times New Roman" w:eastAsia="Times New Roman" w:hAnsi="Times New Roman" w:cs="Times New Roman"/>
                <w:sz w:val="26"/>
                <w:szCs w:val="26"/>
                <w:lang w:eastAsia="lv-LV"/>
              </w:rPr>
              <w:t>.</w:t>
            </w:r>
          </w:p>
          <w:p w:rsidR="005642A9" w:rsidRPr="009D0629" w:rsidRDefault="00103148" w:rsidP="002F6204">
            <w:pPr>
              <w:spacing w:before="100" w:beforeAutospacing="1" w:after="100" w:afterAutospacing="1" w:line="240" w:lineRule="auto"/>
              <w:ind w:right="142"/>
              <w:contextualSpacing/>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 xml:space="preserve">Aprēķinos ņemts vērā līdz 2014.gadam (ieskaitot) par N1 </w:t>
            </w:r>
            <w:r w:rsidR="00391E6A" w:rsidRPr="009D0629">
              <w:rPr>
                <w:rFonts w:ascii="Times New Roman" w:eastAsia="Times New Roman" w:hAnsi="Times New Roman" w:cs="Times New Roman"/>
                <w:sz w:val="26"/>
                <w:szCs w:val="26"/>
                <w:lang w:eastAsia="lv-LV"/>
              </w:rPr>
              <w:t xml:space="preserve">pārklasificēto </w:t>
            </w:r>
            <w:r w:rsidRPr="009D0629">
              <w:rPr>
                <w:rFonts w:ascii="Times New Roman" w:eastAsia="Times New Roman" w:hAnsi="Times New Roman" w:cs="Times New Roman"/>
                <w:sz w:val="26"/>
                <w:szCs w:val="26"/>
                <w:lang w:eastAsia="lv-LV"/>
              </w:rPr>
              <w:t xml:space="preserve">reprezentatīvo vieglo automobiļu skaits un to ekspluatācijas vidējās izmaksas (tiek pieņemts, ka turpmākajos gados šādu automobiļu skaits samazināsies par 20%). Tāpat tiek pieņemts, ka 50% no uzņēmumiem, kuru īpašumā ir minētie automobiļi, darbosies ar peļņu, tādējādi par minētajiem ekspluatācijas izdevumiem netiks samazināts ar UIN apliekamais ienākums. Aprēķinos nav ņemta vērā ietekme no šādu automobiļu iegādes izdevumiem, pieņemot, ka jaunā norma ierobežos minēto </w:t>
            </w:r>
            <w:proofErr w:type="spellStart"/>
            <w:r w:rsidR="00391E6A" w:rsidRPr="009D0629">
              <w:rPr>
                <w:rFonts w:ascii="Times New Roman" w:eastAsia="Times New Roman" w:hAnsi="Times New Roman" w:cs="Times New Roman"/>
                <w:sz w:val="26"/>
                <w:szCs w:val="26"/>
                <w:lang w:eastAsia="lv-LV"/>
              </w:rPr>
              <w:t>pārklasifikāciju</w:t>
            </w:r>
            <w:proofErr w:type="spellEnd"/>
            <w:r w:rsidRPr="009D0629">
              <w:rPr>
                <w:rFonts w:ascii="Times New Roman" w:eastAsia="Times New Roman" w:hAnsi="Times New Roman" w:cs="Times New Roman"/>
                <w:sz w:val="26"/>
                <w:szCs w:val="26"/>
                <w:lang w:eastAsia="lv-LV"/>
              </w:rPr>
              <w:t xml:space="preserve"> skaitu līdz minimumam, jo tas vairs nebūs finansiāli izdevīgi.</w:t>
            </w:r>
          </w:p>
          <w:p w:rsidR="004F6474" w:rsidRPr="009D0629" w:rsidRDefault="004F6474" w:rsidP="002F6204">
            <w:pPr>
              <w:spacing w:before="100" w:beforeAutospacing="1" w:after="100" w:afterAutospacing="1" w:line="240" w:lineRule="auto"/>
              <w:ind w:right="142"/>
              <w:contextualSpacing/>
              <w:jc w:val="both"/>
              <w:rPr>
                <w:rFonts w:ascii="Times New Roman" w:eastAsia="Times New Roman" w:hAnsi="Times New Roman" w:cs="Times New Roman"/>
                <w:i/>
                <w:sz w:val="26"/>
                <w:szCs w:val="26"/>
                <w:lang w:eastAsia="lv-LV"/>
              </w:rPr>
            </w:pPr>
            <w:r w:rsidRPr="009D0629">
              <w:rPr>
                <w:rFonts w:ascii="Times New Roman" w:eastAsia="Times New Roman" w:hAnsi="Times New Roman" w:cs="Times New Roman"/>
                <w:i/>
                <w:sz w:val="26"/>
                <w:szCs w:val="26"/>
                <w:lang w:eastAsia="lv-LV"/>
              </w:rPr>
              <w:t>Zaudējumu segšana</w:t>
            </w:r>
            <w:r w:rsidR="00E6303B" w:rsidRPr="009D0629">
              <w:rPr>
                <w:rFonts w:ascii="Times New Roman" w:eastAsia="Times New Roman" w:hAnsi="Times New Roman" w:cs="Times New Roman"/>
                <w:i/>
                <w:sz w:val="26"/>
                <w:szCs w:val="26"/>
                <w:lang w:eastAsia="lv-LV"/>
              </w:rPr>
              <w:t>.</w:t>
            </w:r>
          </w:p>
          <w:p w:rsidR="00B32630" w:rsidRPr="009D0629" w:rsidRDefault="00B32630" w:rsidP="002F6204">
            <w:pPr>
              <w:spacing w:before="100" w:beforeAutospacing="1" w:after="100" w:afterAutospacing="1" w:line="240" w:lineRule="auto"/>
              <w:ind w:right="142"/>
              <w:contextualSpacing/>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Šobrīd</w:t>
            </w:r>
            <w:r w:rsidR="00586CF4" w:rsidRPr="009D0629">
              <w:rPr>
                <w:rFonts w:ascii="Times New Roman" w:eastAsia="Times New Roman" w:hAnsi="Times New Roman" w:cs="Times New Roman"/>
                <w:sz w:val="26"/>
                <w:szCs w:val="26"/>
                <w:lang w:eastAsia="lv-LV"/>
              </w:rPr>
              <w:t>,</w:t>
            </w:r>
            <w:r w:rsidRPr="009D0629">
              <w:rPr>
                <w:rFonts w:ascii="Times New Roman" w:eastAsia="Times New Roman" w:hAnsi="Times New Roman" w:cs="Times New Roman"/>
                <w:sz w:val="26"/>
                <w:szCs w:val="26"/>
                <w:lang w:eastAsia="lv-LV"/>
              </w:rPr>
              <w:t xml:space="preserve"> analizējot UIN deklarācijas par 2013.gadu un 2014.gadu, zaudējumu summa, par ko samazina apliek</w:t>
            </w:r>
            <w:r w:rsidR="00EC78CD" w:rsidRPr="009D0629">
              <w:rPr>
                <w:rFonts w:ascii="Times New Roman" w:eastAsia="Times New Roman" w:hAnsi="Times New Roman" w:cs="Times New Roman"/>
                <w:sz w:val="26"/>
                <w:szCs w:val="26"/>
                <w:lang w:eastAsia="lv-LV"/>
              </w:rPr>
              <w:t xml:space="preserve">amo ienākumu taksācijas periodā, </w:t>
            </w:r>
            <w:r w:rsidRPr="009D0629">
              <w:rPr>
                <w:rFonts w:ascii="Times New Roman" w:eastAsia="Times New Roman" w:hAnsi="Times New Roman" w:cs="Times New Roman"/>
                <w:sz w:val="26"/>
                <w:szCs w:val="26"/>
                <w:lang w:eastAsia="lv-LV"/>
              </w:rPr>
              <w:t>ir attiecīgi 657,7 milj.</w:t>
            </w:r>
            <w:r w:rsidR="00A21742" w:rsidRPr="009D0629">
              <w:rPr>
                <w:rFonts w:ascii="Times New Roman" w:eastAsia="Times New Roman" w:hAnsi="Times New Roman" w:cs="Times New Roman"/>
                <w:sz w:val="26"/>
                <w:szCs w:val="26"/>
                <w:lang w:eastAsia="lv-LV"/>
              </w:rPr>
              <w:t xml:space="preserve"> </w:t>
            </w:r>
            <w:proofErr w:type="spellStart"/>
            <w:r w:rsidRPr="009D0629">
              <w:rPr>
                <w:rFonts w:ascii="Times New Roman" w:eastAsia="Times New Roman" w:hAnsi="Times New Roman" w:cs="Times New Roman"/>
                <w:i/>
                <w:sz w:val="26"/>
                <w:szCs w:val="26"/>
                <w:lang w:eastAsia="lv-LV"/>
              </w:rPr>
              <w:t>euro</w:t>
            </w:r>
            <w:proofErr w:type="spellEnd"/>
            <w:r w:rsidRPr="009D0629">
              <w:rPr>
                <w:rFonts w:ascii="Times New Roman" w:eastAsia="Times New Roman" w:hAnsi="Times New Roman" w:cs="Times New Roman"/>
                <w:sz w:val="26"/>
                <w:szCs w:val="26"/>
                <w:lang w:eastAsia="lv-LV"/>
              </w:rPr>
              <w:t xml:space="preserve"> un 820,3 milj.</w:t>
            </w:r>
            <w:r w:rsidR="00A21742" w:rsidRPr="009D0629">
              <w:rPr>
                <w:rFonts w:ascii="Times New Roman" w:eastAsia="Times New Roman" w:hAnsi="Times New Roman" w:cs="Times New Roman"/>
                <w:sz w:val="26"/>
                <w:szCs w:val="26"/>
                <w:lang w:eastAsia="lv-LV"/>
              </w:rPr>
              <w:t xml:space="preserve"> </w:t>
            </w:r>
            <w:proofErr w:type="spellStart"/>
            <w:r w:rsidRPr="009D0629">
              <w:rPr>
                <w:rFonts w:ascii="Times New Roman" w:eastAsia="Times New Roman" w:hAnsi="Times New Roman" w:cs="Times New Roman"/>
                <w:i/>
                <w:sz w:val="26"/>
                <w:szCs w:val="26"/>
                <w:lang w:eastAsia="lv-LV"/>
              </w:rPr>
              <w:t>euro</w:t>
            </w:r>
            <w:proofErr w:type="spellEnd"/>
            <w:r w:rsidRPr="009D0629">
              <w:rPr>
                <w:rFonts w:ascii="Times New Roman" w:eastAsia="Times New Roman" w:hAnsi="Times New Roman" w:cs="Times New Roman"/>
                <w:sz w:val="26"/>
                <w:szCs w:val="26"/>
                <w:lang w:eastAsia="lv-LV"/>
              </w:rPr>
              <w:t>. Vērtējot pēc negūto ieņēmumu metodes, tas teorētiski rada UIN ieņēmumu samazinājumu attiecīgi par 98,7 milj.</w:t>
            </w:r>
            <w:r w:rsidR="00A21742" w:rsidRPr="009D0629">
              <w:rPr>
                <w:rFonts w:ascii="Times New Roman" w:eastAsia="Times New Roman" w:hAnsi="Times New Roman" w:cs="Times New Roman"/>
                <w:sz w:val="26"/>
                <w:szCs w:val="26"/>
                <w:lang w:eastAsia="lv-LV"/>
              </w:rPr>
              <w:t xml:space="preserve"> </w:t>
            </w:r>
            <w:proofErr w:type="spellStart"/>
            <w:r w:rsidRPr="009D0629">
              <w:rPr>
                <w:rFonts w:ascii="Times New Roman" w:eastAsia="Times New Roman" w:hAnsi="Times New Roman" w:cs="Times New Roman"/>
                <w:i/>
                <w:sz w:val="26"/>
                <w:szCs w:val="26"/>
                <w:lang w:eastAsia="lv-LV"/>
              </w:rPr>
              <w:t>euro</w:t>
            </w:r>
            <w:proofErr w:type="spellEnd"/>
            <w:r w:rsidRPr="009D0629">
              <w:rPr>
                <w:rFonts w:ascii="Times New Roman" w:eastAsia="Times New Roman" w:hAnsi="Times New Roman" w:cs="Times New Roman"/>
                <w:sz w:val="26"/>
                <w:szCs w:val="26"/>
                <w:lang w:eastAsia="lv-LV"/>
              </w:rPr>
              <w:t xml:space="preserve"> un 123,0 milj.</w:t>
            </w:r>
            <w:r w:rsidR="00A21742" w:rsidRPr="009D0629">
              <w:rPr>
                <w:rFonts w:ascii="Times New Roman" w:eastAsia="Times New Roman" w:hAnsi="Times New Roman" w:cs="Times New Roman"/>
                <w:sz w:val="26"/>
                <w:szCs w:val="26"/>
                <w:lang w:eastAsia="lv-LV"/>
              </w:rPr>
              <w:t xml:space="preserve"> </w:t>
            </w:r>
            <w:proofErr w:type="spellStart"/>
            <w:r w:rsidRPr="009D0629">
              <w:rPr>
                <w:rFonts w:ascii="Times New Roman" w:eastAsia="Times New Roman" w:hAnsi="Times New Roman" w:cs="Times New Roman"/>
                <w:i/>
                <w:sz w:val="26"/>
                <w:szCs w:val="26"/>
                <w:lang w:eastAsia="lv-LV"/>
              </w:rPr>
              <w:t>euro</w:t>
            </w:r>
            <w:proofErr w:type="spellEnd"/>
            <w:r w:rsidRPr="009D0629">
              <w:rPr>
                <w:rFonts w:ascii="Times New Roman" w:eastAsia="Times New Roman" w:hAnsi="Times New Roman" w:cs="Times New Roman"/>
                <w:sz w:val="26"/>
                <w:szCs w:val="26"/>
                <w:lang w:eastAsia="lv-LV"/>
              </w:rPr>
              <w:t xml:space="preserve"> (vidēji </w:t>
            </w:r>
            <w:r w:rsidR="0089388A" w:rsidRPr="009D0629">
              <w:rPr>
                <w:rFonts w:ascii="Times New Roman" w:eastAsia="Times New Roman" w:hAnsi="Times New Roman" w:cs="Times New Roman"/>
                <w:sz w:val="26"/>
                <w:szCs w:val="26"/>
                <w:lang w:eastAsia="lv-LV"/>
              </w:rPr>
              <w:t xml:space="preserve">gadā </w:t>
            </w:r>
            <w:r w:rsidRPr="009D0629">
              <w:rPr>
                <w:rFonts w:ascii="Times New Roman" w:eastAsia="Times New Roman" w:hAnsi="Times New Roman" w:cs="Times New Roman"/>
                <w:sz w:val="26"/>
                <w:szCs w:val="26"/>
                <w:lang w:eastAsia="lv-LV"/>
              </w:rPr>
              <w:t>110,9 milj.</w:t>
            </w:r>
            <w:r w:rsidR="00A21742" w:rsidRPr="009D0629">
              <w:rPr>
                <w:rFonts w:ascii="Times New Roman" w:eastAsia="Times New Roman" w:hAnsi="Times New Roman" w:cs="Times New Roman"/>
                <w:sz w:val="26"/>
                <w:szCs w:val="26"/>
                <w:lang w:eastAsia="lv-LV"/>
              </w:rPr>
              <w:t xml:space="preserve"> </w:t>
            </w:r>
            <w:proofErr w:type="spellStart"/>
            <w:r w:rsidRPr="009D0629">
              <w:rPr>
                <w:rFonts w:ascii="Times New Roman" w:eastAsia="Times New Roman" w:hAnsi="Times New Roman" w:cs="Times New Roman"/>
                <w:i/>
                <w:sz w:val="26"/>
                <w:szCs w:val="26"/>
                <w:lang w:eastAsia="lv-LV"/>
              </w:rPr>
              <w:t>euro</w:t>
            </w:r>
            <w:proofErr w:type="spellEnd"/>
            <w:r w:rsidRPr="009D0629">
              <w:rPr>
                <w:rFonts w:ascii="Times New Roman" w:eastAsia="Times New Roman" w:hAnsi="Times New Roman" w:cs="Times New Roman"/>
                <w:sz w:val="26"/>
                <w:szCs w:val="26"/>
                <w:lang w:eastAsia="lv-LV"/>
              </w:rPr>
              <w:t>).</w:t>
            </w:r>
          </w:p>
          <w:p w:rsidR="00B32630" w:rsidRPr="009D0629" w:rsidRDefault="00B32630" w:rsidP="002F6204">
            <w:pPr>
              <w:spacing w:before="100" w:beforeAutospacing="1" w:after="100" w:afterAutospacing="1" w:line="240" w:lineRule="auto"/>
              <w:ind w:right="142"/>
              <w:contextualSpacing/>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Redzams, ka krīzes gados uzkrāto zaudējumu apmērs pakāpeniski samazinās un drīzumā tiks norakstīts, tāpēc arī gaidāma šī atvieglojuma negatīvās fiskālās ietekmes samazināšanās. Vienlaikus pieaug zaudējuma summa, par ko samazina apliekamo ienākumu taksācijas periodā, kas skaidrojams ar faktu, ka uzņēmumiem palielinās</w:t>
            </w:r>
            <w:r w:rsidRPr="009D0629">
              <w:rPr>
                <w:rFonts w:ascii="Times New Roman" w:eastAsia="Times New Roman" w:hAnsi="Times New Roman" w:cs="Times New Roman"/>
                <w:color w:val="FF0000"/>
                <w:sz w:val="26"/>
                <w:szCs w:val="26"/>
                <w:lang w:eastAsia="lv-LV"/>
              </w:rPr>
              <w:t xml:space="preserve"> </w:t>
            </w:r>
            <w:r w:rsidRPr="009D0629">
              <w:rPr>
                <w:rFonts w:ascii="Times New Roman" w:eastAsia="Times New Roman" w:hAnsi="Times New Roman" w:cs="Times New Roman"/>
                <w:sz w:val="26"/>
                <w:szCs w:val="26"/>
                <w:lang w:eastAsia="lv-LV"/>
              </w:rPr>
              <w:t>peļņa un līdz ar to arī rodas iespēja norakstīt lielāku apjomu iepriekš uzkrāto zaudējumu.</w:t>
            </w:r>
          </w:p>
          <w:p w:rsidR="00B32630" w:rsidRPr="009D0629" w:rsidRDefault="00B32630" w:rsidP="002F6204">
            <w:pPr>
              <w:spacing w:before="100" w:beforeAutospacing="1" w:after="100" w:afterAutospacing="1" w:line="240" w:lineRule="auto"/>
              <w:ind w:right="142"/>
              <w:contextualSpacing/>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Ņemot vērā, ka uz nākamajiem taksācijas periodiem pārnesto zaudējumu apmērs ar katru gadu samazinās</w:t>
            </w:r>
            <w:r w:rsidR="00BE7C7F" w:rsidRPr="009D0629">
              <w:rPr>
                <w:rFonts w:ascii="Times New Roman" w:eastAsia="Times New Roman" w:hAnsi="Times New Roman" w:cs="Times New Roman"/>
                <w:sz w:val="26"/>
                <w:szCs w:val="26"/>
                <w:lang w:eastAsia="lv-LV"/>
              </w:rPr>
              <w:t>,</w:t>
            </w:r>
            <w:r w:rsidRPr="009D0629">
              <w:rPr>
                <w:rFonts w:ascii="Times New Roman" w:eastAsia="Times New Roman" w:hAnsi="Times New Roman" w:cs="Times New Roman"/>
                <w:sz w:val="26"/>
                <w:szCs w:val="26"/>
                <w:lang w:eastAsia="lv-LV"/>
              </w:rPr>
              <w:t xml:space="preserve"> un uzlabojas uzņēmumu peļņas rādītāji, kas ļāvuši norakstīt būtisku daļu krīzes perioda zaudējumu, ietekme tiek vērtēta piesardzīgi 12,5 milj.</w:t>
            </w:r>
            <w:r w:rsidR="00A21742" w:rsidRPr="009D0629">
              <w:rPr>
                <w:rFonts w:ascii="Times New Roman" w:eastAsia="Times New Roman" w:hAnsi="Times New Roman" w:cs="Times New Roman"/>
                <w:sz w:val="26"/>
                <w:szCs w:val="26"/>
                <w:lang w:eastAsia="lv-LV"/>
              </w:rPr>
              <w:t xml:space="preserve"> </w:t>
            </w:r>
            <w:proofErr w:type="spellStart"/>
            <w:r w:rsidRPr="009D0629">
              <w:rPr>
                <w:rFonts w:ascii="Times New Roman" w:eastAsia="Times New Roman" w:hAnsi="Times New Roman" w:cs="Times New Roman"/>
                <w:i/>
                <w:sz w:val="26"/>
                <w:szCs w:val="26"/>
                <w:lang w:eastAsia="lv-LV"/>
              </w:rPr>
              <w:t>euro</w:t>
            </w:r>
            <w:proofErr w:type="spellEnd"/>
            <w:r w:rsidRPr="009D0629">
              <w:rPr>
                <w:rFonts w:ascii="Times New Roman" w:eastAsia="Times New Roman" w:hAnsi="Times New Roman" w:cs="Times New Roman"/>
                <w:sz w:val="26"/>
                <w:szCs w:val="26"/>
                <w:lang w:eastAsia="lv-LV"/>
              </w:rPr>
              <w:t xml:space="preserve"> (2018.gadā). Turpmākajos gados tā varētu samazināties vēl par 10% kopējā zaudējumu apmēra samazināšanās rezultātā, 2019.gadā veidojot 11,3 milj.</w:t>
            </w:r>
            <w:r w:rsidR="00A21742" w:rsidRPr="009D0629">
              <w:rPr>
                <w:rFonts w:ascii="Times New Roman" w:eastAsia="Times New Roman" w:hAnsi="Times New Roman" w:cs="Times New Roman"/>
                <w:sz w:val="26"/>
                <w:szCs w:val="26"/>
                <w:lang w:eastAsia="lv-LV"/>
              </w:rPr>
              <w:t xml:space="preserve"> </w:t>
            </w:r>
            <w:proofErr w:type="spellStart"/>
            <w:r w:rsidRPr="009D0629">
              <w:rPr>
                <w:rFonts w:ascii="Times New Roman" w:eastAsia="Times New Roman" w:hAnsi="Times New Roman" w:cs="Times New Roman"/>
                <w:i/>
                <w:sz w:val="26"/>
                <w:szCs w:val="26"/>
                <w:lang w:eastAsia="lv-LV"/>
              </w:rPr>
              <w:t>euro</w:t>
            </w:r>
            <w:proofErr w:type="spellEnd"/>
            <w:r w:rsidRPr="009D0629">
              <w:rPr>
                <w:rFonts w:ascii="Times New Roman" w:eastAsia="Times New Roman" w:hAnsi="Times New Roman" w:cs="Times New Roman"/>
                <w:sz w:val="26"/>
                <w:szCs w:val="26"/>
                <w:lang w:eastAsia="lv-LV"/>
              </w:rPr>
              <w:t>.</w:t>
            </w:r>
          </w:p>
          <w:p w:rsidR="004F6474" w:rsidRPr="009D0629" w:rsidRDefault="00B32630" w:rsidP="002F6204">
            <w:pPr>
              <w:spacing w:before="100" w:beforeAutospacing="1" w:after="100" w:afterAutospacing="1" w:line="240" w:lineRule="auto"/>
              <w:ind w:right="142"/>
              <w:contextualSpacing/>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 xml:space="preserve">Jāņem vērā, ka minētā norma ilgākā termiņā uzskatāma par fiskāli neitrālu, jo samazinās zaudējumu apmēru norakstīšanu kārtējā </w:t>
            </w:r>
            <w:r w:rsidRPr="009D0629">
              <w:rPr>
                <w:rFonts w:ascii="Times New Roman" w:eastAsia="Times New Roman" w:hAnsi="Times New Roman" w:cs="Times New Roman"/>
                <w:sz w:val="26"/>
                <w:szCs w:val="26"/>
                <w:lang w:eastAsia="lv-LV"/>
              </w:rPr>
              <w:lastRenderedPageBreak/>
              <w:t>taksācijas gadā, taču nesamazinās to kopējo apmēru, kas tiks norakstīts nākamajos taksācijas periodos.</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2F6204">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lastRenderedPageBreak/>
              <w:t>6.1. detalizēts ieņēmumu aprēķins</w:t>
            </w:r>
          </w:p>
        </w:tc>
        <w:tc>
          <w:tcPr>
            <w:tcW w:w="3745" w:type="pct"/>
            <w:gridSpan w:val="5"/>
            <w:tcBorders>
              <w:top w:val="single" w:sz="4" w:space="0" w:color="auto"/>
              <w:left w:val="single" w:sz="4" w:space="0" w:color="auto"/>
              <w:bottom w:val="single" w:sz="4" w:space="0" w:color="auto"/>
              <w:right w:val="single" w:sz="4" w:space="0" w:color="auto"/>
            </w:tcBorders>
            <w:hideMark/>
          </w:tcPr>
          <w:p w:rsidR="005642A9" w:rsidRPr="009D0629" w:rsidRDefault="00B44B6E" w:rsidP="002F6204">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Projekts šo jomu neskar.</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2F6204">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6.2. detalizēts izdevumu aprēķins</w:t>
            </w:r>
          </w:p>
        </w:tc>
        <w:tc>
          <w:tcPr>
            <w:tcW w:w="3745" w:type="pct"/>
            <w:gridSpan w:val="5"/>
            <w:tcBorders>
              <w:top w:val="single" w:sz="4" w:space="0" w:color="auto"/>
              <w:left w:val="single" w:sz="4" w:space="0" w:color="auto"/>
              <w:bottom w:val="single" w:sz="4" w:space="0" w:color="auto"/>
              <w:right w:val="single" w:sz="4" w:space="0" w:color="auto"/>
            </w:tcBorders>
            <w:hideMark/>
          </w:tcPr>
          <w:p w:rsidR="005642A9" w:rsidRPr="009D0629" w:rsidRDefault="00B44B6E" w:rsidP="002F6204">
            <w:pPr>
              <w:spacing w:before="100" w:beforeAutospacing="1" w:after="100" w:afterAutospacing="1"/>
              <w:rPr>
                <w:rFonts w:ascii="Times New Roman" w:hAnsi="Times New Roman" w:cs="Times New Roman"/>
                <w:color w:val="000000"/>
                <w:sz w:val="26"/>
                <w:szCs w:val="26"/>
              </w:rPr>
            </w:pPr>
            <w:r w:rsidRPr="009D0629">
              <w:rPr>
                <w:rFonts w:ascii="Times New Roman" w:hAnsi="Times New Roman" w:cs="Times New Roman"/>
                <w:color w:val="000000"/>
                <w:sz w:val="26"/>
                <w:szCs w:val="26"/>
              </w:rPr>
              <w:t>Projekts šo jomu neskar.</w:t>
            </w:r>
          </w:p>
        </w:tc>
      </w:tr>
      <w:tr w:rsidR="005642A9" w:rsidRPr="009D0629" w:rsidTr="00FB779E">
        <w:tc>
          <w:tcPr>
            <w:tcW w:w="1255" w:type="pct"/>
            <w:tcBorders>
              <w:top w:val="single" w:sz="4" w:space="0" w:color="auto"/>
              <w:left w:val="single" w:sz="4" w:space="0" w:color="auto"/>
              <w:bottom w:val="single" w:sz="4" w:space="0" w:color="auto"/>
              <w:right w:val="single" w:sz="4" w:space="0" w:color="auto"/>
            </w:tcBorders>
            <w:hideMark/>
          </w:tcPr>
          <w:p w:rsidR="005642A9" w:rsidRPr="009D0629" w:rsidRDefault="005642A9" w:rsidP="002F6204">
            <w:pPr>
              <w:spacing w:before="100" w:beforeAutospacing="1" w:after="100" w:afterAutospacing="1"/>
              <w:jc w:val="both"/>
              <w:rPr>
                <w:rFonts w:ascii="Times New Roman" w:hAnsi="Times New Roman" w:cs="Times New Roman"/>
                <w:color w:val="000000"/>
                <w:sz w:val="26"/>
                <w:szCs w:val="26"/>
              </w:rPr>
            </w:pPr>
            <w:r w:rsidRPr="009D0629">
              <w:rPr>
                <w:rFonts w:ascii="Times New Roman" w:hAnsi="Times New Roman" w:cs="Times New Roman"/>
                <w:color w:val="000000"/>
                <w:sz w:val="26"/>
                <w:szCs w:val="26"/>
              </w:rPr>
              <w:t>7. Cita informācija</w:t>
            </w:r>
          </w:p>
        </w:tc>
        <w:tc>
          <w:tcPr>
            <w:tcW w:w="3745" w:type="pct"/>
            <w:gridSpan w:val="5"/>
            <w:tcBorders>
              <w:top w:val="single" w:sz="4" w:space="0" w:color="auto"/>
              <w:left w:val="single" w:sz="4" w:space="0" w:color="auto"/>
              <w:bottom w:val="single" w:sz="4" w:space="0" w:color="auto"/>
              <w:right w:val="single" w:sz="4" w:space="0" w:color="auto"/>
            </w:tcBorders>
            <w:hideMark/>
          </w:tcPr>
          <w:p w:rsidR="005642A9" w:rsidRPr="009D0629" w:rsidRDefault="005642A9" w:rsidP="002F6204">
            <w:pPr>
              <w:spacing w:after="0" w:line="240" w:lineRule="auto"/>
              <w:ind w:right="112"/>
              <w:contextualSpacing/>
              <w:jc w:val="both"/>
              <w:rPr>
                <w:rFonts w:ascii="Times New Roman" w:hAnsi="Times New Roman" w:cs="Times New Roman"/>
                <w:color w:val="000000"/>
                <w:sz w:val="26"/>
                <w:szCs w:val="26"/>
              </w:rPr>
            </w:pPr>
            <w:r w:rsidRPr="009D0629">
              <w:rPr>
                <w:rFonts w:ascii="Times New Roman" w:hAnsi="Times New Roman" w:cs="Times New Roman"/>
                <w:color w:val="000000"/>
                <w:sz w:val="26"/>
                <w:szCs w:val="26"/>
              </w:rPr>
              <w:t>Nav.</w:t>
            </w:r>
          </w:p>
        </w:tc>
      </w:tr>
    </w:tbl>
    <w:p w:rsidR="005642A9" w:rsidRDefault="005642A9" w:rsidP="002F6204">
      <w:pPr>
        <w:spacing w:after="0" w:line="240" w:lineRule="auto"/>
        <w:contextualSpacing/>
        <w:rPr>
          <w:rFonts w:ascii="Times New Roman" w:hAnsi="Times New Roman" w:cs="Times New Roman"/>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20"/>
        <w:gridCol w:w="7261"/>
      </w:tblGrid>
      <w:tr w:rsidR="00BE2D03" w:rsidRPr="00BE2D03" w:rsidTr="00BE2D03">
        <w:trPr>
          <w:trHeight w:val="381"/>
        </w:trPr>
        <w:tc>
          <w:tcPr>
            <w:tcW w:w="5000" w:type="pct"/>
            <w:gridSpan w:val="2"/>
            <w:tcBorders>
              <w:bottom w:val="single" w:sz="4" w:space="0" w:color="auto"/>
            </w:tcBorders>
            <w:vAlign w:val="center"/>
          </w:tcPr>
          <w:p w:rsidR="00BE2D03" w:rsidRPr="00BE2D03" w:rsidRDefault="00BE2D03" w:rsidP="00BE2D03">
            <w:pPr>
              <w:spacing w:after="0" w:line="240" w:lineRule="auto"/>
              <w:ind w:left="57" w:right="57"/>
              <w:jc w:val="center"/>
              <w:rPr>
                <w:rFonts w:ascii="Times New Roman" w:eastAsia="Times New Roman" w:hAnsi="Times New Roman" w:cs="Times New Roman"/>
                <w:i/>
                <w:sz w:val="26"/>
                <w:szCs w:val="26"/>
                <w:lang w:eastAsia="lv-LV"/>
              </w:rPr>
            </w:pPr>
            <w:r w:rsidRPr="00BE2D03">
              <w:rPr>
                <w:rFonts w:ascii="Times New Roman" w:eastAsia="Times New Roman" w:hAnsi="Times New Roman" w:cs="Times New Roman"/>
                <w:b/>
                <w:sz w:val="26"/>
                <w:szCs w:val="26"/>
                <w:lang w:eastAsia="lv-LV"/>
              </w:rPr>
              <w:t>IV. Tiesību akta projekta ietekme uz spēkā esošo tiesību normu sistēmu</w:t>
            </w:r>
          </w:p>
        </w:tc>
      </w:tr>
      <w:tr w:rsidR="00BE2D03" w:rsidRPr="00BE2D03" w:rsidTr="00BE2D03">
        <w:trPr>
          <w:trHeight w:val="427"/>
        </w:trPr>
        <w:tc>
          <w:tcPr>
            <w:tcW w:w="1288" w:type="pct"/>
            <w:shd w:val="clear" w:color="auto" w:fill="auto"/>
          </w:tcPr>
          <w:p w:rsidR="00BE2D03" w:rsidRPr="00BE2D03" w:rsidRDefault="00BE2D03" w:rsidP="00BE2D03">
            <w:pPr>
              <w:spacing w:after="0" w:line="240" w:lineRule="auto"/>
              <w:ind w:firstLine="452"/>
              <w:contextualSpacing/>
              <w:jc w:val="both"/>
              <w:rPr>
                <w:rFonts w:ascii="Times New Roman" w:eastAsia="Times New Roman" w:hAnsi="Times New Roman" w:cs="Times New Roman"/>
                <w:sz w:val="26"/>
                <w:szCs w:val="26"/>
                <w:lang w:eastAsia="lv-LV"/>
              </w:rPr>
            </w:pPr>
            <w:r w:rsidRPr="002F6204">
              <w:rPr>
                <w:rFonts w:ascii="Times New Roman" w:eastAsia="Times New Roman" w:hAnsi="Times New Roman" w:cs="Times New Roman"/>
                <w:sz w:val="26"/>
                <w:szCs w:val="26"/>
                <w:lang w:eastAsia="lv-LV"/>
              </w:rPr>
              <w:t>Nepieciešamie saistītie tiesību aktu projekti</w:t>
            </w:r>
          </w:p>
        </w:tc>
        <w:tc>
          <w:tcPr>
            <w:tcW w:w="3712" w:type="pct"/>
            <w:shd w:val="clear" w:color="auto" w:fill="auto"/>
          </w:tcPr>
          <w:p w:rsidR="00BE2D03" w:rsidRPr="009D0629" w:rsidRDefault="00BE2D03" w:rsidP="00BE2D03">
            <w:pPr>
              <w:spacing w:after="0" w:line="240" w:lineRule="auto"/>
              <w:ind w:right="130"/>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Ekonomikas ministrijai</w:t>
            </w:r>
            <w:r w:rsidRPr="002F6204">
              <w:rPr>
                <w:rFonts w:ascii="Times New Roman" w:eastAsia="Times New Roman" w:hAnsi="Times New Roman" w:cs="Times New Roman"/>
                <w:sz w:val="26"/>
                <w:szCs w:val="26"/>
                <w:lang w:eastAsia="lv-LV"/>
              </w:rPr>
              <w:t xml:space="preserve"> jāizstrādā un līdz 201</w:t>
            </w:r>
            <w:r w:rsidRPr="009D0629">
              <w:rPr>
                <w:rFonts w:ascii="Times New Roman" w:eastAsia="Times New Roman" w:hAnsi="Times New Roman" w:cs="Times New Roman"/>
                <w:sz w:val="26"/>
                <w:szCs w:val="26"/>
                <w:lang w:eastAsia="lv-LV"/>
              </w:rPr>
              <w:t>6</w:t>
            </w:r>
            <w:r w:rsidRPr="002F6204">
              <w:rPr>
                <w:rFonts w:ascii="Times New Roman" w:eastAsia="Times New Roman" w:hAnsi="Times New Roman" w:cs="Times New Roman"/>
                <w:sz w:val="26"/>
                <w:szCs w:val="26"/>
                <w:lang w:eastAsia="lv-LV"/>
              </w:rPr>
              <w:t xml:space="preserve">.gada </w:t>
            </w:r>
            <w:r w:rsidRPr="009D0629">
              <w:rPr>
                <w:rFonts w:ascii="Times New Roman" w:eastAsia="Times New Roman" w:hAnsi="Times New Roman" w:cs="Times New Roman"/>
                <w:sz w:val="26"/>
                <w:szCs w:val="26"/>
                <w:lang w:eastAsia="lv-LV"/>
              </w:rPr>
              <w:t>1.oktobrim</w:t>
            </w:r>
            <w:r w:rsidRPr="002F6204">
              <w:rPr>
                <w:rFonts w:ascii="Times New Roman" w:eastAsia="Times New Roman" w:hAnsi="Times New Roman" w:cs="Times New Roman"/>
                <w:sz w:val="26"/>
                <w:szCs w:val="26"/>
                <w:lang w:eastAsia="lv-LV"/>
              </w:rPr>
              <w:t xml:space="preserve"> </w:t>
            </w:r>
            <w:r w:rsidRPr="009D0629">
              <w:rPr>
                <w:rFonts w:ascii="Times New Roman" w:eastAsia="Times New Roman" w:hAnsi="Times New Roman" w:cs="Times New Roman"/>
                <w:sz w:val="26"/>
                <w:szCs w:val="26"/>
                <w:lang w:eastAsia="lv-LV"/>
              </w:rPr>
              <w:t>ekonomikas</w:t>
            </w:r>
            <w:r w:rsidRPr="002F6204">
              <w:rPr>
                <w:rFonts w:ascii="Times New Roman" w:eastAsia="Times New Roman" w:hAnsi="Times New Roman" w:cs="Times New Roman"/>
                <w:sz w:val="26"/>
                <w:szCs w:val="26"/>
                <w:lang w:eastAsia="lv-LV"/>
              </w:rPr>
              <w:t xml:space="preserve"> ministram Ministru kabinetā jāiesniedz grozījumi </w:t>
            </w:r>
            <w:r w:rsidRPr="009D0629">
              <w:rPr>
                <w:rFonts w:ascii="Times New Roman" w:hAnsi="Times New Roman" w:cs="Times New Roman"/>
                <w:sz w:val="26"/>
                <w:szCs w:val="26"/>
              </w:rPr>
              <w:t xml:space="preserve"> </w:t>
            </w:r>
            <w:r w:rsidRPr="009D0629">
              <w:rPr>
                <w:rFonts w:ascii="Times New Roman" w:eastAsia="Times New Roman" w:hAnsi="Times New Roman" w:cs="Times New Roman"/>
                <w:sz w:val="26"/>
                <w:szCs w:val="26"/>
                <w:lang w:eastAsia="lv-LV"/>
              </w:rPr>
              <w:t xml:space="preserve">Ministru kabineta 2015.gada 19.maija noteikumiem Nr.244 “Atbalstāmo investīciju projekta apstiprināšanas un īstenošanas kārtība”, lai </w:t>
            </w:r>
            <w:r w:rsidRPr="002F6204">
              <w:rPr>
                <w:rFonts w:ascii="Times New Roman" w:eastAsia="Times New Roman" w:hAnsi="Times New Roman" w:cs="Times New Roman"/>
                <w:sz w:val="26"/>
                <w:szCs w:val="26"/>
                <w:lang w:eastAsia="lv-LV"/>
              </w:rPr>
              <w:t xml:space="preserve"> </w:t>
            </w:r>
            <w:r w:rsidRPr="009D0629">
              <w:rPr>
                <w:rFonts w:ascii="Times New Roman" w:eastAsia="Times New Roman" w:hAnsi="Times New Roman" w:cs="Times New Roman"/>
                <w:sz w:val="26"/>
                <w:szCs w:val="26"/>
                <w:lang w:eastAsia="lv-LV"/>
              </w:rPr>
              <w:t>saskaņā ar likuma 27.panta 10., 13., 14.</w:t>
            </w:r>
            <w:r w:rsidR="001A6B9C">
              <w:rPr>
                <w:rFonts w:ascii="Times New Roman" w:eastAsia="Times New Roman" w:hAnsi="Times New Roman" w:cs="Times New Roman"/>
                <w:sz w:val="26"/>
                <w:szCs w:val="26"/>
                <w:lang w:eastAsia="lv-LV"/>
              </w:rPr>
              <w:t xml:space="preserve">, </w:t>
            </w:r>
            <w:r w:rsidRPr="009D0629">
              <w:rPr>
                <w:rFonts w:ascii="Times New Roman" w:eastAsia="Times New Roman" w:hAnsi="Times New Roman" w:cs="Times New Roman"/>
                <w:sz w:val="26"/>
                <w:szCs w:val="26"/>
                <w:lang w:eastAsia="lv-LV"/>
              </w:rPr>
              <w:t>15.</w:t>
            </w:r>
            <w:r w:rsidR="001A6B9C">
              <w:rPr>
                <w:rFonts w:ascii="Times New Roman" w:eastAsia="Times New Roman" w:hAnsi="Times New Roman" w:cs="Times New Roman"/>
                <w:sz w:val="26"/>
                <w:szCs w:val="26"/>
                <w:lang w:eastAsia="lv-LV"/>
              </w:rPr>
              <w:t>, 16., 17. un 18.</w:t>
            </w:r>
            <w:r w:rsidRPr="009D0629">
              <w:rPr>
                <w:rFonts w:ascii="Times New Roman" w:eastAsia="Times New Roman" w:hAnsi="Times New Roman" w:cs="Times New Roman"/>
                <w:sz w:val="26"/>
                <w:szCs w:val="26"/>
                <w:lang w:eastAsia="lv-LV"/>
              </w:rPr>
              <w:t>punktu noteiktu:</w:t>
            </w:r>
          </w:p>
          <w:p w:rsidR="001A6B9C" w:rsidRPr="001A6B9C" w:rsidRDefault="001A6B9C" w:rsidP="001A6B9C">
            <w:pPr>
              <w:spacing w:after="0" w:line="240" w:lineRule="auto"/>
              <w:ind w:right="13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r w:rsidRPr="001A6B9C">
              <w:rPr>
                <w:rFonts w:ascii="Times New Roman" w:eastAsia="Times New Roman" w:hAnsi="Times New Roman" w:cs="Times New Roman"/>
                <w:sz w:val="26"/>
                <w:szCs w:val="26"/>
                <w:lang w:eastAsia="lv-LV"/>
              </w:rPr>
              <w:t xml:space="preserve"> kārtību, kādā iesniedzams investīciju projekta pieteikums atbalstāmo investīciju projekta statusa iegūšanai;”</w:t>
            </w:r>
          </w:p>
          <w:p w:rsidR="001A6B9C" w:rsidRPr="001A6B9C" w:rsidRDefault="001A6B9C" w:rsidP="001A6B9C">
            <w:pPr>
              <w:spacing w:after="0" w:line="240" w:lineRule="auto"/>
              <w:ind w:right="13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r w:rsidRPr="001A6B9C">
              <w:rPr>
                <w:rFonts w:ascii="Times New Roman" w:eastAsia="Times New Roman" w:hAnsi="Times New Roman" w:cs="Times New Roman"/>
                <w:sz w:val="26"/>
                <w:szCs w:val="26"/>
                <w:lang w:eastAsia="lv-LV"/>
              </w:rPr>
              <w:t xml:space="preserve"> </w:t>
            </w:r>
            <w:r w:rsidR="007B7FA7" w:rsidRPr="007B7FA7">
              <w:rPr>
                <w:rFonts w:ascii="Times New Roman" w:eastAsia="Times New Roman" w:hAnsi="Times New Roman" w:cs="Times New Roman"/>
                <w:sz w:val="26"/>
                <w:szCs w:val="26"/>
                <w:lang w:eastAsia="lv-LV"/>
              </w:rPr>
              <w:t>kārtību, kādā piemērojami nosacījumi nodokļa atlaides piemērošanai un apvienošanai ar citu atbalstu;</w:t>
            </w:r>
          </w:p>
          <w:p w:rsidR="001A6B9C" w:rsidRPr="001A6B9C" w:rsidRDefault="001A6B9C" w:rsidP="001A6B9C">
            <w:pPr>
              <w:spacing w:after="0" w:line="240" w:lineRule="auto"/>
              <w:ind w:right="13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r w:rsidRPr="001A6B9C">
              <w:rPr>
                <w:rFonts w:ascii="Times New Roman" w:eastAsia="Times New Roman" w:hAnsi="Times New Roman" w:cs="Times New Roman"/>
                <w:sz w:val="26"/>
                <w:szCs w:val="26"/>
                <w:lang w:eastAsia="lv-LV"/>
              </w:rPr>
              <w:t xml:space="preserve"> kārtību, kādā izveido investīciju projektu izvērtēšanas komisiju un nodrošina tās darbību, kā arī tās tiesības un pienākumus;</w:t>
            </w:r>
          </w:p>
          <w:p w:rsidR="001A6B9C" w:rsidRPr="001A6B9C" w:rsidRDefault="001A6B9C" w:rsidP="001A6B9C">
            <w:pPr>
              <w:spacing w:after="0" w:line="240" w:lineRule="auto"/>
              <w:ind w:right="13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r w:rsidRPr="001A6B9C">
              <w:rPr>
                <w:rFonts w:ascii="Times New Roman" w:eastAsia="Times New Roman" w:hAnsi="Times New Roman" w:cs="Times New Roman"/>
                <w:sz w:val="26"/>
                <w:szCs w:val="26"/>
                <w:lang w:eastAsia="lv-LV"/>
              </w:rPr>
              <w:t xml:space="preserve"> kārtību, kādā vērtē investīciju projekta pieteikumu atbalstāmo investīciju projekta statusa iegūšanai;</w:t>
            </w:r>
          </w:p>
          <w:p w:rsidR="001A6B9C" w:rsidRPr="001A6B9C" w:rsidRDefault="001A6B9C" w:rsidP="001A6B9C">
            <w:pPr>
              <w:spacing w:after="0" w:line="240" w:lineRule="auto"/>
              <w:ind w:right="13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r w:rsidRPr="001A6B9C">
              <w:rPr>
                <w:rFonts w:ascii="Times New Roman" w:eastAsia="Times New Roman" w:hAnsi="Times New Roman" w:cs="Times New Roman"/>
                <w:sz w:val="26"/>
                <w:szCs w:val="26"/>
                <w:lang w:eastAsia="lv-LV"/>
              </w:rPr>
              <w:t xml:space="preserve"> kārtību, kādā tiek sniegta informācija Ekonomikas ministrijai par projekta īstenošanu;</w:t>
            </w:r>
          </w:p>
          <w:p w:rsidR="001A6B9C" w:rsidRPr="001A6B9C" w:rsidRDefault="001A6B9C" w:rsidP="001A6B9C">
            <w:pPr>
              <w:spacing w:after="0" w:line="240" w:lineRule="auto"/>
              <w:ind w:right="13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r w:rsidRPr="001A6B9C">
              <w:rPr>
                <w:rFonts w:ascii="Times New Roman" w:eastAsia="Times New Roman" w:hAnsi="Times New Roman" w:cs="Times New Roman"/>
                <w:sz w:val="26"/>
                <w:szCs w:val="26"/>
                <w:lang w:eastAsia="lv-LV"/>
              </w:rPr>
              <w:t xml:space="preserve"> kārtību, kādā veic grozījumus atbalstītā investīciju projektā;</w:t>
            </w:r>
          </w:p>
          <w:p w:rsidR="00BE2D03" w:rsidRPr="00BE2D03" w:rsidRDefault="001A6B9C" w:rsidP="001A6B9C">
            <w:pPr>
              <w:spacing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1A6B9C">
              <w:rPr>
                <w:rFonts w:ascii="Times New Roman" w:eastAsia="Times New Roman" w:hAnsi="Times New Roman" w:cs="Times New Roman"/>
                <w:sz w:val="26"/>
                <w:szCs w:val="26"/>
                <w:lang w:eastAsia="lv-LV"/>
              </w:rPr>
              <w:t>kārtību, kādā investīciju projektu izvērtēšanas komisija pieņem lēmumu par nodokļa atlaides piemērošanu pēc projekta īstenošanas vai Ministru kabinets pieņem lēmumu par atbalstāmo investīciju projekta statusa atcelšanu.</w:t>
            </w:r>
          </w:p>
        </w:tc>
      </w:tr>
      <w:tr w:rsidR="00BE2D03" w:rsidRPr="00BE2D03" w:rsidTr="00BE2D03">
        <w:trPr>
          <w:trHeight w:val="427"/>
        </w:trPr>
        <w:tc>
          <w:tcPr>
            <w:tcW w:w="1288" w:type="pct"/>
            <w:shd w:val="clear" w:color="auto" w:fill="auto"/>
          </w:tcPr>
          <w:p w:rsidR="00BE2D03" w:rsidRPr="002F6204" w:rsidRDefault="00BE2D03" w:rsidP="00BE2D03">
            <w:pPr>
              <w:spacing w:after="0" w:line="240" w:lineRule="auto"/>
              <w:ind w:firstLine="452"/>
              <w:contextualSpacing/>
              <w:jc w:val="both"/>
              <w:rPr>
                <w:rFonts w:ascii="Times New Roman" w:eastAsia="Times New Roman" w:hAnsi="Times New Roman" w:cs="Times New Roman"/>
                <w:sz w:val="26"/>
                <w:szCs w:val="26"/>
                <w:lang w:eastAsia="lv-LV"/>
              </w:rPr>
            </w:pPr>
            <w:r w:rsidRPr="002F6204">
              <w:rPr>
                <w:rFonts w:ascii="Times New Roman" w:eastAsia="Times New Roman" w:hAnsi="Times New Roman" w:cs="Times New Roman"/>
                <w:sz w:val="26"/>
                <w:szCs w:val="26"/>
                <w:lang w:eastAsia="lv-LV"/>
              </w:rPr>
              <w:t>Atbildīgā institūcija</w:t>
            </w:r>
          </w:p>
        </w:tc>
        <w:tc>
          <w:tcPr>
            <w:tcW w:w="3712" w:type="pct"/>
            <w:shd w:val="clear" w:color="auto" w:fill="auto"/>
          </w:tcPr>
          <w:p w:rsidR="00BE2D03" w:rsidRPr="009D0629" w:rsidRDefault="007B7FA7" w:rsidP="007B7FA7">
            <w:pPr>
              <w:spacing w:after="0" w:line="240" w:lineRule="auto"/>
              <w:ind w:right="13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Ekonomikas </w:t>
            </w:r>
            <w:r w:rsidR="00BE2D03" w:rsidRPr="002F6204">
              <w:rPr>
                <w:rFonts w:ascii="Times New Roman" w:eastAsia="Times New Roman" w:hAnsi="Times New Roman" w:cs="Times New Roman"/>
                <w:sz w:val="26"/>
                <w:szCs w:val="26"/>
                <w:lang w:eastAsia="lv-LV"/>
              </w:rPr>
              <w:t>ministrija.</w:t>
            </w:r>
          </w:p>
        </w:tc>
      </w:tr>
      <w:tr w:rsidR="00BE2D03" w:rsidRPr="00BE2D03" w:rsidTr="00BE2D03">
        <w:trPr>
          <w:trHeight w:val="427"/>
        </w:trPr>
        <w:tc>
          <w:tcPr>
            <w:tcW w:w="1288" w:type="pct"/>
            <w:tcBorders>
              <w:bottom w:val="single" w:sz="4" w:space="0" w:color="auto"/>
            </w:tcBorders>
            <w:shd w:val="clear" w:color="auto" w:fill="auto"/>
          </w:tcPr>
          <w:p w:rsidR="00BE2D03" w:rsidRPr="002F6204" w:rsidRDefault="00BE2D03" w:rsidP="00BE2D03">
            <w:pPr>
              <w:spacing w:after="0" w:line="240" w:lineRule="auto"/>
              <w:ind w:left="421" w:hanging="421"/>
              <w:rPr>
                <w:rFonts w:ascii="Times New Roman" w:eastAsia="Times New Roman" w:hAnsi="Times New Roman" w:cs="Times New Roman"/>
                <w:sz w:val="26"/>
                <w:szCs w:val="26"/>
                <w:lang w:eastAsia="lv-LV"/>
              </w:rPr>
            </w:pPr>
            <w:r w:rsidRPr="002F6204">
              <w:rPr>
                <w:rFonts w:ascii="Times New Roman" w:eastAsia="Times New Roman" w:hAnsi="Times New Roman" w:cs="Times New Roman"/>
                <w:sz w:val="26"/>
                <w:szCs w:val="26"/>
                <w:lang w:eastAsia="lv-LV"/>
              </w:rPr>
              <w:t>Cita informācija</w:t>
            </w:r>
          </w:p>
        </w:tc>
        <w:tc>
          <w:tcPr>
            <w:tcW w:w="3712" w:type="pct"/>
            <w:tcBorders>
              <w:bottom w:val="single" w:sz="4" w:space="0" w:color="auto"/>
            </w:tcBorders>
            <w:shd w:val="clear" w:color="auto" w:fill="auto"/>
          </w:tcPr>
          <w:p w:rsidR="00BE2D03" w:rsidRPr="002F6204" w:rsidRDefault="00BE2D03" w:rsidP="00BE2D03">
            <w:pPr>
              <w:spacing w:after="0" w:line="240" w:lineRule="auto"/>
              <w:ind w:left="421" w:hanging="421"/>
              <w:rPr>
                <w:rFonts w:ascii="Times New Roman" w:eastAsia="Times New Roman" w:hAnsi="Times New Roman" w:cs="Times New Roman"/>
                <w:sz w:val="26"/>
                <w:szCs w:val="26"/>
                <w:lang w:eastAsia="lv-LV"/>
              </w:rPr>
            </w:pPr>
            <w:r w:rsidRPr="002F6204">
              <w:rPr>
                <w:rFonts w:ascii="Times New Roman" w:eastAsia="Times New Roman" w:hAnsi="Times New Roman" w:cs="Times New Roman"/>
                <w:sz w:val="26"/>
                <w:szCs w:val="26"/>
                <w:lang w:eastAsia="lv-LV"/>
              </w:rPr>
              <w:t>Nav.</w:t>
            </w:r>
          </w:p>
        </w:tc>
      </w:tr>
    </w:tbl>
    <w:p w:rsidR="00BE2D03" w:rsidRPr="009D0629" w:rsidRDefault="00BE2D03" w:rsidP="002F6204">
      <w:pPr>
        <w:spacing w:after="0" w:line="240" w:lineRule="auto"/>
        <w:contextualSpacing/>
        <w:rPr>
          <w:rFonts w:ascii="Times New Roman" w:hAnsi="Times New Roman" w:cs="Times New Roman"/>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781"/>
      </w:tblGrid>
      <w:tr w:rsidR="002F6204" w:rsidRPr="002F6204" w:rsidTr="006E327D">
        <w:trPr>
          <w:trHeight w:val="381"/>
        </w:trPr>
        <w:tc>
          <w:tcPr>
            <w:tcW w:w="5000" w:type="pct"/>
            <w:vAlign w:val="center"/>
          </w:tcPr>
          <w:p w:rsidR="002F6204" w:rsidRPr="002F6204" w:rsidRDefault="002F6204" w:rsidP="002F6204">
            <w:pPr>
              <w:spacing w:after="0" w:line="240" w:lineRule="auto"/>
              <w:ind w:left="57" w:right="57"/>
              <w:jc w:val="center"/>
              <w:rPr>
                <w:rFonts w:ascii="Times New Roman" w:eastAsia="Times New Roman" w:hAnsi="Times New Roman" w:cs="Times New Roman"/>
                <w:i/>
                <w:sz w:val="26"/>
                <w:szCs w:val="26"/>
                <w:lang w:eastAsia="lv-LV"/>
              </w:rPr>
            </w:pPr>
            <w:r w:rsidRPr="002F6204">
              <w:rPr>
                <w:rFonts w:ascii="Times New Roman" w:eastAsia="Times New Roman" w:hAnsi="Times New Roman" w:cs="Times New Roman"/>
                <w:b/>
                <w:sz w:val="26"/>
                <w:szCs w:val="26"/>
                <w:lang w:eastAsia="lv-LV"/>
              </w:rPr>
              <w:t>V. Tiesību akta projekta atbilstība Latvijas Republikas starptautiskajām saistībām</w:t>
            </w:r>
          </w:p>
        </w:tc>
      </w:tr>
      <w:tr w:rsidR="002F6204" w:rsidRPr="002F6204" w:rsidTr="006E327D">
        <w:trPr>
          <w:trHeight w:val="427"/>
        </w:trPr>
        <w:tc>
          <w:tcPr>
            <w:tcW w:w="5000" w:type="pct"/>
            <w:tcBorders>
              <w:bottom w:val="single" w:sz="4" w:space="0" w:color="auto"/>
            </w:tcBorders>
          </w:tcPr>
          <w:p w:rsidR="002F6204" w:rsidRPr="002F6204" w:rsidRDefault="002F6204" w:rsidP="002F6204">
            <w:pPr>
              <w:spacing w:after="0" w:line="240" w:lineRule="auto"/>
              <w:ind w:firstLine="452"/>
              <w:contextualSpacing/>
              <w:jc w:val="center"/>
              <w:rPr>
                <w:rFonts w:ascii="Times New Roman" w:eastAsia="Times New Roman" w:hAnsi="Times New Roman" w:cs="Times New Roman"/>
                <w:sz w:val="26"/>
                <w:szCs w:val="26"/>
                <w:lang w:eastAsia="lv-LV"/>
              </w:rPr>
            </w:pPr>
            <w:r w:rsidRPr="002F6204">
              <w:rPr>
                <w:rFonts w:ascii="Times New Roman" w:eastAsia="Times New Roman" w:hAnsi="Times New Roman" w:cs="Times New Roman"/>
                <w:sz w:val="26"/>
                <w:szCs w:val="26"/>
                <w:lang w:eastAsia="lv-LV"/>
              </w:rPr>
              <w:t>Nav attiecināms.</w:t>
            </w:r>
          </w:p>
        </w:tc>
      </w:tr>
    </w:tbl>
    <w:p w:rsidR="002F6204" w:rsidRPr="009D0629" w:rsidRDefault="002F6204" w:rsidP="005642A9">
      <w:pPr>
        <w:spacing w:after="0" w:line="240" w:lineRule="auto"/>
        <w:contextualSpacing/>
        <w:rPr>
          <w:rFonts w:ascii="Times New Roman" w:hAnsi="Times New Roman" w:cs="Times New Roman"/>
          <w:sz w:val="26"/>
          <w:szCs w:val="26"/>
        </w:rPr>
      </w:pPr>
    </w:p>
    <w:tbl>
      <w:tblPr>
        <w:tblW w:w="977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799"/>
        <w:gridCol w:w="6520"/>
      </w:tblGrid>
      <w:tr w:rsidR="005642A9" w:rsidRPr="009D0629" w:rsidTr="002721AA">
        <w:trPr>
          <w:trHeight w:val="420"/>
        </w:trPr>
        <w:tc>
          <w:tcPr>
            <w:tcW w:w="9773" w:type="dxa"/>
            <w:gridSpan w:val="3"/>
            <w:tcBorders>
              <w:top w:val="outset" w:sz="6" w:space="0" w:color="414142"/>
              <w:left w:val="outset" w:sz="6" w:space="0" w:color="414142"/>
              <w:bottom w:val="outset" w:sz="6" w:space="0" w:color="414142"/>
              <w:right w:val="outset" w:sz="6" w:space="0" w:color="414142"/>
            </w:tcBorders>
            <w:hideMark/>
          </w:tcPr>
          <w:p w:rsidR="005642A9" w:rsidRPr="009D0629" w:rsidRDefault="005642A9" w:rsidP="007B0240">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9D0629">
              <w:rPr>
                <w:rFonts w:ascii="Times New Roman" w:eastAsia="Times New Roman" w:hAnsi="Times New Roman" w:cs="Times New Roman"/>
                <w:b/>
                <w:bCs/>
                <w:sz w:val="26"/>
                <w:szCs w:val="26"/>
                <w:lang w:eastAsia="lv-LV"/>
              </w:rPr>
              <w:t>VI. Sabiedrības līdzdalība un komunikācijas aktivitātes</w:t>
            </w:r>
          </w:p>
        </w:tc>
      </w:tr>
      <w:tr w:rsidR="005642A9" w:rsidRPr="009D0629" w:rsidTr="002721AA">
        <w:trPr>
          <w:trHeight w:val="540"/>
        </w:trPr>
        <w:tc>
          <w:tcPr>
            <w:tcW w:w="454" w:type="dxa"/>
            <w:tcBorders>
              <w:top w:val="outset" w:sz="6" w:space="0" w:color="414142"/>
              <w:left w:val="outset" w:sz="6" w:space="0" w:color="414142"/>
              <w:bottom w:val="outset" w:sz="6" w:space="0" w:color="414142"/>
              <w:right w:val="outset" w:sz="6" w:space="0" w:color="414142"/>
            </w:tcBorders>
            <w:hideMark/>
          </w:tcPr>
          <w:p w:rsidR="005642A9" w:rsidRPr="009D0629" w:rsidRDefault="005642A9" w:rsidP="007B0240">
            <w:pPr>
              <w:spacing w:before="100" w:beforeAutospacing="1" w:after="100" w:afterAutospacing="1" w:line="240" w:lineRule="auto"/>
              <w:jc w:val="both"/>
              <w:rPr>
                <w:rFonts w:ascii="Times New Roman" w:eastAsia="Times New Roman" w:hAnsi="Times New Roman" w:cs="Times New Roman"/>
                <w:color w:val="000000"/>
                <w:sz w:val="26"/>
                <w:szCs w:val="26"/>
                <w:lang w:eastAsia="lv-LV"/>
              </w:rPr>
            </w:pPr>
            <w:r w:rsidRPr="009D0629">
              <w:rPr>
                <w:rFonts w:ascii="Times New Roman" w:eastAsia="Times New Roman" w:hAnsi="Times New Roman" w:cs="Times New Roman"/>
                <w:color w:val="000000"/>
                <w:sz w:val="26"/>
                <w:szCs w:val="26"/>
                <w:lang w:eastAsia="lv-LV"/>
              </w:rPr>
              <w:t>1.</w:t>
            </w:r>
          </w:p>
        </w:tc>
        <w:tc>
          <w:tcPr>
            <w:tcW w:w="2799" w:type="dxa"/>
            <w:tcBorders>
              <w:top w:val="outset" w:sz="6" w:space="0" w:color="414142"/>
              <w:left w:val="outset" w:sz="6" w:space="0" w:color="414142"/>
              <w:bottom w:val="outset" w:sz="6" w:space="0" w:color="414142"/>
              <w:right w:val="outset" w:sz="6" w:space="0" w:color="414142"/>
            </w:tcBorders>
            <w:hideMark/>
          </w:tcPr>
          <w:p w:rsidR="005642A9" w:rsidRPr="009D0629" w:rsidRDefault="005642A9" w:rsidP="007B0240">
            <w:pPr>
              <w:spacing w:before="100" w:beforeAutospacing="1" w:after="100" w:afterAutospacing="1" w:line="240" w:lineRule="auto"/>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 xml:space="preserve">Plānotās sabiedrības līdzdalības un </w:t>
            </w:r>
            <w:r w:rsidRPr="009D0629">
              <w:rPr>
                <w:rFonts w:ascii="Times New Roman" w:eastAsia="Times New Roman" w:hAnsi="Times New Roman" w:cs="Times New Roman"/>
                <w:sz w:val="26"/>
                <w:szCs w:val="26"/>
                <w:lang w:eastAsia="lv-LV"/>
              </w:rPr>
              <w:lastRenderedPageBreak/>
              <w:t>komunikācijas aktivitātes saistībā ar projektu</w:t>
            </w:r>
          </w:p>
        </w:tc>
        <w:tc>
          <w:tcPr>
            <w:tcW w:w="6520" w:type="dxa"/>
            <w:tcBorders>
              <w:top w:val="outset" w:sz="6" w:space="0" w:color="414142"/>
              <w:left w:val="outset" w:sz="6" w:space="0" w:color="414142"/>
              <w:bottom w:val="outset" w:sz="6" w:space="0" w:color="414142"/>
              <w:right w:val="outset" w:sz="6" w:space="0" w:color="414142"/>
            </w:tcBorders>
            <w:hideMark/>
          </w:tcPr>
          <w:p w:rsidR="005642A9" w:rsidRPr="009D0629" w:rsidRDefault="00DF27A5" w:rsidP="00BE7C7F">
            <w:pPr>
              <w:spacing w:before="100" w:beforeAutospacing="1" w:after="100" w:afterAutospacing="1" w:line="240" w:lineRule="auto"/>
              <w:jc w:val="both"/>
              <w:rPr>
                <w:rFonts w:ascii="Times New Roman" w:eastAsia="Times New Roman" w:hAnsi="Times New Roman" w:cs="Times New Roman"/>
                <w:sz w:val="26"/>
                <w:szCs w:val="26"/>
                <w:lang w:eastAsia="lv-LV"/>
              </w:rPr>
            </w:pPr>
            <w:r w:rsidRPr="009D0629">
              <w:rPr>
                <w:rFonts w:ascii="Times New Roman" w:eastAsia="Calibri" w:hAnsi="Times New Roman" w:cs="Times New Roman"/>
                <w:sz w:val="26"/>
                <w:szCs w:val="26"/>
                <w:lang w:eastAsia="lv-LV"/>
              </w:rPr>
              <w:lastRenderedPageBreak/>
              <w:t>Likumprojekts tika nosūtīts Latvijas Tirdzniecības un rūpniecības kamerai un Latvijas Darb</w:t>
            </w:r>
            <w:r w:rsidR="00BE7C7F" w:rsidRPr="009D0629">
              <w:rPr>
                <w:rFonts w:ascii="Times New Roman" w:eastAsia="Calibri" w:hAnsi="Times New Roman" w:cs="Times New Roman"/>
                <w:sz w:val="26"/>
                <w:szCs w:val="26"/>
                <w:lang w:eastAsia="lv-LV"/>
              </w:rPr>
              <w:t>a</w:t>
            </w:r>
            <w:r w:rsidRPr="009D0629">
              <w:rPr>
                <w:rFonts w:ascii="Times New Roman" w:eastAsia="Calibri" w:hAnsi="Times New Roman" w:cs="Times New Roman"/>
                <w:sz w:val="26"/>
                <w:szCs w:val="26"/>
                <w:lang w:eastAsia="lv-LV"/>
              </w:rPr>
              <w:t xml:space="preserve"> devēju konfederācijai.</w:t>
            </w:r>
            <w:r w:rsidR="005642A9" w:rsidRPr="009D0629">
              <w:rPr>
                <w:rFonts w:ascii="Times New Roman" w:eastAsia="Calibri" w:hAnsi="Times New Roman" w:cs="Times New Roman"/>
                <w:sz w:val="26"/>
                <w:szCs w:val="26"/>
                <w:lang w:eastAsia="lv-LV"/>
              </w:rPr>
              <w:t xml:space="preserve"> </w:t>
            </w:r>
          </w:p>
        </w:tc>
      </w:tr>
      <w:tr w:rsidR="005642A9" w:rsidRPr="009D0629" w:rsidTr="002721AA">
        <w:trPr>
          <w:trHeight w:val="330"/>
        </w:trPr>
        <w:tc>
          <w:tcPr>
            <w:tcW w:w="454" w:type="dxa"/>
            <w:tcBorders>
              <w:top w:val="outset" w:sz="6" w:space="0" w:color="414142"/>
              <w:left w:val="outset" w:sz="6" w:space="0" w:color="414142"/>
              <w:bottom w:val="outset" w:sz="6" w:space="0" w:color="414142"/>
              <w:right w:val="outset" w:sz="6" w:space="0" w:color="414142"/>
            </w:tcBorders>
            <w:hideMark/>
          </w:tcPr>
          <w:p w:rsidR="005642A9" w:rsidRPr="009D0629" w:rsidRDefault="005642A9" w:rsidP="007B0240">
            <w:pPr>
              <w:spacing w:before="100" w:beforeAutospacing="1" w:after="100" w:afterAutospacing="1" w:line="240" w:lineRule="auto"/>
              <w:jc w:val="both"/>
              <w:rPr>
                <w:rFonts w:ascii="Times New Roman" w:eastAsia="Times New Roman" w:hAnsi="Times New Roman" w:cs="Times New Roman"/>
                <w:color w:val="000000"/>
                <w:sz w:val="26"/>
                <w:szCs w:val="26"/>
                <w:lang w:eastAsia="lv-LV"/>
              </w:rPr>
            </w:pPr>
            <w:r w:rsidRPr="009D0629">
              <w:rPr>
                <w:rFonts w:ascii="Times New Roman" w:eastAsia="Times New Roman" w:hAnsi="Times New Roman" w:cs="Times New Roman"/>
                <w:color w:val="000000"/>
                <w:sz w:val="26"/>
                <w:szCs w:val="26"/>
                <w:lang w:eastAsia="lv-LV"/>
              </w:rPr>
              <w:lastRenderedPageBreak/>
              <w:t>2.</w:t>
            </w:r>
          </w:p>
        </w:tc>
        <w:tc>
          <w:tcPr>
            <w:tcW w:w="2799" w:type="dxa"/>
            <w:tcBorders>
              <w:top w:val="outset" w:sz="6" w:space="0" w:color="414142"/>
              <w:left w:val="outset" w:sz="6" w:space="0" w:color="414142"/>
              <w:bottom w:val="outset" w:sz="6" w:space="0" w:color="414142"/>
              <w:right w:val="outset" w:sz="6" w:space="0" w:color="414142"/>
            </w:tcBorders>
            <w:hideMark/>
          </w:tcPr>
          <w:p w:rsidR="005642A9" w:rsidRPr="009D0629" w:rsidRDefault="005642A9" w:rsidP="007B0240">
            <w:pPr>
              <w:spacing w:before="100" w:beforeAutospacing="1" w:after="100" w:afterAutospacing="1" w:line="240" w:lineRule="auto"/>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Sabiedrības līdzdalība projekta izstrādē</w:t>
            </w:r>
          </w:p>
        </w:tc>
        <w:tc>
          <w:tcPr>
            <w:tcW w:w="6520" w:type="dxa"/>
            <w:tcBorders>
              <w:top w:val="outset" w:sz="6" w:space="0" w:color="414142"/>
              <w:left w:val="outset" w:sz="6" w:space="0" w:color="414142"/>
              <w:bottom w:val="outset" w:sz="6" w:space="0" w:color="414142"/>
              <w:right w:val="outset" w:sz="6" w:space="0" w:color="414142"/>
            </w:tcBorders>
            <w:hideMark/>
          </w:tcPr>
          <w:p w:rsidR="005642A9" w:rsidRPr="009D0629" w:rsidRDefault="00373246" w:rsidP="00BE7C7F">
            <w:pPr>
              <w:spacing w:before="100" w:beforeAutospacing="1" w:after="100" w:afterAutospacing="1" w:line="240" w:lineRule="auto"/>
              <w:jc w:val="both"/>
              <w:rPr>
                <w:rFonts w:ascii="Times New Roman" w:eastAsia="Calibri" w:hAnsi="Times New Roman" w:cs="Times New Roman"/>
                <w:sz w:val="26"/>
                <w:szCs w:val="26"/>
                <w:lang w:eastAsia="lv-LV"/>
              </w:rPr>
            </w:pPr>
            <w:r w:rsidRPr="009D0629">
              <w:rPr>
                <w:rFonts w:ascii="Times New Roman" w:eastAsia="Calibri" w:hAnsi="Times New Roman" w:cs="Times New Roman"/>
                <w:sz w:val="26"/>
                <w:szCs w:val="26"/>
                <w:lang w:eastAsia="lv-LV"/>
              </w:rPr>
              <w:t xml:space="preserve">Projekta izstrādē piedalījās </w:t>
            </w:r>
            <w:r w:rsidR="007B7FA7">
              <w:rPr>
                <w:rFonts w:ascii="Times New Roman" w:eastAsia="Calibri" w:hAnsi="Times New Roman" w:cs="Times New Roman"/>
                <w:sz w:val="26"/>
                <w:szCs w:val="26"/>
                <w:lang w:eastAsia="lv-LV"/>
              </w:rPr>
              <w:t xml:space="preserve">Ekonomikas ministrija, </w:t>
            </w:r>
            <w:r w:rsidRPr="009D0629">
              <w:rPr>
                <w:rFonts w:ascii="Times New Roman" w:hAnsi="Times New Roman" w:cs="Times New Roman"/>
                <w:sz w:val="26"/>
                <w:szCs w:val="26"/>
              </w:rPr>
              <w:t>Latvijas Tirdzniecības un rūpniecības kamera un Latvijas Darb</w:t>
            </w:r>
            <w:r w:rsidR="00BE7C7F" w:rsidRPr="009D0629">
              <w:rPr>
                <w:rFonts w:ascii="Times New Roman" w:hAnsi="Times New Roman" w:cs="Times New Roman"/>
                <w:sz w:val="26"/>
                <w:szCs w:val="26"/>
              </w:rPr>
              <w:t>a</w:t>
            </w:r>
            <w:r w:rsidRPr="009D0629">
              <w:rPr>
                <w:rFonts w:ascii="Times New Roman" w:hAnsi="Times New Roman" w:cs="Times New Roman"/>
                <w:sz w:val="26"/>
                <w:szCs w:val="26"/>
              </w:rPr>
              <w:t xml:space="preserve"> devēju konfederācija.</w:t>
            </w:r>
          </w:p>
        </w:tc>
      </w:tr>
      <w:tr w:rsidR="005642A9" w:rsidRPr="009D0629" w:rsidTr="002721AA">
        <w:trPr>
          <w:trHeight w:val="465"/>
        </w:trPr>
        <w:tc>
          <w:tcPr>
            <w:tcW w:w="454" w:type="dxa"/>
            <w:tcBorders>
              <w:top w:val="outset" w:sz="6" w:space="0" w:color="414142"/>
              <w:left w:val="outset" w:sz="6" w:space="0" w:color="414142"/>
              <w:bottom w:val="outset" w:sz="6" w:space="0" w:color="414142"/>
              <w:right w:val="outset" w:sz="6" w:space="0" w:color="414142"/>
            </w:tcBorders>
            <w:hideMark/>
          </w:tcPr>
          <w:p w:rsidR="005642A9" w:rsidRPr="009D0629" w:rsidRDefault="005642A9" w:rsidP="007B0240">
            <w:pPr>
              <w:spacing w:before="100" w:beforeAutospacing="1" w:after="100" w:afterAutospacing="1" w:line="240" w:lineRule="auto"/>
              <w:jc w:val="both"/>
              <w:rPr>
                <w:rFonts w:ascii="Times New Roman" w:eastAsia="Times New Roman" w:hAnsi="Times New Roman" w:cs="Times New Roman"/>
                <w:color w:val="000000"/>
                <w:sz w:val="26"/>
                <w:szCs w:val="26"/>
                <w:lang w:eastAsia="lv-LV"/>
              </w:rPr>
            </w:pPr>
            <w:r w:rsidRPr="009D0629">
              <w:rPr>
                <w:rFonts w:ascii="Times New Roman" w:eastAsia="Times New Roman" w:hAnsi="Times New Roman" w:cs="Times New Roman"/>
                <w:color w:val="000000"/>
                <w:sz w:val="26"/>
                <w:szCs w:val="26"/>
                <w:lang w:eastAsia="lv-LV"/>
              </w:rPr>
              <w:t>3.</w:t>
            </w:r>
          </w:p>
        </w:tc>
        <w:tc>
          <w:tcPr>
            <w:tcW w:w="2799" w:type="dxa"/>
            <w:tcBorders>
              <w:top w:val="outset" w:sz="6" w:space="0" w:color="414142"/>
              <w:left w:val="outset" w:sz="6" w:space="0" w:color="414142"/>
              <w:bottom w:val="outset" w:sz="6" w:space="0" w:color="414142"/>
              <w:right w:val="outset" w:sz="6" w:space="0" w:color="414142"/>
            </w:tcBorders>
            <w:hideMark/>
          </w:tcPr>
          <w:p w:rsidR="005642A9" w:rsidRPr="009D0629" w:rsidRDefault="005642A9" w:rsidP="007B0240">
            <w:pPr>
              <w:spacing w:before="100" w:beforeAutospacing="1" w:after="100" w:afterAutospacing="1" w:line="240" w:lineRule="auto"/>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Sabiedrības līdzdalības rezultāti</w:t>
            </w:r>
          </w:p>
        </w:tc>
        <w:tc>
          <w:tcPr>
            <w:tcW w:w="6520" w:type="dxa"/>
            <w:tcBorders>
              <w:top w:val="outset" w:sz="6" w:space="0" w:color="414142"/>
              <w:left w:val="outset" w:sz="6" w:space="0" w:color="414142"/>
              <w:bottom w:val="outset" w:sz="6" w:space="0" w:color="414142"/>
              <w:right w:val="outset" w:sz="6" w:space="0" w:color="414142"/>
            </w:tcBorders>
            <w:hideMark/>
          </w:tcPr>
          <w:p w:rsidR="005642A9" w:rsidRPr="009D0629" w:rsidRDefault="003D6169" w:rsidP="007B0240">
            <w:pPr>
              <w:spacing w:before="100" w:beforeAutospacing="1" w:after="100" w:afterAutospacing="1" w:line="240" w:lineRule="auto"/>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Tika panākta vienošanās par zaudējumu pārnešanas ierobežojumu.</w:t>
            </w:r>
          </w:p>
        </w:tc>
      </w:tr>
      <w:tr w:rsidR="005642A9" w:rsidRPr="009D0629" w:rsidTr="002721AA">
        <w:trPr>
          <w:trHeight w:val="465"/>
        </w:trPr>
        <w:tc>
          <w:tcPr>
            <w:tcW w:w="454" w:type="dxa"/>
            <w:tcBorders>
              <w:top w:val="outset" w:sz="6" w:space="0" w:color="414142"/>
              <w:left w:val="outset" w:sz="6" w:space="0" w:color="414142"/>
              <w:bottom w:val="outset" w:sz="6" w:space="0" w:color="414142"/>
              <w:right w:val="outset" w:sz="6" w:space="0" w:color="414142"/>
            </w:tcBorders>
            <w:hideMark/>
          </w:tcPr>
          <w:p w:rsidR="005642A9" w:rsidRPr="009D0629" w:rsidRDefault="005642A9" w:rsidP="007B0240">
            <w:pPr>
              <w:spacing w:before="100" w:beforeAutospacing="1" w:after="100" w:afterAutospacing="1" w:line="240" w:lineRule="auto"/>
              <w:jc w:val="both"/>
              <w:rPr>
                <w:rFonts w:ascii="Times New Roman" w:eastAsia="Times New Roman" w:hAnsi="Times New Roman" w:cs="Times New Roman"/>
                <w:color w:val="000000"/>
                <w:sz w:val="26"/>
                <w:szCs w:val="26"/>
                <w:lang w:eastAsia="lv-LV"/>
              </w:rPr>
            </w:pPr>
            <w:r w:rsidRPr="009D0629">
              <w:rPr>
                <w:rFonts w:ascii="Times New Roman" w:eastAsia="Times New Roman" w:hAnsi="Times New Roman" w:cs="Times New Roman"/>
                <w:color w:val="000000"/>
                <w:sz w:val="26"/>
                <w:szCs w:val="26"/>
                <w:lang w:eastAsia="lv-LV"/>
              </w:rPr>
              <w:t>4.</w:t>
            </w:r>
          </w:p>
        </w:tc>
        <w:tc>
          <w:tcPr>
            <w:tcW w:w="2799" w:type="dxa"/>
            <w:tcBorders>
              <w:top w:val="outset" w:sz="6" w:space="0" w:color="414142"/>
              <w:left w:val="outset" w:sz="6" w:space="0" w:color="414142"/>
              <w:bottom w:val="outset" w:sz="6" w:space="0" w:color="414142"/>
              <w:right w:val="outset" w:sz="6" w:space="0" w:color="414142"/>
            </w:tcBorders>
            <w:hideMark/>
          </w:tcPr>
          <w:p w:rsidR="005642A9" w:rsidRPr="009D0629" w:rsidRDefault="005642A9" w:rsidP="007B0240">
            <w:pPr>
              <w:spacing w:before="100" w:beforeAutospacing="1" w:after="100" w:afterAutospacing="1" w:line="240" w:lineRule="auto"/>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Cita informācija</w:t>
            </w:r>
          </w:p>
        </w:tc>
        <w:tc>
          <w:tcPr>
            <w:tcW w:w="6520" w:type="dxa"/>
            <w:tcBorders>
              <w:top w:val="outset" w:sz="6" w:space="0" w:color="414142"/>
              <w:left w:val="outset" w:sz="6" w:space="0" w:color="414142"/>
              <w:bottom w:val="outset" w:sz="6" w:space="0" w:color="414142"/>
              <w:right w:val="outset" w:sz="6" w:space="0" w:color="414142"/>
            </w:tcBorders>
            <w:hideMark/>
          </w:tcPr>
          <w:p w:rsidR="005642A9" w:rsidRPr="009D0629" w:rsidRDefault="005642A9" w:rsidP="007B0240">
            <w:pPr>
              <w:spacing w:before="100" w:beforeAutospacing="1" w:after="100" w:afterAutospacing="1" w:line="240" w:lineRule="auto"/>
              <w:jc w:val="both"/>
              <w:rPr>
                <w:rFonts w:ascii="Times New Roman" w:eastAsia="Times New Roman" w:hAnsi="Times New Roman" w:cs="Times New Roman"/>
                <w:sz w:val="26"/>
                <w:szCs w:val="26"/>
                <w:lang w:eastAsia="lv-LV"/>
              </w:rPr>
            </w:pPr>
            <w:r w:rsidRPr="009D0629">
              <w:rPr>
                <w:rFonts w:ascii="Times New Roman" w:eastAsia="Times New Roman" w:hAnsi="Times New Roman" w:cs="Times New Roman"/>
                <w:sz w:val="26"/>
                <w:szCs w:val="26"/>
                <w:lang w:eastAsia="lv-LV"/>
              </w:rPr>
              <w:t xml:space="preserve">Nav. </w:t>
            </w:r>
          </w:p>
        </w:tc>
      </w:tr>
    </w:tbl>
    <w:p w:rsidR="005642A9" w:rsidRPr="009D0629" w:rsidRDefault="005642A9" w:rsidP="005642A9">
      <w:pPr>
        <w:spacing w:after="0" w:line="240" w:lineRule="auto"/>
        <w:contextualSpacing/>
        <w:rPr>
          <w:rFonts w:ascii="Times New Roman" w:hAnsi="Times New Roman" w:cs="Times New Roman"/>
          <w:sz w:val="26"/>
          <w:szCs w:val="26"/>
        </w:rPr>
      </w:pPr>
    </w:p>
    <w:tbl>
      <w:tblPr>
        <w:tblpPr w:leftFromText="180" w:rightFromText="180" w:vertAnchor="text" w:horzAnchor="margin" w:tblpY="212"/>
        <w:tblW w:w="539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55"/>
        <w:gridCol w:w="4420"/>
        <w:gridCol w:w="5098"/>
      </w:tblGrid>
      <w:tr w:rsidR="005642A9" w:rsidRPr="009D0629" w:rsidTr="002721AA">
        <w:tc>
          <w:tcPr>
            <w:tcW w:w="5000" w:type="pct"/>
            <w:gridSpan w:val="3"/>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b/>
                <w:bCs/>
                <w:sz w:val="26"/>
                <w:szCs w:val="26"/>
              </w:rPr>
            </w:pPr>
            <w:r w:rsidRPr="009D0629">
              <w:rPr>
                <w:rFonts w:ascii="Times New Roman" w:hAnsi="Times New Roman" w:cs="Times New Roman"/>
                <w:b/>
                <w:bCs/>
                <w:sz w:val="26"/>
                <w:szCs w:val="26"/>
              </w:rPr>
              <w:t>VII. Tiesību akta projekta izpildes nodrošināšana un tās ietekme uz institūcijām</w:t>
            </w:r>
          </w:p>
        </w:tc>
      </w:tr>
      <w:tr w:rsidR="005642A9" w:rsidRPr="009D0629" w:rsidTr="002721AA">
        <w:tc>
          <w:tcPr>
            <w:tcW w:w="0" w:type="auto"/>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1.</w:t>
            </w:r>
          </w:p>
        </w:tc>
        <w:tc>
          <w:tcPr>
            <w:tcW w:w="2262"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Projekta izpildē iesaistītās institūcijas</w:t>
            </w:r>
          </w:p>
        </w:tc>
        <w:tc>
          <w:tcPr>
            <w:tcW w:w="2608"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Valsts ieņēmumu dienests.</w:t>
            </w:r>
          </w:p>
        </w:tc>
      </w:tr>
      <w:tr w:rsidR="005642A9" w:rsidRPr="009D0629" w:rsidTr="002721AA">
        <w:tc>
          <w:tcPr>
            <w:tcW w:w="0" w:type="auto"/>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2.</w:t>
            </w:r>
          </w:p>
        </w:tc>
        <w:tc>
          <w:tcPr>
            <w:tcW w:w="2262"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pStyle w:val="naisf"/>
              <w:spacing w:before="0" w:beforeAutospacing="0" w:after="0" w:afterAutospacing="0"/>
              <w:ind w:left="57" w:right="57"/>
              <w:contextualSpacing/>
              <w:rPr>
                <w:sz w:val="26"/>
                <w:szCs w:val="26"/>
              </w:rPr>
            </w:pPr>
            <w:r w:rsidRPr="009D0629">
              <w:rPr>
                <w:sz w:val="26"/>
                <w:szCs w:val="26"/>
              </w:rPr>
              <w:t>Projekta izpildes ietekme uz pārvaldes funkcijām un institucionālo struktūru.</w:t>
            </w:r>
          </w:p>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Jaunu institūciju izveide, esošu institūciju likvidācija vai reorganizācija, to ietekme uz institūcijas cilvēkresursiem</w:t>
            </w:r>
          </w:p>
        </w:tc>
        <w:tc>
          <w:tcPr>
            <w:tcW w:w="2608" w:type="pct"/>
            <w:tcBorders>
              <w:top w:val="outset" w:sz="6" w:space="0" w:color="000000"/>
              <w:left w:val="outset" w:sz="6" w:space="0" w:color="000000"/>
              <w:bottom w:val="outset" w:sz="6" w:space="0" w:color="000000"/>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Likumprojekt</w:t>
            </w:r>
            <w:r w:rsidR="00704EFD" w:rsidRPr="009D0629">
              <w:rPr>
                <w:rFonts w:ascii="Times New Roman" w:hAnsi="Times New Roman" w:cs="Times New Roman"/>
                <w:sz w:val="26"/>
                <w:szCs w:val="26"/>
              </w:rPr>
              <w:t xml:space="preserve">s </w:t>
            </w:r>
            <w:r w:rsidRPr="009D0629">
              <w:rPr>
                <w:rFonts w:ascii="Times New Roman" w:hAnsi="Times New Roman" w:cs="Times New Roman"/>
                <w:sz w:val="26"/>
                <w:szCs w:val="26"/>
              </w:rPr>
              <w:t>nemainīs pārvaldes funkcijas un institucionālo struktūru.</w:t>
            </w:r>
          </w:p>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Jaunas institūcijas veidotas netiks, kā arī esošās institūcijas netiks likvidētas vai reorganizētas.</w:t>
            </w:r>
          </w:p>
        </w:tc>
      </w:tr>
      <w:tr w:rsidR="005642A9" w:rsidRPr="009D0629" w:rsidTr="002721AA">
        <w:tc>
          <w:tcPr>
            <w:tcW w:w="0" w:type="auto"/>
            <w:tcBorders>
              <w:top w:val="outset" w:sz="6" w:space="0" w:color="000000"/>
              <w:left w:val="outset" w:sz="6" w:space="0" w:color="000000"/>
              <w:bottom w:val="single" w:sz="4" w:space="0" w:color="auto"/>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3.</w:t>
            </w:r>
          </w:p>
        </w:tc>
        <w:tc>
          <w:tcPr>
            <w:tcW w:w="2262" w:type="pct"/>
            <w:tcBorders>
              <w:top w:val="outset" w:sz="6" w:space="0" w:color="000000"/>
              <w:left w:val="outset" w:sz="6" w:space="0" w:color="000000"/>
              <w:bottom w:val="single" w:sz="4" w:space="0" w:color="auto"/>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Cita informācija</w:t>
            </w:r>
          </w:p>
        </w:tc>
        <w:tc>
          <w:tcPr>
            <w:tcW w:w="2608" w:type="pct"/>
            <w:tcBorders>
              <w:top w:val="outset" w:sz="6" w:space="0" w:color="000000"/>
              <w:left w:val="outset" w:sz="6" w:space="0" w:color="000000"/>
              <w:bottom w:val="single" w:sz="4" w:space="0" w:color="auto"/>
              <w:right w:val="outset" w:sz="6" w:space="0" w:color="000000"/>
            </w:tcBorders>
          </w:tcPr>
          <w:p w:rsidR="005642A9" w:rsidRPr="009D0629" w:rsidRDefault="005642A9" w:rsidP="007B0240">
            <w:pPr>
              <w:spacing w:after="0" w:line="240" w:lineRule="auto"/>
              <w:contextualSpacing/>
              <w:jc w:val="both"/>
              <w:rPr>
                <w:rFonts w:ascii="Times New Roman" w:hAnsi="Times New Roman" w:cs="Times New Roman"/>
                <w:sz w:val="26"/>
                <w:szCs w:val="26"/>
              </w:rPr>
            </w:pPr>
            <w:r w:rsidRPr="009D0629">
              <w:rPr>
                <w:rFonts w:ascii="Times New Roman" w:hAnsi="Times New Roman" w:cs="Times New Roman"/>
                <w:sz w:val="26"/>
                <w:szCs w:val="26"/>
              </w:rPr>
              <w:t>Nav.</w:t>
            </w:r>
          </w:p>
        </w:tc>
      </w:tr>
    </w:tbl>
    <w:p w:rsidR="005642A9" w:rsidRPr="009D0629" w:rsidRDefault="005642A9" w:rsidP="005642A9">
      <w:pPr>
        <w:spacing w:after="0" w:line="240" w:lineRule="auto"/>
        <w:contextualSpacing/>
        <w:jc w:val="both"/>
        <w:rPr>
          <w:rFonts w:ascii="Times New Roman" w:hAnsi="Times New Roman" w:cs="Times New Roman"/>
          <w:sz w:val="26"/>
          <w:szCs w:val="26"/>
          <w:lang w:val="en-US"/>
        </w:rPr>
      </w:pPr>
    </w:p>
    <w:p w:rsidR="00BE2D03" w:rsidRDefault="00BE2D03" w:rsidP="00BE2D03">
      <w:pPr>
        <w:ind w:firstLine="720"/>
        <w:rPr>
          <w:rFonts w:ascii="Times New Roman" w:hAnsi="Times New Roman" w:cs="Times New Roman"/>
          <w:sz w:val="26"/>
          <w:szCs w:val="26"/>
          <w:lang w:val="en-US"/>
        </w:rPr>
      </w:pPr>
    </w:p>
    <w:p w:rsidR="00BE2D03" w:rsidRDefault="00BE2D03" w:rsidP="00BE2D03">
      <w:pPr>
        <w:ind w:firstLine="720"/>
        <w:rPr>
          <w:rFonts w:ascii="Times New Roman" w:hAnsi="Times New Roman" w:cs="Times New Roman"/>
          <w:sz w:val="26"/>
          <w:szCs w:val="26"/>
          <w:lang w:val="en-US"/>
        </w:rPr>
      </w:pPr>
    </w:p>
    <w:p w:rsidR="00BE2D03" w:rsidRPr="00BE2D03" w:rsidRDefault="00BE2D03" w:rsidP="00BE2D03">
      <w:pPr>
        <w:ind w:firstLine="720"/>
        <w:rPr>
          <w:rFonts w:ascii="Times New Roman" w:hAnsi="Times New Roman" w:cs="Times New Roman"/>
          <w:sz w:val="26"/>
          <w:szCs w:val="26"/>
          <w:lang w:val="en-US"/>
        </w:rPr>
      </w:pPr>
      <w:proofErr w:type="spellStart"/>
      <w:r w:rsidRPr="00BE2D03">
        <w:rPr>
          <w:rFonts w:ascii="Times New Roman" w:hAnsi="Times New Roman" w:cs="Times New Roman"/>
          <w:sz w:val="26"/>
          <w:szCs w:val="26"/>
          <w:lang w:val="en-US"/>
        </w:rPr>
        <w:t>Finanšu</w:t>
      </w:r>
      <w:proofErr w:type="spellEnd"/>
      <w:r w:rsidRPr="00BE2D03">
        <w:rPr>
          <w:rFonts w:ascii="Times New Roman" w:hAnsi="Times New Roman" w:cs="Times New Roman"/>
          <w:sz w:val="26"/>
          <w:szCs w:val="26"/>
          <w:lang w:val="en-US"/>
        </w:rPr>
        <w:t xml:space="preserve"> </w:t>
      </w:r>
      <w:proofErr w:type="spellStart"/>
      <w:r w:rsidRPr="00BE2D03">
        <w:rPr>
          <w:rFonts w:ascii="Times New Roman" w:hAnsi="Times New Roman" w:cs="Times New Roman"/>
          <w:sz w:val="26"/>
          <w:szCs w:val="26"/>
          <w:lang w:val="en-US"/>
        </w:rPr>
        <w:t>ministre</w:t>
      </w:r>
      <w:proofErr w:type="spellEnd"/>
      <w:r w:rsidRPr="00BE2D0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BE2D03">
        <w:rPr>
          <w:rFonts w:ascii="Times New Roman" w:hAnsi="Times New Roman" w:cs="Times New Roman"/>
          <w:sz w:val="26"/>
          <w:szCs w:val="26"/>
          <w:lang w:val="en-US"/>
        </w:rPr>
        <w:t xml:space="preserve">            </w:t>
      </w:r>
      <w:proofErr w:type="spellStart"/>
      <w:r w:rsidRPr="00BE2D03">
        <w:rPr>
          <w:rFonts w:ascii="Times New Roman" w:hAnsi="Times New Roman" w:cs="Times New Roman"/>
          <w:sz w:val="26"/>
          <w:szCs w:val="26"/>
          <w:lang w:val="en-US"/>
        </w:rPr>
        <w:t>D.Reizniece</w:t>
      </w:r>
      <w:proofErr w:type="spellEnd"/>
      <w:r w:rsidRPr="00BE2D03">
        <w:rPr>
          <w:rFonts w:ascii="Times New Roman" w:hAnsi="Times New Roman" w:cs="Times New Roman"/>
          <w:sz w:val="26"/>
          <w:szCs w:val="26"/>
          <w:lang w:val="en-US"/>
        </w:rPr>
        <w:t>-Ozola</w:t>
      </w:r>
    </w:p>
    <w:p w:rsidR="00B824AB" w:rsidRPr="009D0629" w:rsidRDefault="00B824AB" w:rsidP="00B824AB">
      <w:pPr>
        <w:spacing w:after="0" w:line="240" w:lineRule="auto"/>
        <w:ind w:firstLine="720"/>
        <w:contextualSpacing/>
        <w:jc w:val="both"/>
        <w:rPr>
          <w:rFonts w:ascii="Times New Roman" w:hAnsi="Times New Roman" w:cs="Times New Roman"/>
          <w:sz w:val="26"/>
          <w:szCs w:val="26"/>
          <w:lang w:val="en-US"/>
        </w:rPr>
      </w:pPr>
    </w:p>
    <w:p w:rsidR="00B824AB" w:rsidRPr="009D0629" w:rsidRDefault="00B824AB" w:rsidP="00B824AB">
      <w:pPr>
        <w:spacing w:after="0" w:line="240" w:lineRule="auto"/>
        <w:ind w:firstLine="720"/>
        <w:contextualSpacing/>
        <w:jc w:val="both"/>
        <w:rPr>
          <w:rFonts w:ascii="Times New Roman" w:hAnsi="Times New Roman" w:cs="Times New Roman"/>
          <w:sz w:val="26"/>
          <w:szCs w:val="26"/>
        </w:rPr>
      </w:pPr>
    </w:p>
    <w:p w:rsidR="005B50FA" w:rsidRDefault="005B50FA" w:rsidP="00B824AB">
      <w:pPr>
        <w:spacing w:after="0" w:line="240" w:lineRule="auto"/>
        <w:ind w:firstLine="720"/>
        <w:contextualSpacing/>
        <w:jc w:val="both"/>
        <w:rPr>
          <w:rFonts w:ascii="Times New Roman" w:hAnsi="Times New Roman" w:cs="Times New Roman"/>
          <w:sz w:val="24"/>
          <w:szCs w:val="24"/>
        </w:rPr>
      </w:pPr>
    </w:p>
    <w:p w:rsidR="005B50FA" w:rsidRDefault="005B50FA" w:rsidP="00B824AB">
      <w:pPr>
        <w:spacing w:after="0" w:line="240" w:lineRule="auto"/>
        <w:ind w:firstLine="720"/>
        <w:contextualSpacing/>
        <w:jc w:val="both"/>
        <w:rPr>
          <w:rFonts w:ascii="Times New Roman" w:hAnsi="Times New Roman" w:cs="Times New Roman"/>
          <w:sz w:val="24"/>
          <w:szCs w:val="24"/>
        </w:rPr>
      </w:pPr>
    </w:p>
    <w:p w:rsidR="005B50FA" w:rsidRDefault="005B50FA" w:rsidP="00B824AB">
      <w:pPr>
        <w:spacing w:after="0" w:line="240" w:lineRule="auto"/>
        <w:ind w:firstLine="720"/>
        <w:contextualSpacing/>
        <w:jc w:val="both"/>
        <w:rPr>
          <w:rFonts w:ascii="Times New Roman" w:hAnsi="Times New Roman" w:cs="Times New Roman"/>
          <w:sz w:val="24"/>
          <w:szCs w:val="24"/>
        </w:rPr>
      </w:pPr>
    </w:p>
    <w:p w:rsidR="005B50FA" w:rsidRDefault="005B50FA" w:rsidP="00B824AB">
      <w:pPr>
        <w:spacing w:after="0" w:line="240" w:lineRule="auto"/>
        <w:ind w:firstLine="720"/>
        <w:contextualSpacing/>
        <w:jc w:val="both"/>
        <w:rPr>
          <w:rFonts w:ascii="Times New Roman" w:hAnsi="Times New Roman" w:cs="Times New Roman"/>
          <w:sz w:val="24"/>
          <w:szCs w:val="24"/>
        </w:rPr>
      </w:pPr>
    </w:p>
    <w:p w:rsidR="005B50FA" w:rsidRDefault="005B50FA" w:rsidP="00B824AB">
      <w:pPr>
        <w:spacing w:after="0" w:line="240" w:lineRule="auto"/>
        <w:ind w:firstLine="720"/>
        <w:contextualSpacing/>
        <w:jc w:val="both"/>
        <w:rPr>
          <w:rFonts w:ascii="Times New Roman" w:hAnsi="Times New Roman" w:cs="Times New Roman"/>
          <w:sz w:val="24"/>
          <w:szCs w:val="24"/>
        </w:rPr>
      </w:pPr>
    </w:p>
    <w:p w:rsidR="005B50FA" w:rsidRDefault="005B50FA" w:rsidP="00B824AB">
      <w:pPr>
        <w:spacing w:after="0" w:line="240" w:lineRule="auto"/>
        <w:ind w:firstLine="720"/>
        <w:contextualSpacing/>
        <w:jc w:val="both"/>
        <w:rPr>
          <w:rFonts w:ascii="Times New Roman" w:hAnsi="Times New Roman" w:cs="Times New Roman"/>
          <w:sz w:val="24"/>
          <w:szCs w:val="24"/>
        </w:rPr>
      </w:pPr>
    </w:p>
    <w:p w:rsidR="005B50FA" w:rsidRDefault="005B50FA" w:rsidP="00B824AB">
      <w:pPr>
        <w:spacing w:after="0" w:line="240" w:lineRule="auto"/>
        <w:ind w:firstLine="720"/>
        <w:contextualSpacing/>
        <w:jc w:val="both"/>
        <w:rPr>
          <w:rFonts w:ascii="Times New Roman" w:hAnsi="Times New Roman" w:cs="Times New Roman"/>
          <w:sz w:val="24"/>
          <w:szCs w:val="24"/>
        </w:rPr>
      </w:pPr>
    </w:p>
    <w:p w:rsidR="005B50FA" w:rsidRDefault="005B50FA" w:rsidP="00B824AB">
      <w:pPr>
        <w:spacing w:after="0" w:line="240" w:lineRule="auto"/>
        <w:ind w:firstLine="720"/>
        <w:contextualSpacing/>
        <w:jc w:val="both"/>
        <w:rPr>
          <w:rFonts w:ascii="Times New Roman" w:hAnsi="Times New Roman" w:cs="Times New Roman"/>
          <w:sz w:val="24"/>
          <w:szCs w:val="24"/>
        </w:rPr>
      </w:pPr>
    </w:p>
    <w:p w:rsidR="00CB43E4" w:rsidRDefault="00CB43E4" w:rsidP="00B824AB">
      <w:pPr>
        <w:spacing w:after="0" w:line="240" w:lineRule="auto"/>
        <w:ind w:firstLine="720"/>
        <w:contextualSpacing/>
        <w:jc w:val="both"/>
        <w:rPr>
          <w:rFonts w:ascii="Times New Roman" w:hAnsi="Times New Roman" w:cs="Times New Roman"/>
          <w:sz w:val="24"/>
          <w:szCs w:val="24"/>
        </w:rPr>
      </w:pPr>
    </w:p>
    <w:p w:rsidR="00CB43E4" w:rsidRDefault="00CB43E4" w:rsidP="00B824AB">
      <w:pPr>
        <w:spacing w:after="0" w:line="240" w:lineRule="auto"/>
        <w:ind w:firstLine="720"/>
        <w:contextualSpacing/>
        <w:jc w:val="both"/>
        <w:rPr>
          <w:rFonts w:ascii="Times New Roman" w:hAnsi="Times New Roman" w:cs="Times New Roman"/>
          <w:sz w:val="24"/>
          <w:szCs w:val="24"/>
        </w:rPr>
      </w:pPr>
    </w:p>
    <w:p w:rsidR="00BE7C7F" w:rsidRDefault="00BE7C7F" w:rsidP="00B824AB">
      <w:pPr>
        <w:spacing w:after="0" w:line="240" w:lineRule="auto"/>
        <w:ind w:firstLine="720"/>
        <w:contextualSpacing/>
        <w:jc w:val="both"/>
        <w:rPr>
          <w:rFonts w:ascii="Times New Roman" w:hAnsi="Times New Roman" w:cs="Times New Roman"/>
          <w:sz w:val="24"/>
          <w:szCs w:val="24"/>
        </w:rPr>
      </w:pPr>
    </w:p>
    <w:p w:rsidR="00BE7C7F" w:rsidRDefault="00BE7C7F" w:rsidP="00B824AB">
      <w:pPr>
        <w:spacing w:after="0" w:line="240" w:lineRule="auto"/>
        <w:ind w:firstLine="720"/>
        <w:contextualSpacing/>
        <w:jc w:val="both"/>
        <w:rPr>
          <w:rFonts w:ascii="Times New Roman" w:hAnsi="Times New Roman" w:cs="Times New Roman"/>
          <w:sz w:val="24"/>
          <w:szCs w:val="24"/>
        </w:rPr>
      </w:pPr>
    </w:p>
    <w:p w:rsidR="00BE7C7F" w:rsidRDefault="00BE7C7F" w:rsidP="00B824AB">
      <w:pPr>
        <w:spacing w:after="0" w:line="240" w:lineRule="auto"/>
        <w:ind w:firstLine="720"/>
        <w:contextualSpacing/>
        <w:jc w:val="both"/>
        <w:rPr>
          <w:rFonts w:ascii="Times New Roman" w:hAnsi="Times New Roman" w:cs="Times New Roman"/>
          <w:sz w:val="24"/>
          <w:szCs w:val="24"/>
        </w:rPr>
      </w:pPr>
    </w:p>
    <w:p w:rsidR="00CB43E4" w:rsidRPr="00B824AB" w:rsidRDefault="00CB43E4" w:rsidP="00B824AB">
      <w:pPr>
        <w:spacing w:after="0" w:line="240" w:lineRule="auto"/>
        <w:ind w:firstLine="720"/>
        <w:contextualSpacing/>
        <w:jc w:val="both"/>
        <w:rPr>
          <w:rFonts w:ascii="Times New Roman" w:hAnsi="Times New Roman" w:cs="Times New Roman"/>
          <w:sz w:val="24"/>
          <w:szCs w:val="24"/>
        </w:rPr>
      </w:pPr>
    </w:p>
    <w:p w:rsidR="005642A9" w:rsidRPr="00EA07D5" w:rsidRDefault="005642A9" w:rsidP="005642A9">
      <w:pPr>
        <w:pStyle w:val="Footer"/>
        <w:rPr>
          <w:rFonts w:ascii="Times New Roman" w:hAnsi="Times New Roman" w:cs="Times New Roman"/>
          <w:sz w:val="24"/>
          <w:szCs w:val="24"/>
        </w:rPr>
      </w:pPr>
      <w:r w:rsidRPr="00EA07D5">
        <w:rPr>
          <w:rFonts w:ascii="Times New Roman" w:hAnsi="Times New Roman" w:cs="Times New Roman"/>
          <w:sz w:val="24"/>
          <w:szCs w:val="24"/>
        </w:rPr>
        <w:t xml:space="preserve">          </w:t>
      </w:r>
      <w:r w:rsidR="00B824AB">
        <w:rPr>
          <w:rFonts w:ascii="Times New Roman" w:hAnsi="Times New Roman" w:cs="Times New Roman"/>
          <w:sz w:val="24"/>
          <w:szCs w:val="24"/>
        </w:rPr>
        <w:t xml:space="preserve">  </w:t>
      </w:r>
    </w:p>
    <w:p w:rsidR="001F4220" w:rsidRPr="00EA07D5" w:rsidRDefault="00E328B3" w:rsidP="001F4220">
      <w:pPr>
        <w:pStyle w:val="NoSpacing"/>
        <w:rPr>
          <w:rFonts w:ascii="Times New Roman" w:hAnsi="Times New Roman" w:cs="Times New Roman"/>
          <w:b/>
          <w:sz w:val="20"/>
          <w:szCs w:val="20"/>
          <w:lang w:eastAsia="lv-LV"/>
        </w:rPr>
      </w:pPr>
      <w:r>
        <w:rPr>
          <w:rFonts w:ascii="Times New Roman" w:hAnsi="Times New Roman" w:cs="Times New Roman"/>
          <w:sz w:val="20"/>
          <w:szCs w:val="20"/>
          <w:lang w:eastAsia="lv-LV"/>
        </w:rPr>
        <w:t>0</w:t>
      </w:r>
      <w:r w:rsidR="00C25CC1">
        <w:rPr>
          <w:rFonts w:ascii="Times New Roman" w:hAnsi="Times New Roman" w:cs="Times New Roman"/>
          <w:sz w:val="20"/>
          <w:szCs w:val="20"/>
          <w:lang w:eastAsia="lv-LV"/>
        </w:rPr>
        <w:t>9</w:t>
      </w:r>
      <w:r w:rsidR="001F4220" w:rsidRPr="00EA07D5">
        <w:rPr>
          <w:rFonts w:ascii="Times New Roman" w:hAnsi="Times New Roman" w:cs="Times New Roman"/>
          <w:sz w:val="20"/>
          <w:szCs w:val="20"/>
          <w:lang w:eastAsia="lv-LV"/>
        </w:rPr>
        <w:t>.0</w:t>
      </w:r>
      <w:r w:rsidR="00C25CC1">
        <w:rPr>
          <w:rFonts w:ascii="Times New Roman" w:hAnsi="Times New Roman" w:cs="Times New Roman"/>
          <w:sz w:val="20"/>
          <w:szCs w:val="20"/>
          <w:lang w:eastAsia="lv-LV"/>
        </w:rPr>
        <w:t>9</w:t>
      </w:r>
      <w:r w:rsidR="001F4220" w:rsidRPr="00EA07D5">
        <w:rPr>
          <w:rFonts w:ascii="Times New Roman" w:hAnsi="Times New Roman" w:cs="Times New Roman"/>
          <w:sz w:val="20"/>
          <w:szCs w:val="20"/>
          <w:lang w:eastAsia="lv-LV"/>
        </w:rPr>
        <w:t>.2016. 14:05</w:t>
      </w:r>
    </w:p>
    <w:p w:rsidR="005642A9" w:rsidRPr="00EA07D5" w:rsidRDefault="005642A9" w:rsidP="005642A9">
      <w:pPr>
        <w:pStyle w:val="Footer"/>
        <w:rPr>
          <w:rFonts w:ascii="Times New Roman" w:hAnsi="Times New Roman" w:cs="Times New Roman"/>
          <w:sz w:val="20"/>
          <w:szCs w:val="20"/>
        </w:rPr>
      </w:pPr>
      <w:r w:rsidRPr="00EA07D5">
        <w:rPr>
          <w:rFonts w:ascii="Times New Roman" w:hAnsi="Times New Roman" w:cs="Times New Roman"/>
          <w:sz w:val="20"/>
          <w:szCs w:val="20"/>
        </w:rPr>
        <w:fldChar w:fldCharType="begin"/>
      </w:r>
      <w:r w:rsidRPr="00EA07D5">
        <w:rPr>
          <w:rFonts w:ascii="Times New Roman" w:hAnsi="Times New Roman" w:cs="Times New Roman"/>
          <w:sz w:val="20"/>
          <w:szCs w:val="20"/>
        </w:rPr>
        <w:instrText xml:space="preserve"> NUMWORDS  \* MERGEFORMAT </w:instrText>
      </w:r>
      <w:r w:rsidRPr="00EA07D5">
        <w:rPr>
          <w:rFonts w:ascii="Times New Roman" w:hAnsi="Times New Roman" w:cs="Times New Roman"/>
          <w:sz w:val="20"/>
          <w:szCs w:val="20"/>
        </w:rPr>
        <w:fldChar w:fldCharType="separate"/>
      </w:r>
      <w:r w:rsidR="007B7FA7">
        <w:rPr>
          <w:rFonts w:ascii="Times New Roman" w:hAnsi="Times New Roman" w:cs="Times New Roman"/>
          <w:noProof/>
          <w:sz w:val="20"/>
          <w:szCs w:val="20"/>
        </w:rPr>
        <w:t>2691</w:t>
      </w:r>
      <w:r w:rsidRPr="00EA07D5">
        <w:rPr>
          <w:rFonts w:ascii="Times New Roman" w:hAnsi="Times New Roman" w:cs="Times New Roman"/>
          <w:sz w:val="20"/>
          <w:szCs w:val="20"/>
        </w:rPr>
        <w:fldChar w:fldCharType="end"/>
      </w:r>
    </w:p>
    <w:p w:rsidR="005642A9" w:rsidRPr="00EA07D5" w:rsidRDefault="005642A9" w:rsidP="005642A9">
      <w:pPr>
        <w:pStyle w:val="Footer"/>
        <w:rPr>
          <w:rFonts w:ascii="Times New Roman" w:hAnsi="Times New Roman" w:cs="Times New Roman"/>
          <w:sz w:val="20"/>
          <w:szCs w:val="20"/>
        </w:rPr>
      </w:pPr>
      <w:r w:rsidRPr="00EA07D5">
        <w:rPr>
          <w:rFonts w:ascii="Times New Roman" w:hAnsi="Times New Roman" w:cs="Times New Roman"/>
          <w:sz w:val="20"/>
          <w:szCs w:val="20"/>
        </w:rPr>
        <w:t>Mačivka, 67095630</w:t>
      </w:r>
    </w:p>
    <w:p w:rsidR="00A36973" w:rsidRPr="00EA07D5" w:rsidRDefault="00314B4F" w:rsidP="004F6474">
      <w:pPr>
        <w:pStyle w:val="Footer"/>
        <w:rPr>
          <w:rFonts w:ascii="Times New Roman" w:hAnsi="Times New Roman" w:cs="Times New Roman"/>
          <w:sz w:val="20"/>
          <w:szCs w:val="20"/>
        </w:rPr>
      </w:pPr>
      <w:hyperlink r:id="rId7" w:history="1">
        <w:r w:rsidR="005642A9" w:rsidRPr="00EA07D5">
          <w:rPr>
            <w:rStyle w:val="Hyperlink"/>
            <w:rFonts w:ascii="Times New Roman" w:hAnsi="Times New Roman" w:cs="Times New Roman"/>
            <w:sz w:val="20"/>
            <w:szCs w:val="20"/>
          </w:rPr>
          <w:t>Sandra.Macivka@fm.gov.lv</w:t>
        </w:r>
      </w:hyperlink>
    </w:p>
    <w:sectPr w:rsidR="00A36973" w:rsidRPr="00EA07D5" w:rsidSect="002F6204">
      <w:headerReference w:type="default" r:id="rId8"/>
      <w:footerReference w:type="default" r:id="rId9"/>
      <w:footerReference w:type="first" r:id="rId10"/>
      <w:pgSz w:w="11906" w:h="16838" w:code="9"/>
      <w:pgMar w:top="426" w:right="1133"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4F" w:rsidRDefault="00314B4F" w:rsidP="00665F0A">
      <w:pPr>
        <w:spacing w:after="0" w:line="240" w:lineRule="auto"/>
      </w:pPr>
      <w:r>
        <w:separator/>
      </w:r>
    </w:p>
  </w:endnote>
  <w:endnote w:type="continuationSeparator" w:id="0">
    <w:p w:rsidR="00314B4F" w:rsidRDefault="00314B4F" w:rsidP="0066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2A" w:rsidRPr="0029015A" w:rsidRDefault="001F4220" w:rsidP="00F4462A">
    <w:pPr>
      <w:spacing w:after="0" w:line="240" w:lineRule="auto"/>
      <w:ind w:firstLine="567"/>
      <w:contextualSpacing/>
      <w:jc w:val="both"/>
      <w:rPr>
        <w:rFonts w:ascii="Times New Roman" w:hAnsi="Times New Roman" w:cs="Times New Roman"/>
        <w:bCs/>
        <w:sz w:val="16"/>
        <w:szCs w:val="16"/>
      </w:rPr>
    </w:pPr>
    <w:r w:rsidRPr="0029015A">
      <w:rPr>
        <w:rFonts w:ascii="Times New Roman" w:hAnsi="Times New Roman" w:cs="Times New Roman"/>
        <w:sz w:val="16"/>
        <w:szCs w:val="16"/>
      </w:rPr>
      <w:fldChar w:fldCharType="begin"/>
    </w:r>
    <w:r w:rsidRPr="0029015A">
      <w:rPr>
        <w:rFonts w:ascii="Times New Roman" w:hAnsi="Times New Roman" w:cs="Times New Roman"/>
        <w:sz w:val="16"/>
        <w:szCs w:val="16"/>
      </w:rPr>
      <w:instrText xml:space="preserve"> FILENAME   \* MERGEFORMAT </w:instrText>
    </w:r>
    <w:r w:rsidRPr="0029015A">
      <w:rPr>
        <w:rFonts w:ascii="Times New Roman" w:hAnsi="Times New Roman" w:cs="Times New Roman"/>
        <w:sz w:val="16"/>
        <w:szCs w:val="16"/>
      </w:rPr>
      <w:fldChar w:fldCharType="separate"/>
    </w:r>
    <w:r w:rsidR="008504D0">
      <w:rPr>
        <w:rFonts w:ascii="Times New Roman" w:hAnsi="Times New Roman" w:cs="Times New Roman"/>
        <w:noProof/>
        <w:sz w:val="16"/>
        <w:szCs w:val="16"/>
      </w:rPr>
      <w:t>FMAnot_09092016_UIN.docx</w:t>
    </w:r>
    <w:r w:rsidRPr="0029015A">
      <w:rPr>
        <w:rFonts w:ascii="Times New Roman" w:hAnsi="Times New Roman" w:cs="Times New Roman"/>
        <w:noProof/>
        <w:sz w:val="16"/>
        <w:szCs w:val="16"/>
      </w:rPr>
      <w:fldChar w:fldCharType="end"/>
    </w:r>
    <w:r w:rsidRPr="0029015A">
      <w:rPr>
        <w:rFonts w:ascii="Times New Roman" w:hAnsi="Times New Roman" w:cs="Times New Roman"/>
        <w:sz w:val="16"/>
        <w:szCs w:val="16"/>
      </w:rPr>
      <w:t xml:space="preserve">; </w:t>
    </w:r>
    <w:r w:rsidR="00F4462A">
      <w:rPr>
        <w:rFonts w:ascii="Times New Roman" w:hAnsi="Times New Roman" w:cs="Times New Roman"/>
        <w:sz w:val="16"/>
        <w:szCs w:val="16"/>
      </w:rPr>
      <w:t>Likumprojekts “</w:t>
    </w:r>
    <w:r w:rsidR="00F4462A" w:rsidRPr="0029015A">
      <w:rPr>
        <w:rFonts w:ascii="Times New Roman" w:hAnsi="Times New Roman" w:cs="Times New Roman"/>
        <w:bCs/>
        <w:sz w:val="16"/>
        <w:szCs w:val="16"/>
        <w:lang w:eastAsia="lv-LV"/>
      </w:rPr>
      <w:t xml:space="preserve">Grozījumi </w:t>
    </w:r>
    <w:r w:rsidR="00F4462A">
      <w:rPr>
        <w:rFonts w:ascii="Times New Roman" w:hAnsi="Times New Roman" w:cs="Times New Roman"/>
        <w:bCs/>
        <w:sz w:val="16"/>
        <w:szCs w:val="16"/>
        <w:lang w:eastAsia="lv-LV"/>
      </w:rPr>
      <w:t>l</w:t>
    </w:r>
    <w:r w:rsidR="00F4462A" w:rsidRPr="0029015A">
      <w:rPr>
        <w:rFonts w:ascii="Times New Roman" w:hAnsi="Times New Roman" w:cs="Times New Roman"/>
        <w:bCs/>
        <w:sz w:val="16"/>
        <w:szCs w:val="16"/>
        <w:lang w:eastAsia="lv-LV"/>
      </w:rPr>
      <w:t>ikum</w:t>
    </w:r>
    <w:r w:rsidR="00F4462A">
      <w:rPr>
        <w:rFonts w:ascii="Times New Roman" w:hAnsi="Times New Roman" w:cs="Times New Roman"/>
        <w:bCs/>
        <w:sz w:val="16"/>
        <w:szCs w:val="16"/>
        <w:lang w:eastAsia="lv-LV"/>
      </w:rPr>
      <w:t>ā</w:t>
    </w:r>
    <w:r w:rsidR="00F4462A" w:rsidRPr="0029015A">
      <w:rPr>
        <w:rFonts w:ascii="Times New Roman" w:hAnsi="Times New Roman" w:cs="Times New Roman"/>
        <w:bCs/>
        <w:sz w:val="16"/>
        <w:szCs w:val="16"/>
        <w:lang w:eastAsia="lv-LV"/>
      </w:rPr>
      <w:t xml:space="preserve"> </w:t>
    </w:r>
    <w:r w:rsidR="00F4462A">
      <w:rPr>
        <w:rFonts w:ascii="Times New Roman" w:hAnsi="Times New Roman" w:cs="Times New Roman"/>
        <w:bCs/>
        <w:sz w:val="16"/>
        <w:szCs w:val="16"/>
        <w:lang w:eastAsia="lv-LV"/>
      </w:rPr>
      <w:t xml:space="preserve">"Par uzņēmumu ienākuma nodokli"” </w:t>
    </w:r>
    <w:r w:rsidR="00F4462A" w:rsidRPr="0029015A">
      <w:rPr>
        <w:rFonts w:ascii="Times New Roman" w:hAnsi="Times New Roman" w:cs="Times New Roman"/>
        <w:bCs/>
        <w:sz w:val="16"/>
        <w:szCs w:val="16"/>
      </w:rPr>
      <w:t>sākotnējās ietekmes novērtējuma ziņojums (anotācija)</w:t>
    </w:r>
  </w:p>
  <w:p w:rsidR="00F4462A" w:rsidRPr="0034392D" w:rsidRDefault="00F4462A" w:rsidP="00F4462A">
    <w:pPr>
      <w:pStyle w:val="Footer"/>
      <w:rPr>
        <w:rFonts w:ascii="Times New Roman" w:hAnsi="Times New Roman" w:cs="Times New Roman"/>
        <w:sz w:val="20"/>
        <w:szCs w:val="20"/>
      </w:rPr>
    </w:pPr>
  </w:p>
  <w:p w:rsidR="00F324BB" w:rsidRPr="00A557D0" w:rsidRDefault="00314B4F" w:rsidP="00F4462A">
    <w:pPr>
      <w:spacing w:after="0" w:line="240" w:lineRule="auto"/>
      <w:ind w:firstLine="567"/>
      <w:contextualSpacing/>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5A" w:rsidRPr="0029015A" w:rsidRDefault="001F4220" w:rsidP="0029015A">
    <w:pPr>
      <w:spacing w:after="0" w:line="240" w:lineRule="auto"/>
      <w:ind w:firstLine="567"/>
      <w:contextualSpacing/>
      <w:jc w:val="both"/>
      <w:rPr>
        <w:rFonts w:ascii="Times New Roman" w:hAnsi="Times New Roman" w:cs="Times New Roman"/>
        <w:bCs/>
        <w:sz w:val="16"/>
        <w:szCs w:val="16"/>
      </w:rPr>
    </w:pPr>
    <w:r w:rsidRPr="0029015A">
      <w:rPr>
        <w:rFonts w:ascii="Times New Roman" w:hAnsi="Times New Roman" w:cs="Times New Roman"/>
        <w:sz w:val="16"/>
        <w:szCs w:val="16"/>
      </w:rPr>
      <w:fldChar w:fldCharType="begin"/>
    </w:r>
    <w:r w:rsidRPr="0029015A">
      <w:rPr>
        <w:rFonts w:ascii="Times New Roman" w:hAnsi="Times New Roman" w:cs="Times New Roman"/>
        <w:sz w:val="16"/>
        <w:szCs w:val="16"/>
      </w:rPr>
      <w:instrText xml:space="preserve"> FILENAME   \* MERGEFORMAT </w:instrText>
    </w:r>
    <w:r w:rsidRPr="0029015A">
      <w:rPr>
        <w:rFonts w:ascii="Times New Roman" w:hAnsi="Times New Roman" w:cs="Times New Roman"/>
        <w:sz w:val="16"/>
        <w:szCs w:val="16"/>
      </w:rPr>
      <w:fldChar w:fldCharType="separate"/>
    </w:r>
    <w:r w:rsidR="008504D0">
      <w:rPr>
        <w:rFonts w:ascii="Times New Roman" w:hAnsi="Times New Roman" w:cs="Times New Roman"/>
        <w:noProof/>
        <w:sz w:val="16"/>
        <w:szCs w:val="16"/>
      </w:rPr>
      <w:t>FMAnot_09092016_UIN.docx</w:t>
    </w:r>
    <w:r w:rsidRPr="0029015A">
      <w:rPr>
        <w:rFonts w:ascii="Times New Roman" w:hAnsi="Times New Roman" w:cs="Times New Roman"/>
        <w:noProof/>
        <w:sz w:val="16"/>
        <w:szCs w:val="16"/>
      </w:rPr>
      <w:fldChar w:fldCharType="end"/>
    </w:r>
    <w:r w:rsidRPr="0029015A">
      <w:rPr>
        <w:rFonts w:ascii="Times New Roman" w:hAnsi="Times New Roman" w:cs="Times New Roman"/>
        <w:sz w:val="16"/>
        <w:szCs w:val="16"/>
      </w:rPr>
      <w:t xml:space="preserve">; </w:t>
    </w:r>
    <w:r>
      <w:rPr>
        <w:rFonts w:ascii="Times New Roman" w:hAnsi="Times New Roman" w:cs="Times New Roman"/>
        <w:sz w:val="16"/>
        <w:szCs w:val="16"/>
      </w:rPr>
      <w:t>Likumprojekts “</w:t>
    </w:r>
    <w:r w:rsidRPr="0029015A">
      <w:rPr>
        <w:rFonts w:ascii="Times New Roman" w:hAnsi="Times New Roman" w:cs="Times New Roman"/>
        <w:bCs/>
        <w:sz w:val="16"/>
        <w:szCs w:val="16"/>
        <w:lang w:eastAsia="lv-LV"/>
      </w:rPr>
      <w:t xml:space="preserve">Grozījumi </w:t>
    </w:r>
    <w:r>
      <w:rPr>
        <w:rFonts w:ascii="Times New Roman" w:hAnsi="Times New Roman" w:cs="Times New Roman"/>
        <w:bCs/>
        <w:sz w:val="16"/>
        <w:szCs w:val="16"/>
        <w:lang w:eastAsia="lv-LV"/>
      </w:rPr>
      <w:t>l</w:t>
    </w:r>
    <w:r w:rsidRPr="0029015A">
      <w:rPr>
        <w:rFonts w:ascii="Times New Roman" w:hAnsi="Times New Roman" w:cs="Times New Roman"/>
        <w:bCs/>
        <w:sz w:val="16"/>
        <w:szCs w:val="16"/>
        <w:lang w:eastAsia="lv-LV"/>
      </w:rPr>
      <w:t>ikum</w:t>
    </w:r>
    <w:r>
      <w:rPr>
        <w:rFonts w:ascii="Times New Roman" w:hAnsi="Times New Roman" w:cs="Times New Roman"/>
        <w:bCs/>
        <w:sz w:val="16"/>
        <w:szCs w:val="16"/>
        <w:lang w:eastAsia="lv-LV"/>
      </w:rPr>
      <w:t>ā</w:t>
    </w:r>
    <w:r w:rsidRPr="0029015A">
      <w:rPr>
        <w:rFonts w:ascii="Times New Roman" w:hAnsi="Times New Roman" w:cs="Times New Roman"/>
        <w:bCs/>
        <w:sz w:val="16"/>
        <w:szCs w:val="16"/>
        <w:lang w:eastAsia="lv-LV"/>
      </w:rPr>
      <w:t xml:space="preserve"> </w:t>
    </w:r>
    <w:r>
      <w:rPr>
        <w:rFonts w:ascii="Times New Roman" w:hAnsi="Times New Roman" w:cs="Times New Roman"/>
        <w:bCs/>
        <w:sz w:val="16"/>
        <w:szCs w:val="16"/>
        <w:lang w:eastAsia="lv-LV"/>
      </w:rPr>
      <w:t xml:space="preserve">"Par uzņēmumu ienākuma nodokli"” </w:t>
    </w:r>
    <w:r w:rsidRPr="0029015A">
      <w:rPr>
        <w:rFonts w:ascii="Times New Roman" w:hAnsi="Times New Roman" w:cs="Times New Roman"/>
        <w:bCs/>
        <w:sz w:val="16"/>
        <w:szCs w:val="16"/>
      </w:rPr>
      <w:t>sākotnējās ietekmes novērtējuma ziņojums (anotācija)</w:t>
    </w:r>
  </w:p>
  <w:p w:rsidR="00F324BB" w:rsidRPr="0034392D" w:rsidRDefault="00314B4F" w:rsidP="00F324B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4F" w:rsidRDefault="00314B4F" w:rsidP="00665F0A">
      <w:pPr>
        <w:spacing w:after="0" w:line="240" w:lineRule="auto"/>
      </w:pPr>
      <w:r>
        <w:separator/>
      </w:r>
    </w:p>
  </w:footnote>
  <w:footnote w:type="continuationSeparator" w:id="0">
    <w:p w:rsidR="00314B4F" w:rsidRDefault="00314B4F" w:rsidP="00665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129990"/>
      <w:docPartObj>
        <w:docPartGallery w:val="Page Numbers (Top of Page)"/>
        <w:docPartUnique/>
      </w:docPartObj>
    </w:sdtPr>
    <w:sdtEndPr>
      <w:rPr>
        <w:noProof/>
      </w:rPr>
    </w:sdtEndPr>
    <w:sdtContent>
      <w:p w:rsidR="00E0415A" w:rsidRDefault="001F4220">
        <w:pPr>
          <w:pStyle w:val="Header"/>
          <w:jc w:val="center"/>
        </w:pPr>
        <w:r>
          <w:fldChar w:fldCharType="begin"/>
        </w:r>
        <w:r>
          <w:instrText xml:space="preserve"> PAGE   \* MERGEFORMAT </w:instrText>
        </w:r>
        <w:r>
          <w:fldChar w:fldCharType="separate"/>
        </w:r>
        <w:r w:rsidR="006D5F05">
          <w:rPr>
            <w:noProof/>
          </w:rPr>
          <w:t>10</w:t>
        </w:r>
        <w:r>
          <w:rPr>
            <w:noProof/>
          </w:rPr>
          <w:fldChar w:fldCharType="end"/>
        </w:r>
      </w:p>
    </w:sdtContent>
  </w:sdt>
  <w:p w:rsidR="00F324BB" w:rsidRDefault="00314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A9"/>
    <w:rsid w:val="00007462"/>
    <w:rsid w:val="00017927"/>
    <w:rsid w:val="00020E7B"/>
    <w:rsid w:val="00044C3D"/>
    <w:rsid w:val="00063928"/>
    <w:rsid w:val="00064F25"/>
    <w:rsid w:val="00073041"/>
    <w:rsid w:val="00077371"/>
    <w:rsid w:val="00092164"/>
    <w:rsid w:val="000A35B2"/>
    <w:rsid w:val="0010184A"/>
    <w:rsid w:val="00103148"/>
    <w:rsid w:val="00123D6F"/>
    <w:rsid w:val="00133101"/>
    <w:rsid w:val="001A6B9C"/>
    <w:rsid w:val="001B22B0"/>
    <w:rsid w:val="001D42F3"/>
    <w:rsid w:val="001E13DA"/>
    <w:rsid w:val="001F4220"/>
    <w:rsid w:val="002200A7"/>
    <w:rsid w:val="002665BF"/>
    <w:rsid w:val="002721AA"/>
    <w:rsid w:val="00276C7B"/>
    <w:rsid w:val="00293BD5"/>
    <w:rsid w:val="002A523E"/>
    <w:rsid w:val="002C10F4"/>
    <w:rsid w:val="002D2420"/>
    <w:rsid w:val="002E2733"/>
    <w:rsid w:val="002E754E"/>
    <w:rsid w:val="002F6204"/>
    <w:rsid w:val="00304702"/>
    <w:rsid w:val="00314B4F"/>
    <w:rsid w:val="003520C8"/>
    <w:rsid w:val="00372C53"/>
    <w:rsid w:val="00373246"/>
    <w:rsid w:val="00375C53"/>
    <w:rsid w:val="00391E6A"/>
    <w:rsid w:val="003C3640"/>
    <w:rsid w:val="003D6169"/>
    <w:rsid w:val="004308A4"/>
    <w:rsid w:val="00436E4D"/>
    <w:rsid w:val="00440411"/>
    <w:rsid w:val="004704B1"/>
    <w:rsid w:val="004A4C0E"/>
    <w:rsid w:val="004F6474"/>
    <w:rsid w:val="00525B27"/>
    <w:rsid w:val="005642A9"/>
    <w:rsid w:val="00581BE5"/>
    <w:rsid w:val="00586CF4"/>
    <w:rsid w:val="00594E68"/>
    <w:rsid w:val="005A3E19"/>
    <w:rsid w:val="005B50FA"/>
    <w:rsid w:val="005E1DCD"/>
    <w:rsid w:val="005E60C7"/>
    <w:rsid w:val="00600693"/>
    <w:rsid w:val="006166A6"/>
    <w:rsid w:val="0066590F"/>
    <w:rsid w:val="00665F0A"/>
    <w:rsid w:val="0068386F"/>
    <w:rsid w:val="006A0482"/>
    <w:rsid w:val="006A7CBF"/>
    <w:rsid w:val="006D5F05"/>
    <w:rsid w:val="006D5FB7"/>
    <w:rsid w:val="00700546"/>
    <w:rsid w:val="00704EFD"/>
    <w:rsid w:val="00712C2D"/>
    <w:rsid w:val="007251A2"/>
    <w:rsid w:val="00733D48"/>
    <w:rsid w:val="00734F31"/>
    <w:rsid w:val="00794DBA"/>
    <w:rsid w:val="007B0FAB"/>
    <w:rsid w:val="007B1457"/>
    <w:rsid w:val="007B7FA7"/>
    <w:rsid w:val="007C26A6"/>
    <w:rsid w:val="007D75AE"/>
    <w:rsid w:val="007E692C"/>
    <w:rsid w:val="008153E5"/>
    <w:rsid w:val="00844814"/>
    <w:rsid w:val="008504D0"/>
    <w:rsid w:val="00892AFD"/>
    <w:rsid w:val="0089388A"/>
    <w:rsid w:val="008C3BDB"/>
    <w:rsid w:val="008D08CC"/>
    <w:rsid w:val="009000E4"/>
    <w:rsid w:val="00933D79"/>
    <w:rsid w:val="009916B2"/>
    <w:rsid w:val="00995E09"/>
    <w:rsid w:val="009B1E5A"/>
    <w:rsid w:val="009D0629"/>
    <w:rsid w:val="009D4E2B"/>
    <w:rsid w:val="009D7C36"/>
    <w:rsid w:val="009E53A7"/>
    <w:rsid w:val="009F6247"/>
    <w:rsid w:val="00A04D3D"/>
    <w:rsid w:val="00A06D80"/>
    <w:rsid w:val="00A076C2"/>
    <w:rsid w:val="00A16D62"/>
    <w:rsid w:val="00A21344"/>
    <w:rsid w:val="00A21742"/>
    <w:rsid w:val="00A36973"/>
    <w:rsid w:val="00A55610"/>
    <w:rsid w:val="00A55CB4"/>
    <w:rsid w:val="00A61F5C"/>
    <w:rsid w:val="00A67C43"/>
    <w:rsid w:val="00A74095"/>
    <w:rsid w:val="00A76B29"/>
    <w:rsid w:val="00AA6A43"/>
    <w:rsid w:val="00AB5B73"/>
    <w:rsid w:val="00AD0752"/>
    <w:rsid w:val="00AE3EFF"/>
    <w:rsid w:val="00B3185E"/>
    <w:rsid w:val="00B32630"/>
    <w:rsid w:val="00B44B6E"/>
    <w:rsid w:val="00B550F7"/>
    <w:rsid w:val="00B553A9"/>
    <w:rsid w:val="00B70738"/>
    <w:rsid w:val="00B824AB"/>
    <w:rsid w:val="00BB1225"/>
    <w:rsid w:val="00BD365E"/>
    <w:rsid w:val="00BE2D03"/>
    <w:rsid w:val="00BE7C69"/>
    <w:rsid w:val="00BE7C7F"/>
    <w:rsid w:val="00BF70CA"/>
    <w:rsid w:val="00C13285"/>
    <w:rsid w:val="00C25CC1"/>
    <w:rsid w:val="00C4564C"/>
    <w:rsid w:val="00C60203"/>
    <w:rsid w:val="00C7730A"/>
    <w:rsid w:val="00C90803"/>
    <w:rsid w:val="00CB1E6D"/>
    <w:rsid w:val="00CB43E4"/>
    <w:rsid w:val="00CC4B52"/>
    <w:rsid w:val="00CD077E"/>
    <w:rsid w:val="00CE3E7B"/>
    <w:rsid w:val="00D0323E"/>
    <w:rsid w:val="00D109F4"/>
    <w:rsid w:val="00D12965"/>
    <w:rsid w:val="00D4097F"/>
    <w:rsid w:val="00D65B46"/>
    <w:rsid w:val="00D74A03"/>
    <w:rsid w:val="00D85D2B"/>
    <w:rsid w:val="00D863FF"/>
    <w:rsid w:val="00D92FAE"/>
    <w:rsid w:val="00D97F0A"/>
    <w:rsid w:val="00DA4E75"/>
    <w:rsid w:val="00DB4F4E"/>
    <w:rsid w:val="00DC46D8"/>
    <w:rsid w:val="00DE2A51"/>
    <w:rsid w:val="00DE40CB"/>
    <w:rsid w:val="00DF27A5"/>
    <w:rsid w:val="00DF2864"/>
    <w:rsid w:val="00E011AD"/>
    <w:rsid w:val="00E142F4"/>
    <w:rsid w:val="00E15356"/>
    <w:rsid w:val="00E328B3"/>
    <w:rsid w:val="00E526F7"/>
    <w:rsid w:val="00E6303B"/>
    <w:rsid w:val="00E75A0C"/>
    <w:rsid w:val="00E84FD9"/>
    <w:rsid w:val="00EA07D5"/>
    <w:rsid w:val="00EA53B1"/>
    <w:rsid w:val="00EC379C"/>
    <w:rsid w:val="00EC78CD"/>
    <w:rsid w:val="00EE64DF"/>
    <w:rsid w:val="00F167BE"/>
    <w:rsid w:val="00F43114"/>
    <w:rsid w:val="00F4462A"/>
    <w:rsid w:val="00F569A6"/>
    <w:rsid w:val="00F7505D"/>
    <w:rsid w:val="00F77EE4"/>
    <w:rsid w:val="00F9119B"/>
    <w:rsid w:val="00FB17F0"/>
    <w:rsid w:val="00FB779E"/>
    <w:rsid w:val="00FC712A"/>
    <w:rsid w:val="00FF6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383D21-AA4B-4FB5-A756-D0B656A7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642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642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642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42A9"/>
  </w:style>
  <w:style w:type="paragraph" w:styleId="Footer">
    <w:name w:val="footer"/>
    <w:basedOn w:val="Normal"/>
    <w:link w:val="FooterChar"/>
    <w:unhideWhenUsed/>
    <w:rsid w:val="005642A9"/>
    <w:pPr>
      <w:tabs>
        <w:tab w:val="center" w:pos="4153"/>
        <w:tab w:val="right" w:pos="8306"/>
      </w:tabs>
      <w:spacing w:after="0" w:line="240" w:lineRule="auto"/>
    </w:pPr>
  </w:style>
  <w:style w:type="character" w:customStyle="1" w:styleId="FooterChar">
    <w:name w:val="Footer Char"/>
    <w:basedOn w:val="DefaultParagraphFont"/>
    <w:link w:val="Footer"/>
    <w:rsid w:val="005642A9"/>
  </w:style>
  <w:style w:type="character" w:styleId="Hyperlink">
    <w:name w:val="Hyperlink"/>
    <w:basedOn w:val="DefaultParagraphFont"/>
    <w:uiPriority w:val="99"/>
    <w:rsid w:val="005642A9"/>
    <w:rPr>
      <w:color w:val="0000FF"/>
      <w:u w:val="single"/>
    </w:rPr>
  </w:style>
  <w:style w:type="paragraph" w:customStyle="1" w:styleId="DefaultParagraphFont1">
    <w:name w:val="Default Paragraph Font1"/>
    <w:basedOn w:val="Normal"/>
    <w:rsid w:val="005642A9"/>
    <w:pPr>
      <w:spacing w:after="0" w:line="240" w:lineRule="auto"/>
    </w:pPr>
    <w:rPr>
      <w:rFonts w:ascii="CG Times (W1)" w:eastAsia="Times New Roman" w:hAnsi="CG Times (W1)" w:cs="Times New Roman"/>
      <w:sz w:val="20"/>
      <w:szCs w:val="20"/>
    </w:rPr>
  </w:style>
  <w:style w:type="paragraph" w:styleId="ListParagraph">
    <w:name w:val="List Paragraph"/>
    <w:basedOn w:val="Normal"/>
    <w:uiPriority w:val="34"/>
    <w:qFormat/>
    <w:rsid w:val="005642A9"/>
    <w:pPr>
      <w:ind w:left="720"/>
      <w:contextualSpacing/>
    </w:pPr>
  </w:style>
  <w:style w:type="paragraph" w:styleId="NoSpacing">
    <w:name w:val="No Spacing"/>
    <w:uiPriority w:val="1"/>
    <w:qFormat/>
    <w:rsid w:val="001F4220"/>
    <w:pPr>
      <w:spacing w:after="0" w:line="240" w:lineRule="auto"/>
    </w:pPr>
  </w:style>
  <w:style w:type="paragraph" w:styleId="BalloonText">
    <w:name w:val="Balloon Text"/>
    <w:basedOn w:val="Normal"/>
    <w:link w:val="BalloonTextChar"/>
    <w:uiPriority w:val="99"/>
    <w:semiHidden/>
    <w:unhideWhenUsed/>
    <w:rsid w:val="00CB1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6D"/>
    <w:rPr>
      <w:rFonts w:ascii="Segoe UI" w:hAnsi="Segoe UI" w:cs="Segoe UI"/>
      <w:sz w:val="18"/>
      <w:szCs w:val="18"/>
    </w:rPr>
  </w:style>
  <w:style w:type="paragraph" w:customStyle="1" w:styleId="tv2132">
    <w:name w:val="tv2132"/>
    <w:basedOn w:val="Normal"/>
    <w:rsid w:val="00844814"/>
    <w:pPr>
      <w:spacing w:after="0" w:line="360" w:lineRule="auto"/>
      <w:ind w:firstLine="300"/>
    </w:pPr>
    <w:rPr>
      <w:rFonts w:ascii="Times New Roman" w:hAnsi="Times New Roman" w:cs="Times New Roman"/>
      <w:color w:val="414142"/>
      <w:sz w:val="20"/>
      <w:szCs w:val="20"/>
      <w:lang w:eastAsia="lv-LV"/>
    </w:rPr>
  </w:style>
  <w:style w:type="paragraph" w:customStyle="1" w:styleId="naisnod">
    <w:name w:val="naisnod"/>
    <w:basedOn w:val="Normal"/>
    <w:rsid w:val="00EA07D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76408">
      <w:bodyDiv w:val="1"/>
      <w:marLeft w:val="0"/>
      <w:marRight w:val="0"/>
      <w:marTop w:val="0"/>
      <w:marBottom w:val="0"/>
      <w:divBdr>
        <w:top w:val="none" w:sz="0" w:space="0" w:color="auto"/>
        <w:left w:val="none" w:sz="0" w:space="0" w:color="auto"/>
        <w:bottom w:val="none" w:sz="0" w:space="0" w:color="auto"/>
        <w:right w:val="none" w:sz="0" w:space="0" w:color="auto"/>
      </w:divBdr>
    </w:div>
    <w:div w:id="11812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Macivk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0A4E-5B72-4844-B601-10FFB9FB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10</Pages>
  <Words>13605</Words>
  <Characters>7756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“Grozījumi likumā “Par uzņēmumu ienākuma nodokli”” </dc:subject>
  <dc:creator>Sandra Mačivka</dc:creator>
  <cp:keywords/>
  <dc:description>Mačivka, 67095630
Sandra.Macivka@fm.gov.lv</dc:description>
  <cp:lastModifiedBy>Gunta Puidīte</cp:lastModifiedBy>
  <cp:revision>59</cp:revision>
  <cp:lastPrinted>2016-09-15T07:54:00Z</cp:lastPrinted>
  <dcterms:created xsi:type="dcterms:W3CDTF">2016-09-08T06:38:00Z</dcterms:created>
  <dcterms:modified xsi:type="dcterms:W3CDTF">2016-09-19T06:42:00Z</dcterms:modified>
</cp:coreProperties>
</file>