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1A60" w14:textId="78975760" w:rsidR="00171D36" w:rsidRPr="00A7675C" w:rsidRDefault="00843AFD" w:rsidP="00B241FD">
      <w:pPr>
        <w:tabs>
          <w:tab w:val="left" w:pos="6663"/>
        </w:tabs>
        <w:spacing w:after="0" w:line="240" w:lineRule="auto"/>
        <w:jc w:val="center"/>
        <w:rPr>
          <w:rFonts w:ascii="Times New Roman" w:hAnsi="Times New Roman"/>
          <w:b/>
          <w:sz w:val="24"/>
          <w:szCs w:val="24"/>
        </w:rPr>
      </w:pPr>
      <w:r w:rsidRPr="00A7675C">
        <w:rPr>
          <w:rFonts w:ascii="Times New Roman" w:hAnsi="Times New Roman"/>
          <w:b/>
          <w:sz w:val="24"/>
          <w:szCs w:val="24"/>
        </w:rPr>
        <w:t>Likum</w:t>
      </w:r>
      <w:r w:rsidR="00B241FD" w:rsidRPr="00A7675C">
        <w:rPr>
          <w:rFonts w:ascii="Times New Roman" w:hAnsi="Times New Roman"/>
          <w:b/>
          <w:sz w:val="24"/>
          <w:szCs w:val="24"/>
        </w:rPr>
        <w:t xml:space="preserve">projekta </w:t>
      </w:r>
      <w:r w:rsidR="0049194D" w:rsidRPr="00A7675C">
        <w:rPr>
          <w:rFonts w:ascii="Times New Roman" w:hAnsi="Times New Roman"/>
          <w:b/>
          <w:sz w:val="24"/>
          <w:szCs w:val="24"/>
        </w:rPr>
        <w:t>“</w:t>
      </w:r>
      <w:r w:rsidR="00244042" w:rsidRPr="00A7675C">
        <w:rPr>
          <w:rFonts w:ascii="Times New Roman" w:hAnsi="Times New Roman"/>
          <w:b/>
          <w:sz w:val="24"/>
          <w:szCs w:val="24"/>
        </w:rPr>
        <w:t>Grozījumi Pievienotās vērtības nodokļa likumā</w:t>
      </w:r>
      <w:r w:rsidRPr="00A7675C">
        <w:rPr>
          <w:rFonts w:ascii="Times New Roman" w:hAnsi="Times New Roman"/>
          <w:b/>
          <w:sz w:val="24"/>
          <w:szCs w:val="24"/>
        </w:rPr>
        <w:t xml:space="preserve">” </w:t>
      </w:r>
      <w:r w:rsidR="00B241FD" w:rsidRPr="00A7675C">
        <w:rPr>
          <w:rFonts w:ascii="Times New Roman" w:hAnsi="Times New Roman"/>
          <w:b/>
          <w:sz w:val="24"/>
          <w:szCs w:val="24"/>
        </w:rPr>
        <w:t>sākotnējās ietekmes novērtējuma ziņojums (anotācija)</w:t>
      </w:r>
    </w:p>
    <w:p w14:paraId="0912922C" w14:textId="2FC383A1" w:rsidR="005B0D8C" w:rsidRPr="00A7675C" w:rsidRDefault="005B0D8C" w:rsidP="00171D36">
      <w:pPr>
        <w:pStyle w:val="naisf"/>
        <w:spacing w:before="0" w:beforeAutospacing="0" w:after="0" w:afterAutospacing="0"/>
        <w:jc w:val="right"/>
      </w:pPr>
    </w:p>
    <w:tbl>
      <w:tblPr>
        <w:tblpPr w:leftFromText="180" w:rightFromText="180" w:vertAnchor="text" w:horzAnchor="margin" w:tblpXSpec="center" w:tblpY="149"/>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
        <w:gridCol w:w="3187"/>
        <w:gridCol w:w="5222"/>
      </w:tblGrid>
      <w:tr w:rsidR="00DA6C86" w:rsidRPr="00A7675C" w14:paraId="0F3A3D38" w14:textId="77777777" w:rsidTr="008E1F3D">
        <w:trPr>
          <w:trHeight w:val="419"/>
        </w:trPr>
        <w:tc>
          <w:tcPr>
            <w:tcW w:w="5000" w:type="pct"/>
            <w:gridSpan w:val="3"/>
            <w:vAlign w:val="center"/>
          </w:tcPr>
          <w:p w14:paraId="287E456D" w14:textId="77777777" w:rsidR="00DA6C86" w:rsidRPr="00A7675C" w:rsidRDefault="00DA6C86" w:rsidP="00176CB2">
            <w:pPr>
              <w:pStyle w:val="naisnod"/>
              <w:spacing w:before="0" w:beforeAutospacing="0" w:after="0" w:afterAutospacing="0"/>
              <w:ind w:right="57"/>
              <w:jc w:val="center"/>
              <w:rPr>
                <w:b/>
              </w:rPr>
            </w:pPr>
            <w:r w:rsidRPr="00A7675C">
              <w:rPr>
                <w:b/>
              </w:rPr>
              <w:t>I. Tiesību akta projekta izstrādes nepieciešamība</w:t>
            </w:r>
          </w:p>
        </w:tc>
      </w:tr>
      <w:tr w:rsidR="00DA6C86" w:rsidRPr="00A7675C" w14:paraId="0761318F" w14:textId="77777777" w:rsidTr="007E5C26">
        <w:trPr>
          <w:trHeight w:val="1125"/>
        </w:trPr>
        <w:tc>
          <w:tcPr>
            <w:tcW w:w="224" w:type="pct"/>
          </w:tcPr>
          <w:p w14:paraId="484B3FEC" w14:textId="77777777" w:rsidR="00DA6C86" w:rsidRPr="00A7675C" w:rsidRDefault="00DA6C86" w:rsidP="00176CB2">
            <w:pPr>
              <w:pStyle w:val="naiskr"/>
              <w:spacing w:before="0" w:beforeAutospacing="0" w:after="0" w:afterAutospacing="0"/>
              <w:ind w:right="57"/>
              <w:jc w:val="center"/>
            </w:pPr>
            <w:r w:rsidRPr="00A7675C">
              <w:t>1.</w:t>
            </w:r>
          </w:p>
        </w:tc>
        <w:tc>
          <w:tcPr>
            <w:tcW w:w="1810" w:type="pct"/>
          </w:tcPr>
          <w:p w14:paraId="09E00B84" w14:textId="77777777" w:rsidR="00900304" w:rsidRPr="00A7675C" w:rsidRDefault="00DA6C86" w:rsidP="00F57E68">
            <w:pPr>
              <w:pStyle w:val="naiskr"/>
              <w:spacing w:before="0" w:beforeAutospacing="0" w:after="0" w:afterAutospacing="0"/>
              <w:ind w:left="57" w:right="57"/>
            </w:pPr>
            <w:r w:rsidRPr="00A7675C">
              <w:t>Pamatojums</w:t>
            </w:r>
          </w:p>
          <w:p w14:paraId="73268511" w14:textId="77777777" w:rsidR="00DA6C86" w:rsidRPr="00A7675C" w:rsidRDefault="00DA6C86" w:rsidP="00900304">
            <w:pPr>
              <w:ind w:firstLine="720"/>
              <w:rPr>
                <w:sz w:val="24"/>
                <w:szCs w:val="24"/>
              </w:rPr>
            </w:pPr>
          </w:p>
        </w:tc>
        <w:tc>
          <w:tcPr>
            <w:tcW w:w="2966" w:type="pct"/>
          </w:tcPr>
          <w:p w14:paraId="2E0CBB69" w14:textId="63CCC13D" w:rsidR="00DC04E5" w:rsidRDefault="00DC04E5" w:rsidP="00DC04E5">
            <w:pPr>
              <w:pStyle w:val="ListParagraph"/>
              <w:spacing w:line="240" w:lineRule="auto"/>
              <w:ind w:left="100" w:right="161"/>
              <w:jc w:val="both"/>
              <w:rPr>
                <w:rFonts w:ascii="Times New Roman" w:hAnsi="Times New Roman" w:cs="Times New Roman"/>
                <w:sz w:val="24"/>
                <w:szCs w:val="24"/>
              </w:rPr>
            </w:pPr>
            <w:r w:rsidRPr="00A7675C">
              <w:rPr>
                <w:rFonts w:ascii="Times New Roman" w:hAnsi="Times New Roman" w:cs="Times New Roman"/>
                <w:sz w:val="24"/>
                <w:szCs w:val="24"/>
              </w:rPr>
              <w:t>Likumprojekts “Grozījumi Pievienotās vērtības nodokļa likumā” (turpmāk – likumprojekts)</w:t>
            </w:r>
            <w:r>
              <w:rPr>
                <w:rFonts w:ascii="Times New Roman" w:hAnsi="Times New Roman" w:cs="Times New Roman"/>
                <w:sz w:val="24"/>
                <w:szCs w:val="24"/>
              </w:rPr>
              <w:t xml:space="preserve"> ir</w:t>
            </w:r>
            <w:r w:rsidRPr="00A7675C">
              <w:rPr>
                <w:rFonts w:ascii="Times New Roman" w:hAnsi="Times New Roman" w:cs="Times New Roman"/>
                <w:sz w:val="24"/>
                <w:szCs w:val="24"/>
              </w:rPr>
              <w:t xml:space="preserve"> izstrādāts</w:t>
            </w:r>
            <w:r>
              <w:rPr>
                <w:rFonts w:ascii="Times New Roman" w:hAnsi="Times New Roman" w:cs="Times New Roman"/>
                <w:sz w:val="24"/>
                <w:szCs w:val="24"/>
              </w:rPr>
              <w:t>, lai</w:t>
            </w:r>
            <w:r w:rsidR="00862C35" w:rsidRPr="001F24FA">
              <w:rPr>
                <w:rFonts w:ascii="Times New Roman" w:hAnsi="Times New Roman" w:cs="Times New Roman"/>
                <w:sz w:val="24"/>
                <w:szCs w:val="24"/>
              </w:rPr>
              <w:t xml:space="preserve"> </w:t>
            </w:r>
            <w:r w:rsidR="00314D23">
              <w:rPr>
                <w:rFonts w:ascii="Times New Roman" w:hAnsi="Times New Roman" w:cs="Times New Roman"/>
                <w:sz w:val="24"/>
                <w:szCs w:val="24"/>
              </w:rPr>
              <w:t xml:space="preserve">izpildītu </w:t>
            </w:r>
            <w:r w:rsidR="00862C35">
              <w:rPr>
                <w:rFonts w:ascii="Times New Roman" w:hAnsi="Times New Roman" w:cs="Times New Roman"/>
                <w:sz w:val="24"/>
                <w:szCs w:val="24"/>
              </w:rPr>
              <w:t>Ministru kabineta 201</w:t>
            </w:r>
            <w:r w:rsidR="0005010A">
              <w:rPr>
                <w:rFonts w:ascii="Times New Roman" w:hAnsi="Times New Roman" w:cs="Times New Roman"/>
                <w:sz w:val="24"/>
                <w:szCs w:val="24"/>
              </w:rPr>
              <w:t xml:space="preserve">6.gada 2.augusta sēdes </w:t>
            </w:r>
            <w:proofErr w:type="spellStart"/>
            <w:r w:rsidR="0005010A">
              <w:rPr>
                <w:rFonts w:ascii="Times New Roman" w:hAnsi="Times New Roman" w:cs="Times New Roman"/>
                <w:sz w:val="24"/>
                <w:szCs w:val="24"/>
              </w:rPr>
              <w:t>protokollēmuma</w:t>
            </w:r>
            <w:proofErr w:type="spellEnd"/>
            <w:r w:rsidR="00862C35">
              <w:rPr>
                <w:rFonts w:ascii="Times New Roman" w:hAnsi="Times New Roman" w:cs="Times New Roman"/>
                <w:sz w:val="24"/>
                <w:szCs w:val="24"/>
              </w:rPr>
              <w:t xml:space="preserve"> Nr.38 49</w:t>
            </w:r>
            <w:r w:rsidR="00862C35" w:rsidRPr="001F24FA">
              <w:rPr>
                <w:rFonts w:ascii="Times New Roman" w:hAnsi="Times New Roman" w:cs="Times New Roman"/>
                <w:sz w:val="24"/>
                <w:szCs w:val="24"/>
              </w:rPr>
              <w:t>.§</w:t>
            </w:r>
            <w:r w:rsidR="00862C35">
              <w:rPr>
                <w:rFonts w:ascii="Times New Roman" w:hAnsi="Times New Roman" w:cs="Times New Roman"/>
                <w:sz w:val="24"/>
                <w:szCs w:val="24"/>
              </w:rPr>
              <w:t xml:space="preserve"> noteiktos uzdevumus:</w:t>
            </w:r>
          </w:p>
          <w:p w14:paraId="0CF086DE" w14:textId="6A0FD5B4" w:rsidR="00835713" w:rsidRPr="00314D23" w:rsidRDefault="00835713" w:rsidP="00314D23">
            <w:pPr>
              <w:pStyle w:val="ListParagraph"/>
              <w:numPr>
                <w:ilvl w:val="0"/>
                <w:numId w:val="16"/>
              </w:numPr>
              <w:spacing w:line="240" w:lineRule="auto"/>
              <w:ind w:right="161"/>
              <w:jc w:val="both"/>
              <w:rPr>
                <w:rFonts w:ascii="Times New Roman" w:hAnsi="Times New Roman" w:cs="Times New Roman"/>
                <w:sz w:val="24"/>
                <w:szCs w:val="24"/>
              </w:rPr>
            </w:pPr>
            <w:r w:rsidRPr="00835713">
              <w:rPr>
                <w:rFonts w:ascii="Times New Roman" w:hAnsi="Times New Roman" w:cs="Times New Roman"/>
                <w:sz w:val="24"/>
                <w:szCs w:val="24"/>
              </w:rPr>
              <w:t>ierobežotu priekšnodokļa</w:t>
            </w:r>
            <w:r>
              <w:rPr>
                <w:rFonts w:ascii="Times New Roman" w:hAnsi="Times New Roman" w:cs="Times New Roman"/>
                <w:sz w:val="24"/>
                <w:szCs w:val="24"/>
              </w:rPr>
              <w:t xml:space="preserve"> </w:t>
            </w:r>
            <w:r w:rsidR="00CC1AF9">
              <w:rPr>
                <w:rFonts w:ascii="Times New Roman" w:hAnsi="Times New Roman" w:cs="Times New Roman"/>
                <w:sz w:val="24"/>
                <w:szCs w:val="24"/>
              </w:rPr>
              <w:t>atskaitīšan</w:t>
            </w:r>
            <w:r w:rsidR="0003709A">
              <w:rPr>
                <w:rFonts w:ascii="Times New Roman" w:hAnsi="Times New Roman" w:cs="Times New Roman"/>
                <w:sz w:val="24"/>
                <w:szCs w:val="24"/>
              </w:rPr>
              <w:t>u</w:t>
            </w:r>
            <w:r w:rsidR="00042368">
              <w:t xml:space="preserve"> </w:t>
            </w:r>
            <w:r w:rsidR="00042368" w:rsidRPr="00042368">
              <w:rPr>
                <w:rFonts w:ascii="Times New Roman" w:hAnsi="Times New Roman" w:cs="Times New Roman"/>
                <w:sz w:val="24"/>
                <w:szCs w:val="24"/>
              </w:rPr>
              <w:t>arī par</w:t>
            </w:r>
            <w:r w:rsidR="00042368">
              <w:t xml:space="preserve"> </w:t>
            </w:r>
            <w:r w:rsidR="00042368" w:rsidRPr="00042368">
              <w:rPr>
                <w:rFonts w:ascii="Times New Roman" w:hAnsi="Times New Roman" w:cs="Times New Roman"/>
                <w:sz w:val="24"/>
                <w:szCs w:val="24"/>
              </w:rPr>
              <w:t xml:space="preserve">tādas kravas automašīnas iegādi, nomu un importu, kuras pilna masa ir līdz 3000 kilogramiem, kas ir reģistrēta kā kravas furgons un kurai ir vairāk nekā trīs sēdvietas (ieskaitot vadītāja sēdvietu), ja tā ir </w:t>
            </w:r>
            <w:r w:rsidR="00B1316C">
              <w:rPr>
                <w:rFonts w:ascii="Times New Roman" w:hAnsi="Times New Roman" w:cs="Times New Roman"/>
                <w:sz w:val="24"/>
                <w:szCs w:val="24"/>
              </w:rPr>
              <w:t>klasificēta</w:t>
            </w:r>
            <w:r w:rsidR="00B1316C" w:rsidRPr="00042368">
              <w:rPr>
                <w:rFonts w:ascii="Times New Roman" w:hAnsi="Times New Roman" w:cs="Times New Roman"/>
                <w:sz w:val="24"/>
                <w:szCs w:val="24"/>
              </w:rPr>
              <w:t xml:space="preserve"> par kravas automašīnu (N1 kategorija)</w:t>
            </w:r>
            <w:r w:rsidR="00B1316C">
              <w:rPr>
                <w:rFonts w:ascii="Times New Roman" w:hAnsi="Times New Roman" w:cs="Times New Roman"/>
                <w:sz w:val="24"/>
                <w:szCs w:val="24"/>
              </w:rPr>
              <w:t>, bet pēc būtības ir vieglā automašīna (</w:t>
            </w:r>
            <w:r w:rsidR="00B1316C" w:rsidRPr="00042368">
              <w:rPr>
                <w:rFonts w:ascii="Times New Roman" w:hAnsi="Times New Roman" w:cs="Times New Roman"/>
                <w:sz w:val="24"/>
                <w:szCs w:val="24"/>
              </w:rPr>
              <w:t>M1 kategorija)</w:t>
            </w:r>
            <w:r w:rsidRPr="00835713">
              <w:rPr>
                <w:rFonts w:ascii="Times New Roman" w:hAnsi="Times New Roman" w:cs="Times New Roman"/>
                <w:sz w:val="24"/>
                <w:szCs w:val="24"/>
              </w:rPr>
              <w:t>, kuras vērtība pārsniedz uzņēmumu ienākuma</w:t>
            </w:r>
            <w:r>
              <w:rPr>
                <w:rFonts w:ascii="Times New Roman" w:hAnsi="Times New Roman" w:cs="Times New Roman"/>
                <w:sz w:val="24"/>
                <w:szCs w:val="24"/>
              </w:rPr>
              <w:t xml:space="preserve"> </w:t>
            </w:r>
            <w:r w:rsidRPr="00835713">
              <w:rPr>
                <w:rFonts w:ascii="Times New Roman" w:hAnsi="Times New Roman" w:cs="Times New Roman"/>
                <w:sz w:val="24"/>
                <w:szCs w:val="24"/>
              </w:rPr>
              <w:t>nodokli regulējošajos normatīvajos akto</w:t>
            </w:r>
            <w:r w:rsidR="00042368">
              <w:rPr>
                <w:rFonts w:ascii="Times New Roman" w:hAnsi="Times New Roman" w:cs="Times New Roman"/>
                <w:sz w:val="24"/>
                <w:szCs w:val="24"/>
              </w:rPr>
              <w:t>s noteikto reprezentatīvā</w:t>
            </w:r>
            <w:r w:rsidRPr="00835713">
              <w:rPr>
                <w:rFonts w:ascii="Times New Roman" w:hAnsi="Times New Roman" w:cs="Times New Roman"/>
                <w:sz w:val="24"/>
                <w:szCs w:val="24"/>
              </w:rPr>
              <w:t xml:space="preserve"> automobiļa vērtību, k</w:t>
            </w:r>
            <w:r w:rsidR="00B91B1A">
              <w:rPr>
                <w:rFonts w:ascii="Times New Roman" w:hAnsi="Times New Roman" w:cs="Times New Roman"/>
                <w:sz w:val="24"/>
                <w:szCs w:val="24"/>
              </w:rPr>
              <w:t>ā</w:t>
            </w:r>
            <w:r w:rsidRPr="00835713">
              <w:rPr>
                <w:rFonts w:ascii="Times New Roman" w:hAnsi="Times New Roman" w:cs="Times New Roman"/>
                <w:sz w:val="24"/>
                <w:szCs w:val="24"/>
              </w:rPr>
              <w:t xml:space="preserve"> arī</w:t>
            </w:r>
            <w:r>
              <w:rPr>
                <w:rFonts w:ascii="Times New Roman" w:hAnsi="Times New Roman" w:cs="Times New Roman"/>
                <w:sz w:val="24"/>
                <w:szCs w:val="24"/>
              </w:rPr>
              <w:t xml:space="preserve"> </w:t>
            </w:r>
            <w:r w:rsidRPr="00835713">
              <w:rPr>
                <w:rFonts w:ascii="Times New Roman" w:hAnsi="Times New Roman" w:cs="Times New Roman"/>
                <w:sz w:val="24"/>
                <w:szCs w:val="24"/>
              </w:rPr>
              <w:t>par izmaksām, kas saistītas ar šādas automašīnas uzturēšanu, ja automašīna netiek izmantota ar</w:t>
            </w:r>
            <w:r>
              <w:rPr>
                <w:rFonts w:ascii="Times New Roman" w:hAnsi="Times New Roman" w:cs="Times New Roman"/>
                <w:sz w:val="24"/>
                <w:szCs w:val="24"/>
              </w:rPr>
              <w:t xml:space="preserve"> </w:t>
            </w:r>
            <w:r w:rsidR="008F5128">
              <w:rPr>
                <w:rFonts w:ascii="Times New Roman" w:hAnsi="Times New Roman" w:cs="Times New Roman"/>
                <w:sz w:val="24"/>
                <w:szCs w:val="24"/>
              </w:rPr>
              <w:t>pievienotās vērtības nodokli</w:t>
            </w:r>
            <w:r w:rsidR="00CC1AF9">
              <w:rPr>
                <w:rFonts w:ascii="Times New Roman" w:hAnsi="Times New Roman" w:cs="Times New Roman"/>
                <w:sz w:val="24"/>
                <w:szCs w:val="24"/>
              </w:rPr>
              <w:t xml:space="preserve"> (turpmāk – </w:t>
            </w:r>
            <w:r w:rsidRPr="00835713">
              <w:rPr>
                <w:rFonts w:ascii="Times New Roman" w:hAnsi="Times New Roman" w:cs="Times New Roman"/>
                <w:sz w:val="24"/>
                <w:szCs w:val="24"/>
              </w:rPr>
              <w:t>PVN</w:t>
            </w:r>
            <w:r w:rsidR="00CC1AF9">
              <w:rPr>
                <w:rFonts w:ascii="Times New Roman" w:hAnsi="Times New Roman" w:cs="Times New Roman"/>
                <w:sz w:val="24"/>
                <w:szCs w:val="24"/>
              </w:rPr>
              <w:t>)</w:t>
            </w:r>
            <w:r w:rsidRPr="00835713">
              <w:rPr>
                <w:rFonts w:ascii="Times New Roman" w:hAnsi="Times New Roman" w:cs="Times New Roman"/>
                <w:sz w:val="24"/>
                <w:szCs w:val="24"/>
              </w:rPr>
              <w:t xml:space="preserve"> apliekamo darījumu nodrošināšanai</w:t>
            </w:r>
            <w:r w:rsidR="00862C35">
              <w:rPr>
                <w:rFonts w:ascii="Times New Roman" w:hAnsi="Times New Roman" w:cs="Times New Roman"/>
                <w:sz w:val="24"/>
                <w:szCs w:val="24"/>
              </w:rPr>
              <w:t xml:space="preserve"> (2.9.</w:t>
            </w:r>
            <w:r w:rsidR="006D2C8B">
              <w:rPr>
                <w:rFonts w:ascii="Times New Roman" w:hAnsi="Times New Roman" w:cs="Times New Roman"/>
                <w:sz w:val="24"/>
                <w:szCs w:val="24"/>
              </w:rPr>
              <w:t>apakš</w:t>
            </w:r>
            <w:r w:rsidR="00862C35">
              <w:rPr>
                <w:rFonts w:ascii="Times New Roman" w:hAnsi="Times New Roman" w:cs="Times New Roman"/>
                <w:sz w:val="24"/>
                <w:szCs w:val="24"/>
              </w:rPr>
              <w:t xml:space="preserve">punktā noteiktais </w:t>
            </w:r>
            <w:r w:rsidR="00862C35" w:rsidRPr="00314D23">
              <w:rPr>
                <w:rFonts w:ascii="Times New Roman" w:hAnsi="Times New Roman" w:cs="Times New Roman"/>
                <w:sz w:val="24"/>
                <w:szCs w:val="24"/>
              </w:rPr>
              <w:t>uzdevums);</w:t>
            </w:r>
            <w:r w:rsidRPr="00314D23">
              <w:rPr>
                <w:rFonts w:ascii="Times New Roman" w:hAnsi="Times New Roman" w:cs="Times New Roman"/>
                <w:sz w:val="24"/>
                <w:szCs w:val="24"/>
              </w:rPr>
              <w:t xml:space="preserve"> </w:t>
            </w:r>
          </w:p>
          <w:p w14:paraId="1FF7FAE7" w14:textId="7B86285F" w:rsidR="0055290D" w:rsidRPr="00835713" w:rsidRDefault="00862C35" w:rsidP="00862C35">
            <w:pPr>
              <w:pStyle w:val="ListParagraph"/>
              <w:numPr>
                <w:ilvl w:val="0"/>
                <w:numId w:val="16"/>
              </w:numPr>
              <w:spacing w:line="240" w:lineRule="auto"/>
              <w:ind w:right="161"/>
              <w:jc w:val="both"/>
              <w:rPr>
                <w:rFonts w:ascii="Times New Roman" w:hAnsi="Times New Roman" w:cs="Times New Roman"/>
                <w:sz w:val="24"/>
                <w:szCs w:val="24"/>
              </w:rPr>
            </w:pPr>
            <w:r w:rsidRPr="00862C35">
              <w:rPr>
                <w:rFonts w:ascii="Times New Roman" w:hAnsi="Times New Roman" w:cs="Times New Roman"/>
                <w:sz w:val="24"/>
                <w:szCs w:val="24"/>
              </w:rPr>
              <w:t xml:space="preserve">sākot ar 2017.gada 1.janvāri, ieviestu PVN apgrieztās maksāšanas kārtību dārgmetālu aprites jomā, atbilstoši 2006.gada 28.novembra Padomes Direktīvas 2006/112/EK par kopējo pievienotās vērtības nodokļa sistēmu 199.a panta 1.punkta "j" apakšpunktam </w:t>
            </w:r>
            <w:r>
              <w:rPr>
                <w:rFonts w:ascii="Times New Roman" w:hAnsi="Times New Roman" w:cs="Times New Roman"/>
                <w:sz w:val="24"/>
                <w:szCs w:val="24"/>
              </w:rPr>
              <w:t>(2.14</w:t>
            </w:r>
            <w:r w:rsidRPr="001F24FA">
              <w:rPr>
                <w:rFonts w:ascii="Times New Roman" w:hAnsi="Times New Roman" w:cs="Times New Roman"/>
                <w:sz w:val="24"/>
                <w:szCs w:val="24"/>
              </w:rPr>
              <w:t>.</w:t>
            </w:r>
            <w:r w:rsidR="006D2C8B">
              <w:rPr>
                <w:rFonts w:ascii="Times New Roman" w:hAnsi="Times New Roman" w:cs="Times New Roman"/>
                <w:sz w:val="24"/>
                <w:szCs w:val="24"/>
              </w:rPr>
              <w:t>apakš</w:t>
            </w:r>
            <w:r w:rsidRPr="001F24FA">
              <w:rPr>
                <w:rFonts w:ascii="Times New Roman" w:hAnsi="Times New Roman" w:cs="Times New Roman"/>
                <w:sz w:val="24"/>
                <w:szCs w:val="24"/>
              </w:rPr>
              <w:t>punkt</w:t>
            </w:r>
            <w:r>
              <w:rPr>
                <w:rFonts w:ascii="Times New Roman" w:hAnsi="Times New Roman" w:cs="Times New Roman"/>
                <w:sz w:val="24"/>
                <w:szCs w:val="24"/>
              </w:rPr>
              <w:t>ā noteiktais uzdevums).</w:t>
            </w:r>
          </w:p>
        </w:tc>
      </w:tr>
      <w:tr w:rsidR="00DA6C86" w:rsidRPr="00A7675C" w14:paraId="1D39A736" w14:textId="77777777" w:rsidTr="00B45B52">
        <w:trPr>
          <w:trHeight w:val="699"/>
        </w:trPr>
        <w:tc>
          <w:tcPr>
            <w:tcW w:w="224" w:type="pct"/>
          </w:tcPr>
          <w:p w14:paraId="36B6F2EC" w14:textId="56F0D364" w:rsidR="00DA6C86" w:rsidRPr="00A7675C" w:rsidRDefault="00DA6C86" w:rsidP="00176CB2">
            <w:pPr>
              <w:pStyle w:val="naiskr"/>
              <w:spacing w:before="0" w:beforeAutospacing="0" w:after="0" w:afterAutospacing="0"/>
              <w:ind w:right="57"/>
              <w:jc w:val="center"/>
            </w:pPr>
            <w:r w:rsidRPr="00A7675C">
              <w:t>2.</w:t>
            </w:r>
          </w:p>
        </w:tc>
        <w:tc>
          <w:tcPr>
            <w:tcW w:w="1810" w:type="pct"/>
          </w:tcPr>
          <w:p w14:paraId="23921583" w14:textId="7B11EA72" w:rsidR="008C028A" w:rsidRPr="00A7675C" w:rsidRDefault="00502937" w:rsidP="00B45B52">
            <w:pPr>
              <w:pStyle w:val="naiskr"/>
              <w:tabs>
                <w:tab w:val="left" w:pos="170"/>
              </w:tabs>
              <w:spacing w:before="0" w:beforeAutospacing="0" w:after="0" w:afterAutospacing="0"/>
              <w:ind w:left="57" w:right="57"/>
            </w:pPr>
            <w:r w:rsidRPr="00A7675C">
              <w:t>Pašreizējā situācija un problēmas, kuru risināšanai tiesību akta projekts izstrādāts, tiesiskā regulējuma mērķis un būtība</w:t>
            </w:r>
          </w:p>
        </w:tc>
        <w:tc>
          <w:tcPr>
            <w:tcW w:w="2966" w:type="pct"/>
            <w:shd w:val="clear" w:color="auto" w:fill="auto"/>
          </w:tcPr>
          <w:p w14:paraId="1FC1678F" w14:textId="77777777" w:rsidR="008F5128" w:rsidRDefault="0005010A" w:rsidP="008F5128">
            <w:pPr>
              <w:pStyle w:val="NoSpacing"/>
              <w:ind w:right="161"/>
              <w:jc w:val="both"/>
              <w:rPr>
                <w:rFonts w:ascii="Times New Roman" w:hAnsi="Times New Roman" w:cs="Times New Roman"/>
                <w:sz w:val="24"/>
                <w:szCs w:val="24"/>
                <w:lang w:eastAsia="en-US"/>
              </w:rPr>
            </w:pPr>
            <w:r w:rsidRPr="001F798D">
              <w:rPr>
                <w:rFonts w:ascii="Times New Roman" w:hAnsi="Times New Roman" w:cs="Times New Roman"/>
                <w:sz w:val="24"/>
                <w:szCs w:val="24"/>
                <w:lang w:eastAsia="en-US"/>
              </w:rPr>
              <w:t>Ņemot vērā Ministru kabineta 2016.gada 2.augusta</w:t>
            </w:r>
            <w:r w:rsidR="001F798D" w:rsidRPr="001F798D">
              <w:rPr>
                <w:rFonts w:ascii="Times New Roman" w:hAnsi="Times New Roman" w:cs="Times New Roman"/>
                <w:sz w:val="24"/>
                <w:szCs w:val="24"/>
                <w:lang w:eastAsia="en-US"/>
              </w:rPr>
              <w:t xml:space="preserve"> </w:t>
            </w:r>
            <w:proofErr w:type="spellStart"/>
            <w:r w:rsidR="001F798D" w:rsidRPr="001F798D">
              <w:rPr>
                <w:rFonts w:ascii="Times New Roman" w:hAnsi="Times New Roman" w:cs="Times New Roman"/>
                <w:sz w:val="24"/>
                <w:szCs w:val="24"/>
                <w:lang w:eastAsia="en-US"/>
              </w:rPr>
              <w:t>protokollēmuma</w:t>
            </w:r>
            <w:proofErr w:type="spellEnd"/>
            <w:r w:rsidR="001F798D" w:rsidRPr="001F798D">
              <w:rPr>
                <w:rFonts w:ascii="Times New Roman" w:hAnsi="Times New Roman" w:cs="Times New Roman"/>
                <w:sz w:val="24"/>
                <w:szCs w:val="24"/>
                <w:lang w:eastAsia="en-US"/>
              </w:rPr>
              <w:t xml:space="preserve"> Nr.38 49.§ 2.8.</w:t>
            </w:r>
            <w:r w:rsidR="00D22B01">
              <w:rPr>
                <w:rFonts w:ascii="Times New Roman" w:hAnsi="Times New Roman" w:cs="Times New Roman"/>
                <w:sz w:val="24"/>
                <w:szCs w:val="24"/>
                <w:lang w:eastAsia="en-US"/>
              </w:rPr>
              <w:t>apakš</w:t>
            </w:r>
            <w:r w:rsidRPr="00D51D96">
              <w:rPr>
                <w:rFonts w:ascii="Times New Roman" w:hAnsi="Times New Roman" w:cs="Times New Roman"/>
                <w:sz w:val="24"/>
                <w:szCs w:val="24"/>
                <w:lang w:eastAsia="en-US"/>
              </w:rPr>
              <w:t xml:space="preserve">punktā doto uzdevumu, </w:t>
            </w:r>
            <w:r w:rsidRPr="00E917B0">
              <w:rPr>
                <w:rFonts w:ascii="Times New Roman" w:hAnsi="Times New Roman" w:cs="Times New Roman"/>
                <w:sz w:val="24"/>
                <w:szCs w:val="24"/>
                <w:lang w:eastAsia="en-US"/>
              </w:rPr>
              <w:t>tiek izstrādāti grozījumi likumā “Par uzņēmumu ienākuma nodokli”</w:t>
            </w:r>
            <w:r w:rsidRPr="00C53089">
              <w:rPr>
                <w:rFonts w:ascii="Times New Roman" w:hAnsi="Times New Roman" w:cs="Times New Roman"/>
                <w:sz w:val="24"/>
                <w:szCs w:val="24"/>
                <w:lang w:eastAsia="en-US"/>
              </w:rPr>
              <w:t>, nosakot, ka</w:t>
            </w:r>
            <w:r w:rsidR="00646F29">
              <w:rPr>
                <w:rFonts w:ascii="Times New Roman" w:hAnsi="Times New Roman" w:cs="Times New Roman"/>
                <w:sz w:val="24"/>
                <w:szCs w:val="24"/>
                <w:lang w:eastAsia="en-US"/>
              </w:rPr>
              <w:t>,</w:t>
            </w:r>
            <w:r w:rsidRPr="00C53089">
              <w:rPr>
                <w:rFonts w:ascii="Times New Roman" w:hAnsi="Times New Roman" w:cs="Times New Roman"/>
                <w:sz w:val="24"/>
                <w:szCs w:val="24"/>
                <w:lang w:eastAsia="en-US"/>
              </w:rPr>
              <w:t xml:space="preserve"> sākot ar 2017.gada 1.janvāri</w:t>
            </w:r>
            <w:r w:rsidR="00646F29">
              <w:rPr>
                <w:rFonts w:ascii="Times New Roman" w:hAnsi="Times New Roman" w:cs="Times New Roman"/>
                <w:sz w:val="24"/>
                <w:szCs w:val="24"/>
                <w:lang w:eastAsia="en-US"/>
              </w:rPr>
              <w:t>,</w:t>
            </w:r>
            <w:r w:rsidRPr="00C53089">
              <w:rPr>
                <w:rFonts w:ascii="Times New Roman" w:hAnsi="Times New Roman" w:cs="Times New Roman"/>
                <w:sz w:val="24"/>
                <w:szCs w:val="24"/>
                <w:lang w:eastAsia="en-US"/>
              </w:rPr>
              <w:t xml:space="preserve"> kravas automobiļi ar pilnu masu līdz 3000 kilogramiem, kuru iegādes vērtība bez pievienotās vērtības nodokļa pārsniedz 50 000 </w:t>
            </w:r>
            <w:proofErr w:type="spellStart"/>
            <w:r w:rsidRPr="00646F29">
              <w:rPr>
                <w:rFonts w:ascii="Times New Roman" w:hAnsi="Times New Roman" w:cs="Times New Roman"/>
                <w:i/>
                <w:sz w:val="24"/>
                <w:szCs w:val="24"/>
                <w:lang w:eastAsia="en-US"/>
              </w:rPr>
              <w:t>euro</w:t>
            </w:r>
            <w:proofErr w:type="spellEnd"/>
            <w:r w:rsidRPr="00C53089">
              <w:rPr>
                <w:rFonts w:ascii="Times New Roman" w:hAnsi="Times New Roman" w:cs="Times New Roman"/>
                <w:sz w:val="24"/>
                <w:szCs w:val="24"/>
                <w:lang w:eastAsia="en-US"/>
              </w:rPr>
              <w:t xml:space="preserve">, kas pārbūvēti no vieglā automobiļa (M1 kategorija) par kravas automobili (N1 kategorija) uzskatāmi par reprezentatīviem automobiļiem. </w:t>
            </w:r>
          </w:p>
          <w:p w14:paraId="78EAF78D" w14:textId="1599DD91" w:rsidR="00E917B0" w:rsidRDefault="00B91B1A" w:rsidP="008F5128">
            <w:pPr>
              <w:pStyle w:val="NoSpacing"/>
              <w:ind w:right="161"/>
              <w:jc w:val="both"/>
              <w:rPr>
                <w:rFonts w:ascii="Times New Roman" w:hAnsi="Times New Roman" w:cs="Times New Roman"/>
                <w:sz w:val="24"/>
                <w:szCs w:val="24"/>
                <w:lang w:eastAsia="en-US"/>
              </w:rPr>
            </w:pPr>
            <w:r w:rsidRPr="001F798D">
              <w:rPr>
                <w:rFonts w:ascii="Times New Roman" w:hAnsi="Times New Roman" w:cs="Times New Roman"/>
                <w:sz w:val="24"/>
                <w:szCs w:val="24"/>
                <w:lang w:eastAsia="en-US"/>
              </w:rPr>
              <w:t xml:space="preserve">Šobrīd </w:t>
            </w:r>
            <w:r w:rsidR="00020318">
              <w:rPr>
                <w:rFonts w:ascii="Times New Roman" w:hAnsi="Times New Roman" w:cs="Times New Roman"/>
                <w:sz w:val="24"/>
                <w:szCs w:val="24"/>
                <w:lang w:eastAsia="en-US"/>
              </w:rPr>
              <w:t>Pievienotās vērtības nodokļa</w:t>
            </w:r>
            <w:r w:rsidRPr="001F798D">
              <w:rPr>
                <w:rFonts w:ascii="Times New Roman" w:hAnsi="Times New Roman" w:cs="Times New Roman"/>
                <w:sz w:val="24"/>
                <w:szCs w:val="24"/>
                <w:lang w:eastAsia="en-US"/>
              </w:rPr>
              <w:t xml:space="preserve"> likuma</w:t>
            </w:r>
            <w:r w:rsidR="00020318">
              <w:rPr>
                <w:rFonts w:ascii="Times New Roman" w:hAnsi="Times New Roman" w:cs="Times New Roman"/>
                <w:sz w:val="24"/>
                <w:szCs w:val="24"/>
                <w:lang w:eastAsia="en-US"/>
              </w:rPr>
              <w:t xml:space="preserve"> (turpmāk – PVN likums)</w:t>
            </w:r>
            <w:r w:rsidRPr="001F798D">
              <w:rPr>
                <w:rFonts w:ascii="Times New Roman" w:hAnsi="Times New Roman" w:cs="Times New Roman"/>
                <w:sz w:val="24"/>
                <w:szCs w:val="24"/>
                <w:lang w:eastAsia="en-US"/>
              </w:rPr>
              <w:t xml:space="preserve"> 100.panta 1.</w:t>
            </w:r>
            <w:r w:rsidRPr="001F798D">
              <w:rPr>
                <w:rFonts w:ascii="Times New Roman" w:hAnsi="Times New Roman" w:cs="Times New Roman"/>
                <w:sz w:val="24"/>
                <w:szCs w:val="24"/>
                <w:vertAlign w:val="superscript"/>
                <w:lang w:eastAsia="en-US"/>
              </w:rPr>
              <w:t>1</w:t>
            </w:r>
            <w:r w:rsidRPr="001F798D">
              <w:rPr>
                <w:rFonts w:ascii="Times New Roman" w:hAnsi="Times New Roman" w:cs="Times New Roman"/>
                <w:sz w:val="24"/>
                <w:szCs w:val="24"/>
                <w:lang w:eastAsia="en-US"/>
              </w:rPr>
              <w:t xml:space="preserve">daļa nosaka, ka </w:t>
            </w:r>
            <w:r w:rsidR="00351184" w:rsidRPr="001F798D">
              <w:rPr>
                <w:rFonts w:ascii="Times New Roman" w:hAnsi="Times New Roman" w:cs="Times New Roman"/>
                <w:sz w:val="24"/>
                <w:szCs w:val="24"/>
                <w:lang w:eastAsia="en-US"/>
              </w:rPr>
              <w:t xml:space="preserve">no valsts budžeta maksājamās PVN summas kā priekšnodoklis pilnībā nav atskaitāma </w:t>
            </w:r>
            <w:r w:rsidR="00351184" w:rsidRPr="00F56B31">
              <w:rPr>
                <w:rFonts w:ascii="Times New Roman" w:hAnsi="Times New Roman" w:cs="Times New Roman"/>
                <w:sz w:val="24"/>
                <w:szCs w:val="24"/>
                <w:lang w:eastAsia="en-US"/>
              </w:rPr>
              <w:t xml:space="preserve">PVN summa par vieglās pasažieru automašīnas iegādi, nomu un importu, kuras vērtība atbilst </w:t>
            </w:r>
            <w:r w:rsidR="001F798D">
              <w:rPr>
                <w:rFonts w:ascii="Times New Roman" w:hAnsi="Times New Roman" w:cs="Times New Roman"/>
                <w:sz w:val="24"/>
                <w:szCs w:val="24"/>
                <w:lang w:eastAsia="en-US"/>
              </w:rPr>
              <w:t xml:space="preserve">reprezentatīvā automobiļa vērtībai saskaņā ar </w:t>
            </w:r>
            <w:r w:rsidR="001F798D" w:rsidRPr="001F798D">
              <w:rPr>
                <w:rFonts w:ascii="Times New Roman" w:hAnsi="Times New Roman" w:cs="Times New Roman"/>
                <w:sz w:val="24"/>
                <w:szCs w:val="24"/>
                <w:lang w:eastAsia="en-US"/>
              </w:rPr>
              <w:t xml:space="preserve">uzņēmumu ienākuma nodokli </w:t>
            </w:r>
            <w:r w:rsidR="001F798D" w:rsidRPr="001F798D">
              <w:rPr>
                <w:rFonts w:ascii="Times New Roman" w:hAnsi="Times New Roman" w:cs="Times New Roman"/>
                <w:sz w:val="24"/>
                <w:szCs w:val="24"/>
                <w:lang w:eastAsia="en-US"/>
              </w:rPr>
              <w:lastRenderedPageBreak/>
              <w:t>regulējošajos normatīvajos aktos noteikto</w:t>
            </w:r>
            <w:r w:rsidR="00EF05DD" w:rsidRPr="001F798D">
              <w:rPr>
                <w:rFonts w:ascii="Times New Roman" w:hAnsi="Times New Roman" w:cs="Times New Roman"/>
                <w:sz w:val="24"/>
                <w:szCs w:val="24"/>
                <w:lang w:eastAsia="en-US"/>
              </w:rPr>
              <w:t>, proti,</w:t>
            </w:r>
            <w:r w:rsidR="001F798D" w:rsidRPr="001F798D">
              <w:rPr>
                <w:rFonts w:ascii="Times New Roman" w:hAnsi="Times New Roman" w:cs="Times New Roman"/>
                <w:sz w:val="24"/>
                <w:szCs w:val="24"/>
                <w:lang w:eastAsia="en-US"/>
              </w:rPr>
              <w:t xml:space="preserve"> </w:t>
            </w:r>
            <w:r w:rsidR="001F798D">
              <w:t xml:space="preserve"> </w:t>
            </w:r>
            <w:r w:rsidR="001F798D" w:rsidRPr="001F798D">
              <w:rPr>
                <w:rFonts w:ascii="Times New Roman" w:hAnsi="Times New Roman" w:cs="Times New Roman"/>
                <w:sz w:val="24"/>
                <w:szCs w:val="24"/>
                <w:lang w:eastAsia="en-US"/>
              </w:rPr>
              <w:t>reprezentatīvā</w:t>
            </w:r>
            <w:r w:rsidR="00F56B31">
              <w:rPr>
                <w:rFonts w:ascii="Times New Roman" w:hAnsi="Times New Roman" w:cs="Times New Roman"/>
                <w:sz w:val="24"/>
                <w:szCs w:val="24"/>
                <w:lang w:eastAsia="en-US"/>
              </w:rPr>
              <w:t xml:space="preserve"> (tā saucamā </w:t>
            </w:r>
            <w:r w:rsidR="00F56B31" w:rsidRPr="00F56B31">
              <w:rPr>
                <w:rFonts w:ascii="Times New Roman" w:hAnsi="Times New Roman" w:cs="Times New Roman"/>
                <w:sz w:val="24"/>
                <w:szCs w:val="24"/>
                <w:lang w:eastAsia="en-US"/>
              </w:rPr>
              <w:t>luksus</w:t>
            </w:r>
            <w:r w:rsidR="00F56B31">
              <w:rPr>
                <w:rFonts w:ascii="Times New Roman" w:hAnsi="Times New Roman" w:cs="Times New Roman"/>
                <w:sz w:val="24"/>
                <w:szCs w:val="24"/>
                <w:lang w:eastAsia="en-US"/>
              </w:rPr>
              <w:t>)</w:t>
            </w:r>
            <w:r w:rsidR="001F798D" w:rsidRPr="00F56B31">
              <w:rPr>
                <w:rFonts w:ascii="Times New Roman" w:hAnsi="Times New Roman" w:cs="Times New Roman"/>
                <w:sz w:val="24"/>
                <w:szCs w:val="24"/>
                <w:lang w:eastAsia="en-US"/>
              </w:rPr>
              <w:t xml:space="preserve"> automobiļa vērtībai</w:t>
            </w:r>
            <w:r w:rsidR="00F56B31">
              <w:rPr>
                <w:rFonts w:ascii="Times New Roman" w:hAnsi="Times New Roman" w:cs="Times New Roman"/>
                <w:sz w:val="24"/>
                <w:szCs w:val="24"/>
                <w:lang w:eastAsia="en-US"/>
              </w:rPr>
              <w:t>, kura</w:t>
            </w:r>
            <w:r w:rsidR="00F56B31" w:rsidRPr="00F56B31">
              <w:rPr>
                <w:rFonts w:ascii="Times New Roman" w:hAnsi="Times New Roman" w:cs="Times New Roman"/>
                <w:sz w:val="24"/>
                <w:szCs w:val="24"/>
                <w:lang w:eastAsia="en-US"/>
              </w:rPr>
              <w:t xml:space="preserve"> </w:t>
            </w:r>
            <w:r w:rsidR="00EF05DD" w:rsidRPr="00F56B31">
              <w:rPr>
                <w:rFonts w:ascii="Times New Roman" w:hAnsi="Times New Roman" w:cs="Times New Roman"/>
                <w:sz w:val="24"/>
                <w:szCs w:val="24"/>
                <w:lang w:eastAsia="en-US"/>
              </w:rPr>
              <w:t xml:space="preserve">bez PVN pārsniedz 50 000 </w:t>
            </w:r>
            <w:proofErr w:type="spellStart"/>
            <w:r w:rsidR="00EF05DD" w:rsidRPr="00F56B31">
              <w:rPr>
                <w:rFonts w:ascii="Times New Roman" w:hAnsi="Times New Roman" w:cs="Times New Roman"/>
                <w:i/>
                <w:sz w:val="24"/>
                <w:szCs w:val="24"/>
                <w:lang w:eastAsia="en-US"/>
              </w:rPr>
              <w:t>euro</w:t>
            </w:r>
            <w:proofErr w:type="spellEnd"/>
            <w:r w:rsidR="00EF05DD" w:rsidRPr="00F56B31">
              <w:rPr>
                <w:rFonts w:ascii="Times New Roman" w:hAnsi="Times New Roman" w:cs="Times New Roman"/>
                <w:sz w:val="24"/>
                <w:szCs w:val="24"/>
                <w:lang w:eastAsia="en-US"/>
              </w:rPr>
              <w:t>. Tāpat arī minētajā pant</w:t>
            </w:r>
            <w:r w:rsidR="008B2652" w:rsidRPr="00F56B31">
              <w:rPr>
                <w:rFonts w:ascii="Times New Roman" w:hAnsi="Times New Roman" w:cs="Times New Roman"/>
                <w:sz w:val="24"/>
                <w:szCs w:val="24"/>
                <w:lang w:eastAsia="en-US"/>
              </w:rPr>
              <w:t>ā noteikts, ka</w:t>
            </w:r>
            <w:r w:rsidR="00EF05DD">
              <w:t xml:space="preserve"> </w:t>
            </w:r>
            <w:r w:rsidR="00EF05DD" w:rsidRPr="00F56B31">
              <w:rPr>
                <w:rFonts w:ascii="Times New Roman" w:hAnsi="Times New Roman" w:cs="Times New Roman"/>
                <w:sz w:val="24"/>
                <w:szCs w:val="24"/>
                <w:lang w:eastAsia="en-US"/>
              </w:rPr>
              <w:t>no valsts budžeta maksājamās PVN summas kā priekšnodoklis pilnī</w:t>
            </w:r>
            <w:r w:rsidR="008F5128">
              <w:rPr>
                <w:rFonts w:ascii="Times New Roman" w:hAnsi="Times New Roman" w:cs="Times New Roman"/>
                <w:sz w:val="24"/>
                <w:szCs w:val="24"/>
                <w:lang w:eastAsia="en-US"/>
              </w:rPr>
              <w:t>bā nav atskaitāma PVN summa par</w:t>
            </w:r>
            <w:r w:rsidR="00EF05DD">
              <w:t xml:space="preserve"> </w:t>
            </w:r>
            <w:r w:rsidR="00EF05DD" w:rsidRPr="00F56B31">
              <w:rPr>
                <w:rFonts w:ascii="Times New Roman" w:hAnsi="Times New Roman" w:cs="Times New Roman"/>
                <w:sz w:val="24"/>
                <w:szCs w:val="24"/>
                <w:lang w:eastAsia="en-US"/>
              </w:rPr>
              <w:t>izmaksām, kas saistītas ar minētās vieglās pasažieru automašīnas uzturēšanu (tajā skaitā izmaksām par šādas automašīnas remontu un degvielas iegādi).</w:t>
            </w:r>
            <w:r w:rsidR="00314D23">
              <w:rPr>
                <w:rFonts w:ascii="Times New Roman" w:hAnsi="Times New Roman" w:cs="Times New Roman"/>
                <w:sz w:val="24"/>
                <w:szCs w:val="24"/>
                <w:lang w:eastAsia="en-US"/>
              </w:rPr>
              <w:t xml:space="preserve"> </w:t>
            </w:r>
            <w:r w:rsidR="00046F79">
              <w:rPr>
                <w:rFonts w:ascii="Times New Roman" w:hAnsi="Times New Roman" w:cs="Times New Roman"/>
                <w:sz w:val="24"/>
                <w:szCs w:val="24"/>
                <w:lang w:eastAsia="en-US"/>
              </w:rPr>
              <w:t>S</w:t>
            </w:r>
            <w:r w:rsidR="00087CE5">
              <w:rPr>
                <w:rFonts w:ascii="Times New Roman" w:hAnsi="Times New Roman" w:cs="Times New Roman"/>
                <w:sz w:val="24"/>
                <w:szCs w:val="24"/>
                <w:lang w:eastAsia="en-US"/>
              </w:rPr>
              <w:t>itu</w:t>
            </w:r>
            <w:r w:rsidR="00CC1AF9">
              <w:rPr>
                <w:rFonts w:ascii="Times New Roman" w:hAnsi="Times New Roman" w:cs="Times New Roman"/>
                <w:sz w:val="24"/>
                <w:szCs w:val="24"/>
                <w:lang w:eastAsia="en-US"/>
              </w:rPr>
              <w:t>ācijā</w:t>
            </w:r>
            <w:r w:rsidR="00E35E48">
              <w:rPr>
                <w:rFonts w:ascii="Times New Roman" w:hAnsi="Times New Roman" w:cs="Times New Roman"/>
                <w:sz w:val="24"/>
                <w:szCs w:val="24"/>
                <w:lang w:eastAsia="en-US"/>
              </w:rPr>
              <w:t xml:space="preserve">, kad reģistrēts </w:t>
            </w:r>
            <w:r w:rsidR="00E50DDF">
              <w:rPr>
                <w:rFonts w:ascii="Times New Roman" w:hAnsi="Times New Roman" w:cs="Times New Roman"/>
                <w:sz w:val="24"/>
                <w:szCs w:val="24"/>
                <w:lang w:eastAsia="en-US"/>
              </w:rPr>
              <w:t>PVN</w:t>
            </w:r>
            <w:r w:rsidR="00B047A2">
              <w:rPr>
                <w:rFonts w:ascii="Times New Roman" w:hAnsi="Times New Roman" w:cs="Times New Roman"/>
                <w:sz w:val="24"/>
                <w:szCs w:val="24"/>
                <w:lang w:eastAsia="en-US"/>
              </w:rPr>
              <w:t xml:space="preserve"> maksātājs</w:t>
            </w:r>
            <w:r w:rsidR="003706F9">
              <w:rPr>
                <w:rFonts w:ascii="Times New Roman" w:hAnsi="Times New Roman" w:cs="Times New Roman"/>
                <w:sz w:val="24"/>
                <w:szCs w:val="24"/>
                <w:lang w:eastAsia="en-US"/>
              </w:rPr>
              <w:t xml:space="preserve"> savas saimnieciskās darbības nodrošināšanai</w:t>
            </w:r>
            <w:r w:rsidR="00B047A2">
              <w:rPr>
                <w:rFonts w:ascii="Times New Roman" w:hAnsi="Times New Roman" w:cs="Times New Roman"/>
                <w:sz w:val="24"/>
                <w:szCs w:val="24"/>
                <w:lang w:eastAsia="en-US"/>
              </w:rPr>
              <w:t xml:space="preserve"> iegādāja</w:t>
            </w:r>
            <w:r w:rsidR="00E35E48">
              <w:rPr>
                <w:rFonts w:ascii="Times New Roman" w:hAnsi="Times New Roman" w:cs="Times New Roman"/>
                <w:sz w:val="24"/>
                <w:szCs w:val="24"/>
                <w:lang w:eastAsia="en-US"/>
              </w:rPr>
              <w:t>s</w:t>
            </w:r>
            <w:r w:rsidR="00D51D96">
              <w:rPr>
                <w:rFonts w:ascii="Times New Roman" w:hAnsi="Times New Roman" w:cs="Times New Roman"/>
                <w:sz w:val="24"/>
                <w:szCs w:val="24"/>
                <w:lang w:eastAsia="en-US"/>
              </w:rPr>
              <w:t xml:space="preserve"> </w:t>
            </w:r>
            <w:r w:rsidR="00E35E48">
              <w:rPr>
                <w:rFonts w:ascii="Times New Roman" w:hAnsi="Times New Roman" w:cs="Times New Roman"/>
                <w:sz w:val="24"/>
                <w:szCs w:val="24"/>
                <w:lang w:eastAsia="en-US"/>
              </w:rPr>
              <w:t>N1 kategorijas transportlīdzekli</w:t>
            </w:r>
            <w:r w:rsidR="00D51D96">
              <w:rPr>
                <w:rFonts w:ascii="Times New Roman" w:hAnsi="Times New Roman" w:cs="Times New Roman"/>
                <w:sz w:val="24"/>
                <w:szCs w:val="24"/>
                <w:lang w:eastAsia="en-US"/>
              </w:rPr>
              <w:t xml:space="preserve"> (t.i., kravas automašīnu ar pilnu masu līdz 3000 kilogramiem</w:t>
            </w:r>
            <w:r w:rsidR="00314D23">
              <w:rPr>
                <w:rFonts w:ascii="Times New Roman" w:hAnsi="Times New Roman" w:cs="Times New Roman"/>
                <w:sz w:val="24"/>
                <w:szCs w:val="24"/>
                <w:lang w:eastAsia="en-US"/>
              </w:rPr>
              <w:t>,</w:t>
            </w:r>
            <w:r w:rsidR="00314D23">
              <w:t xml:space="preserve"> </w:t>
            </w:r>
            <w:r w:rsidR="007224A5">
              <w:rPr>
                <w:rFonts w:ascii="Times New Roman" w:hAnsi="Times New Roman" w:cs="Times New Roman"/>
                <w:sz w:val="24"/>
                <w:szCs w:val="24"/>
                <w:lang w:eastAsia="en-US"/>
              </w:rPr>
              <w:t>kas ir reģistrēta</w:t>
            </w:r>
            <w:r w:rsidR="00314D23" w:rsidRPr="00314D23">
              <w:rPr>
                <w:rFonts w:ascii="Times New Roman" w:hAnsi="Times New Roman" w:cs="Times New Roman"/>
                <w:sz w:val="24"/>
                <w:szCs w:val="24"/>
                <w:lang w:eastAsia="en-US"/>
              </w:rPr>
              <w:t xml:space="preserve"> kā kravas furgons un kam ir vairāk nekā trīs sēdviet</w:t>
            </w:r>
            <w:r w:rsidR="00314D23">
              <w:rPr>
                <w:rFonts w:ascii="Times New Roman" w:hAnsi="Times New Roman" w:cs="Times New Roman"/>
                <w:sz w:val="24"/>
                <w:szCs w:val="24"/>
                <w:lang w:eastAsia="en-US"/>
              </w:rPr>
              <w:t>as (ieskaitot vadītāja sēdvietu</w:t>
            </w:r>
            <w:r w:rsidR="00D51D96">
              <w:rPr>
                <w:rFonts w:ascii="Times New Roman" w:hAnsi="Times New Roman" w:cs="Times New Roman"/>
                <w:sz w:val="24"/>
                <w:szCs w:val="24"/>
                <w:lang w:eastAsia="en-US"/>
              </w:rPr>
              <w:t>)</w:t>
            </w:r>
            <w:r w:rsidR="00314D23">
              <w:rPr>
                <w:rFonts w:ascii="Times New Roman" w:hAnsi="Times New Roman" w:cs="Times New Roman"/>
                <w:sz w:val="24"/>
                <w:szCs w:val="24"/>
                <w:lang w:eastAsia="en-US"/>
              </w:rPr>
              <w:t>)</w:t>
            </w:r>
            <w:r w:rsidR="00E35E48">
              <w:rPr>
                <w:rFonts w:ascii="Times New Roman" w:hAnsi="Times New Roman" w:cs="Times New Roman"/>
                <w:sz w:val="24"/>
                <w:szCs w:val="24"/>
                <w:lang w:eastAsia="en-US"/>
              </w:rPr>
              <w:t xml:space="preserve">, tam </w:t>
            </w:r>
            <w:r w:rsidR="00046F79">
              <w:rPr>
                <w:rFonts w:ascii="Times New Roman" w:hAnsi="Times New Roman" w:cs="Times New Roman"/>
                <w:sz w:val="24"/>
                <w:szCs w:val="24"/>
                <w:lang w:eastAsia="en-US"/>
              </w:rPr>
              <w:t>ir tiesības</w:t>
            </w:r>
            <w:r w:rsidR="00087CE5">
              <w:rPr>
                <w:rFonts w:ascii="Times New Roman" w:hAnsi="Times New Roman" w:cs="Times New Roman"/>
                <w:sz w:val="24"/>
                <w:szCs w:val="24"/>
                <w:lang w:eastAsia="en-US"/>
              </w:rPr>
              <w:t xml:space="preserve"> n</w:t>
            </w:r>
            <w:r w:rsidR="00087CE5" w:rsidRPr="00087CE5">
              <w:rPr>
                <w:rFonts w:ascii="Times New Roman" w:hAnsi="Times New Roman" w:cs="Times New Roman"/>
                <w:sz w:val="24"/>
                <w:szCs w:val="24"/>
                <w:lang w:eastAsia="en-US"/>
              </w:rPr>
              <w:t>o valsts budže</w:t>
            </w:r>
            <w:r w:rsidR="00E35E48">
              <w:rPr>
                <w:rFonts w:ascii="Times New Roman" w:hAnsi="Times New Roman" w:cs="Times New Roman"/>
                <w:sz w:val="24"/>
                <w:szCs w:val="24"/>
                <w:lang w:eastAsia="en-US"/>
              </w:rPr>
              <w:t xml:space="preserve">tā maksājamās </w:t>
            </w:r>
            <w:r w:rsidR="00301583">
              <w:rPr>
                <w:rFonts w:ascii="Times New Roman" w:hAnsi="Times New Roman" w:cs="Times New Roman"/>
                <w:sz w:val="24"/>
                <w:szCs w:val="24"/>
                <w:lang w:eastAsia="en-US"/>
              </w:rPr>
              <w:t xml:space="preserve">PVN </w:t>
            </w:r>
            <w:r w:rsidR="00E35E48">
              <w:rPr>
                <w:rFonts w:ascii="Times New Roman" w:hAnsi="Times New Roman" w:cs="Times New Roman"/>
                <w:sz w:val="24"/>
                <w:szCs w:val="24"/>
                <w:lang w:eastAsia="en-US"/>
              </w:rPr>
              <w:t>summas</w:t>
            </w:r>
            <w:r w:rsidR="00B047A2">
              <w:rPr>
                <w:rFonts w:ascii="Times New Roman" w:hAnsi="Times New Roman" w:cs="Times New Roman"/>
                <w:sz w:val="24"/>
                <w:szCs w:val="24"/>
                <w:lang w:eastAsia="en-US"/>
              </w:rPr>
              <w:t xml:space="preserve"> </w:t>
            </w:r>
            <w:r w:rsidR="00D51D96">
              <w:rPr>
                <w:rFonts w:ascii="Times New Roman" w:hAnsi="Times New Roman" w:cs="Times New Roman"/>
                <w:sz w:val="24"/>
                <w:szCs w:val="24"/>
                <w:lang w:eastAsia="en-US"/>
              </w:rPr>
              <w:t xml:space="preserve">likumā noteiktajā vispārējā kārtībā </w:t>
            </w:r>
            <w:r w:rsidR="00E35E48">
              <w:rPr>
                <w:rFonts w:ascii="Times New Roman" w:hAnsi="Times New Roman" w:cs="Times New Roman"/>
                <w:sz w:val="24"/>
                <w:szCs w:val="24"/>
                <w:lang w:eastAsia="en-US"/>
              </w:rPr>
              <w:t xml:space="preserve">atskaitīt </w:t>
            </w:r>
            <w:r w:rsidR="00AF6604">
              <w:rPr>
                <w:rFonts w:ascii="Times New Roman" w:hAnsi="Times New Roman" w:cs="Times New Roman"/>
                <w:sz w:val="24"/>
                <w:szCs w:val="24"/>
                <w:lang w:eastAsia="en-US"/>
              </w:rPr>
              <w:t xml:space="preserve">to </w:t>
            </w:r>
            <w:r w:rsidR="00E50DDF">
              <w:rPr>
                <w:rFonts w:ascii="Times New Roman" w:hAnsi="Times New Roman" w:cs="Times New Roman"/>
                <w:sz w:val="24"/>
                <w:szCs w:val="24"/>
                <w:lang w:eastAsia="en-US"/>
              </w:rPr>
              <w:t xml:space="preserve">kā </w:t>
            </w:r>
            <w:r w:rsidR="00E35E48">
              <w:rPr>
                <w:rFonts w:ascii="Times New Roman" w:hAnsi="Times New Roman" w:cs="Times New Roman"/>
                <w:sz w:val="24"/>
                <w:szCs w:val="24"/>
                <w:lang w:eastAsia="en-US"/>
              </w:rPr>
              <w:t>priekšnodokli.</w:t>
            </w:r>
            <w:r w:rsidR="00301583">
              <w:rPr>
                <w:rFonts w:ascii="Times New Roman" w:hAnsi="Times New Roman" w:cs="Times New Roman"/>
                <w:sz w:val="24"/>
                <w:szCs w:val="24"/>
                <w:lang w:eastAsia="en-US"/>
              </w:rPr>
              <w:t xml:space="preserve"> </w:t>
            </w:r>
          </w:p>
          <w:p w14:paraId="7F993AE3" w14:textId="07D5272E" w:rsidR="00E917B0" w:rsidRDefault="00301583" w:rsidP="00E86DB5">
            <w:pPr>
              <w:pStyle w:val="NoSpacing"/>
              <w:ind w:right="161"/>
              <w:jc w:val="both"/>
              <w:rPr>
                <w:rFonts w:ascii="Times New Roman" w:hAnsi="Times New Roman" w:cs="Times New Roman"/>
                <w:sz w:val="24"/>
                <w:szCs w:val="24"/>
                <w:lang w:eastAsia="en-US"/>
              </w:rPr>
            </w:pPr>
            <w:r>
              <w:rPr>
                <w:rFonts w:ascii="Times New Roman" w:hAnsi="Times New Roman" w:cs="Times New Roman"/>
                <w:sz w:val="24"/>
                <w:szCs w:val="24"/>
                <w:lang w:eastAsia="en-US"/>
              </w:rPr>
              <w:t>Lai no</w:t>
            </w:r>
            <w:r w:rsidR="00046F79">
              <w:rPr>
                <w:rFonts w:ascii="Times New Roman" w:hAnsi="Times New Roman" w:cs="Times New Roman"/>
                <w:sz w:val="24"/>
                <w:szCs w:val="24"/>
                <w:lang w:eastAsia="en-US"/>
              </w:rPr>
              <w:t>vērstu</w:t>
            </w:r>
            <w:r>
              <w:rPr>
                <w:rFonts w:ascii="Times New Roman" w:hAnsi="Times New Roman" w:cs="Times New Roman"/>
                <w:sz w:val="24"/>
                <w:szCs w:val="24"/>
                <w:lang w:eastAsia="en-US"/>
              </w:rPr>
              <w:t xml:space="preserve"> situ</w:t>
            </w:r>
            <w:r w:rsidR="00AF6604">
              <w:rPr>
                <w:rFonts w:ascii="Times New Roman" w:hAnsi="Times New Roman" w:cs="Times New Roman"/>
                <w:sz w:val="24"/>
                <w:szCs w:val="24"/>
                <w:lang w:eastAsia="en-US"/>
              </w:rPr>
              <w:t>ācijas, kad</w:t>
            </w:r>
            <w:r>
              <w:rPr>
                <w:rFonts w:ascii="Times New Roman" w:hAnsi="Times New Roman" w:cs="Times New Roman"/>
                <w:sz w:val="24"/>
                <w:szCs w:val="24"/>
                <w:lang w:eastAsia="en-US"/>
              </w:rPr>
              <w:t xml:space="preserve"> reģistrēts </w:t>
            </w:r>
            <w:r w:rsidR="00E50DDF">
              <w:rPr>
                <w:rFonts w:ascii="Times New Roman" w:hAnsi="Times New Roman" w:cs="Times New Roman"/>
                <w:sz w:val="24"/>
                <w:szCs w:val="24"/>
                <w:lang w:eastAsia="en-US"/>
              </w:rPr>
              <w:t>PVN</w:t>
            </w:r>
            <w:r>
              <w:rPr>
                <w:rFonts w:ascii="Times New Roman" w:hAnsi="Times New Roman" w:cs="Times New Roman"/>
                <w:sz w:val="24"/>
                <w:szCs w:val="24"/>
                <w:lang w:eastAsia="en-US"/>
              </w:rPr>
              <w:t xml:space="preserve"> maksātājs nepamatoti izmanto iespēju atskaitīt priekšnodokli par </w:t>
            </w:r>
            <w:r w:rsidR="00E917B0">
              <w:rPr>
                <w:rFonts w:ascii="Times New Roman" w:hAnsi="Times New Roman" w:cs="Times New Roman"/>
                <w:sz w:val="24"/>
                <w:szCs w:val="24"/>
                <w:lang w:eastAsia="en-US"/>
              </w:rPr>
              <w:t>automašīnu,</w:t>
            </w:r>
            <w:r>
              <w:rPr>
                <w:rFonts w:ascii="Times New Roman" w:hAnsi="Times New Roman" w:cs="Times New Roman"/>
                <w:sz w:val="24"/>
                <w:szCs w:val="24"/>
                <w:lang w:eastAsia="en-US"/>
              </w:rPr>
              <w:t xml:space="preserve"> kur</w:t>
            </w:r>
            <w:r w:rsidR="00E917B0">
              <w:rPr>
                <w:rFonts w:ascii="Times New Roman" w:hAnsi="Times New Roman" w:cs="Times New Roman"/>
                <w:sz w:val="24"/>
                <w:szCs w:val="24"/>
                <w:lang w:eastAsia="en-US"/>
              </w:rPr>
              <w:t>a</w:t>
            </w:r>
            <w:r>
              <w:rPr>
                <w:rFonts w:ascii="Times New Roman" w:hAnsi="Times New Roman" w:cs="Times New Roman"/>
                <w:sz w:val="24"/>
                <w:szCs w:val="24"/>
                <w:lang w:eastAsia="en-US"/>
              </w:rPr>
              <w:t xml:space="preserve"> </w:t>
            </w:r>
            <w:r w:rsidR="00046F79">
              <w:rPr>
                <w:rFonts w:ascii="Times New Roman" w:hAnsi="Times New Roman" w:cs="Times New Roman"/>
                <w:sz w:val="24"/>
                <w:szCs w:val="24"/>
                <w:lang w:eastAsia="en-US"/>
              </w:rPr>
              <w:t xml:space="preserve">ar nodomu </w:t>
            </w:r>
            <w:r>
              <w:rPr>
                <w:rFonts w:ascii="Times New Roman" w:hAnsi="Times New Roman" w:cs="Times New Roman"/>
                <w:sz w:val="24"/>
                <w:szCs w:val="24"/>
                <w:lang w:eastAsia="en-US"/>
              </w:rPr>
              <w:t>ir</w:t>
            </w:r>
            <w:r w:rsidR="00046F79">
              <w:rPr>
                <w:rFonts w:ascii="Times New Roman" w:hAnsi="Times New Roman" w:cs="Times New Roman"/>
                <w:sz w:val="24"/>
                <w:szCs w:val="24"/>
                <w:lang w:eastAsia="en-US"/>
              </w:rPr>
              <w:t xml:space="preserve"> pārbūvēt</w:t>
            </w:r>
            <w:r w:rsidR="00E917B0">
              <w:rPr>
                <w:rFonts w:ascii="Times New Roman" w:hAnsi="Times New Roman" w:cs="Times New Roman"/>
                <w:sz w:val="24"/>
                <w:szCs w:val="24"/>
                <w:lang w:eastAsia="en-US"/>
              </w:rPr>
              <w:t>a</w:t>
            </w:r>
            <w:r w:rsidR="00133505">
              <w:rPr>
                <w:rFonts w:ascii="Times New Roman" w:hAnsi="Times New Roman" w:cs="Times New Roman"/>
                <w:sz w:val="24"/>
                <w:szCs w:val="24"/>
                <w:lang w:eastAsia="en-US"/>
              </w:rPr>
              <w:t xml:space="preserve"> </w:t>
            </w:r>
            <w:r w:rsidR="00E917B0">
              <w:rPr>
                <w:rFonts w:ascii="Times New Roman" w:hAnsi="Times New Roman" w:cs="Times New Roman"/>
                <w:sz w:val="24"/>
                <w:szCs w:val="24"/>
                <w:lang w:eastAsia="en-US"/>
              </w:rPr>
              <w:t xml:space="preserve">no M1 uz N1 kategorijas automašīnu </w:t>
            </w:r>
            <w:r w:rsidR="00133505">
              <w:rPr>
                <w:rFonts w:ascii="Times New Roman" w:hAnsi="Times New Roman" w:cs="Times New Roman"/>
                <w:sz w:val="24"/>
                <w:szCs w:val="24"/>
                <w:lang w:eastAsia="en-US"/>
              </w:rPr>
              <w:t>vai jau s</w:t>
            </w:r>
            <w:r w:rsidR="003C3D05">
              <w:rPr>
                <w:rFonts w:ascii="Times New Roman" w:hAnsi="Times New Roman" w:cs="Times New Roman"/>
                <w:sz w:val="24"/>
                <w:szCs w:val="24"/>
                <w:lang w:eastAsia="en-US"/>
              </w:rPr>
              <w:t>ākotnēj</w:t>
            </w:r>
            <w:r w:rsidR="00133505">
              <w:rPr>
                <w:rFonts w:ascii="Times New Roman" w:hAnsi="Times New Roman" w:cs="Times New Roman"/>
                <w:sz w:val="24"/>
                <w:szCs w:val="24"/>
                <w:lang w:eastAsia="en-US"/>
              </w:rPr>
              <w:t>i</w:t>
            </w:r>
            <w:r w:rsidR="00B1316C">
              <w:rPr>
                <w:rFonts w:ascii="Times New Roman" w:hAnsi="Times New Roman" w:cs="Times New Roman"/>
                <w:sz w:val="24"/>
                <w:szCs w:val="24"/>
                <w:lang w:eastAsia="en-US"/>
              </w:rPr>
              <w:t xml:space="preserve"> </w:t>
            </w:r>
            <w:r w:rsidR="00E917B0">
              <w:rPr>
                <w:rFonts w:ascii="Times New Roman" w:hAnsi="Times New Roman" w:cs="Times New Roman"/>
                <w:sz w:val="24"/>
                <w:szCs w:val="24"/>
                <w:lang w:eastAsia="en-US"/>
              </w:rPr>
              <w:t xml:space="preserve">iegādāta kā </w:t>
            </w:r>
            <w:r>
              <w:rPr>
                <w:rFonts w:ascii="Times New Roman" w:hAnsi="Times New Roman" w:cs="Times New Roman"/>
                <w:sz w:val="24"/>
                <w:szCs w:val="24"/>
                <w:lang w:eastAsia="en-US"/>
              </w:rPr>
              <w:t xml:space="preserve">N1 kategorijas </w:t>
            </w:r>
            <w:r w:rsidR="00E917B0">
              <w:rPr>
                <w:rFonts w:ascii="Times New Roman" w:hAnsi="Times New Roman" w:cs="Times New Roman"/>
                <w:sz w:val="24"/>
                <w:szCs w:val="24"/>
                <w:lang w:eastAsia="en-US"/>
              </w:rPr>
              <w:t xml:space="preserve">automašīna, kaut arī pēc būtības tā ir M1 kategorijas automašīna </w:t>
            </w:r>
            <w:r>
              <w:rPr>
                <w:rFonts w:ascii="Times New Roman" w:hAnsi="Times New Roman" w:cs="Times New Roman"/>
                <w:sz w:val="24"/>
                <w:szCs w:val="24"/>
                <w:lang w:eastAsia="en-US"/>
              </w:rPr>
              <w:t xml:space="preserve">un vienlaikus, </w:t>
            </w:r>
            <w:r w:rsidR="00C04526">
              <w:rPr>
                <w:rFonts w:ascii="Times New Roman" w:hAnsi="Times New Roman" w:cs="Times New Roman"/>
                <w:sz w:val="24"/>
                <w:szCs w:val="24"/>
                <w:lang w:eastAsia="en-US"/>
              </w:rPr>
              <w:t>kura</w:t>
            </w:r>
            <w:r w:rsidR="00E917B0">
              <w:rPr>
                <w:rFonts w:ascii="Times New Roman" w:hAnsi="Times New Roman" w:cs="Times New Roman"/>
                <w:sz w:val="24"/>
                <w:szCs w:val="24"/>
                <w:lang w:eastAsia="en-US"/>
              </w:rPr>
              <w:t>s</w:t>
            </w:r>
            <w:r w:rsidR="008F5128">
              <w:rPr>
                <w:rFonts w:ascii="Times New Roman" w:hAnsi="Times New Roman" w:cs="Times New Roman"/>
                <w:sz w:val="24"/>
                <w:szCs w:val="24"/>
                <w:lang w:eastAsia="en-US"/>
              </w:rPr>
              <w:t xml:space="preserve"> vērtība </w:t>
            </w:r>
            <w:r w:rsidR="008F5128" w:rsidRPr="002B645B">
              <w:rPr>
                <w:rFonts w:ascii="Times New Roman" w:hAnsi="Times New Roman" w:cs="Times New Roman"/>
                <w:sz w:val="24"/>
                <w:szCs w:val="24"/>
                <w:lang w:eastAsia="en-US"/>
              </w:rPr>
              <w:t>atbilst</w:t>
            </w:r>
            <w:r w:rsidRPr="00301583">
              <w:rPr>
                <w:rFonts w:ascii="Times New Roman" w:hAnsi="Times New Roman" w:cs="Times New Roman"/>
                <w:sz w:val="24"/>
                <w:szCs w:val="24"/>
                <w:lang w:eastAsia="en-US"/>
              </w:rPr>
              <w:t xml:space="preserve"> uzņēmumu ienākuma nodokli regulējoš</w:t>
            </w:r>
            <w:r w:rsidR="008F5128">
              <w:rPr>
                <w:rFonts w:ascii="Times New Roman" w:hAnsi="Times New Roman" w:cs="Times New Roman"/>
                <w:sz w:val="24"/>
                <w:szCs w:val="24"/>
                <w:lang w:eastAsia="en-US"/>
              </w:rPr>
              <w:t>ajos normatīvajos aktos noteiktajai</w:t>
            </w:r>
            <w:r w:rsidRPr="00301583">
              <w:rPr>
                <w:rFonts w:ascii="Times New Roman" w:hAnsi="Times New Roman" w:cs="Times New Roman"/>
                <w:sz w:val="24"/>
                <w:szCs w:val="24"/>
                <w:lang w:eastAsia="en-US"/>
              </w:rPr>
              <w:t xml:space="preserve"> r</w:t>
            </w:r>
            <w:r w:rsidR="008F5128">
              <w:rPr>
                <w:rFonts w:ascii="Times New Roman" w:hAnsi="Times New Roman" w:cs="Times New Roman"/>
                <w:sz w:val="24"/>
                <w:szCs w:val="24"/>
                <w:lang w:eastAsia="en-US"/>
              </w:rPr>
              <w:t>eprezentatīvā automobiļa vērtībai</w:t>
            </w:r>
            <w:r>
              <w:rPr>
                <w:rFonts w:ascii="Times New Roman" w:hAnsi="Times New Roman" w:cs="Times New Roman"/>
                <w:sz w:val="24"/>
                <w:szCs w:val="24"/>
                <w:lang w:eastAsia="en-US"/>
              </w:rPr>
              <w:t>, nepieciešams veikt grozījumu</w:t>
            </w:r>
            <w:r w:rsidR="00C04526">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 </w:t>
            </w:r>
            <w:r w:rsidR="007224A5">
              <w:rPr>
                <w:rFonts w:ascii="Times New Roman" w:hAnsi="Times New Roman" w:cs="Times New Roman"/>
                <w:sz w:val="24"/>
                <w:szCs w:val="24"/>
                <w:lang w:eastAsia="en-US"/>
              </w:rPr>
              <w:t>PVN likumā</w:t>
            </w:r>
            <w:r>
              <w:rPr>
                <w:rFonts w:ascii="Times New Roman" w:hAnsi="Times New Roman" w:cs="Times New Roman"/>
                <w:sz w:val="24"/>
                <w:szCs w:val="24"/>
                <w:lang w:eastAsia="en-US"/>
              </w:rPr>
              <w:t>.</w:t>
            </w:r>
            <w:r w:rsidR="00C04526">
              <w:rPr>
                <w:rFonts w:ascii="Times New Roman" w:hAnsi="Times New Roman" w:cs="Times New Roman"/>
                <w:sz w:val="24"/>
                <w:szCs w:val="24"/>
                <w:lang w:eastAsia="en-US"/>
              </w:rPr>
              <w:t xml:space="preserve"> </w:t>
            </w:r>
          </w:p>
          <w:p w14:paraId="27F41F59" w14:textId="6FF7ADDF" w:rsidR="003706F9" w:rsidRDefault="00DF0C25" w:rsidP="00E86DB5">
            <w:pPr>
              <w:pStyle w:val="NoSpacing"/>
              <w:ind w:right="161"/>
              <w:jc w:val="both"/>
              <w:rPr>
                <w:rFonts w:ascii="Times New Roman" w:hAnsi="Times New Roman" w:cs="Times New Roman"/>
                <w:sz w:val="24"/>
                <w:szCs w:val="24"/>
                <w:lang w:eastAsia="en-US"/>
              </w:rPr>
            </w:pPr>
            <w:r>
              <w:rPr>
                <w:rFonts w:ascii="Times New Roman" w:hAnsi="Times New Roman" w:cs="Times New Roman"/>
                <w:sz w:val="24"/>
                <w:szCs w:val="24"/>
                <w:lang w:eastAsia="en-US"/>
              </w:rPr>
              <w:t>2015.gada 30.novembrī Saeimā pieņemtais likums</w:t>
            </w:r>
            <w:r>
              <w:t xml:space="preserve"> “</w:t>
            </w:r>
            <w:r w:rsidRPr="00DF0C25">
              <w:rPr>
                <w:rFonts w:ascii="Times New Roman" w:hAnsi="Times New Roman" w:cs="Times New Roman"/>
                <w:sz w:val="24"/>
                <w:szCs w:val="24"/>
                <w:lang w:eastAsia="en-US"/>
              </w:rPr>
              <w:t>Grozījumi Transportlīdzekļa ekspluatācijas nodokļa un uzņēmumu vieglo transportlīdzekļu nodokļa likumā</w:t>
            </w:r>
            <w:r w:rsidR="003546A1">
              <w:rPr>
                <w:rFonts w:ascii="Times New Roman" w:hAnsi="Times New Roman" w:cs="Times New Roman"/>
                <w:sz w:val="24"/>
                <w:szCs w:val="24"/>
                <w:lang w:eastAsia="en-US"/>
              </w:rPr>
              <w:t>” nosak</w:t>
            </w:r>
            <w:r>
              <w:rPr>
                <w:rFonts w:ascii="Times New Roman" w:hAnsi="Times New Roman" w:cs="Times New Roman"/>
                <w:sz w:val="24"/>
                <w:szCs w:val="24"/>
                <w:lang w:eastAsia="en-US"/>
              </w:rPr>
              <w:t>a, ka</w:t>
            </w:r>
            <w:r w:rsidR="003706F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7A15DB">
              <w:rPr>
                <w:rFonts w:ascii="Times New Roman" w:hAnsi="Times New Roman" w:cs="Times New Roman"/>
                <w:sz w:val="24"/>
                <w:szCs w:val="24"/>
                <w:lang w:eastAsia="en-US"/>
              </w:rPr>
              <w:t xml:space="preserve">sākot ar </w:t>
            </w:r>
            <w:r>
              <w:rPr>
                <w:rFonts w:ascii="Times New Roman" w:hAnsi="Times New Roman" w:cs="Times New Roman"/>
                <w:sz w:val="24"/>
                <w:szCs w:val="24"/>
                <w:lang w:eastAsia="en-US"/>
              </w:rPr>
              <w:t>2016.gada 1.janv</w:t>
            </w:r>
            <w:r w:rsidR="007A15DB">
              <w:rPr>
                <w:rFonts w:ascii="Times New Roman" w:hAnsi="Times New Roman" w:cs="Times New Roman"/>
                <w:sz w:val="24"/>
                <w:szCs w:val="24"/>
                <w:lang w:eastAsia="en-US"/>
              </w:rPr>
              <w:t>āri</w:t>
            </w:r>
            <w:r w:rsidR="003706F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uzņēmumu vieglo transportlīdzekļu nodoklis maksājams arī par</w:t>
            </w:r>
            <w:r>
              <w:t xml:space="preserve"> </w:t>
            </w:r>
            <w:r w:rsidRPr="00DF0C25">
              <w:rPr>
                <w:rFonts w:ascii="Times New Roman" w:hAnsi="Times New Roman" w:cs="Times New Roman"/>
                <w:sz w:val="24"/>
                <w:szCs w:val="24"/>
                <w:lang w:eastAsia="en-US"/>
              </w:rPr>
              <w:t>kravas automobili ar pilnu masu līdz 3000 kilogramiem, kas ir reģistrēts kā kravas furgons un kam ir vairāk nekā trīs sēdvietas (ieskaitot vadītāja sēdvie</w:t>
            </w:r>
            <w:r>
              <w:rPr>
                <w:rFonts w:ascii="Times New Roman" w:hAnsi="Times New Roman" w:cs="Times New Roman"/>
                <w:sz w:val="24"/>
                <w:szCs w:val="24"/>
                <w:lang w:eastAsia="en-US"/>
              </w:rPr>
              <w:t xml:space="preserve">tu). </w:t>
            </w:r>
          </w:p>
          <w:p w14:paraId="068ADC10" w14:textId="27F90702" w:rsidR="008B2652" w:rsidRDefault="007A15DB" w:rsidP="00FC1C8A">
            <w:pPr>
              <w:pStyle w:val="NoSpacing"/>
              <w:ind w:left="60" w:right="16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Lai </w:t>
            </w:r>
            <w:r w:rsidR="00B233FD">
              <w:rPr>
                <w:rFonts w:ascii="Times New Roman" w:hAnsi="Times New Roman" w:cs="Times New Roman"/>
                <w:sz w:val="24"/>
                <w:szCs w:val="24"/>
                <w:lang w:eastAsia="en-US"/>
              </w:rPr>
              <w:t xml:space="preserve">līdzsvarotu un </w:t>
            </w:r>
            <w:r>
              <w:rPr>
                <w:rFonts w:ascii="Times New Roman" w:hAnsi="Times New Roman" w:cs="Times New Roman"/>
                <w:sz w:val="24"/>
                <w:szCs w:val="24"/>
                <w:lang w:eastAsia="en-US"/>
              </w:rPr>
              <w:t>piem</w:t>
            </w:r>
            <w:r w:rsidR="00B233FD">
              <w:rPr>
                <w:rFonts w:ascii="Times New Roman" w:hAnsi="Times New Roman" w:cs="Times New Roman"/>
                <w:sz w:val="24"/>
                <w:szCs w:val="24"/>
                <w:lang w:eastAsia="en-US"/>
              </w:rPr>
              <w:t>ērotu</w:t>
            </w:r>
            <w:r>
              <w:rPr>
                <w:rFonts w:ascii="Times New Roman" w:hAnsi="Times New Roman" w:cs="Times New Roman"/>
                <w:sz w:val="24"/>
                <w:szCs w:val="24"/>
                <w:lang w:eastAsia="en-US"/>
              </w:rPr>
              <w:t xml:space="preserve"> </w:t>
            </w:r>
            <w:r w:rsidR="008B2652">
              <w:rPr>
                <w:rFonts w:ascii="Times New Roman" w:hAnsi="Times New Roman" w:cs="Times New Roman"/>
                <w:sz w:val="24"/>
                <w:szCs w:val="24"/>
                <w:lang w:eastAsia="en-US"/>
              </w:rPr>
              <w:t xml:space="preserve">līdzīgu </w:t>
            </w:r>
            <w:r w:rsidR="00B233FD">
              <w:rPr>
                <w:rFonts w:ascii="Times New Roman" w:hAnsi="Times New Roman" w:cs="Times New Roman"/>
                <w:sz w:val="24"/>
                <w:szCs w:val="24"/>
                <w:lang w:eastAsia="en-US"/>
              </w:rPr>
              <w:t>pieeju</w:t>
            </w:r>
            <w:r>
              <w:rPr>
                <w:rFonts w:ascii="Times New Roman" w:hAnsi="Times New Roman" w:cs="Times New Roman"/>
                <w:sz w:val="24"/>
                <w:szCs w:val="24"/>
                <w:lang w:eastAsia="en-US"/>
              </w:rPr>
              <w:t xml:space="preserve"> ar </w:t>
            </w:r>
            <w:r w:rsidR="00B233FD">
              <w:rPr>
                <w:rFonts w:ascii="Times New Roman" w:hAnsi="Times New Roman" w:cs="Times New Roman"/>
                <w:sz w:val="24"/>
                <w:szCs w:val="24"/>
                <w:lang w:eastAsia="en-US"/>
              </w:rPr>
              <w:t xml:space="preserve">vairākiem </w:t>
            </w:r>
            <w:r>
              <w:rPr>
                <w:rFonts w:ascii="Times New Roman" w:hAnsi="Times New Roman" w:cs="Times New Roman"/>
                <w:sz w:val="24"/>
                <w:szCs w:val="24"/>
                <w:lang w:eastAsia="en-US"/>
              </w:rPr>
              <w:t>nodo</w:t>
            </w:r>
            <w:r w:rsidR="00B233FD">
              <w:rPr>
                <w:rFonts w:ascii="Times New Roman" w:hAnsi="Times New Roman" w:cs="Times New Roman"/>
                <w:sz w:val="24"/>
                <w:szCs w:val="24"/>
                <w:lang w:eastAsia="en-US"/>
              </w:rPr>
              <w:t>kļiem apliekamajam objektam</w:t>
            </w:r>
            <w:r w:rsidR="008B2652">
              <w:rPr>
                <w:rFonts w:ascii="Times New Roman" w:hAnsi="Times New Roman" w:cs="Times New Roman"/>
                <w:sz w:val="24"/>
                <w:szCs w:val="24"/>
                <w:lang w:eastAsia="en-US"/>
              </w:rPr>
              <w:t>,</w:t>
            </w:r>
            <w:r w:rsidR="00B233FD">
              <w:rPr>
                <w:rFonts w:ascii="Times New Roman" w:hAnsi="Times New Roman" w:cs="Times New Roman"/>
                <w:sz w:val="24"/>
                <w:szCs w:val="24"/>
                <w:lang w:eastAsia="en-US"/>
              </w:rPr>
              <w:t xml:space="preserve"> </w:t>
            </w:r>
            <w:r w:rsidR="003706F9">
              <w:rPr>
                <w:rFonts w:ascii="Times New Roman" w:hAnsi="Times New Roman" w:cs="Times New Roman"/>
                <w:sz w:val="24"/>
                <w:szCs w:val="24"/>
                <w:lang w:eastAsia="en-US"/>
              </w:rPr>
              <w:t>attiecībā uz PVN piemērošanu ir sagatavoti attiecīgi grozījumi PVN likuma 100.panta 1.</w:t>
            </w:r>
            <w:r w:rsidR="003706F9" w:rsidRPr="00FC1C8A">
              <w:rPr>
                <w:rFonts w:ascii="Times New Roman" w:hAnsi="Times New Roman" w:cs="Times New Roman"/>
                <w:sz w:val="24"/>
                <w:szCs w:val="24"/>
                <w:vertAlign w:val="superscript"/>
                <w:lang w:eastAsia="en-US"/>
              </w:rPr>
              <w:t xml:space="preserve">1 </w:t>
            </w:r>
            <w:r w:rsidR="003706F9">
              <w:rPr>
                <w:rFonts w:ascii="Times New Roman" w:hAnsi="Times New Roman" w:cs="Times New Roman"/>
                <w:sz w:val="24"/>
                <w:szCs w:val="24"/>
                <w:lang w:eastAsia="en-US"/>
              </w:rPr>
              <w:t>daļā, nosakot, ka</w:t>
            </w:r>
            <w:r w:rsidR="00B233FD">
              <w:rPr>
                <w:rFonts w:ascii="Times New Roman" w:hAnsi="Times New Roman" w:cs="Times New Roman"/>
                <w:sz w:val="24"/>
                <w:szCs w:val="24"/>
                <w:lang w:eastAsia="en-US"/>
              </w:rPr>
              <w:t xml:space="preserve"> </w:t>
            </w:r>
            <w:r w:rsidR="008B2652">
              <w:t xml:space="preserve"> </w:t>
            </w:r>
            <w:r w:rsidR="008B2652" w:rsidRPr="008B2652">
              <w:rPr>
                <w:rFonts w:ascii="Times New Roman" w:hAnsi="Times New Roman" w:cs="Times New Roman"/>
                <w:sz w:val="24"/>
                <w:szCs w:val="24"/>
                <w:lang w:eastAsia="en-US"/>
              </w:rPr>
              <w:t xml:space="preserve">no valsts budžeta maksājamās PVN summas kā priekšnodoklis pilnībā nav atskaitāma PVN summa </w:t>
            </w:r>
            <w:r w:rsidR="008B2652">
              <w:rPr>
                <w:rFonts w:ascii="Times New Roman" w:hAnsi="Times New Roman" w:cs="Times New Roman"/>
                <w:sz w:val="24"/>
                <w:szCs w:val="24"/>
                <w:lang w:eastAsia="en-US"/>
              </w:rPr>
              <w:t xml:space="preserve">arī </w:t>
            </w:r>
            <w:r w:rsidR="008B2652" w:rsidRPr="008B2652">
              <w:rPr>
                <w:rFonts w:ascii="Times New Roman" w:hAnsi="Times New Roman" w:cs="Times New Roman"/>
                <w:sz w:val="24"/>
                <w:szCs w:val="24"/>
                <w:lang w:eastAsia="en-US"/>
              </w:rPr>
              <w:t xml:space="preserve">par </w:t>
            </w:r>
            <w:r w:rsidR="008B2652">
              <w:rPr>
                <w:rFonts w:ascii="Times New Roman" w:hAnsi="Times New Roman" w:cs="Times New Roman"/>
                <w:sz w:val="24"/>
                <w:szCs w:val="24"/>
                <w:lang w:eastAsia="en-US"/>
              </w:rPr>
              <w:t xml:space="preserve">tādas kravas </w:t>
            </w:r>
            <w:r w:rsidR="008B2652" w:rsidRPr="008B2652">
              <w:rPr>
                <w:rFonts w:ascii="Times New Roman" w:hAnsi="Times New Roman" w:cs="Times New Roman"/>
                <w:sz w:val="24"/>
                <w:szCs w:val="24"/>
                <w:lang w:eastAsia="en-US"/>
              </w:rPr>
              <w:t>automašīnas</w:t>
            </w:r>
            <w:r w:rsidR="008B2652">
              <w:rPr>
                <w:rFonts w:ascii="Times New Roman" w:hAnsi="Times New Roman" w:cs="Times New Roman"/>
                <w:sz w:val="24"/>
                <w:szCs w:val="24"/>
                <w:lang w:eastAsia="en-US"/>
              </w:rPr>
              <w:t xml:space="preserve"> (ar </w:t>
            </w:r>
            <w:r w:rsidR="008B2652" w:rsidRPr="008B2652">
              <w:rPr>
                <w:rFonts w:ascii="Times New Roman" w:hAnsi="Times New Roman" w:cs="Times New Roman"/>
                <w:sz w:val="24"/>
                <w:szCs w:val="24"/>
                <w:lang w:eastAsia="en-US"/>
              </w:rPr>
              <w:t>pilnu masu līdz 3000 kilogramiem, kas ir reģistrēts kā kravas furgons un kam ir vairāk nekā trīs sēdvietas (ieskaitot vadītāja sēdvietu)</w:t>
            </w:r>
            <w:r w:rsidR="008B2652">
              <w:rPr>
                <w:rFonts w:ascii="Times New Roman" w:hAnsi="Times New Roman" w:cs="Times New Roman"/>
                <w:sz w:val="24"/>
                <w:szCs w:val="24"/>
                <w:lang w:eastAsia="en-US"/>
              </w:rPr>
              <w:t xml:space="preserve">) </w:t>
            </w:r>
            <w:r w:rsidR="008B2652" w:rsidRPr="008B2652">
              <w:rPr>
                <w:rFonts w:ascii="Times New Roman" w:hAnsi="Times New Roman" w:cs="Times New Roman"/>
                <w:sz w:val="24"/>
                <w:szCs w:val="24"/>
                <w:lang w:eastAsia="en-US"/>
              </w:rPr>
              <w:t xml:space="preserve">iegādi, nomu un importu, kuras vērtība </w:t>
            </w:r>
            <w:r w:rsidR="008B2652">
              <w:rPr>
                <w:rFonts w:ascii="Times New Roman" w:hAnsi="Times New Roman" w:cs="Times New Roman"/>
                <w:sz w:val="24"/>
                <w:szCs w:val="24"/>
                <w:lang w:eastAsia="en-US"/>
              </w:rPr>
              <w:t xml:space="preserve">saskaņā ar uzņēmumu ienākuma nodokļa regulējošajiem normatīvajiem aktiem atbilst reprezentatīvā automobiļa statusam. </w:t>
            </w:r>
          </w:p>
          <w:p w14:paraId="2A4D8F09" w14:textId="77777777" w:rsidR="00016B39" w:rsidRDefault="008B2652" w:rsidP="00E86DB5">
            <w:pPr>
              <w:pStyle w:val="NoSpacing"/>
              <w:ind w:right="161"/>
              <w:jc w:val="both"/>
              <w:rPr>
                <w:rFonts w:ascii="Times New Roman" w:hAnsi="Times New Roman" w:cs="Times New Roman"/>
                <w:sz w:val="24"/>
                <w:szCs w:val="24"/>
                <w:lang w:eastAsia="en-US"/>
              </w:rPr>
            </w:pPr>
            <w:r>
              <w:rPr>
                <w:rFonts w:ascii="Times New Roman" w:hAnsi="Times New Roman" w:cs="Times New Roman"/>
                <w:sz w:val="24"/>
                <w:szCs w:val="24"/>
                <w:lang w:eastAsia="en-US"/>
              </w:rPr>
              <w:t>Tāpat ir precizēta PVN likuma 100.panta otrā, trešā</w:t>
            </w:r>
            <w:r w:rsidR="000829F0">
              <w:rPr>
                <w:rFonts w:ascii="Times New Roman" w:hAnsi="Times New Roman" w:cs="Times New Roman"/>
                <w:sz w:val="24"/>
                <w:szCs w:val="24"/>
                <w:lang w:eastAsia="en-US"/>
              </w:rPr>
              <w:t xml:space="preserve">, ceturtā </w:t>
            </w:r>
            <w:r>
              <w:rPr>
                <w:rFonts w:ascii="Times New Roman" w:hAnsi="Times New Roman" w:cs="Times New Roman"/>
                <w:sz w:val="24"/>
                <w:szCs w:val="24"/>
                <w:lang w:eastAsia="en-US"/>
              </w:rPr>
              <w:t>un piektā daļa</w:t>
            </w:r>
            <w:r w:rsidR="00981E3F">
              <w:rPr>
                <w:rFonts w:ascii="Times New Roman" w:hAnsi="Times New Roman" w:cs="Times New Roman"/>
                <w:sz w:val="24"/>
                <w:szCs w:val="24"/>
                <w:lang w:eastAsia="en-US"/>
              </w:rPr>
              <w:t>, lai tajās ietvertie nosacījumi atbilstu 100.panta 1.</w:t>
            </w:r>
            <w:r w:rsidR="00981E3F" w:rsidRPr="00FC1C8A">
              <w:rPr>
                <w:rFonts w:ascii="Times New Roman" w:hAnsi="Times New Roman" w:cs="Times New Roman"/>
                <w:sz w:val="24"/>
                <w:szCs w:val="24"/>
                <w:vertAlign w:val="superscript"/>
                <w:lang w:eastAsia="en-US"/>
              </w:rPr>
              <w:t>1</w:t>
            </w:r>
            <w:r w:rsidR="00981E3F">
              <w:rPr>
                <w:rFonts w:ascii="Times New Roman" w:hAnsi="Times New Roman" w:cs="Times New Roman"/>
                <w:sz w:val="24"/>
                <w:szCs w:val="24"/>
                <w:lang w:eastAsia="en-US"/>
              </w:rPr>
              <w:t>daļas būtībai.</w:t>
            </w:r>
            <w:r w:rsidR="007C70EE">
              <w:rPr>
                <w:rFonts w:ascii="Times New Roman" w:hAnsi="Times New Roman" w:cs="Times New Roman"/>
                <w:sz w:val="24"/>
                <w:szCs w:val="24"/>
                <w:lang w:eastAsia="en-US"/>
              </w:rPr>
              <w:t xml:space="preserve"> </w:t>
            </w:r>
          </w:p>
          <w:p w14:paraId="1DB3C42A" w14:textId="7C750643" w:rsidR="0068707F" w:rsidRPr="00E35E48" w:rsidRDefault="00C53089" w:rsidP="00E86DB5">
            <w:pPr>
              <w:pStyle w:val="NoSpacing"/>
              <w:ind w:right="16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68707F" w:rsidRPr="00E35E48">
              <w:rPr>
                <w:rFonts w:ascii="Times New Roman" w:hAnsi="Times New Roman" w:cs="Times New Roman"/>
                <w:sz w:val="24"/>
                <w:szCs w:val="24"/>
                <w:lang w:eastAsia="en-US"/>
              </w:rPr>
              <w:t>Neatkarīgs p</w:t>
            </w:r>
            <w:r w:rsidR="0068707F" w:rsidRPr="00E35E48">
              <w:rPr>
                <w:rFonts w:ascii="Times New Roman" w:eastAsia="Times New Roman" w:hAnsi="Times New Roman" w:cs="Times New Roman"/>
                <w:color w:val="000000"/>
                <w:sz w:val="24"/>
                <w:szCs w:val="24"/>
              </w:rPr>
              <w:t xml:space="preserve">ētnieks </w:t>
            </w:r>
            <w:r w:rsidR="006067AE" w:rsidRPr="00E35E48">
              <w:rPr>
                <w:rFonts w:ascii="Times New Roman" w:eastAsia="Times New Roman" w:hAnsi="Times New Roman" w:cs="Times New Roman"/>
                <w:color w:val="000000"/>
                <w:sz w:val="24"/>
                <w:szCs w:val="24"/>
              </w:rPr>
              <w:t>SIA “</w:t>
            </w:r>
            <w:hyperlink r:id="rId11" w:history="1">
              <w:r w:rsidR="006067AE" w:rsidRPr="00E35E48">
                <w:rPr>
                  <w:rFonts w:ascii="Times New Roman" w:eastAsia="Times New Roman" w:hAnsi="Times New Roman" w:cs="Times New Roman"/>
                  <w:color w:val="000000"/>
                  <w:sz w:val="24"/>
                  <w:szCs w:val="24"/>
                </w:rPr>
                <w:t>PricewaterhouseCoopers</w:t>
              </w:r>
            </w:hyperlink>
            <w:r w:rsidR="006067AE" w:rsidRPr="00E35E48">
              <w:rPr>
                <w:rFonts w:ascii="Times New Roman" w:eastAsia="Times New Roman" w:hAnsi="Times New Roman" w:cs="Times New Roman"/>
                <w:color w:val="000000"/>
                <w:sz w:val="24"/>
                <w:szCs w:val="24"/>
              </w:rPr>
              <w:t xml:space="preserve">” </w:t>
            </w:r>
            <w:r w:rsidR="0068707F" w:rsidRPr="00E35E48">
              <w:rPr>
                <w:rFonts w:ascii="Times New Roman" w:eastAsia="Times New Roman" w:hAnsi="Times New Roman" w:cs="Times New Roman"/>
                <w:color w:val="000000"/>
                <w:sz w:val="24"/>
                <w:szCs w:val="24"/>
              </w:rPr>
              <w:t xml:space="preserve">ziņojumā </w:t>
            </w:r>
            <w:r w:rsidR="0068707F" w:rsidRPr="00E35E48">
              <w:rPr>
                <w:rFonts w:ascii="Times New Roman" w:hAnsi="Times New Roman" w:cs="Times New Roman"/>
                <w:sz w:val="24"/>
                <w:szCs w:val="24"/>
                <w:lang w:eastAsia="en-US"/>
              </w:rPr>
              <w:t xml:space="preserve">“Par spēkā esošo PVN apgrieztās maksāšanas kārtības efektivitāti un iespēju to piemērot citās nozarēs” </w:t>
            </w:r>
            <w:r w:rsidR="0068707F" w:rsidRPr="00E35E48">
              <w:rPr>
                <w:rFonts w:ascii="Times New Roman" w:eastAsia="Times New Roman" w:hAnsi="Times New Roman" w:cs="Times New Roman"/>
                <w:color w:val="000000"/>
                <w:sz w:val="24"/>
                <w:szCs w:val="24"/>
              </w:rPr>
              <w:t>ir nonācis pie secinājuma, ka viena no nozarēm, kurā ir augsts PVN nemaksāšanas risks</w:t>
            </w:r>
            <w:r w:rsidR="0068707F" w:rsidRPr="00E35E48">
              <w:rPr>
                <w:rFonts w:ascii="Times New Roman" w:hAnsi="Times New Roman" w:cs="Times New Roman"/>
                <w:sz w:val="24"/>
                <w:szCs w:val="24"/>
                <w:lang w:eastAsia="en-US"/>
              </w:rPr>
              <w:t xml:space="preserve"> </w:t>
            </w:r>
            <w:r w:rsidR="0068707F" w:rsidRPr="00E35E48">
              <w:rPr>
                <w:rFonts w:ascii="Times New Roman" w:eastAsia="Times New Roman" w:hAnsi="Times New Roman" w:cs="Times New Roman"/>
                <w:color w:val="000000"/>
                <w:sz w:val="24"/>
                <w:szCs w:val="24"/>
              </w:rPr>
              <w:t xml:space="preserve">ir </w:t>
            </w:r>
            <w:r w:rsidR="00DC04E5" w:rsidRPr="00E35E48">
              <w:rPr>
                <w:rFonts w:ascii="Times New Roman" w:eastAsia="Times New Roman" w:hAnsi="Times New Roman" w:cs="Times New Roman"/>
                <w:color w:val="000000"/>
                <w:sz w:val="24"/>
                <w:szCs w:val="24"/>
              </w:rPr>
              <w:t>dārgmetālu</w:t>
            </w:r>
            <w:r w:rsidR="0068707F" w:rsidRPr="00E35E48">
              <w:rPr>
                <w:rFonts w:ascii="Times New Roman" w:eastAsia="Times New Roman" w:hAnsi="Times New Roman" w:cs="Times New Roman"/>
                <w:color w:val="000000"/>
                <w:sz w:val="24"/>
                <w:szCs w:val="24"/>
              </w:rPr>
              <w:t xml:space="preserve"> </w:t>
            </w:r>
            <w:r w:rsidR="0068707F" w:rsidRPr="00E35E48">
              <w:rPr>
                <w:rFonts w:ascii="Times New Roman" w:eastAsia="Times New Roman" w:hAnsi="Times New Roman" w:cs="Times New Roman"/>
                <w:sz w:val="24"/>
                <w:szCs w:val="24"/>
              </w:rPr>
              <w:t>nozare, tādējādi šajā nozarē</w:t>
            </w:r>
            <w:r w:rsidR="0068707F" w:rsidRPr="00E35E48">
              <w:rPr>
                <w:rFonts w:ascii="Times New Roman" w:eastAsia="Times New Roman" w:hAnsi="Times New Roman" w:cs="Times New Roman"/>
                <w:color w:val="000000"/>
                <w:sz w:val="24"/>
                <w:szCs w:val="24"/>
              </w:rPr>
              <w:t xml:space="preserve"> ir vēlams ieviest PVN </w:t>
            </w:r>
            <w:r w:rsidR="00560BAA" w:rsidRPr="00E35E48">
              <w:rPr>
                <w:rFonts w:ascii="Times New Roman" w:eastAsia="Times New Roman" w:hAnsi="Times New Roman" w:cs="Times New Roman"/>
                <w:color w:val="000000"/>
                <w:sz w:val="24"/>
                <w:szCs w:val="24"/>
              </w:rPr>
              <w:t xml:space="preserve">apgriezto </w:t>
            </w:r>
            <w:r w:rsidR="0068707F" w:rsidRPr="00E35E48">
              <w:rPr>
                <w:rFonts w:ascii="Times New Roman" w:eastAsia="Times New Roman" w:hAnsi="Times New Roman" w:cs="Times New Roman"/>
                <w:color w:val="000000"/>
                <w:sz w:val="24"/>
                <w:szCs w:val="24"/>
              </w:rPr>
              <w:t xml:space="preserve">maksāšanas kārtību. </w:t>
            </w:r>
            <w:r w:rsidR="0068707F" w:rsidRPr="00E35E48">
              <w:rPr>
                <w:rFonts w:ascii="Times New Roman" w:eastAsia="Times New Roman" w:hAnsi="Times New Roman" w:cs="Times New Roman"/>
                <w:sz w:val="24"/>
                <w:szCs w:val="24"/>
              </w:rPr>
              <w:t xml:space="preserve">Minētais neatkarīgā pētnieka ziņojums ir pieejams </w:t>
            </w:r>
            <w:r w:rsidR="0068707F" w:rsidRPr="00E35E48">
              <w:rPr>
                <w:rFonts w:ascii="Times New Roman" w:eastAsia="Times New Roman" w:hAnsi="Times New Roman" w:cs="Times New Roman"/>
                <w:color w:val="000000"/>
                <w:sz w:val="24"/>
                <w:szCs w:val="24"/>
              </w:rPr>
              <w:t xml:space="preserve">Finanšu ministrijas mājas lapā </w:t>
            </w:r>
            <w:hyperlink r:id="rId12" w:history="1">
              <w:r w:rsidR="0068707F" w:rsidRPr="00E35E48">
                <w:rPr>
                  <w:rFonts w:ascii="Times New Roman" w:eastAsia="Times New Roman" w:hAnsi="Times New Roman" w:cs="Times New Roman"/>
                  <w:color w:val="0563C1"/>
                  <w:sz w:val="24"/>
                  <w:szCs w:val="24"/>
                  <w:u w:val="single"/>
                </w:rPr>
                <w:t>http://www.fm.gov.lv/files/nodoklupolitika/18-12-2015_PwC%20Zinojums.pdf</w:t>
              </w:r>
            </w:hyperlink>
            <w:r w:rsidR="0068707F" w:rsidRPr="00E35E48">
              <w:rPr>
                <w:rFonts w:ascii="Times New Roman" w:hAnsi="Times New Roman" w:cs="Times New Roman"/>
                <w:sz w:val="24"/>
                <w:szCs w:val="24"/>
                <w:lang w:eastAsia="en-US"/>
              </w:rPr>
              <w:t xml:space="preserve">. </w:t>
            </w:r>
          </w:p>
          <w:p w14:paraId="773EB122" w14:textId="6BE1DC84" w:rsidR="005038C2" w:rsidRPr="00A7675C" w:rsidRDefault="005038C2" w:rsidP="005038C2">
            <w:pPr>
              <w:pStyle w:val="NoSpacing"/>
              <w:ind w:left="100" w:right="161"/>
              <w:jc w:val="both"/>
              <w:rPr>
                <w:rFonts w:ascii="Times New Roman" w:hAnsi="Times New Roman" w:cs="Times New Roman"/>
                <w:sz w:val="24"/>
                <w:szCs w:val="24"/>
                <w:lang w:eastAsia="en-US"/>
              </w:rPr>
            </w:pPr>
            <w:r w:rsidRPr="00A7675C">
              <w:rPr>
                <w:rFonts w:ascii="Times New Roman" w:hAnsi="Times New Roman" w:cs="Times New Roman"/>
                <w:sz w:val="24"/>
                <w:szCs w:val="24"/>
                <w:lang w:eastAsia="en-US"/>
              </w:rPr>
              <w:t>Balstoties uz šā ziņojuma rezultātiem,</w:t>
            </w:r>
            <w:r w:rsidRPr="00A7675C">
              <w:rPr>
                <w:rFonts w:ascii="Times New Roman" w:eastAsia="Calibri" w:hAnsi="Times New Roman" w:cs="Times New Roman"/>
                <w:sz w:val="24"/>
                <w:szCs w:val="24"/>
              </w:rPr>
              <w:t xml:space="preserve"> ar mērķi mazināt krāpšanos PVN jomā</w:t>
            </w:r>
            <w:r w:rsidRPr="00A7675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dārgmetālu</w:t>
            </w:r>
            <w:r w:rsidRPr="00A7675C">
              <w:rPr>
                <w:rFonts w:ascii="Times New Roman" w:hAnsi="Times New Roman" w:cs="Times New Roman"/>
                <w:sz w:val="24"/>
                <w:szCs w:val="24"/>
                <w:lang w:eastAsia="en-US"/>
              </w:rPr>
              <w:t xml:space="preserve"> nozarē</w:t>
            </w:r>
            <w:r w:rsidRPr="00A7675C">
              <w:rPr>
                <w:rFonts w:ascii="Times New Roman" w:eastAsia="Times New Roman" w:hAnsi="Times New Roman" w:cs="Times New Roman"/>
                <w:color w:val="000000"/>
                <w:sz w:val="24"/>
                <w:szCs w:val="24"/>
              </w:rPr>
              <w:t xml:space="preserve"> </w:t>
            </w:r>
            <w:r w:rsidR="002B14E1">
              <w:rPr>
                <w:rFonts w:ascii="Times New Roman" w:eastAsia="Times New Roman" w:hAnsi="Times New Roman" w:cs="Times New Roman"/>
                <w:color w:val="000000"/>
                <w:sz w:val="24"/>
                <w:szCs w:val="24"/>
              </w:rPr>
              <w:t>PVN likumā</w:t>
            </w:r>
            <w:r>
              <w:rPr>
                <w:rFonts w:ascii="Times New Roman" w:eastAsia="Times New Roman" w:hAnsi="Times New Roman" w:cs="Times New Roman"/>
                <w:color w:val="000000"/>
                <w:sz w:val="24"/>
                <w:szCs w:val="24"/>
              </w:rPr>
              <w:t xml:space="preserve"> </w:t>
            </w:r>
            <w:r w:rsidRPr="00A7675C">
              <w:rPr>
                <w:rFonts w:ascii="Times New Roman" w:eastAsia="Times New Roman" w:hAnsi="Times New Roman" w:cs="Times New Roman"/>
                <w:color w:val="000000"/>
                <w:sz w:val="24"/>
                <w:szCs w:val="24"/>
              </w:rPr>
              <w:t>ir nepieciešams noteikt PVN</w:t>
            </w:r>
            <w:r w:rsidR="00560BAA" w:rsidRPr="00A7675C">
              <w:rPr>
                <w:rFonts w:ascii="Times New Roman" w:eastAsia="Times New Roman" w:hAnsi="Times New Roman" w:cs="Times New Roman"/>
                <w:color w:val="000000"/>
                <w:sz w:val="24"/>
                <w:szCs w:val="24"/>
              </w:rPr>
              <w:t xml:space="preserve"> apgriezto </w:t>
            </w:r>
            <w:r w:rsidRPr="00A7675C">
              <w:rPr>
                <w:rFonts w:ascii="Times New Roman" w:eastAsia="Times New Roman" w:hAnsi="Times New Roman" w:cs="Times New Roman"/>
                <w:color w:val="000000"/>
                <w:sz w:val="24"/>
                <w:szCs w:val="24"/>
              </w:rPr>
              <w:t>maksāšanas kārtību</w:t>
            </w:r>
            <w:r w:rsidRPr="00560BAA">
              <w:rPr>
                <w:rFonts w:ascii="Times New Roman" w:eastAsia="Times New Roman" w:hAnsi="Times New Roman" w:cs="Times New Roman"/>
                <w:color w:val="000000"/>
                <w:sz w:val="24"/>
                <w:szCs w:val="24"/>
              </w:rPr>
              <w:t xml:space="preserve"> neapstrādātu dārgmetālu</w:t>
            </w:r>
            <w:r w:rsidR="00676100">
              <w:rPr>
                <w:rFonts w:ascii="Times New Roman" w:eastAsia="Times New Roman" w:hAnsi="Times New Roman" w:cs="Times New Roman"/>
                <w:color w:val="000000"/>
                <w:sz w:val="24"/>
                <w:szCs w:val="24"/>
              </w:rPr>
              <w:t xml:space="preserve"> un to pusfabrikātu</w:t>
            </w:r>
            <w:r w:rsidRPr="00560BAA">
              <w:rPr>
                <w:rFonts w:ascii="Times New Roman" w:eastAsia="Times New Roman" w:hAnsi="Times New Roman" w:cs="Times New Roman"/>
                <w:color w:val="000000"/>
                <w:sz w:val="24"/>
                <w:szCs w:val="24"/>
              </w:rPr>
              <w:t>, dārgmetālu sakausējumu</w:t>
            </w:r>
            <w:r w:rsidR="00676100">
              <w:rPr>
                <w:rFonts w:ascii="Times New Roman" w:eastAsia="Times New Roman" w:hAnsi="Times New Roman" w:cs="Times New Roman"/>
                <w:color w:val="000000"/>
                <w:sz w:val="24"/>
                <w:szCs w:val="24"/>
              </w:rPr>
              <w:t xml:space="preserve"> un to pusfabrikātu</w:t>
            </w:r>
            <w:r w:rsidR="00B44203" w:rsidRPr="00560BAA">
              <w:rPr>
                <w:rFonts w:ascii="Times New Roman" w:eastAsia="Times New Roman" w:hAnsi="Times New Roman" w:cs="Times New Roman"/>
                <w:color w:val="000000"/>
                <w:sz w:val="24"/>
                <w:szCs w:val="24"/>
              </w:rPr>
              <w:t xml:space="preserve">, dārgmetālu </w:t>
            </w:r>
            <w:proofErr w:type="spellStart"/>
            <w:r w:rsidR="00B44203" w:rsidRPr="00560BAA">
              <w:rPr>
                <w:rFonts w:ascii="Times New Roman" w:eastAsia="Times New Roman" w:hAnsi="Times New Roman" w:cs="Times New Roman"/>
                <w:color w:val="000000"/>
                <w:sz w:val="24"/>
                <w:szCs w:val="24"/>
              </w:rPr>
              <w:t>plaķētu</w:t>
            </w:r>
            <w:proofErr w:type="spellEnd"/>
            <w:r w:rsidR="00B44203" w:rsidRPr="00560BAA">
              <w:rPr>
                <w:rFonts w:ascii="Times New Roman" w:eastAsia="Times New Roman" w:hAnsi="Times New Roman" w:cs="Times New Roman"/>
                <w:color w:val="000000"/>
                <w:sz w:val="24"/>
                <w:szCs w:val="24"/>
              </w:rPr>
              <w:t xml:space="preserve"> metālu,</w:t>
            </w:r>
            <w:r w:rsidR="00EB73C2" w:rsidRPr="00560BAA">
              <w:rPr>
                <w:rFonts w:ascii="Times New Roman" w:eastAsia="Times New Roman" w:hAnsi="Times New Roman" w:cs="Times New Roman"/>
                <w:color w:val="000000"/>
                <w:sz w:val="24"/>
                <w:szCs w:val="24"/>
              </w:rPr>
              <w:t xml:space="preserve"> dārgmetālu lūžņu un atlūzu </w:t>
            </w:r>
            <w:r w:rsidRPr="00560BAA">
              <w:rPr>
                <w:rFonts w:ascii="Times New Roman" w:eastAsia="Times New Roman" w:hAnsi="Times New Roman" w:cs="Times New Roman"/>
                <w:color w:val="000000"/>
                <w:sz w:val="24"/>
                <w:szCs w:val="24"/>
              </w:rPr>
              <w:t>piegādēm</w:t>
            </w:r>
            <w:r w:rsidRPr="00A7675C">
              <w:rPr>
                <w:rFonts w:ascii="Times New Roman" w:eastAsia="Times New Roman" w:hAnsi="Times New Roman" w:cs="Times New Roman"/>
                <w:sz w:val="24"/>
                <w:szCs w:val="24"/>
              </w:rPr>
              <w:t>.</w:t>
            </w:r>
          </w:p>
          <w:p w14:paraId="157028BE" w14:textId="4E790BD7" w:rsidR="0068707F" w:rsidRPr="00560BAA" w:rsidRDefault="001D55F6" w:rsidP="0068707F">
            <w:pPr>
              <w:spacing w:after="0" w:line="240" w:lineRule="auto"/>
              <w:ind w:left="100"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color w:val="000000"/>
                <w:sz w:val="24"/>
                <w:szCs w:val="24"/>
              </w:rPr>
              <w:t xml:space="preserve">PVN </w:t>
            </w:r>
            <w:r w:rsidR="00560BAA">
              <w:rPr>
                <w:rFonts w:ascii="Times New Roman" w:eastAsia="Times New Roman" w:hAnsi="Times New Roman" w:cs="Times New Roman"/>
                <w:color w:val="000000"/>
                <w:sz w:val="24"/>
                <w:szCs w:val="24"/>
              </w:rPr>
              <w:t>a</w:t>
            </w:r>
            <w:r w:rsidR="00560BAA" w:rsidRPr="00A7675C">
              <w:rPr>
                <w:rFonts w:ascii="Times New Roman" w:eastAsia="Times New Roman" w:hAnsi="Times New Roman" w:cs="Times New Roman"/>
                <w:color w:val="000000"/>
                <w:sz w:val="24"/>
                <w:szCs w:val="24"/>
              </w:rPr>
              <w:t>pgriezt</w:t>
            </w:r>
            <w:r w:rsidR="00560BAA">
              <w:rPr>
                <w:rFonts w:ascii="Times New Roman" w:eastAsia="Times New Roman" w:hAnsi="Times New Roman" w:cs="Times New Roman"/>
                <w:color w:val="000000"/>
                <w:sz w:val="24"/>
                <w:szCs w:val="24"/>
              </w:rPr>
              <w:t>ā</w:t>
            </w:r>
            <w:r w:rsidR="00560BAA" w:rsidRPr="00A7675C">
              <w:rPr>
                <w:rFonts w:ascii="Times New Roman" w:eastAsia="Times New Roman" w:hAnsi="Times New Roman" w:cs="Times New Roman"/>
                <w:color w:val="000000"/>
                <w:sz w:val="24"/>
                <w:szCs w:val="24"/>
              </w:rPr>
              <w:t xml:space="preserve"> </w:t>
            </w:r>
            <w:r w:rsidRPr="00A7675C">
              <w:rPr>
                <w:rFonts w:ascii="Times New Roman" w:eastAsia="Times New Roman" w:hAnsi="Times New Roman" w:cs="Times New Roman"/>
                <w:color w:val="000000"/>
                <w:sz w:val="24"/>
                <w:szCs w:val="24"/>
              </w:rPr>
              <w:t>maksāšanas kārtīb</w:t>
            </w:r>
            <w:r>
              <w:rPr>
                <w:rFonts w:ascii="Times New Roman" w:eastAsia="Times New Roman" w:hAnsi="Times New Roman" w:cs="Times New Roman"/>
                <w:color w:val="000000"/>
                <w:sz w:val="24"/>
                <w:szCs w:val="24"/>
              </w:rPr>
              <w:t>a</w:t>
            </w:r>
            <w:r w:rsidRPr="00A7675C">
              <w:rPr>
                <w:rFonts w:ascii="Times New Roman" w:eastAsia="Times New Roman" w:hAnsi="Times New Roman" w:cs="Times New Roman"/>
                <w:color w:val="000000"/>
                <w:sz w:val="24"/>
                <w:szCs w:val="24"/>
              </w:rPr>
              <w:t xml:space="preserve"> </w:t>
            </w:r>
            <w:r w:rsidR="0068707F" w:rsidRPr="00A7675C">
              <w:rPr>
                <w:rFonts w:ascii="Times New Roman" w:eastAsia="Times New Roman" w:hAnsi="Times New Roman" w:cs="Times New Roman"/>
                <w:color w:val="000000"/>
                <w:sz w:val="24"/>
                <w:szCs w:val="24"/>
              </w:rPr>
              <w:t xml:space="preserve">ir terminēts pasākums cīņā pret </w:t>
            </w:r>
            <w:proofErr w:type="spellStart"/>
            <w:r w:rsidR="0068707F" w:rsidRPr="00A7675C">
              <w:rPr>
                <w:rFonts w:ascii="Times New Roman" w:eastAsia="Times New Roman" w:hAnsi="Times New Roman" w:cs="Times New Roman"/>
                <w:color w:val="000000"/>
                <w:sz w:val="24"/>
                <w:szCs w:val="24"/>
              </w:rPr>
              <w:t>krāpniecības</w:t>
            </w:r>
            <w:proofErr w:type="spellEnd"/>
            <w:r w:rsidR="0068707F" w:rsidRPr="00A7675C">
              <w:rPr>
                <w:rFonts w:ascii="Times New Roman" w:eastAsia="Times New Roman" w:hAnsi="Times New Roman" w:cs="Times New Roman"/>
                <w:color w:val="000000"/>
                <w:sz w:val="24"/>
                <w:szCs w:val="24"/>
              </w:rPr>
              <w:t xml:space="preserve"> apkarošanu nozarē un viens no pasākumiem </w:t>
            </w:r>
            <w:r w:rsidR="002417B5" w:rsidRPr="00A7675C">
              <w:rPr>
                <w:rFonts w:ascii="Times New Roman" w:eastAsia="Times New Roman" w:hAnsi="Times New Roman" w:cs="Times New Roman"/>
                <w:color w:val="000000"/>
                <w:sz w:val="24"/>
                <w:szCs w:val="24"/>
              </w:rPr>
              <w:t>godīga</w:t>
            </w:r>
            <w:r w:rsidR="0068707F" w:rsidRPr="00A7675C">
              <w:rPr>
                <w:rFonts w:ascii="Times New Roman" w:eastAsia="Times New Roman" w:hAnsi="Times New Roman" w:cs="Times New Roman"/>
                <w:color w:val="000000"/>
                <w:sz w:val="24"/>
                <w:szCs w:val="24"/>
              </w:rPr>
              <w:t xml:space="preserve"> biznesa aizsargāšanai no krāpniekiem un negodīgas konkurences samazināšanai nozarē. </w:t>
            </w:r>
            <w:r w:rsidR="00EA67EC" w:rsidRPr="00A7675C">
              <w:rPr>
                <w:rFonts w:ascii="Times New Roman" w:eastAsia="Times New Roman" w:hAnsi="Times New Roman" w:cs="Times New Roman"/>
                <w:color w:val="000000"/>
                <w:sz w:val="24"/>
                <w:szCs w:val="24"/>
              </w:rPr>
              <w:t>Tomēr l</w:t>
            </w:r>
            <w:r w:rsidR="0068707F" w:rsidRPr="00A7675C">
              <w:rPr>
                <w:rFonts w:ascii="Times New Roman" w:eastAsia="Times New Roman" w:hAnsi="Times New Roman" w:cs="Times New Roman"/>
                <w:color w:val="000000"/>
                <w:sz w:val="24"/>
                <w:szCs w:val="24"/>
              </w:rPr>
              <w:t xml:space="preserve">abāku un efektīvāku rezultātu sasniegšanai </w:t>
            </w:r>
            <w:proofErr w:type="spellStart"/>
            <w:r w:rsidR="0068707F" w:rsidRPr="00A7675C">
              <w:rPr>
                <w:rFonts w:ascii="Times New Roman" w:eastAsia="Times New Roman" w:hAnsi="Times New Roman" w:cs="Times New Roman"/>
                <w:color w:val="000000"/>
                <w:sz w:val="24"/>
                <w:szCs w:val="24"/>
              </w:rPr>
              <w:t>krāpniecības</w:t>
            </w:r>
            <w:proofErr w:type="spellEnd"/>
            <w:r w:rsidR="0068707F" w:rsidRPr="00A7675C">
              <w:rPr>
                <w:rFonts w:ascii="Times New Roman" w:eastAsia="Times New Roman" w:hAnsi="Times New Roman" w:cs="Times New Roman"/>
                <w:color w:val="000000"/>
                <w:sz w:val="24"/>
                <w:szCs w:val="24"/>
              </w:rPr>
              <w:t xml:space="preserve"> iezīmju apkarošanā nozarē ir nepieciešams ieviest administratīvu un kontroles pasākumu kopumu. </w:t>
            </w:r>
            <w:r w:rsidR="00AB52B1" w:rsidRPr="00A7675C">
              <w:rPr>
                <w:rFonts w:ascii="Times New Roman" w:eastAsia="Times New Roman" w:hAnsi="Times New Roman" w:cs="Times New Roman"/>
                <w:sz w:val="24"/>
                <w:szCs w:val="24"/>
              </w:rPr>
              <w:t xml:space="preserve">Pamatojoties uz </w:t>
            </w:r>
            <w:r w:rsidR="00982034" w:rsidRPr="00982034">
              <w:rPr>
                <w:rFonts w:ascii="Times New Roman" w:eastAsia="Times New Roman" w:hAnsi="Times New Roman" w:cs="Times New Roman"/>
                <w:sz w:val="24"/>
                <w:szCs w:val="24"/>
              </w:rPr>
              <w:t xml:space="preserve">Padomes 2006.gada 28.novembra direktīvas 2006/112/EK par kopējo pievienotās vērtības nodokļa sistēmu </w:t>
            </w:r>
            <w:r w:rsidR="00982034">
              <w:rPr>
                <w:rFonts w:ascii="Times New Roman" w:eastAsia="Times New Roman" w:hAnsi="Times New Roman" w:cs="Times New Roman"/>
                <w:sz w:val="24"/>
                <w:szCs w:val="24"/>
              </w:rPr>
              <w:t>(turpmāk - PVN direktīva)</w:t>
            </w:r>
            <w:r w:rsidR="00AB52B1" w:rsidRPr="00A7675C">
              <w:rPr>
                <w:rFonts w:ascii="Times New Roman" w:eastAsia="Times New Roman" w:hAnsi="Times New Roman" w:cs="Times New Roman"/>
                <w:sz w:val="24"/>
                <w:szCs w:val="24"/>
              </w:rPr>
              <w:t xml:space="preserve"> 199.a</w:t>
            </w:r>
            <w:r w:rsidR="00717343" w:rsidRPr="00A7675C">
              <w:rPr>
                <w:rFonts w:ascii="Times New Roman" w:eastAsia="Times New Roman" w:hAnsi="Times New Roman" w:cs="Times New Roman"/>
                <w:sz w:val="24"/>
                <w:szCs w:val="24"/>
              </w:rPr>
              <w:t> </w:t>
            </w:r>
            <w:r w:rsidR="00AB52B1" w:rsidRPr="00A7675C">
              <w:rPr>
                <w:rFonts w:ascii="Times New Roman" w:eastAsia="Times New Roman" w:hAnsi="Times New Roman" w:cs="Times New Roman"/>
                <w:sz w:val="24"/>
                <w:szCs w:val="24"/>
              </w:rPr>
              <w:t xml:space="preserve">panta 1.punktu, </w:t>
            </w:r>
            <w:r w:rsidRPr="00A7675C">
              <w:rPr>
                <w:rFonts w:ascii="Times New Roman" w:eastAsia="Times New Roman" w:hAnsi="Times New Roman" w:cs="Times New Roman"/>
                <w:color w:val="000000"/>
                <w:sz w:val="24"/>
                <w:szCs w:val="24"/>
              </w:rPr>
              <w:t xml:space="preserve">PVN </w:t>
            </w:r>
            <w:r w:rsidR="00560BAA" w:rsidRPr="00A7675C">
              <w:rPr>
                <w:rFonts w:ascii="Times New Roman" w:eastAsia="Times New Roman" w:hAnsi="Times New Roman" w:cs="Times New Roman"/>
                <w:color w:val="000000"/>
                <w:sz w:val="24"/>
                <w:szCs w:val="24"/>
              </w:rPr>
              <w:t xml:space="preserve">apgriezto </w:t>
            </w:r>
            <w:r w:rsidRPr="00A7675C">
              <w:rPr>
                <w:rFonts w:ascii="Times New Roman" w:eastAsia="Times New Roman" w:hAnsi="Times New Roman" w:cs="Times New Roman"/>
                <w:color w:val="000000"/>
                <w:sz w:val="24"/>
                <w:szCs w:val="24"/>
              </w:rPr>
              <w:t>maksāšanas kārtību</w:t>
            </w:r>
            <w:r w:rsidRPr="00A7675C">
              <w:rPr>
                <w:rFonts w:ascii="Times New Roman" w:eastAsia="Times New Roman" w:hAnsi="Times New Roman" w:cs="Times New Roman"/>
                <w:sz w:val="24"/>
                <w:szCs w:val="24"/>
              </w:rPr>
              <w:t xml:space="preserve"> </w:t>
            </w:r>
            <w:r w:rsidR="004A4B6A" w:rsidRPr="00A7675C">
              <w:rPr>
                <w:rFonts w:ascii="Times New Roman" w:eastAsia="Times New Roman" w:hAnsi="Times New Roman" w:cs="Times New Roman"/>
                <w:sz w:val="24"/>
                <w:szCs w:val="24"/>
              </w:rPr>
              <w:t>var ieviest</w:t>
            </w:r>
            <w:r w:rsidR="00C64F29" w:rsidRPr="00A7675C">
              <w:rPr>
                <w:rFonts w:ascii="Times New Roman" w:eastAsia="Times New Roman" w:hAnsi="Times New Roman" w:cs="Times New Roman"/>
                <w:sz w:val="24"/>
                <w:szCs w:val="24"/>
              </w:rPr>
              <w:t xml:space="preserve"> uz ierobežotu</w:t>
            </w:r>
            <w:r w:rsidR="00EB73C2">
              <w:rPr>
                <w:rFonts w:ascii="Times New Roman" w:eastAsia="Times New Roman" w:hAnsi="Times New Roman" w:cs="Times New Roman"/>
                <w:sz w:val="24"/>
                <w:szCs w:val="24"/>
              </w:rPr>
              <w:t xml:space="preserve"> laika periodu</w:t>
            </w:r>
            <w:r w:rsidR="00EB73C2" w:rsidRPr="00560BAA">
              <w:rPr>
                <w:rFonts w:ascii="Times New Roman" w:eastAsia="Times New Roman" w:hAnsi="Times New Roman" w:cs="Times New Roman"/>
                <w:sz w:val="24"/>
                <w:szCs w:val="24"/>
              </w:rPr>
              <w:t xml:space="preserve"> </w:t>
            </w:r>
            <w:r w:rsidR="00B44203" w:rsidRPr="00560BAA">
              <w:rPr>
                <w:rFonts w:ascii="Times New Roman" w:eastAsia="Times New Roman" w:hAnsi="Times New Roman" w:cs="Times New Roman"/>
                <w:sz w:val="24"/>
                <w:szCs w:val="24"/>
              </w:rPr>
              <w:t xml:space="preserve">neapstrādātu </w:t>
            </w:r>
            <w:r w:rsidR="00676100" w:rsidRPr="00560BAA">
              <w:rPr>
                <w:rFonts w:ascii="Times New Roman" w:eastAsia="Times New Roman" w:hAnsi="Times New Roman" w:cs="Times New Roman"/>
                <w:color w:val="000000"/>
                <w:sz w:val="24"/>
                <w:szCs w:val="24"/>
              </w:rPr>
              <w:t>dārgmetālu</w:t>
            </w:r>
            <w:r w:rsidR="00676100">
              <w:rPr>
                <w:rFonts w:ascii="Times New Roman" w:eastAsia="Times New Roman" w:hAnsi="Times New Roman" w:cs="Times New Roman"/>
                <w:color w:val="000000"/>
                <w:sz w:val="24"/>
                <w:szCs w:val="24"/>
              </w:rPr>
              <w:t xml:space="preserve"> un to pusfabrikātu</w:t>
            </w:r>
            <w:r w:rsidR="00676100" w:rsidRPr="00560BAA">
              <w:rPr>
                <w:rFonts w:ascii="Times New Roman" w:eastAsia="Times New Roman" w:hAnsi="Times New Roman" w:cs="Times New Roman"/>
                <w:color w:val="000000"/>
                <w:sz w:val="24"/>
                <w:szCs w:val="24"/>
              </w:rPr>
              <w:t>, dārgmetālu sakausējumu</w:t>
            </w:r>
            <w:r w:rsidR="00676100">
              <w:rPr>
                <w:rFonts w:ascii="Times New Roman" w:eastAsia="Times New Roman" w:hAnsi="Times New Roman" w:cs="Times New Roman"/>
                <w:color w:val="000000"/>
                <w:sz w:val="24"/>
                <w:szCs w:val="24"/>
              </w:rPr>
              <w:t xml:space="preserve"> un to pusfabrikātu,</w:t>
            </w:r>
            <w:r w:rsidR="00676100" w:rsidRPr="00560BAA">
              <w:rPr>
                <w:rFonts w:ascii="Times New Roman" w:eastAsia="Times New Roman" w:hAnsi="Times New Roman" w:cs="Times New Roman"/>
                <w:sz w:val="24"/>
                <w:szCs w:val="24"/>
              </w:rPr>
              <w:t xml:space="preserve"> </w:t>
            </w:r>
            <w:r w:rsidR="00B44203" w:rsidRPr="00560BAA">
              <w:rPr>
                <w:rFonts w:ascii="Times New Roman" w:eastAsia="Times New Roman" w:hAnsi="Times New Roman" w:cs="Times New Roman"/>
                <w:sz w:val="24"/>
                <w:szCs w:val="24"/>
              </w:rPr>
              <w:t xml:space="preserve">dārgmetālu </w:t>
            </w:r>
            <w:proofErr w:type="spellStart"/>
            <w:r w:rsidR="00B44203" w:rsidRPr="00560BAA">
              <w:rPr>
                <w:rFonts w:ascii="Times New Roman" w:eastAsia="Times New Roman" w:hAnsi="Times New Roman" w:cs="Times New Roman"/>
                <w:sz w:val="24"/>
                <w:szCs w:val="24"/>
              </w:rPr>
              <w:t>plaķētu</w:t>
            </w:r>
            <w:proofErr w:type="spellEnd"/>
            <w:r w:rsidR="00B44203" w:rsidRPr="00560BAA">
              <w:rPr>
                <w:rFonts w:ascii="Times New Roman" w:eastAsia="Times New Roman" w:hAnsi="Times New Roman" w:cs="Times New Roman"/>
                <w:sz w:val="24"/>
                <w:szCs w:val="24"/>
              </w:rPr>
              <w:t xml:space="preserve"> metālu, dārgmetālu lūžņu un atlūzu</w:t>
            </w:r>
            <w:r w:rsidR="005038C2">
              <w:rPr>
                <w:rFonts w:ascii="Times New Roman" w:eastAsia="Times New Roman" w:hAnsi="Times New Roman" w:cs="Times New Roman"/>
                <w:sz w:val="24"/>
                <w:szCs w:val="24"/>
              </w:rPr>
              <w:t xml:space="preserve"> </w:t>
            </w:r>
            <w:r w:rsidR="002E768A" w:rsidRPr="00560BAA">
              <w:rPr>
                <w:rFonts w:ascii="Times New Roman" w:eastAsia="Times New Roman" w:hAnsi="Times New Roman" w:cs="Times New Roman"/>
                <w:sz w:val="24"/>
                <w:szCs w:val="24"/>
              </w:rPr>
              <w:t>piegādēm.</w:t>
            </w:r>
          </w:p>
          <w:p w14:paraId="2A9D2698" w14:textId="49E76E7C" w:rsidR="00013581" w:rsidRDefault="00013581" w:rsidP="0068707F">
            <w:pPr>
              <w:spacing w:after="0" w:line="240" w:lineRule="auto"/>
              <w:ind w:left="100" w:right="1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Likumprojektā minētais apzīmējums:</w:t>
            </w:r>
          </w:p>
          <w:p w14:paraId="07A1349B" w14:textId="77777777" w:rsidR="00013581" w:rsidRDefault="00013581" w:rsidP="00013581">
            <w:pPr>
              <w:pStyle w:val="ListParagraph"/>
              <w:numPr>
                <w:ilvl w:val="0"/>
                <w:numId w:val="17"/>
              </w:numPr>
              <w:spacing w:after="0" w:line="240" w:lineRule="auto"/>
              <w:ind w:right="161"/>
              <w:jc w:val="both"/>
              <w:rPr>
                <w:rFonts w:ascii="Times New Roman" w:eastAsia="Times New Roman" w:hAnsi="Times New Roman" w:cs="Times New Roman"/>
                <w:color w:val="000000"/>
                <w:sz w:val="24"/>
                <w:szCs w:val="24"/>
              </w:rPr>
            </w:pPr>
            <w:r w:rsidRPr="00013581">
              <w:rPr>
                <w:rFonts w:ascii="Times New Roman" w:eastAsia="Times New Roman" w:hAnsi="Times New Roman" w:cs="Times New Roman"/>
                <w:color w:val="000000"/>
                <w:sz w:val="24"/>
                <w:szCs w:val="24"/>
              </w:rPr>
              <w:t>“dārgmetāls” attiecas uz sudrabu, zeltu un plat</w:t>
            </w:r>
            <w:r>
              <w:rPr>
                <w:rFonts w:ascii="Times New Roman" w:eastAsia="Times New Roman" w:hAnsi="Times New Roman" w:cs="Times New Roman"/>
                <w:color w:val="000000"/>
                <w:sz w:val="24"/>
                <w:szCs w:val="24"/>
              </w:rPr>
              <w:t>īnu;</w:t>
            </w:r>
          </w:p>
          <w:p w14:paraId="6AE2E945" w14:textId="660E4856" w:rsidR="00013581" w:rsidRDefault="00013581" w:rsidP="00013581">
            <w:pPr>
              <w:pStyle w:val="ListParagraph"/>
              <w:numPr>
                <w:ilvl w:val="0"/>
                <w:numId w:val="17"/>
              </w:numPr>
              <w:spacing w:after="0" w:line="240" w:lineRule="auto"/>
              <w:ind w:right="161"/>
              <w:jc w:val="both"/>
              <w:rPr>
                <w:rFonts w:ascii="Times New Roman" w:eastAsia="Times New Roman" w:hAnsi="Times New Roman" w:cs="Times New Roman"/>
                <w:color w:val="000000"/>
                <w:sz w:val="24"/>
                <w:szCs w:val="24"/>
              </w:rPr>
            </w:pPr>
            <w:r w:rsidRPr="00013581">
              <w:rPr>
                <w:rFonts w:ascii="Times New Roman" w:eastAsia="Times New Roman" w:hAnsi="Times New Roman" w:cs="Times New Roman"/>
                <w:color w:val="000000"/>
                <w:sz w:val="24"/>
                <w:szCs w:val="24"/>
              </w:rPr>
              <w:t>“platīns” attiecas uz platīnu, irīdiju, osmiju, pa</w:t>
            </w:r>
            <w:r w:rsidR="002D4D57">
              <w:rPr>
                <w:rFonts w:ascii="Times New Roman" w:eastAsia="Times New Roman" w:hAnsi="Times New Roman" w:cs="Times New Roman"/>
                <w:color w:val="000000"/>
                <w:sz w:val="24"/>
                <w:szCs w:val="24"/>
              </w:rPr>
              <w:t>l</w:t>
            </w:r>
            <w:r w:rsidRPr="00013581">
              <w:rPr>
                <w:rFonts w:ascii="Times New Roman" w:eastAsia="Times New Roman" w:hAnsi="Times New Roman" w:cs="Times New Roman"/>
                <w:color w:val="000000"/>
                <w:sz w:val="24"/>
                <w:szCs w:val="24"/>
              </w:rPr>
              <w:t xml:space="preserve">lādiju, </w:t>
            </w:r>
            <w:proofErr w:type="spellStart"/>
            <w:r w:rsidRPr="00013581">
              <w:rPr>
                <w:rFonts w:ascii="Times New Roman" w:eastAsia="Times New Roman" w:hAnsi="Times New Roman" w:cs="Times New Roman"/>
                <w:color w:val="000000"/>
                <w:sz w:val="24"/>
                <w:szCs w:val="24"/>
              </w:rPr>
              <w:t>rodiju</w:t>
            </w:r>
            <w:proofErr w:type="spellEnd"/>
            <w:r w:rsidRPr="00013581">
              <w:rPr>
                <w:rFonts w:ascii="Times New Roman" w:eastAsia="Times New Roman" w:hAnsi="Times New Roman" w:cs="Times New Roman"/>
                <w:color w:val="000000"/>
                <w:sz w:val="24"/>
                <w:szCs w:val="24"/>
              </w:rPr>
              <w:t xml:space="preserve"> un </w:t>
            </w:r>
            <w:proofErr w:type="spellStart"/>
            <w:r w:rsidRPr="00013581">
              <w:rPr>
                <w:rFonts w:ascii="Times New Roman" w:eastAsia="Times New Roman" w:hAnsi="Times New Roman" w:cs="Times New Roman"/>
                <w:color w:val="000000"/>
                <w:sz w:val="24"/>
                <w:szCs w:val="24"/>
              </w:rPr>
              <w:t>rut</w:t>
            </w:r>
            <w:r>
              <w:rPr>
                <w:rFonts w:ascii="Times New Roman" w:eastAsia="Times New Roman" w:hAnsi="Times New Roman" w:cs="Times New Roman"/>
                <w:color w:val="000000"/>
                <w:sz w:val="24"/>
                <w:szCs w:val="24"/>
              </w:rPr>
              <w:t>ēniju</w:t>
            </w:r>
            <w:proofErr w:type="spellEnd"/>
            <w:r>
              <w:rPr>
                <w:rFonts w:ascii="Times New Roman" w:eastAsia="Times New Roman" w:hAnsi="Times New Roman" w:cs="Times New Roman"/>
                <w:color w:val="000000"/>
                <w:sz w:val="24"/>
                <w:szCs w:val="24"/>
              </w:rPr>
              <w:t>;</w:t>
            </w:r>
          </w:p>
          <w:p w14:paraId="6D6B0EC1" w14:textId="04DB8926" w:rsidR="00B44203" w:rsidRDefault="007B080B" w:rsidP="00013581">
            <w:pPr>
              <w:pStyle w:val="ListParagraph"/>
              <w:numPr>
                <w:ilvl w:val="0"/>
                <w:numId w:val="17"/>
              </w:numPr>
              <w:spacing w:after="0" w:line="240" w:lineRule="auto"/>
              <w:ind w:right="1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13581">
              <w:rPr>
                <w:rFonts w:ascii="Times New Roman" w:eastAsia="Times New Roman" w:hAnsi="Times New Roman" w:cs="Times New Roman"/>
                <w:color w:val="000000"/>
                <w:sz w:val="24"/>
                <w:szCs w:val="24"/>
              </w:rPr>
              <w:t>dārgmetālu sakausējums</w:t>
            </w:r>
            <w:r>
              <w:rPr>
                <w:rFonts w:ascii="Times New Roman" w:eastAsia="Times New Roman" w:hAnsi="Times New Roman" w:cs="Times New Roman"/>
                <w:color w:val="000000"/>
                <w:sz w:val="24"/>
                <w:szCs w:val="24"/>
              </w:rPr>
              <w:t>”</w:t>
            </w:r>
            <w:r w:rsidR="00013581">
              <w:rPr>
                <w:rFonts w:ascii="Times New Roman" w:eastAsia="Times New Roman" w:hAnsi="Times New Roman" w:cs="Times New Roman"/>
                <w:color w:val="000000"/>
                <w:sz w:val="24"/>
                <w:szCs w:val="24"/>
              </w:rPr>
              <w:t xml:space="preserve"> attiecas uz jebkuru sakausējumu (ieskaitot aglomerātu maisījumus un </w:t>
            </w:r>
            <w:proofErr w:type="spellStart"/>
            <w:r w:rsidR="00013581">
              <w:rPr>
                <w:rFonts w:ascii="Times New Roman" w:eastAsia="Times New Roman" w:hAnsi="Times New Roman" w:cs="Times New Roman"/>
                <w:color w:val="000000"/>
                <w:sz w:val="24"/>
                <w:szCs w:val="24"/>
              </w:rPr>
              <w:t>intermetāliskus</w:t>
            </w:r>
            <w:proofErr w:type="spellEnd"/>
            <w:r w:rsidR="00013581">
              <w:rPr>
                <w:rFonts w:ascii="Times New Roman" w:eastAsia="Times New Roman" w:hAnsi="Times New Roman" w:cs="Times New Roman"/>
                <w:color w:val="000000"/>
                <w:sz w:val="24"/>
                <w:szCs w:val="24"/>
              </w:rPr>
              <w:t xml:space="preserve"> maisījumus), kas satur dār</w:t>
            </w:r>
            <w:r>
              <w:rPr>
                <w:rFonts w:ascii="Times New Roman" w:eastAsia="Times New Roman" w:hAnsi="Times New Roman" w:cs="Times New Roman"/>
                <w:color w:val="000000"/>
                <w:sz w:val="24"/>
                <w:szCs w:val="24"/>
              </w:rPr>
              <w:t>g</w:t>
            </w:r>
            <w:r w:rsidR="00013581">
              <w:rPr>
                <w:rFonts w:ascii="Times New Roman" w:eastAsia="Times New Roman" w:hAnsi="Times New Roman" w:cs="Times New Roman"/>
                <w:color w:val="000000"/>
                <w:sz w:val="24"/>
                <w:szCs w:val="24"/>
              </w:rPr>
              <w:t>metālu</w:t>
            </w:r>
            <w:r>
              <w:rPr>
                <w:rFonts w:ascii="Times New Roman" w:eastAsia="Times New Roman" w:hAnsi="Times New Roman" w:cs="Times New Roman"/>
                <w:color w:val="000000"/>
                <w:sz w:val="24"/>
                <w:szCs w:val="24"/>
              </w:rPr>
              <w:t>, ja dārgmetālā ir</w:t>
            </w:r>
            <w:r w:rsidR="005038C2">
              <w:rPr>
                <w:rFonts w:ascii="Times New Roman" w:eastAsia="Times New Roman" w:hAnsi="Times New Roman" w:cs="Times New Roman"/>
                <w:color w:val="000000"/>
                <w:sz w:val="24"/>
                <w:szCs w:val="24"/>
              </w:rPr>
              <w:t xml:space="preserve"> vismaz 2% no sakausējuma masas</w:t>
            </w:r>
            <w:r w:rsidR="00B44203">
              <w:rPr>
                <w:rFonts w:ascii="Times New Roman" w:eastAsia="Times New Roman" w:hAnsi="Times New Roman" w:cs="Times New Roman"/>
                <w:color w:val="000000"/>
                <w:sz w:val="24"/>
                <w:szCs w:val="24"/>
              </w:rPr>
              <w:t>;</w:t>
            </w:r>
          </w:p>
          <w:p w14:paraId="7529373D" w14:textId="0E29F229" w:rsidR="00676100" w:rsidRDefault="00676100" w:rsidP="00013581">
            <w:pPr>
              <w:pStyle w:val="ListParagraph"/>
              <w:numPr>
                <w:ilvl w:val="0"/>
                <w:numId w:val="17"/>
              </w:numPr>
              <w:spacing w:after="0" w:line="240" w:lineRule="auto"/>
              <w:ind w:right="1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“dārgmetālu vai dārgmetālu sakausējumu pusfabrikāts” attiecas uz stieņiem, stieplēm un profiliem, loksnēm un sloksnēm, granulām u.c.</w:t>
            </w:r>
          </w:p>
          <w:p w14:paraId="3422229A" w14:textId="1289B4CB" w:rsidR="00013581" w:rsidRDefault="00B44203" w:rsidP="00013581">
            <w:pPr>
              <w:pStyle w:val="ListParagraph"/>
              <w:numPr>
                <w:ilvl w:val="0"/>
                <w:numId w:val="17"/>
              </w:numPr>
              <w:spacing w:after="0" w:line="240" w:lineRule="auto"/>
              <w:ind w:right="1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dārgmetālu </w:t>
            </w:r>
            <w:proofErr w:type="spellStart"/>
            <w:r>
              <w:rPr>
                <w:rFonts w:ascii="Times New Roman" w:eastAsia="Times New Roman" w:hAnsi="Times New Roman" w:cs="Times New Roman"/>
                <w:color w:val="000000"/>
                <w:sz w:val="24"/>
                <w:szCs w:val="24"/>
              </w:rPr>
              <w:t>plaķēts</w:t>
            </w:r>
            <w:proofErr w:type="spellEnd"/>
            <w:r>
              <w:rPr>
                <w:rFonts w:ascii="Times New Roman" w:eastAsia="Times New Roman" w:hAnsi="Times New Roman" w:cs="Times New Roman"/>
                <w:color w:val="000000"/>
                <w:sz w:val="24"/>
                <w:szCs w:val="24"/>
              </w:rPr>
              <w:t xml:space="preserve"> metāls” attiecas uz parastā metāla materiālu, kura viena vai vairākas virsmas ir pārklātas ar dārgmetāla kārtu, lodējot ar </w:t>
            </w:r>
            <w:proofErr w:type="spellStart"/>
            <w:r>
              <w:rPr>
                <w:rFonts w:ascii="Times New Roman" w:eastAsia="Times New Roman" w:hAnsi="Times New Roman" w:cs="Times New Roman"/>
                <w:color w:val="000000"/>
                <w:sz w:val="24"/>
                <w:szCs w:val="24"/>
              </w:rPr>
              <w:t>mīkstlodi</w:t>
            </w:r>
            <w:proofErr w:type="spellEnd"/>
            <w:r>
              <w:rPr>
                <w:rFonts w:ascii="Times New Roman" w:eastAsia="Times New Roman" w:hAnsi="Times New Roman" w:cs="Times New Roman"/>
                <w:color w:val="000000"/>
                <w:sz w:val="24"/>
                <w:szCs w:val="24"/>
              </w:rPr>
              <w:t xml:space="preserve"> vai </w:t>
            </w:r>
            <w:proofErr w:type="spellStart"/>
            <w:r>
              <w:rPr>
                <w:rFonts w:ascii="Times New Roman" w:eastAsia="Times New Roman" w:hAnsi="Times New Roman" w:cs="Times New Roman"/>
                <w:color w:val="000000"/>
                <w:sz w:val="24"/>
                <w:szCs w:val="24"/>
              </w:rPr>
              <w:t>cietlodi</w:t>
            </w:r>
            <w:proofErr w:type="spellEnd"/>
            <w:r>
              <w:rPr>
                <w:rFonts w:ascii="Times New Roman" w:eastAsia="Times New Roman" w:hAnsi="Times New Roman" w:cs="Times New Roman"/>
                <w:color w:val="000000"/>
                <w:sz w:val="24"/>
                <w:szCs w:val="24"/>
              </w:rPr>
              <w:t>, metinot, karsti velmējot vai izmantojot līdzīgu mehānisku paņēmienu. Formulējums attiecas arī uz parasto metālu, kas inkrustēts ar dārgmetālu</w:t>
            </w:r>
            <w:r w:rsidR="00D30597">
              <w:rPr>
                <w:rFonts w:ascii="Times New Roman" w:eastAsia="Times New Roman" w:hAnsi="Times New Roman" w:cs="Times New Roman"/>
                <w:color w:val="000000"/>
                <w:sz w:val="24"/>
                <w:szCs w:val="24"/>
              </w:rPr>
              <w:t>.</w:t>
            </w:r>
          </w:p>
          <w:p w14:paraId="5155EC81" w14:textId="7DC7EC05" w:rsidR="00556C1B" w:rsidRPr="00A7675C" w:rsidRDefault="001D55F6" w:rsidP="0068707F">
            <w:pPr>
              <w:pStyle w:val="NoSpacing"/>
              <w:ind w:left="100" w:right="161"/>
              <w:jc w:val="both"/>
              <w:rPr>
                <w:rFonts w:ascii="Times New Roman" w:eastAsia="Times New Roman" w:hAnsi="Times New Roman" w:cs="Times New Roman"/>
                <w:sz w:val="24"/>
                <w:szCs w:val="24"/>
              </w:rPr>
            </w:pPr>
            <w:r w:rsidRPr="00A7675C">
              <w:rPr>
                <w:rFonts w:ascii="Times New Roman" w:eastAsia="Times New Roman" w:hAnsi="Times New Roman" w:cs="Times New Roman"/>
                <w:color w:val="000000"/>
                <w:sz w:val="24"/>
                <w:szCs w:val="24"/>
              </w:rPr>
              <w:t xml:space="preserve">PVN </w:t>
            </w:r>
            <w:r w:rsidR="00560BAA">
              <w:rPr>
                <w:rFonts w:ascii="Times New Roman" w:eastAsia="Times New Roman" w:hAnsi="Times New Roman" w:cs="Times New Roman"/>
                <w:color w:val="000000"/>
                <w:sz w:val="24"/>
                <w:szCs w:val="24"/>
              </w:rPr>
              <w:t>a</w:t>
            </w:r>
            <w:r w:rsidR="00560BAA" w:rsidRPr="00A7675C">
              <w:rPr>
                <w:rFonts w:ascii="Times New Roman" w:eastAsia="Times New Roman" w:hAnsi="Times New Roman" w:cs="Times New Roman"/>
                <w:color w:val="000000"/>
                <w:sz w:val="24"/>
                <w:szCs w:val="24"/>
              </w:rPr>
              <w:t>pgriezt</w:t>
            </w:r>
            <w:r w:rsidR="00560BAA">
              <w:rPr>
                <w:rFonts w:ascii="Times New Roman" w:eastAsia="Times New Roman" w:hAnsi="Times New Roman" w:cs="Times New Roman"/>
                <w:color w:val="000000"/>
                <w:sz w:val="24"/>
                <w:szCs w:val="24"/>
              </w:rPr>
              <w:t>ā</w:t>
            </w:r>
            <w:r w:rsidR="00560BAA" w:rsidRPr="00A7675C">
              <w:rPr>
                <w:rFonts w:ascii="Times New Roman" w:eastAsia="Times New Roman" w:hAnsi="Times New Roman" w:cs="Times New Roman"/>
                <w:color w:val="000000"/>
                <w:sz w:val="24"/>
                <w:szCs w:val="24"/>
              </w:rPr>
              <w:t xml:space="preserve"> </w:t>
            </w:r>
            <w:r w:rsidRPr="00A7675C">
              <w:rPr>
                <w:rFonts w:ascii="Times New Roman" w:eastAsia="Times New Roman" w:hAnsi="Times New Roman" w:cs="Times New Roman"/>
                <w:color w:val="000000"/>
                <w:sz w:val="24"/>
                <w:szCs w:val="24"/>
              </w:rPr>
              <w:t>maksāšanas kārtīb</w:t>
            </w:r>
            <w:r>
              <w:rPr>
                <w:rFonts w:ascii="Times New Roman" w:eastAsia="Times New Roman" w:hAnsi="Times New Roman" w:cs="Times New Roman"/>
                <w:color w:val="000000"/>
                <w:sz w:val="24"/>
                <w:szCs w:val="24"/>
              </w:rPr>
              <w:t>a,</w:t>
            </w:r>
            <w:r w:rsidR="004323E6" w:rsidRPr="00A7675C">
              <w:rPr>
                <w:rFonts w:ascii="Times New Roman" w:eastAsia="Times New Roman" w:hAnsi="Times New Roman" w:cs="Times New Roman"/>
                <w:sz w:val="24"/>
                <w:szCs w:val="24"/>
              </w:rPr>
              <w:t xml:space="preserve"> ņemot vērā Padomes </w:t>
            </w:r>
            <w:r w:rsidR="003F5DA0" w:rsidRPr="00A7675C">
              <w:rPr>
                <w:rFonts w:ascii="Times New Roman" w:eastAsia="Times New Roman" w:hAnsi="Times New Roman" w:cs="Times New Roman"/>
                <w:sz w:val="24"/>
                <w:szCs w:val="24"/>
              </w:rPr>
              <w:t>1987.gada 23.jūlija r</w:t>
            </w:r>
            <w:r w:rsidR="004323E6" w:rsidRPr="00A7675C">
              <w:rPr>
                <w:rFonts w:ascii="Times New Roman" w:eastAsia="Times New Roman" w:hAnsi="Times New Roman" w:cs="Times New Roman"/>
                <w:sz w:val="24"/>
                <w:szCs w:val="24"/>
              </w:rPr>
              <w:t xml:space="preserve">egulas (EEK) Nr.2658/87 </w:t>
            </w:r>
            <w:r w:rsidR="003F5DA0" w:rsidRPr="00A7675C">
              <w:rPr>
                <w:rFonts w:ascii="Times New Roman" w:eastAsia="Times New Roman" w:hAnsi="Times New Roman" w:cs="Times New Roman"/>
                <w:sz w:val="24"/>
                <w:szCs w:val="24"/>
              </w:rPr>
              <w:t xml:space="preserve">par tarifu un statistikas nomenklatūru un kopējo muitas tarifu </w:t>
            </w:r>
            <w:r w:rsidR="004323E6" w:rsidRPr="00A7675C">
              <w:rPr>
                <w:rFonts w:ascii="Times New Roman" w:eastAsia="Times New Roman" w:hAnsi="Times New Roman" w:cs="Times New Roman"/>
                <w:sz w:val="24"/>
                <w:szCs w:val="24"/>
              </w:rPr>
              <w:t>I pielikuma kombinētās nomenklatūras kodus,</w:t>
            </w:r>
            <w:r>
              <w:rPr>
                <w:rFonts w:ascii="Times New Roman" w:eastAsia="Times New Roman" w:hAnsi="Times New Roman" w:cs="Times New Roman"/>
                <w:sz w:val="24"/>
                <w:szCs w:val="24"/>
              </w:rPr>
              <w:t xml:space="preserve"> ir piemērojama</w:t>
            </w:r>
            <w:r w:rsidR="0068707F" w:rsidRPr="00A7675C">
              <w:rPr>
                <w:rFonts w:ascii="Times New Roman" w:eastAsia="Times New Roman" w:hAnsi="Times New Roman" w:cs="Times New Roman"/>
                <w:sz w:val="24"/>
                <w:szCs w:val="24"/>
              </w:rPr>
              <w:t xml:space="preserve"> šādu</w:t>
            </w:r>
            <w:r w:rsidR="00D30597" w:rsidRPr="00560BAA">
              <w:rPr>
                <w:rFonts w:ascii="Times New Roman" w:eastAsia="Times New Roman" w:hAnsi="Times New Roman" w:cs="Times New Roman"/>
                <w:sz w:val="24"/>
                <w:szCs w:val="24"/>
              </w:rPr>
              <w:t xml:space="preserve"> </w:t>
            </w:r>
            <w:r w:rsidR="00B44203" w:rsidRPr="00560BAA">
              <w:rPr>
                <w:rFonts w:ascii="Times New Roman" w:eastAsia="Times New Roman" w:hAnsi="Times New Roman" w:cs="Times New Roman"/>
                <w:sz w:val="24"/>
                <w:szCs w:val="24"/>
              </w:rPr>
              <w:t xml:space="preserve">neapstrādātu </w:t>
            </w:r>
            <w:r w:rsidR="00676100" w:rsidRPr="00560BAA">
              <w:rPr>
                <w:rFonts w:ascii="Times New Roman" w:eastAsia="Times New Roman" w:hAnsi="Times New Roman" w:cs="Times New Roman"/>
                <w:color w:val="000000"/>
                <w:sz w:val="24"/>
                <w:szCs w:val="24"/>
              </w:rPr>
              <w:t>dārgmetālu</w:t>
            </w:r>
            <w:r w:rsidR="00676100">
              <w:rPr>
                <w:rFonts w:ascii="Times New Roman" w:eastAsia="Times New Roman" w:hAnsi="Times New Roman" w:cs="Times New Roman"/>
                <w:color w:val="000000"/>
                <w:sz w:val="24"/>
                <w:szCs w:val="24"/>
              </w:rPr>
              <w:t xml:space="preserve"> un to pusfabrikātu</w:t>
            </w:r>
            <w:r w:rsidR="00676100" w:rsidRPr="00560BAA">
              <w:rPr>
                <w:rFonts w:ascii="Times New Roman" w:eastAsia="Times New Roman" w:hAnsi="Times New Roman" w:cs="Times New Roman"/>
                <w:color w:val="000000"/>
                <w:sz w:val="24"/>
                <w:szCs w:val="24"/>
              </w:rPr>
              <w:t>, dārgmetālu sakausējumu</w:t>
            </w:r>
            <w:r w:rsidR="00676100">
              <w:rPr>
                <w:rFonts w:ascii="Times New Roman" w:eastAsia="Times New Roman" w:hAnsi="Times New Roman" w:cs="Times New Roman"/>
                <w:color w:val="000000"/>
                <w:sz w:val="24"/>
                <w:szCs w:val="24"/>
              </w:rPr>
              <w:t xml:space="preserve"> un to pusfabrikātu</w:t>
            </w:r>
            <w:r w:rsidR="00B44203" w:rsidRPr="00560BAA">
              <w:rPr>
                <w:rFonts w:ascii="Times New Roman" w:eastAsia="Times New Roman" w:hAnsi="Times New Roman" w:cs="Times New Roman"/>
                <w:sz w:val="24"/>
                <w:szCs w:val="24"/>
              </w:rPr>
              <w:t xml:space="preserve">, dārgmetālu </w:t>
            </w:r>
            <w:proofErr w:type="spellStart"/>
            <w:r w:rsidR="00B44203" w:rsidRPr="00560BAA">
              <w:rPr>
                <w:rFonts w:ascii="Times New Roman" w:eastAsia="Times New Roman" w:hAnsi="Times New Roman" w:cs="Times New Roman"/>
                <w:sz w:val="24"/>
                <w:szCs w:val="24"/>
              </w:rPr>
              <w:t>plaķētu</w:t>
            </w:r>
            <w:proofErr w:type="spellEnd"/>
            <w:r w:rsidR="00B44203" w:rsidRPr="00560BAA">
              <w:rPr>
                <w:rFonts w:ascii="Times New Roman" w:eastAsia="Times New Roman" w:hAnsi="Times New Roman" w:cs="Times New Roman"/>
                <w:sz w:val="24"/>
                <w:szCs w:val="24"/>
              </w:rPr>
              <w:t xml:space="preserve"> metālu, dārgmetālu lūžņu un atlūzu</w:t>
            </w:r>
            <w:r w:rsidR="00B44203">
              <w:rPr>
                <w:rFonts w:ascii="Times New Roman" w:eastAsia="Times New Roman" w:hAnsi="Times New Roman" w:cs="Times New Roman"/>
                <w:sz w:val="24"/>
                <w:szCs w:val="24"/>
              </w:rPr>
              <w:t xml:space="preserve"> </w:t>
            </w:r>
            <w:r w:rsidR="00811466">
              <w:rPr>
                <w:rFonts w:ascii="Times New Roman" w:eastAsia="Times New Roman" w:hAnsi="Times New Roman" w:cs="Times New Roman"/>
                <w:sz w:val="24"/>
                <w:szCs w:val="24"/>
              </w:rPr>
              <w:t>piegādēm</w:t>
            </w:r>
            <w:r w:rsidR="0068707F" w:rsidRPr="00A7675C">
              <w:rPr>
                <w:rFonts w:ascii="Times New Roman" w:eastAsia="Times New Roman" w:hAnsi="Times New Roman" w:cs="Times New Roman"/>
                <w:sz w:val="24"/>
                <w:szCs w:val="24"/>
              </w:rPr>
              <w:t>:</w:t>
            </w:r>
          </w:p>
          <w:p w14:paraId="6DD9DA60" w14:textId="77777777" w:rsidR="0068707F" w:rsidRPr="00A7675C" w:rsidRDefault="0068707F" w:rsidP="0068707F">
            <w:pPr>
              <w:pStyle w:val="NoSpacing"/>
              <w:ind w:left="100" w:right="161"/>
              <w:jc w:val="both"/>
              <w:rPr>
                <w:rFonts w:ascii="Times New Roman" w:hAnsi="Times New Roman" w:cs="Times New Roman"/>
                <w:sz w:val="24"/>
                <w:szCs w:val="24"/>
                <w:lang w:eastAsia="en-US"/>
              </w:rPr>
            </w:pPr>
          </w:p>
          <w:tbl>
            <w:tblPr>
              <w:tblStyle w:val="TableGrid"/>
              <w:tblW w:w="5240" w:type="dxa"/>
              <w:tblLayout w:type="fixed"/>
              <w:tblLook w:val="04A0" w:firstRow="1" w:lastRow="0" w:firstColumn="1" w:lastColumn="0" w:noHBand="0" w:noVBand="1"/>
            </w:tblPr>
            <w:tblGrid>
              <w:gridCol w:w="1413"/>
              <w:gridCol w:w="3827"/>
            </w:tblGrid>
            <w:tr w:rsidR="0068707F" w:rsidRPr="00A7675C" w14:paraId="1EAEAE22" w14:textId="77777777" w:rsidTr="0088290E">
              <w:trPr>
                <w:trHeight w:val="506"/>
              </w:trPr>
              <w:tc>
                <w:tcPr>
                  <w:tcW w:w="1413" w:type="dxa"/>
                </w:tcPr>
                <w:p w14:paraId="344BF57F" w14:textId="1705A5F9" w:rsidR="0068707F" w:rsidRPr="0088290E" w:rsidRDefault="0068707F" w:rsidP="00F73CE1">
                  <w:pPr>
                    <w:framePr w:hSpace="180" w:wrap="around" w:vAnchor="text" w:hAnchor="margin" w:xAlign="center" w:y="149"/>
                    <w:ind w:right="161"/>
                    <w:jc w:val="center"/>
                    <w:rPr>
                      <w:rFonts w:ascii="Times New Roman" w:eastAsia="Times New Roman" w:hAnsi="Times New Roman" w:cs="Times New Roman"/>
                      <w:sz w:val="24"/>
                      <w:szCs w:val="24"/>
                    </w:rPr>
                  </w:pPr>
                  <w:proofErr w:type="spellStart"/>
                  <w:r w:rsidRPr="0088290E">
                    <w:rPr>
                      <w:rFonts w:ascii="Times New Roman" w:eastAsia="Times New Roman" w:hAnsi="Times New Roman" w:cs="Times New Roman"/>
                      <w:sz w:val="24"/>
                      <w:szCs w:val="24"/>
                    </w:rPr>
                    <w:t>Komb</w:t>
                  </w:r>
                  <w:r w:rsidR="0088290E">
                    <w:rPr>
                      <w:rFonts w:ascii="Times New Roman" w:eastAsia="Times New Roman" w:hAnsi="Times New Roman" w:cs="Times New Roman"/>
                      <w:sz w:val="24"/>
                      <w:szCs w:val="24"/>
                    </w:rPr>
                    <w:t>i-n</w:t>
                  </w:r>
                  <w:r w:rsidRPr="0088290E">
                    <w:rPr>
                      <w:rFonts w:ascii="Times New Roman" w:eastAsia="Times New Roman" w:hAnsi="Times New Roman" w:cs="Times New Roman"/>
                      <w:sz w:val="24"/>
                      <w:szCs w:val="24"/>
                    </w:rPr>
                    <w:t>ētās</w:t>
                  </w:r>
                  <w:proofErr w:type="spellEnd"/>
                  <w:r w:rsidRPr="0088290E">
                    <w:rPr>
                      <w:rFonts w:ascii="Times New Roman" w:eastAsia="Times New Roman" w:hAnsi="Times New Roman" w:cs="Times New Roman"/>
                      <w:sz w:val="24"/>
                      <w:szCs w:val="24"/>
                    </w:rPr>
                    <w:t xml:space="preserve"> nomen</w:t>
                  </w:r>
                  <w:r w:rsidR="0088290E">
                    <w:rPr>
                      <w:rFonts w:ascii="Times New Roman" w:eastAsia="Times New Roman" w:hAnsi="Times New Roman" w:cs="Times New Roman"/>
                      <w:sz w:val="24"/>
                      <w:szCs w:val="24"/>
                    </w:rPr>
                    <w:t>-</w:t>
                  </w:r>
                  <w:proofErr w:type="spellStart"/>
                  <w:r w:rsidR="0088290E">
                    <w:rPr>
                      <w:rFonts w:ascii="Times New Roman" w:eastAsia="Times New Roman" w:hAnsi="Times New Roman" w:cs="Times New Roman"/>
                      <w:sz w:val="24"/>
                      <w:szCs w:val="24"/>
                    </w:rPr>
                    <w:t>klatūra</w:t>
                  </w:r>
                  <w:r w:rsidRPr="0088290E">
                    <w:rPr>
                      <w:rFonts w:ascii="Times New Roman" w:eastAsia="Times New Roman" w:hAnsi="Times New Roman" w:cs="Times New Roman"/>
                      <w:sz w:val="24"/>
                      <w:szCs w:val="24"/>
                    </w:rPr>
                    <w:t>s</w:t>
                  </w:r>
                  <w:proofErr w:type="spellEnd"/>
                  <w:r w:rsidR="0088290E">
                    <w:rPr>
                      <w:rFonts w:ascii="Times New Roman" w:eastAsia="Times New Roman" w:hAnsi="Times New Roman" w:cs="Times New Roman"/>
                      <w:sz w:val="24"/>
                      <w:szCs w:val="24"/>
                    </w:rPr>
                    <w:t xml:space="preserve"> </w:t>
                  </w:r>
                  <w:r w:rsidRPr="0088290E">
                    <w:rPr>
                      <w:rFonts w:ascii="Times New Roman" w:eastAsia="Times New Roman" w:hAnsi="Times New Roman" w:cs="Times New Roman"/>
                      <w:sz w:val="24"/>
                      <w:szCs w:val="24"/>
                    </w:rPr>
                    <w:t>kods</w:t>
                  </w:r>
                </w:p>
              </w:tc>
              <w:tc>
                <w:tcPr>
                  <w:tcW w:w="3827" w:type="dxa"/>
                </w:tcPr>
                <w:p w14:paraId="22220BE8" w14:textId="77777777" w:rsidR="0088290E" w:rsidRDefault="0088290E" w:rsidP="00F73CE1">
                  <w:pPr>
                    <w:framePr w:hSpace="180" w:wrap="around" w:vAnchor="text" w:hAnchor="margin" w:xAlign="center" w:y="149"/>
                    <w:ind w:right="161"/>
                    <w:rPr>
                      <w:rFonts w:ascii="Times New Roman" w:eastAsia="Times New Roman" w:hAnsi="Times New Roman" w:cs="Times New Roman"/>
                      <w:sz w:val="24"/>
                      <w:szCs w:val="24"/>
                    </w:rPr>
                  </w:pPr>
                </w:p>
                <w:p w14:paraId="6115DC3B" w14:textId="631CC320" w:rsidR="0068707F" w:rsidRPr="00A7675C" w:rsidRDefault="0068707F" w:rsidP="00F73CE1">
                  <w:pPr>
                    <w:framePr w:hSpace="180" w:wrap="around" w:vAnchor="text" w:hAnchor="margin" w:xAlign="center" w:y="149"/>
                    <w:ind w:right="161"/>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Produkts</w:t>
                  </w:r>
                </w:p>
              </w:tc>
            </w:tr>
            <w:tr w:rsidR="0068707F" w:rsidRPr="00A7675C" w14:paraId="238A90BA" w14:textId="77777777" w:rsidTr="00FC1C8A">
              <w:tc>
                <w:tcPr>
                  <w:tcW w:w="1413" w:type="dxa"/>
                </w:tcPr>
                <w:p w14:paraId="1D4728F3" w14:textId="3B9F22CC" w:rsidR="0068707F" w:rsidRPr="00B76DA4" w:rsidRDefault="002D4D57" w:rsidP="00F73CE1">
                  <w:pPr>
                    <w:framePr w:hSpace="180" w:wrap="around" w:vAnchor="text" w:hAnchor="margin" w:xAlign="center" w:y="149"/>
                    <w:ind w:right="161"/>
                    <w:jc w:val="center"/>
                    <w:rPr>
                      <w:rFonts w:ascii="Times New Roman" w:eastAsia="Times New Roman" w:hAnsi="Times New Roman" w:cs="Times New Roman"/>
                      <w:sz w:val="24"/>
                      <w:szCs w:val="24"/>
                    </w:rPr>
                  </w:pPr>
                  <w:r w:rsidRPr="00B76DA4">
                    <w:rPr>
                      <w:rFonts w:ascii="Times New Roman" w:eastAsia="Times New Roman" w:hAnsi="Times New Roman" w:cs="Times New Roman"/>
                      <w:sz w:val="24"/>
                      <w:szCs w:val="24"/>
                    </w:rPr>
                    <w:t>7106</w:t>
                  </w:r>
                </w:p>
              </w:tc>
              <w:tc>
                <w:tcPr>
                  <w:tcW w:w="3827" w:type="dxa"/>
                </w:tcPr>
                <w:p w14:paraId="4DFAA4A1" w14:textId="4B1C1CEA" w:rsidR="0068707F" w:rsidRPr="00A7675C" w:rsidRDefault="00E33F9B" w:rsidP="00F73CE1">
                  <w:pPr>
                    <w:framePr w:hSpace="180" w:wrap="around" w:vAnchor="text" w:hAnchor="margin" w:xAlign="center" w:y="149"/>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Sudrabs (ieskaitot ar zeltu vai platīnu pārklātu sudrabu)</w:t>
                  </w:r>
                  <w:r w:rsidR="00F71ABB">
                    <w:rPr>
                      <w:rFonts w:ascii="Times New Roman" w:eastAsia="Times New Roman" w:hAnsi="Times New Roman" w:cs="Times New Roman"/>
                      <w:sz w:val="24"/>
                      <w:szCs w:val="24"/>
                    </w:rPr>
                    <w:t>, neapstrādāts, daļēji apstrādāts vai pulverveidā</w:t>
                  </w:r>
                </w:p>
              </w:tc>
            </w:tr>
            <w:tr w:rsidR="00B44203" w:rsidRPr="00A7675C" w14:paraId="2EFAC448" w14:textId="77777777" w:rsidTr="00FC1C8A">
              <w:tc>
                <w:tcPr>
                  <w:tcW w:w="1413" w:type="dxa"/>
                </w:tcPr>
                <w:p w14:paraId="6ADF46EE" w14:textId="0CFE593E" w:rsidR="00B44203" w:rsidRDefault="00B44203" w:rsidP="00F73CE1">
                  <w:pPr>
                    <w:framePr w:hSpace="180" w:wrap="around" w:vAnchor="text" w:hAnchor="margin" w:xAlign="center" w:y="149"/>
                    <w:ind w:right="1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7107</w:t>
                  </w:r>
                </w:p>
              </w:tc>
              <w:tc>
                <w:tcPr>
                  <w:tcW w:w="3827" w:type="dxa"/>
                </w:tcPr>
                <w:p w14:paraId="12B11837" w14:textId="1C7FE31F" w:rsidR="00B44203" w:rsidRDefault="00B44203" w:rsidP="00F73CE1">
                  <w:pPr>
                    <w:framePr w:hSpace="180" w:wrap="around" w:vAnchor="text" w:hAnchor="margin" w:xAlign="center" w:y="149"/>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Parastie metāli, </w:t>
                  </w:r>
                  <w:proofErr w:type="spellStart"/>
                  <w:r>
                    <w:rPr>
                      <w:rFonts w:ascii="Times New Roman" w:eastAsia="Times New Roman" w:hAnsi="Times New Roman" w:cs="Times New Roman"/>
                      <w:sz w:val="24"/>
                      <w:szCs w:val="24"/>
                    </w:rPr>
                    <w:t>plaķēti</w:t>
                  </w:r>
                  <w:proofErr w:type="spellEnd"/>
                  <w:r>
                    <w:rPr>
                      <w:rFonts w:ascii="Times New Roman" w:eastAsia="Times New Roman" w:hAnsi="Times New Roman" w:cs="Times New Roman"/>
                      <w:sz w:val="24"/>
                      <w:szCs w:val="24"/>
                    </w:rPr>
                    <w:t xml:space="preserve"> ar sudrabu, tikai daļēji apstrādāti</w:t>
                  </w:r>
                </w:p>
              </w:tc>
            </w:tr>
            <w:tr w:rsidR="0068707F" w:rsidRPr="00A7675C" w14:paraId="6000FA38" w14:textId="77777777" w:rsidTr="00FC1C8A">
              <w:tc>
                <w:tcPr>
                  <w:tcW w:w="1413" w:type="dxa"/>
                </w:tcPr>
                <w:p w14:paraId="7475CDB9" w14:textId="56ACEDCF" w:rsidR="0068707F" w:rsidRPr="00B76DA4" w:rsidRDefault="00F71ABB" w:rsidP="00F73CE1">
                  <w:pPr>
                    <w:framePr w:hSpace="180" w:wrap="around" w:vAnchor="text" w:hAnchor="margin" w:xAlign="center" w:y="149"/>
                    <w:ind w:right="1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7108</w:t>
                  </w:r>
                </w:p>
              </w:tc>
              <w:tc>
                <w:tcPr>
                  <w:tcW w:w="3827" w:type="dxa"/>
                </w:tcPr>
                <w:p w14:paraId="6662310F" w14:textId="3A82F18E" w:rsidR="0068707F" w:rsidRPr="00A7675C" w:rsidRDefault="00E33F9B" w:rsidP="00F73CE1">
                  <w:pPr>
                    <w:framePr w:hSpace="180" w:wrap="around" w:vAnchor="text" w:hAnchor="margin" w:xAlign="center" w:y="149"/>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w:t>
                  </w:r>
                  <w:r w:rsidR="00F71ABB">
                    <w:rPr>
                      <w:rFonts w:ascii="Times New Roman" w:eastAsia="Times New Roman" w:hAnsi="Times New Roman" w:cs="Times New Roman"/>
                      <w:sz w:val="24"/>
                      <w:szCs w:val="24"/>
                    </w:rPr>
                    <w:t>lts (ieskaitot platinētu zeltu), neapstrādāts, daļēji apstrādāts vai pulverveidā</w:t>
                  </w:r>
                </w:p>
              </w:tc>
            </w:tr>
            <w:tr w:rsidR="00B44203" w:rsidRPr="00A7675C" w14:paraId="028C007B" w14:textId="77777777" w:rsidTr="00FC1C8A">
              <w:tc>
                <w:tcPr>
                  <w:tcW w:w="1413" w:type="dxa"/>
                </w:tcPr>
                <w:p w14:paraId="2DDDBEE8" w14:textId="7C82C9A4" w:rsidR="00B44203" w:rsidRDefault="00B44203" w:rsidP="00F73CE1">
                  <w:pPr>
                    <w:framePr w:hSpace="180" w:wrap="around" w:vAnchor="text" w:hAnchor="margin" w:xAlign="center" w:y="149"/>
                    <w:ind w:right="1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7109</w:t>
                  </w:r>
                </w:p>
              </w:tc>
              <w:tc>
                <w:tcPr>
                  <w:tcW w:w="3827" w:type="dxa"/>
                </w:tcPr>
                <w:p w14:paraId="2EF1851A" w14:textId="7509FC34" w:rsidR="00B44203" w:rsidRDefault="00B44203" w:rsidP="00F73CE1">
                  <w:pPr>
                    <w:framePr w:hSpace="180" w:wrap="around" w:vAnchor="text" w:hAnchor="margin" w:xAlign="center" w:y="149"/>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zeltu </w:t>
                  </w:r>
                  <w:proofErr w:type="spellStart"/>
                  <w:r>
                    <w:rPr>
                      <w:rFonts w:ascii="Times New Roman" w:eastAsia="Times New Roman" w:hAnsi="Times New Roman" w:cs="Times New Roman"/>
                      <w:sz w:val="24"/>
                      <w:szCs w:val="24"/>
                    </w:rPr>
                    <w:t>plaķēti</w:t>
                  </w:r>
                  <w:proofErr w:type="spellEnd"/>
                  <w:r>
                    <w:rPr>
                      <w:rFonts w:ascii="Times New Roman" w:eastAsia="Times New Roman" w:hAnsi="Times New Roman" w:cs="Times New Roman"/>
                      <w:sz w:val="24"/>
                      <w:szCs w:val="24"/>
                    </w:rPr>
                    <w:t xml:space="preserve"> parastie metāli vai sudrabs, tikai daļēji apstrādāts</w:t>
                  </w:r>
                </w:p>
              </w:tc>
            </w:tr>
            <w:tr w:rsidR="0068707F" w:rsidRPr="00A7675C" w14:paraId="5EA1974F" w14:textId="77777777" w:rsidTr="00FC1C8A">
              <w:tc>
                <w:tcPr>
                  <w:tcW w:w="1413" w:type="dxa"/>
                </w:tcPr>
                <w:p w14:paraId="7E5D9518" w14:textId="182932D0" w:rsidR="0068707F" w:rsidRPr="00A7675C" w:rsidRDefault="002D4D57" w:rsidP="00F73CE1">
                  <w:pPr>
                    <w:framePr w:hSpace="180" w:wrap="around" w:vAnchor="text" w:hAnchor="margin" w:xAlign="center" w:y="149"/>
                    <w:ind w:right="1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7110</w:t>
                  </w:r>
                </w:p>
              </w:tc>
              <w:tc>
                <w:tcPr>
                  <w:tcW w:w="3827" w:type="dxa"/>
                </w:tcPr>
                <w:p w14:paraId="672DAF0E" w14:textId="2154D3DA" w:rsidR="0068707F" w:rsidRPr="00A7675C" w:rsidRDefault="00E33F9B" w:rsidP="00F73CE1">
                  <w:pPr>
                    <w:framePr w:hSpace="180" w:wrap="around" w:vAnchor="text" w:hAnchor="margin" w:xAlign="center" w:y="149"/>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4D57">
                    <w:rPr>
                      <w:rFonts w:ascii="Times New Roman" w:eastAsia="Times New Roman" w:hAnsi="Times New Roman" w:cs="Times New Roman"/>
                      <w:sz w:val="24"/>
                      <w:szCs w:val="24"/>
                    </w:rPr>
                    <w:t>latīns neapstrādāts</w:t>
                  </w:r>
                  <w:r w:rsidR="00F71ABB">
                    <w:rPr>
                      <w:rFonts w:ascii="Times New Roman" w:eastAsia="Times New Roman" w:hAnsi="Times New Roman" w:cs="Times New Roman"/>
                      <w:sz w:val="24"/>
                      <w:szCs w:val="24"/>
                    </w:rPr>
                    <w:t>, daļēji apstrādāts</w:t>
                  </w:r>
                  <w:r w:rsidR="002D4D57">
                    <w:rPr>
                      <w:rFonts w:ascii="Times New Roman" w:eastAsia="Times New Roman" w:hAnsi="Times New Roman" w:cs="Times New Roman"/>
                      <w:sz w:val="24"/>
                      <w:szCs w:val="24"/>
                    </w:rPr>
                    <w:t xml:space="preserve"> vai pulverveidā</w:t>
                  </w:r>
                </w:p>
              </w:tc>
            </w:tr>
            <w:tr w:rsidR="00B44203" w:rsidRPr="00A7675C" w14:paraId="68E66767" w14:textId="77777777" w:rsidTr="00FC1C8A">
              <w:tc>
                <w:tcPr>
                  <w:tcW w:w="1413" w:type="dxa"/>
                </w:tcPr>
                <w:p w14:paraId="57C36BCB" w14:textId="7B45920D" w:rsidR="00B44203" w:rsidRDefault="00B44203" w:rsidP="00F73CE1">
                  <w:pPr>
                    <w:framePr w:hSpace="180" w:wrap="around" w:vAnchor="text" w:hAnchor="margin" w:xAlign="center" w:y="149"/>
                    <w:ind w:right="1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7111</w:t>
                  </w:r>
                </w:p>
              </w:tc>
              <w:tc>
                <w:tcPr>
                  <w:tcW w:w="3827" w:type="dxa"/>
                </w:tcPr>
                <w:p w14:paraId="7F0B2063" w14:textId="7CCCDE59" w:rsidR="00B44203" w:rsidRDefault="00B44203" w:rsidP="00F73CE1">
                  <w:pPr>
                    <w:framePr w:hSpace="180" w:wrap="around" w:vAnchor="text" w:hAnchor="margin" w:xAlign="center" w:y="149"/>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platīnu </w:t>
                  </w:r>
                  <w:proofErr w:type="spellStart"/>
                  <w:r>
                    <w:rPr>
                      <w:rFonts w:ascii="Times New Roman" w:eastAsia="Times New Roman" w:hAnsi="Times New Roman" w:cs="Times New Roman"/>
                      <w:sz w:val="24"/>
                      <w:szCs w:val="24"/>
                    </w:rPr>
                    <w:t>plaķēti</w:t>
                  </w:r>
                  <w:proofErr w:type="spellEnd"/>
                  <w:r>
                    <w:rPr>
                      <w:rFonts w:ascii="Times New Roman" w:eastAsia="Times New Roman" w:hAnsi="Times New Roman" w:cs="Times New Roman"/>
                      <w:sz w:val="24"/>
                      <w:szCs w:val="24"/>
                    </w:rPr>
                    <w:t xml:space="preserve"> parastie metāli, sudrabs un zelts, tikai daļēji apstrādāts</w:t>
                  </w:r>
                </w:p>
              </w:tc>
            </w:tr>
            <w:tr w:rsidR="00363ADD" w:rsidRPr="00A7675C" w14:paraId="7F50E263" w14:textId="77777777" w:rsidTr="00FC1C8A">
              <w:tc>
                <w:tcPr>
                  <w:tcW w:w="1413" w:type="dxa"/>
                </w:tcPr>
                <w:p w14:paraId="7501A035" w14:textId="6CDFAC3A" w:rsidR="00363ADD" w:rsidRDefault="00363ADD" w:rsidP="00F73CE1">
                  <w:pPr>
                    <w:framePr w:hSpace="180" w:wrap="around" w:vAnchor="text" w:hAnchor="margin" w:xAlign="center" w:y="149"/>
                    <w:ind w:right="1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p>
              </w:tc>
              <w:tc>
                <w:tcPr>
                  <w:tcW w:w="3827" w:type="dxa"/>
                </w:tcPr>
                <w:p w14:paraId="5A6C143A" w14:textId="57F085D0" w:rsidR="00363ADD" w:rsidRDefault="00363ADD" w:rsidP="00F73CE1">
                  <w:pPr>
                    <w:framePr w:hSpace="180" w:wrap="around" w:vAnchor="text" w:hAnchor="margin" w:xAlign="center" w:y="149"/>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Dārgmetālu va</w:t>
                  </w:r>
                  <w:r w:rsidR="00F3407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ar dārgmetālu </w:t>
                  </w:r>
                  <w:proofErr w:type="spellStart"/>
                  <w:r>
                    <w:rPr>
                      <w:rFonts w:ascii="Times New Roman" w:eastAsia="Times New Roman" w:hAnsi="Times New Roman" w:cs="Times New Roman"/>
                      <w:sz w:val="24"/>
                      <w:szCs w:val="24"/>
                    </w:rPr>
                    <w:t>plaķētu</w:t>
                  </w:r>
                  <w:proofErr w:type="spellEnd"/>
                  <w:r>
                    <w:rPr>
                      <w:rFonts w:ascii="Times New Roman" w:eastAsia="Times New Roman" w:hAnsi="Times New Roman" w:cs="Times New Roman"/>
                      <w:sz w:val="24"/>
                      <w:szCs w:val="24"/>
                    </w:rPr>
                    <w:t xml:space="preserve"> metālu lūžņi un atlūzas: citādi atkritumi un lūžņi, kas satur dārgmetālus vai dārgmetālu savienojumus un kurus izmanto galvenokārt dārgmetālu reģenerēšanai</w:t>
                  </w:r>
                </w:p>
              </w:tc>
            </w:tr>
          </w:tbl>
          <w:p w14:paraId="77761F4E" w14:textId="77777777" w:rsidR="00F16708" w:rsidRPr="00F16708" w:rsidRDefault="00F16708" w:rsidP="00556C1B">
            <w:pPr>
              <w:spacing w:after="0" w:line="240" w:lineRule="auto"/>
              <w:ind w:left="100" w:right="161"/>
              <w:jc w:val="both"/>
              <w:rPr>
                <w:rFonts w:ascii="Times New Roman" w:eastAsia="Times New Roman" w:hAnsi="Times New Roman" w:cs="Times New Roman"/>
                <w:color w:val="000000"/>
                <w:sz w:val="14"/>
                <w:szCs w:val="24"/>
              </w:rPr>
            </w:pPr>
          </w:p>
          <w:p w14:paraId="211BABAD" w14:textId="5D21D81C" w:rsidR="007B3A1A" w:rsidRPr="007B3A1A" w:rsidRDefault="007B3A1A" w:rsidP="00556C1B">
            <w:pPr>
              <w:spacing w:after="0" w:line="240" w:lineRule="auto"/>
              <w:ind w:left="100" w:right="161"/>
              <w:jc w:val="both"/>
              <w:rPr>
                <w:rFonts w:ascii="Times New Roman" w:eastAsia="Times New Roman" w:hAnsi="Times New Roman" w:cs="Times New Roman"/>
                <w:color w:val="000000"/>
                <w:sz w:val="24"/>
                <w:szCs w:val="24"/>
              </w:rPr>
            </w:pPr>
            <w:proofErr w:type="spellStart"/>
            <w:r w:rsidRPr="007B3A1A">
              <w:rPr>
                <w:rFonts w:ascii="Times New Roman" w:eastAsia="Times New Roman" w:hAnsi="Times New Roman" w:cs="Times New Roman"/>
                <w:color w:val="000000"/>
                <w:sz w:val="24"/>
                <w:szCs w:val="24"/>
              </w:rPr>
              <w:t>Apakšpozīcijās</w:t>
            </w:r>
            <w:proofErr w:type="spellEnd"/>
            <w:r w:rsidRPr="007B3A1A">
              <w:rPr>
                <w:rFonts w:ascii="Times New Roman" w:eastAsia="Times New Roman" w:hAnsi="Times New Roman" w:cs="Times New Roman"/>
                <w:color w:val="000000"/>
                <w:sz w:val="24"/>
                <w:szCs w:val="24"/>
              </w:rPr>
              <w:t xml:space="preserve"> 7106 10, 7108 11, 7110 11, 7110 21, 7110 31 un 7110 41 apzīmējumi “pulveris” un “pulverveida” ir produkti, no kuru masas 90 % vai vairāk izsijājas caur sietu ar 0,5 mm acojumu.</w:t>
            </w:r>
            <w:r w:rsidR="00B44203">
              <w:rPr>
                <w:rFonts w:ascii="Times New Roman" w:eastAsia="Times New Roman" w:hAnsi="Times New Roman" w:cs="Times New Roman"/>
                <w:color w:val="000000"/>
                <w:sz w:val="24"/>
                <w:szCs w:val="24"/>
              </w:rPr>
              <w:t xml:space="preserve"> </w:t>
            </w:r>
            <w:proofErr w:type="spellStart"/>
            <w:r w:rsidRPr="007B3A1A">
              <w:rPr>
                <w:rFonts w:ascii="Times New Roman" w:eastAsia="Times New Roman" w:hAnsi="Times New Roman" w:cs="Times New Roman"/>
                <w:color w:val="000000"/>
                <w:sz w:val="24"/>
                <w:szCs w:val="24"/>
              </w:rPr>
              <w:t>Apakšpozīcijā</w:t>
            </w:r>
            <w:proofErr w:type="spellEnd"/>
            <w:r w:rsidRPr="007B3A1A">
              <w:rPr>
                <w:rFonts w:ascii="Times New Roman" w:eastAsia="Times New Roman" w:hAnsi="Times New Roman" w:cs="Times New Roman"/>
                <w:color w:val="000000"/>
                <w:sz w:val="24"/>
                <w:szCs w:val="24"/>
              </w:rPr>
              <w:t xml:space="preserve"> 7110 11 un 7110 19 apzīmējums “platīns” neattiecas uz irīdiju, osmiju, </w:t>
            </w:r>
            <w:proofErr w:type="spellStart"/>
            <w:r w:rsidRPr="007B3A1A">
              <w:rPr>
                <w:rFonts w:ascii="Times New Roman" w:eastAsia="Times New Roman" w:hAnsi="Times New Roman" w:cs="Times New Roman"/>
                <w:color w:val="000000"/>
                <w:sz w:val="24"/>
                <w:szCs w:val="24"/>
              </w:rPr>
              <w:t>palādiju</w:t>
            </w:r>
            <w:proofErr w:type="spellEnd"/>
            <w:r w:rsidRPr="007B3A1A">
              <w:rPr>
                <w:rFonts w:ascii="Times New Roman" w:eastAsia="Times New Roman" w:hAnsi="Times New Roman" w:cs="Times New Roman"/>
                <w:color w:val="000000"/>
                <w:sz w:val="24"/>
                <w:szCs w:val="24"/>
              </w:rPr>
              <w:t xml:space="preserve">, </w:t>
            </w:r>
            <w:proofErr w:type="spellStart"/>
            <w:r w:rsidRPr="007B3A1A">
              <w:rPr>
                <w:rFonts w:ascii="Times New Roman" w:eastAsia="Times New Roman" w:hAnsi="Times New Roman" w:cs="Times New Roman"/>
                <w:color w:val="000000"/>
                <w:sz w:val="24"/>
                <w:szCs w:val="24"/>
              </w:rPr>
              <w:t>rodiju</w:t>
            </w:r>
            <w:proofErr w:type="spellEnd"/>
            <w:r w:rsidRPr="007B3A1A">
              <w:rPr>
                <w:rFonts w:ascii="Times New Roman" w:eastAsia="Times New Roman" w:hAnsi="Times New Roman" w:cs="Times New Roman"/>
                <w:color w:val="000000"/>
                <w:sz w:val="24"/>
                <w:szCs w:val="24"/>
              </w:rPr>
              <w:t xml:space="preserve"> un </w:t>
            </w:r>
            <w:proofErr w:type="spellStart"/>
            <w:r w:rsidRPr="007B3A1A">
              <w:rPr>
                <w:rFonts w:ascii="Times New Roman" w:eastAsia="Times New Roman" w:hAnsi="Times New Roman" w:cs="Times New Roman"/>
                <w:color w:val="000000"/>
                <w:sz w:val="24"/>
                <w:szCs w:val="24"/>
              </w:rPr>
              <w:t>rutēniju</w:t>
            </w:r>
            <w:proofErr w:type="spellEnd"/>
            <w:r w:rsidRPr="007B3A1A">
              <w:rPr>
                <w:rFonts w:ascii="Times New Roman" w:eastAsia="Times New Roman" w:hAnsi="Times New Roman" w:cs="Times New Roman"/>
                <w:color w:val="000000"/>
                <w:sz w:val="24"/>
                <w:szCs w:val="24"/>
              </w:rPr>
              <w:t xml:space="preserve">. Pozīcijā 7110 katrs sakausējums ir klasificējams kopā ar to metālu, kurš masā ir pārsvarā – platīns, </w:t>
            </w:r>
            <w:proofErr w:type="spellStart"/>
            <w:r w:rsidRPr="007B3A1A">
              <w:rPr>
                <w:rFonts w:ascii="Times New Roman" w:eastAsia="Times New Roman" w:hAnsi="Times New Roman" w:cs="Times New Roman"/>
                <w:color w:val="000000"/>
                <w:sz w:val="24"/>
                <w:szCs w:val="24"/>
              </w:rPr>
              <w:t>palādijs</w:t>
            </w:r>
            <w:proofErr w:type="spellEnd"/>
            <w:r w:rsidRPr="007B3A1A">
              <w:rPr>
                <w:rFonts w:ascii="Times New Roman" w:eastAsia="Times New Roman" w:hAnsi="Times New Roman" w:cs="Times New Roman"/>
                <w:color w:val="000000"/>
                <w:sz w:val="24"/>
                <w:szCs w:val="24"/>
              </w:rPr>
              <w:t xml:space="preserve">, </w:t>
            </w:r>
            <w:proofErr w:type="spellStart"/>
            <w:r w:rsidRPr="007B3A1A">
              <w:rPr>
                <w:rFonts w:ascii="Times New Roman" w:eastAsia="Times New Roman" w:hAnsi="Times New Roman" w:cs="Times New Roman"/>
                <w:color w:val="000000"/>
                <w:sz w:val="24"/>
                <w:szCs w:val="24"/>
              </w:rPr>
              <w:t>rodijs</w:t>
            </w:r>
            <w:proofErr w:type="spellEnd"/>
            <w:r w:rsidRPr="007B3A1A">
              <w:rPr>
                <w:rFonts w:ascii="Times New Roman" w:eastAsia="Times New Roman" w:hAnsi="Times New Roman" w:cs="Times New Roman"/>
                <w:color w:val="000000"/>
                <w:sz w:val="24"/>
                <w:szCs w:val="24"/>
              </w:rPr>
              <w:t xml:space="preserve">, irīdijs, osmijs vai </w:t>
            </w:r>
            <w:proofErr w:type="spellStart"/>
            <w:r w:rsidRPr="007B3A1A">
              <w:rPr>
                <w:rFonts w:ascii="Times New Roman" w:eastAsia="Times New Roman" w:hAnsi="Times New Roman" w:cs="Times New Roman"/>
                <w:color w:val="000000"/>
                <w:sz w:val="24"/>
                <w:szCs w:val="24"/>
              </w:rPr>
              <w:t>rutēnijs</w:t>
            </w:r>
            <w:proofErr w:type="spellEnd"/>
            <w:r w:rsidRPr="007B3A1A">
              <w:rPr>
                <w:rFonts w:ascii="Times New Roman" w:eastAsia="Times New Roman" w:hAnsi="Times New Roman" w:cs="Times New Roman"/>
                <w:color w:val="000000"/>
                <w:sz w:val="24"/>
                <w:szCs w:val="24"/>
              </w:rPr>
              <w:t>.</w:t>
            </w:r>
          </w:p>
          <w:p w14:paraId="455A95BE" w14:textId="17902F4C" w:rsidR="00760969" w:rsidRPr="009768DD" w:rsidRDefault="00B45B52" w:rsidP="009768DD">
            <w:pPr>
              <w:spacing w:after="0" w:line="240" w:lineRule="auto"/>
              <w:ind w:left="100" w:right="161"/>
              <w:jc w:val="both"/>
              <w:rPr>
                <w:rFonts w:ascii="Times New Roman" w:eastAsia="Calibri" w:hAnsi="Times New Roman" w:cs="Times New Roman"/>
                <w:sz w:val="24"/>
                <w:szCs w:val="24"/>
              </w:rPr>
            </w:pPr>
            <w:r w:rsidRPr="00B76DA4">
              <w:rPr>
                <w:rFonts w:ascii="Times New Roman" w:eastAsia="Times New Roman" w:hAnsi="Times New Roman" w:cs="Times New Roman"/>
                <w:color w:val="000000"/>
                <w:sz w:val="24"/>
                <w:szCs w:val="24"/>
              </w:rPr>
              <w:t>I</w:t>
            </w:r>
            <w:r w:rsidR="00556C1B" w:rsidRPr="00B76DA4">
              <w:rPr>
                <w:rFonts w:ascii="Times New Roman" w:eastAsia="Times New Roman" w:hAnsi="Times New Roman" w:cs="Times New Roman"/>
                <w:color w:val="000000"/>
                <w:sz w:val="24"/>
                <w:szCs w:val="24"/>
              </w:rPr>
              <w:t xml:space="preserve">eviešot </w:t>
            </w:r>
            <w:r w:rsidR="001D55F6" w:rsidRPr="00B76DA4">
              <w:rPr>
                <w:rFonts w:ascii="Times New Roman" w:eastAsia="Times New Roman" w:hAnsi="Times New Roman" w:cs="Times New Roman"/>
                <w:color w:val="000000"/>
                <w:sz w:val="24"/>
                <w:szCs w:val="24"/>
              </w:rPr>
              <w:t>P</w:t>
            </w:r>
            <w:r w:rsidR="001D55F6" w:rsidRPr="00A7675C">
              <w:rPr>
                <w:rFonts w:ascii="Times New Roman" w:eastAsia="Times New Roman" w:hAnsi="Times New Roman" w:cs="Times New Roman"/>
                <w:color w:val="000000"/>
                <w:sz w:val="24"/>
                <w:szCs w:val="24"/>
              </w:rPr>
              <w:t>VN apgriezto maksāšanas kārtību</w:t>
            </w:r>
            <w:r w:rsidRPr="00B76DA4">
              <w:rPr>
                <w:rFonts w:ascii="Times New Roman" w:eastAsia="Times New Roman" w:hAnsi="Times New Roman" w:cs="Times New Roman"/>
                <w:color w:val="000000"/>
                <w:sz w:val="24"/>
                <w:szCs w:val="24"/>
              </w:rPr>
              <w:t>, dalībvalstij</w:t>
            </w:r>
            <w:r w:rsidR="00556C1B" w:rsidRPr="00B76DA4">
              <w:rPr>
                <w:rFonts w:ascii="Times New Roman" w:eastAsia="Times New Roman" w:hAnsi="Times New Roman" w:cs="Times New Roman"/>
                <w:color w:val="000000"/>
                <w:sz w:val="24"/>
                <w:szCs w:val="24"/>
              </w:rPr>
              <w:t xml:space="preserve"> ir pienākums</w:t>
            </w:r>
            <w:r w:rsidR="00556C1B" w:rsidRPr="00A7675C">
              <w:rPr>
                <w:rFonts w:ascii="Times New Roman" w:eastAsia="Calibri" w:hAnsi="Times New Roman" w:cs="Times New Roman"/>
                <w:sz w:val="24"/>
                <w:szCs w:val="24"/>
              </w:rPr>
              <w:t xml:space="preserve"> informēt </w:t>
            </w:r>
            <w:r w:rsidR="00EE60F2" w:rsidRPr="00A7675C">
              <w:rPr>
                <w:rFonts w:ascii="Times New Roman" w:eastAsia="Calibri" w:hAnsi="Times New Roman" w:cs="Times New Roman"/>
                <w:sz w:val="24"/>
                <w:szCs w:val="24"/>
              </w:rPr>
              <w:t>p</w:t>
            </w:r>
            <w:r w:rsidR="00556C1B" w:rsidRPr="00A7675C">
              <w:rPr>
                <w:rFonts w:ascii="Times New Roman" w:eastAsia="Calibri" w:hAnsi="Times New Roman" w:cs="Times New Roman"/>
                <w:sz w:val="24"/>
                <w:szCs w:val="24"/>
              </w:rPr>
              <w:t>adomdevēj</w:t>
            </w:r>
            <w:r w:rsidR="00EE60F2" w:rsidRPr="00A7675C">
              <w:rPr>
                <w:rFonts w:ascii="Times New Roman" w:eastAsia="Calibri" w:hAnsi="Times New Roman" w:cs="Times New Roman"/>
                <w:sz w:val="24"/>
                <w:szCs w:val="24"/>
              </w:rPr>
              <w:t>a</w:t>
            </w:r>
            <w:r w:rsidR="00556C1B" w:rsidRPr="00A7675C">
              <w:rPr>
                <w:rFonts w:ascii="Times New Roman" w:eastAsia="Calibri" w:hAnsi="Times New Roman" w:cs="Times New Roman"/>
                <w:sz w:val="24"/>
                <w:szCs w:val="24"/>
              </w:rPr>
              <w:t xml:space="preserve"> komiteju </w:t>
            </w:r>
            <w:r w:rsidR="00EE60F2" w:rsidRPr="00A7675C">
              <w:rPr>
                <w:rFonts w:ascii="Times New Roman" w:eastAsia="Calibri" w:hAnsi="Times New Roman" w:cs="Times New Roman"/>
                <w:sz w:val="24"/>
                <w:szCs w:val="24"/>
              </w:rPr>
              <w:t>PVN</w:t>
            </w:r>
            <w:r w:rsidR="00556C1B" w:rsidRPr="00A7675C">
              <w:rPr>
                <w:rFonts w:ascii="Times New Roman" w:eastAsia="Calibri" w:hAnsi="Times New Roman" w:cs="Times New Roman"/>
                <w:sz w:val="24"/>
                <w:szCs w:val="24"/>
              </w:rPr>
              <w:t xml:space="preserve"> jautājumos </w:t>
            </w:r>
            <w:r w:rsidR="00301583">
              <w:rPr>
                <w:rFonts w:ascii="Times New Roman" w:eastAsia="Calibri" w:hAnsi="Times New Roman" w:cs="Times New Roman"/>
                <w:sz w:val="24"/>
                <w:szCs w:val="24"/>
              </w:rPr>
              <w:t>(tā saukto PVN komite</w:t>
            </w:r>
            <w:r w:rsidR="00CF070C" w:rsidRPr="00A7675C">
              <w:rPr>
                <w:rFonts w:ascii="Times New Roman" w:eastAsia="Calibri" w:hAnsi="Times New Roman" w:cs="Times New Roman"/>
                <w:sz w:val="24"/>
                <w:szCs w:val="24"/>
              </w:rPr>
              <w:t xml:space="preserve">ju) </w:t>
            </w:r>
            <w:r w:rsidR="00B76DA4">
              <w:rPr>
                <w:rFonts w:ascii="Times New Roman" w:eastAsia="Calibri" w:hAnsi="Times New Roman" w:cs="Times New Roman"/>
                <w:sz w:val="24"/>
                <w:szCs w:val="24"/>
              </w:rPr>
              <w:t>par</w:t>
            </w:r>
            <w:r w:rsidR="00B76DA4" w:rsidRPr="00A7675C">
              <w:rPr>
                <w:rFonts w:ascii="Times New Roman" w:eastAsia="Calibri" w:hAnsi="Times New Roman" w:cs="Times New Roman"/>
                <w:sz w:val="24"/>
                <w:szCs w:val="24"/>
              </w:rPr>
              <w:t xml:space="preserve"> </w:t>
            </w:r>
            <w:r w:rsidR="00556C1B" w:rsidRPr="00A7675C">
              <w:rPr>
                <w:rFonts w:ascii="Times New Roman" w:eastAsia="Calibri" w:hAnsi="Times New Roman" w:cs="Times New Roman"/>
                <w:sz w:val="24"/>
                <w:szCs w:val="24"/>
              </w:rPr>
              <w:t xml:space="preserve">PVN </w:t>
            </w:r>
            <w:r w:rsidR="00560BAA" w:rsidRPr="00A7675C">
              <w:rPr>
                <w:rFonts w:ascii="Times New Roman" w:eastAsia="Calibri" w:hAnsi="Times New Roman" w:cs="Times New Roman"/>
                <w:sz w:val="24"/>
                <w:szCs w:val="24"/>
              </w:rPr>
              <w:t xml:space="preserve">apgrieztās </w:t>
            </w:r>
            <w:r w:rsidR="00556C1B" w:rsidRPr="00A7675C">
              <w:rPr>
                <w:rFonts w:ascii="Times New Roman" w:eastAsia="Calibri" w:hAnsi="Times New Roman" w:cs="Times New Roman"/>
                <w:sz w:val="24"/>
                <w:szCs w:val="24"/>
              </w:rPr>
              <w:t>maksāšanas kārtības piemērošanu, aprakstot kārtības darbības jomu, krāpšanās veidus un iezīmes, veicamos saistītos kontroles pasākumus, kā arī vērtēšanas kritērijus, kas ļauj salīdzināt krāpšanās apjomu pirms un pēc sistēmas ieviešanas. Tāpat da</w:t>
            </w:r>
            <w:r w:rsidR="00FE5A39" w:rsidRPr="00A7675C">
              <w:rPr>
                <w:rFonts w:ascii="Times New Roman" w:eastAsia="Calibri" w:hAnsi="Times New Roman" w:cs="Times New Roman"/>
                <w:sz w:val="24"/>
                <w:szCs w:val="24"/>
              </w:rPr>
              <w:t>lībvalstij, kas saskaņā ar PVN d</w:t>
            </w:r>
            <w:r w:rsidR="00556C1B" w:rsidRPr="00A7675C">
              <w:rPr>
                <w:rFonts w:ascii="Times New Roman" w:eastAsia="Calibri" w:hAnsi="Times New Roman" w:cs="Times New Roman"/>
                <w:sz w:val="24"/>
                <w:szCs w:val="24"/>
              </w:rPr>
              <w:t xml:space="preserve">irektīvas 199.a pantu ievieš </w:t>
            </w:r>
            <w:r w:rsidR="004A4B6A" w:rsidRPr="00A7675C">
              <w:rPr>
                <w:rFonts w:ascii="Times New Roman" w:eastAsia="Calibri" w:hAnsi="Times New Roman" w:cs="Times New Roman"/>
                <w:sz w:val="24"/>
                <w:szCs w:val="24"/>
              </w:rPr>
              <w:t xml:space="preserve">īpašu </w:t>
            </w:r>
            <w:r w:rsidR="00556C1B" w:rsidRPr="00A7675C">
              <w:rPr>
                <w:rFonts w:ascii="Times New Roman" w:eastAsia="Calibri" w:hAnsi="Times New Roman" w:cs="Times New Roman"/>
                <w:sz w:val="24"/>
                <w:szCs w:val="24"/>
              </w:rPr>
              <w:t xml:space="preserve">PVN </w:t>
            </w:r>
            <w:r w:rsidR="004A4B6A" w:rsidRPr="00A7675C">
              <w:rPr>
                <w:rFonts w:ascii="Times New Roman" w:eastAsia="Calibri" w:hAnsi="Times New Roman" w:cs="Times New Roman"/>
                <w:sz w:val="24"/>
                <w:szCs w:val="24"/>
              </w:rPr>
              <w:t>piemērošanas režīmu</w:t>
            </w:r>
            <w:r w:rsidR="00556C1B" w:rsidRPr="00A7675C">
              <w:rPr>
                <w:rFonts w:ascii="Times New Roman" w:eastAsia="Calibri" w:hAnsi="Times New Roman" w:cs="Times New Roman"/>
                <w:sz w:val="24"/>
                <w:szCs w:val="24"/>
              </w:rPr>
              <w:t>, līdz 2017.gada 30.jūnijam Eiropas Komisijai ir jāiesniedz ziņojums, kurā detalizēti novērtē ieviestās kārtības efektivitāti un lietderību.</w:t>
            </w:r>
          </w:p>
          <w:p w14:paraId="39328B64" w14:textId="600FFDAF" w:rsidR="0016158C" w:rsidRDefault="00836F7D" w:rsidP="0016158C">
            <w:pPr>
              <w:spacing w:after="0" w:line="240" w:lineRule="auto"/>
              <w:ind w:left="100" w:right="161"/>
              <w:jc w:val="both"/>
              <w:rPr>
                <w:rFonts w:ascii="Times New Roman" w:eastAsia="Times New Roman" w:hAnsi="Times New Roman" w:cs="Times New Roman"/>
                <w:sz w:val="24"/>
                <w:szCs w:val="24"/>
              </w:rPr>
            </w:pPr>
            <w:r w:rsidRPr="00B76DA4">
              <w:rPr>
                <w:rFonts w:ascii="Times New Roman" w:eastAsia="Times New Roman" w:hAnsi="Times New Roman" w:cs="Times New Roman"/>
                <w:sz w:val="24"/>
                <w:szCs w:val="24"/>
              </w:rPr>
              <w:t xml:space="preserve">Tādējādi grozījumi </w:t>
            </w:r>
            <w:r w:rsidRPr="00A7675C">
              <w:rPr>
                <w:rFonts w:ascii="Times New Roman" w:eastAsia="Times New Roman" w:hAnsi="Times New Roman" w:cs="Times New Roman"/>
                <w:sz w:val="24"/>
                <w:szCs w:val="24"/>
              </w:rPr>
              <w:t>paredz p</w:t>
            </w:r>
            <w:r w:rsidR="00BE3943" w:rsidRPr="00A7675C">
              <w:rPr>
                <w:rFonts w:ascii="Times New Roman" w:eastAsia="Times New Roman" w:hAnsi="Times New Roman" w:cs="Times New Roman"/>
                <w:bCs/>
                <w:sz w:val="24"/>
                <w:szCs w:val="24"/>
              </w:rPr>
              <w:t>apildināt</w:t>
            </w:r>
            <w:r w:rsidRPr="00A7675C">
              <w:rPr>
                <w:rFonts w:ascii="Times New Roman" w:eastAsia="Times New Roman" w:hAnsi="Times New Roman" w:cs="Times New Roman"/>
                <w:bCs/>
                <w:sz w:val="24"/>
                <w:szCs w:val="24"/>
              </w:rPr>
              <w:t xml:space="preserve"> PVN likumu</w:t>
            </w:r>
            <w:r w:rsidR="00BE3943" w:rsidRPr="00A7675C">
              <w:rPr>
                <w:rFonts w:ascii="Times New Roman" w:eastAsia="Times New Roman" w:hAnsi="Times New Roman" w:cs="Times New Roman"/>
                <w:bCs/>
                <w:sz w:val="24"/>
                <w:szCs w:val="24"/>
              </w:rPr>
              <w:t xml:space="preserve"> </w:t>
            </w:r>
            <w:r w:rsidR="00D62544" w:rsidRPr="00A7675C">
              <w:rPr>
                <w:rFonts w:ascii="Times New Roman" w:eastAsia="Times New Roman" w:hAnsi="Times New Roman" w:cs="Times New Roman"/>
                <w:bCs/>
                <w:sz w:val="24"/>
                <w:szCs w:val="24"/>
              </w:rPr>
              <w:t xml:space="preserve">ar </w:t>
            </w:r>
            <w:r w:rsidR="00B9516C" w:rsidRPr="00A7675C">
              <w:rPr>
                <w:rFonts w:ascii="Times New Roman" w:eastAsia="Calibri" w:hAnsi="Times New Roman" w:cs="Times New Roman"/>
                <w:sz w:val="24"/>
                <w:szCs w:val="24"/>
              </w:rPr>
              <w:t>143</w:t>
            </w:r>
            <w:r w:rsidR="00B9516C" w:rsidRPr="00A7675C">
              <w:rPr>
                <w:rFonts w:ascii="Times New Roman" w:eastAsia="Times New Roman" w:hAnsi="Times New Roman" w:cs="Times New Roman"/>
                <w:bCs/>
                <w:sz w:val="24"/>
                <w:szCs w:val="24"/>
              </w:rPr>
              <w:t>.</w:t>
            </w:r>
            <w:r w:rsidR="00B76DA4">
              <w:rPr>
                <w:rFonts w:ascii="Times New Roman" w:eastAsia="Times New Roman" w:hAnsi="Times New Roman" w:cs="Times New Roman"/>
                <w:bCs/>
                <w:sz w:val="24"/>
                <w:szCs w:val="24"/>
                <w:vertAlign w:val="superscript"/>
              </w:rPr>
              <w:t>3</w:t>
            </w:r>
            <w:r w:rsidR="00700AD9" w:rsidRPr="00A7675C">
              <w:rPr>
                <w:rFonts w:ascii="Times New Roman" w:eastAsia="Times New Roman" w:hAnsi="Times New Roman" w:cs="Times New Roman"/>
                <w:bCs/>
                <w:sz w:val="24"/>
                <w:szCs w:val="24"/>
                <w:vertAlign w:val="superscript"/>
              </w:rPr>
              <w:t> </w:t>
            </w:r>
            <w:r w:rsidR="00B9516C" w:rsidRPr="00A7675C">
              <w:rPr>
                <w:rFonts w:ascii="Times New Roman" w:eastAsia="Times New Roman" w:hAnsi="Times New Roman" w:cs="Times New Roman"/>
                <w:bCs/>
                <w:sz w:val="24"/>
                <w:szCs w:val="24"/>
              </w:rPr>
              <w:t xml:space="preserve">pantu, </w:t>
            </w:r>
            <w:r w:rsidR="00B9516C" w:rsidRPr="00A7675C">
              <w:rPr>
                <w:rFonts w:ascii="Times New Roman" w:eastAsia="Times New Roman" w:hAnsi="Times New Roman" w:cs="Times New Roman"/>
                <w:sz w:val="24"/>
                <w:szCs w:val="24"/>
              </w:rPr>
              <w:t>ar kuru ti</w:t>
            </w:r>
            <w:r w:rsidR="00D62544" w:rsidRPr="00A7675C">
              <w:rPr>
                <w:rFonts w:ascii="Times New Roman" w:eastAsia="Times New Roman" w:hAnsi="Times New Roman" w:cs="Times New Roman"/>
                <w:sz w:val="24"/>
                <w:szCs w:val="24"/>
              </w:rPr>
              <w:t>e</w:t>
            </w:r>
            <w:r w:rsidR="00B9516C" w:rsidRPr="00A7675C">
              <w:rPr>
                <w:rFonts w:ascii="Times New Roman" w:eastAsia="Times New Roman" w:hAnsi="Times New Roman" w:cs="Times New Roman"/>
                <w:sz w:val="24"/>
                <w:szCs w:val="24"/>
              </w:rPr>
              <w:t>k ieviest</w:t>
            </w:r>
            <w:r w:rsidR="00700AD9" w:rsidRPr="00A7675C">
              <w:rPr>
                <w:rFonts w:ascii="Times New Roman" w:eastAsia="Times New Roman" w:hAnsi="Times New Roman" w:cs="Times New Roman"/>
                <w:sz w:val="24"/>
                <w:szCs w:val="24"/>
              </w:rPr>
              <w:t>s īpašs</w:t>
            </w:r>
            <w:r w:rsidR="00B9516C" w:rsidRPr="00A7675C">
              <w:rPr>
                <w:rFonts w:ascii="Times New Roman" w:eastAsia="Times New Roman" w:hAnsi="Times New Roman" w:cs="Times New Roman"/>
                <w:sz w:val="24"/>
                <w:szCs w:val="24"/>
              </w:rPr>
              <w:t xml:space="preserve"> PVN </w:t>
            </w:r>
            <w:r w:rsidR="00700AD9" w:rsidRPr="00A7675C">
              <w:rPr>
                <w:rFonts w:ascii="Times New Roman" w:eastAsia="Times New Roman" w:hAnsi="Times New Roman" w:cs="Times New Roman"/>
                <w:sz w:val="24"/>
                <w:szCs w:val="24"/>
              </w:rPr>
              <w:t>piemērošanas režīms</w:t>
            </w:r>
            <w:r w:rsidR="00B9516C" w:rsidRPr="00A7675C">
              <w:rPr>
                <w:rFonts w:ascii="Times New Roman" w:eastAsia="Times New Roman" w:hAnsi="Times New Roman" w:cs="Times New Roman"/>
                <w:sz w:val="24"/>
                <w:szCs w:val="24"/>
              </w:rPr>
              <w:t xml:space="preserve"> </w:t>
            </w:r>
            <w:r w:rsidR="00BA00BB" w:rsidRPr="00560BAA">
              <w:rPr>
                <w:rFonts w:ascii="Times New Roman" w:eastAsia="Times New Roman" w:hAnsi="Times New Roman" w:cs="Times New Roman"/>
                <w:sz w:val="24"/>
                <w:szCs w:val="24"/>
              </w:rPr>
              <w:t xml:space="preserve">neapstrādātu </w:t>
            </w:r>
            <w:r w:rsidR="00676100" w:rsidRPr="00560BAA">
              <w:rPr>
                <w:rFonts w:ascii="Times New Roman" w:eastAsia="Times New Roman" w:hAnsi="Times New Roman" w:cs="Times New Roman"/>
                <w:color w:val="000000"/>
                <w:sz w:val="24"/>
                <w:szCs w:val="24"/>
              </w:rPr>
              <w:t>dārgmetālu</w:t>
            </w:r>
            <w:r w:rsidR="00676100">
              <w:rPr>
                <w:rFonts w:ascii="Times New Roman" w:eastAsia="Times New Roman" w:hAnsi="Times New Roman" w:cs="Times New Roman"/>
                <w:color w:val="000000"/>
                <w:sz w:val="24"/>
                <w:szCs w:val="24"/>
              </w:rPr>
              <w:t xml:space="preserve"> un to pusfabrikātu</w:t>
            </w:r>
            <w:r w:rsidR="00676100" w:rsidRPr="00560BAA">
              <w:rPr>
                <w:rFonts w:ascii="Times New Roman" w:eastAsia="Times New Roman" w:hAnsi="Times New Roman" w:cs="Times New Roman"/>
                <w:color w:val="000000"/>
                <w:sz w:val="24"/>
                <w:szCs w:val="24"/>
              </w:rPr>
              <w:t>, dārgmetālu sakausējumu</w:t>
            </w:r>
            <w:r w:rsidR="00676100">
              <w:rPr>
                <w:rFonts w:ascii="Times New Roman" w:eastAsia="Times New Roman" w:hAnsi="Times New Roman" w:cs="Times New Roman"/>
                <w:color w:val="000000"/>
                <w:sz w:val="24"/>
                <w:szCs w:val="24"/>
              </w:rPr>
              <w:t xml:space="preserve"> un to pusfabrikātu</w:t>
            </w:r>
            <w:r w:rsidR="00BA00BB" w:rsidRPr="00560BAA">
              <w:rPr>
                <w:rFonts w:ascii="Times New Roman" w:eastAsia="Times New Roman" w:hAnsi="Times New Roman" w:cs="Times New Roman"/>
                <w:sz w:val="24"/>
                <w:szCs w:val="24"/>
              </w:rPr>
              <w:t xml:space="preserve">, dārgmetālu </w:t>
            </w:r>
            <w:proofErr w:type="spellStart"/>
            <w:r w:rsidR="00BA00BB" w:rsidRPr="00560BAA">
              <w:rPr>
                <w:rFonts w:ascii="Times New Roman" w:eastAsia="Times New Roman" w:hAnsi="Times New Roman" w:cs="Times New Roman"/>
                <w:sz w:val="24"/>
                <w:szCs w:val="24"/>
              </w:rPr>
              <w:t>plaķētu</w:t>
            </w:r>
            <w:proofErr w:type="spellEnd"/>
            <w:r w:rsidR="00BA00BB" w:rsidRPr="00560BAA">
              <w:rPr>
                <w:rFonts w:ascii="Times New Roman" w:eastAsia="Times New Roman" w:hAnsi="Times New Roman" w:cs="Times New Roman"/>
                <w:sz w:val="24"/>
                <w:szCs w:val="24"/>
              </w:rPr>
              <w:t xml:space="preserve"> metālu, dārgmetālu lūžņu un atlūzu</w:t>
            </w:r>
            <w:r w:rsidR="00BA00BB" w:rsidRPr="00A7675C">
              <w:rPr>
                <w:rFonts w:ascii="Times New Roman" w:eastAsia="Times New Roman" w:hAnsi="Times New Roman" w:cs="Times New Roman"/>
                <w:sz w:val="24"/>
                <w:szCs w:val="24"/>
              </w:rPr>
              <w:t xml:space="preserve"> </w:t>
            </w:r>
            <w:r w:rsidR="00B9516C" w:rsidRPr="00A7675C">
              <w:rPr>
                <w:rFonts w:ascii="Times New Roman" w:eastAsia="Times New Roman" w:hAnsi="Times New Roman" w:cs="Times New Roman"/>
                <w:sz w:val="24"/>
                <w:szCs w:val="24"/>
              </w:rPr>
              <w:t>piegādēm</w:t>
            </w:r>
            <w:r w:rsidR="004567C1" w:rsidRPr="00A7675C">
              <w:rPr>
                <w:rFonts w:ascii="Times New Roman" w:eastAsia="Times New Roman" w:hAnsi="Times New Roman" w:cs="Times New Roman"/>
                <w:sz w:val="24"/>
                <w:szCs w:val="24"/>
              </w:rPr>
              <w:t>.</w:t>
            </w:r>
          </w:p>
          <w:p w14:paraId="7D7F71B2" w14:textId="5EC131CC" w:rsidR="004B52D2" w:rsidRPr="00E86DB5" w:rsidRDefault="00836F7D" w:rsidP="00E86DB5">
            <w:pPr>
              <w:pStyle w:val="ListParagraph"/>
              <w:numPr>
                <w:ilvl w:val="0"/>
                <w:numId w:val="16"/>
              </w:numPr>
              <w:spacing w:after="0" w:line="240" w:lineRule="auto"/>
              <w:ind w:left="100" w:right="161" w:firstLine="0"/>
              <w:jc w:val="both"/>
              <w:rPr>
                <w:rFonts w:ascii="Times New Roman" w:eastAsia="Times New Roman" w:hAnsi="Times New Roman" w:cs="Times New Roman"/>
                <w:bCs/>
                <w:sz w:val="24"/>
                <w:szCs w:val="24"/>
              </w:rPr>
            </w:pPr>
            <w:r w:rsidRPr="00E86DB5">
              <w:rPr>
                <w:rFonts w:ascii="Times New Roman" w:eastAsia="Times New Roman" w:hAnsi="Times New Roman" w:cs="Times New Roman"/>
                <w:sz w:val="24"/>
                <w:szCs w:val="24"/>
              </w:rPr>
              <w:t>Tiek paredz</w:t>
            </w:r>
            <w:r w:rsidR="00760969" w:rsidRPr="00E86DB5">
              <w:rPr>
                <w:rFonts w:ascii="Times New Roman" w:eastAsia="Times New Roman" w:hAnsi="Times New Roman" w:cs="Times New Roman"/>
                <w:sz w:val="24"/>
                <w:szCs w:val="24"/>
              </w:rPr>
              <w:t>ēts, ka</w:t>
            </w:r>
            <w:r w:rsidRPr="00E86DB5">
              <w:rPr>
                <w:rFonts w:ascii="Times New Roman" w:eastAsia="Times New Roman" w:hAnsi="Times New Roman" w:cs="Times New Roman"/>
                <w:sz w:val="24"/>
                <w:szCs w:val="24"/>
              </w:rPr>
              <w:t xml:space="preserve"> </w:t>
            </w:r>
            <w:r w:rsidR="004A4140" w:rsidRPr="00E86DB5">
              <w:rPr>
                <w:rFonts w:ascii="Times New Roman" w:eastAsia="Times New Roman" w:hAnsi="Times New Roman" w:cs="Times New Roman"/>
                <w:sz w:val="24"/>
                <w:szCs w:val="24"/>
              </w:rPr>
              <w:t>grozījumi</w:t>
            </w:r>
            <w:r w:rsidRPr="00E86DB5">
              <w:rPr>
                <w:rFonts w:ascii="Times New Roman" w:eastAsia="Times New Roman" w:hAnsi="Times New Roman" w:cs="Times New Roman"/>
                <w:sz w:val="24"/>
                <w:szCs w:val="24"/>
              </w:rPr>
              <w:t xml:space="preserve"> </w:t>
            </w:r>
            <w:r w:rsidR="00676100" w:rsidRPr="00E86DB5">
              <w:rPr>
                <w:rFonts w:ascii="Times New Roman" w:eastAsia="Times New Roman" w:hAnsi="Times New Roman" w:cs="Times New Roman"/>
                <w:sz w:val="24"/>
                <w:szCs w:val="24"/>
              </w:rPr>
              <w:t xml:space="preserve">PVN likumā </w:t>
            </w:r>
            <w:r w:rsidRPr="00E86DB5">
              <w:rPr>
                <w:rFonts w:ascii="Times New Roman" w:eastAsia="Times New Roman" w:hAnsi="Times New Roman" w:cs="Times New Roman"/>
                <w:sz w:val="24"/>
                <w:szCs w:val="24"/>
              </w:rPr>
              <w:t>stājas spēkā 201</w:t>
            </w:r>
            <w:r w:rsidR="00B76DA4" w:rsidRPr="00E86DB5">
              <w:rPr>
                <w:rFonts w:ascii="Times New Roman" w:eastAsia="Times New Roman" w:hAnsi="Times New Roman" w:cs="Times New Roman"/>
                <w:sz w:val="24"/>
                <w:szCs w:val="24"/>
              </w:rPr>
              <w:t>7.gada 1.janvārī</w:t>
            </w:r>
            <w:r w:rsidRPr="00E86DB5">
              <w:rPr>
                <w:rFonts w:ascii="Times New Roman" w:eastAsia="Times New Roman" w:hAnsi="Times New Roman" w:cs="Times New Roman"/>
                <w:sz w:val="24"/>
                <w:szCs w:val="24"/>
              </w:rPr>
              <w:t>.</w:t>
            </w:r>
          </w:p>
        </w:tc>
      </w:tr>
      <w:tr w:rsidR="00DA6C86" w:rsidRPr="00A7675C" w14:paraId="45248477" w14:textId="77777777" w:rsidTr="008E1F3D">
        <w:trPr>
          <w:trHeight w:val="476"/>
        </w:trPr>
        <w:tc>
          <w:tcPr>
            <w:tcW w:w="224" w:type="pct"/>
          </w:tcPr>
          <w:p w14:paraId="47D08BAC" w14:textId="2E61D3CB" w:rsidR="00DA6C86" w:rsidRPr="00A7675C" w:rsidRDefault="00DA6C86" w:rsidP="00176CB2">
            <w:pPr>
              <w:pStyle w:val="naiskr"/>
              <w:spacing w:before="0" w:beforeAutospacing="0" w:after="0" w:afterAutospacing="0"/>
              <w:ind w:right="57"/>
              <w:jc w:val="center"/>
            </w:pPr>
            <w:r w:rsidRPr="00A7675C">
              <w:lastRenderedPageBreak/>
              <w:t>3.</w:t>
            </w:r>
          </w:p>
        </w:tc>
        <w:tc>
          <w:tcPr>
            <w:tcW w:w="1810" w:type="pct"/>
          </w:tcPr>
          <w:p w14:paraId="268B2326" w14:textId="77777777" w:rsidR="00DA6C86" w:rsidRPr="00A7675C" w:rsidRDefault="00DA6C86" w:rsidP="005E532F">
            <w:pPr>
              <w:pStyle w:val="naiskr"/>
              <w:spacing w:before="0" w:beforeAutospacing="0" w:after="0" w:afterAutospacing="0"/>
              <w:ind w:left="57" w:right="57"/>
            </w:pPr>
            <w:r w:rsidRPr="00A7675C">
              <w:t>Projekta izstrādē iesaistītās institūcijas</w:t>
            </w:r>
          </w:p>
        </w:tc>
        <w:tc>
          <w:tcPr>
            <w:tcW w:w="2966" w:type="pct"/>
          </w:tcPr>
          <w:p w14:paraId="2BD9F350" w14:textId="77777777" w:rsidR="00F16708" w:rsidRDefault="008B26DA" w:rsidP="00F16708">
            <w:pPr>
              <w:spacing w:after="0" w:line="240" w:lineRule="auto"/>
              <w:ind w:left="57" w:right="57"/>
              <w:jc w:val="both"/>
              <w:rPr>
                <w:rFonts w:ascii="Times New Roman" w:hAnsi="Times New Roman" w:cs="Times New Roman"/>
                <w:sz w:val="24"/>
                <w:szCs w:val="24"/>
              </w:rPr>
            </w:pPr>
            <w:r w:rsidRPr="00A7675C">
              <w:rPr>
                <w:rFonts w:ascii="Times New Roman" w:hAnsi="Times New Roman" w:cs="Times New Roman"/>
                <w:sz w:val="24"/>
                <w:szCs w:val="24"/>
              </w:rPr>
              <w:t xml:space="preserve">Projekta izstrādē </w:t>
            </w:r>
            <w:r w:rsidR="00F16708">
              <w:rPr>
                <w:rFonts w:ascii="Times New Roman" w:hAnsi="Times New Roman" w:cs="Times New Roman"/>
                <w:sz w:val="24"/>
                <w:szCs w:val="24"/>
              </w:rPr>
              <w:t>i</w:t>
            </w:r>
            <w:r w:rsidR="00F16708" w:rsidRPr="00A7675C">
              <w:rPr>
                <w:rFonts w:ascii="Times New Roman" w:hAnsi="Times New Roman" w:cs="Times New Roman"/>
                <w:sz w:val="24"/>
                <w:szCs w:val="24"/>
              </w:rPr>
              <w:t>r iesaistīts Valsts ieņēmumu dienests (turpmāk – VID)</w:t>
            </w:r>
            <w:r w:rsidR="00F16708">
              <w:rPr>
                <w:rFonts w:ascii="Times New Roman" w:hAnsi="Times New Roman" w:cs="Times New Roman"/>
                <w:sz w:val="24"/>
                <w:szCs w:val="24"/>
              </w:rPr>
              <w:t>.</w:t>
            </w:r>
          </w:p>
          <w:p w14:paraId="42D01E3B" w14:textId="0B5FFC6D" w:rsidR="006036EF" w:rsidRPr="00A7675C" w:rsidRDefault="00F16708" w:rsidP="00560BAA">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w:t>
            </w:r>
            <w:r w:rsidR="00EB73C2">
              <w:rPr>
                <w:rFonts w:ascii="Times New Roman" w:hAnsi="Times New Roman" w:cs="Times New Roman"/>
                <w:sz w:val="24"/>
                <w:szCs w:val="24"/>
              </w:rPr>
              <w:t xml:space="preserve">ttiecībā uz PVN </w:t>
            </w:r>
            <w:r w:rsidR="00560BAA">
              <w:rPr>
                <w:rFonts w:ascii="Times New Roman" w:hAnsi="Times New Roman" w:cs="Times New Roman"/>
                <w:sz w:val="24"/>
                <w:szCs w:val="24"/>
              </w:rPr>
              <w:t xml:space="preserve">apgrieztās </w:t>
            </w:r>
            <w:r w:rsidR="00EB73C2">
              <w:rPr>
                <w:rFonts w:ascii="Times New Roman" w:hAnsi="Times New Roman" w:cs="Times New Roman"/>
                <w:sz w:val="24"/>
                <w:szCs w:val="24"/>
              </w:rPr>
              <w:t>maksāšanas kārtī</w:t>
            </w:r>
            <w:r w:rsidR="0016158C">
              <w:rPr>
                <w:rFonts w:ascii="Times New Roman" w:hAnsi="Times New Roman" w:cs="Times New Roman"/>
                <w:sz w:val="24"/>
                <w:szCs w:val="24"/>
              </w:rPr>
              <w:t>bas ieviešanu dārgmetālu nozarē</w:t>
            </w:r>
            <w:r w:rsidR="00EB73C2">
              <w:rPr>
                <w:rFonts w:ascii="Times New Roman" w:hAnsi="Times New Roman" w:cs="Times New Roman"/>
                <w:sz w:val="24"/>
                <w:szCs w:val="24"/>
              </w:rPr>
              <w:t xml:space="preserve"> </w:t>
            </w:r>
            <w:r>
              <w:rPr>
                <w:rFonts w:ascii="Times New Roman" w:hAnsi="Times New Roman" w:cs="Times New Roman"/>
                <w:sz w:val="24"/>
                <w:szCs w:val="24"/>
              </w:rPr>
              <w:t>ir iesaistīta</w:t>
            </w:r>
            <w:r w:rsidR="005409BA" w:rsidRPr="00A7675C">
              <w:rPr>
                <w:rFonts w:ascii="Times New Roman" w:hAnsi="Times New Roman" w:cs="Times New Roman"/>
                <w:sz w:val="24"/>
                <w:szCs w:val="24"/>
              </w:rPr>
              <w:t xml:space="preserve"> </w:t>
            </w:r>
            <w:r w:rsidR="00B76DA4">
              <w:rPr>
                <w:rFonts w:ascii="Times New Roman" w:hAnsi="Times New Roman" w:cs="Times New Roman"/>
                <w:sz w:val="24"/>
                <w:szCs w:val="24"/>
              </w:rPr>
              <w:t>VSIA “Latvijas proves birojs”</w:t>
            </w:r>
            <w:r w:rsidR="00EB73C2">
              <w:rPr>
                <w:rFonts w:ascii="Times New Roman" w:hAnsi="Times New Roman" w:cs="Times New Roman"/>
                <w:sz w:val="24"/>
                <w:szCs w:val="24"/>
              </w:rPr>
              <w:t>.</w:t>
            </w:r>
            <w:r w:rsidR="00B76DA4">
              <w:rPr>
                <w:rFonts w:ascii="Times New Roman" w:hAnsi="Times New Roman" w:cs="Times New Roman"/>
                <w:sz w:val="24"/>
                <w:szCs w:val="24"/>
              </w:rPr>
              <w:t xml:space="preserve"> </w:t>
            </w:r>
          </w:p>
        </w:tc>
      </w:tr>
      <w:tr w:rsidR="00DA6C86" w:rsidRPr="00A7675C" w14:paraId="681DCF3A" w14:textId="77777777" w:rsidTr="0012546D">
        <w:trPr>
          <w:trHeight w:val="465"/>
        </w:trPr>
        <w:tc>
          <w:tcPr>
            <w:tcW w:w="224" w:type="pct"/>
          </w:tcPr>
          <w:p w14:paraId="24FAAA90" w14:textId="72B5B54E" w:rsidR="00DA6C86" w:rsidRPr="00A7675C" w:rsidRDefault="00DA6C86" w:rsidP="005E532F">
            <w:pPr>
              <w:pStyle w:val="naiskr"/>
              <w:spacing w:before="0" w:beforeAutospacing="0" w:after="0" w:afterAutospacing="0"/>
              <w:ind w:right="57"/>
              <w:jc w:val="center"/>
            </w:pPr>
            <w:r w:rsidRPr="00A7675C">
              <w:t>4.</w:t>
            </w:r>
          </w:p>
        </w:tc>
        <w:tc>
          <w:tcPr>
            <w:tcW w:w="1810" w:type="pct"/>
          </w:tcPr>
          <w:p w14:paraId="3F6E2E47" w14:textId="77777777" w:rsidR="00DA6C86" w:rsidRPr="00A7675C" w:rsidRDefault="00DA6C86" w:rsidP="005E532F">
            <w:pPr>
              <w:pStyle w:val="naiskr"/>
              <w:spacing w:before="0" w:beforeAutospacing="0" w:after="0" w:afterAutospacing="0"/>
              <w:ind w:left="57" w:right="57"/>
            </w:pPr>
            <w:r w:rsidRPr="00A7675C">
              <w:t>Cita informācija</w:t>
            </w:r>
          </w:p>
        </w:tc>
        <w:tc>
          <w:tcPr>
            <w:tcW w:w="2966" w:type="pct"/>
          </w:tcPr>
          <w:p w14:paraId="00F23D14" w14:textId="2C62C3CC" w:rsidR="00500067" w:rsidRPr="00A7675C" w:rsidRDefault="002546D2" w:rsidP="005E532F">
            <w:pPr>
              <w:spacing w:after="0" w:line="240" w:lineRule="auto"/>
              <w:ind w:left="57" w:right="57"/>
              <w:jc w:val="both"/>
              <w:rPr>
                <w:sz w:val="24"/>
                <w:szCs w:val="24"/>
              </w:rPr>
            </w:pPr>
            <w:r w:rsidRPr="00A7675C">
              <w:rPr>
                <w:rFonts w:ascii="Times New Roman" w:hAnsi="Times New Roman" w:cs="Times New Roman"/>
                <w:sz w:val="24"/>
                <w:szCs w:val="24"/>
              </w:rPr>
              <w:t>Nav</w:t>
            </w:r>
          </w:p>
        </w:tc>
      </w:tr>
    </w:tbl>
    <w:p w14:paraId="5AA3CF4B" w14:textId="77777777" w:rsidR="00BE3ED6" w:rsidRPr="00A7675C" w:rsidRDefault="00BE3ED6">
      <w:pPr>
        <w:rPr>
          <w:sz w:val="24"/>
          <w:szCs w:val="24"/>
        </w:rPr>
      </w:pPr>
    </w:p>
    <w:tbl>
      <w:tblPr>
        <w:tblStyle w:val="TableGrid"/>
        <w:tblW w:w="8789" w:type="dxa"/>
        <w:tblInd w:w="-122" w:type="dxa"/>
        <w:tblLook w:val="04A0" w:firstRow="1" w:lastRow="0" w:firstColumn="1" w:lastColumn="0" w:noHBand="0" w:noVBand="1"/>
      </w:tblPr>
      <w:tblGrid>
        <w:gridCol w:w="432"/>
        <w:gridCol w:w="3402"/>
        <w:gridCol w:w="4955"/>
      </w:tblGrid>
      <w:tr w:rsidR="00900304" w:rsidRPr="00A7675C" w14:paraId="6006F176" w14:textId="77777777" w:rsidTr="00A9511E">
        <w:trPr>
          <w:trHeight w:val="632"/>
        </w:trPr>
        <w:tc>
          <w:tcPr>
            <w:tcW w:w="8789" w:type="dxa"/>
            <w:gridSpan w:val="3"/>
          </w:tcPr>
          <w:p w14:paraId="595452C7" w14:textId="77777777" w:rsidR="00900304" w:rsidRPr="00A7675C" w:rsidRDefault="00900304" w:rsidP="00C171CB">
            <w:pPr>
              <w:ind w:right="57"/>
              <w:jc w:val="center"/>
              <w:rPr>
                <w:rFonts w:ascii="Times New Roman" w:eastAsia="Times New Roman" w:hAnsi="Times New Roman" w:cs="Times New Roman"/>
                <w:b/>
                <w:sz w:val="24"/>
                <w:szCs w:val="24"/>
              </w:rPr>
            </w:pPr>
            <w:r w:rsidRPr="00A7675C">
              <w:rPr>
                <w:rFonts w:ascii="Times New Roman" w:eastAsia="Times New Roman" w:hAnsi="Times New Roman" w:cs="Times New Roman"/>
                <w:b/>
                <w:sz w:val="24"/>
                <w:szCs w:val="24"/>
              </w:rPr>
              <w:t>II. Tiesību akta projekta ietekme uz sabiedrību, tautsaimniecības attīstību</w:t>
            </w:r>
          </w:p>
          <w:p w14:paraId="12F870AA" w14:textId="77777777" w:rsidR="00900304" w:rsidRPr="00A7675C" w:rsidRDefault="00900304" w:rsidP="00C171CB">
            <w:pPr>
              <w:jc w:val="center"/>
              <w:rPr>
                <w:rFonts w:ascii="Times New Roman" w:hAnsi="Times New Roman" w:cs="Times New Roman"/>
                <w:sz w:val="24"/>
                <w:szCs w:val="24"/>
              </w:rPr>
            </w:pPr>
            <w:r w:rsidRPr="00A7675C">
              <w:rPr>
                <w:rFonts w:ascii="Times New Roman" w:eastAsia="Times New Roman" w:hAnsi="Times New Roman" w:cs="Times New Roman"/>
                <w:b/>
                <w:sz w:val="24"/>
                <w:szCs w:val="24"/>
              </w:rPr>
              <w:t>un administratīvo slogu</w:t>
            </w:r>
          </w:p>
        </w:tc>
      </w:tr>
      <w:tr w:rsidR="00F56EA8" w:rsidRPr="00A7675C" w14:paraId="4139A355" w14:textId="77777777" w:rsidTr="00A9511E">
        <w:tc>
          <w:tcPr>
            <w:tcW w:w="432" w:type="dxa"/>
          </w:tcPr>
          <w:p w14:paraId="056A358E"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1.</w:t>
            </w:r>
          </w:p>
        </w:tc>
        <w:tc>
          <w:tcPr>
            <w:tcW w:w="3402" w:type="dxa"/>
          </w:tcPr>
          <w:p w14:paraId="56953B76"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 xml:space="preserve">Sabiedrības </w:t>
            </w:r>
            <w:proofErr w:type="spellStart"/>
            <w:r w:rsidRPr="00A7675C">
              <w:rPr>
                <w:rFonts w:ascii="Times New Roman" w:eastAsia="Times New Roman" w:hAnsi="Times New Roman" w:cs="Times New Roman"/>
                <w:sz w:val="24"/>
                <w:szCs w:val="24"/>
              </w:rPr>
              <w:t>mērķgrupas</w:t>
            </w:r>
            <w:proofErr w:type="spellEnd"/>
            <w:r w:rsidRPr="00A7675C">
              <w:rPr>
                <w:rFonts w:ascii="Times New Roman" w:eastAsia="Times New Roman" w:hAnsi="Times New Roman" w:cs="Times New Roman"/>
                <w:sz w:val="24"/>
                <w:szCs w:val="24"/>
              </w:rPr>
              <w:t>, kuras tiesiskais regulējums ietekmē vai varētu ietekmēt</w:t>
            </w:r>
          </w:p>
        </w:tc>
        <w:tc>
          <w:tcPr>
            <w:tcW w:w="4955" w:type="dxa"/>
          </w:tcPr>
          <w:p w14:paraId="1CE8A476" w14:textId="47C85B81" w:rsidR="00EB03A5" w:rsidRDefault="00EB03A5" w:rsidP="00700AD9">
            <w:pPr>
              <w:spacing w:line="276" w:lineRule="auto"/>
              <w:ind w:left="23" w:right="57"/>
              <w:jc w:val="both"/>
              <w:rPr>
                <w:rFonts w:ascii="Times New Roman" w:hAnsi="Times New Roman" w:cs="Times New Roman"/>
                <w:sz w:val="24"/>
                <w:szCs w:val="24"/>
              </w:rPr>
            </w:pPr>
            <w:r w:rsidRPr="00A7675C">
              <w:rPr>
                <w:rFonts w:ascii="Times New Roman" w:hAnsi="Times New Roman" w:cs="Times New Roman"/>
                <w:sz w:val="24"/>
                <w:szCs w:val="24"/>
              </w:rPr>
              <w:t>Likumprojekta tiesiskais regulējums skar:</w:t>
            </w:r>
          </w:p>
          <w:p w14:paraId="2EEB641B" w14:textId="3D0E8DA0" w:rsidR="00743A6B" w:rsidRPr="00743A6B" w:rsidRDefault="00743A6B" w:rsidP="00676100">
            <w:pPr>
              <w:pStyle w:val="ListParagraph"/>
              <w:numPr>
                <w:ilvl w:val="0"/>
                <w:numId w:val="2"/>
              </w:numPr>
              <w:ind w:left="3" w:right="57" w:firstLine="20"/>
              <w:jc w:val="both"/>
              <w:rPr>
                <w:rFonts w:ascii="Times New Roman" w:hAnsi="Times New Roman" w:cs="Times New Roman"/>
                <w:sz w:val="24"/>
                <w:szCs w:val="24"/>
              </w:rPr>
            </w:pPr>
            <w:r w:rsidRPr="00743A6B">
              <w:rPr>
                <w:rFonts w:ascii="Times New Roman" w:hAnsi="Times New Roman" w:cs="Times New Roman"/>
                <w:sz w:val="24"/>
                <w:szCs w:val="24"/>
              </w:rPr>
              <w:t>reģistrētus PVN maksātājus</w:t>
            </w:r>
            <w:r>
              <w:rPr>
                <w:rFonts w:ascii="Times New Roman" w:hAnsi="Times New Roman" w:cs="Times New Roman"/>
                <w:sz w:val="24"/>
                <w:szCs w:val="24"/>
              </w:rPr>
              <w:t xml:space="preserve">, kas atskaita priekšnodokli </w:t>
            </w:r>
            <w:r w:rsidR="004A39BC">
              <w:rPr>
                <w:rFonts w:ascii="Times New Roman" w:hAnsi="Times New Roman" w:cs="Times New Roman"/>
                <w:sz w:val="24"/>
                <w:szCs w:val="24"/>
              </w:rPr>
              <w:t>par tādas automašīnas iegādi, nomu vai importu</w:t>
            </w:r>
            <w:r>
              <w:rPr>
                <w:rFonts w:ascii="Times New Roman" w:hAnsi="Times New Roman" w:cs="Times New Roman"/>
                <w:sz w:val="24"/>
                <w:szCs w:val="24"/>
              </w:rPr>
              <w:t xml:space="preserve">, kas </w:t>
            </w:r>
            <w:r w:rsidR="00016B39">
              <w:rPr>
                <w:rFonts w:ascii="Times New Roman" w:hAnsi="Times New Roman" w:cs="Times New Roman"/>
                <w:sz w:val="24"/>
                <w:szCs w:val="24"/>
              </w:rPr>
              <w:t>reģistrēta</w:t>
            </w:r>
            <w:r w:rsidR="00650199">
              <w:rPr>
                <w:rFonts w:ascii="Times New Roman" w:hAnsi="Times New Roman" w:cs="Times New Roman"/>
                <w:sz w:val="24"/>
                <w:szCs w:val="24"/>
              </w:rPr>
              <w:t xml:space="preserve"> par kravas </w:t>
            </w:r>
            <w:r>
              <w:rPr>
                <w:rFonts w:ascii="Times New Roman" w:hAnsi="Times New Roman" w:cs="Times New Roman"/>
                <w:sz w:val="24"/>
                <w:szCs w:val="24"/>
              </w:rPr>
              <w:t>autom</w:t>
            </w:r>
            <w:r w:rsidR="004A39BC">
              <w:rPr>
                <w:rFonts w:ascii="Times New Roman" w:hAnsi="Times New Roman" w:cs="Times New Roman"/>
                <w:sz w:val="24"/>
                <w:szCs w:val="24"/>
              </w:rPr>
              <w:t xml:space="preserve">ašīnu </w:t>
            </w:r>
            <w:r w:rsidR="00650199">
              <w:rPr>
                <w:rFonts w:ascii="Times New Roman" w:hAnsi="Times New Roman" w:cs="Times New Roman"/>
                <w:sz w:val="24"/>
                <w:szCs w:val="24"/>
              </w:rPr>
              <w:t>(</w:t>
            </w:r>
            <w:r>
              <w:rPr>
                <w:rFonts w:ascii="Times New Roman" w:hAnsi="Times New Roman" w:cs="Times New Roman"/>
                <w:sz w:val="24"/>
                <w:szCs w:val="24"/>
              </w:rPr>
              <w:t>N1 kategorija</w:t>
            </w:r>
            <w:r w:rsidR="00650199">
              <w:rPr>
                <w:rFonts w:ascii="Times New Roman" w:hAnsi="Times New Roman" w:cs="Times New Roman"/>
                <w:sz w:val="24"/>
                <w:szCs w:val="24"/>
              </w:rPr>
              <w:t>)</w:t>
            </w:r>
            <w:r>
              <w:rPr>
                <w:rFonts w:ascii="Times New Roman" w:hAnsi="Times New Roman" w:cs="Times New Roman"/>
                <w:sz w:val="24"/>
                <w:szCs w:val="24"/>
              </w:rPr>
              <w:t xml:space="preserve"> un vienlaikus uzskatām</w:t>
            </w:r>
            <w:r w:rsidR="004A39BC">
              <w:rPr>
                <w:rFonts w:ascii="Times New Roman" w:hAnsi="Times New Roman" w:cs="Times New Roman"/>
                <w:sz w:val="24"/>
                <w:szCs w:val="24"/>
              </w:rPr>
              <w:t>a</w:t>
            </w:r>
            <w:r>
              <w:rPr>
                <w:rFonts w:ascii="Times New Roman" w:hAnsi="Times New Roman" w:cs="Times New Roman"/>
                <w:sz w:val="24"/>
                <w:szCs w:val="24"/>
              </w:rPr>
              <w:t xml:space="preserve"> par reprezentatīvu automobili atbilstoši </w:t>
            </w:r>
            <w:r w:rsidRPr="00743A6B">
              <w:rPr>
                <w:rFonts w:ascii="Times New Roman" w:hAnsi="Times New Roman" w:cs="Times New Roman"/>
                <w:sz w:val="24"/>
                <w:szCs w:val="24"/>
              </w:rPr>
              <w:t>uzņēmumu ienākuma nodokli regulējoš</w:t>
            </w:r>
            <w:r>
              <w:rPr>
                <w:rFonts w:ascii="Times New Roman" w:hAnsi="Times New Roman" w:cs="Times New Roman"/>
                <w:sz w:val="24"/>
                <w:szCs w:val="24"/>
              </w:rPr>
              <w:t>ajos normatīvajos aktos noteiktajai</w:t>
            </w:r>
            <w:r w:rsidRPr="00743A6B">
              <w:rPr>
                <w:rFonts w:ascii="Times New Roman" w:hAnsi="Times New Roman" w:cs="Times New Roman"/>
                <w:sz w:val="24"/>
                <w:szCs w:val="24"/>
              </w:rPr>
              <w:t xml:space="preserve"> reprezentatīvā </w:t>
            </w:r>
            <w:r>
              <w:rPr>
                <w:rFonts w:ascii="Times New Roman" w:hAnsi="Times New Roman" w:cs="Times New Roman"/>
                <w:sz w:val="24"/>
                <w:szCs w:val="24"/>
              </w:rPr>
              <w:t>automobiļa vērtībai;</w:t>
            </w:r>
          </w:p>
          <w:p w14:paraId="7CDCE492" w14:textId="725C09E4" w:rsidR="00291829" w:rsidRPr="00A7675C" w:rsidRDefault="00A11C90" w:rsidP="003975D3">
            <w:pPr>
              <w:pStyle w:val="ListParagraph"/>
              <w:numPr>
                <w:ilvl w:val="0"/>
                <w:numId w:val="2"/>
              </w:numPr>
              <w:ind w:left="3" w:right="57" w:firstLine="20"/>
              <w:jc w:val="both"/>
              <w:rPr>
                <w:rFonts w:ascii="Times New Roman" w:hAnsi="Times New Roman" w:cs="Times New Roman"/>
                <w:sz w:val="24"/>
                <w:szCs w:val="24"/>
              </w:rPr>
            </w:pPr>
            <w:r w:rsidRPr="00A7675C">
              <w:rPr>
                <w:rFonts w:ascii="Times New Roman" w:hAnsi="Times New Roman" w:cs="Times New Roman"/>
                <w:sz w:val="24"/>
                <w:szCs w:val="24"/>
              </w:rPr>
              <w:t>reģistrētu</w:t>
            </w:r>
            <w:r w:rsidR="00700AD9" w:rsidRPr="00A7675C">
              <w:rPr>
                <w:rFonts w:ascii="Times New Roman" w:hAnsi="Times New Roman" w:cs="Times New Roman"/>
                <w:sz w:val="24"/>
                <w:szCs w:val="24"/>
              </w:rPr>
              <w:t>s</w:t>
            </w:r>
            <w:r w:rsidRPr="00A7675C">
              <w:rPr>
                <w:rFonts w:ascii="Times New Roman" w:hAnsi="Times New Roman" w:cs="Times New Roman"/>
                <w:sz w:val="24"/>
                <w:szCs w:val="24"/>
              </w:rPr>
              <w:t xml:space="preserve"> PVN maksātāju</w:t>
            </w:r>
            <w:r w:rsidR="00700AD9" w:rsidRPr="00A7675C">
              <w:rPr>
                <w:rFonts w:ascii="Times New Roman" w:hAnsi="Times New Roman" w:cs="Times New Roman"/>
                <w:sz w:val="24"/>
                <w:szCs w:val="24"/>
              </w:rPr>
              <w:t>s</w:t>
            </w:r>
            <w:r w:rsidR="0049379D" w:rsidRPr="00A7675C">
              <w:rPr>
                <w:rFonts w:ascii="Times New Roman" w:hAnsi="Times New Roman" w:cs="Times New Roman"/>
                <w:sz w:val="24"/>
                <w:szCs w:val="24"/>
              </w:rPr>
              <w:t xml:space="preserve">, kas </w:t>
            </w:r>
            <w:r w:rsidR="003975D3">
              <w:rPr>
                <w:rFonts w:ascii="Times New Roman" w:hAnsi="Times New Roman" w:cs="Times New Roman"/>
                <w:sz w:val="24"/>
                <w:szCs w:val="24"/>
              </w:rPr>
              <w:t xml:space="preserve">ir </w:t>
            </w:r>
            <w:r w:rsidR="00BA00BB" w:rsidRPr="00560BAA">
              <w:rPr>
                <w:rFonts w:ascii="Times New Roman" w:hAnsi="Times New Roman" w:cs="Times New Roman"/>
                <w:sz w:val="24"/>
                <w:szCs w:val="24"/>
              </w:rPr>
              <w:t xml:space="preserve">neapstrādātu </w:t>
            </w:r>
            <w:r w:rsidR="00676100" w:rsidRPr="00560BAA">
              <w:rPr>
                <w:rFonts w:ascii="Times New Roman" w:eastAsia="Times New Roman" w:hAnsi="Times New Roman" w:cs="Times New Roman"/>
                <w:color w:val="000000"/>
                <w:sz w:val="24"/>
                <w:szCs w:val="24"/>
              </w:rPr>
              <w:t>dārgmetālu</w:t>
            </w:r>
            <w:r w:rsidR="00676100">
              <w:rPr>
                <w:rFonts w:ascii="Times New Roman" w:eastAsia="Times New Roman" w:hAnsi="Times New Roman" w:cs="Times New Roman"/>
                <w:color w:val="000000"/>
                <w:sz w:val="24"/>
                <w:szCs w:val="24"/>
              </w:rPr>
              <w:t xml:space="preserve"> un to pusfabrikātu</w:t>
            </w:r>
            <w:r w:rsidR="00676100" w:rsidRPr="00560BAA">
              <w:rPr>
                <w:rFonts w:ascii="Times New Roman" w:eastAsia="Times New Roman" w:hAnsi="Times New Roman" w:cs="Times New Roman"/>
                <w:color w:val="000000"/>
                <w:sz w:val="24"/>
                <w:szCs w:val="24"/>
              </w:rPr>
              <w:t>, dārgmetālu sakausējumu</w:t>
            </w:r>
            <w:r w:rsidR="00676100">
              <w:rPr>
                <w:rFonts w:ascii="Times New Roman" w:eastAsia="Times New Roman" w:hAnsi="Times New Roman" w:cs="Times New Roman"/>
                <w:color w:val="000000"/>
                <w:sz w:val="24"/>
                <w:szCs w:val="24"/>
              </w:rPr>
              <w:t xml:space="preserve"> un to pusfabrikātu</w:t>
            </w:r>
            <w:r w:rsidR="00BA00BB" w:rsidRPr="00560BAA">
              <w:rPr>
                <w:rFonts w:ascii="Times New Roman" w:hAnsi="Times New Roman" w:cs="Times New Roman"/>
                <w:sz w:val="24"/>
                <w:szCs w:val="24"/>
              </w:rPr>
              <w:t xml:space="preserve">, dārgmetālu </w:t>
            </w:r>
            <w:proofErr w:type="spellStart"/>
            <w:r w:rsidR="00BA00BB" w:rsidRPr="00560BAA">
              <w:rPr>
                <w:rFonts w:ascii="Times New Roman" w:hAnsi="Times New Roman" w:cs="Times New Roman"/>
                <w:sz w:val="24"/>
                <w:szCs w:val="24"/>
              </w:rPr>
              <w:t>plaķētu</w:t>
            </w:r>
            <w:proofErr w:type="spellEnd"/>
            <w:r w:rsidR="00BA00BB" w:rsidRPr="00560BAA">
              <w:rPr>
                <w:rFonts w:ascii="Times New Roman" w:hAnsi="Times New Roman" w:cs="Times New Roman"/>
                <w:sz w:val="24"/>
                <w:szCs w:val="24"/>
              </w:rPr>
              <w:t xml:space="preserve"> metālu, dārgmetālu lūžņu un atlūz</w:t>
            </w:r>
            <w:r w:rsidR="003975D3">
              <w:rPr>
                <w:rFonts w:ascii="Times New Roman" w:hAnsi="Times New Roman" w:cs="Times New Roman"/>
                <w:sz w:val="24"/>
                <w:szCs w:val="24"/>
              </w:rPr>
              <w:t>u</w:t>
            </w:r>
            <w:r w:rsidR="003975D3" w:rsidRPr="00A7675C">
              <w:rPr>
                <w:rFonts w:ascii="Times New Roman" w:hAnsi="Times New Roman" w:cs="Times New Roman"/>
                <w:sz w:val="24"/>
                <w:szCs w:val="24"/>
              </w:rPr>
              <w:t xml:space="preserve"> piegādā</w:t>
            </w:r>
            <w:r w:rsidR="003975D3">
              <w:rPr>
                <w:rFonts w:ascii="Times New Roman" w:hAnsi="Times New Roman" w:cs="Times New Roman"/>
                <w:sz w:val="24"/>
                <w:szCs w:val="24"/>
              </w:rPr>
              <w:t>tāji vai saņēmēji.</w:t>
            </w:r>
          </w:p>
        </w:tc>
      </w:tr>
      <w:tr w:rsidR="00F56EA8" w:rsidRPr="00A7675C" w14:paraId="778DD0C3" w14:textId="77777777" w:rsidTr="00A9511E">
        <w:tc>
          <w:tcPr>
            <w:tcW w:w="432" w:type="dxa"/>
          </w:tcPr>
          <w:p w14:paraId="5B3BDC1A" w14:textId="31C3898A"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2.</w:t>
            </w:r>
          </w:p>
        </w:tc>
        <w:tc>
          <w:tcPr>
            <w:tcW w:w="3402" w:type="dxa"/>
          </w:tcPr>
          <w:p w14:paraId="2277C4B0" w14:textId="77777777" w:rsidR="00F56EA8" w:rsidRPr="00A7675C" w:rsidRDefault="00F56EA8" w:rsidP="00F56EA8">
            <w:pPr>
              <w:rPr>
                <w:rFonts w:ascii="Times New Roman" w:hAnsi="Times New Roman" w:cs="Times New Roman"/>
                <w:sz w:val="24"/>
                <w:szCs w:val="24"/>
              </w:rPr>
            </w:pPr>
            <w:r w:rsidRPr="00A7675C">
              <w:rPr>
                <w:rFonts w:ascii="Times New Roman" w:eastAsia="Times New Roman" w:hAnsi="Times New Roman" w:cs="Times New Roman"/>
                <w:sz w:val="24"/>
                <w:szCs w:val="24"/>
              </w:rPr>
              <w:t>Tiesiskā regulējuma ietekme uz tautsaimniecību un administratīvo slogu</w:t>
            </w:r>
          </w:p>
        </w:tc>
        <w:tc>
          <w:tcPr>
            <w:tcW w:w="4955" w:type="dxa"/>
          </w:tcPr>
          <w:p w14:paraId="11B82DF0" w14:textId="38797BFB" w:rsidR="001219DB" w:rsidRDefault="00976CBC" w:rsidP="002327F8">
            <w:pPr>
              <w:jc w:val="both"/>
              <w:rPr>
                <w:rFonts w:ascii="Times New Roman" w:hAnsi="Times New Roman" w:cs="Times New Roman"/>
                <w:sz w:val="24"/>
                <w:szCs w:val="24"/>
              </w:rPr>
            </w:pPr>
            <w:r>
              <w:rPr>
                <w:rFonts w:ascii="Times New Roman" w:hAnsi="Times New Roman" w:cs="Times New Roman"/>
                <w:sz w:val="24"/>
                <w:szCs w:val="24"/>
              </w:rPr>
              <w:t>Ar likumprojekt</w:t>
            </w:r>
            <w:r w:rsidR="00DD5240">
              <w:rPr>
                <w:rFonts w:ascii="Times New Roman" w:hAnsi="Times New Roman" w:cs="Times New Roman"/>
                <w:sz w:val="24"/>
                <w:szCs w:val="24"/>
              </w:rPr>
              <w:t>a ieviešanu</w:t>
            </w:r>
            <w:r>
              <w:rPr>
                <w:rFonts w:ascii="Times New Roman" w:hAnsi="Times New Roman" w:cs="Times New Roman"/>
                <w:sz w:val="24"/>
                <w:szCs w:val="24"/>
              </w:rPr>
              <w:t xml:space="preserve"> tiks </w:t>
            </w:r>
            <w:r w:rsidR="00B8643A">
              <w:rPr>
                <w:rFonts w:ascii="Times New Roman" w:hAnsi="Times New Roman" w:cs="Times New Roman"/>
                <w:sz w:val="24"/>
                <w:szCs w:val="24"/>
              </w:rPr>
              <w:t>līdzsvarotas</w:t>
            </w:r>
            <w:r w:rsidR="00016B39">
              <w:rPr>
                <w:rFonts w:ascii="Times New Roman" w:hAnsi="Times New Roman" w:cs="Times New Roman"/>
                <w:sz w:val="24"/>
                <w:szCs w:val="24"/>
              </w:rPr>
              <w:t xml:space="preserve"> uzņēmumu ienākuma</w:t>
            </w:r>
            <w:r>
              <w:rPr>
                <w:rFonts w:ascii="Times New Roman" w:hAnsi="Times New Roman" w:cs="Times New Roman"/>
                <w:sz w:val="24"/>
                <w:szCs w:val="24"/>
              </w:rPr>
              <w:t xml:space="preserve"> nodokļa un PVN normas attiecībā uz reprezentatīvajiem automobiļiem, kā </w:t>
            </w:r>
            <w:r w:rsidR="00DD5240">
              <w:rPr>
                <w:rFonts w:ascii="Times New Roman" w:hAnsi="Times New Roman" w:cs="Times New Roman"/>
                <w:sz w:val="24"/>
                <w:szCs w:val="24"/>
              </w:rPr>
              <w:t>rezultātā tiks novērstas situācijas, kad reģistrēts PVN maksātājs nepamatoti izmanto iespēju atskaitīt priekšnodokli par automašīnu, kura apzināti ir pārbūvēta no M1 par N1 kategorijas automašīnu vai tā jau sākotnēji ir iegādāta kā N1 kategorijas automašīna</w:t>
            </w:r>
            <w:r w:rsidR="00F34B94">
              <w:rPr>
                <w:rFonts w:ascii="Times New Roman" w:hAnsi="Times New Roman" w:cs="Times New Roman"/>
                <w:sz w:val="24"/>
                <w:szCs w:val="24"/>
              </w:rPr>
              <w:t xml:space="preserve"> un vienlaikus, kuras</w:t>
            </w:r>
            <w:r w:rsidR="00DD5240">
              <w:rPr>
                <w:rFonts w:ascii="Times New Roman" w:hAnsi="Times New Roman" w:cs="Times New Roman"/>
                <w:sz w:val="24"/>
                <w:szCs w:val="24"/>
              </w:rPr>
              <w:t xml:space="preserve"> </w:t>
            </w:r>
            <w:r w:rsidR="00F34B94">
              <w:rPr>
                <w:rFonts w:ascii="Times New Roman" w:hAnsi="Times New Roman" w:cs="Times New Roman"/>
                <w:sz w:val="24"/>
                <w:szCs w:val="24"/>
              </w:rPr>
              <w:t xml:space="preserve">vērtība bez PVN pārsniedz 50 000 </w:t>
            </w:r>
            <w:proofErr w:type="spellStart"/>
            <w:r w:rsidR="00F34B94" w:rsidRPr="00E86DB5">
              <w:rPr>
                <w:rFonts w:ascii="Times New Roman" w:hAnsi="Times New Roman" w:cs="Times New Roman"/>
                <w:i/>
                <w:sz w:val="24"/>
                <w:szCs w:val="24"/>
              </w:rPr>
              <w:t>euro</w:t>
            </w:r>
            <w:proofErr w:type="spellEnd"/>
            <w:r w:rsidR="00F34B94">
              <w:rPr>
                <w:rFonts w:ascii="Times New Roman" w:hAnsi="Times New Roman" w:cs="Times New Roman"/>
                <w:sz w:val="24"/>
                <w:szCs w:val="24"/>
              </w:rPr>
              <w:t xml:space="preserve">, tādējādi ar nodomu mainot automašīnas </w:t>
            </w:r>
            <w:r w:rsidR="001219DB">
              <w:rPr>
                <w:rFonts w:ascii="Times New Roman" w:hAnsi="Times New Roman" w:cs="Times New Roman"/>
                <w:sz w:val="24"/>
                <w:szCs w:val="24"/>
              </w:rPr>
              <w:t>statusu, kura tiek izmantota ar PVN apliekamo darījumu veikšanai.</w:t>
            </w:r>
          </w:p>
          <w:p w14:paraId="5C982F72" w14:textId="47E6F2B6" w:rsidR="007B7E52" w:rsidRDefault="00215E60" w:rsidP="007B7E52">
            <w:pPr>
              <w:jc w:val="both"/>
              <w:rPr>
                <w:rFonts w:ascii="Times New Roman" w:hAnsi="Times New Roman" w:cs="Times New Roman"/>
                <w:sz w:val="24"/>
                <w:szCs w:val="24"/>
              </w:rPr>
            </w:pPr>
            <w:r>
              <w:rPr>
                <w:rFonts w:ascii="Times New Roman" w:hAnsi="Times New Roman" w:cs="Times New Roman"/>
                <w:sz w:val="24"/>
                <w:szCs w:val="24"/>
              </w:rPr>
              <w:t xml:space="preserve">Likumprojekta ieviešana </w:t>
            </w:r>
            <w:r w:rsidR="00AA1998">
              <w:rPr>
                <w:rFonts w:ascii="Times New Roman" w:hAnsi="Times New Roman" w:cs="Times New Roman"/>
                <w:sz w:val="24"/>
                <w:szCs w:val="24"/>
              </w:rPr>
              <w:t>varētu radīt papildu izdevumus tiem saimnieciskās darbības veicējiem, kas savas saimnieciskās darbības nodrošināšanai izmanto automašīnu un līdz šim tā nav bijusi aprīkota ar maršruta kontroles sistēmu (GPS).</w:t>
            </w:r>
          </w:p>
          <w:p w14:paraId="7EF4271F" w14:textId="3BE49481" w:rsidR="00215E60" w:rsidRPr="00A7675C" w:rsidRDefault="007B7E52" w:rsidP="004C7982">
            <w:pPr>
              <w:jc w:val="both"/>
              <w:rPr>
                <w:rFonts w:ascii="Times New Roman" w:hAnsi="Times New Roman" w:cs="Times New Roman"/>
                <w:sz w:val="24"/>
                <w:szCs w:val="24"/>
              </w:rPr>
            </w:pPr>
            <w:r w:rsidRPr="00A7675C">
              <w:rPr>
                <w:rFonts w:ascii="Times New Roman" w:hAnsi="Times New Roman" w:cs="Times New Roman"/>
                <w:sz w:val="24"/>
                <w:szCs w:val="24"/>
              </w:rPr>
              <w:t>Likumprojekta ieviešana pozitīvi ietekmēs uzņēmējdarbības vidi</w:t>
            </w:r>
            <w:r w:rsidR="004C7982">
              <w:rPr>
                <w:rFonts w:ascii="Times New Roman" w:eastAsia="Times New Roman" w:hAnsi="Times New Roman" w:cs="Times New Roman"/>
                <w:color w:val="000000"/>
                <w:sz w:val="24"/>
                <w:szCs w:val="24"/>
              </w:rPr>
              <w:t xml:space="preserve"> dārgmetālu</w:t>
            </w:r>
            <w:r w:rsidR="004C7982" w:rsidRPr="00A7675C">
              <w:rPr>
                <w:rFonts w:ascii="Times New Roman" w:eastAsia="Times New Roman" w:hAnsi="Times New Roman" w:cs="Times New Roman"/>
                <w:color w:val="000000"/>
                <w:sz w:val="24"/>
                <w:szCs w:val="24"/>
              </w:rPr>
              <w:t xml:space="preserve"> </w:t>
            </w:r>
            <w:r w:rsidR="004C7982" w:rsidRPr="00A7675C">
              <w:rPr>
                <w:rFonts w:ascii="Times New Roman" w:eastAsia="Times New Roman" w:hAnsi="Times New Roman" w:cs="Times New Roman"/>
                <w:sz w:val="24"/>
                <w:szCs w:val="24"/>
              </w:rPr>
              <w:t>nozarē</w:t>
            </w:r>
            <w:r w:rsidRPr="00A7675C">
              <w:rPr>
                <w:rFonts w:ascii="Times New Roman" w:hAnsi="Times New Roman" w:cs="Times New Roman"/>
                <w:sz w:val="24"/>
                <w:szCs w:val="24"/>
              </w:rPr>
              <w:t xml:space="preserve">, jo </w:t>
            </w:r>
            <w:r w:rsidRPr="00A7675C">
              <w:rPr>
                <w:rFonts w:ascii="Times New Roman" w:eastAsia="Calibri" w:hAnsi="Times New Roman" w:cs="Times New Roman"/>
                <w:sz w:val="24"/>
                <w:szCs w:val="24"/>
                <w:lang w:eastAsia="en-US"/>
              </w:rPr>
              <w:t>mazinās</w:t>
            </w:r>
            <w:r w:rsidR="004C7982">
              <w:rPr>
                <w:rFonts w:ascii="Times New Roman" w:eastAsia="Calibri" w:hAnsi="Times New Roman" w:cs="Times New Roman"/>
                <w:sz w:val="24"/>
                <w:szCs w:val="24"/>
                <w:lang w:eastAsia="en-US"/>
              </w:rPr>
              <w:t>ies</w:t>
            </w:r>
            <w:r w:rsidRPr="00A7675C">
              <w:rPr>
                <w:rFonts w:ascii="Times New Roman" w:eastAsia="Calibri" w:hAnsi="Times New Roman" w:cs="Times New Roman"/>
                <w:sz w:val="24"/>
                <w:szCs w:val="24"/>
                <w:lang w:eastAsia="en-US"/>
              </w:rPr>
              <w:t xml:space="preserve"> </w:t>
            </w:r>
            <w:r w:rsidRPr="00A7675C">
              <w:rPr>
                <w:rFonts w:ascii="Times New Roman" w:eastAsia="Times New Roman" w:hAnsi="Times New Roman" w:cs="Times New Roman"/>
                <w:color w:val="000000"/>
                <w:sz w:val="24"/>
                <w:szCs w:val="24"/>
              </w:rPr>
              <w:t>nemaksāšanas ris</w:t>
            </w:r>
            <w:r w:rsidR="004C7982">
              <w:rPr>
                <w:rFonts w:ascii="Times New Roman" w:eastAsia="Times New Roman" w:hAnsi="Times New Roman" w:cs="Times New Roman"/>
                <w:color w:val="000000"/>
                <w:sz w:val="24"/>
                <w:szCs w:val="24"/>
              </w:rPr>
              <w:t xml:space="preserve">ks un </w:t>
            </w:r>
            <w:proofErr w:type="spellStart"/>
            <w:r w:rsidR="004C7982">
              <w:rPr>
                <w:rFonts w:ascii="Times New Roman" w:eastAsia="Times New Roman" w:hAnsi="Times New Roman" w:cs="Times New Roman"/>
                <w:color w:val="000000"/>
                <w:sz w:val="24"/>
                <w:szCs w:val="24"/>
              </w:rPr>
              <w:t>krāpniecība</w:t>
            </w:r>
            <w:proofErr w:type="spellEnd"/>
            <w:r w:rsidR="004C7982" w:rsidRPr="00A7675C">
              <w:rPr>
                <w:rFonts w:ascii="Times New Roman" w:eastAsia="Times New Roman" w:hAnsi="Times New Roman" w:cs="Times New Roman"/>
                <w:color w:val="000000"/>
                <w:sz w:val="24"/>
                <w:szCs w:val="24"/>
              </w:rPr>
              <w:t xml:space="preserve"> PVN</w:t>
            </w:r>
            <w:r w:rsidR="004C7982">
              <w:rPr>
                <w:rFonts w:ascii="Times New Roman" w:eastAsia="Times New Roman" w:hAnsi="Times New Roman" w:cs="Times New Roman"/>
                <w:color w:val="000000"/>
                <w:sz w:val="24"/>
                <w:szCs w:val="24"/>
              </w:rPr>
              <w:t xml:space="preserve"> jomā.</w:t>
            </w:r>
          </w:p>
        </w:tc>
      </w:tr>
      <w:tr w:rsidR="002546D2" w:rsidRPr="00A7675C" w14:paraId="48717892" w14:textId="77777777" w:rsidTr="002546D2">
        <w:tc>
          <w:tcPr>
            <w:tcW w:w="432" w:type="dxa"/>
          </w:tcPr>
          <w:p w14:paraId="168EB676" w14:textId="4DFE4FA9"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3.</w:t>
            </w:r>
          </w:p>
        </w:tc>
        <w:tc>
          <w:tcPr>
            <w:tcW w:w="3402" w:type="dxa"/>
          </w:tcPr>
          <w:p w14:paraId="7BFA9CD0"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Administratīvo izmaksu monetārs novērtējums</w:t>
            </w:r>
          </w:p>
        </w:tc>
        <w:tc>
          <w:tcPr>
            <w:tcW w:w="4955" w:type="dxa"/>
            <w:vAlign w:val="center"/>
          </w:tcPr>
          <w:p w14:paraId="608801BF" w14:textId="3A39413F" w:rsidR="004E48E3" w:rsidRDefault="00D94D3E" w:rsidP="00E86DB5">
            <w:pPr>
              <w:jc w:val="both"/>
              <w:rPr>
                <w:rFonts w:ascii="Times New Roman" w:hAnsi="Times New Roman" w:cs="Times New Roman"/>
                <w:sz w:val="24"/>
                <w:szCs w:val="24"/>
              </w:rPr>
            </w:pPr>
            <w:r>
              <w:rPr>
                <w:rFonts w:ascii="Times New Roman" w:hAnsi="Times New Roman" w:cs="Times New Roman"/>
                <w:sz w:val="24"/>
                <w:szCs w:val="24"/>
              </w:rPr>
              <w:t xml:space="preserve">Ņemot vērā, ka tiek noteiktas papildu prasības tiem saimnieciskās darbības veicējiem, kuru automašīnas līdz šim nav bijušas aprīkotas ar </w:t>
            </w:r>
            <w:r w:rsidRPr="00D94D3E">
              <w:rPr>
                <w:rFonts w:ascii="Times New Roman" w:hAnsi="Times New Roman" w:cs="Times New Roman"/>
                <w:sz w:val="24"/>
                <w:szCs w:val="24"/>
              </w:rPr>
              <w:t>maršruta kontroles sistēmu (GPS)</w:t>
            </w:r>
            <w:r>
              <w:rPr>
                <w:rFonts w:ascii="Times New Roman" w:hAnsi="Times New Roman" w:cs="Times New Roman"/>
                <w:sz w:val="24"/>
                <w:szCs w:val="24"/>
              </w:rPr>
              <w:t>, iespējams palie</w:t>
            </w:r>
            <w:r w:rsidR="004E48E3">
              <w:rPr>
                <w:rFonts w:ascii="Times New Roman" w:hAnsi="Times New Roman" w:cs="Times New Roman"/>
                <w:sz w:val="24"/>
                <w:szCs w:val="24"/>
              </w:rPr>
              <w:t xml:space="preserve">lināsies administratīvais slogs. Pamatojoties uz šobrīd </w:t>
            </w:r>
            <w:r w:rsidR="00D33110">
              <w:rPr>
                <w:rFonts w:ascii="Times New Roman" w:hAnsi="Times New Roman" w:cs="Times New Roman"/>
                <w:sz w:val="24"/>
                <w:szCs w:val="24"/>
              </w:rPr>
              <w:t xml:space="preserve">internetā pieejamo informāciju </w:t>
            </w:r>
            <w:r w:rsidR="004E48E3">
              <w:rPr>
                <w:rFonts w:ascii="Times New Roman" w:hAnsi="Times New Roman" w:cs="Times New Roman"/>
                <w:sz w:val="24"/>
                <w:szCs w:val="24"/>
              </w:rPr>
              <w:t>maršruta kontroles sistēmas</w:t>
            </w:r>
            <w:r w:rsidR="004E48E3" w:rsidRPr="004E48E3">
              <w:rPr>
                <w:rFonts w:ascii="Times New Roman" w:hAnsi="Times New Roman" w:cs="Times New Roman"/>
                <w:sz w:val="24"/>
                <w:szCs w:val="24"/>
              </w:rPr>
              <w:t xml:space="preserve"> (GPS)</w:t>
            </w:r>
            <w:r>
              <w:rPr>
                <w:rFonts w:ascii="Times New Roman" w:hAnsi="Times New Roman" w:cs="Times New Roman"/>
                <w:sz w:val="24"/>
                <w:szCs w:val="24"/>
              </w:rPr>
              <w:t xml:space="preserve"> </w:t>
            </w:r>
            <w:r w:rsidR="004E48E3">
              <w:rPr>
                <w:rFonts w:ascii="Times New Roman" w:hAnsi="Times New Roman" w:cs="Times New Roman"/>
                <w:sz w:val="24"/>
                <w:szCs w:val="24"/>
              </w:rPr>
              <w:t>iekārtas ieg</w:t>
            </w:r>
            <w:r w:rsidR="00A14261">
              <w:rPr>
                <w:rFonts w:ascii="Times New Roman" w:hAnsi="Times New Roman" w:cs="Times New Roman"/>
                <w:sz w:val="24"/>
                <w:szCs w:val="24"/>
              </w:rPr>
              <w:t>āde un</w:t>
            </w:r>
            <w:r w:rsidR="004E48E3">
              <w:rPr>
                <w:rFonts w:ascii="Times New Roman" w:hAnsi="Times New Roman" w:cs="Times New Roman"/>
                <w:sz w:val="24"/>
                <w:szCs w:val="24"/>
              </w:rPr>
              <w:t xml:space="preserve"> tās uzstādīšana varētu izmaksāt aptuveni 135,00 </w:t>
            </w:r>
            <w:proofErr w:type="spellStart"/>
            <w:r w:rsidR="004E48E3" w:rsidRPr="004E48E3">
              <w:rPr>
                <w:rFonts w:ascii="Times New Roman" w:hAnsi="Times New Roman" w:cs="Times New Roman"/>
                <w:i/>
                <w:sz w:val="24"/>
                <w:szCs w:val="24"/>
              </w:rPr>
              <w:t>euro</w:t>
            </w:r>
            <w:proofErr w:type="spellEnd"/>
            <w:r w:rsidR="004E48E3">
              <w:rPr>
                <w:rFonts w:ascii="Times New Roman" w:hAnsi="Times New Roman" w:cs="Times New Roman"/>
                <w:sz w:val="24"/>
                <w:szCs w:val="24"/>
              </w:rPr>
              <w:t xml:space="preserve"> (bez PVN)</w:t>
            </w:r>
            <w:r w:rsidR="00A14261">
              <w:rPr>
                <w:rFonts w:ascii="Times New Roman" w:hAnsi="Times New Roman" w:cs="Times New Roman"/>
                <w:sz w:val="24"/>
                <w:szCs w:val="24"/>
              </w:rPr>
              <w:t>, savukārt</w:t>
            </w:r>
            <w:r w:rsidR="004E48E3">
              <w:rPr>
                <w:rFonts w:ascii="Times New Roman" w:hAnsi="Times New Roman" w:cs="Times New Roman"/>
                <w:sz w:val="24"/>
                <w:szCs w:val="24"/>
              </w:rPr>
              <w:t xml:space="preserve"> ikmēneša sistēmas uzturēšanas izmaksas </w:t>
            </w:r>
            <w:r w:rsidR="00D33110">
              <w:rPr>
                <w:rFonts w:ascii="Times New Roman" w:hAnsi="Times New Roman" w:cs="Times New Roman"/>
                <w:sz w:val="24"/>
                <w:szCs w:val="24"/>
              </w:rPr>
              <w:t xml:space="preserve">maršrutos pa Latvijas teritoriju </w:t>
            </w:r>
            <w:r w:rsidR="004E48E3">
              <w:rPr>
                <w:rFonts w:ascii="Times New Roman" w:hAnsi="Times New Roman" w:cs="Times New Roman"/>
                <w:sz w:val="24"/>
                <w:szCs w:val="24"/>
              </w:rPr>
              <w:t xml:space="preserve">varētu sastādīt aptuveni 7,00 </w:t>
            </w:r>
            <w:proofErr w:type="spellStart"/>
            <w:r w:rsidR="004E48E3" w:rsidRPr="004E48E3">
              <w:rPr>
                <w:rFonts w:ascii="Times New Roman" w:hAnsi="Times New Roman" w:cs="Times New Roman"/>
                <w:i/>
                <w:sz w:val="24"/>
                <w:szCs w:val="24"/>
              </w:rPr>
              <w:t>euro</w:t>
            </w:r>
            <w:proofErr w:type="spellEnd"/>
            <w:r w:rsidR="004E48E3">
              <w:rPr>
                <w:rFonts w:ascii="Times New Roman" w:hAnsi="Times New Roman" w:cs="Times New Roman"/>
                <w:sz w:val="24"/>
                <w:szCs w:val="24"/>
              </w:rPr>
              <w:t xml:space="preserve"> mēnesī (bez PVN).</w:t>
            </w:r>
          </w:p>
          <w:p w14:paraId="585ED07F" w14:textId="18C982BE" w:rsidR="00D94D3E" w:rsidRPr="00A7675C" w:rsidRDefault="00D94D3E" w:rsidP="00E86DB5">
            <w:pPr>
              <w:jc w:val="both"/>
              <w:rPr>
                <w:rFonts w:ascii="Times New Roman" w:hAnsi="Times New Roman" w:cs="Times New Roman"/>
                <w:sz w:val="24"/>
                <w:szCs w:val="24"/>
              </w:rPr>
            </w:pPr>
            <w:r>
              <w:rPr>
                <w:rFonts w:ascii="Times New Roman" w:hAnsi="Times New Roman" w:cs="Times New Roman"/>
                <w:sz w:val="24"/>
                <w:szCs w:val="24"/>
              </w:rPr>
              <w:t>Ieviešot PVN apgrieztās maksāšanas kārtību d</w:t>
            </w:r>
            <w:r w:rsidR="004C7982">
              <w:rPr>
                <w:rFonts w:ascii="Times New Roman" w:hAnsi="Times New Roman" w:cs="Times New Roman"/>
                <w:sz w:val="24"/>
                <w:szCs w:val="24"/>
              </w:rPr>
              <w:t>ārgmetālu</w:t>
            </w:r>
            <w:r w:rsidR="00CC779A">
              <w:rPr>
                <w:rFonts w:ascii="Times New Roman" w:hAnsi="Times New Roman" w:cs="Times New Roman"/>
                <w:sz w:val="24"/>
                <w:szCs w:val="24"/>
              </w:rPr>
              <w:t xml:space="preserve"> nozarē, reģistrētiem PVN maksātājiem būs nepieciešams pielāgot uzskaites sistēmas, lai varētu veikt pareizu uzskaiti un atbilstoši aizpildīt</w:t>
            </w:r>
            <w:r w:rsidR="002820E8">
              <w:rPr>
                <w:rFonts w:ascii="Times New Roman" w:hAnsi="Times New Roman" w:cs="Times New Roman"/>
                <w:sz w:val="24"/>
                <w:szCs w:val="24"/>
              </w:rPr>
              <w:t>u</w:t>
            </w:r>
            <w:r w:rsidR="00CC779A">
              <w:rPr>
                <w:rFonts w:ascii="Times New Roman" w:hAnsi="Times New Roman" w:cs="Times New Roman"/>
                <w:sz w:val="24"/>
                <w:szCs w:val="24"/>
              </w:rPr>
              <w:t xml:space="preserve"> PVN deklarācijas.</w:t>
            </w:r>
          </w:p>
        </w:tc>
      </w:tr>
      <w:tr w:rsidR="002546D2" w:rsidRPr="00A7675C" w14:paraId="5D57FA45" w14:textId="77777777" w:rsidTr="00A9511E">
        <w:tc>
          <w:tcPr>
            <w:tcW w:w="432" w:type="dxa"/>
          </w:tcPr>
          <w:p w14:paraId="442B4A1D" w14:textId="5CB7E236"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4.</w:t>
            </w:r>
          </w:p>
        </w:tc>
        <w:tc>
          <w:tcPr>
            <w:tcW w:w="3402" w:type="dxa"/>
          </w:tcPr>
          <w:p w14:paraId="4BC7028A" w14:textId="77777777" w:rsidR="002546D2" w:rsidRPr="00A7675C" w:rsidRDefault="002546D2" w:rsidP="002546D2">
            <w:pPr>
              <w:rPr>
                <w:rFonts w:ascii="Times New Roman" w:hAnsi="Times New Roman" w:cs="Times New Roman"/>
                <w:sz w:val="24"/>
                <w:szCs w:val="24"/>
              </w:rPr>
            </w:pPr>
            <w:r w:rsidRPr="00A7675C">
              <w:rPr>
                <w:rFonts w:ascii="Times New Roman" w:eastAsia="Times New Roman" w:hAnsi="Times New Roman" w:cs="Times New Roman"/>
                <w:sz w:val="24"/>
                <w:szCs w:val="24"/>
              </w:rPr>
              <w:t>Cita informācija</w:t>
            </w:r>
          </w:p>
        </w:tc>
        <w:tc>
          <w:tcPr>
            <w:tcW w:w="4955" w:type="dxa"/>
          </w:tcPr>
          <w:p w14:paraId="2CB95754" w14:textId="4AB3D1AD" w:rsidR="002546D2" w:rsidRPr="00A7675C" w:rsidRDefault="002546D2" w:rsidP="002546D2">
            <w:pPr>
              <w:jc w:val="both"/>
              <w:rPr>
                <w:b/>
                <w:sz w:val="24"/>
                <w:szCs w:val="24"/>
              </w:rPr>
            </w:pPr>
            <w:r w:rsidRPr="00A7675C">
              <w:rPr>
                <w:rFonts w:ascii="Times New Roman" w:hAnsi="Times New Roman" w:cs="Times New Roman"/>
                <w:sz w:val="24"/>
                <w:szCs w:val="24"/>
              </w:rPr>
              <w:t>Nav</w:t>
            </w:r>
          </w:p>
        </w:tc>
      </w:tr>
    </w:tbl>
    <w:tbl>
      <w:tblPr>
        <w:tblpPr w:leftFromText="180" w:rightFromText="180" w:vertAnchor="text" w:horzAnchor="margin" w:tblpX="-120" w:tblpY="371"/>
        <w:tblW w:w="8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7"/>
        <w:gridCol w:w="1157"/>
        <w:gridCol w:w="1276"/>
        <w:gridCol w:w="1134"/>
        <w:gridCol w:w="1134"/>
        <w:gridCol w:w="1387"/>
      </w:tblGrid>
      <w:tr w:rsidR="00304983" w:rsidRPr="00A7675C" w14:paraId="10639AA3" w14:textId="77777777" w:rsidTr="00FC1C8A">
        <w:trPr>
          <w:trHeight w:val="394"/>
          <w:tblCellSpacing w:w="0" w:type="dxa"/>
        </w:trPr>
        <w:tc>
          <w:tcPr>
            <w:tcW w:w="8915" w:type="dxa"/>
            <w:gridSpan w:val="6"/>
            <w:tcBorders>
              <w:top w:val="outset" w:sz="6" w:space="0" w:color="auto"/>
              <w:left w:val="outset" w:sz="6" w:space="0" w:color="auto"/>
              <w:bottom w:val="outset" w:sz="6" w:space="0" w:color="auto"/>
              <w:right w:val="outset" w:sz="6" w:space="0" w:color="auto"/>
            </w:tcBorders>
            <w:vAlign w:val="center"/>
            <w:hideMark/>
          </w:tcPr>
          <w:p w14:paraId="70CD55DB" w14:textId="77777777" w:rsidR="00304983" w:rsidRPr="00A7675C" w:rsidRDefault="00304983" w:rsidP="002546D2">
            <w:pPr>
              <w:jc w:val="center"/>
              <w:rPr>
                <w:rFonts w:ascii="Times New Roman" w:eastAsia="Times New Roman" w:hAnsi="Times New Roman" w:cs="Times New Roman"/>
                <w:b/>
                <w:sz w:val="24"/>
                <w:szCs w:val="24"/>
              </w:rPr>
            </w:pPr>
            <w:r w:rsidRPr="00A7675C">
              <w:rPr>
                <w:rFonts w:ascii="Times New Roman" w:eastAsia="Times New Roman" w:hAnsi="Times New Roman" w:cs="Times New Roman"/>
                <w:b/>
                <w:sz w:val="24"/>
                <w:szCs w:val="24"/>
              </w:rPr>
              <w:t>III. Tiesību akta projekta ietekme uz valsts budžetu un pašvaldību budžetiem</w:t>
            </w:r>
          </w:p>
        </w:tc>
      </w:tr>
      <w:tr w:rsidR="00304983" w:rsidRPr="00A7675C" w14:paraId="4D832048" w14:textId="77777777" w:rsidTr="00FC1C8A">
        <w:trPr>
          <w:tblCellSpacing w:w="0" w:type="dxa"/>
        </w:trPr>
        <w:tc>
          <w:tcPr>
            <w:tcW w:w="2827" w:type="dxa"/>
            <w:vMerge w:val="restart"/>
            <w:tcBorders>
              <w:top w:val="outset" w:sz="6" w:space="0" w:color="auto"/>
              <w:left w:val="outset" w:sz="6" w:space="0" w:color="auto"/>
              <w:bottom w:val="outset" w:sz="6" w:space="0" w:color="auto"/>
              <w:right w:val="outset" w:sz="6" w:space="0" w:color="auto"/>
            </w:tcBorders>
            <w:vAlign w:val="center"/>
            <w:hideMark/>
          </w:tcPr>
          <w:p w14:paraId="58301E3A"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b/>
                <w:bCs/>
                <w:sz w:val="24"/>
                <w:szCs w:val="24"/>
              </w:rPr>
              <w:t>Rādītāji</w:t>
            </w:r>
          </w:p>
        </w:tc>
        <w:tc>
          <w:tcPr>
            <w:tcW w:w="243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9048E0E" w14:textId="2B537472"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bCs/>
                <w:sz w:val="24"/>
                <w:szCs w:val="24"/>
              </w:rPr>
              <w:t>2016</w:t>
            </w:r>
          </w:p>
        </w:tc>
        <w:tc>
          <w:tcPr>
            <w:tcW w:w="3655" w:type="dxa"/>
            <w:gridSpan w:val="3"/>
            <w:tcBorders>
              <w:top w:val="outset" w:sz="6" w:space="0" w:color="auto"/>
              <w:left w:val="outset" w:sz="6" w:space="0" w:color="auto"/>
              <w:bottom w:val="outset" w:sz="6" w:space="0" w:color="auto"/>
              <w:right w:val="outset" w:sz="6" w:space="0" w:color="auto"/>
            </w:tcBorders>
            <w:vAlign w:val="center"/>
            <w:hideMark/>
          </w:tcPr>
          <w:p w14:paraId="4ECA9A02" w14:textId="4109D669" w:rsidR="00304983" w:rsidRPr="00A7675C" w:rsidRDefault="0068003D"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Turpmākie trīs gadi </w:t>
            </w:r>
            <w:r w:rsidRPr="00A7675C">
              <w:rPr>
                <w:rFonts w:ascii="Times New Roman" w:eastAsia="Times New Roman" w:hAnsi="Times New Roman" w:cs="Times New Roman"/>
                <w:i/>
                <w:sz w:val="24"/>
                <w:szCs w:val="24"/>
              </w:rPr>
              <w:t>(</w:t>
            </w:r>
            <w:proofErr w:type="spellStart"/>
            <w:r w:rsidR="006A0C55" w:rsidRPr="00A7675C">
              <w:rPr>
                <w:rFonts w:ascii="Times New Roman" w:eastAsia="Times New Roman" w:hAnsi="Times New Roman" w:cs="Times New Roman"/>
                <w:i/>
                <w:sz w:val="24"/>
                <w:szCs w:val="24"/>
              </w:rPr>
              <w:t>eu</w:t>
            </w:r>
            <w:r w:rsidRPr="00A7675C">
              <w:rPr>
                <w:rFonts w:ascii="Times New Roman" w:eastAsia="Times New Roman" w:hAnsi="Times New Roman" w:cs="Times New Roman"/>
                <w:i/>
                <w:sz w:val="24"/>
                <w:szCs w:val="24"/>
              </w:rPr>
              <w:t>ro</w:t>
            </w:r>
            <w:proofErr w:type="spellEnd"/>
            <w:r w:rsidRPr="00A7675C">
              <w:rPr>
                <w:rFonts w:ascii="Times New Roman" w:eastAsia="Times New Roman" w:hAnsi="Times New Roman" w:cs="Times New Roman"/>
                <w:i/>
                <w:sz w:val="24"/>
                <w:szCs w:val="24"/>
              </w:rPr>
              <w:t>)</w:t>
            </w:r>
          </w:p>
        </w:tc>
      </w:tr>
      <w:tr w:rsidR="00F23634" w:rsidRPr="00A7675C" w14:paraId="19B7069D" w14:textId="77777777" w:rsidTr="00FC1C8A">
        <w:trPr>
          <w:trHeight w:val="196"/>
          <w:tblCellSpacing w:w="0" w:type="dxa"/>
        </w:trPr>
        <w:tc>
          <w:tcPr>
            <w:tcW w:w="2827" w:type="dxa"/>
            <w:vMerge/>
            <w:tcBorders>
              <w:top w:val="outset" w:sz="6" w:space="0" w:color="auto"/>
              <w:left w:val="outset" w:sz="6" w:space="0" w:color="auto"/>
              <w:bottom w:val="outset" w:sz="6" w:space="0" w:color="auto"/>
              <w:right w:val="outset" w:sz="6" w:space="0" w:color="auto"/>
            </w:tcBorders>
            <w:vAlign w:val="center"/>
            <w:hideMark/>
          </w:tcPr>
          <w:p w14:paraId="3A7A5707" w14:textId="77777777" w:rsidR="00304983" w:rsidRPr="00A7675C" w:rsidRDefault="00304983" w:rsidP="002546D2">
            <w:pPr>
              <w:rPr>
                <w:rFonts w:ascii="Times New Roman" w:eastAsia="Times New Roman" w:hAnsi="Times New Roman" w:cs="Times New Roman"/>
                <w:sz w:val="24"/>
                <w:szCs w:val="24"/>
              </w:rPr>
            </w:pPr>
          </w:p>
        </w:tc>
        <w:tc>
          <w:tcPr>
            <w:tcW w:w="2433" w:type="dxa"/>
            <w:gridSpan w:val="2"/>
            <w:vMerge/>
            <w:tcBorders>
              <w:top w:val="outset" w:sz="6" w:space="0" w:color="auto"/>
              <w:left w:val="outset" w:sz="6" w:space="0" w:color="auto"/>
              <w:bottom w:val="outset" w:sz="6" w:space="0" w:color="auto"/>
              <w:right w:val="outset" w:sz="6" w:space="0" w:color="auto"/>
            </w:tcBorders>
            <w:vAlign w:val="center"/>
            <w:hideMark/>
          </w:tcPr>
          <w:p w14:paraId="02697E77" w14:textId="77777777" w:rsidR="00304983" w:rsidRPr="00A7675C" w:rsidRDefault="00304983" w:rsidP="002546D2">
            <w:pPr>
              <w:spacing w:after="0"/>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hideMark/>
          </w:tcPr>
          <w:p w14:paraId="24254352" w14:textId="0F3C4899"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2017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4945B16" w14:textId="6F1884FE"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2018</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A77319D" w14:textId="5CF6D9B9" w:rsidR="00304983" w:rsidRPr="00A7675C" w:rsidRDefault="00304983" w:rsidP="002546D2">
            <w:pPr>
              <w:spacing w:after="0"/>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2019</w:t>
            </w:r>
          </w:p>
        </w:tc>
      </w:tr>
      <w:tr w:rsidR="00F23634" w:rsidRPr="00A7675C" w14:paraId="2C7E753E" w14:textId="77777777" w:rsidTr="00FC1C8A">
        <w:trPr>
          <w:trHeight w:val="454"/>
          <w:tblCellSpacing w:w="0" w:type="dxa"/>
        </w:trPr>
        <w:tc>
          <w:tcPr>
            <w:tcW w:w="2827" w:type="dxa"/>
            <w:vMerge/>
            <w:tcBorders>
              <w:top w:val="outset" w:sz="6" w:space="0" w:color="auto"/>
              <w:left w:val="outset" w:sz="6" w:space="0" w:color="auto"/>
              <w:bottom w:val="outset" w:sz="6" w:space="0" w:color="auto"/>
              <w:right w:val="outset" w:sz="6" w:space="0" w:color="auto"/>
            </w:tcBorders>
            <w:vAlign w:val="center"/>
            <w:hideMark/>
          </w:tcPr>
          <w:p w14:paraId="1D857FD1" w14:textId="77777777" w:rsidR="00304983" w:rsidRPr="00A7675C" w:rsidRDefault="00304983" w:rsidP="002546D2">
            <w:pPr>
              <w:rPr>
                <w:rFonts w:ascii="Times New Roman" w:eastAsia="Times New Roman" w:hAnsi="Times New Roman" w:cs="Times New Roman"/>
                <w:sz w:val="24"/>
                <w:szCs w:val="24"/>
              </w:rPr>
            </w:pPr>
          </w:p>
        </w:tc>
        <w:tc>
          <w:tcPr>
            <w:tcW w:w="1157" w:type="dxa"/>
            <w:tcBorders>
              <w:top w:val="outset" w:sz="6" w:space="0" w:color="auto"/>
              <w:left w:val="outset" w:sz="6" w:space="0" w:color="auto"/>
              <w:bottom w:val="outset" w:sz="6" w:space="0" w:color="auto"/>
              <w:right w:val="outset" w:sz="6" w:space="0" w:color="auto"/>
            </w:tcBorders>
            <w:vAlign w:val="center"/>
            <w:hideMark/>
          </w:tcPr>
          <w:p w14:paraId="2585330B"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14:paraId="0203F6BB" w14:textId="4CE69B52" w:rsidR="00304983" w:rsidRPr="00A7675C" w:rsidRDefault="00304983" w:rsidP="002546D2">
            <w:pPr>
              <w:spacing w:after="0"/>
              <w:ind w:right="68"/>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Izmaiņas kārtējā gadā, salīdzinot ar budžetu kārtējam </w:t>
            </w:r>
            <w:r w:rsidR="006A0C55" w:rsidRPr="00A7675C">
              <w:rPr>
                <w:rFonts w:ascii="Times New Roman" w:eastAsia="Times New Roman" w:hAnsi="Times New Roman" w:cs="Times New Roman"/>
                <w:sz w:val="24"/>
                <w:szCs w:val="24"/>
              </w:rPr>
              <w:t>gadam</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D1D0D37" w14:textId="77777777" w:rsidR="00304983" w:rsidRPr="00A7675C" w:rsidRDefault="00304983" w:rsidP="002546D2">
            <w:pPr>
              <w:ind w:left="43" w:hanging="43"/>
              <w:jc w:val="center"/>
              <w:rPr>
                <w:rFonts w:ascii="Times New Roman" w:eastAsia="Times New Roman" w:hAnsi="Times New Roman" w:cs="Times New Roman"/>
                <w:sz w:val="24"/>
                <w:szCs w:val="24"/>
              </w:rPr>
            </w:pPr>
            <w:r w:rsidRPr="00A7675C">
              <w:rPr>
                <w:rFonts w:ascii="Times New Roman" w:hAnsi="Times New Roman" w:cs="Times New Roman"/>
                <w:sz w:val="24"/>
                <w:szCs w:val="24"/>
              </w:rPr>
              <w:t>Izmaiņas, salīdzinot ar kārtējo (n) gadu</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E90FA69"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Izmaiņas, salīdzinot ar kārtējo (n) gadu</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AE34943"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Izmaiņas, salīdzinot ar kārtējo (n) gadu</w:t>
            </w:r>
          </w:p>
        </w:tc>
      </w:tr>
      <w:tr w:rsidR="00F23634" w:rsidRPr="00A7675C" w14:paraId="2C9FC0CD"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hideMark/>
          </w:tcPr>
          <w:p w14:paraId="0A64A691" w14:textId="77777777" w:rsidR="00304983" w:rsidRPr="00A7675C" w:rsidRDefault="00304983" w:rsidP="002546D2">
            <w:pPr>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w:t>
            </w:r>
          </w:p>
        </w:tc>
        <w:tc>
          <w:tcPr>
            <w:tcW w:w="1157" w:type="dxa"/>
            <w:tcBorders>
              <w:top w:val="outset" w:sz="6" w:space="0" w:color="auto"/>
              <w:left w:val="outset" w:sz="6" w:space="0" w:color="auto"/>
              <w:bottom w:val="outset" w:sz="6" w:space="0" w:color="auto"/>
              <w:right w:val="outset" w:sz="6" w:space="0" w:color="auto"/>
            </w:tcBorders>
            <w:vAlign w:val="center"/>
          </w:tcPr>
          <w:p w14:paraId="5256B063" w14:textId="6E0C80A6" w:rsidR="00304983" w:rsidRPr="00A7675C" w:rsidRDefault="00304983" w:rsidP="002546D2">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vAlign w:val="center"/>
          </w:tcPr>
          <w:p w14:paraId="62B9AA24" w14:textId="045C8FFD" w:rsidR="00304983" w:rsidRPr="00A7675C" w:rsidRDefault="00304983"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14:paraId="07C121AA" w14:textId="4F803420" w:rsidR="00304983" w:rsidRPr="00A7675C" w:rsidRDefault="00304983" w:rsidP="002546D2">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14:paraId="17353088" w14:textId="389BE3D5" w:rsidR="00304983" w:rsidRPr="00A7675C" w:rsidRDefault="00304983" w:rsidP="002546D2">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vAlign w:val="center"/>
          </w:tcPr>
          <w:p w14:paraId="6E93869A" w14:textId="0AECC706" w:rsidR="00304983" w:rsidRPr="00A7675C" w:rsidRDefault="00304983" w:rsidP="002546D2">
            <w:pPr>
              <w:jc w:val="center"/>
              <w:rPr>
                <w:rFonts w:ascii="Times New Roman" w:eastAsia="Times New Roman" w:hAnsi="Times New Roman" w:cs="Times New Roman"/>
                <w:sz w:val="24"/>
                <w:szCs w:val="24"/>
              </w:rPr>
            </w:pPr>
          </w:p>
        </w:tc>
      </w:tr>
      <w:tr w:rsidR="00855308" w:rsidRPr="00A7675C" w14:paraId="2CEF6C10" w14:textId="77777777" w:rsidTr="00FC1C8A">
        <w:trPr>
          <w:trHeight w:val="234"/>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07B43FE2"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 Budžeta ieņēmumi:</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2903788D" w14:textId="061310B1" w:rsidR="00855308" w:rsidRPr="00A7675C" w:rsidRDefault="00855308" w:rsidP="00855308">
            <w:pPr>
              <w:jc w:val="center"/>
              <w:rPr>
                <w:rFonts w:ascii="Times New Roman" w:eastAsia="Times New Roman" w:hAnsi="Times New Roman" w:cs="Times New Roman"/>
                <w:sz w:val="24"/>
                <w:szCs w:val="24"/>
              </w:rPr>
            </w:pPr>
            <w:r w:rsidRPr="00A7675C">
              <w:rPr>
                <w:rFonts w:ascii="Times New Roman" w:hAnsi="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05347C96" w14:textId="79A1417D"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3" w:space="0" w:color="auto"/>
              <w:left w:val="outset" w:sz="3" w:space="0" w:color="auto"/>
              <w:bottom w:val="outset" w:sz="3" w:space="0" w:color="auto"/>
              <w:right w:val="outset" w:sz="3" w:space="0" w:color="auto"/>
            </w:tcBorders>
            <w:shd w:val="clear" w:color="auto" w:fill="auto"/>
          </w:tcPr>
          <w:p w14:paraId="499C4548" w14:textId="64C6437A"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134" w:type="dxa"/>
            <w:tcBorders>
              <w:top w:val="outset" w:sz="3" w:space="0" w:color="auto"/>
              <w:left w:val="outset" w:sz="3" w:space="0" w:color="auto"/>
              <w:bottom w:val="outset" w:sz="3" w:space="0" w:color="auto"/>
              <w:right w:val="outset" w:sz="3" w:space="0" w:color="auto"/>
            </w:tcBorders>
            <w:shd w:val="clear" w:color="auto" w:fill="auto"/>
          </w:tcPr>
          <w:p w14:paraId="0B1ABD3E" w14:textId="7F6128EE"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387" w:type="dxa"/>
            <w:tcBorders>
              <w:top w:val="outset" w:sz="3" w:space="0" w:color="auto"/>
              <w:left w:val="outset" w:sz="3" w:space="0" w:color="auto"/>
              <w:bottom w:val="outset" w:sz="3" w:space="0" w:color="auto"/>
              <w:right w:val="outset" w:sz="3" w:space="0" w:color="auto"/>
            </w:tcBorders>
            <w:shd w:val="clear" w:color="auto" w:fill="auto"/>
          </w:tcPr>
          <w:p w14:paraId="1BDA9E16" w14:textId="087C830B"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247 000</w:t>
            </w:r>
          </w:p>
        </w:tc>
      </w:tr>
      <w:tr w:rsidR="00855308" w:rsidRPr="00A7675C" w14:paraId="25441603"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781172E2" w14:textId="77777777" w:rsidR="00855308" w:rsidRPr="00A7675C" w:rsidRDefault="00855308" w:rsidP="00855308">
            <w:pPr>
              <w:ind w:left="142"/>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1.1. valsts pamatbudžets, tai skaitā ieņēmumi no maksas pakalpojumiem un citi pašu ieņēmumi</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0713678" w14:textId="31A1C808" w:rsidR="00855308" w:rsidRPr="00A7675C" w:rsidRDefault="00855308" w:rsidP="00855308">
            <w:pPr>
              <w:jc w:val="center"/>
              <w:rPr>
                <w:rFonts w:ascii="Times New Roman" w:eastAsia="Times New Roman" w:hAnsi="Times New Roman" w:cs="Times New Roman"/>
                <w:sz w:val="24"/>
                <w:szCs w:val="24"/>
              </w:rPr>
            </w:pPr>
            <w:r w:rsidRPr="00A7675C">
              <w:rPr>
                <w:rFonts w:ascii="Times New Roman" w:hAnsi="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3E65603" w14:textId="4DD3223F"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3" w:space="0" w:color="auto"/>
              <w:left w:val="outset" w:sz="3" w:space="0" w:color="auto"/>
              <w:bottom w:val="outset" w:sz="3" w:space="0" w:color="auto"/>
              <w:right w:val="outset" w:sz="3" w:space="0" w:color="auto"/>
            </w:tcBorders>
            <w:shd w:val="clear" w:color="auto" w:fill="auto"/>
          </w:tcPr>
          <w:p w14:paraId="067E6EC2" w14:textId="27537349"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134" w:type="dxa"/>
            <w:tcBorders>
              <w:top w:val="outset" w:sz="3" w:space="0" w:color="auto"/>
              <w:left w:val="outset" w:sz="3" w:space="0" w:color="auto"/>
              <w:bottom w:val="outset" w:sz="3" w:space="0" w:color="auto"/>
              <w:right w:val="outset" w:sz="3" w:space="0" w:color="auto"/>
            </w:tcBorders>
            <w:shd w:val="clear" w:color="auto" w:fill="auto"/>
          </w:tcPr>
          <w:p w14:paraId="3B6BCEC3" w14:textId="3EE6049E"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387" w:type="dxa"/>
            <w:tcBorders>
              <w:top w:val="outset" w:sz="3" w:space="0" w:color="auto"/>
              <w:left w:val="outset" w:sz="3" w:space="0" w:color="auto"/>
              <w:bottom w:val="outset" w:sz="3" w:space="0" w:color="auto"/>
              <w:right w:val="outset" w:sz="3" w:space="0" w:color="auto"/>
            </w:tcBorders>
            <w:shd w:val="clear" w:color="auto" w:fill="auto"/>
          </w:tcPr>
          <w:p w14:paraId="31E7D0DA" w14:textId="14735381"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247 000</w:t>
            </w:r>
          </w:p>
        </w:tc>
      </w:tr>
      <w:tr w:rsidR="00855308" w:rsidRPr="00A7675C" w14:paraId="3E5E58DF"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tcPr>
          <w:p w14:paraId="49615C9B" w14:textId="7752101E" w:rsidR="00855308" w:rsidRPr="00A7675C" w:rsidRDefault="00855308" w:rsidP="00855308">
            <w:pPr>
              <w:ind w:left="142"/>
              <w:rPr>
                <w:rFonts w:ascii="Times New Roman" w:eastAsia="Times New Roman" w:hAnsi="Times New Roman" w:cs="Times New Roman"/>
                <w:i/>
                <w:sz w:val="24"/>
                <w:szCs w:val="24"/>
              </w:rPr>
            </w:pPr>
            <w:r w:rsidRPr="00A7675C">
              <w:rPr>
                <w:rFonts w:ascii="Times New Roman" w:eastAsia="Times New Roman" w:hAnsi="Times New Roman" w:cs="Times New Roman"/>
                <w:i/>
                <w:sz w:val="24"/>
                <w:szCs w:val="24"/>
              </w:rPr>
              <w:t>t.sk. pievienotās vērtības nodoklis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372A791B" w14:textId="4AC9DF9D" w:rsidR="00855308" w:rsidRPr="00A7675C" w:rsidRDefault="00855308" w:rsidP="00855308">
            <w:pPr>
              <w:jc w:val="center"/>
              <w:rPr>
                <w:rFonts w:ascii="Times New Roman" w:eastAsia="Times New Roman" w:hAnsi="Times New Roman" w:cs="Times New Roman"/>
                <w:sz w:val="24"/>
                <w:szCs w:val="24"/>
              </w:rPr>
            </w:pPr>
            <w:r w:rsidRPr="00A7675C">
              <w:rPr>
                <w:rFonts w:ascii="Times New Roman" w:hAnsi="Times New Roman"/>
                <w:sz w:val="24"/>
                <w:szCs w:val="24"/>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7374CFA1" w14:textId="234BB8AC"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3" w:space="0" w:color="auto"/>
              <w:left w:val="outset" w:sz="3" w:space="0" w:color="auto"/>
              <w:bottom w:val="outset" w:sz="3" w:space="0" w:color="auto"/>
              <w:right w:val="outset" w:sz="3" w:space="0" w:color="auto"/>
            </w:tcBorders>
            <w:shd w:val="clear" w:color="auto" w:fill="auto"/>
          </w:tcPr>
          <w:p w14:paraId="634E56FC" w14:textId="3D03AA5A"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134" w:type="dxa"/>
            <w:tcBorders>
              <w:top w:val="outset" w:sz="3" w:space="0" w:color="auto"/>
              <w:left w:val="outset" w:sz="3" w:space="0" w:color="auto"/>
              <w:bottom w:val="outset" w:sz="3" w:space="0" w:color="auto"/>
              <w:right w:val="outset" w:sz="3" w:space="0" w:color="auto"/>
            </w:tcBorders>
            <w:shd w:val="clear" w:color="auto" w:fill="auto"/>
          </w:tcPr>
          <w:p w14:paraId="4F6BF95B" w14:textId="4BCB349E"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387" w:type="dxa"/>
            <w:tcBorders>
              <w:top w:val="outset" w:sz="3" w:space="0" w:color="auto"/>
              <w:left w:val="outset" w:sz="3" w:space="0" w:color="auto"/>
              <w:bottom w:val="outset" w:sz="3" w:space="0" w:color="auto"/>
              <w:right w:val="outset" w:sz="3" w:space="0" w:color="auto"/>
            </w:tcBorders>
            <w:shd w:val="clear" w:color="auto" w:fill="auto"/>
          </w:tcPr>
          <w:p w14:paraId="7C4A02E7" w14:textId="38858720"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247 000</w:t>
            </w:r>
          </w:p>
        </w:tc>
      </w:tr>
      <w:tr w:rsidR="00855308" w:rsidRPr="00A7675C" w14:paraId="304F7625"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400D2A43"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1.2. valsts speciālais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41B1685" w14:textId="1FA28D53"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2E3BBF6A" w14:textId="041B1FE0"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52B09D8" w14:textId="01F7378F"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F25701F" w14:textId="4E6E8BD5"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7A4B2821" w14:textId="0F912614"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6E7098BB"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73744287"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1.3. pašvaldību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4E29341F" w14:textId="03416671"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DC16580" w14:textId="46AD5923"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F5FA9FB" w14:textId="40959CCE"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408CACA" w14:textId="3DE97761"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50588199" w14:textId="3A14756C"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07CAFB72"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70A02914"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2. Budžeta izdevumi:</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4B54DAE0" w14:textId="40AB3BAE"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15DB1E6" w14:textId="72584DBD"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27E74F5" w14:textId="3EC3A330"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859C1E1" w14:textId="48E61BC1"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066FBDA4" w14:textId="7F039E8A"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75B388F2"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111D071A"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2.1. valsts pamatbudžets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21A63D40" w14:textId="2538C021"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01887AB3" w14:textId="6569C1B2"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6BD7CC36" w14:textId="75D41D02"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50C233BF" w14:textId="72D1CDE1"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4547FCA1" w14:textId="041D4AF8"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7FEF6F66"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0399B1AA"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2.2. valsts speciālais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3A418313" w14:textId="5629A56E"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7E4E5234" w14:textId="79FC111E"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1DB4A115" w14:textId="0B37E294"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59476C6" w14:textId="6F542C64"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1B9D6319" w14:textId="0D2F6C23"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476DA723"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1F919A89"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2.3. pašvaldību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2FE244A0" w14:textId="31B3CD24"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66F7336" w14:textId="7586067D"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4CA3A43A" w14:textId="5BE4D9D7"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CE01518" w14:textId="538CCEC2"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7B961341" w14:textId="16BC5EC8"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7A5D826B"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54B1D3BD"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 Finansiālā ietekme:</w:t>
            </w:r>
          </w:p>
        </w:tc>
        <w:tc>
          <w:tcPr>
            <w:tcW w:w="1157" w:type="dxa"/>
            <w:tcBorders>
              <w:top w:val="outset" w:sz="6" w:space="0" w:color="auto"/>
              <w:left w:val="outset" w:sz="6" w:space="0" w:color="auto"/>
              <w:bottom w:val="outset" w:sz="6" w:space="0" w:color="auto"/>
              <w:right w:val="outset" w:sz="6" w:space="0" w:color="auto"/>
            </w:tcBorders>
            <w:shd w:val="clear" w:color="auto" w:fill="auto"/>
            <w:vAlign w:val="center"/>
          </w:tcPr>
          <w:p w14:paraId="4514D453" w14:textId="35060E46"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4B2245C0" w14:textId="58B7962B"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CDAA92B" w14:textId="4B5CC4BC"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6B98CF54" w14:textId="40F440A8"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6056BB54" w14:textId="75613722"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247 000</w:t>
            </w:r>
          </w:p>
        </w:tc>
      </w:tr>
      <w:tr w:rsidR="00855308" w:rsidRPr="00A7675C" w14:paraId="449B9211"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70613B34"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3.1. valsts pamatbudžets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D292F4D" w14:textId="70AD889C"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10088F17" w14:textId="4C1EE32A"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33663155" w14:textId="52370C39"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27F6AC2" w14:textId="24DCCC3D"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747 000</w:t>
            </w: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1D2F8F5D" w14:textId="4593F85B" w:rsidR="00855308" w:rsidRPr="00A7675C" w:rsidRDefault="00855308" w:rsidP="00855308">
            <w:pPr>
              <w:jc w:val="center"/>
              <w:rPr>
                <w:rFonts w:ascii="Times New Roman" w:eastAsia="Times New Roman" w:hAnsi="Times New Roman" w:cs="Times New Roman"/>
                <w:sz w:val="24"/>
                <w:szCs w:val="24"/>
              </w:rPr>
            </w:pPr>
            <w:r w:rsidRPr="00323B21">
              <w:rPr>
                <w:rFonts w:ascii="Times New Roman" w:hAnsi="Times New Roman"/>
              </w:rPr>
              <w:t>+</w:t>
            </w:r>
            <w:r>
              <w:t xml:space="preserve"> </w:t>
            </w:r>
            <w:r>
              <w:rPr>
                <w:rFonts w:ascii="Times New Roman" w:hAnsi="Times New Roman"/>
              </w:rPr>
              <w:t>247 000</w:t>
            </w:r>
          </w:p>
        </w:tc>
      </w:tr>
      <w:tr w:rsidR="00855308" w:rsidRPr="00A7675C" w14:paraId="5D6DA40B"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auto"/>
            <w:hideMark/>
          </w:tcPr>
          <w:p w14:paraId="1F3F6142"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3.2. speciālais budžets</w:t>
            </w:r>
          </w:p>
        </w:tc>
        <w:tc>
          <w:tcPr>
            <w:tcW w:w="1157" w:type="dxa"/>
            <w:tcBorders>
              <w:top w:val="outset" w:sz="6" w:space="0" w:color="auto"/>
              <w:left w:val="outset" w:sz="6" w:space="0" w:color="auto"/>
              <w:bottom w:val="outset" w:sz="6" w:space="0" w:color="auto"/>
              <w:right w:val="outset" w:sz="6" w:space="0" w:color="auto"/>
            </w:tcBorders>
            <w:shd w:val="clear" w:color="auto" w:fill="auto"/>
          </w:tcPr>
          <w:p w14:paraId="5D82D49A" w14:textId="5B690E8B"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auto"/>
          </w:tcPr>
          <w:p w14:paraId="7F22F78D" w14:textId="39B477EA"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B7FD3BB" w14:textId="627B929D"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auto"/>
          </w:tcPr>
          <w:p w14:paraId="71EAA258" w14:textId="69DD1BAC"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shd w:val="clear" w:color="auto" w:fill="auto"/>
          </w:tcPr>
          <w:p w14:paraId="5162FC15" w14:textId="4C5EBF48"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720C3506"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523B21D9"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3.3. pašvaldību budžets</w:t>
            </w:r>
          </w:p>
        </w:tc>
        <w:tc>
          <w:tcPr>
            <w:tcW w:w="1157" w:type="dxa"/>
            <w:tcBorders>
              <w:top w:val="outset" w:sz="6" w:space="0" w:color="auto"/>
              <w:left w:val="outset" w:sz="6" w:space="0" w:color="auto"/>
              <w:bottom w:val="outset" w:sz="6" w:space="0" w:color="auto"/>
              <w:right w:val="outset" w:sz="6" w:space="0" w:color="auto"/>
            </w:tcBorders>
          </w:tcPr>
          <w:p w14:paraId="418E523B" w14:textId="13C21300"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0BF57774" w14:textId="01A0E01B"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2F464B2" w14:textId="20F211C8"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4C7EC69" w14:textId="3EB0D542"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tcPr>
          <w:p w14:paraId="14C559A1" w14:textId="685FCFB9"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6B9F1007"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tcPr>
          <w:p w14:paraId="595B2894" w14:textId="77777777" w:rsidR="00855308" w:rsidRPr="00A7675C" w:rsidRDefault="00855308" w:rsidP="00855308">
            <w:pPr>
              <w:ind w:left="142"/>
              <w:jc w:val="both"/>
              <w:rPr>
                <w:rFonts w:ascii="Times New Roman" w:eastAsia="Times New Roman" w:hAnsi="Times New Roman" w:cs="Times New Roman"/>
                <w:sz w:val="24"/>
                <w:szCs w:val="24"/>
              </w:rPr>
            </w:pPr>
            <w:r w:rsidRPr="00A7675C">
              <w:rPr>
                <w:rFonts w:ascii="Times New Roman" w:hAnsi="Times New Roman" w:cs="Times New Roman"/>
                <w:sz w:val="24"/>
                <w:szCs w:val="24"/>
              </w:rPr>
              <w:t>4. Finanšu līdzekļi papildu izde</w:t>
            </w:r>
            <w:r w:rsidRPr="00A7675C">
              <w:rPr>
                <w:rFonts w:ascii="Times New Roman" w:hAnsi="Times New Roman" w:cs="Times New Roman"/>
                <w:sz w:val="24"/>
                <w:szCs w:val="24"/>
              </w:rPr>
              <w:softHyphen/>
              <w:t>vumu finansēšanai (kompensējošu izdevumu samazinājumu norāda ar "+" zīmi)</w:t>
            </w:r>
          </w:p>
        </w:tc>
        <w:tc>
          <w:tcPr>
            <w:tcW w:w="1157" w:type="dxa"/>
            <w:tcBorders>
              <w:top w:val="outset" w:sz="6" w:space="0" w:color="auto"/>
              <w:left w:val="outset" w:sz="6" w:space="0" w:color="auto"/>
              <w:bottom w:val="outset" w:sz="6" w:space="0" w:color="auto"/>
              <w:right w:val="outset" w:sz="6" w:space="0" w:color="auto"/>
            </w:tcBorders>
          </w:tcPr>
          <w:p w14:paraId="1930AA48" w14:textId="5C68521E"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7B0150F0" w14:textId="2234BDF6"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7C8AFDA5" w14:textId="7B69BAEB"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7B31A9E2" w14:textId="49B3379F"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tcPr>
          <w:p w14:paraId="3B4F488D" w14:textId="175F9A68"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68426B53"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5036CF55"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5. Precizēta finansiālā ietekme:</w:t>
            </w:r>
          </w:p>
        </w:tc>
        <w:tc>
          <w:tcPr>
            <w:tcW w:w="1157" w:type="dxa"/>
            <w:vMerge w:val="restart"/>
            <w:tcBorders>
              <w:top w:val="outset" w:sz="6" w:space="0" w:color="auto"/>
              <w:left w:val="outset" w:sz="6" w:space="0" w:color="auto"/>
              <w:bottom w:val="outset" w:sz="6" w:space="0" w:color="auto"/>
              <w:right w:val="outset" w:sz="6" w:space="0" w:color="auto"/>
            </w:tcBorders>
          </w:tcPr>
          <w:p w14:paraId="61BCD435" w14:textId="3E90CFA9"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2425D769" w14:textId="4B420399"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AC5AF09" w14:textId="0B049E85"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CD8C894" w14:textId="47A4740B"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tcPr>
          <w:p w14:paraId="5393CD93" w14:textId="29233B3E"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367722DA"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571C30B5"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5.1. valsts pamatbudžets</w:t>
            </w:r>
          </w:p>
        </w:tc>
        <w:tc>
          <w:tcPr>
            <w:tcW w:w="1157" w:type="dxa"/>
            <w:vMerge/>
            <w:tcBorders>
              <w:top w:val="outset" w:sz="6" w:space="0" w:color="auto"/>
              <w:left w:val="outset" w:sz="6" w:space="0" w:color="auto"/>
              <w:bottom w:val="outset" w:sz="6" w:space="0" w:color="auto"/>
              <w:right w:val="outset" w:sz="6" w:space="0" w:color="auto"/>
            </w:tcBorders>
            <w:vAlign w:val="center"/>
          </w:tcPr>
          <w:p w14:paraId="6F857C9F" w14:textId="77777777"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6F0ADD0A" w14:textId="07D19D2E"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0ECEBD73" w14:textId="16103BC4"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2C469F26" w14:textId="1C2D6F36"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tcPr>
          <w:p w14:paraId="2C543B63" w14:textId="547B6062"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4E85C027"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1380CF87"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5.2. speciālais budžets</w:t>
            </w:r>
          </w:p>
        </w:tc>
        <w:tc>
          <w:tcPr>
            <w:tcW w:w="1157" w:type="dxa"/>
            <w:vMerge/>
            <w:tcBorders>
              <w:top w:val="outset" w:sz="6" w:space="0" w:color="auto"/>
              <w:left w:val="outset" w:sz="6" w:space="0" w:color="auto"/>
              <w:bottom w:val="outset" w:sz="6" w:space="0" w:color="auto"/>
              <w:right w:val="outset" w:sz="6" w:space="0" w:color="auto"/>
            </w:tcBorders>
            <w:vAlign w:val="center"/>
          </w:tcPr>
          <w:p w14:paraId="4FA628B6" w14:textId="77777777"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3474B093" w14:textId="2AE0F02D"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7BA6C4CD" w14:textId="6F65AE69"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47D8DEAA" w14:textId="63D4A25D"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single" w:sz="4" w:space="0" w:color="auto"/>
            </w:tcBorders>
          </w:tcPr>
          <w:p w14:paraId="65E2F2B4" w14:textId="0F87B26C"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10314040" w14:textId="77777777" w:rsidTr="00FC1C8A">
        <w:trPr>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7C296D0F"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5.3. pašvaldību budžets</w:t>
            </w:r>
          </w:p>
        </w:tc>
        <w:tc>
          <w:tcPr>
            <w:tcW w:w="1157" w:type="dxa"/>
            <w:vMerge/>
            <w:tcBorders>
              <w:top w:val="outset" w:sz="6" w:space="0" w:color="auto"/>
              <w:left w:val="outset" w:sz="6" w:space="0" w:color="auto"/>
              <w:bottom w:val="outset" w:sz="6" w:space="0" w:color="auto"/>
              <w:right w:val="outset" w:sz="6" w:space="0" w:color="auto"/>
            </w:tcBorders>
            <w:vAlign w:val="center"/>
          </w:tcPr>
          <w:p w14:paraId="5C49D0EF" w14:textId="77777777" w:rsidR="00855308" w:rsidRPr="00A7675C" w:rsidRDefault="00855308" w:rsidP="00855308">
            <w:pPr>
              <w:jc w:val="center"/>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tcPr>
          <w:p w14:paraId="16E13DAA" w14:textId="397C3310"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5A075841" w14:textId="522A3D3D" w:rsidR="00855308" w:rsidRPr="00A7675C" w:rsidRDefault="00855308" w:rsidP="00855308">
            <w:pPr>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tcPr>
          <w:p w14:paraId="66D1A9FA" w14:textId="22D14AAB" w:rsidR="00855308" w:rsidRPr="00A7675C" w:rsidRDefault="00855308" w:rsidP="00855308">
            <w:pPr>
              <w:jc w:val="center"/>
              <w:rPr>
                <w:rFonts w:ascii="Times New Roman" w:eastAsia="Times New Roman" w:hAnsi="Times New Roman" w:cs="Times New Roman"/>
                <w:sz w:val="24"/>
                <w:szCs w:val="24"/>
              </w:rPr>
            </w:pPr>
          </w:p>
        </w:tc>
        <w:tc>
          <w:tcPr>
            <w:tcW w:w="1387" w:type="dxa"/>
            <w:tcBorders>
              <w:top w:val="outset" w:sz="6" w:space="0" w:color="auto"/>
              <w:left w:val="outset" w:sz="6" w:space="0" w:color="auto"/>
              <w:bottom w:val="outset" w:sz="6" w:space="0" w:color="auto"/>
              <w:right w:val="outset" w:sz="6" w:space="0" w:color="auto"/>
            </w:tcBorders>
          </w:tcPr>
          <w:p w14:paraId="1472B909" w14:textId="126AB5E8" w:rsidR="00855308" w:rsidRPr="00A7675C" w:rsidRDefault="00855308" w:rsidP="00855308">
            <w:pPr>
              <w:jc w:val="center"/>
              <w:rPr>
                <w:rFonts w:ascii="Times New Roman" w:eastAsia="Times New Roman" w:hAnsi="Times New Roman" w:cs="Times New Roman"/>
                <w:sz w:val="24"/>
                <w:szCs w:val="24"/>
              </w:rPr>
            </w:pPr>
          </w:p>
        </w:tc>
      </w:tr>
      <w:tr w:rsidR="00855308" w:rsidRPr="00A7675C" w14:paraId="39D13680" w14:textId="77777777" w:rsidTr="00FC1C8A">
        <w:trPr>
          <w:trHeight w:val="689"/>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4C7A90A5" w14:textId="77777777" w:rsidR="00855308" w:rsidRPr="00A7675C" w:rsidRDefault="00855308" w:rsidP="00855308">
            <w:pPr>
              <w:ind w:left="142" w:right="-157"/>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6. Detalizēts ieņēmumu un izdevu</w:t>
            </w:r>
            <w:r w:rsidRPr="00A7675C">
              <w:rPr>
                <w:rFonts w:ascii="Times New Roman" w:eastAsia="Times New Roman" w:hAnsi="Times New Roman" w:cs="Times New Roman"/>
                <w:sz w:val="24"/>
                <w:szCs w:val="24"/>
              </w:rPr>
              <w:softHyphen/>
              <w:t>mu aprēķins (ja nepieciešams, detalizētu ieņēmumu un izdevumu aprēķinu var pievienot anotācijas pielikumā):</w:t>
            </w:r>
          </w:p>
        </w:tc>
        <w:tc>
          <w:tcPr>
            <w:tcW w:w="6088" w:type="dxa"/>
            <w:gridSpan w:val="5"/>
            <w:tcBorders>
              <w:top w:val="outset" w:sz="3" w:space="0" w:color="auto"/>
              <w:left w:val="outset" w:sz="3" w:space="0" w:color="auto"/>
              <w:bottom w:val="outset" w:sz="3" w:space="0" w:color="auto"/>
              <w:right w:val="outset" w:sz="3" w:space="0" w:color="auto"/>
            </w:tcBorders>
            <w:vAlign w:val="center"/>
          </w:tcPr>
          <w:p w14:paraId="158B4713" w14:textId="6F77EDE8" w:rsidR="00855308" w:rsidRPr="00A71D77" w:rsidRDefault="00584F08" w:rsidP="00070B26">
            <w:pPr>
              <w:spacing w:after="0" w:line="240" w:lineRule="auto"/>
              <w:ind w:left="125" w:right="142" w:firstLine="425"/>
              <w:jc w:val="both"/>
              <w:rPr>
                <w:rFonts w:ascii="Times New Roman" w:hAnsi="Times New Roman"/>
                <w:sz w:val="24"/>
                <w:szCs w:val="24"/>
              </w:rPr>
            </w:pPr>
            <w:r>
              <w:rPr>
                <w:rFonts w:ascii="Times New Roman" w:eastAsia="Times New Roman" w:hAnsi="Times New Roman" w:cs="Times New Roman"/>
                <w:sz w:val="24"/>
                <w:szCs w:val="25"/>
              </w:rPr>
              <w:t>PVN a</w:t>
            </w:r>
            <w:r w:rsidR="00855308" w:rsidRPr="00A71D77">
              <w:rPr>
                <w:rFonts w:ascii="Times New Roman" w:eastAsia="Times New Roman" w:hAnsi="Times New Roman" w:cs="Times New Roman"/>
                <w:sz w:val="24"/>
                <w:szCs w:val="25"/>
              </w:rPr>
              <w:t>pgrieztā</w:t>
            </w:r>
            <w:r w:rsidR="00E11497">
              <w:rPr>
                <w:rFonts w:ascii="Times New Roman" w:eastAsia="Times New Roman" w:hAnsi="Times New Roman" w:cs="Times New Roman"/>
                <w:sz w:val="24"/>
                <w:szCs w:val="25"/>
              </w:rPr>
              <w:t>s maksāšanas kārtības ieviešana</w:t>
            </w:r>
            <w:r w:rsidR="000521CC" w:rsidRPr="00560BAA">
              <w:rPr>
                <w:rFonts w:ascii="Times New Roman" w:eastAsia="Times New Roman" w:hAnsi="Times New Roman" w:cs="Times New Roman"/>
                <w:sz w:val="24"/>
                <w:szCs w:val="24"/>
              </w:rPr>
              <w:t xml:space="preserve"> neapstrādātu </w:t>
            </w:r>
            <w:r w:rsidR="000521CC" w:rsidRPr="00560BAA">
              <w:rPr>
                <w:rFonts w:ascii="Times New Roman" w:eastAsia="Times New Roman" w:hAnsi="Times New Roman" w:cs="Times New Roman"/>
                <w:color w:val="000000"/>
                <w:sz w:val="24"/>
                <w:szCs w:val="24"/>
              </w:rPr>
              <w:t>dārgmetālu</w:t>
            </w:r>
            <w:r w:rsidR="000521CC">
              <w:rPr>
                <w:rFonts w:ascii="Times New Roman" w:eastAsia="Times New Roman" w:hAnsi="Times New Roman" w:cs="Times New Roman"/>
                <w:color w:val="000000"/>
                <w:sz w:val="24"/>
                <w:szCs w:val="24"/>
              </w:rPr>
              <w:t xml:space="preserve"> un to pusfabrikātu</w:t>
            </w:r>
            <w:r w:rsidR="000521CC" w:rsidRPr="00560BAA">
              <w:rPr>
                <w:rFonts w:ascii="Times New Roman" w:eastAsia="Times New Roman" w:hAnsi="Times New Roman" w:cs="Times New Roman"/>
                <w:color w:val="000000"/>
                <w:sz w:val="24"/>
                <w:szCs w:val="24"/>
              </w:rPr>
              <w:t>, dārgmetālu sakausējumu</w:t>
            </w:r>
            <w:r w:rsidR="000521CC">
              <w:rPr>
                <w:rFonts w:ascii="Times New Roman" w:eastAsia="Times New Roman" w:hAnsi="Times New Roman" w:cs="Times New Roman"/>
                <w:color w:val="000000"/>
                <w:sz w:val="24"/>
                <w:szCs w:val="24"/>
              </w:rPr>
              <w:t xml:space="preserve"> un to pusfabrikātu,</w:t>
            </w:r>
            <w:r w:rsidR="000521CC" w:rsidRPr="00560BAA">
              <w:rPr>
                <w:rFonts w:ascii="Times New Roman" w:eastAsia="Times New Roman" w:hAnsi="Times New Roman" w:cs="Times New Roman"/>
                <w:sz w:val="24"/>
                <w:szCs w:val="24"/>
              </w:rPr>
              <w:t xml:space="preserve"> dārgmetālu </w:t>
            </w:r>
            <w:proofErr w:type="spellStart"/>
            <w:r w:rsidR="000521CC" w:rsidRPr="00560BAA">
              <w:rPr>
                <w:rFonts w:ascii="Times New Roman" w:eastAsia="Times New Roman" w:hAnsi="Times New Roman" w:cs="Times New Roman"/>
                <w:sz w:val="24"/>
                <w:szCs w:val="24"/>
              </w:rPr>
              <w:t>plaķētu</w:t>
            </w:r>
            <w:proofErr w:type="spellEnd"/>
            <w:r w:rsidR="000521CC" w:rsidRPr="00560BAA">
              <w:rPr>
                <w:rFonts w:ascii="Times New Roman" w:eastAsia="Times New Roman" w:hAnsi="Times New Roman" w:cs="Times New Roman"/>
                <w:sz w:val="24"/>
                <w:szCs w:val="24"/>
              </w:rPr>
              <w:t xml:space="preserve"> metālu, dārgmetālu lūžņu un atlūzu</w:t>
            </w:r>
            <w:r w:rsidR="000521CC">
              <w:rPr>
                <w:rFonts w:ascii="Times New Roman" w:eastAsia="Times New Roman" w:hAnsi="Times New Roman" w:cs="Times New Roman"/>
                <w:sz w:val="24"/>
                <w:szCs w:val="24"/>
              </w:rPr>
              <w:t xml:space="preserve"> </w:t>
            </w:r>
            <w:r w:rsidR="000521CC" w:rsidRPr="00560BAA">
              <w:rPr>
                <w:rFonts w:ascii="Times New Roman" w:eastAsia="Times New Roman" w:hAnsi="Times New Roman" w:cs="Times New Roman"/>
                <w:sz w:val="24"/>
                <w:szCs w:val="24"/>
              </w:rPr>
              <w:t>piegādēm</w:t>
            </w:r>
            <w:r w:rsidR="000521CC" w:rsidRPr="00A71D77">
              <w:rPr>
                <w:rFonts w:ascii="Times New Roman" w:hAnsi="Times New Roman"/>
                <w:sz w:val="24"/>
                <w:szCs w:val="24"/>
              </w:rPr>
              <w:t xml:space="preserve"> </w:t>
            </w:r>
            <w:r w:rsidR="00855308" w:rsidRPr="00A71D77">
              <w:rPr>
                <w:rFonts w:ascii="Times New Roman" w:hAnsi="Times New Roman"/>
                <w:sz w:val="24"/>
                <w:szCs w:val="24"/>
              </w:rPr>
              <w:t>samazinās krāpšanos PVN jomā sekojošās nozarēs:</w:t>
            </w:r>
          </w:p>
          <w:p w14:paraId="1B325CA0" w14:textId="77777777" w:rsidR="00855308" w:rsidRPr="00A71D77" w:rsidRDefault="00855308" w:rsidP="000521CC">
            <w:pPr>
              <w:tabs>
                <w:tab w:val="left" w:pos="996"/>
              </w:tabs>
              <w:spacing w:after="0" w:line="240" w:lineRule="auto"/>
              <w:ind w:left="133" w:right="144" w:firstLine="580"/>
              <w:jc w:val="both"/>
              <w:rPr>
                <w:rFonts w:ascii="Times New Roman" w:hAnsi="Times New Roman"/>
                <w:sz w:val="24"/>
                <w:szCs w:val="24"/>
              </w:rPr>
            </w:pPr>
            <w:r w:rsidRPr="00A71D77">
              <w:rPr>
                <w:rFonts w:ascii="Times New Roman" w:hAnsi="Times New Roman"/>
                <w:sz w:val="24"/>
                <w:szCs w:val="24"/>
              </w:rPr>
              <w:t xml:space="preserve">- juvelierizstrādājumu un līdzīgu izstrādājumu ražošanas nozarē (NACE 2 </w:t>
            </w:r>
            <w:proofErr w:type="spellStart"/>
            <w:r w:rsidRPr="00A71D77">
              <w:rPr>
                <w:rFonts w:ascii="Times New Roman" w:hAnsi="Times New Roman"/>
                <w:i/>
                <w:iCs/>
                <w:sz w:val="24"/>
                <w:szCs w:val="24"/>
              </w:rPr>
              <w:t>red</w:t>
            </w:r>
            <w:proofErr w:type="spellEnd"/>
            <w:r w:rsidRPr="00A71D77">
              <w:rPr>
                <w:rFonts w:ascii="Times New Roman" w:hAnsi="Times New Roman"/>
                <w:sz w:val="24"/>
                <w:szCs w:val="24"/>
              </w:rPr>
              <w:t>. kods 3212);</w:t>
            </w:r>
          </w:p>
          <w:p w14:paraId="76182CDB" w14:textId="77777777" w:rsidR="00855308" w:rsidRPr="00A71D77" w:rsidRDefault="00855308" w:rsidP="000521CC">
            <w:pPr>
              <w:tabs>
                <w:tab w:val="left" w:pos="996"/>
              </w:tabs>
              <w:spacing w:after="0" w:line="240" w:lineRule="auto"/>
              <w:ind w:left="133" w:right="144" w:firstLine="580"/>
              <w:jc w:val="both"/>
              <w:rPr>
                <w:rFonts w:ascii="Times New Roman" w:hAnsi="Times New Roman"/>
                <w:sz w:val="24"/>
                <w:szCs w:val="24"/>
              </w:rPr>
            </w:pPr>
            <w:r w:rsidRPr="00A71D77">
              <w:rPr>
                <w:rFonts w:ascii="Times New Roman" w:hAnsi="Times New Roman"/>
                <w:sz w:val="24"/>
                <w:szCs w:val="24"/>
              </w:rPr>
              <w:t xml:space="preserve">- juvelierizstrādājumu imitāciju un līdzīgu izstrādājumu ražošanas nozarē (NACE 2 </w:t>
            </w:r>
            <w:proofErr w:type="spellStart"/>
            <w:r w:rsidRPr="00A71D77">
              <w:rPr>
                <w:rFonts w:ascii="Times New Roman" w:hAnsi="Times New Roman"/>
                <w:i/>
                <w:iCs/>
                <w:sz w:val="24"/>
                <w:szCs w:val="24"/>
              </w:rPr>
              <w:t>red</w:t>
            </w:r>
            <w:proofErr w:type="spellEnd"/>
            <w:r w:rsidRPr="00A71D77">
              <w:rPr>
                <w:rFonts w:ascii="Times New Roman" w:hAnsi="Times New Roman"/>
                <w:sz w:val="24"/>
                <w:szCs w:val="24"/>
              </w:rPr>
              <w:t>. kods 3213);</w:t>
            </w:r>
          </w:p>
          <w:p w14:paraId="187DB962" w14:textId="77777777" w:rsidR="00855308" w:rsidRPr="00A71D77" w:rsidRDefault="00855308" w:rsidP="000521CC">
            <w:pPr>
              <w:tabs>
                <w:tab w:val="left" w:pos="996"/>
              </w:tabs>
              <w:spacing w:after="0" w:line="240" w:lineRule="auto"/>
              <w:ind w:left="133" w:right="144" w:firstLine="580"/>
              <w:jc w:val="both"/>
              <w:rPr>
                <w:rFonts w:ascii="Times New Roman" w:hAnsi="Times New Roman"/>
                <w:sz w:val="24"/>
                <w:szCs w:val="24"/>
              </w:rPr>
            </w:pPr>
            <w:r w:rsidRPr="00A71D77">
              <w:rPr>
                <w:rFonts w:ascii="Times New Roman" w:hAnsi="Times New Roman"/>
                <w:sz w:val="24"/>
                <w:szCs w:val="24"/>
              </w:rPr>
              <w:t xml:space="preserve">- pulksteņu un juvelierizstrādājumu vairumtirdzniecībā (NACE 2 </w:t>
            </w:r>
            <w:proofErr w:type="spellStart"/>
            <w:r w:rsidRPr="00A71D77">
              <w:rPr>
                <w:rFonts w:ascii="Times New Roman" w:hAnsi="Times New Roman"/>
                <w:i/>
                <w:iCs/>
                <w:sz w:val="24"/>
                <w:szCs w:val="24"/>
              </w:rPr>
              <w:t>red</w:t>
            </w:r>
            <w:proofErr w:type="spellEnd"/>
            <w:r w:rsidRPr="00A71D77">
              <w:rPr>
                <w:rFonts w:ascii="Times New Roman" w:hAnsi="Times New Roman"/>
                <w:sz w:val="24"/>
                <w:szCs w:val="24"/>
              </w:rPr>
              <w:t>. kods 4648);</w:t>
            </w:r>
          </w:p>
          <w:p w14:paraId="2A3DA6C4" w14:textId="77777777" w:rsidR="00855308" w:rsidRPr="00A71D77" w:rsidRDefault="00855308" w:rsidP="000521CC">
            <w:pPr>
              <w:tabs>
                <w:tab w:val="left" w:pos="996"/>
              </w:tabs>
              <w:spacing w:after="0" w:line="240" w:lineRule="auto"/>
              <w:ind w:left="133" w:right="144" w:firstLine="580"/>
              <w:jc w:val="both"/>
              <w:rPr>
                <w:rFonts w:ascii="Times New Roman" w:hAnsi="Times New Roman"/>
                <w:sz w:val="24"/>
                <w:szCs w:val="24"/>
              </w:rPr>
            </w:pPr>
            <w:r w:rsidRPr="00A71D77">
              <w:rPr>
                <w:rFonts w:ascii="Times New Roman" w:hAnsi="Times New Roman"/>
                <w:sz w:val="24"/>
                <w:szCs w:val="24"/>
              </w:rPr>
              <w:t xml:space="preserve">- pulksteņu un juvelierizstrādājumu mazumtirdzniecībā specializētajos veikalos (NACE 2 </w:t>
            </w:r>
            <w:proofErr w:type="spellStart"/>
            <w:r w:rsidRPr="00A71D77">
              <w:rPr>
                <w:rFonts w:ascii="Times New Roman" w:hAnsi="Times New Roman"/>
                <w:i/>
                <w:iCs/>
                <w:sz w:val="24"/>
                <w:szCs w:val="24"/>
              </w:rPr>
              <w:t>red</w:t>
            </w:r>
            <w:proofErr w:type="spellEnd"/>
            <w:r w:rsidRPr="00A71D77">
              <w:rPr>
                <w:rFonts w:ascii="Times New Roman" w:hAnsi="Times New Roman"/>
                <w:sz w:val="24"/>
                <w:szCs w:val="24"/>
              </w:rPr>
              <w:t>. kods 4777);</w:t>
            </w:r>
          </w:p>
          <w:p w14:paraId="1A336F98" w14:textId="77777777" w:rsidR="00855308" w:rsidRPr="00A71D77" w:rsidRDefault="00855308" w:rsidP="000521CC">
            <w:pPr>
              <w:tabs>
                <w:tab w:val="left" w:pos="996"/>
              </w:tabs>
              <w:spacing w:after="0" w:line="240" w:lineRule="auto"/>
              <w:ind w:left="133" w:right="144" w:firstLine="580"/>
              <w:jc w:val="both"/>
              <w:rPr>
                <w:rFonts w:ascii="Times New Roman" w:hAnsi="Times New Roman"/>
                <w:sz w:val="24"/>
                <w:szCs w:val="24"/>
              </w:rPr>
            </w:pPr>
            <w:r w:rsidRPr="00A71D77">
              <w:rPr>
                <w:rFonts w:ascii="Times New Roman" w:hAnsi="Times New Roman"/>
                <w:sz w:val="24"/>
                <w:szCs w:val="24"/>
              </w:rPr>
              <w:t xml:space="preserve">- pulksteņu un juvelierizstrādājumu remonta nozarē (NACE 2 </w:t>
            </w:r>
            <w:proofErr w:type="spellStart"/>
            <w:r w:rsidRPr="00A71D77">
              <w:rPr>
                <w:rFonts w:ascii="Times New Roman" w:hAnsi="Times New Roman"/>
                <w:i/>
                <w:iCs/>
                <w:sz w:val="24"/>
                <w:szCs w:val="24"/>
              </w:rPr>
              <w:t>red</w:t>
            </w:r>
            <w:proofErr w:type="spellEnd"/>
            <w:r w:rsidRPr="00A71D77">
              <w:rPr>
                <w:rFonts w:ascii="Times New Roman" w:hAnsi="Times New Roman"/>
                <w:sz w:val="24"/>
                <w:szCs w:val="24"/>
              </w:rPr>
              <w:t>. kods 9525).</w:t>
            </w:r>
          </w:p>
          <w:p w14:paraId="05AE407A" w14:textId="5634C517" w:rsidR="00855308" w:rsidRPr="008B7C92" w:rsidRDefault="00855308" w:rsidP="000521CC">
            <w:pPr>
              <w:spacing w:after="0" w:line="240" w:lineRule="auto"/>
              <w:ind w:left="127" w:right="144" w:firstLine="425"/>
              <w:jc w:val="both"/>
              <w:rPr>
                <w:rFonts w:ascii="Times New Roman" w:eastAsia="Times New Roman" w:hAnsi="Times New Roman" w:cs="Times New Roman"/>
                <w:bCs/>
                <w:color w:val="000000" w:themeColor="text1"/>
                <w:sz w:val="24"/>
                <w:szCs w:val="24"/>
              </w:rPr>
            </w:pPr>
            <w:r w:rsidRPr="008B7C92">
              <w:rPr>
                <w:rFonts w:ascii="Times New Roman" w:hAnsi="Times New Roman"/>
                <w:color w:val="000000"/>
                <w:sz w:val="24"/>
                <w:szCs w:val="24"/>
              </w:rPr>
              <w:t xml:space="preserve">Fiskālā ietekme </w:t>
            </w:r>
            <w:r w:rsidRPr="008B7C92">
              <w:rPr>
                <w:rFonts w:ascii="Times New Roman" w:eastAsia="Times New Roman" w:hAnsi="Times New Roman" w:cs="Times New Roman"/>
                <w:bCs/>
                <w:sz w:val="24"/>
                <w:szCs w:val="24"/>
              </w:rPr>
              <w:t xml:space="preserve">uz PVN ieņēmumiem </w:t>
            </w:r>
            <w:r w:rsidRPr="008B7C92">
              <w:rPr>
                <w:rFonts w:ascii="Times New Roman" w:hAnsi="Times New Roman"/>
                <w:color w:val="000000"/>
                <w:sz w:val="24"/>
                <w:szCs w:val="24"/>
              </w:rPr>
              <w:t xml:space="preserve">no </w:t>
            </w:r>
            <w:r w:rsidR="00676100">
              <w:rPr>
                <w:rFonts w:ascii="Times New Roman" w:hAnsi="Times New Roman"/>
                <w:color w:val="000000"/>
                <w:sz w:val="24"/>
                <w:szCs w:val="24"/>
              </w:rPr>
              <w:t xml:space="preserve">PVN </w:t>
            </w:r>
            <w:r w:rsidRPr="008B7C92">
              <w:rPr>
                <w:rFonts w:ascii="Times New Roman" w:hAnsi="Times New Roman"/>
                <w:color w:val="000000"/>
                <w:sz w:val="24"/>
                <w:szCs w:val="24"/>
              </w:rPr>
              <w:t xml:space="preserve">apgrieztās </w:t>
            </w:r>
            <w:r w:rsidRPr="000521CC">
              <w:rPr>
                <w:rFonts w:ascii="Times New Roman" w:eastAsia="Times New Roman" w:hAnsi="Times New Roman" w:cs="Times New Roman"/>
                <w:sz w:val="24"/>
                <w:szCs w:val="24"/>
              </w:rPr>
              <w:t>maksāšanas</w:t>
            </w:r>
            <w:r w:rsidRPr="008B7C92">
              <w:rPr>
                <w:rFonts w:ascii="Times New Roman" w:hAnsi="Times New Roman"/>
                <w:sz w:val="24"/>
                <w:szCs w:val="24"/>
              </w:rPr>
              <w:t xml:space="preserve"> kārtības</w:t>
            </w:r>
            <w:r w:rsidRPr="008B7C92">
              <w:rPr>
                <w:rFonts w:ascii="Times New Roman" w:hAnsi="Times New Roman"/>
                <w:color w:val="000000"/>
                <w:sz w:val="24"/>
                <w:szCs w:val="24"/>
              </w:rPr>
              <w:t xml:space="preserve"> ieviešanas </w:t>
            </w:r>
            <w:r w:rsidR="000521CC">
              <w:rPr>
                <w:rFonts w:ascii="Times New Roman" w:hAnsi="Times New Roman"/>
                <w:color w:val="000000"/>
                <w:sz w:val="24"/>
                <w:szCs w:val="24"/>
              </w:rPr>
              <w:t>dārgmetālu nozarē</w:t>
            </w:r>
            <w:r w:rsidRPr="008B7C92">
              <w:rPr>
                <w:rFonts w:ascii="Times New Roman" w:hAnsi="Times New Roman"/>
                <w:color w:val="000000"/>
                <w:sz w:val="24"/>
                <w:szCs w:val="24"/>
              </w:rPr>
              <w:t xml:space="preserve"> </w:t>
            </w:r>
            <w:r w:rsidRPr="008B7C92">
              <w:rPr>
                <w:rFonts w:ascii="Times New Roman" w:eastAsia="Times New Roman" w:hAnsi="Times New Roman" w:cs="Times New Roman"/>
                <w:bCs/>
                <w:sz w:val="24"/>
                <w:szCs w:val="24"/>
              </w:rPr>
              <w:t xml:space="preserve">ir </w:t>
            </w:r>
            <w:r w:rsidRPr="008B7C92">
              <w:rPr>
                <w:rFonts w:ascii="Times New Roman" w:eastAsia="Times New Roman" w:hAnsi="Times New Roman" w:cs="Times New Roman"/>
                <w:bCs/>
                <w:color w:val="000000" w:themeColor="text1"/>
                <w:sz w:val="24"/>
                <w:szCs w:val="24"/>
              </w:rPr>
              <w:t>aprēķināta</w:t>
            </w:r>
            <w:r w:rsidR="00BA5725">
              <w:rPr>
                <w:rFonts w:ascii="Times New Roman" w:eastAsia="Times New Roman" w:hAnsi="Times New Roman" w:cs="Times New Roman"/>
                <w:bCs/>
                <w:color w:val="000000" w:themeColor="text1"/>
                <w:sz w:val="24"/>
                <w:szCs w:val="24"/>
              </w:rPr>
              <w:t>,</w:t>
            </w:r>
            <w:r w:rsidRPr="008B7C92">
              <w:rPr>
                <w:rFonts w:ascii="Times New Roman" w:eastAsia="Times New Roman" w:hAnsi="Times New Roman" w:cs="Times New Roman"/>
                <w:bCs/>
                <w:color w:val="000000" w:themeColor="text1"/>
                <w:sz w:val="24"/>
                <w:szCs w:val="24"/>
              </w:rPr>
              <w:t xml:space="preserve"> ņemot vērā PVN likuma grozījumu stāšanos spēkā 2017.gada 1.janvārī</w:t>
            </w:r>
            <w:r w:rsidR="00BA5725">
              <w:rPr>
                <w:rFonts w:ascii="Times New Roman" w:eastAsia="Times New Roman" w:hAnsi="Times New Roman" w:cs="Times New Roman"/>
                <w:bCs/>
                <w:color w:val="000000" w:themeColor="text1"/>
                <w:sz w:val="24"/>
                <w:szCs w:val="24"/>
              </w:rPr>
              <w:t>,</w:t>
            </w:r>
            <w:r w:rsidRPr="008B7C92">
              <w:rPr>
                <w:rFonts w:ascii="Times New Roman" w:eastAsia="Times New Roman" w:hAnsi="Times New Roman" w:cs="Times New Roman"/>
                <w:bCs/>
                <w:color w:val="000000" w:themeColor="text1"/>
                <w:sz w:val="24"/>
                <w:szCs w:val="24"/>
              </w:rPr>
              <w:t xml:space="preserve"> un 2017.</w:t>
            </w:r>
            <w:r w:rsidR="00B64423">
              <w:rPr>
                <w:rFonts w:ascii="Times New Roman" w:eastAsia="Times New Roman" w:hAnsi="Times New Roman" w:cs="Times New Roman"/>
                <w:bCs/>
                <w:color w:val="000000" w:themeColor="text1"/>
                <w:sz w:val="24"/>
                <w:szCs w:val="24"/>
              </w:rPr>
              <w:t xml:space="preserve"> – 2018. </w:t>
            </w:r>
            <w:r w:rsidRPr="008B7C92">
              <w:rPr>
                <w:rFonts w:ascii="Times New Roman" w:eastAsia="Times New Roman" w:hAnsi="Times New Roman" w:cs="Times New Roman"/>
                <w:bCs/>
                <w:color w:val="000000" w:themeColor="text1"/>
                <w:sz w:val="24"/>
                <w:szCs w:val="24"/>
              </w:rPr>
              <w:t xml:space="preserve">gadā </w:t>
            </w:r>
            <w:r w:rsidR="006D201B">
              <w:rPr>
                <w:rFonts w:ascii="Times New Roman" w:eastAsia="Times New Roman" w:hAnsi="Times New Roman" w:cs="Times New Roman"/>
                <w:bCs/>
                <w:color w:val="000000" w:themeColor="text1"/>
                <w:sz w:val="24"/>
                <w:szCs w:val="24"/>
              </w:rPr>
              <w:t xml:space="preserve">tā </w:t>
            </w:r>
            <w:r w:rsidRPr="008B7C92">
              <w:rPr>
                <w:rFonts w:ascii="Times New Roman" w:eastAsia="Times New Roman" w:hAnsi="Times New Roman" w:cs="Times New Roman"/>
                <w:bCs/>
                <w:color w:val="000000" w:themeColor="text1"/>
                <w:sz w:val="24"/>
                <w:szCs w:val="24"/>
              </w:rPr>
              <w:t xml:space="preserve">ir 0,5 milj. </w:t>
            </w:r>
            <w:proofErr w:type="spellStart"/>
            <w:r w:rsidRPr="008B7C92">
              <w:rPr>
                <w:rFonts w:ascii="Times New Roman" w:eastAsia="Times New Roman" w:hAnsi="Times New Roman" w:cs="Times New Roman"/>
                <w:bCs/>
                <w:i/>
                <w:color w:val="000000" w:themeColor="text1"/>
                <w:sz w:val="24"/>
                <w:szCs w:val="24"/>
              </w:rPr>
              <w:t>euro</w:t>
            </w:r>
            <w:proofErr w:type="spellEnd"/>
            <w:r w:rsidR="00B64423">
              <w:rPr>
                <w:rFonts w:ascii="Times New Roman" w:eastAsia="Times New Roman" w:hAnsi="Times New Roman" w:cs="Times New Roman"/>
                <w:bCs/>
                <w:color w:val="000000" w:themeColor="text1"/>
                <w:sz w:val="24"/>
                <w:szCs w:val="24"/>
              </w:rPr>
              <w:t xml:space="preserve"> gadā.</w:t>
            </w:r>
          </w:p>
          <w:p w14:paraId="08EC37FA" w14:textId="4179E98F" w:rsidR="00855308" w:rsidRPr="008B7C92" w:rsidRDefault="00855308" w:rsidP="006D201B">
            <w:pPr>
              <w:spacing w:after="0" w:line="240" w:lineRule="auto"/>
              <w:ind w:left="127" w:right="144" w:firstLine="425"/>
              <w:jc w:val="both"/>
              <w:rPr>
                <w:rFonts w:ascii="Times New Roman" w:eastAsia="Times New Roman" w:hAnsi="Times New Roman" w:cs="Times New Roman"/>
                <w:bCs/>
                <w:color w:val="000000" w:themeColor="text1"/>
                <w:sz w:val="24"/>
                <w:szCs w:val="24"/>
              </w:rPr>
            </w:pPr>
            <w:r w:rsidRPr="006D201B">
              <w:rPr>
                <w:rFonts w:ascii="Times New Roman" w:eastAsia="Times New Roman" w:hAnsi="Times New Roman" w:cs="Times New Roman"/>
                <w:sz w:val="24"/>
                <w:szCs w:val="24"/>
              </w:rPr>
              <w:t>Ietekme</w:t>
            </w:r>
            <w:r w:rsidRPr="008B7C92">
              <w:rPr>
                <w:rFonts w:ascii="Times New Roman" w:eastAsia="Times New Roman" w:hAnsi="Times New Roman" w:cs="Times New Roman"/>
                <w:bCs/>
                <w:color w:val="000000" w:themeColor="text1"/>
                <w:sz w:val="24"/>
                <w:szCs w:val="24"/>
              </w:rPr>
              <w:t xml:space="preserve"> uz valsts budžetu (PVN ieņēmumiem) ir aprēķināta</w:t>
            </w:r>
            <w:r w:rsidR="00BA5725">
              <w:rPr>
                <w:rFonts w:ascii="Times New Roman" w:eastAsia="Times New Roman" w:hAnsi="Times New Roman" w:cs="Times New Roman"/>
                <w:bCs/>
                <w:color w:val="000000" w:themeColor="text1"/>
                <w:sz w:val="24"/>
                <w:szCs w:val="24"/>
              </w:rPr>
              <w:t>,</w:t>
            </w:r>
            <w:r w:rsidRPr="008B7C92">
              <w:rPr>
                <w:rFonts w:ascii="Times New Roman" w:eastAsia="Times New Roman" w:hAnsi="Times New Roman" w:cs="Times New Roman"/>
                <w:bCs/>
                <w:color w:val="000000" w:themeColor="text1"/>
                <w:sz w:val="24"/>
                <w:szCs w:val="24"/>
              </w:rPr>
              <w:t xml:space="preserve"> ņemot vērā:</w:t>
            </w:r>
          </w:p>
          <w:p w14:paraId="692C3960" w14:textId="3264BC05" w:rsidR="00855308" w:rsidRPr="008B7C92" w:rsidRDefault="00855308" w:rsidP="006D201B">
            <w:pPr>
              <w:tabs>
                <w:tab w:val="left" w:pos="996"/>
              </w:tabs>
              <w:spacing w:after="0" w:line="240" w:lineRule="auto"/>
              <w:ind w:left="133" w:right="144" w:firstLine="580"/>
              <w:jc w:val="both"/>
              <w:rPr>
                <w:rFonts w:ascii="Times New Roman" w:hAnsi="Times New Roman"/>
                <w:color w:val="000000"/>
                <w:sz w:val="24"/>
                <w:szCs w:val="24"/>
              </w:rPr>
            </w:pPr>
            <w:r w:rsidRPr="008B7C92">
              <w:rPr>
                <w:rFonts w:ascii="Times New Roman" w:hAnsi="Times New Roman"/>
                <w:color w:val="000000"/>
                <w:sz w:val="24"/>
                <w:szCs w:val="24"/>
              </w:rPr>
              <w:t xml:space="preserve">1) 2014. un 2015. gadā PVN deklarācijās deklarēto maksājamo </w:t>
            </w:r>
            <w:r w:rsidRPr="006D201B">
              <w:rPr>
                <w:rFonts w:ascii="Times New Roman" w:hAnsi="Times New Roman"/>
                <w:sz w:val="24"/>
                <w:szCs w:val="24"/>
              </w:rPr>
              <w:t>summu</w:t>
            </w:r>
            <w:r w:rsidRPr="008B7C92">
              <w:rPr>
                <w:rFonts w:ascii="Times New Roman" w:hAnsi="Times New Roman"/>
                <w:color w:val="000000"/>
                <w:sz w:val="24"/>
                <w:szCs w:val="24"/>
              </w:rPr>
              <w:t xml:space="preserve"> </w:t>
            </w:r>
            <w:r w:rsidR="00BA5725">
              <w:rPr>
                <w:rFonts w:ascii="Times New Roman" w:hAnsi="Times New Roman"/>
                <w:color w:val="000000"/>
                <w:sz w:val="24"/>
                <w:szCs w:val="24"/>
              </w:rPr>
              <w:t xml:space="preserve">valsts </w:t>
            </w:r>
            <w:r w:rsidRPr="008B7C92">
              <w:rPr>
                <w:rFonts w:ascii="Times New Roman" w:hAnsi="Times New Roman"/>
                <w:color w:val="000000"/>
                <w:sz w:val="24"/>
                <w:szCs w:val="24"/>
              </w:rPr>
              <w:t xml:space="preserve">budžetā (starpība starp iemaksājamo un atmaksājamo summu budžetā) </w:t>
            </w:r>
            <w:r w:rsidR="000B65AC">
              <w:rPr>
                <w:rFonts w:ascii="Times New Roman" w:hAnsi="Times New Roman"/>
                <w:color w:val="000000"/>
                <w:sz w:val="24"/>
                <w:szCs w:val="24"/>
              </w:rPr>
              <w:t>reģistrētajiem PVN</w:t>
            </w:r>
            <w:r w:rsidRPr="008B7C92">
              <w:rPr>
                <w:rFonts w:ascii="Times New Roman" w:hAnsi="Times New Roman"/>
                <w:color w:val="000000"/>
                <w:sz w:val="24"/>
                <w:szCs w:val="24"/>
              </w:rPr>
              <w:t xml:space="preserve"> maksātājiem, kas darbojas:</w:t>
            </w:r>
          </w:p>
          <w:p w14:paraId="60A2039F" w14:textId="77777777" w:rsidR="00855308" w:rsidRPr="006D201B" w:rsidRDefault="00855308" w:rsidP="006D201B">
            <w:pPr>
              <w:tabs>
                <w:tab w:val="left" w:pos="996"/>
              </w:tabs>
              <w:spacing w:after="0" w:line="240" w:lineRule="auto"/>
              <w:ind w:left="133" w:right="144" w:firstLine="580"/>
              <w:jc w:val="both"/>
              <w:rPr>
                <w:rFonts w:ascii="Times New Roman" w:hAnsi="Times New Roman"/>
                <w:sz w:val="24"/>
                <w:szCs w:val="24"/>
              </w:rPr>
            </w:pPr>
            <w:r>
              <w:rPr>
                <w:rFonts w:ascii="Times New Roman" w:hAnsi="Times New Roman"/>
                <w:color w:val="000000"/>
                <w:sz w:val="24"/>
                <w:szCs w:val="24"/>
              </w:rPr>
              <w:t>- </w:t>
            </w:r>
            <w:r w:rsidRPr="006D201B">
              <w:rPr>
                <w:rFonts w:ascii="Times New Roman" w:hAnsi="Times New Roman"/>
                <w:sz w:val="24"/>
                <w:szCs w:val="24"/>
              </w:rPr>
              <w:t xml:space="preserve">juvelierizstrādājumu un līdzīgu izstrādājumu ražošanas nozarē (NACE 2 </w:t>
            </w:r>
            <w:proofErr w:type="spellStart"/>
            <w:r w:rsidRPr="006D201B">
              <w:rPr>
                <w:rFonts w:ascii="Times New Roman" w:hAnsi="Times New Roman"/>
                <w:sz w:val="24"/>
                <w:szCs w:val="24"/>
              </w:rPr>
              <w:t>red</w:t>
            </w:r>
            <w:proofErr w:type="spellEnd"/>
            <w:r w:rsidRPr="006D201B">
              <w:rPr>
                <w:rFonts w:ascii="Times New Roman" w:hAnsi="Times New Roman"/>
                <w:sz w:val="24"/>
                <w:szCs w:val="24"/>
              </w:rPr>
              <w:t>. kods 3212);</w:t>
            </w:r>
          </w:p>
          <w:p w14:paraId="4271CC3E" w14:textId="77777777" w:rsidR="00855308" w:rsidRPr="006D201B" w:rsidRDefault="00855308" w:rsidP="006D201B">
            <w:pPr>
              <w:tabs>
                <w:tab w:val="left" w:pos="996"/>
              </w:tabs>
              <w:spacing w:after="0" w:line="240" w:lineRule="auto"/>
              <w:ind w:left="133" w:right="144" w:firstLine="580"/>
              <w:jc w:val="both"/>
              <w:rPr>
                <w:rFonts w:ascii="Times New Roman" w:hAnsi="Times New Roman"/>
                <w:sz w:val="24"/>
                <w:szCs w:val="24"/>
              </w:rPr>
            </w:pPr>
            <w:r w:rsidRPr="006D201B">
              <w:rPr>
                <w:rFonts w:ascii="Times New Roman" w:hAnsi="Times New Roman"/>
                <w:sz w:val="24"/>
                <w:szCs w:val="24"/>
              </w:rPr>
              <w:t xml:space="preserve">- juvelierizstrādājumu imitāciju un līdzīgu izstrādājumu ražošanas nozarē (NACE 2 </w:t>
            </w:r>
            <w:proofErr w:type="spellStart"/>
            <w:r w:rsidRPr="006D201B">
              <w:rPr>
                <w:rFonts w:ascii="Times New Roman" w:hAnsi="Times New Roman"/>
                <w:sz w:val="24"/>
                <w:szCs w:val="24"/>
              </w:rPr>
              <w:t>red</w:t>
            </w:r>
            <w:proofErr w:type="spellEnd"/>
            <w:r w:rsidRPr="006D201B">
              <w:rPr>
                <w:rFonts w:ascii="Times New Roman" w:hAnsi="Times New Roman"/>
                <w:sz w:val="24"/>
                <w:szCs w:val="24"/>
              </w:rPr>
              <w:t>. kods 3213);</w:t>
            </w:r>
          </w:p>
          <w:p w14:paraId="22B54C6E" w14:textId="77777777" w:rsidR="00855308" w:rsidRPr="006D201B" w:rsidRDefault="00855308" w:rsidP="006D201B">
            <w:pPr>
              <w:tabs>
                <w:tab w:val="left" w:pos="996"/>
              </w:tabs>
              <w:spacing w:after="0" w:line="240" w:lineRule="auto"/>
              <w:ind w:left="133" w:right="144" w:firstLine="580"/>
              <w:jc w:val="both"/>
              <w:rPr>
                <w:rFonts w:ascii="Times New Roman" w:hAnsi="Times New Roman"/>
                <w:sz w:val="24"/>
                <w:szCs w:val="24"/>
              </w:rPr>
            </w:pPr>
            <w:r w:rsidRPr="006D201B">
              <w:rPr>
                <w:rFonts w:ascii="Times New Roman" w:hAnsi="Times New Roman"/>
                <w:sz w:val="24"/>
                <w:szCs w:val="24"/>
              </w:rPr>
              <w:t xml:space="preserve">- pulksteņu un juvelierizstrādājumu vairumtirdzniecībā (NACE 2 </w:t>
            </w:r>
            <w:proofErr w:type="spellStart"/>
            <w:r w:rsidRPr="006D201B">
              <w:rPr>
                <w:rFonts w:ascii="Times New Roman" w:hAnsi="Times New Roman"/>
                <w:sz w:val="24"/>
                <w:szCs w:val="24"/>
              </w:rPr>
              <w:t>red</w:t>
            </w:r>
            <w:proofErr w:type="spellEnd"/>
            <w:r w:rsidRPr="006D201B">
              <w:rPr>
                <w:rFonts w:ascii="Times New Roman" w:hAnsi="Times New Roman"/>
                <w:sz w:val="24"/>
                <w:szCs w:val="24"/>
              </w:rPr>
              <w:t>. kods 4648);</w:t>
            </w:r>
          </w:p>
          <w:p w14:paraId="2041CCA3" w14:textId="77777777" w:rsidR="00855308" w:rsidRPr="006D201B" w:rsidRDefault="00855308" w:rsidP="006D201B">
            <w:pPr>
              <w:tabs>
                <w:tab w:val="left" w:pos="996"/>
              </w:tabs>
              <w:spacing w:after="0" w:line="240" w:lineRule="auto"/>
              <w:ind w:left="133" w:right="144" w:firstLine="580"/>
              <w:jc w:val="both"/>
              <w:rPr>
                <w:rFonts w:ascii="Times New Roman" w:hAnsi="Times New Roman"/>
                <w:sz w:val="24"/>
                <w:szCs w:val="24"/>
              </w:rPr>
            </w:pPr>
            <w:r w:rsidRPr="006D201B">
              <w:rPr>
                <w:rFonts w:ascii="Times New Roman" w:hAnsi="Times New Roman"/>
                <w:sz w:val="24"/>
                <w:szCs w:val="24"/>
              </w:rPr>
              <w:t xml:space="preserve">- pulksteņu un juvelierizstrādājumu mazumtirdzniecībā specializētajos veikalos (NACE 2 </w:t>
            </w:r>
            <w:proofErr w:type="spellStart"/>
            <w:r w:rsidRPr="006D201B">
              <w:rPr>
                <w:rFonts w:ascii="Times New Roman" w:hAnsi="Times New Roman"/>
                <w:sz w:val="24"/>
                <w:szCs w:val="24"/>
              </w:rPr>
              <w:t>red</w:t>
            </w:r>
            <w:proofErr w:type="spellEnd"/>
            <w:r w:rsidRPr="006D201B">
              <w:rPr>
                <w:rFonts w:ascii="Times New Roman" w:hAnsi="Times New Roman"/>
                <w:sz w:val="24"/>
                <w:szCs w:val="24"/>
              </w:rPr>
              <w:t>. kods 4777);</w:t>
            </w:r>
          </w:p>
          <w:p w14:paraId="1754574B" w14:textId="77777777" w:rsidR="00855308" w:rsidRPr="006D201B" w:rsidRDefault="00855308" w:rsidP="006D201B">
            <w:pPr>
              <w:tabs>
                <w:tab w:val="left" w:pos="996"/>
              </w:tabs>
              <w:spacing w:after="0" w:line="240" w:lineRule="auto"/>
              <w:ind w:left="133" w:right="144" w:firstLine="580"/>
              <w:jc w:val="both"/>
              <w:rPr>
                <w:rFonts w:ascii="Times New Roman" w:hAnsi="Times New Roman"/>
                <w:sz w:val="24"/>
                <w:szCs w:val="24"/>
              </w:rPr>
            </w:pPr>
            <w:r w:rsidRPr="006D201B">
              <w:rPr>
                <w:rFonts w:ascii="Times New Roman" w:hAnsi="Times New Roman"/>
                <w:sz w:val="24"/>
                <w:szCs w:val="24"/>
              </w:rPr>
              <w:t xml:space="preserve">- pulksteņu un juvelierizstrādājumu remonta nozarē (NACE 2 </w:t>
            </w:r>
            <w:proofErr w:type="spellStart"/>
            <w:r w:rsidRPr="006D201B">
              <w:rPr>
                <w:rFonts w:ascii="Times New Roman" w:hAnsi="Times New Roman"/>
                <w:sz w:val="24"/>
                <w:szCs w:val="24"/>
              </w:rPr>
              <w:t>red</w:t>
            </w:r>
            <w:proofErr w:type="spellEnd"/>
            <w:r w:rsidRPr="006D201B">
              <w:rPr>
                <w:rFonts w:ascii="Times New Roman" w:hAnsi="Times New Roman"/>
                <w:sz w:val="24"/>
                <w:szCs w:val="24"/>
              </w:rPr>
              <w:t>. kods 9525),</w:t>
            </w:r>
          </w:p>
          <w:p w14:paraId="19A59611" w14:textId="34F0DA66" w:rsidR="00855308" w:rsidRPr="00222D39" w:rsidRDefault="00855308" w:rsidP="006D201B">
            <w:pPr>
              <w:tabs>
                <w:tab w:val="left" w:pos="996"/>
              </w:tabs>
              <w:spacing w:after="0" w:line="240" w:lineRule="auto"/>
              <w:ind w:left="133" w:right="144" w:hanging="5"/>
              <w:jc w:val="both"/>
              <w:rPr>
                <w:rFonts w:ascii="Times New Roman" w:eastAsia="Times New Roman" w:hAnsi="Times New Roman" w:cs="Times New Roman"/>
                <w:bCs/>
                <w:color w:val="000000" w:themeColor="text1"/>
                <w:sz w:val="24"/>
                <w:szCs w:val="24"/>
              </w:rPr>
            </w:pPr>
            <w:r w:rsidRPr="008B7C92">
              <w:rPr>
                <w:rFonts w:ascii="Times New Roman" w:hAnsi="Times New Roman"/>
                <w:color w:val="000000"/>
                <w:sz w:val="24"/>
                <w:szCs w:val="24"/>
              </w:rPr>
              <w:t>kā arī ņemot vērā informāciju no VSIA</w:t>
            </w:r>
            <w:r w:rsidR="000B65AC">
              <w:rPr>
                <w:rFonts w:ascii="Times New Roman" w:hAnsi="Times New Roman"/>
                <w:color w:val="000000"/>
                <w:sz w:val="24"/>
                <w:szCs w:val="24"/>
              </w:rPr>
              <w:t> “</w:t>
            </w:r>
            <w:r w:rsidRPr="008B7C92">
              <w:rPr>
                <w:rFonts w:ascii="Times New Roman" w:hAnsi="Times New Roman"/>
                <w:color w:val="000000"/>
                <w:sz w:val="24"/>
                <w:szCs w:val="24"/>
              </w:rPr>
              <w:t>Latvijas Proves birojs</w:t>
            </w:r>
            <w:r w:rsidR="000B65AC">
              <w:rPr>
                <w:rFonts w:ascii="Times New Roman" w:hAnsi="Times New Roman"/>
                <w:color w:val="000000"/>
                <w:sz w:val="24"/>
                <w:szCs w:val="24"/>
              </w:rPr>
              <w:t>”</w:t>
            </w:r>
            <w:r w:rsidRPr="008B7C92">
              <w:rPr>
                <w:rFonts w:ascii="Times New Roman" w:hAnsi="Times New Roman"/>
                <w:color w:val="000000"/>
                <w:sz w:val="24"/>
                <w:szCs w:val="24"/>
              </w:rPr>
              <w:t xml:space="preserve"> par testētāju dārgmetālu lietņiem un granulām deklarēto maksājamo summu </w:t>
            </w:r>
            <w:r w:rsidR="00BA5725">
              <w:rPr>
                <w:rFonts w:ascii="Times New Roman" w:hAnsi="Times New Roman"/>
                <w:color w:val="000000"/>
                <w:sz w:val="24"/>
                <w:szCs w:val="24"/>
              </w:rPr>
              <w:t xml:space="preserve">valsts </w:t>
            </w:r>
            <w:r w:rsidRPr="008B7C92">
              <w:rPr>
                <w:rFonts w:ascii="Times New Roman" w:hAnsi="Times New Roman"/>
                <w:color w:val="000000"/>
                <w:sz w:val="24"/>
                <w:szCs w:val="24"/>
              </w:rPr>
              <w:t xml:space="preserve">budžetā. </w:t>
            </w:r>
            <w:r w:rsidR="000B65AC">
              <w:rPr>
                <w:rFonts w:ascii="Times New Roman" w:eastAsia="Times New Roman" w:hAnsi="Times New Roman" w:cs="Times New Roman"/>
                <w:bCs/>
                <w:color w:val="000000" w:themeColor="text1"/>
                <w:sz w:val="24"/>
                <w:szCs w:val="24"/>
              </w:rPr>
              <w:t xml:space="preserve">Reģistrētajiem PVN </w:t>
            </w:r>
            <w:r w:rsidRPr="008B7C92">
              <w:rPr>
                <w:rFonts w:ascii="Times New Roman" w:eastAsia="Times New Roman" w:hAnsi="Times New Roman" w:cs="Times New Roman"/>
                <w:bCs/>
                <w:color w:val="000000" w:themeColor="text1"/>
                <w:sz w:val="24"/>
                <w:szCs w:val="24"/>
              </w:rPr>
              <w:t xml:space="preserve">maksātājiem kopā aprēķinātā bāze maksājamajai summai </w:t>
            </w:r>
            <w:r w:rsidR="00BA5725">
              <w:rPr>
                <w:rFonts w:ascii="Times New Roman" w:eastAsia="Times New Roman" w:hAnsi="Times New Roman" w:cs="Times New Roman"/>
                <w:bCs/>
                <w:color w:val="000000" w:themeColor="text1"/>
                <w:sz w:val="24"/>
                <w:szCs w:val="24"/>
              </w:rPr>
              <w:t xml:space="preserve">valsts </w:t>
            </w:r>
            <w:r w:rsidRPr="00222D39">
              <w:rPr>
                <w:rFonts w:ascii="Times New Roman" w:eastAsia="Times New Roman" w:hAnsi="Times New Roman" w:cs="Times New Roman"/>
                <w:bCs/>
                <w:color w:val="000000" w:themeColor="text1"/>
                <w:sz w:val="24"/>
                <w:szCs w:val="24"/>
              </w:rPr>
              <w:t xml:space="preserve">budžetā ir 4,5 milj. </w:t>
            </w:r>
            <w:proofErr w:type="spellStart"/>
            <w:r w:rsidRPr="00222D39">
              <w:rPr>
                <w:rFonts w:ascii="Times New Roman" w:eastAsia="Times New Roman" w:hAnsi="Times New Roman" w:cs="Times New Roman"/>
                <w:bCs/>
                <w:i/>
                <w:color w:val="000000" w:themeColor="text1"/>
                <w:sz w:val="24"/>
                <w:szCs w:val="24"/>
              </w:rPr>
              <w:t>euro</w:t>
            </w:r>
            <w:proofErr w:type="spellEnd"/>
            <w:r w:rsidRPr="00222D39">
              <w:rPr>
                <w:rFonts w:ascii="Times New Roman" w:eastAsia="Times New Roman" w:hAnsi="Times New Roman" w:cs="Times New Roman"/>
                <w:bCs/>
                <w:color w:val="000000" w:themeColor="text1"/>
                <w:sz w:val="24"/>
                <w:szCs w:val="24"/>
              </w:rPr>
              <w:t>.</w:t>
            </w:r>
          </w:p>
          <w:p w14:paraId="007AB809" w14:textId="36AF30C2" w:rsidR="00855308" w:rsidRDefault="00855308" w:rsidP="006D201B">
            <w:pPr>
              <w:tabs>
                <w:tab w:val="left" w:pos="996"/>
              </w:tabs>
              <w:spacing w:after="0" w:line="240" w:lineRule="auto"/>
              <w:ind w:left="133" w:right="144" w:firstLine="580"/>
              <w:jc w:val="both"/>
              <w:rPr>
                <w:rFonts w:ascii="Times New Roman" w:eastAsia="Times New Roman" w:hAnsi="Times New Roman" w:cs="Times New Roman"/>
                <w:bCs/>
                <w:sz w:val="24"/>
                <w:szCs w:val="24"/>
              </w:rPr>
            </w:pPr>
            <w:r>
              <w:rPr>
                <w:rFonts w:ascii="Times New Roman" w:eastAsia="Times New Roman" w:hAnsi="Times New Roman" w:cs="Times New Roman"/>
                <w:bCs/>
                <w:color w:val="000000" w:themeColor="text1"/>
                <w:sz w:val="24"/>
                <w:szCs w:val="24"/>
              </w:rPr>
              <w:t xml:space="preserve">2) </w:t>
            </w:r>
            <w:r w:rsidRPr="00A009FA">
              <w:rPr>
                <w:rFonts w:ascii="Times New Roman" w:eastAsia="Times New Roman" w:hAnsi="Times New Roman" w:cs="Times New Roman"/>
                <w:bCs/>
                <w:color w:val="000000" w:themeColor="text1"/>
                <w:sz w:val="24"/>
                <w:szCs w:val="24"/>
              </w:rPr>
              <w:t xml:space="preserve">nedeklarēto PVN apmēru – </w:t>
            </w:r>
            <w:r w:rsidR="00BA5725">
              <w:rPr>
                <w:rFonts w:ascii="Times New Roman" w:eastAsia="Times New Roman" w:hAnsi="Times New Roman" w:cs="Times New Roman"/>
                <w:bCs/>
                <w:color w:val="000000" w:themeColor="text1"/>
                <w:sz w:val="24"/>
                <w:szCs w:val="24"/>
              </w:rPr>
              <w:t>PVN</w:t>
            </w:r>
            <w:r w:rsidR="00BA5725" w:rsidRPr="00A009FA">
              <w:rPr>
                <w:rFonts w:ascii="Times New Roman" w:eastAsia="Times New Roman" w:hAnsi="Times New Roman" w:cs="Times New Roman"/>
                <w:bCs/>
                <w:color w:val="000000" w:themeColor="text1"/>
                <w:sz w:val="24"/>
                <w:szCs w:val="24"/>
              </w:rPr>
              <w:t xml:space="preserve"> </w:t>
            </w:r>
            <w:r w:rsidRPr="00A009FA">
              <w:rPr>
                <w:rFonts w:ascii="Times New Roman" w:eastAsia="Times New Roman" w:hAnsi="Times New Roman" w:cs="Times New Roman"/>
                <w:bCs/>
                <w:color w:val="000000" w:themeColor="text1"/>
                <w:sz w:val="24"/>
                <w:szCs w:val="24"/>
              </w:rPr>
              <w:t>plaisas dinamiku</w:t>
            </w:r>
            <w:r>
              <w:rPr>
                <w:rFonts w:ascii="Times New Roman" w:eastAsia="Times New Roman" w:hAnsi="Times New Roman" w:cs="Times New Roman"/>
                <w:bCs/>
                <w:color w:val="000000" w:themeColor="text1"/>
                <w:sz w:val="24"/>
                <w:szCs w:val="24"/>
              </w:rPr>
              <w:t>,</w:t>
            </w:r>
            <w:r w:rsidRPr="00A009FA">
              <w:rPr>
                <w:rFonts w:ascii="Times New Roman" w:eastAsia="Times New Roman" w:hAnsi="Times New Roman" w:cs="Times New Roman"/>
                <w:bCs/>
                <w:color w:val="000000" w:themeColor="text1"/>
                <w:sz w:val="24"/>
                <w:szCs w:val="24"/>
              </w:rPr>
              <w:t xml:space="preserve"> 2012. – 2014.</w:t>
            </w:r>
            <w:r>
              <w:rPr>
                <w:rFonts w:ascii="Times New Roman" w:eastAsia="Times New Roman" w:hAnsi="Times New Roman" w:cs="Times New Roman"/>
                <w:bCs/>
                <w:color w:val="000000" w:themeColor="text1"/>
                <w:sz w:val="24"/>
                <w:szCs w:val="24"/>
              </w:rPr>
              <w:t> </w:t>
            </w:r>
            <w:r w:rsidRPr="00A009FA">
              <w:rPr>
                <w:rFonts w:ascii="Times New Roman" w:eastAsia="Times New Roman" w:hAnsi="Times New Roman" w:cs="Times New Roman"/>
                <w:bCs/>
                <w:color w:val="000000" w:themeColor="text1"/>
                <w:sz w:val="24"/>
                <w:szCs w:val="24"/>
              </w:rPr>
              <w:t>gadā un prognozēto PVN plaisas apmēru 2017</w:t>
            </w:r>
            <w:r w:rsidRPr="008B7C92">
              <w:rPr>
                <w:rFonts w:ascii="Times New Roman" w:eastAsia="Times New Roman" w:hAnsi="Times New Roman" w:cs="Times New Roman"/>
                <w:bCs/>
                <w:color w:val="000000" w:themeColor="text1"/>
                <w:sz w:val="24"/>
                <w:szCs w:val="24"/>
              </w:rPr>
              <w:t xml:space="preserve">. un 2018. gadam. Aprēķinos tiek ņemta vērā PVN plaisa, kas attiecās uz nedeklarēto </w:t>
            </w:r>
            <w:r w:rsidR="000B65AC">
              <w:rPr>
                <w:rFonts w:ascii="Times New Roman" w:eastAsia="Times New Roman" w:hAnsi="Times New Roman" w:cs="Times New Roman"/>
                <w:bCs/>
                <w:color w:val="000000" w:themeColor="text1"/>
                <w:sz w:val="24"/>
                <w:szCs w:val="24"/>
              </w:rPr>
              <w:t>PVN</w:t>
            </w:r>
            <w:r w:rsidRPr="008B7C92">
              <w:rPr>
                <w:rFonts w:ascii="Times New Roman" w:eastAsia="Times New Roman" w:hAnsi="Times New Roman" w:cs="Times New Roman"/>
                <w:bCs/>
                <w:color w:val="000000" w:themeColor="text1"/>
                <w:sz w:val="24"/>
                <w:szCs w:val="24"/>
              </w:rPr>
              <w:t xml:space="preserve"> apmēru, neņemot vērā </w:t>
            </w:r>
            <w:r w:rsidR="00BA5725">
              <w:rPr>
                <w:rFonts w:ascii="Times New Roman" w:eastAsia="Times New Roman" w:hAnsi="Times New Roman" w:cs="Times New Roman"/>
                <w:bCs/>
                <w:color w:val="000000" w:themeColor="text1"/>
                <w:sz w:val="24"/>
                <w:szCs w:val="24"/>
              </w:rPr>
              <w:t xml:space="preserve">PVN </w:t>
            </w:r>
            <w:r w:rsidRPr="008B7C92">
              <w:rPr>
                <w:rFonts w:ascii="Times New Roman" w:eastAsia="Times New Roman" w:hAnsi="Times New Roman" w:cs="Times New Roman"/>
                <w:bCs/>
                <w:color w:val="000000" w:themeColor="text1"/>
                <w:sz w:val="24"/>
                <w:szCs w:val="24"/>
              </w:rPr>
              <w:t xml:space="preserve">plaisu, kas veidojās jaunu </w:t>
            </w:r>
            <w:r w:rsidR="000B65AC">
              <w:rPr>
                <w:rFonts w:ascii="Times New Roman" w:eastAsia="Times New Roman" w:hAnsi="Times New Roman" w:cs="Times New Roman"/>
                <w:bCs/>
                <w:color w:val="000000" w:themeColor="text1"/>
                <w:sz w:val="24"/>
                <w:szCs w:val="24"/>
              </w:rPr>
              <w:t>PVN</w:t>
            </w:r>
            <w:r w:rsidRPr="008B7C92">
              <w:rPr>
                <w:rFonts w:ascii="Times New Roman" w:eastAsia="Times New Roman" w:hAnsi="Times New Roman" w:cs="Times New Roman"/>
                <w:bCs/>
                <w:color w:val="000000" w:themeColor="text1"/>
                <w:sz w:val="24"/>
                <w:szCs w:val="24"/>
              </w:rPr>
              <w:t xml:space="preserve"> parādu rašanas dēļ.</w:t>
            </w:r>
            <w:r>
              <w:rPr>
                <w:rFonts w:ascii="Times New Roman" w:eastAsia="Times New Roman" w:hAnsi="Times New Roman" w:cs="Times New Roman"/>
                <w:bCs/>
                <w:sz w:val="24"/>
                <w:szCs w:val="24"/>
              </w:rPr>
              <w:t xml:space="preserve"> Prognozētais PVN plaisas apmērs 2017. gadam ir 14% un 2018. gadam – 13%.</w:t>
            </w:r>
          </w:p>
          <w:p w14:paraId="7EF2EB09" w14:textId="0387C3F6" w:rsidR="00855308" w:rsidRDefault="00855308" w:rsidP="006D201B">
            <w:pPr>
              <w:tabs>
                <w:tab w:val="left" w:pos="996"/>
              </w:tabs>
              <w:spacing w:after="0" w:line="240" w:lineRule="auto"/>
              <w:ind w:left="133" w:right="144" w:firstLine="5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 pieņēmumu, ka krāpnieciskie darījumi, ieviešot PVN apgrieztās maksāšanas kārtību</w:t>
            </w:r>
            <w:r w:rsidR="000B65AC">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000B65AC">
              <w:rPr>
                <w:rFonts w:ascii="Times New Roman" w:eastAsia="Times New Roman" w:hAnsi="Times New Roman" w:cs="Times New Roman"/>
                <w:bCs/>
                <w:color w:val="000000" w:themeColor="text1"/>
                <w:sz w:val="24"/>
                <w:szCs w:val="24"/>
              </w:rPr>
              <w:t xml:space="preserve">dārgmetālu </w:t>
            </w:r>
            <w:r>
              <w:rPr>
                <w:rFonts w:ascii="Times New Roman" w:eastAsia="Times New Roman" w:hAnsi="Times New Roman" w:cs="Times New Roman"/>
                <w:bCs/>
                <w:color w:val="000000" w:themeColor="text1"/>
                <w:sz w:val="24"/>
                <w:szCs w:val="24"/>
              </w:rPr>
              <w:t>nozarē samazināsies par 70%.</w:t>
            </w:r>
          </w:p>
          <w:p w14:paraId="5602D530" w14:textId="77777777" w:rsidR="000B65AC" w:rsidRPr="00A7675C" w:rsidRDefault="000B65AC" w:rsidP="000B65AC">
            <w:pPr>
              <w:spacing w:after="0" w:line="240" w:lineRule="auto"/>
              <w:ind w:left="127" w:firstLine="448"/>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 xml:space="preserve">Fiskālā ietekme tiek aprēķināta pēc šāda algoritma: </w:t>
            </w:r>
          </w:p>
          <w:p w14:paraId="45B97318" w14:textId="77777777" w:rsidR="000B65AC" w:rsidRPr="00584F08" w:rsidRDefault="000B65AC" w:rsidP="000B65AC">
            <w:pPr>
              <w:spacing w:after="0" w:line="240" w:lineRule="auto"/>
              <w:jc w:val="both"/>
              <w:rPr>
                <w:rFonts w:ascii="Times New Roman" w:eastAsia="Times New Roman" w:hAnsi="Times New Roman" w:cs="Times New Roman"/>
                <w:bCs/>
                <w:color w:val="000000" w:themeColor="text1"/>
                <w:sz w:val="12"/>
                <w:szCs w:val="24"/>
              </w:rPr>
            </w:pPr>
          </w:p>
          <w:tbl>
            <w:tblPr>
              <w:tblStyle w:val="TableGrid"/>
              <w:tblW w:w="6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2034"/>
              <w:gridCol w:w="1449"/>
              <w:gridCol w:w="1449"/>
            </w:tblGrid>
            <w:tr w:rsidR="000B65AC" w:rsidRPr="00A7675C" w14:paraId="71251F38" w14:textId="77777777" w:rsidTr="00B233FD">
              <w:tc>
                <w:tcPr>
                  <w:tcW w:w="1448" w:type="dxa"/>
                  <w:vAlign w:val="center"/>
                </w:tcPr>
                <w:p w14:paraId="768145B1" w14:textId="77777777" w:rsidR="000B65AC" w:rsidRPr="00A7675C" w:rsidRDefault="000B65AC" w:rsidP="00F73CE1">
                  <w:pPr>
                    <w:framePr w:hSpace="180" w:wrap="around" w:vAnchor="text" w:hAnchor="margin" w:x="-120" w:y="371"/>
                    <w:jc w:val="center"/>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Fiskālā ietekme =</w:t>
                  </w:r>
                </w:p>
              </w:tc>
              <w:tc>
                <w:tcPr>
                  <w:tcW w:w="2034" w:type="dxa"/>
                </w:tcPr>
                <w:p w14:paraId="585B9FAB" w14:textId="77777777" w:rsidR="000B65AC" w:rsidRPr="00A7675C" w:rsidRDefault="000B65AC" w:rsidP="00F73CE1">
                  <w:pPr>
                    <w:framePr w:hSpace="180" w:wrap="around" w:vAnchor="text" w:hAnchor="margin" w:x="-120" w:y="371"/>
                    <w:jc w:val="both"/>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 xml:space="preserve">maksājamās summas/atmaksājamās summas no valsts budžeta bāze </w:t>
                  </w:r>
                </w:p>
              </w:tc>
              <w:tc>
                <w:tcPr>
                  <w:tcW w:w="1449" w:type="dxa"/>
                  <w:vAlign w:val="center"/>
                </w:tcPr>
                <w:p w14:paraId="4E095370" w14:textId="77777777" w:rsidR="000B65AC" w:rsidRPr="00A7675C" w:rsidRDefault="000B65AC" w:rsidP="00F73CE1">
                  <w:pPr>
                    <w:framePr w:hSpace="180" w:wrap="around" w:vAnchor="text" w:hAnchor="margin" w:x="-120" w:y="371"/>
                    <w:jc w:val="center"/>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x PVN plaisa</w:t>
                  </w:r>
                </w:p>
              </w:tc>
              <w:tc>
                <w:tcPr>
                  <w:tcW w:w="1449" w:type="dxa"/>
                  <w:vAlign w:val="center"/>
                </w:tcPr>
                <w:p w14:paraId="56D2D43D" w14:textId="77777777" w:rsidR="000B65AC" w:rsidRPr="00A7675C" w:rsidRDefault="000B65AC" w:rsidP="00F73CE1">
                  <w:pPr>
                    <w:framePr w:hSpace="180" w:wrap="around" w:vAnchor="text" w:hAnchor="margin" w:x="-120" w:y="371"/>
                    <w:rPr>
                      <w:rFonts w:ascii="Times New Roman" w:eastAsia="Times New Roman" w:hAnsi="Times New Roman" w:cs="Times New Roman"/>
                      <w:bCs/>
                      <w:color w:val="000000" w:themeColor="text1"/>
                      <w:sz w:val="24"/>
                      <w:szCs w:val="24"/>
                    </w:rPr>
                  </w:pPr>
                  <w:r w:rsidRPr="00A7675C">
                    <w:rPr>
                      <w:rFonts w:ascii="Times New Roman" w:eastAsia="Times New Roman" w:hAnsi="Times New Roman" w:cs="Times New Roman"/>
                      <w:bCs/>
                      <w:color w:val="000000" w:themeColor="text1"/>
                      <w:sz w:val="24"/>
                      <w:szCs w:val="24"/>
                    </w:rPr>
                    <w:t>x 70%</w:t>
                  </w:r>
                </w:p>
              </w:tc>
            </w:tr>
          </w:tbl>
          <w:p w14:paraId="3939C66D" w14:textId="1D1C07A8" w:rsidR="00F5547B" w:rsidRDefault="00F5547B" w:rsidP="00F5547B">
            <w:pPr>
              <w:spacing w:line="240" w:lineRule="auto"/>
              <w:ind w:right="161"/>
              <w:jc w:val="both"/>
              <w:rPr>
                <w:rFonts w:ascii="Times New Roman" w:hAnsi="Times New Roman" w:cs="Times New Roman"/>
                <w:sz w:val="24"/>
                <w:szCs w:val="24"/>
                <w:lang w:eastAsia="en-US"/>
              </w:rPr>
            </w:pPr>
            <w:r>
              <w:rPr>
                <w:rFonts w:ascii="Times New Roman" w:hAnsi="Times New Roman" w:cs="Times New Roman"/>
                <w:sz w:val="24"/>
                <w:szCs w:val="24"/>
              </w:rPr>
              <w:t xml:space="preserve">PVN </w:t>
            </w:r>
            <w:r w:rsidRPr="00F5547B">
              <w:rPr>
                <w:rFonts w:ascii="Times New Roman" w:hAnsi="Times New Roman" w:cs="Times New Roman"/>
                <w:sz w:val="24"/>
                <w:szCs w:val="24"/>
              </w:rPr>
              <w:t>priekšnodokļa atskaitīšan</w:t>
            </w:r>
            <w:r>
              <w:rPr>
                <w:rFonts w:ascii="Times New Roman" w:hAnsi="Times New Roman" w:cs="Times New Roman"/>
                <w:sz w:val="24"/>
                <w:szCs w:val="24"/>
              </w:rPr>
              <w:t>as</w:t>
            </w:r>
            <w:r>
              <w:t xml:space="preserve"> </w:t>
            </w:r>
            <w:r>
              <w:rPr>
                <w:rFonts w:ascii="Times New Roman" w:hAnsi="Times New Roman" w:cs="Times New Roman"/>
                <w:sz w:val="24"/>
                <w:szCs w:val="24"/>
              </w:rPr>
              <w:t>ierobežošana</w:t>
            </w:r>
            <w:r w:rsidRPr="00F5547B">
              <w:rPr>
                <w:rFonts w:ascii="Times New Roman" w:hAnsi="Times New Roman" w:cs="Times New Roman"/>
                <w:sz w:val="24"/>
                <w:szCs w:val="24"/>
              </w:rPr>
              <w:t xml:space="preserve"> par</w:t>
            </w:r>
            <w:r>
              <w:t xml:space="preserve"> </w:t>
            </w:r>
            <w:r w:rsidRPr="00F5547B">
              <w:rPr>
                <w:rFonts w:ascii="Times New Roman" w:hAnsi="Times New Roman" w:cs="Times New Roman"/>
                <w:sz w:val="24"/>
                <w:szCs w:val="24"/>
              </w:rPr>
              <w:t xml:space="preserve">kravas automašīnas iegādi, nomu un importu, kuras pilna masa ir līdz 3000 kilogramiem, kas ir reģistrēta kā </w:t>
            </w:r>
            <w:r>
              <w:rPr>
                <w:rFonts w:ascii="Times New Roman" w:hAnsi="Times New Roman" w:cs="Times New Roman"/>
                <w:sz w:val="24"/>
                <w:szCs w:val="24"/>
              </w:rPr>
              <w:t>kravas automašīna</w:t>
            </w:r>
            <w:r w:rsidRPr="00F5547B">
              <w:rPr>
                <w:rFonts w:ascii="Times New Roman" w:hAnsi="Times New Roman" w:cs="Times New Roman"/>
                <w:sz w:val="24"/>
                <w:szCs w:val="24"/>
              </w:rPr>
              <w:t xml:space="preserve"> (N1 kategorija)</w:t>
            </w:r>
            <w:r w:rsidR="00A52AC8">
              <w:rPr>
                <w:rFonts w:ascii="Times New Roman" w:hAnsi="Times New Roman" w:cs="Times New Roman"/>
                <w:sz w:val="24"/>
                <w:szCs w:val="24"/>
              </w:rPr>
              <w:t>, un</w:t>
            </w:r>
            <w:r w:rsidRPr="00F5547B">
              <w:rPr>
                <w:rFonts w:ascii="Times New Roman" w:hAnsi="Times New Roman" w:cs="Times New Roman"/>
                <w:sz w:val="24"/>
                <w:szCs w:val="24"/>
              </w:rPr>
              <w:t xml:space="preserve"> kuras vērtība pārsniedz uzņēmumu ienākuma nodokli regulējošajos normatīvajos aktos noteikto reprezentatīvā automobiļa vērtību, k</w:t>
            </w:r>
            <w:r w:rsidR="003A5C61">
              <w:rPr>
                <w:rFonts w:ascii="Times New Roman" w:hAnsi="Times New Roman" w:cs="Times New Roman"/>
                <w:sz w:val="24"/>
                <w:szCs w:val="24"/>
              </w:rPr>
              <w:t>ā</w:t>
            </w:r>
            <w:r w:rsidRPr="00F5547B">
              <w:rPr>
                <w:rFonts w:ascii="Times New Roman" w:hAnsi="Times New Roman" w:cs="Times New Roman"/>
                <w:sz w:val="24"/>
                <w:szCs w:val="24"/>
              </w:rPr>
              <w:t xml:space="preserve"> arī </w:t>
            </w:r>
            <w:r w:rsidR="008D1BB1">
              <w:rPr>
                <w:rFonts w:ascii="Times New Roman" w:hAnsi="Times New Roman" w:cs="Times New Roman"/>
                <w:sz w:val="24"/>
                <w:szCs w:val="24"/>
              </w:rPr>
              <w:t xml:space="preserve">priekšnodokļa atskaitīšanas ierobežošana </w:t>
            </w:r>
            <w:r w:rsidRPr="00F5547B">
              <w:rPr>
                <w:rFonts w:ascii="Times New Roman" w:hAnsi="Times New Roman" w:cs="Times New Roman"/>
                <w:sz w:val="24"/>
                <w:szCs w:val="24"/>
              </w:rPr>
              <w:t>par izmaksām, kas saistītas ar šādas automašīnas uzturēšanu, ja automašīna netiek izmantota ar PVN ap</w:t>
            </w:r>
            <w:r w:rsidR="00A52AC8">
              <w:rPr>
                <w:rFonts w:ascii="Times New Roman" w:hAnsi="Times New Roman" w:cs="Times New Roman"/>
                <w:sz w:val="24"/>
                <w:szCs w:val="24"/>
              </w:rPr>
              <w:t xml:space="preserve">liekamo darījumu nodrošināšanai </w:t>
            </w:r>
            <w:r>
              <w:rPr>
                <w:rFonts w:ascii="Times New Roman" w:hAnsi="Times New Roman" w:cs="Times New Roman"/>
                <w:sz w:val="24"/>
                <w:szCs w:val="24"/>
                <w:lang w:eastAsia="en-US"/>
              </w:rPr>
              <w:t>samazinā</w:t>
            </w:r>
            <w:r w:rsidR="00A52AC8">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 izvairīšanos no nodokļu nomaksas </w:t>
            </w:r>
            <w:r w:rsidR="008D1BB1">
              <w:rPr>
                <w:rFonts w:ascii="Times New Roman" w:hAnsi="Times New Roman" w:cs="Times New Roman"/>
                <w:sz w:val="24"/>
                <w:szCs w:val="24"/>
                <w:lang w:eastAsia="en-US"/>
              </w:rPr>
              <w:t>un</w:t>
            </w:r>
            <w:r>
              <w:rPr>
                <w:rFonts w:ascii="Times New Roman" w:hAnsi="Times New Roman" w:cs="Times New Roman"/>
                <w:sz w:val="24"/>
                <w:szCs w:val="24"/>
                <w:lang w:eastAsia="en-US"/>
              </w:rPr>
              <w:t xml:space="preserve"> novērs</w:t>
            </w:r>
            <w:r w:rsidR="008D1BB1">
              <w:rPr>
                <w:rFonts w:ascii="Times New Roman" w:hAnsi="Times New Roman" w:cs="Times New Roman"/>
                <w:sz w:val="24"/>
                <w:szCs w:val="24"/>
                <w:lang w:eastAsia="en-US"/>
              </w:rPr>
              <w:t>īs</w:t>
            </w:r>
            <w:r w:rsidR="00A52AC8">
              <w:rPr>
                <w:rFonts w:ascii="Times New Roman" w:hAnsi="Times New Roman" w:cs="Times New Roman"/>
                <w:sz w:val="24"/>
                <w:szCs w:val="24"/>
                <w:lang w:eastAsia="en-US"/>
              </w:rPr>
              <w:t xml:space="preserve"> situācijas</w:t>
            </w:r>
            <w:r w:rsidR="0042241E">
              <w:rPr>
                <w:rFonts w:ascii="Times New Roman" w:hAnsi="Times New Roman" w:cs="Times New Roman"/>
                <w:sz w:val="24"/>
                <w:szCs w:val="24"/>
                <w:lang w:eastAsia="en-US"/>
              </w:rPr>
              <w:t>, kad vieglās automašīnas (M1 kategorija), kuras</w:t>
            </w:r>
            <w:r>
              <w:rPr>
                <w:rFonts w:ascii="Times New Roman" w:hAnsi="Times New Roman" w:cs="Times New Roman"/>
                <w:sz w:val="24"/>
                <w:szCs w:val="24"/>
                <w:lang w:eastAsia="en-US"/>
              </w:rPr>
              <w:t xml:space="preserve"> pēc savas </w:t>
            </w:r>
            <w:r w:rsidR="0042241E">
              <w:rPr>
                <w:rFonts w:ascii="Times New Roman" w:hAnsi="Times New Roman" w:cs="Times New Roman"/>
                <w:sz w:val="24"/>
                <w:szCs w:val="24"/>
                <w:lang w:eastAsia="en-US"/>
              </w:rPr>
              <w:t>ekonomiskās būtības ir uzskatāmas par reprezentatīvām</w:t>
            </w:r>
            <w:r>
              <w:rPr>
                <w:rFonts w:ascii="Times New Roman" w:hAnsi="Times New Roman" w:cs="Times New Roman"/>
                <w:sz w:val="24"/>
                <w:szCs w:val="24"/>
                <w:lang w:eastAsia="en-US"/>
              </w:rPr>
              <w:t xml:space="preserve"> un neveic kravu pārvadājumus tiek </w:t>
            </w:r>
            <w:r w:rsidRPr="00B24B83">
              <w:rPr>
                <w:rFonts w:ascii="Times New Roman" w:hAnsi="Times New Roman" w:cs="Times New Roman"/>
                <w:sz w:val="24"/>
                <w:szCs w:val="24"/>
                <w:lang w:eastAsia="en-US"/>
              </w:rPr>
              <w:t>pā</w:t>
            </w:r>
            <w:r w:rsidR="0042241E" w:rsidRPr="00B24B83">
              <w:rPr>
                <w:rFonts w:ascii="Times New Roman" w:hAnsi="Times New Roman" w:cs="Times New Roman"/>
                <w:sz w:val="24"/>
                <w:szCs w:val="24"/>
                <w:lang w:eastAsia="en-US"/>
              </w:rPr>
              <w:t>rbūvētas</w:t>
            </w:r>
            <w:r>
              <w:rPr>
                <w:rFonts w:ascii="Times New Roman" w:hAnsi="Times New Roman" w:cs="Times New Roman"/>
                <w:sz w:val="24"/>
                <w:szCs w:val="24"/>
                <w:lang w:eastAsia="en-US"/>
              </w:rPr>
              <w:t xml:space="preserve"> </w:t>
            </w:r>
            <w:r w:rsidR="0042241E">
              <w:rPr>
                <w:rFonts w:ascii="Times New Roman" w:hAnsi="Times New Roman" w:cs="Times New Roman"/>
                <w:sz w:val="24"/>
                <w:szCs w:val="24"/>
                <w:lang w:eastAsia="en-US"/>
              </w:rPr>
              <w:t>par kravas automašīnām</w:t>
            </w:r>
            <w:r>
              <w:rPr>
                <w:rFonts w:ascii="Times New Roman" w:hAnsi="Times New Roman" w:cs="Times New Roman"/>
                <w:sz w:val="24"/>
                <w:szCs w:val="24"/>
                <w:lang w:eastAsia="en-US"/>
              </w:rPr>
              <w:t xml:space="preserve"> (N1 kategorija) </w:t>
            </w:r>
            <w:r w:rsidR="0042241E" w:rsidRPr="0042241E">
              <w:rPr>
                <w:rFonts w:ascii="Times New Roman" w:hAnsi="Times New Roman" w:cs="Times New Roman"/>
                <w:sz w:val="24"/>
                <w:szCs w:val="24"/>
                <w:lang w:eastAsia="en-US"/>
              </w:rPr>
              <w:t xml:space="preserve">vai jau sākotnēji iegādātas kā N1 kategorijas automašīnas, </w:t>
            </w:r>
            <w:r>
              <w:rPr>
                <w:rFonts w:ascii="Times New Roman" w:hAnsi="Times New Roman" w:cs="Times New Roman"/>
                <w:sz w:val="24"/>
                <w:szCs w:val="24"/>
                <w:lang w:eastAsia="en-US"/>
              </w:rPr>
              <w:t>ar mērķi samazināt uzņēmumu ienākuma nodokli</w:t>
            </w:r>
            <w:r w:rsidR="008D1BB1">
              <w:rPr>
                <w:rFonts w:ascii="Times New Roman" w:hAnsi="Times New Roman" w:cs="Times New Roman"/>
                <w:sz w:val="24"/>
                <w:szCs w:val="24"/>
                <w:lang w:eastAsia="en-US"/>
              </w:rPr>
              <w:t xml:space="preserve"> un atskaitīt PVN summu kā priekšnodokli.</w:t>
            </w:r>
          </w:p>
          <w:p w14:paraId="0B8BB55D" w14:textId="6D1B25B2" w:rsidR="008523C7" w:rsidRDefault="009E3AA2" w:rsidP="008523C7">
            <w:pPr>
              <w:spacing w:after="120" w:line="252" w:lineRule="auto"/>
              <w:ind w:firstLine="575"/>
              <w:jc w:val="both"/>
              <w:rPr>
                <w:rFonts w:ascii="Times New Roman" w:hAnsi="Times New Roman" w:cs="Times New Roman"/>
                <w:sz w:val="24"/>
                <w:szCs w:val="24"/>
                <w:lang w:eastAsia="en-US"/>
              </w:rPr>
            </w:pPr>
            <w:r w:rsidRPr="009E3AA2">
              <w:rPr>
                <w:rFonts w:ascii="Times New Roman" w:hAnsi="Times New Roman" w:cs="Times New Roman"/>
                <w:sz w:val="24"/>
                <w:szCs w:val="24"/>
                <w:lang w:eastAsia="en-US"/>
              </w:rPr>
              <w:t>Fiskālā ietekme no PVN priekšnodokļa atskaitīšanas atcelšanas kravas automobiļiem (</w:t>
            </w:r>
            <w:r w:rsidR="003B4F3E">
              <w:rPr>
                <w:rFonts w:ascii="Times New Roman" w:hAnsi="Times New Roman" w:cs="Times New Roman"/>
                <w:sz w:val="24"/>
                <w:szCs w:val="24"/>
                <w:lang w:eastAsia="en-US"/>
              </w:rPr>
              <w:t xml:space="preserve">N1 kategorijas </w:t>
            </w:r>
            <w:r w:rsidRPr="009E3AA2">
              <w:rPr>
                <w:rFonts w:ascii="Times New Roman" w:hAnsi="Times New Roman" w:cs="Times New Roman"/>
                <w:sz w:val="24"/>
                <w:szCs w:val="24"/>
                <w:lang w:eastAsia="en-US"/>
              </w:rPr>
              <w:t>ar pilnu masu līdz 3</w:t>
            </w:r>
            <w:r w:rsidR="00241E96">
              <w:rPr>
                <w:rFonts w:ascii="Times New Roman" w:hAnsi="Times New Roman" w:cs="Times New Roman"/>
                <w:sz w:val="24"/>
                <w:szCs w:val="24"/>
                <w:lang w:eastAsia="en-US"/>
              </w:rPr>
              <w:t>000 kilogramiem</w:t>
            </w:r>
            <w:r w:rsidRPr="009E3AA2">
              <w:rPr>
                <w:rFonts w:ascii="Times New Roman" w:hAnsi="Times New Roman" w:cs="Times New Roman"/>
                <w:sz w:val="24"/>
                <w:szCs w:val="24"/>
                <w:lang w:eastAsia="en-US"/>
              </w:rPr>
              <w:t xml:space="preserve">), kas atbilst reprezentatīvā automobiļa pazīmēm </w:t>
            </w:r>
            <w:r w:rsidR="008523C7" w:rsidRPr="008523C7">
              <w:rPr>
                <w:rFonts w:ascii="Times New Roman" w:hAnsi="Times New Roman" w:cs="Times New Roman"/>
                <w:sz w:val="24"/>
                <w:szCs w:val="24"/>
                <w:lang w:eastAsia="en-US"/>
              </w:rPr>
              <w:t>ir aprēķināta</w:t>
            </w:r>
            <w:r w:rsidR="003A5C61">
              <w:rPr>
                <w:rFonts w:ascii="Times New Roman" w:hAnsi="Times New Roman" w:cs="Times New Roman"/>
                <w:sz w:val="24"/>
                <w:szCs w:val="24"/>
                <w:lang w:eastAsia="en-US"/>
              </w:rPr>
              <w:t>,</w:t>
            </w:r>
            <w:r w:rsidR="008523C7" w:rsidRPr="008523C7">
              <w:rPr>
                <w:rFonts w:ascii="Times New Roman" w:hAnsi="Times New Roman" w:cs="Times New Roman"/>
                <w:sz w:val="24"/>
                <w:szCs w:val="24"/>
                <w:lang w:eastAsia="en-US"/>
              </w:rPr>
              <w:t xml:space="preserve"> ņemot vērā PVN likuma grozījumu stāšanos spēkā 2017.gada 1.janvārī</w:t>
            </w:r>
            <w:r w:rsidR="003A5C61">
              <w:rPr>
                <w:rFonts w:ascii="Times New Roman" w:hAnsi="Times New Roman" w:cs="Times New Roman"/>
                <w:sz w:val="24"/>
                <w:szCs w:val="24"/>
                <w:lang w:eastAsia="en-US"/>
              </w:rPr>
              <w:t>,</w:t>
            </w:r>
            <w:r w:rsidR="008523C7" w:rsidRPr="008523C7">
              <w:rPr>
                <w:rFonts w:ascii="Times New Roman" w:hAnsi="Times New Roman" w:cs="Times New Roman"/>
                <w:sz w:val="24"/>
                <w:szCs w:val="24"/>
                <w:lang w:eastAsia="en-US"/>
              </w:rPr>
              <w:t xml:space="preserve"> un 2017.</w:t>
            </w:r>
            <w:r w:rsidR="008523C7">
              <w:rPr>
                <w:rFonts w:ascii="Times New Roman" w:hAnsi="Times New Roman" w:cs="Times New Roman"/>
                <w:sz w:val="24"/>
                <w:szCs w:val="24"/>
                <w:lang w:eastAsia="en-US"/>
              </w:rPr>
              <w:t xml:space="preserve"> – 2019</w:t>
            </w:r>
            <w:r w:rsidR="008523C7" w:rsidRPr="008523C7">
              <w:rPr>
                <w:rFonts w:ascii="Times New Roman" w:hAnsi="Times New Roman" w:cs="Times New Roman"/>
                <w:sz w:val="24"/>
                <w:szCs w:val="24"/>
                <w:lang w:eastAsia="en-US"/>
              </w:rPr>
              <w:t xml:space="preserve">. gadā ir </w:t>
            </w:r>
            <w:r w:rsidRPr="009E3AA2">
              <w:rPr>
                <w:rFonts w:ascii="Times New Roman" w:hAnsi="Times New Roman" w:cs="Times New Roman"/>
                <w:sz w:val="24"/>
                <w:szCs w:val="24"/>
                <w:lang w:eastAsia="en-US"/>
              </w:rPr>
              <w:t>247</w:t>
            </w:r>
            <w:r w:rsidR="008523C7">
              <w:rPr>
                <w:rFonts w:ascii="Times New Roman" w:hAnsi="Times New Roman" w:cs="Times New Roman"/>
                <w:sz w:val="24"/>
                <w:szCs w:val="24"/>
                <w:lang w:eastAsia="en-US"/>
              </w:rPr>
              <w:t xml:space="preserve">,0 </w:t>
            </w:r>
            <w:r w:rsidRPr="009E3AA2">
              <w:rPr>
                <w:rFonts w:ascii="Times New Roman" w:hAnsi="Times New Roman" w:cs="Times New Roman"/>
                <w:sz w:val="24"/>
                <w:szCs w:val="24"/>
                <w:lang w:eastAsia="en-US"/>
              </w:rPr>
              <w:t xml:space="preserve">tūkst. </w:t>
            </w:r>
            <w:proofErr w:type="spellStart"/>
            <w:r w:rsidRPr="008523C7">
              <w:rPr>
                <w:rFonts w:ascii="Times New Roman" w:hAnsi="Times New Roman" w:cs="Times New Roman"/>
                <w:i/>
                <w:sz w:val="24"/>
                <w:szCs w:val="24"/>
                <w:lang w:eastAsia="en-US"/>
              </w:rPr>
              <w:t>euro</w:t>
            </w:r>
            <w:proofErr w:type="spellEnd"/>
            <w:r w:rsidRPr="009E3AA2">
              <w:rPr>
                <w:rFonts w:ascii="Times New Roman" w:hAnsi="Times New Roman" w:cs="Times New Roman"/>
                <w:sz w:val="24"/>
                <w:szCs w:val="24"/>
                <w:lang w:eastAsia="en-US"/>
              </w:rPr>
              <w:t xml:space="preserve"> (gadā)</w:t>
            </w:r>
            <w:r w:rsidR="008523C7" w:rsidRPr="008523C7">
              <w:rPr>
                <w:rFonts w:ascii="Times New Roman" w:hAnsi="Times New Roman" w:cs="Times New Roman"/>
                <w:sz w:val="24"/>
                <w:szCs w:val="24"/>
                <w:lang w:eastAsia="en-US"/>
              </w:rPr>
              <w:t>.</w:t>
            </w:r>
          </w:p>
          <w:p w14:paraId="59105788" w14:textId="45820298" w:rsidR="0036598E" w:rsidRDefault="0036598E" w:rsidP="00B13A14">
            <w:pPr>
              <w:spacing w:after="0" w:line="240" w:lineRule="auto"/>
              <w:ind w:firstLine="575"/>
              <w:jc w:val="both"/>
              <w:rPr>
                <w:rFonts w:ascii="Times New Roman" w:eastAsia="Times New Roman" w:hAnsi="Times New Roman" w:cs="Times New Roman"/>
                <w:bCs/>
                <w:color w:val="000000" w:themeColor="text1"/>
                <w:sz w:val="24"/>
                <w:szCs w:val="24"/>
              </w:rPr>
            </w:pPr>
            <w:r w:rsidRPr="008B7C92">
              <w:rPr>
                <w:rFonts w:ascii="Times New Roman" w:eastAsia="Times New Roman" w:hAnsi="Times New Roman" w:cs="Times New Roman"/>
                <w:bCs/>
                <w:color w:val="000000" w:themeColor="text1"/>
                <w:sz w:val="24"/>
                <w:szCs w:val="24"/>
              </w:rPr>
              <w:t>Ietekme uz valsts budžetu (PVN ieņēmumiem) ir aprēķināta</w:t>
            </w:r>
            <w:r w:rsidR="003A5C61">
              <w:rPr>
                <w:rFonts w:ascii="Times New Roman" w:eastAsia="Times New Roman" w:hAnsi="Times New Roman" w:cs="Times New Roman"/>
                <w:bCs/>
                <w:color w:val="000000" w:themeColor="text1"/>
                <w:sz w:val="24"/>
                <w:szCs w:val="24"/>
              </w:rPr>
              <w:t>,</w:t>
            </w:r>
            <w:r w:rsidRPr="008B7C92">
              <w:rPr>
                <w:rFonts w:ascii="Times New Roman" w:eastAsia="Times New Roman" w:hAnsi="Times New Roman" w:cs="Times New Roman"/>
                <w:bCs/>
                <w:color w:val="000000" w:themeColor="text1"/>
                <w:sz w:val="24"/>
                <w:szCs w:val="24"/>
              </w:rPr>
              <w:t xml:space="preserve"> ņemot vērā:</w:t>
            </w:r>
          </w:p>
          <w:p w14:paraId="1996D2E9" w14:textId="27AA4E79" w:rsidR="0014618B" w:rsidRPr="005A3DB9" w:rsidRDefault="00FB3C81" w:rsidP="00B13A14">
            <w:pPr>
              <w:pStyle w:val="ListParagraph"/>
              <w:numPr>
                <w:ilvl w:val="0"/>
                <w:numId w:val="17"/>
              </w:numPr>
              <w:spacing w:after="0" w:line="240" w:lineRule="auto"/>
              <w:jc w:val="both"/>
              <w:rPr>
                <w:rFonts w:ascii="Times New Roman" w:eastAsia="Times New Roman" w:hAnsi="Times New Roman" w:cs="Times New Roman"/>
                <w:bCs/>
                <w:color w:val="000000" w:themeColor="text1"/>
                <w:sz w:val="24"/>
                <w:szCs w:val="24"/>
              </w:rPr>
            </w:pPr>
            <w:r w:rsidRPr="005A3DB9">
              <w:rPr>
                <w:rFonts w:ascii="Times New Roman" w:hAnsi="Times New Roman" w:cs="Times New Roman"/>
                <w:sz w:val="24"/>
                <w:szCs w:val="24"/>
              </w:rPr>
              <w:t>priekšnodokļa atskaitīšanu par izmaksām, kas saistītas ar automašīnas uzturēšanu</w:t>
            </w:r>
            <w:r w:rsidR="005A3DB9">
              <w:rPr>
                <w:rFonts w:ascii="Times New Roman" w:hAnsi="Times New Roman" w:cs="Times New Roman"/>
                <w:sz w:val="24"/>
                <w:szCs w:val="24"/>
              </w:rPr>
              <w:t xml:space="preserve"> (izmaksas par apkopi, remontu, tehnisko apskati, degvielu)</w:t>
            </w:r>
            <w:r w:rsidRPr="005A3DB9">
              <w:rPr>
                <w:rFonts w:ascii="Times New Roman" w:hAnsi="Times New Roman" w:cs="Times New Roman"/>
                <w:sz w:val="24"/>
                <w:szCs w:val="24"/>
              </w:rPr>
              <w:t xml:space="preserve">. Transportlīdzekļu skaits </w:t>
            </w:r>
            <w:r w:rsidR="005A3DB9" w:rsidRPr="005A3DB9">
              <w:rPr>
                <w:rFonts w:ascii="Times New Roman" w:hAnsi="Times New Roman" w:cs="Times New Roman"/>
                <w:sz w:val="24"/>
                <w:szCs w:val="24"/>
              </w:rPr>
              <w:t>tiek noteikts</w:t>
            </w:r>
            <w:r w:rsidR="003A5C61">
              <w:rPr>
                <w:rFonts w:ascii="Times New Roman" w:hAnsi="Times New Roman" w:cs="Times New Roman"/>
                <w:sz w:val="24"/>
                <w:szCs w:val="24"/>
              </w:rPr>
              <w:t>,</w:t>
            </w:r>
            <w:r w:rsidR="005A3DB9" w:rsidRPr="005A3DB9">
              <w:rPr>
                <w:rFonts w:ascii="Times New Roman" w:hAnsi="Times New Roman" w:cs="Times New Roman"/>
                <w:sz w:val="24"/>
                <w:szCs w:val="24"/>
              </w:rPr>
              <w:t xml:space="preserve"> ņemot vērā </w:t>
            </w:r>
            <w:r w:rsidR="0036598E" w:rsidRPr="005A3DB9">
              <w:rPr>
                <w:rFonts w:ascii="Times New Roman" w:eastAsia="Times New Roman" w:hAnsi="Times New Roman" w:cs="Times New Roman"/>
                <w:bCs/>
                <w:color w:val="000000" w:themeColor="text1"/>
                <w:sz w:val="24"/>
                <w:szCs w:val="24"/>
              </w:rPr>
              <w:t xml:space="preserve">Ceļu satiksmes drošības direkcijas </w:t>
            </w:r>
            <w:r w:rsidR="005A3DB9">
              <w:rPr>
                <w:rFonts w:ascii="Times New Roman" w:eastAsia="Times New Roman" w:hAnsi="Times New Roman" w:cs="Times New Roman"/>
                <w:bCs/>
                <w:color w:val="000000" w:themeColor="text1"/>
                <w:sz w:val="24"/>
                <w:szCs w:val="24"/>
              </w:rPr>
              <w:t xml:space="preserve">(turpmāk – CSDD) </w:t>
            </w:r>
            <w:r w:rsidR="0036598E" w:rsidRPr="005A3DB9">
              <w:rPr>
                <w:rFonts w:ascii="Times New Roman" w:eastAsia="Times New Roman" w:hAnsi="Times New Roman" w:cs="Times New Roman"/>
                <w:bCs/>
                <w:color w:val="000000" w:themeColor="text1"/>
                <w:sz w:val="24"/>
                <w:szCs w:val="24"/>
              </w:rPr>
              <w:t>sniegto informāciju</w:t>
            </w:r>
            <w:r w:rsidR="0014618B" w:rsidRPr="005A3DB9">
              <w:rPr>
                <w:rFonts w:ascii="Times New Roman" w:eastAsia="Times New Roman" w:hAnsi="Times New Roman" w:cs="Times New Roman"/>
                <w:bCs/>
                <w:color w:val="000000" w:themeColor="text1"/>
                <w:sz w:val="24"/>
                <w:szCs w:val="24"/>
              </w:rPr>
              <w:t xml:space="preserve"> par </w:t>
            </w:r>
            <w:r w:rsidR="0036598E" w:rsidRPr="005A3DB9">
              <w:rPr>
                <w:rFonts w:ascii="Times New Roman" w:eastAsia="Times New Roman" w:hAnsi="Times New Roman" w:cs="Times New Roman"/>
                <w:bCs/>
                <w:color w:val="000000" w:themeColor="text1"/>
                <w:sz w:val="24"/>
                <w:szCs w:val="24"/>
              </w:rPr>
              <w:t>kravas transportlīdzekļie</w:t>
            </w:r>
            <w:r w:rsidR="0014618B" w:rsidRPr="005A3DB9">
              <w:rPr>
                <w:rFonts w:ascii="Times New Roman" w:eastAsia="Times New Roman" w:hAnsi="Times New Roman" w:cs="Times New Roman"/>
                <w:bCs/>
                <w:color w:val="000000" w:themeColor="text1"/>
                <w:sz w:val="24"/>
                <w:szCs w:val="24"/>
              </w:rPr>
              <w:t xml:space="preserve">m </w:t>
            </w:r>
            <w:r w:rsidR="003C605B">
              <w:rPr>
                <w:rFonts w:ascii="Times New Roman" w:eastAsia="Times New Roman" w:hAnsi="Times New Roman" w:cs="Times New Roman"/>
                <w:bCs/>
                <w:color w:val="000000" w:themeColor="text1"/>
                <w:sz w:val="24"/>
                <w:szCs w:val="24"/>
              </w:rPr>
              <w:t xml:space="preserve">(N1 kategorijas) </w:t>
            </w:r>
            <w:r w:rsidR="0014618B" w:rsidRPr="005A3DB9">
              <w:rPr>
                <w:rFonts w:ascii="Times New Roman" w:eastAsia="Times New Roman" w:hAnsi="Times New Roman" w:cs="Times New Roman"/>
                <w:bCs/>
                <w:color w:val="000000" w:themeColor="text1"/>
                <w:sz w:val="24"/>
                <w:szCs w:val="24"/>
              </w:rPr>
              <w:t>ar pilnu masu līdz</w:t>
            </w:r>
            <w:r w:rsidR="00B13A14">
              <w:rPr>
                <w:rFonts w:ascii="Times New Roman" w:eastAsia="Times New Roman" w:hAnsi="Times New Roman" w:cs="Times New Roman"/>
                <w:bCs/>
                <w:color w:val="000000" w:themeColor="text1"/>
                <w:sz w:val="24"/>
                <w:szCs w:val="24"/>
              </w:rPr>
              <w:t xml:space="preserve"> 3000 kilogramiem</w:t>
            </w:r>
            <w:r w:rsidR="0014618B" w:rsidRPr="005A3DB9">
              <w:rPr>
                <w:rFonts w:ascii="Times New Roman" w:eastAsia="Times New Roman" w:hAnsi="Times New Roman" w:cs="Times New Roman"/>
                <w:bCs/>
                <w:color w:val="000000" w:themeColor="text1"/>
                <w:sz w:val="24"/>
                <w:szCs w:val="24"/>
              </w:rPr>
              <w:t>, kurām ir piemērots uzņēmumu vieglo transportlīdzekļu nodoklis un  kura vērtība</w:t>
            </w:r>
            <w:r w:rsidR="0036598E" w:rsidRPr="005A3DB9">
              <w:rPr>
                <w:rFonts w:ascii="Times New Roman" w:eastAsia="Times New Roman" w:hAnsi="Times New Roman" w:cs="Times New Roman"/>
                <w:bCs/>
                <w:color w:val="000000" w:themeColor="text1"/>
                <w:sz w:val="24"/>
                <w:szCs w:val="24"/>
              </w:rPr>
              <w:t xml:space="preserve"> bez PVN </w:t>
            </w:r>
            <w:r w:rsidR="0014618B" w:rsidRPr="005A3DB9">
              <w:rPr>
                <w:rFonts w:ascii="Times New Roman" w:eastAsia="Times New Roman" w:hAnsi="Times New Roman" w:cs="Times New Roman"/>
                <w:bCs/>
                <w:color w:val="000000" w:themeColor="text1"/>
                <w:sz w:val="24"/>
                <w:szCs w:val="24"/>
              </w:rPr>
              <w:t>ir lielākā</w:t>
            </w:r>
            <w:r w:rsidR="0036598E" w:rsidRPr="005A3DB9">
              <w:rPr>
                <w:rFonts w:ascii="Times New Roman" w:eastAsia="Times New Roman" w:hAnsi="Times New Roman" w:cs="Times New Roman"/>
                <w:bCs/>
                <w:color w:val="000000" w:themeColor="text1"/>
                <w:sz w:val="24"/>
                <w:szCs w:val="24"/>
              </w:rPr>
              <w:t xml:space="preserve"> par 50 000 </w:t>
            </w:r>
            <w:proofErr w:type="spellStart"/>
            <w:r w:rsidR="0036598E" w:rsidRPr="005A3DB9">
              <w:rPr>
                <w:rFonts w:ascii="Times New Roman" w:eastAsia="Times New Roman" w:hAnsi="Times New Roman" w:cs="Times New Roman"/>
                <w:bCs/>
                <w:i/>
                <w:color w:val="000000" w:themeColor="text1"/>
                <w:sz w:val="24"/>
                <w:szCs w:val="24"/>
              </w:rPr>
              <w:t>euro</w:t>
            </w:r>
            <w:proofErr w:type="spellEnd"/>
            <w:r w:rsidR="00EB2CCC">
              <w:rPr>
                <w:rFonts w:ascii="Times New Roman" w:eastAsia="Times New Roman" w:hAnsi="Times New Roman" w:cs="Times New Roman"/>
                <w:bCs/>
                <w:i/>
                <w:color w:val="000000" w:themeColor="text1"/>
                <w:sz w:val="24"/>
                <w:szCs w:val="24"/>
              </w:rPr>
              <w:t xml:space="preserve">. </w:t>
            </w:r>
            <w:r w:rsidR="00EB2CCC" w:rsidRPr="00EB2CCC">
              <w:rPr>
                <w:rFonts w:ascii="Times New Roman" w:eastAsia="Times New Roman" w:hAnsi="Times New Roman" w:cs="Times New Roman"/>
                <w:bCs/>
                <w:color w:val="000000" w:themeColor="text1"/>
                <w:sz w:val="24"/>
                <w:szCs w:val="24"/>
              </w:rPr>
              <w:t>PVN</w:t>
            </w:r>
            <w:r w:rsidR="00EB2CCC">
              <w:rPr>
                <w:rFonts w:ascii="Times New Roman" w:eastAsia="Times New Roman" w:hAnsi="Times New Roman" w:cs="Times New Roman"/>
                <w:bCs/>
                <w:i/>
                <w:color w:val="000000" w:themeColor="text1"/>
                <w:sz w:val="24"/>
                <w:szCs w:val="24"/>
              </w:rPr>
              <w:t xml:space="preserve"> </w:t>
            </w:r>
            <w:r w:rsidR="00EB2CCC" w:rsidRPr="00EB2CCC">
              <w:rPr>
                <w:rFonts w:ascii="Times New Roman" w:eastAsia="Times New Roman" w:hAnsi="Times New Roman" w:cs="Times New Roman"/>
                <w:bCs/>
                <w:color w:val="000000" w:themeColor="text1"/>
                <w:sz w:val="24"/>
                <w:szCs w:val="24"/>
              </w:rPr>
              <w:t xml:space="preserve">par </w:t>
            </w:r>
            <w:r w:rsidR="00EB2CCC">
              <w:rPr>
                <w:rFonts w:ascii="Times New Roman" w:eastAsia="Times New Roman" w:hAnsi="Times New Roman" w:cs="Times New Roman"/>
                <w:bCs/>
                <w:color w:val="000000" w:themeColor="text1"/>
                <w:sz w:val="24"/>
                <w:szCs w:val="24"/>
              </w:rPr>
              <w:t>u</w:t>
            </w:r>
            <w:r w:rsidR="00EB2CCC" w:rsidRPr="00EB2CCC">
              <w:rPr>
                <w:rFonts w:ascii="Times New Roman" w:eastAsia="Times New Roman" w:hAnsi="Times New Roman" w:cs="Times New Roman"/>
                <w:bCs/>
                <w:color w:val="000000" w:themeColor="text1"/>
                <w:sz w:val="24"/>
                <w:szCs w:val="24"/>
              </w:rPr>
              <w:t>zturēšanas</w:t>
            </w:r>
            <w:r w:rsidR="00EB2CCC">
              <w:rPr>
                <w:rFonts w:ascii="Times New Roman" w:eastAsia="Times New Roman" w:hAnsi="Times New Roman" w:cs="Times New Roman"/>
                <w:bCs/>
                <w:color w:val="000000" w:themeColor="text1"/>
                <w:sz w:val="24"/>
                <w:szCs w:val="24"/>
              </w:rPr>
              <w:t xml:space="preserve"> izmaksām </w:t>
            </w:r>
            <w:r w:rsidR="003C605B">
              <w:rPr>
                <w:rFonts w:ascii="Times New Roman" w:eastAsia="Times New Roman" w:hAnsi="Times New Roman" w:cs="Times New Roman"/>
                <w:bCs/>
                <w:color w:val="000000" w:themeColor="text1"/>
                <w:sz w:val="24"/>
                <w:szCs w:val="24"/>
              </w:rPr>
              <w:t>ap</w:t>
            </w:r>
            <w:r w:rsidR="00EB2CCC">
              <w:rPr>
                <w:rFonts w:ascii="Times New Roman" w:eastAsia="Times New Roman" w:hAnsi="Times New Roman" w:cs="Times New Roman"/>
                <w:bCs/>
                <w:color w:val="000000" w:themeColor="text1"/>
                <w:sz w:val="24"/>
                <w:szCs w:val="24"/>
              </w:rPr>
              <w:t>rēķināts 53 t</w:t>
            </w:r>
            <w:r w:rsidR="00EB2CCC" w:rsidRPr="00EB2CCC">
              <w:rPr>
                <w:rFonts w:ascii="Times New Roman" w:eastAsia="Times New Roman" w:hAnsi="Times New Roman" w:cs="Times New Roman"/>
                <w:bCs/>
                <w:color w:val="000000" w:themeColor="text1"/>
                <w:sz w:val="24"/>
                <w:szCs w:val="24"/>
              </w:rPr>
              <w:t>r</w:t>
            </w:r>
            <w:r w:rsidR="00EB2CCC">
              <w:rPr>
                <w:rFonts w:ascii="Times New Roman" w:eastAsia="Times New Roman" w:hAnsi="Times New Roman" w:cs="Times New Roman"/>
                <w:bCs/>
                <w:color w:val="000000" w:themeColor="text1"/>
                <w:sz w:val="24"/>
                <w:szCs w:val="24"/>
              </w:rPr>
              <w:t>ansportlīdzekļiem</w:t>
            </w:r>
            <w:r w:rsidR="004F03A2">
              <w:rPr>
                <w:rFonts w:ascii="Times New Roman" w:eastAsia="Times New Roman" w:hAnsi="Times New Roman" w:cs="Times New Roman"/>
                <w:bCs/>
                <w:color w:val="000000" w:themeColor="text1"/>
                <w:sz w:val="24"/>
                <w:szCs w:val="24"/>
              </w:rPr>
              <w:t>, ņemot vērā vidējo nobraukumu gadā, vidējās degvielas cenas 2015.gadā, v</w:t>
            </w:r>
            <w:r w:rsidR="004F03A2" w:rsidRPr="004F03A2">
              <w:rPr>
                <w:rFonts w:ascii="Times New Roman" w:eastAsia="Times New Roman" w:hAnsi="Times New Roman" w:cs="Times New Roman"/>
                <w:bCs/>
                <w:color w:val="000000" w:themeColor="text1"/>
                <w:sz w:val="24"/>
                <w:szCs w:val="24"/>
              </w:rPr>
              <w:t>idējās izmaksas tehniskai apskatei</w:t>
            </w:r>
            <w:r w:rsidR="00EB2CCC">
              <w:rPr>
                <w:rFonts w:ascii="Times New Roman" w:eastAsia="Times New Roman" w:hAnsi="Times New Roman" w:cs="Times New Roman"/>
                <w:bCs/>
                <w:color w:val="000000" w:themeColor="text1"/>
                <w:sz w:val="24"/>
                <w:szCs w:val="24"/>
              </w:rPr>
              <w:t xml:space="preserve"> un ir 73 tūkst. </w:t>
            </w:r>
            <w:proofErr w:type="spellStart"/>
            <w:r w:rsidR="00EB2CCC" w:rsidRPr="00EB2CCC">
              <w:rPr>
                <w:rFonts w:ascii="Times New Roman" w:eastAsia="Times New Roman" w:hAnsi="Times New Roman" w:cs="Times New Roman"/>
                <w:bCs/>
                <w:i/>
                <w:color w:val="000000" w:themeColor="text1"/>
                <w:sz w:val="24"/>
                <w:szCs w:val="24"/>
              </w:rPr>
              <w:t>euro</w:t>
            </w:r>
            <w:proofErr w:type="spellEnd"/>
            <w:r w:rsidR="00EB2CCC">
              <w:rPr>
                <w:rFonts w:ascii="Times New Roman" w:eastAsia="Times New Roman" w:hAnsi="Times New Roman" w:cs="Times New Roman"/>
                <w:bCs/>
                <w:color w:val="000000" w:themeColor="text1"/>
                <w:sz w:val="24"/>
                <w:szCs w:val="24"/>
              </w:rPr>
              <w:t xml:space="preserve"> apmērā;</w:t>
            </w:r>
          </w:p>
          <w:p w14:paraId="306DEE78" w14:textId="4B9135D9" w:rsidR="0036598E" w:rsidRPr="0036598E" w:rsidRDefault="005A3DB9" w:rsidP="00B13A14">
            <w:pPr>
              <w:pStyle w:val="ListParagraph"/>
              <w:numPr>
                <w:ilvl w:val="0"/>
                <w:numId w:val="17"/>
              </w:numPr>
              <w:spacing w:after="0" w:line="240" w:lineRule="auto"/>
              <w:jc w:val="both"/>
              <w:rPr>
                <w:rFonts w:ascii="Times New Roman" w:eastAsia="Times New Roman" w:hAnsi="Times New Roman" w:cs="Times New Roman"/>
                <w:bCs/>
                <w:color w:val="000000" w:themeColor="text1"/>
                <w:sz w:val="24"/>
                <w:szCs w:val="24"/>
              </w:rPr>
            </w:pPr>
            <w:r w:rsidRPr="00F5547B">
              <w:rPr>
                <w:rFonts w:ascii="Times New Roman" w:hAnsi="Times New Roman" w:cs="Times New Roman"/>
                <w:sz w:val="24"/>
                <w:szCs w:val="24"/>
              </w:rPr>
              <w:t>priekšnodokļa atskaitīšan</w:t>
            </w:r>
            <w:r>
              <w:rPr>
                <w:rFonts w:ascii="Times New Roman" w:hAnsi="Times New Roman" w:cs="Times New Roman"/>
                <w:sz w:val="24"/>
                <w:szCs w:val="24"/>
              </w:rPr>
              <w:t>u</w:t>
            </w:r>
            <w:r>
              <w:t xml:space="preserve"> par </w:t>
            </w:r>
            <w:r w:rsidRPr="00F5547B">
              <w:rPr>
                <w:rFonts w:ascii="Times New Roman" w:hAnsi="Times New Roman" w:cs="Times New Roman"/>
                <w:sz w:val="24"/>
                <w:szCs w:val="24"/>
              </w:rPr>
              <w:t>automašīnas iegādi</w:t>
            </w:r>
            <w:r>
              <w:rPr>
                <w:rFonts w:ascii="Times New Roman" w:hAnsi="Times New Roman" w:cs="Times New Roman"/>
                <w:sz w:val="24"/>
                <w:szCs w:val="24"/>
              </w:rPr>
              <w:t>. PVN par automašīnas iegādi ir noteikts</w:t>
            </w:r>
            <w:r w:rsidR="003A5C61">
              <w:rPr>
                <w:rFonts w:ascii="Times New Roman" w:hAnsi="Times New Roman" w:cs="Times New Roman"/>
                <w:sz w:val="24"/>
                <w:szCs w:val="24"/>
              </w:rPr>
              <w:t>,</w:t>
            </w:r>
            <w:r>
              <w:rPr>
                <w:rFonts w:ascii="Times New Roman" w:hAnsi="Times New Roman" w:cs="Times New Roman"/>
                <w:sz w:val="24"/>
                <w:szCs w:val="24"/>
              </w:rPr>
              <w:t xml:space="preserve"> ņemot vērā</w:t>
            </w:r>
            <w:r w:rsidRPr="00FB3C8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CSDD sniegto informāciju par </w:t>
            </w:r>
            <w:r w:rsidR="00FB3C81" w:rsidRPr="00FB3C81">
              <w:rPr>
                <w:rFonts w:ascii="Times New Roman" w:eastAsia="Times New Roman" w:hAnsi="Times New Roman" w:cs="Times New Roman"/>
                <w:bCs/>
                <w:color w:val="000000" w:themeColor="text1"/>
                <w:sz w:val="24"/>
                <w:szCs w:val="24"/>
              </w:rPr>
              <w:t>2015. gadā pirmo</w:t>
            </w:r>
            <w:r w:rsidR="005D300B">
              <w:rPr>
                <w:rFonts w:ascii="Times New Roman" w:eastAsia="Times New Roman" w:hAnsi="Times New Roman" w:cs="Times New Roman"/>
                <w:bCs/>
                <w:color w:val="000000" w:themeColor="text1"/>
                <w:sz w:val="24"/>
                <w:szCs w:val="24"/>
              </w:rPr>
              <w:t xml:space="preserve"> </w:t>
            </w:r>
            <w:r w:rsidR="00FB3C81" w:rsidRPr="00FB3C81">
              <w:rPr>
                <w:rFonts w:ascii="Times New Roman" w:eastAsia="Times New Roman" w:hAnsi="Times New Roman" w:cs="Times New Roman"/>
                <w:bCs/>
                <w:color w:val="000000" w:themeColor="text1"/>
                <w:sz w:val="24"/>
                <w:szCs w:val="24"/>
              </w:rPr>
              <w:t>reizi reģistrē</w:t>
            </w:r>
            <w:r w:rsidR="00FB3C81">
              <w:rPr>
                <w:rFonts w:ascii="Times New Roman" w:eastAsia="Times New Roman" w:hAnsi="Times New Roman" w:cs="Times New Roman"/>
                <w:bCs/>
                <w:color w:val="000000" w:themeColor="text1"/>
                <w:sz w:val="24"/>
                <w:szCs w:val="24"/>
              </w:rPr>
              <w:t>t</w:t>
            </w:r>
            <w:r w:rsidR="00AC1150">
              <w:rPr>
                <w:rFonts w:ascii="Times New Roman" w:eastAsia="Times New Roman" w:hAnsi="Times New Roman" w:cs="Times New Roman"/>
                <w:bCs/>
                <w:color w:val="000000" w:themeColor="text1"/>
                <w:sz w:val="24"/>
                <w:szCs w:val="24"/>
              </w:rPr>
              <w:t>iem</w:t>
            </w:r>
            <w:r w:rsidR="00FB3C81">
              <w:rPr>
                <w:rFonts w:ascii="Times New Roman" w:eastAsia="Times New Roman" w:hAnsi="Times New Roman" w:cs="Times New Roman"/>
                <w:bCs/>
                <w:color w:val="000000" w:themeColor="text1"/>
                <w:sz w:val="24"/>
                <w:szCs w:val="24"/>
              </w:rPr>
              <w:t xml:space="preserve"> kravas automobiļ</w:t>
            </w:r>
            <w:r w:rsidR="00AC1150">
              <w:rPr>
                <w:rFonts w:ascii="Times New Roman" w:eastAsia="Times New Roman" w:hAnsi="Times New Roman" w:cs="Times New Roman"/>
                <w:bCs/>
                <w:color w:val="000000" w:themeColor="text1"/>
                <w:sz w:val="24"/>
                <w:szCs w:val="24"/>
              </w:rPr>
              <w:t>iem</w:t>
            </w:r>
            <w:r w:rsidR="00FB3C81" w:rsidRPr="00FB3C81">
              <w:rPr>
                <w:rFonts w:ascii="Times New Roman" w:eastAsia="Times New Roman" w:hAnsi="Times New Roman" w:cs="Times New Roman"/>
                <w:bCs/>
                <w:color w:val="000000" w:themeColor="text1"/>
                <w:sz w:val="24"/>
                <w:szCs w:val="24"/>
              </w:rPr>
              <w:t xml:space="preserve"> </w:t>
            </w:r>
            <w:r w:rsidR="00FB3C81">
              <w:rPr>
                <w:rFonts w:ascii="Times New Roman" w:eastAsia="Times New Roman" w:hAnsi="Times New Roman" w:cs="Times New Roman"/>
                <w:bCs/>
                <w:color w:val="000000" w:themeColor="text1"/>
                <w:sz w:val="24"/>
                <w:szCs w:val="24"/>
              </w:rPr>
              <w:t>(N1 kategorija</w:t>
            </w:r>
            <w:r w:rsidR="00AC1150">
              <w:rPr>
                <w:rFonts w:ascii="Times New Roman" w:eastAsia="Times New Roman" w:hAnsi="Times New Roman" w:cs="Times New Roman"/>
                <w:bCs/>
                <w:color w:val="000000" w:themeColor="text1"/>
                <w:sz w:val="24"/>
                <w:szCs w:val="24"/>
              </w:rPr>
              <w:t>s</w:t>
            </w:r>
            <w:r w:rsidR="00FB3C81">
              <w:rPr>
                <w:rFonts w:ascii="Times New Roman" w:eastAsia="Times New Roman" w:hAnsi="Times New Roman" w:cs="Times New Roman"/>
                <w:bCs/>
                <w:color w:val="000000" w:themeColor="text1"/>
                <w:sz w:val="24"/>
                <w:szCs w:val="24"/>
              </w:rPr>
              <w:t xml:space="preserve">) </w:t>
            </w:r>
            <w:r w:rsidR="00FB3C81" w:rsidRPr="00FB3C81">
              <w:rPr>
                <w:rFonts w:ascii="Times New Roman" w:eastAsia="Times New Roman" w:hAnsi="Times New Roman" w:cs="Times New Roman"/>
                <w:bCs/>
                <w:color w:val="000000" w:themeColor="text1"/>
                <w:sz w:val="24"/>
                <w:szCs w:val="24"/>
              </w:rPr>
              <w:t>ar pilnu masu līdz</w:t>
            </w:r>
            <w:r w:rsidR="00B13A14">
              <w:rPr>
                <w:rFonts w:ascii="Times New Roman" w:eastAsia="Times New Roman" w:hAnsi="Times New Roman" w:cs="Times New Roman"/>
                <w:bCs/>
                <w:color w:val="000000" w:themeColor="text1"/>
                <w:sz w:val="24"/>
                <w:szCs w:val="24"/>
              </w:rPr>
              <w:t xml:space="preserve"> </w:t>
            </w:r>
            <w:r w:rsidR="00B13A14" w:rsidRPr="00B13A14">
              <w:rPr>
                <w:rFonts w:ascii="Times New Roman" w:eastAsia="Times New Roman" w:hAnsi="Times New Roman" w:cs="Times New Roman"/>
                <w:bCs/>
                <w:color w:val="000000" w:themeColor="text1"/>
                <w:sz w:val="24"/>
                <w:szCs w:val="24"/>
              </w:rPr>
              <w:t>3000 kilogramiem</w:t>
            </w:r>
            <w:r w:rsidR="003C605B">
              <w:rPr>
                <w:rFonts w:ascii="Times New Roman" w:eastAsia="Times New Roman" w:hAnsi="Times New Roman" w:cs="Times New Roman"/>
                <w:bCs/>
                <w:color w:val="000000" w:themeColor="text1"/>
                <w:sz w:val="24"/>
                <w:szCs w:val="24"/>
              </w:rPr>
              <w:t xml:space="preserve">, </w:t>
            </w:r>
            <w:r w:rsidR="003C605B" w:rsidRPr="003C605B">
              <w:rPr>
                <w:rFonts w:ascii="Times New Roman" w:eastAsia="Times New Roman" w:hAnsi="Times New Roman" w:cs="Times New Roman"/>
                <w:bCs/>
                <w:color w:val="000000" w:themeColor="text1"/>
                <w:sz w:val="24"/>
                <w:szCs w:val="24"/>
              </w:rPr>
              <w:t>kas ir juridisko personu īpašumā vai turējumā</w:t>
            </w:r>
            <w:r w:rsidR="00FB3C8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un kur</w:t>
            </w:r>
            <w:r w:rsidR="00AC1150">
              <w:rPr>
                <w:rFonts w:ascii="Times New Roman" w:eastAsia="Times New Roman" w:hAnsi="Times New Roman" w:cs="Times New Roman"/>
                <w:bCs/>
                <w:color w:val="000000" w:themeColor="text1"/>
                <w:sz w:val="24"/>
                <w:szCs w:val="24"/>
              </w:rPr>
              <w:t xml:space="preserve">i atbilst </w:t>
            </w:r>
            <w:r w:rsidR="00AC1150" w:rsidRPr="009E3AA2">
              <w:rPr>
                <w:rFonts w:ascii="Times New Roman" w:hAnsi="Times New Roman" w:cs="Times New Roman"/>
                <w:sz w:val="24"/>
                <w:szCs w:val="24"/>
                <w:lang w:eastAsia="en-US"/>
              </w:rPr>
              <w:t>reprezentatīvā automobiļa pazīmēm</w:t>
            </w:r>
            <w:r w:rsidR="00AC1150">
              <w:rPr>
                <w:rFonts w:ascii="Times New Roman" w:hAnsi="Times New Roman" w:cs="Times New Roman"/>
                <w:sz w:val="24"/>
                <w:szCs w:val="24"/>
                <w:lang w:eastAsia="en-US"/>
              </w:rPr>
              <w:t xml:space="preserve">. Transportlīdzekļa vērtības noteikšanai izmantota </w:t>
            </w:r>
            <w:r w:rsidR="00AC1150" w:rsidRPr="00DE6106">
              <w:rPr>
                <w:rFonts w:ascii="Times New Roman" w:hAnsi="Times New Roman" w:cs="Times New Roman"/>
                <w:sz w:val="24"/>
                <w:szCs w:val="24"/>
                <w:lang w:eastAsia="en-US"/>
              </w:rPr>
              <w:t>Auto asociācijas</w:t>
            </w:r>
            <w:r w:rsidR="00AC1150">
              <w:rPr>
                <w:rFonts w:ascii="Times New Roman" w:hAnsi="Times New Roman" w:cs="Times New Roman"/>
                <w:sz w:val="24"/>
                <w:szCs w:val="24"/>
                <w:lang w:eastAsia="en-US"/>
              </w:rPr>
              <w:t xml:space="preserve"> automobiļu klasifikatorā norādītā attiecīgās automobiļa markas un modeļa bāzes cena. </w:t>
            </w:r>
            <w:r w:rsidR="00EB2CCC">
              <w:rPr>
                <w:rFonts w:ascii="Times New Roman" w:hAnsi="Times New Roman" w:cs="Times New Roman"/>
                <w:sz w:val="24"/>
                <w:szCs w:val="24"/>
                <w:lang w:eastAsia="en-US"/>
              </w:rPr>
              <w:t xml:space="preserve">PVN par automašīnas iegādi  </w:t>
            </w:r>
            <w:r w:rsidR="003C605B">
              <w:rPr>
                <w:rFonts w:ascii="Times New Roman" w:hAnsi="Times New Roman" w:cs="Times New Roman"/>
                <w:sz w:val="24"/>
                <w:szCs w:val="24"/>
                <w:lang w:eastAsia="en-US"/>
              </w:rPr>
              <w:t>ap</w:t>
            </w:r>
            <w:r w:rsidR="00EB2CCC">
              <w:rPr>
                <w:rFonts w:ascii="Times New Roman" w:hAnsi="Times New Roman" w:cs="Times New Roman"/>
                <w:sz w:val="24"/>
                <w:szCs w:val="24"/>
                <w:lang w:eastAsia="en-US"/>
              </w:rPr>
              <w:t xml:space="preserve">rēķināts 15 transportlīdzekļiem un ir 174 tūkst. </w:t>
            </w:r>
            <w:proofErr w:type="spellStart"/>
            <w:r w:rsidR="00EB2CCC" w:rsidRPr="00EB2CCC">
              <w:rPr>
                <w:rFonts w:ascii="Times New Roman" w:hAnsi="Times New Roman" w:cs="Times New Roman"/>
                <w:i/>
                <w:sz w:val="24"/>
                <w:szCs w:val="24"/>
                <w:lang w:eastAsia="en-US"/>
              </w:rPr>
              <w:t>euro</w:t>
            </w:r>
            <w:proofErr w:type="spellEnd"/>
            <w:r w:rsidR="00EB2CCC">
              <w:rPr>
                <w:rFonts w:ascii="Times New Roman" w:hAnsi="Times New Roman" w:cs="Times New Roman"/>
                <w:sz w:val="24"/>
                <w:szCs w:val="24"/>
                <w:lang w:eastAsia="en-US"/>
              </w:rPr>
              <w:t>.</w:t>
            </w:r>
          </w:p>
          <w:p w14:paraId="3E1F960B" w14:textId="6E01B6BA" w:rsidR="00F5547B" w:rsidRDefault="009137F6" w:rsidP="009E48EA">
            <w:pPr>
              <w:spacing w:after="120" w:line="252"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Fiskālā ietekme ir aprēķināta pēc sekojoša algoritma: priekšnodoklis par izmaksām, kas saistītas ar transportlīdzekļa uzturēšanu + priekšnodoklis par transportlīdzekļa iegādi.</w:t>
            </w:r>
          </w:p>
          <w:p w14:paraId="6823A080" w14:textId="45E2DD6C" w:rsidR="00770E95" w:rsidRPr="002327F8" w:rsidRDefault="00905871" w:rsidP="00855308">
            <w:pPr>
              <w:spacing w:after="0" w:line="240" w:lineRule="auto"/>
              <w:jc w:val="both"/>
              <w:rPr>
                <w:rFonts w:ascii="Times New Roman" w:hAnsi="Times New Roman"/>
                <w:color w:val="000000" w:themeColor="text1"/>
                <w:sz w:val="24"/>
                <w:szCs w:val="24"/>
              </w:rPr>
            </w:pPr>
            <w:r w:rsidRPr="00905871">
              <w:rPr>
                <w:rFonts w:ascii="Times New Roman" w:eastAsia="Times New Roman" w:hAnsi="Times New Roman" w:cs="Times New Roman"/>
                <w:bCs/>
                <w:color w:val="000000" w:themeColor="text1"/>
                <w:sz w:val="24"/>
                <w:szCs w:val="24"/>
              </w:rPr>
              <w:t>Pamatojoties uz Ministru kabineta 2016. gada 2. augusta sēdē atbalstīto informatīvo ziņojumu "Par iespējām palielināt ieņēmumus" (</w:t>
            </w:r>
            <w:proofErr w:type="spellStart"/>
            <w:r w:rsidRPr="00905871">
              <w:rPr>
                <w:rFonts w:ascii="Times New Roman" w:eastAsia="Times New Roman" w:hAnsi="Times New Roman" w:cs="Times New Roman"/>
                <w:bCs/>
                <w:color w:val="000000" w:themeColor="text1"/>
                <w:sz w:val="24"/>
                <w:szCs w:val="24"/>
              </w:rPr>
              <w:t>protokollēmums</w:t>
            </w:r>
            <w:proofErr w:type="spellEnd"/>
            <w:r w:rsidRPr="00905871">
              <w:rPr>
                <w:rFonts w:ascii="Times New Roman" w:eastAsia="Times New Roman" w:hAnsi="Times New Roman" w:cs="Times New Roman"/>
                <w:bCs/>
                <w:color w:val="000000" w:themeColor="text1"/>
                <w:sz w:val="24"/>
                <w:szCs w:val="24"/>
              </w:rPr>
              <w:t xml:space="preserve"> Nr. 38  49.§), fiskālā ietekme ir iekļauta nodokļu ieņēmumu prognozēs.</w:t>
            </w:r>
          </w:p>
        </w:tc>
      </w:tr>
      <w:tr w:rsidR="00855308" w:rsidRPr="00A7675C" w14:paraId="21D333A0" w14:textId="77777777" w:rsidTr="00FC1C8A">
        <w:trPr>
          <w:trHeight w:val="525"/>
          <w:tblCellSpacing w:w="0" w:type="dxa"/>
        </w:trPr>
        <w:tc>
          <w:tcPr>
            <w:tcW w:w="2827" w:type="dxa"/>
            <w:tcBorders>
              <w:top w:val="outset" w:sz="6" w:space="0" w:color="auto"/>
              <w:left w:val="outset" w:sz="6" w:space="0" w:color="auto"/>
              <w:bottom w:val="outset" w:sz="6" w:space="0" w:color="auto"/>
              <w:right w:val="outset" w:sz="6" w:space="0" w:color="auto"/>
            </w:tcBorders>
          </w:tcPr>
          <w:p w14:paraId="2A24AAD6" w14:textId="34D2E40E" w:rsidR="00855308" w:rsidRPr="00A7675C" w:rsidRDefault="00855308" w:rsidP="00855308">
            <w:pPr>
              <w:spacing w:after="0" w:line="240" w:lineRule="auto"/>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6.1. detalizēts ieņēmumu aprēķins</w:t>
            </w:r>
          </w:p>
        </w:tc>
        <w:tc>
          <w:tcPr>
            <w:tcW w:w="6088" w:type="dxa"/>
            <w:gridSpan w:val="5"/>
            <w:tcBorders>
              <w:top w:val="outset" w:sz="6" w:space="0" w:color="auto"/>
              <w:left w:val="outset" w:sz="6" w:space="0" w:color="auto"/>
              <w:bottom w:val="outset" w:sz="6" w:space="0" w:color="auto"/>
              <w:right w:val="outset" w:sz="6" w:space="0" w:color="auto"/>
            </w:tcBorders>
          </w:tcPr>
          <w:p w14:paraId="5BBAA184" w14:textId="77777777" w:rsidR="00855308" w:rsidRPr="00A7675C" w:rsidRDefault="00855308" w:rsidP="00855308">
            <w:pPr>
              <w:ind w:left="127" w:right="126" w:hanging="127"/>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 Projekts šo jomu neskar</w:t>
            </w:r>
          </w:p>
        </w:tc>
      </w:tr>
      <w:tr w:rsidR="00855308" w:rsidRPr="00A7675C" w14:paraId="698B85EF" w14:textId="77777777" w:rsidTr="00FC1C8A">
        <w:trPr>
          <w:trHeight w:val="407"/>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3E703F77" w14:textId="77777777" w:rsidR="00855308" w:rsidRPr="00A7675C" w:rsidRDefault="00855308" w:rsidP="00855308">
            <w:pPr>
              <w:spacing w:after="0" w:line="240" w:lineRule="auto"/>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6.2. detalizēts izdevumu aprēķins</w:t>
            </w:r>
          </w:p>
        </w:tc>
        <w:tc>
          <w:tcPr>
            <w:tcW w:w="6088" w:type="dxa"/>
            <w:gridSpan w:val="5"/>
            <w:tcBorders>
              <w:top w:val="outset" w:sz="6" w:space="0" w:color="auto"/>
              <w:left w:val="outset" w:sz="6" w:space="0" w:color="auto"/>
              <w:bottom w:val="outset" w:sz="6" w:space="0" w:color="auto"/>
              <w:right w:val="outset" w:sz="6" w:space="0" w:color="auto"/>
            </w:tcBorders>
            <w:hideMark/>
          </w:tcPr>
          <w:p w14:paraId="733F96DD" w14:textId="77777777" w:rsidR="00855308" w:rsidRPr="00A7675C" w:rsidRDefault="00855308" w:rsidP="00855308">
            <w:pP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 xml:space="preserve"> Projekts šo jomu neskar</w:t>
            </w:r>
          </w:p>
        </w:tc>
      </w:tr>
      <w:tr w:rsidR="00855308" w:rsidRPr="00A7675C" w14:paraId="4B0278CA" w14:textId="77777777" w:rsidTr="00FC1C8A">
        <w:trPr>
          <w:trHeight w:val="356"/>
          <w:tblCellSpacing w:w="0" w:type="dxa"/>
        </w:trPr>
        <w:tc>
          <w:tcPr>
            <w:tcW w:w="2827" w:type="dxa"/>
            <w:tcBorders>
              <w:top w:val="outset" w:sz="6" w:space="0" w:color="auto"/>
              <w:left w:val="outset" w:sz="6" w:space="0" w:color="auto"/>
              <w:bottom w:val="outset" w:sz="6" w:space="0" w:color="auto"/>
              <w:right w:val="outset" w:sz="6" w:space="0" w:color="auto"/>
            </w:tcBorders>
            <w:hideMark/>
          </w:tcPr>
          <w:p w14:paraId="289E0029" w14:textId="77777777" w:rsidR="00855308" w:rsidRPr="00A7675C" w:rsidRDefault="00855308" w:rsidP="00855308">
            <w:pPr>
              <w:ind w:left="142"/>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7. Cita informācija</w:t>
            </w:r>
          </w:p>
        </w:tc>
        <w:tc>
          <w:tcPr>
            <w:tcW w:w="6088" w:type="dxa"/>
            <w:gridSpan w:val="5"/>
            <w:tcBorders>
              <w:top w:val="outset" w:sz="6" w:space="0" w:color="auto"/>
              <w:left w:val="outset" w:sz="6" w:space="0" w:color="auto"/>
              <w:bottom w:val="outset" w:sz="6" w:space="0" w:color="auto"/>
              <w:right w:val="outset" w:sz="6" w:space="0" w:color="auto"/>
            </w:tcBorders>
            <w:hideMark/>
          </w:tcPr>
          <w:p w14:paraId="7BAB5E75" w14:textId="22505E0F" w:rsidR="00070B26" w:rsidRPr="00070B26" w:rsidRDefault="00070B26" w:rsidP="00070B26">
            <w:pPr>
              <w:spacing w:after="0" w:line="240" w:lineRule="auto"/>
              <w:ind w:left="125" w:right="142"/>
              <w:jc w:val="both"/>
              <w:rPr>
                <w:rFonts w:ascii="Times New Roman" w:eastAsia="Times New Roman" w:hAnsi="Times New Roman" w:cs="Times New Roman"/>
                <w:color w:val="000000"/>
                <w:sz w:val="24"/>
                <w:szCs w:val="24"/>
              </w:rPr>
            </w:pPr>
            <w:r w:rsidRPr="00070B26">
              <w:rPr>
                <w:rFonts w:ascii="Times New Roman" w:eastAsia="Times New Roman" w:hAnsi="Times New Roman" w:cs="Times New Roman"/>
                <w:bCs/>
                <w:color w:val="000000" w:themeColor="text1"/>
                <w:sz w:val="24"/>
                <w:szCs w:val="24"/>
              </w:rPr>
              <w:t xml:space="preserve">Izvairīšanās no PVN nomaksas un PVN krāpšanas shēmas nozarēs, kurās </w:t>
            </w:r>
            <w:r w:rsidRPr="00070B26">
              <w:rPr>
                <w:rFonts w:ascii="Times New Roman" w:eastAsia="Times New Roman" w:hAnsi="Times New Roman" w:cs="Times New Roman"/>
                <w:color w:val="000000"/>
                <w:sz w:val="24"/>
                <w:szCs w:val="24"/>
              </w:rPr>
              <w:t>nodokļu maksātāji nodarbojās ar neapstrādātu dārgmetālu</w:t>
            </w:r>
            <w:r w:rsidR="006945BB">
              <w:rPr>
                <w:rFonts w:ascii="Times New Roman" w:eastAsia="Times New Roman" w:hAnsi="Times New Roman" w:cs="Times New Roman"/>
                <w:color w:val="000000"/>
                <w:sz w:val="24"/>
                <w:szCs w:val="24"/>
              </w:rPr>
              <w:t xml:space="preserve"> un to pusfabrikātu</w:t>
            </w:r>
            <w:r w:rsidRPr="00070B26">
              <w:rPr>
                <w:rFonts w:ascii="Times New Roman" w:eastAsia="Times New Roman" w:hAnsi="Times New Roman" w:cs="Times New Roman"/>
                <w:color w:val="000000"/>
                <w:sz w:val="24"/>
                <w:szCs w:val="24"/>
              </w:rPr>
              <w:t>, dārgmetālu sakausējumu</w:t>
            </w:r>
            <w:r w:rsidR="006945BB">
              <w:rPr>
                <w:rFonts w:ascii="Times New Roman" w:eastAsia="Times New Roman" w:hAnsi="Times New Roman" w:cs="Times New Roman"/>
                <w:color w:val="000000"/>
                <w:sz w:val="24"/>
                <w:szCs w:val="24"/>
              </w:rPr>
              <w:t xml:space="preserve"> un to pusfabrikātu,</w:t>
            </w:r>
            <w:r w:rsidRPr="00070B26">
              <w:rPr>
                <w:rFonts w:ascii="Times New Roman" w:eastAsia="Times New Roman" w:hAnsi="Times New Roman" w:cs="Times New Roman"/>
                <w:color w:val="000000"/>
                <w:sz w:val="24"/>
                <w:szCs w:val="24"/>
              </w:rPr>
              <w:t xml:space="preserve"> dārgmetālu </w:t>
            </w:r>
            <w:proofErr w:type="spellStart"/>
            <w:r w:rsidRPr="00070B26">
              <w:rPr>
                <w:rFonts w:ascii="Times New Roman" w:eastAsia="Times New Roman" w:hAnsi="Times New Roman" w:cs="Times New Roman"/>
                <w:color w:val="000000"/>
                <w:sz w:val="24"/>
                <w:szCs w:val="24"/>
              </w:rPr>
              <w:t>plaķētu</w:t>
            </w:r>
            <w:proofErr w:type="spellEnd"/>
            <w:r w:rsidRPr="00070B26">
              <w:rPr>
                <w:rFonts w:ascii="Times New Roman" w:eastAsia="Times New Roman" w:hAnsi="Times New Roman" w:cs="Times New Roman"/>
                <w:color w:val="000000"/>
                <w:sz w:val="24"/>
                <w:szCs w:val="24"/>
              </w:rPr>
              <w:t xml:space="preserve"> metālu piegādēm notiek ar “fiktīvu” rēķinu par reāli nenotikušajām piegādēm izmantošanu, kā arī izmantojot “pazudušā komersanta” krāpšanas shēmas.</w:t>
            </w:r>
          </w:p>
          <w:p w14:paraId="2D5B5656" w14:textId="48C7F088" w:rsidR="00855308" w:rsidRDefault="00070B26" w:rsidP="00DD4ADF">
            <w:pPr>
              <w:spacing w:after="0" w:line="240" w:lineRule="auto"/>
              <w:ind w:left="125" w:right="142"/>
              <w:jc w:val="both"/>
              <w:rPr>
                <w:rFonts w:ascii="Times New Roman" w:hAnsi="Times New Roman"/>
                <w:sz w:val="24"/>
                <w:szCs w:val="24"/>
              </w:rPr>
            </w:pPr>
            <w:r w:rsidRPr="00070B26">
              <w:rPr>
                <w:rFonts w:ascii="Times New Roman" w:eastAsia="Times New Roman" w:hAnsi="Times New Roman" w:cs="Times New Roman"/>
                <w:color w:val="000000"/>
                <w:sz w:val="24"/>
                <w:szCs w:val="24"/>
              </w:rPr>
              <w:t xml:space="preserve">Saskaņā ar VID sniegto informāciju </w:t>
            </w:r>
            <w:r w:rsidR="006945BB">
              <w:rPr>
                <w:rFonts w:ascii="Times New Roman" w:eastAsia="Times New Roman" w:hAnsi="Times New Roman" w:cs="Times New Roman"/>
                <w:color w:val="000000"/>
                <w:sz w:val="24"/>
                <w:szCs w:val="24"/>
              </w:rPr>
              <w:t xml:space="preserve">2016.gada 29.augustā </w:t>
            </w:r>
            <w:r w:rsidR="00F424D9">
              <w:rPr>
                <w:rFonts w:ascii="Times New Roman" w:eastAsia="Times New Roman" w:hAnsi="Times New Roman" w:cs="Times New Roman"/>
                <w:color w:val="000000"/>
                <w:sz w:val="24"/>
                <w:szCs w:val="24"/>
              </w:rPr>
              <w:t>nozarēs, kura</w:t>
            </w:r>
            <w:r w:rsidRPr="00070B26">
              <w:rPr>
                <w:rFonts w:ascii="Times New Roman" w:eastAsia="Times New Roman" w:hAnsi="Times New Roman" w:cs="Times New Roman"/>
                <w:color w:val="000000"/>
                <w:sz w:val="24"/>
                <w:szCs w:val="24"/>
              </w:rPr>
              <w:t xml:space="preserve">s skars grozījumi PVN likumā – </w:t>
            </w:r>
            <w:r w:rsidR="00DD4ADF">
              <w:rPr>
                <w:rFonts w:ascii="Times New Roman" w:eastAsia="Times New Roman" w:hAnsi="Times New Roman" w:cs="Times New Roman"/>
                <w:color w:val="000000"/>
                <w:sz w:val="24"/>
                <w:szCs w:val="24"/>
              </w:rPr>
              <w:t>PVN apgrieztās</w:t>
            </w:r>
            <w:r w:rsidRPr="00070B26">
              <w:rPr>
                <w:rFonts w:ascii="Times New Roman" w:eastAsia="Times New Roman" w:hAnsi="Times New Roman" w:cs="Times New Roman"/>
                <w:color w:val="000000"/>
                <w:sz w:val="24"/>
                <w:szCs w:val="24"/>
              </w:rPr>
              <w:t xml:space="preserve"> maksāšanas kārtības ieviešana neapstrādātu dārgmetālu</w:t>
            </w:r>
            <w:r w:rsidR="006945BB">
              <w:rPr>
                <w:rFonts w:ascii="Times New Roman" w:eastAsia="Times New Roman" w:hAnsi="Times New Roman" w:cs="Times New Roman"/>
                <w:color w:val="000000"/>
                <w:sz w:val="24"/>
                <w:szCs w:val="24"/>
              </w:rPr>
              <w:t xml:space="preserve"> un to pusfabrikātu</w:t>
            </w:r>
            <w:r w:rsidRPr="00070B26">
              <w:rPr>
                <w:rFonts w:ascii="Times New Roman" w:eastAsia="Times New Roman" w:hAnsi="Times New Roman" w:cs="Times New Roman"/>
                <w:color w:val="000000"/>
                <w:sz w:val="24"/>
                <w:szCs w:val="24"/>
              </w:rPr>
              <w:t xml:space="preserve">, dārgmetālu sakausējumu un </w:t>
            </w:r>
            <w:r w:rsidR="006945BB">
              <w:rPr>
                <w:rFonts w:ascii="Times New Roman" w:eastAsia="Times New Roman" w:hAnsi="Times New Roman" w:cs="Times New Roman"/>
                <w:color w:val="000000"/>
                <w:sz w:val="24"/>
                <w:szCs w:val="24"/>
              </w:rPr>
              <w:t>to pusfabrikātu, d</w:t>
            </w:r>
            <w:r w:rsidRPr="00070B26">
              <w:rPr>
                <w:rFonts w:ascii="Times New Roman" w:eastAsia="Times New Roman" w:hAnsi="Times New Roman" w:cs="Times New Roman"/>
                <w:color w:val="000000"/>
                <w:sz w:val="24"/>
                <w:szCs w:val="24"/>
              </w:rPr>
              <w:t xml:space="preserve">ārgmetālu </w:t>
            </w:r>
            <w:proofErr w:type="spellStart"/>
            <w:r w:rsidRPr="00070B26">
              <w:rPr>
                <w:rFonts w:ascii="Times New Roman" w:eastAsia="Times New Roman" w:hAnsi="Times New Roman" w:cs="Times New Roman"/>
                <w:color w:val="000000"/>
                <w:sz w:val="24"/>
                <w:szCs w:val="24"/>
              </w:rPr>
              <w:t>plaķētu</w:t>
            </w:r>
            <w:proofErr w:type="spellEnd"/>
            <w:r w:rsidRPr="00070B26">
              <w:rPr>
                <w:rFonts w:ascii="Times New Roman" w:eastAsia="Times New Roman" w:hAnsi="Times New Roman" w:cs="Times New Roman"/>
                <w:color w:val="000000"/>
                <w:sz w:val="24"/>
                <w:szCs w:val="24"/>
              </w:rPr>
              <w:t xml:space="preserve"> metālu piegādēm, darbojās 645 nodokļu</w:t>
            </w:r>
            <w:r>
              <w:rPr>
                <w:rFonts w:ascii="Times New Roman" w:hAnsi="Times New Roman"/>
                <w:sz w:val="24"/>
                <w:szCs w:val="24"/>
              </w:rPr>
              <w:t xml:space="preserve"> maksātāji, t.sk. 198 (jeb 30,7% no visiem min</w:t>
            </w:r>
            <w:r w:rsidR="00DD4ADF">
              <w:rPr>
                <w:rFonts w:ascii="Times New Roman" w:hAnsi="Times New Roman"/>
                <w:sz w:val="24"/>
                <w:szCs w:val="24"/>
              </w:rPr>
              <w:t>ēto nozaru nodokļu maksātājiem) ir PVN maksātāji.</w:t>
            </w:r>
          </w:p>
          <w:p w14:paraId="34CA04FA" w14:textId="77777777" w:rsidR="004A3321" w:rsidRDefault="004A3321" w:rsidP="00DD4ADF">
            <w:pPr>
              <w:spacing w:after="0" w:line="240" w:lineRule="auto"/>
              <w:ind w:left="125" w:right="142"/>
              <w:jc w:val="both"/>
              <w:rPr>
                <w:rFonts w:ascii="Times New Roman" w:hAnsi="Times New Roman"/>
                <w:sz w:val="24"/>
                <w:szCs w:val="24"/>
              </w:rPr>
            </w:pPr>
          </w:p>
          <w:p w14:paraId="6B86977B" w14:textId="6CDD5CDB" w:rsidR="00DD4ADF" w:rsidRDefault="004A3321" w:rsidP="004A3321">
            <w:pPr>
              <w:spacing w:after="120" w:line="240" w:lineRule="auto"/>
              <w:ind w:left="125" w:right="142"/>
              <w:jc w:val="center"/>
              <w:rPr>
                <w:rFonts w:ascii="Times New Roman" w:hAnsi="Times New Roman"/>
                <w:sz w:val="24"/>
                <w:szCs w:val="24"/>
              </w:rPr>
            </w:pPr>
            <w:r>
              <w:rPr>
                <w:rFonts w:ascii="Times New Roman" w:hAnsi="Times New Roman"/>
                <w:b/>
                <w:bCs/>
                <w:color w:val="000000"/>
                <w:sz w:val="24"/>
                <w:szCs w:val="24"/>
              </w:rPr>
              <w:t>Nodokļu maksātāju skaits 2016.gada 29.augustā</w:t>
            </w:r>
          </w:p>
          <w:tbl>
            <w:tblPr>
              <w:tblStyle w:val="TableGrid"/>
              <w:tblW w:w="5842" w:type="dxa"/>
              <w:tblInd w:w="125" w:type="dxa"/>
              <w:tblLayout w:type="fixed"/>
              <w:tblLook w:val="04A0" w:firstRow="1" w:lastRow="0" w:firstColumn="1" w:lastColumn="0" w:noHBand="0" w:noVBand="1"/>
            </w:tblPr>
            <w:tblGrid>
              <w:gridCol w:w="833"/>
              <w:gridCol w:w="1134"/>
              <w:gridCol w:w="992"/>
              <w:gridCol w:w="961"/>
              <w:gridCol w:w="961"/>
              <w:gridCol w:w="961"/>
            </w:tblGrid>
            <w:tr w:rsidR="00DD4ADF" w14:paraId="01782D44" w14:textId="77777777" w:rsidTr="004A3321">
              <w:tc>
                <w:tcPr>
                  <w:tcW w:w="833" w:type="dxa"/>
                  <w:vAlign w:val="center"/>
                </w:tcPr>
                <w:p w14:paraId="6DB24622" w14:textId="22EC0B8E" w:rsidR="00DD4ADF" w:rsidRDefault="00DD4ADF" w:rsidP="00F73CE1">
                  <w:pPr>
                    <w:framePr w:hSpace="180" w:wrap="around" w:vAnchor="text" w:hAnchor="margin" w:x="-120" w:y="371"/>
                    <w:jc w:val="center"/>
                    <w:rPr>
                      <w:rFonts w:ascii="Times New Roman" w:hAnsi="Times New Roman"/>
                      <w:sz w:val="24"/>
                      <w:szCs w:val="24"/>
                    </w:rPr>
                  </w:pPr>
                  <w:r>
                    <w:rPr>
                      <w:rFonts w:ascii="Times New Roman" w:hAnsi="Times New Roman"/>
                      <w:b/>
                      <w:bCs/>
                      <w:color w:val="000000"/>
                      <w:sz w:val="20"/>
                      <w:szCs w:val="20"/>
                    </w:rPr>
                    <w:t>NACE 2.redakcijas kods</w:t>
                  </w:r>
                </w:p>
              </w:tc>
              <w:tc>
                <w:tcPr>
                  <w:tcW w:w="1134" w:type="dxa"/>
                  <w:vAlign w:val="center"/>
                </w:tcPr>
                <w:p w14:paraId="6B398AAC" w14:textId="04B6D6D9" w:rsidR="00DD4ADF" w:rsidRDefault="00DD4ADF" w:rsidP="00F73CE1">
                  <w:pPr>
                    <w:framePr w:hSpace="180" w:wrap="around" w:vAnchor="text" w:hAnchor="margin" w:x="-120" w:y="371"/>
                    <w:ind w:right="-20"/>
                    <w:jc w:val="center"/>
                    <w:rPr>
                      <w:rFonts w:ascii="Times New Roman" w:hAnsi="Times New Roman"/>
                      <w:sz w:val="24"/>
                      <w:szCs w:val="24"/>
                    </w:rPr>
                  </w:pPr>
                  <w:r>
                    <w:rPr>
                      <w:rFonts w:ascii="Times New Roman" w:hAnsi="Times New Roman"/>
                      <w:b/>
                      <w:bCs/>
                      <w:color w:val="000000"/>
                      <w:sz w:val="20"/>
                      <w:szCs w:val="20"/>
                    </w:rPr>
                    <w:t>NACE 2.redakcijas nosaukums</w:t>
                  </w:r>
                </w:p>
              </w:tc>
              <w:tc>
                <w:tcPr>
                  <w:tcW w:w="992" w:type="dxa"/>
                  <w:vAlign w:val="center"/>
                </w:tcPr>
                <w:p w14:paraId="64287654" w14:textId="78B1F48D" w:rsidR="004A3321" w:rsidRDefault="004A3321" w:rsidP="00F73CE1">
                  <w:pPr>
                    <w:framePr w:hSpace="180" w:wrap="around" w:vAnchor="text" w:hAnchor="margin" w:x="-120" w:y="371"/>
                    <w:ind w:left="-174" w:right="-37"/>
                    <w:jc w:val="center"/>
                    <w:rPr>
                      <w:rFonts w:ascii="Times New Roman" w:hAnsi="Times New Roman"/>
                      <w:b/>
                      <w:bCs/>
                      <w:color w:val="000000"/>
                      <w:sz w:val="20"/>
                      <w:szCs w:val="20"/>
                    </w:rPr>
                  </w:pPr>
                  <w:r>
                    <w:rPr>
                      <w:rFonts w:ascii="Times New Roman" w:hAnsi="Times New Roman"/>
                      <w:b/>
                      <w:bCs/>
                      <w:color w:val="000000"/>
                      <w:sz w:val="20"/>
                      <w:szCs w:val="20"/>
                    </w:rPr>
                    <w:t>J</w:t>
                  </w:r>
                  <w:r w:rsidR="00DD4ADF">
                    <w:rPr>
                      <w:rFonts w:ascii="Times New Roman" w:hAnsi="Times New Roman"/>
                      <w:b/>
                      <w:bCs/>
                      <w:color w:val="000000"/>
                      <w:sz w:val="20"/>
                      <w:szCs w:val="20"/>
                    </w:rPr>
                    <w:t>uridiskās</w:t>
                  </w:r>
                </w:p>
                <w:p w14:paraId="1989E04C" w14:textId="718A5D41" w:rsidR="00DD4ADF" w:rsidRDefault="00DD4ADF" w:rsidP="00F73CE1">
                  <w:pPr>
                    <w:framePr w:hSpace="180" w:wrap="around" w:vAnchor="text" w:hAnchor="margin" w:x="-120" w:y="371"/>
                    <w:ind w:left="-174" w:right="-37"/>
                    <w:jc w:val="center"/>
                    <w:rPr>
                      <w:rFonts w:ascii="Times New Roman" w:hAnsi="Times New Roman"/>
                      <w:sz w:val="24"/>
                      <w:szCs w:val="24"/>
                    </w:rPr>
                  </w:pPr>
                  <w:r>
                    <w:rPr>
                      <w:rFonts w:ascii="Times New Roman" w:hAnsi="Times New Roman"/>
                      <w:b/>
                      <w:bCs/>
                      <w:color w:val="000000"/>
                      <w:sz w:val="20"/>
                      <w:szCs w:val="20"/>
                    </w:rPr>
                    <w:t>personas</w:t>
                  </w:r>
                </w:p>
              </w:tc>
              <w:tc>
                <w:tcPr>
                  <w:tcW w:w="961" w:type="dxa"/>
                  <w:vAlign w:val="center"/>
                </w:tcPr>
                <w:p w14:paraId="596E882B" w14:textId="5013676F" w:rsidR="00DD4ADF" w:rsidRDefault="00DD4ADF" w:rsidP="00F73CE1">
                  <w:pPr>
                    <w:framePr w:hSpace="180" w:wrap="around" w:vAnchor="text" w:hAnchor="margin" w:x="-120" w:y="371"/>
                    <w:ind w:right="-99"/>
                    <w:jc w:val="center"/>
                    <w:rPr>
                      <w:rFonts w:ascii="Times New Roman" w:hAnsi="Times New Roman"/>
                      <w:sz w:val="24"/>
                      <w:szCs w:val="24"/>
                    </w:rPr>
                  </w:pPr>
                  <w:r>
                    <w:rPr>
                      <w:rFonts w:ascii="Times New Roman" w:hAnsi="Times New Roman"/>
                      <w:b/>
                      <w:bCs/>
                      <w:color w:val="000000"/>
                      <w:sz w:val="20"/>
                      <w:szCs w:val="20"/>
                    </w:rPr>
                    <w:t>fiziskās personas - saimnieciskās darbības veicēji</w:t>
                  </w:r>
                </w:p>
              </w:tc>
              <w:tc>
                <w:tcPr>
                  <w:tcW w:w="961" w:type="dxa"/>
                  <w:vAlign w:val="center"/>
                </w:tcPr>
                <w:p w14:paraId="006ABB2F" w14:textId="7770ADD6" w:rsidR="00DD4ADF" w:rsidRDefault="00DD4ADF" w:rsidP="00F73CE1">
                  <w:pPr>
                    <w:framePr w:hSpace="180" w:wrap="around" w:vAnchor="text" w:hAnchor="margin" w:x="-120" w:y="371"/>
                    <w:jc w:val="center"/>
                    <w:rPr>
                      <w:rFonts w:ascii="Times New Roman" w:hAnsi="Times New Roman"/>
                      <w:sz w:val="24"/>
                      <w:szCs w:val="24"/>
                    </w:rPr>
                  </w:pPr>
                  <w:r>
                    <w:rPr>
                      <w:rFonts w:ascii="Times New Roman" w:hAnsi="Times New Roman"/>
                      <w:b/>
                      <w:bCs/>
                      <w:color w:val="000000"/>
                      <w:sz w:val="20"/>
                      <w:szCs w:val="20"/>
                    </w:rPr>
                    <w:t>KOPĀ</w:t>
                  </w:r>
                </w:p>
              </w:tc>
              <w:tc>
                <w:tcPr>
                  <w:tcW w:w="961" w:type="dxa"/>
                  <w:vAlign w:val="center"/>
                </w:tcPr>
                <w:p w14:paraId="199B9A39" w14:textId="5524ECBF" w:rsidR="00DD4ADF" w:rsidRDefault="00DD4ADF" w:rsidP="00F73CE1">
                  <w:pPr>
                    <w:framePr w:hSpace="180" w:wrap="around" w:vAnchor="text" w:hAnchor="margin" w:x="-120" w:y="371"/>
                    <w:ind w:right="9"/>
                    <w:jc w:val="center"/>
                    <w:rPr>
                      <w:rFonts w:ascii="Times New Roman" w:hAnsi="Times New Roman"/>
                      <w:sz w:val="24"/>
                      <w:szCs w:val="24"/>
                    </w:rPr>
                  </w:pPr>
                  <w:r>
                    <w:rPr>
                      <w:rFonts w:ascii="Times New Roman" w:hAnsi="Times New Roman"/>
                      <w:b/>
                      <w:bCs/>
                      <w:color w:val="000000"/>
                      <w:sz w:val="20"/>
                      <w:szCs w:val="20"/>
                    </w:rPr>
                    <w:t>no tiem</w:t>
                  </w:r>
                  <w:r w:rsidR="004A3321">
                    <w:rPr>
                      <w:rFonts w:ascii="Times New Roman" w:hAnsi="Times New Roman"/>
                      <w:b/>
                      <w:bCs/>
                      <w:color w:val="000000"/>
                      <w:sz w:val="20"/>
                      <w:szCs w:val="20"/>
                    </w:rPr>
                    <w:t xml:space="preserve"> </w:t>
                  </w:r>
                  <w:r>
                    <w:rPr>
                      <w:rFonts w:ascii="Times New Roman" w:hAnsi="Times New Roman"/>
                      <w:b/>
                      <w:bCs/>
                      <w:color w:val="000000"/>
                      <w:sz w:val="20"/>
                      <w:szCs w:val="20"/>
                    </w:rPr>
                    <w:t>PVN maksātāji</w:t>
                  </w:r>
                </w:p>
              </w:tc>
            </w:tr>
            <w:tr w:rsidR="00DD4ADF" w14:paraId="04029839" w14:textId="77777777" w:rsidTr="004A3321">
              <w:tc>
                <w:tcPr>
                  <w:tcW w:w="833" w:type="dxa"/>
                  <w:vAlign w:val="center"/>
                </w:tcPr>
                <w:p w14:paraId="440603C8" w14:textId="56A73591" w:rsidR="00DD4ADF" w:rsidRPr="00DD4ADF" w:rsidRDefault="00DD4ADF" w:rsidP="00F73CE1">
                  <w:pPr>
                    <w:framePr w:hSpace="180" w:wrap="around" w:vAnchor="text" w:hAnchor="margin" w:x="-120" w:y="371"/>
                    <w:jc w:val="center"/>
                    <w:rPr>
                      <w:rFonts w:ascii="Times New Roman" w:hAnsi="Times New Roman"/>
                      <w:bCs/>
                      <w:color w:val="000000"/>
                      <w:sz w:val="20"/>
                      <w:szCs w:val="20"/>
                    </w:rPr>
                  </w:pPr>
                  <w:r>
                    <w:rPr>
                      <w:rFonts w:ascii="Times New Roman" w:hAnsi="Times New Roman"/>
                      <w:color w:val="000000"/>
                      <w:sz w:val="20"/>
                      <w:szCs w:val="20"/>
                    </w:rPr>
                    <w:t>3212</w:t>
                  </w:r>
                </w:p>
              </w:tc>
              <w:tc>
                <w:tcPr>
                  <w:tcW w:w="1134" w:type="dxa"/>
                  <w:vAlign w:val="center"/>
                </w:tcPr>
                <w:p w14:paraId="35CBE021" w14:textId="67BECF85" w:rsidR="00DD4ADF" w:rsidRDefault="00DD4ADF" w:rsidP="00F73CE1">
                  <w:pPr>
                    <w:framePr w:hSpace="180" w:wrap="around" w:vAnchor="text" w:hAnchor="margin" w:x="-120" w:y="371"/>
                    <w:ind w:right="-20"/>
                    <w:rPr>
                      <w:rFonts w:ascii="Times New Roman" w:hAnsi="Times New Roman"/>
                      <w:b/>
                      <w:bCs/>
                      <w:color w:val="000000"/>
                      <w:sz w:val="20"/>
                      <w:szCs w:val="20"/>
                    </w:rPr>
                  </w:pPr>
                  <w:r>
                    <w:rPr>
                      <w:rFonts w:ascii="Times New Roman" w:hAnsi="Times New Roman"/>
                      <w:color w:val="000000"/>
                      <w:sz w:val="20"/>
                      <w:szCs w:val="20"/>
                    </w:rPr>
                    <w:t>Juvelierizstrādājumu un līdzīgu izstrādājumu ražošana</w:t>
                  </w:r>
                </w:p>
              </w:tc>
              <w:tc>
                <w:tcPr>
                  <w:tcW w:w="992" w:type="dxa"/>
                  <w:vAlign w:val="center"/>
                </w:tcPr>
                <w:p w14:paraId="69622EF9" w14:textId="1E2C04F9" w:rsidR="00DD4ADF" w:rsidRDefault="00DD4ADF" w:rsidP="00F73CE1">
                  <w:pPr>
                    <w:framePr w:hSpace="180" w:wrap="around" w:vAnchor="text" w:hAnchor="margin" w:x="-120" w:y="371"/>
                    <w:ind w:left="-174" w:right="-37"/>
                    <w:jc w:val="center"/>
                    <w:rPr>
                      <w:rFonts w:ascii="Times New Roman" w:hAnsi="Times New Roman"/>
                      <w:b/>
                      <w:bCs/>
                      <w:color w:val="000000"/>
                      <w:sz w:val="20"/>
                      <w:szCs w:val="20"/>
                    </w:rPr>
                  </w:pPr>
                  <w:r>
                    <w:rPr>
                      <w:rFonts w:ascii="Times New Roman" w:hAnsi="Times New Roman"/>
                      <w:color w:val="000000"/>
                      <w:sz w:val="20"/>
                      <w:szCs w:val="20"/>
                    </w:rPr>
                    <w:t>61</w:t>
                  </w:r>
                </w:p>
              </w:tc>
              <w:tc>
                <w:tcPr>
                  <w:tcW w:w="961" w:type="dxa"/>
                  <w:vAlign w:val="center"/>
                </w:tcPr>
                <w:p w14:paraId="76B0F041" w14:textId="19C78E44" w:rsidR="00DD4ADF" w:rsidRDefault="00DD4ADF" w:rsidP="00F73CE1">
                  <w:pPr>
                    <w:framePr w:hSpace="180" w:wrap="around" w:vAnchor="text" w:hAnchor="margin" w:x="-120" w:y="371"/>
                    <w:ind w:right="-99"/>
                    <w:jc w:val="center"/>
                    <w:rPr>
                      <w:rFonts w:ascii="Times New Roman" w:hAnsi="Times New Roman"/>
                      <w:b/>
                      <w:bCs/>
                      <w:color w:val="000000"/>
                      <w:sz w:val="20"/>
                      <w:szCs w:val="20"/>
                    </w:rPr>
                  </w:pPr>
                  <w:r>
                    <w:rPr>
                      <w:rFonts w:ascii="Times New Roman" w:hAnsi="Times New Roman"/>
                      <w:color w:val="000000"/>
                      <w:sz w:val="20"/>
                      <w:szCs w:val="20"/>
                    </w:rPr>
                    <w:t>112</w:t>
                  </w:r>
                </w:p>
              </w:tc>
              <w:tc>
                <w:tcPr>
                  <w:tcW w:w="961" w:type="dxa"/>
                  <w:vAlign w:val="center"/>
                </w:tcPr>
                <w:p w14:paraId="7CFDD9BB" w14:textId="17A976F6" w:rsidR="00DD4ADF" w:rsidRDefault="00DD4ADF" w:rsidP="00F73CE1">
                  <w:pPr>
                    <w:framePr w:hSpace="180" w:wrap="around" w:vAnchor="text" w:hAnchor="margin" w:x="-120" w:y="371"/>
                    <w:jc w:val="center"/>
                    <w:rPr>
                      <w:rFonts w:ascii="Times New Roman" w:hAnsi="Times New Roman"/>
                      <w:b/>
                      <w:bCs/>
                      <w:color w:val="000000"/>
                      <w:sz w:val="20"/>
                      <w:szCs w:val="20"/>
                    </w:rPr>
                  </w:pPr>
                  <w:r>
                    <w:rPr>
                      <w:rFonts w:ascii="Times New Roman" w:hAnsi="Times New Roman"/>
                      <w:b/>
                      <w:bCs/>
                      <w:color w:val="000000"/>
                      <w:sz w:val="20"/>
                      <w:szCs w:val="20"/>
                    </w:rPr>
                    <w:t>173</w:t>
                  </w:r>
                </w:p>
              </w:tc>
              <w:tc>
                <w:tcPr>
                  <w:tcW w:w="961" w:type="dxa"/>
                  <w:vAlign w:val="center"/>
                </w:tcPr>
                <w:p w14:paraId="3196DF55" w14:textId="5B456DF1" w:rsidR="00DD4ADF" w:rsidRDefault="00DD4ADF" w:rsidP="00F73CE1">
                  <w:pPr>
                    <w:framePr w:hSpace="180" w:wrap="around" w:vAnchor="text" w:hAnchor="margin" w:x="-120" w:y="371"/>
                    <w:ind w:right="9"/>
                    <w:jc w:val="center"/>
                    <w:rPr>
                      <w:rFonts w:ascii="Times New Roman" w:hAnsi="Times New Roman"/>
                      <w:b/>
                      <w:bCs/>
                      <w:color w:val="000000"/>
                      <w:sz w:val="20"/>
                      <w:szCs w:val="20"/>
                    </w:rPr>
                  </w:pPr>
                  <w:r>
                    <w:rPr>
                      <w:rFonts w:ascii="Times New Roman" w:hAnsi="Times New Roman"/>
                      <w:color w:val="000000"/>
                      <w:sz w:val="20"/>
                      <w:szCs w:val="20"/>
                    </w:rPr>
                    <w:t>22</w:t>
                  </w:r>
                </w:p>
              </w:tc>
            </w:tr>
            <w:tr w:rsidR="004A3321" w14:paraId="0666937A" w14:textId="77777777" w:rsidTr="004A3321">
              <w:tc>
                <w:tcPr>
                  <w:tcW w:w="833" w:type="dxa"/>
                  <w:vAlign w:val="center"/>
                </w:tcPr>
                <w:p w14:paraId="52995187" w14:textId="122A0CAB" w:rsidR="004A3321" w:rsidRDefault="004A3321" w:rsidP="00F73CE1">
                  <w:pPr>
                    <w:framePr w:hSpace="180" w:wrap="around" w:vAnchor="text" w:hAnchor="margin" w:x="-120" w:y="371"/>
                    <w:jc w:val="center"/>
                    <w:rPr>
                      <w:rFonts w:ascii="Times New Roman" w:hAnsi="Times New Roman"/>
                      <w:color w:val="000000"/>
                      <w:sz w:val="20"/>
                      <w:szCs w:val="20"/>
                    </w:rPr>
                  </w:pPr>
                  <w:r>
                    <w:rPr>
                      <w:rFonts w:ascii="Times New Roman" w:hAnsi="Times New Roman"/>
                      <w:color w:val="000000"/>
                      <w:sz w:val="20"/>
                      <w:szCs w:val="20"/>
                    </w:rPr>
                    <w:t>3213</w:t>
                  </w:r>
                </w:p>
              </w:tc>
              <w:tc>
                <w:tcPr>
                  <w:tcW w:w="1134" w:type="dxa"/>
                  <w:vAlign w:val="center"/>
                </w:tcPr>
                <w:p w14:paraId="5ED991C4" w14:textId="7234ADDF" w:rsidR="004A3321" w:rsidRDefault="004A3321" w:rsidP="00F73CE1">
                  <w:pPr>
                    <w:framePr w:hSpace="180" w:wrap="around" w:vAnchor="text" w:hAnchor="margin" w:x="-120" w:y="371"/>
                    <w:ind w:right="-20"/>
                    <w:rPr>
                      <w:rFonts w:ascii="Times New Roman" w:hAnsi="Times New Roman"/>
                      <w:color w:val="000000"/>
                      <w:sz w:val="20"/>
                      <w:szCs w:val="20"/>
                    </w:rPr>
                  </w:pPr>
                  <w:r>
                    <w:rPr>
                      <w:rFonts w:ascii="Times New Roman" w:hAnsi="Times New Roman"/>
                      <w:color w:val="000000"/>
                      <w:sz w:val="20"/>
                      <w:szCs w:val="20"/>
                    </w:rPr>
                    <w:t>Juvelierizstrādājumu imitāciju un līdzīgu izstrādājumu ražošana</w:t>
                  </w:r>
                </w:p>
              </w:tc>
              <w:tc>
                <w:tcPr>
                  <w:tcW w:w="992" w:type="dxa"/>
                  <w:vAlign w:val="center"/>
                </w:tcPr>
                <w:p w14:paraId="5BB9F15B" w14:textId="69FF353A" w:rsidR="004A3321" w:rsidRDefault="004A3321" w:rsidP="00F73CE1">
                  <w:pPr>
                    <w:framePr w:hSpace="180" w:wrap="around" w:vAnchor="text" w:hAnchor="margin" w:x="-120" w:y="371"/>
                    <w:ind w:left="-174" w:right="-37"/>
                    <w:jc w:val="center"/>
                    <w:rPr>
                      <w:rFonts w:ascii="Times New Roman" w:hAnsi="Times New Roman"/>
                      <w:color w:val="000000"/>
                      <w:sz w:val="20"/>
                      <w:szCs w:val="20"/>
                    </w:rPr>
                  </w:pPr>
                  <w:r>
                    <w:rPr>
                      <w:rFonts w:ascii="Times New Roman" w:hAnsi="Times New Roman"/>
                      <w:color w:val="000000"/>
                      <w:sz w:val="20"/>
                      <w:szCs w:val="20"/>
                    </w:rPr>
                    <w:t>30</w:t>
                  </w:r>
                </w:p>
              </w:tc>
              <w:tc>
                <w:tcPr>
                  <w:tcW w:w="961" w:type="dxa"/>
                  <w:vAlign w:val="center"/>
                </w:tcPr>
                <w:p w14:paraId="076D1225" w14:textId="7EA9DD97" w:rsidR="004A3321" w:rsidRDefault="004A3321" w:rsidP="00F73CE1">
                  <w:pPr>
                    <w:framePr w:hSpace="180" w:wrap="around" w:vAnchor="text" w:hAnchor="margin" w:x="-120" w:y="371"/>
                    <w:ind w:right="-99"/>
                    <w:jc w:val="center"/>
                    <w:rPr>
                      <w:rFonts w:ascii="Times New Roman" w:hAnsi="Times New Roman"/>
                      <w:color w:val="000000"/>
                      <w:sz w:val="20"/>
                      <w:szCs w:val="20"/>
                    </w:rPr>
                  </w:pPr>
                  <w:r>
                    <w:rPr>
                      <w:rFonts w:ascii="Times New Roman" w:hAnsi="Times New Roman"/>
                      <w:color w:val="000000"/>
                      <w:sz w:val="20"/>
                      <w:szCs w:val="20"/>
                    </w:rPr>
                    <w:t>72</w:t>
                  </w:r>
                </w:p>
              </w:tc>
              <w:tc>
                <w:tcPr>
                  <w:tcW w:w="961" w:type="dxa"/>
                  <w:vAlign w:val="center"/>
                </w:tcPr>
                <w:p w14:paraId="7E5DBFFF" w14:textId="55A6DCCB" w:rsidR="004A3321" w:rsidRDefault="004A3321" w:rsidP="00F73CE1">
                  <w:pPr>
                    <w:framePr w:hSpace="180" w:wrap="around" w:vAnchor="text" w:hAnchor="margin" w:x="-120" w:y="371"/>
                    <w:jc w:val="center"/>
                    <w:rPr>
                      <w:rFonts w:ascii="Times New Roman" w:hAnsi="Times New Roman"/>
                      <w:b/>
                      <w:bCs/>
                      <w:color w:val="000000"/>
                      <w:sz w:val="20"/>
                      <w:szCs w:val="20"/>
                    </w:rPr>
                  </w:pPr>
                  <w:r>
                    <w:rPr>
                      <w:rFonts w:ascii="Times New Roman" w:hAnsi="Times New Roman"/>
                      <w:b/>
                      <w:bCs/>
                      <w:color w:val="000000"/>
                      <w:sz w:val="20"/>
                      <w:szCs w:val="20"/>
                    </w:rPr>
                    <w:t>102</w:t>
                  </w:r>
                </w:p>
              </w:tc>
              <w:tc>
                <w:tcPr>
                  <w:tcW w:w="961" w:type="dxa"/>
                  <w:vAlign w:val="center"/>
                </w:tcPr>
                <w:p w14:paraId="6D9BA06E" w14:textId="7D714A28" w:rsidR="004A3321" w:rsidRDefault="004A3321" w:rsidP="00F73CE1">
                  <w:pPr>
                    <w:framePr w:hSpace="180" w:wrap="around" w:vAnchor="text" w:hAnchor="margin" w:x="-120" w:y="371"/>
                    <w:ind w:right="9"/>
                    <w:jc w:val="center"/>
                    <w:rPr>
                      <w:rFonts w:ascii="Times New Roman" w:hAnsi="Times New Roman"/>
                      <w:color w:val="000000"/>
                      <w:sz w:val="20"/>
                      <w:szCs w:val="20"/>
                    </w:rPr>
                  </w:pPr>
                  <w:r>
                    <w:rPr>
                      <w:rFonts w:ascii="Times New Roman" w:hAnsi="Times New Roman"/>
                      <w:color w:val="000000"/>
                      <w:sz w:val="20"/>
                      <w:szCs w:val="20"/>
                    </w:rPr>
                    <w:t>9</w:t>
                  </w:r>
                </w:p>
              </w:tc>
            </w:tr>
            <w:tr w:rsidR="004A3321" w14:paraId="24DF0D92" w14:textId="77777777" w:rsidTr="004A3321">
              <w:tc>
                <w:tcPr>
                  <w:tcW w:w="833" w:type="dxa"/>
                  <w:vAlign w:val="center"/>
                </w:tcPr>
                <w:p w14:paraId="215DE8D4" w14:textId="7DC39CAA" w:rsidR="004A3321" w:rsidRDefault="004A3321" w:rsidP="00F73CE1">
                  <w:pPr>
                    <w:framePr w:hSpace="180" w:wrap="around" w:vAnchor="text" w:hAnchor="margin" w:x="-120" w:y="371"/>
                    <w:jc w:val="center"/>
                    <w:rPr>
                      <w:rFonts w:ascii="Times New Roman" w:hAnsi="Times New Roman"/>
                      <w:color w:val="000000"/>
                      <w:sz w:val="20"/>
                      <w:szCs w:val="20"/>
                    </w:rPr>
                  </w:pPr>
                  <w:r>
                    <w:rPr>
                      <w:rFonts w:ascii="Times New Roman" w:hAnsi="Times New Roman"/>
                      <w:color w:val="000000"/>
                      <w:sz w:val="20"/>
                      <w:szCs w:val="20"/>
                    </w:rPr>
                    <w:t>4648</w:t>
                  </w:r>
                </w:p>
              </w:tc>
              <w:tc>
                <w:tcPr>
                  <w:tcW w:w="1134" w:type="dxa"/>
                  <w:vAlign w:val="center"/>
                </w:tcPr>
                <w:p w14:paraId="2AB9E3DC" w14:textId="545E19F8" w:rsidR="004A3321" w:rsidRDefault="004A3321" w:rsidP="00F73CE1">
                  <w:pPr>
                    <w:framePr w:hSpace="180" w:wrap="around" w:vAnchor="text" w:hAnchor="margin" w:x="-120" w:y="371"/>
                    <w:ind w:right="-20"/>
                    <w:rPr>
                      <w:rFonts w:ascii="Times New Roman" w:hAnsi="Times New Roman"/>
                      <w:color w:val="000000"/>
                      <w:sz w:val="20"/>
                      <w:szCs w:val="20"/>
                    </w:rPr>
                  </w:pPr>
                  <w:r>
                    <w:rPr>
                      <w:rFonts w:ascii="Times New Roman" w:hAnsi="Times New Roman"/>
                      <w:color w:val="000000"/>
                      <w:sz w:val="20"/>
                      <w:szCs w:val="20"/>
                    </w:rPr>
                    <w:t>Pulksteņu un juvelierizstrādājumu vairumtirdzniecība</w:t>
                  </w:r>
                </w:p>
              </w:tc>
              <w:tc>
                <w:tcPr>
                  <w:tcW w:w="992" w:type="dxa"/>
                  <w:vAlign w:val="center"/>
                </w:tcPr>
                <w:p w14:paraId="38673667" w14:textId="391734CF" w:rsidR="004A3321" w:rsidRDefault="004A3321" w:rsidP="00F73CE1">
                  <w:pPr>
                    <w:framePr w:hSpace="180" w:wrap="around" w:vAnchor="text" w:hAnchor="margin" w:x="-120" w:y="371"/>
                    <w:ind w:left="-174" w:right="-37"/>
                    <w:jc w:val="center"/>
                    <w:rPr>
                      <w:rFonts w:ascii="Times New Roman" w:hAnsi="Times New Roman"/>
                      <w:color w:val="000000"/>
                      <w:sz w:val="20"/>
                      <w:szCs w:val="20"/>
                    </w:rPr>
                  </w:pPr>
                  <w:r>
                    <w:rPr>
                      <w:rFonts w:ascii="Times New Roman" w:hAnsi="Times New Roman"/>
                      <w:color w:val="000000"/>
                      <w:sz w:val="20"/>
                      <w:szCs w:val="20"/>
                    </w:rPr>
                    <w:t>85</w:t>
                  </w:r>
                </w:p>
              </w:tc>
              <w:tc>
                <w:tcPr>
                  <w:tcW w:w="961" w:type="dxa"/>
                  <w:vAlign w:val="center"/>
                </w:tcPr>
                <w:p w14:paraId="6A9EF232" w14:textId="4A51AA63" w:rsidR="004A3321" w:rsidRDefault="004A3321" w:rsidP="00F73CE1">
                  <w:pPr>
                    <w:framePr w:hSpace="180" w:wrap="around" w:vAnchor="text" w:hAnchor="margin" w:x="-120" w:y="371"/>
                    <w:ind w:right="-99"/>
                    <w:jc w:val="center"/>
                    <w:rPr>
                      <w:rFonts w:ascii="Times New Roman" w:hAnsi="Times New Roman"/>
                      <w:color w:val="000000"/>
                      <w:sz w:val="20"/>
                      <w:szCs w:val="20"/>
                    </w:rPr>
                  </w:pPr>
                  <w:r>
                    <w:rPr>
                      <w:rFonts w:ascii="Times New Roman" w:hAnsi="Times New Roman"/>
                      <w:color w:val="000000"/>
                      <w:sz w:val="20"/>
                      <w:szCs w:val="20"/>
                    </w:rPr>
                    <w:t>1</w:t>
                  </w:r>
                </w:p>
              </w:tc>
              <w:tc>
                <w:tcPr>
                  <w:tcW w:w="961" w:type="dxa"/>
                  <w:vAlign w:val="center"/>
                </w:tcPr>
                <w:p w14:paraId="6EBE4DC4" w14:textId="3A0272DB" w:rsidR="004A3321" w:rsidRDefault="004A3321" w:rsidP="00F73CE1">
                  <w:pPr>
                    <w:framePr w:hSpace="180" w:wrap="around" w:vAnchor="text" w:hAnchor="margin" w:x="-120" w:y="371"/>
                    <w:jc w:val="center"/>
                    <w:rPr>
                      <w:rFonts w:ascii="Times New Roman" w:hAnsi="Times New Roman"/>
                      <w:b/>
                      <w:bCs/>
                      <w:color w:val="000000"/>
                      <w:sz w:val="20"/>
                      <w:szCs w:val="20"/>
                    </w:rPr>
                  </w:pPr>
                  <w:r>
                    <w:rPr>
                      <w:rFonts w:ascii="Times New Roman" w:hAnsi="Times New Roman"/>
                      <w:b/>
                      <w:bCs/>
                      <w:color w:val="000000"/>
                      <w:sz w:val="20"/>
                      <w:szCs w:val="20"/>
                    </w:rPr>
                    <w:t>86</w:t>
                  </w:r>
                </w:p>
              </w:tc>
              <w:tc>
                <w:tcPr>
                  <w:tcW w:w="961" w:type="dxa"/>
                  <w:vAlign w:val="center"/>
                </w:tcPr>
                <w:p w14:paraId="15BA3DBC" w14:textId="0AFCFBB3" w:rsidR="004A3321" w:rsidRDefault="004A3321" w:rsidP="00F73CE1">
                  <w:pPr>
                    <w:framePr w:hSpace="180" w:wrap="around" w:vAnchor="text" w:hAnchor="margin" w:x="-120" w:y="371"/>
                    <w:ind w:right="9"/>
                    <w:jc w:val="center"/>
                    <w:rPr>
                      <w:rFonts w:ascii="Times New Roman" w:hAnsi="Times New Roman"/>
                      <w:color w:val="000000"/>
                      <w:sz w:val="20"/>
                      <w:szCs w:val="20"/>
                    </w:rPr>
                  </w:pPr>
                  <w:r>
                    <w:rPr>
                      <w:rFonts w:ascii="Times New Roman" w:hAnsi="Times New Roman"/>
                      <w:color w:val="000000"/>
                      <w:sz w:val="20"/>
                      <w:szCs w:val="20"/>
                    </w:rPr>
                    <w:t>52</w:t>
                  </w:r>
                </w:p>
              </w:tc>
            </w:tr>
            <w:tr w:rsidR="004A3321" w14:paraId="083FCAD7" w14:textId="77777777" w:rsidTr="004A3321">
              <w:tc>
                <w:tcPr>
                  <w:tcW w:w="833" w:type="dxa"/>
                  <w:vAlign w:val="center"/>
                </w:tcPr>
                <w:p w14:paraId="7429FE7E" w14:textId="6757959A" w:rsidR="004A3321" w:rsidRDefault="004A3321" w:rsidP="00F73CE1">
                  <w:pPr>
                    <w:framePr w:hSpace="180" w:wrap="around" w:vAnchor="text" w:hAnchor="margin" w:x="-120" w:y="371"/>
                    <w:jc w:val="center"/>
                    <w:rPr>
                      <w:rFonts w:ascii="Times New Roman" w:hAnsi="Times New Roman"/>
                      <w:color w:val="000000"/>
                      <w:sz w:val="20"/>
                      <w:szCs w:val="20"/>
                    </w:rPr>
                  </w:pPr>
                  <w:r>
                    <w:rPr>
                      <w:rFonts w:ascii="Times New Roman" w:hAnsi="Times New Roman"/>
                      <w:color w:val="000000"/>
                      <w:sz w:val="20"/>
                      <w:szCs w:val="20"/>
                    </w:rPr>
                    <w:t>4777</w:t>
                  </w:r>
                </w:p>
              </w:tc>
              <w:tc>
                <w:tcPr>
                  <w:tcW w:w="1134" w:type="dxa"/>
                  <w:vAlign w:val="center"/>
                </w:tcPr>
                <w:p w14:paraId="0A150CDB" w14:textId="2613112F" w:rsidR="004A3321" w:rsidRDefault="004A3321" w:rsidP="00F73CE1">
                  <w:pPr>
                    <w:framePr w:hSpace="180" w:wrap="around" w:vAnchor="text" w:hAnchor="margin" w:x="-120" w:y="371"/>
                    <w:ind w:right="-20"/>
                    <w:rPr>
                      <w:rFonts w:ascii="Times New Roman" w:hAnsi="Times New Roman"/>
                      <w:color w:val="000000"/>
                      <w:sz w:val="20"/>
                      <w:szCs w:val="20"/>
                    </w:rPr>
                  </w:pPr>
                  <w:r>
                    <w:rPr>
                      <w:rFonts w:ascii="Times New Roman" w:hAnsi="Times New Roman"/>
                      <w:color w:val="000000"/>
                      <w:sz w:val="20"/>
                      <w:szCs w:val="20"/>
                    </w:rPr>
                    <w:t>Pulksteņu un juvelierizstrādājumu mazumtirdzniecība specializētajos veikalos</w:t>
                  </w:r>
                </w:p>
              </w:tc>
              <w:tc>
                <w:tcPr>
                  <w:tcW w:w="992" w:type="dxa"/>
                  <w:vAlign w:val="center"/>
                </w:tcPr>
                <w:p w14:paraId="649AE262" w14:textId="4487028E" w:rsidR="004A3321" w:rsidRDefault="004A3321" w:rsidP="00F73CE1">
                  <w:pPr>
                    <w:framePr w:hSpace="180" w:wrap="around" w:vAnchor="text" w:hAnchor="margin" w:x="-120" w:y="371"/>
                    <w:ind w:left="-174" w:right="-37"/>
                    <w:jc w:val="center"/>
                    <w:rPr>
                      <w:rFonts w:ascii="Times New Roman" w:hAnsi="Times New Roman"/>
                      <w:color w:val="000000"/>
                      <w:sz w:val="20"/>
                      <w:szCs w:val="20"/>
                    </w:rPr>
                  </w:pPr>
                  <w:r>
                    <w:rPr>
                      <w:rFonts w:ascii="Times New Roman" w:hAnsi="Times New Roman"/>
                      <w:color w:val="000000"/>
                      <w:sz w:val="20"/>
                      <w:szCs w:val="20"/>
                    </w:rPr>
                    <w:t>167</w:t>
                  </w:r>
                </w:p>
              </w:tc>
              <w:tc>
                <w:tcPr>
                  <w:tcW w:w="961" w:type="dxa"/>
                  <w:vAlign w:val="center"/>
                </w:tcPr>
                <w:p w14:paraId="24EBA59E" w14:textId="0A79CA32" w:rsidR="004A3321" w:rsidRDefault="004A3321" w:rsidP="00F73CE1">
                  <w:pPr>
                    <w:framePr w:hSpace="180" w:wrap="around" w:vAnchor="text" w:hAnchor="margin" w:x="-120" w:y="371"/>
                    <w:ind w:right="-99"/>
                    <w:jc w:val="center"/>
                    <w:rPr>
                      <w:rFonts w:ascii="Times New Roman" w:hAnsi="Times New Roman"/>
                      <w:color w:val="000000"/>
                      <w:sz w:val="20"/>
                      <w:szCs w:val="20"/>
                    </w:rPr>
                  </w:pPr>
                  <w:r>
                    <w:rPr>
                      <w:rFonts w:ascii="Times New Roman" w:hAnsi="Times New Roman"/>
                      <w:color w:val="000000"/>
                      <w:sz w:val="20"/>
                      <w:szCs w:val="20"/>
                    </w:rPr>
                    <w:t>12</w:t>
                  </w:r>
                </w:p>
              </w:tc>
              <w:tc>
                <w:tcPr>
                  <w:tcW w:w="961" w:type="dxa"/>
                  <w:vAlign w:val="center"/>
                </w:tcPr>
                <w:p w14:paraId="7F3D53F8" w14:textId="7D4E9403" w:rsidR="004A3321" w:rsidRDefault="004A3321" w:rsidP="00F73CE1">
                  <w:pPr>
                    <w:framePr w:hSpace="180" w:wrap="around" w:vAnchor="text" w:hAnchor="margin" w:x="-120" w:y="371"/>
                    <w:jc w:val="center"/>
                    <w:rPr>
                      <w:rFonts w:ascii="Times New Roman" w:hAnsi="Times New Roman"/>
                      <w:b/>
                      <w:bCs/>
                      <w:color w:val="000000"/>
                      <w:sz w:val="20"/>
                      <w:szCs w:val="20"/>
                    </w:rPr>
                  </w:pPr>
                  <w:r>
                    <w:rPr>
                      <w:rFonts w:ascii="Times New Roman" w:hAnsi="Times New Roman"/>
                      <w:b/>
                      <w:bCs/>
                      <w:color w:val="000000"/>
                      <w:sz w:val="20"/>
                      <w:szCs w:val="20"/>
                    </w:rPr>
                    <w:t>179</w:t>
                  </w:r>
                </w:p>
              </w:tc>
              <w:tc>
                <w:tcPr>
                  <w:tcW w:w="961" w:type="dxa"/>
                  <w:vAlign w:val="center"/>
                </w:tcPr>
                <w:p w14:paraId="6ECB4C6C" w14:textId="4A912B9A" w:rsidR="004A3321" w:rsidRDefault="004A3321" w:rsidP="00F73CE1">
                  <w:pPr>
                    <w:framePr w:hSpace="180" w:wrap="around" w:vAnchor="text" w:hAnchor="margin" w:x="-120" w:y="371"/>
                    <w:ind w:right="9"/>
                    <w:jc w:val="center"/>
                    <w:rPr>
                      <w:rFonts w:ascii="Times New Roman" w:hAnsi="Times New Roman"/>
                      <w:color w:val="000000"/>
                      <w:sz w:val="20"/>
                      <w:szCs w:val="20"/>
                    </w:rPr>
                  </w:pPr>
                  <w:r>
                    <w:rPr>
                      <w:rFonts w:ascii="Times New Roman" w:hAnsi="Times New Roman"/>
                      <w:color w:val="000000"/>
                      <w:sz w:val="20"/>
                      <w:szCs w:val="20"/>
                    </w:rPr>
                    <w:t>105</w:t>
                  </w:r>
                </w:p>
              </w:tc>
            </w:tr>
            <w:tr w:rsidR="004A3321" w14:paraId="366E5F4C" w14:textId="77777777" w:rsidTr="004A3321">
              <w:tc>
                <w:tcPr>
                  <w:tcW w:w="833" w:type="dxa"/>
                  <w:vAlign w:val="center"/>
                </w:tcPr>
                <w:p w14:paraId="0FC2072C" w14:textId="4027226C" w:rsidR="004A3321" w:rsidRDefault="004A3321" w:rsidP="00F73CE1">
                  <w:pPr>
                    <w:framePr w:hSpace="180" w:wrap="around" w:vAnchor="text" w:hAnchor="margin" w:x="-120" w:y="371"/>
                    <w:jc w:val="center"/>
                    <w:rPr>
                      <w:rFonts w:ascii="Times New Roman" w:hAnsi="Times New Roman"/>
                      <w:color w:val="000000"/>
                      <w:sz w:val="20"/>
                      <w:szCs w:val="20"/>
                    </w:rPr>
                  </w:pPr>
                  <w:r>
                    <w:rPr>
                      <w:rFonts w:ascii="Times New Roman" w:hAnsi="Times New Roman"/>
                      <w:color w:val="000000"/>
                      <w:sz w:val="20"/>
                      <w:szCs w:val="20"/>
                    </w:rPr>
                    <w:t>9525</w:t>
                  </w:r>
                </w:p>
              </w:tc>
              <w:tc>
                <w:tcPr>
                  <w:tcW w:w="1134" w:type="dxa"/>
                  <w:vAlign w:val="center"/>
                </w:tcPr>
                <w:p w14:paraId="2199DCD5" w14:textId="386063C0" w:rsidR="004A3321" w:rsidRDefault="004A3321" w:rsidP="00F73CE1">
                  <w:pPr>
                    <w:framePr w:hSpace="180" w:wrap="around" w:vAnchor="text" w:hAnchor="margin" w:x="-120" w:y="371"/>
                    <w:ind w:right="-20"/>
                    <w:rPr>
                      <w:rFonts w:ascii="Times New Roman" w:hAnsi="Times New Roman"/>
                      <w:color w:val="000000"/>
                      <w:sz w:val="20"/>
                      <w:szCs w:val="20"/>
                    </w:rPr>
                  </w:pPr>
                  <w:r>
                    <w:rPr>
                      <w:rFonts w:ascii="Times New Roman" w:hAnsi="Times New Roman"/>
                      <w:color w:val="000000"/>
                      <w:sz w:val="20"/>
                      <w:szCs w:val="20"/>
                    </w:rPr>
                    <w:t>Pulksteņu un juvelierizstrādājumu remonts</w:t>
                  </w:r>
                </w:p>
              </w:tc>
              <w:tc>
                <w:tcPr>
                  <w:tcW w:w="992" w:type="dxa"/>
                  <w:vAlign w:val="center"/>
                </w:tcPr>
                <w:p w14:paraId="26B9938C" w14:textId="64DF9769" w:rsidR="004A3321" w:rsidRDefault="004A3321" w:rsidP="00F73CE1">
                  <w:pPr>
                    <w:framePr w:hSpace="180" w:wrap="around" w:vAnchor="text" w:hAnchor="margin" w:x="-120" w:y="371"/>
                    <w:ind w:left="-174" w:right="-37"/>
                    <w:jc w:val="center"/>
                    <w:rPr>
                      <w:rFonts w:ascii="Times New Roman" w:hAnsi="Times New Roman"/>
                      <w:color w:val="000000"/>
                      <w:sz w:val="20"/>
                      <w:szCs w:val="20"/>
                    </w:rPr>
                  </w:pPr>
                  <w:r>
                    <w:rPr>
                      <w:rFonts w:ascii="Times New Roman" w:hAnsi="Times New Roman"/>
                      <w:color w:val="000000"/>
                      <w:sz w:val="20"/>
                      <w:szCs w:val="20"/>
                    </w:rPr>
                    <w:t>38</w:t>
                  </w:r>
                </w:p>
              </w:tc>
              <w:tc>
                <w:tcPr>
                  <w:tcW w:w="961" w:type="dxa"/>
                  <w:vAlign w:val="center"/>
                </w:tcPr>
                <w:p w14:paraId="385E363B" w14:textId="70C08F1A" w:rsidR="004A3321" w:rsidRDefault="004A3321" w:rsidP="00F73CE1">
                  <w:pPr>
                    <w:framePr w:hSpace="180" w:wrap="around" w:vAnchor="text" w:hAnchor="margin" w:x="-120" w:y="371"/>
                    <w:ind w:right="-99"/>
                    <w:jc w:val="center"/>
                    <w:rPr>
                      <w:rFonts w:ascii="Times New Roman" w:hAnsi="Times New Roman"/>
                      <w:color w:val="000000"/>
                      <w:sz w:val="20"/>
                      <w:szCs w:val="20"/>
                    </w:rPr>
                  </w:pPr>
                  <w:r>
                    <w:rPr>
                      <w:rFonts w:ascii="Times New Roman" w:hAnsi="Times New Roman"/>
                      <w:color w:val="000000"/>
                      <w:sz w:val="20"/>
                      <w:szCs w:val="20"/>
                    </w:rPr>
                    <w:t>67</w:t>
                  </w:r>
                </w:p>
              </w:tc>
              <w:tc>
                <w:tcPr>
                  <w:tcW w:w="961" w:type="dxa"/>
                  <w:vAlign w:val="center"/>
                </w:tcPr>
                <w:p w14:paraId="11533D25" w14:textId="263ED13B" w:rsidR="004A3321" w:rsidRDefault="004A3321" w:rsidP="00F73CE1">
                  <w:pPr>
                    <w:framePr w:hSpace="180" w:wrap="around" w:vAnchor="text" w:hAnchor="margin" w:x="-120" w:y="371"/>
                    <w:jc w:val="center"/>
                    <w:rPr>
                      <w:rFonts w:ascii="Times New Roman" w:hAnsi="Times New Roman"/>
                      <w:b/>
                      <w:bCs/>
                      <w:color w:val="000000"/>
                      <w:sz w:val="20"/>
                      <w:szCs w:val="20"/>
                    </w:rPr>
                  </w:pPr>
                  <w:r>
                    <w:rPr>
                      <w:rFonts w:ascii="Times New Roman" w:hAnsi="Times New Roman"/>
                      <w:b/>
                      <w:bCs/>
                      <w:color w:val="000000"/>
                      <w:sz w:val="20"/>
                      <w:szCs w:val="20"/>
                    </w:rPr>
                    <w:t>105</w:t>
                  </w:r>
                </w:p>
              </w:tc>
              <w:tc>
                <w:tcPr>
                  <w:tcW w:w="961" w:type="dxa"/>
                  <w:vAlign w:val="center"/>
                </w:tcPr>
                <w:p w14:paraId="415D6166" w14:textId="52ED96C7" w:rsidR="004A3321" w:rsidRDefault="004A3321" w:rsidP="00F73CE1">
                  <w:pPr>
                    <w:framePr w:hSpace="180" w:wrap="around" w:vAnchor="text" w:hAnchor="margin" w:x="-120" w:y="371"/>
                    <w:ind w:right="9"/>
                    <w:jc w:val="center"/>
                    <w:rPr>
                      <w:rFonts w:ascii="Times New Roman" w:hAnsi="Times New Roman"/>
                      <w:color w:val="000000"/>
                      <w:sz w:val="20"/>
                      <w:szCs w:val="20"/>
                    </w:rPr>
                  </w:pPr>
                  <w:r>
                    <w:rPr>
                      <w:rFonts w:ascii="Times New Roman" w:hAnsi="Times New Roman"/>
                      <w:color w:val="000000"/>
                      <w:sz w:val="20"/>
                      <w:szCs w:val="20"/>
                    </w:rPr>
                    <w:t>10</w:t>
                  </w:r>
                </w:p>
              </w:tc>
            </w:tr>
            <w:tr w:rsidR="004A3321" w14:paraId="2BE8C81C" w14:textId="77777777" w:rsidTr="00B233FD">
              <w:tc>
                <w:tcPr>
                  <w:tcW w:w="1967" w:type="dxa"/>
                  <w:gridSpan w:val="2"/>
                  <w:vAlign w:val="center"/>
                </w:tcPr>
                <w:p w14:paraId="6FBD05A8" w14:textId="2E725CA1" w:rsidR="004A3321" w:rsidRPr="004A3321" w:rsidRDefault="004A3321" w:rsidP="00F73CE1">
                  <w:pPr>
                    <w:framePr w:hSpace="180" w:wrap="around" w:vAnchor="text" w:hAnchor="margin" w:x="-120" w:y="371"/>
                    <w:ind w:right="-20"/>
                    <w:jc w:val="center"/>
                    <w:rPr>
                      <w:rFonts w:ascii="Times New Roman" w:hAnsi="Times New Roman"/>
                      <w:b/>
                      <w:color w:val="000000"/>
                      <w:sz w:val="20"/>
                      <w:szCs w:val="20"/>
                    </w:rPr>
                  </w:pPr>
                  <w:r w:rsidRPr="004A3321">
                    <w:rPr>
                      <w:rFonts w:ascii="Times New Roman" w:hAnsi="Times New Roman"/>
                      <w:b/>
                      <w:color w:val="000000"/>
                      <w:sz w:val="20"/>
                      <w:szCs w:val="20"/>
                    </w:rPr>
                    <w:t>Kopā</w:t>
                  </w:r>
                </w:p>
              </w:tc>
              <w:tc>
                <w:tcPr>
                  <w:tcW w:w="992" w:type="dxa"/>
                  <w:vAlign w:val="center"/>
                </w:tcPr>
                <w:p w14:paraId="418EF11F" w14:textId="50E50CEC" w:rsidR="004A3321" w:rsidRDefault="004A3321" w:rsidP="00F73CE1">
                  <w:pPr>
                    <w:framePr w:hSpace="180" w:wrap="around" w:vAnchor="text" w:hAnchor="margin" w:x="-120" w:y="371"/>
                    <w:ind w:left="-174" w:right="-37"/>
                    <w:jc w:val="center"/>
                    <w:rPr>
                      <w:rFonts w:ascii="Times New Roman" w:hAnsi="Times New Roman"/>
                      <w:color w:val="000000"/>
                      <w:sz w:val="20"/>
                      <w:szCs w:val="20"/>
                    </w:rPr>
                  </w:pPr>
                  <w:r>
                    <w:rPr>
                      <w:rFonts w:ascii="Times New Roman" w:hAnsi="Times New Roman"/>
                      <w:b/>
                      <w:bCs/>
                      <w:color w:val="000000"/>
                      <w:sz w:val="20"/>
                      <w:szCs w:val="20"/>
                    </w:rPr>
                    <w:t>381</w:t>
                  </w:r>
                </w:p>
              </w:tc>
              <w:tc>
                <w:tcPr>
                  <w:tcW w:w="961" w:type="dxa"/>
                  <w:vAlign w:val="center"/>
                </w:tcPr>
                <w:p w14:paraId="23C50C1A" w14:textId="7E2DA361" w:rsidR="004A3321" w:rsidRDefault="004A3321" w:rsidP="00F73CE1">
                  <w:pPr>
                    <w:framePr w:hSpace="180" w:wrap="around" w:vAnchor="text" w:hAnchor="margin" w:x="-120" w:y="371"/>
                    <w:ind w:right="-99"/>
                    <w:jc w:val="center"/>
                    <w:rPr>
                      <w:rFonts w:ascii="Times New Roman" w:hAnsi="Times New Roman"/>
                      <w:color w:val="000000"/>
                      <w:sz w:val="20"/>
                      <w:szCs w:val="20"/>
                    </w:rPr>
                  </w:pPr>
                  <w:r>
                    <w:rPr>
                      <w:rFonts w:ascii="Times New Roman" w:hAnsi="Times New Roman"/>
                      <w:b/>
                      <w:bCs/>
                      <w:color w:val="000000"/>
                      <w:sz w:val="20"/>
                      <w:szCs w:val="20"/>
                    </w:rPr>
                    <w:t>264</w:t>
                  </w:r>
                </w:p>
              </w:tc>
              <w:tc>
                <w:tcPr>
                  <w:tcW w:w="961" w:type="dxa"/>
                  <w:vAlign w:val="center"/>
                </w:tcPr>
                <w:p w14:paraId="596E131E" w14:textId="37E1C4CA" w:rsidR="004A3321" w:rsidRDefault="004A3321" w:rsidP="00F73CE1">
                  <w:pPr>
                    <w:framePr w:hSpace="180" w:wrap="around" w:vAnchor="text" w:hAnchor="margin" w:x="-120" w:y="371"/>
                    <w:jc w:val="center"/>
                    <w:rPr>
                      <w:rFonts w:ascii="Times New Roman" w:hAnsi="Times New Roman"/>
                      <w:b/>
                      <w:bCs/>
                      <w:color w:val="000000"/>
                      <w:sz w:val="20"/>
                      <w:szCs w:val="20"/>
                    </w:rPr>
                  </w:pPr>
                  <w:r>
                    <w:rPr>
                      <w:rFonts w:ascii="Times New Roman" w:hAnsi="Times New Roman"/>
                      <w:b/>
                      <w:bCs/>
                      <w:color w:val="000000"/>
                      <w:sz w:val="20"/>
                      <w:szCs w:val="20"/>
                    </w:rPr>
                    <w:t>645</w:t>
                  </w:r>
                </w:p>
              </w:tc>
              <w:tc>
                <w:tcPr>
                  <w:tcW w:w="961" w:type="dxa"/>
                  <w:vAlign w:val="center"/>
                </w:tcPr>
                <w:p w14:paraId="20689FFF" w14:textId="77777777" w:rsidR="004A3321" w:rsidRDefault="004A3321" w:rsidP="00F73CE1">
                  <w:pPr>
                    <w:framePr w:hSpace="180" w:wrap="around" w:vAnchor="text" w:hAnchor="margin" w:x="-120" w:y="371"/>
                    <w:ind w:right="9"/>
                    <w:jc w:val="center"/>
                    <w:rPr>
                      <w:rFonts w:ascii="Times New Roman" w:hAnsi="Times New Roman"/>
                      <w:b/>
                      <w:bCs/>
                      <w:color w:val="000000"/>
                      <w:sz w:val="20"/>
                      <w:szCs w:val="20"/>
                    </w:rPr>
                  </w:pPr>
                </w:p>
                <w:p w14:paraId="2384D4BD" w14:textId="68CD209A" w:rsidR="004A3321" w:rsidRDefault="004A3321" w:rsidP="00F73CE1">
                  <w:pPr>
                    <w:framePr w:hSpace="180" w:wrap="around" w:vAnchor="text" w:hAnchor="margin" w:x="-120" w:y="371"/>
                    <w:ind w:right="9"/>
                    <w:jc w:val="center"/>
                    <w:rPr>
                      <w:rFonts w:ascii="Times New Roman" w:hAnsi="Times New Roman"/>
                      <w:b/>
                      <w:bCs/>
                      <w:color w:val="000000"/>
                      <w:sz w:val="20"/>
                      <w:szCs w:val="20"/>
                    </w:rPr>
                  </w:pPr>
                  <w:r>
                    <w:rPr>
                      <w:rFonts w:ascii="Times New Roman" w:hAnsi="Times New Roman"/>
                      <w:b/>
                      <w:bCs/>
                      <w:color w:val="000000"/>
                      <w:sz w:val="20"/>
                      <w:szCs w:val="20"/>
                    </w:rPr>
                    <w:t>198</w:t>
                  </w:r>
                </w:p>
                <w:p w14:paraId="6EE03F49" w14:textId="2CE33569" w:rsidR="004A3321" w:rsidRDefault="004A3321" w:rsidP="00F73CE1">
                  <w:pPr>
                    <w:framePr w:hSpace="180" w:wrap="around" w:vAnchor="text" w:hAnchor="margin" w:x="-120" w:y="371"/>
                    <w:ind w:right="9"/>
                    <w:jc w:val="center"/>
                    <w:rPr>
                      <w:rFonts w:ascii="Times New Roman" w:hAnsi="Times New Roman"/>
                      <w:color w:val="000000"/>
                      <w:sz w:val="20"/>
                      <w:szCs w:val="20"/>
                    </w:rPr>
                  </w:pPr>
                </w:p>
              </w:tc>
            </w:tr>
          </w:tbl>
          <w:p w14:paraId="5D5B5252" w14:textId="77777777" w:rsidR="00DD4ADF" w:rsidRDefault="00DD4ADF" w:rsidP="00F96936">
            <w:pPr>
              <w:spacing w:after="0" w:line="240" w:lineRule="auto"/>
              <w:ind w:right="261"/>
              <w:jc w:val="both"/>
              <w:rPr>
                <w:rFonts w:ascii="Times New Roman" w:hAnsi="Times New Roman"/>
                <w:sz w:val="24"/>
                <w:szCs w:val="24"/>
              </w:rPr>
            </w:pPr>
          </w:p>
          <w:p w14:paraId="10B268D4" w14:textId="6890FE9E" w:rsidR="0000180A" w:rsidRPr="0000180A" w:rsidRDefault="0000180A" w:rsidP="0000180A">
            <w:pPr>
              <w:spacing w:after="0" w:line="240" w:lineRule="auto"/>
              <w:ind w:left="125" w:right="142"/>
              <w:jc w:val="both"/>
              <w:rPr>
                <w:rFonts w:ascii="Times New Roman" w:eastAsia="Times New Roman" w:hAnsi="Times New Roman" w:cs="Times New Roman"/>
                <w:color w:val="000000"/>
                <w:sz w:val="24"/>
                <w:szCs w:val="24"/>
              </w:rPr>
            </w:pPr>
            <w:r w:rsidRPr="0000180A">
              <w:rPr>
                <w:rFonts w:ascii="Times New Roman" w:eastAsia="Times New Roman" w:hAnsi="Times New Roman" w:cs="Times New Roman"/>
                <w:color w:val="000000"/>
                <w:sz w:val="24"/>
                <w:szCs w:val="24"/>
              </w:rPr>
              <w:t>Latvijā darbojas 17 nodokļu maksātāji, kam pamatdarbības veida kods saskaņā ar Saimnieciskās darbības statistisko klasifikāciju Eiropas Kopienā (NACE 2. </w:t>
            </w:r>
            <w:proofErr w:type="spellStart"/>
            <w:r w:rsidRPr="0000180A">
              <w:rPr>
                <w:rFonts w:ascii="Times New Roman" w:eastAsia="Times New Roman" w:hAnsi="Times New Roman" w:cs="Times New Roman"/>
                <w:color w:val="000000"/>
                <w:sz w:val="24"/>
                <w:szCs w:val="24"/>
              </w:rPr>
              <w:t>red</w:t>
            </w:r>
            <w:proofErr w:type="spellEnd"/>
            <w:r w:rsidRPr="0000180A">
              <w:rPr>
                <w:rFonts w:ascii="Times New Roman" w:eastAsia="Times New Roman" w:hAnsi="Times New Roman" w:cs="Times New Roman"/>
                <w:color w:val="000000"/>
                <w:sz w:val="24"/>
                <w:szCs w:val="24"/>
              </w:rPr>
              <w:t>.) ir 3212, 3213, 4648, 4777 vai 9525 un kam ir piešķirta fiktīva uzņēmuma pazīme, un kas ir 4,5% no visiem iepriekš minēto nozaru uzņēmumiem jeb 0,2% no kopējā fiktīvo uzņēmumu skaita. Jāatzīmē, ka vislielākais fiktīvo uzņēmumu skaits ir pulksteņu un juvelierizstrādājumu vairumtirdzniecības nozarē – 7 uzņēmumiem piešķirta fiktīva uzņēmuma pazīme, savukārt pulksteņu un juvelierizstrādājumu mazumtirdzniecības specializētajos veikalos nozares nodokļu maksātājiem fiktīva uzņēmumu pa</w:t>
            </w:r>
            <w:r>
              <w:rPr>
                <w:rFonts w:ascii="Times New Roman" w:eastAsia="Times New Roman" w:hAnsi="Times New Roman" w:cs="Times New Roman"/>
                <w:color w:val="000000"/>
                <w:sz w:val="24"/>
                <w:szCs w:val="24"/>
              </w:rPr>
              <w:t>zīme ir piešķirta 4 uzņēmumiem.</w:t>
            </w:r>
          </w:p>
          <w:p w14:paraId="50A88B1A" w14:textId="77777777" w:rsidR="00DD4ADF" w:rsidRDefault="0000180A" w:rsidP="0000180A">
            <w:pPr>
              <w:spacing w:after="0" w:line="240" w:lineRule="auto"/>
              <w:ind w:left="125" w:right="142"/>
              <w:jc w:val="both"/>
              <w:rPr>
                <w:rFonts w:ascii="Times New Roman" w:hAnsi="Times New Roman"/>
                <w:i/>
                <w:iCs/>
                <w:sz w:val="24"/>
                <w:szCs w:val="24"/>
              </w:rPr>
            </w:pPr>
            <w:r w:rsidRPr="0000180A">
              <w:rPr>
                <w:rFonts w:ascii="Times New Roman" w:eastAsia="Times New Roman" w:hAnsi="Times New Roman" w:cs="Times New Roman"/>
                <w:color w:val="000000"/>
                <w:sz w:val="24"/>
                <w:szCs w:val="24"/>
              </w:rPr>
              <w:t>2015. gadā PVN deklarācijas</w:t>
            </w:r>
            <w:r>
              <w:rPr>
                <w:rFonts w:ascii="Times New Roman" w:hAnsi="Times New Roman"/>
                <w:sz w:val="24"/>
                <w:szCs w:val="24"/>
              </w:rPr>
              <w:t xml:space="preserve"> priekšnodokļa aprēķinos darījumu partnerus ar fiktīva uzņēmuma pazīmi ir iekļāvuši 9 nozaru uzņēmumi par summu 2,1 milj. </w:t>
            </w:r>
            <w:proofErr w:type="spellStart"/>
            <w:r>
              <w:rPr>
                <w:rFonts w:ascii="Times New Roman" w:hAnsi="Times New Roman"/>
                <w:i/>
                <w:iCs/>
                <w:sz w:val="24"/>
                <w:szCs w:val="24"/>
              </w:rPr>
              <w:t>euro</w:t>
            </w:r>
            <w:proofErr w:type="spellEnd"/>
            <w:r>
              <w:rPr>
                <w:rFonts w:ascii="Times New Roman" w:hAnsi="Times New Roman"/>
                <w:sz w:val="24"/>
                <w:szCs w:val="24"/>
              </w:rPr>
              <w:t xml:space="preserve">, kas ir par 83,2% jeb 0,9 milj. </w:t>
            </w:r>
            <w:proofErr w:type="spellStart"/>
            <w:r>
              <w:rPr>
                <w:rFonts w:ascii="Times New Roman" w:hAnsi="Times New Roman"/>
                <w:i/>
                <w:iCs/>
                <w:sz w:val="24"/>
                <w:szCs w:val="24"/>
              </w:rPr>
              <w:t>euro</w:t>
            </w:r>
            <w:proofErr w:type="spellEnd"/>
            <w:r>
              <w:rPr>
                <w:rFonts w:ascii="Times New Roman" w:hAnsi="Times New Roman"/>
                <w:sz w:val="24"/>
                <w:szCs w:val="24"/>
              </w:rPr>
              <w:t xml:space="preserve"> vairāk nekā 2014. gadā. 2015. gadā nepamatoti palielināts priekšnodoklis un no budžeta atmaksājamā PVN summa vairāk ir konstatēta pulksteņu un juvelierizstrādājumu vairumtirdzniecības nozarē, kur darījumi ar fiktīvajiem uzņēmumiem ir 5 nozares uzņēmumiem 1,2 milj. </w:t>
            </w:r>
            <w:proofErr w:type="spellStart"/>
            <w:r>
              <w:rPr>
                <w:rFonts w:ascii="Times New Roman" w:hAnsi="Times New Roman"/>
                <w:i/>
                <w:iCs/>
                <w:sz w:val="24"/>
                <w:szCs w:val="24"/>
              </w:rPr>
              <w:t>euro</w:t>
            </w:r>
            <w:proofErr w:type="spellEnd"/>
            <w:r>
              <w:rPr>
                <w:rFonts w:ascii="Times New Roman" w:hAnsi="Times New Roman"/>
                <w:sz w:val="24"/>
                <w:szCs w:val="24"/>
              </w:rPr>
              <w:t xml:space="preserve"> apmērā. Savukārt 2016. gada sešos mēnešos PVN deklarācijas priekšnodokļa aprēķinos darījumu partnerus ar fiktīva uzņēmuma pazīmi ir iekļāvis viens uzņēmums par summu 0,1 milj. </w:t>
            </w:r>
            <w:proofErr w:type="spellStart"/>
            <w:r>
              <w:rPr>
                <w:rFonts w:ascii="Times New Roman" w:hAnsi="Times New Roman"/>
                <w:i/>
                <w:iCs/>
                <w:sz w:val="24"/>
                <w:szCs w:val="24"/>
              </w:rPr>
              <w:t>euro</w:t>
            </w:r>
            <w:proofErr w:type="spellEnd"/>
            <w:r>
              <w:rPr>
                <w:rFonts w:ascii="Times New Roman" w:hAnsi="Times New Roman"/>
                <w:i/>
                <w:iCs/>
                <w:sz w:val="24"/>
                <w:szCs w:val="24"/>
              </w:rPr>
              <w:t xml:space="preserve">, </w:t>
            </w:r>
            <w:r>
              <w:rPr>
                <w:rFonts w:ascii="Times New Roman" w:hAnsi="Times New Roman"/>
                <w:sz w:val="24"/>
                <w:szCs w:val="24"/>
              </w:rPr>
              <w:t>kas ir par</w:t>
            </w:r>
            <w:r>
              <w:rPr>
                <w:rFonts w:ascii="Times New Roman" w:hAnsi="Times New Roman"/>
                <w:i/>
                <w:iCs/>
                <w:sz w:val="24"/>
                <w:szCs w:val="24"/>
              </w:rPr>
              <w:t xml:space="preserve"> </w:t>
            </w:r>
            <w:r>
              <w:rPr>
                <w:rFonts w:ascii="Times New Roman" w:hAnsi="Times New Roman"/>
                <w:sz w:val="24"/>
                <w:szCs w:val="24"/>
              </w:rPr>
              <w:t xml:space="preserve">88,9% jeb 1,1 milj. </w:t>
            </w:r>
            <w:proofErr w:type="spellStart"/>
            <w:r>
              <w:rPr>
                <w:rFonts w:ascii="Times New Roman" w:hAnsi="Times New Roman"/>
                <w:i/>
                <w:iCs/>
                <w:sz w:val="24"/>
                <w:szCs w:val="24"/>
              </w:rPr>
              <w:t>euro</w:t>
            </w:r>
            <w:proofErr w:type="spellEnd"/>
            <w:r>
              <w:rPr>
                <w:rFonts w:ascii="Times New Roman" w:hAnsi="Times New Roman"/>
                <w:sz w:val="24"/>
                <w:szCs w:val="24"/>
              </w:rPr>
              <w:t xml:space="preserve"> mazāk nekā 2015.gada attiecīgajā periodā</w:t>
            </w:r>
            <w:r>
              <w:rPr>
                <w:rFonts w:ascii="Times New Roman" w:hAnsi="Times New Roman"/>
                <w:i/>
                <w:iCs/>
                <w:sz w:val="24"/>
                <w:szCs w:val="24"/>
              </w:rPr>
              <w:t>.</w:t>
            </w:r>
          </w:p>
          <w:p w14:paraId="5078F2AB" w14:textId="341BECBA" w:rsidR="00907495" w:rsidRPr="00A7675C" w:rsidRDefault="00907495" w:rsidP="0000180A">
            <w:pPr>
              <w:spacing w:after="0" w:line="240" w:lineRule="auto"/>
              <w:ind w:left="125" w:right="142"/>
              <w:jc w:val="both"/>
              <w:rPr>
                <w:rFonts w:ascii="Times New Roman" w:hAnsi="Times New Roman" w:cs="Times New Roman"/>
                <w:b/>
                <w:sz w:val="24"/>
                <w:szCs w:val="24"/>
              </w:rPr>
            </w:pPr>
          </w:p>
        </w:tc>
      </w:tr>
    </w:tbl>
    <w:p w14:paraId="1E71F111" w14:textId="77777777" w:rsidR="006F6EFB" w:rsidRDefault="006F6EFB" w:rsidP="00171D36">
      <w:pPr>
        <w:spacing w:after="0" w:line="240" w:lineRule="auto"/>
        <w:rPr>
          <w:rFonts w:ascii="Times New Roman" w:hAnsi="Times New Roman" w:cs="Times New Roman"/>
          <w:sz w:val="24"/>
          <w:szCs w:val="24"/>
        </w:rPr>
      </w:pPr>
    </w:p>
    <w:p w14:paraId="38D06C39" w14:textId="77777777" w:rsidR="008A1E0B" w:rsidRPr="00A7675C" w:rsidRDefault="008A1E0B" w:rsidP="00171D36">
      <w:pPr>
        <w:spacing w:after="0" w:line="240" w:lineRule="auto"/>
        <w:rPr>
          <w:rFonts w:ascii="Times New Roman" w:hAnsi="Times New Roman" w:cs="Times New Roman"/>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544"/>
        <w:gridCol w:w="5968"/>
      </w:tblGrid>
      <w:tr w:rsidR="00DA6C86" w:rsidRPr="00A7675C" w14:paraId="0D71DA89" w14:textId="77777777" w:rsidTr="008A1E0B">
        <w:trPr>
          <w:trHeight w:val="461"/>
          <w:jc w:val="center"/>
        </w:trPr>
        <w:tc>
          <w:tcPr>
            <w:tcW w:w="8926" w:type="dxa"/>
            <w:gridSpan w:val="3"/>
            <w:vAlign w:val="center"/>
          </w:tcPr>
          <w:p w14:paraId="1439EE26" w14:textId="77777777" w:rsidR="00DA6C86" w:rsidRPr="00A7675C" w:rsidRDefault="00171D36" w:rsidP="00171D36">
            <w:pPr>
              <w:pStyle w:val="naisnod"/>
              <w:spacing w:before="0" w:beforeAutospacing="0" w:after="0" w:afterAutospacing="0"/>
              <w:jc w:val="center"/>
              <w:rPr>
                <w:b/>
              </w:rPr>
            </w:pPr>
            <w:r w:rsidRPr="00A7675C">
              <w:br w:type="page"/>
            </w:r>
            <w:r w:rsidR="00DA6C86" w:rsidRPr="00A7675C">
              <w:rPr>
                <w:b/>
              </w:rPr>
              <w:t>IV. Tiesību akta projekta ietekme uz spēkā esošo tiesību normu sistēmu</w:t>
            </w:r>
          </w:p>
        </w:tc>
      </w:tr>
      <w:tr w:rsidR="00DA6C86" w:rsidRPr="00A7675C" w14:paraId="534804CB" w14:textId="77777777" w:rsidTr="008A1E0B">
        <w:trPr>
          <w:jc w:val="center"/>
        </w:trPr>
        <w:tc>
          <w:tcPr>
            <w:tcW w:w="414" w:type="dxa"/>
          </w:tcPr>
          <w:p w14:paraId="63D96C1F"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1.</w:t>
            </w:r>
          </w:p>
        </w:tc>
        <w:tc>
          <w:tcPr>
            <w:tcW w:w="2544" w:type="dxa"/>
          </w:tcPr>
          <w:p w14:paraId="2715BD80" w14:textId="77777777" w:rsidR="00DA6C86" w:rsidRPr="00A7675C" w:rsidRDefault="00DA6C86" w:rsidP="00171D36">
            <w:pPr>
              <w:pStyle w:val="naiskr"/>
              <w:tabs>
                <w:tab w:val="left" w:pos="2628"/>
              </w:tabs>
              <w:spacing w:before="0" w:beforeAutospacing="0" w:after="0" w:afterAutospacing="0"/>
              <w:jc w:val="both"/>
              <w:rPr>
                <w:iCs/>
              </w:rPr>
            </w:pPr>
            <w:r w:rsidRPr="00A7675C">
              <w:t>Nepieciešamie saistītie tiesību aktu projekti</w:t>
            </w:r>
          </w:p>
        </w:tc>
        <w:tc>
          <w:tcPr>
            <w:tcW w:w="5968" w:type="dxa"/>
          </w:tcPr>
          <w:p w14:paraId="4EFCCCC2" w14:textId="0C88F5B2" w:rsidR="007B22B0" w:rsidRPr="00A7675C" w:rsidRDefault="001001E5" w:rsidP="00560BAA">
            <w:pPr>
              <w:shd w:val="clear" w:color="auto" w:fill="FFFFFF"/>
              <w:spacing w:after="0" w:line="240" w:lineRule="auto"/>
              <w:jc w:val="both"/>
              <w:rPr>
                <w:b/>
                <w:sz w:val="24"/>
                <w:szCs w:val="24"/>
              </w:rPr>
            </w:pPr>
            <w:r w:rsidRPr="00A7675C">
              <w:rPr>
                <w:rFonts w:ascii="Times New Roman" w:hAnsi="Times New Roman" w:cs="Times New Roman"/>
                <w:sz w:val="24"/>
                <w:szCs w:val="24"/>
              </w:rPr>
              <w:t xml:space="preserve">Finanšu ministrija (VID) </w:t>
            </w:r>
            <w:r w:rsidR="007B22B0" w:rsidRPr="00A7675C">
              <w:rPr>
                <w:rFonts w:ascii="Times New Roman" w:hAnsi="Times New Roman" w:cs="Times New Roman"/>
                <w:sz w:val="24"/>
                <w:szCs w:val="24"/>
              </w:rPr>
              <w:t xml:space="preserve">nodrošina, ka tiks izstrādāti grozījumi </w:t>
            </w:r>
            <w:r w:rsidR="004567C1" w:rsidRPr="00A7675C">
              <w:rPr>
                <w:rFonts w:ascii="Times New Roman" w:hAnsi="Times New Roman" w:cs="Times New Roman"/>
                <w:sz w:val="24"/>
                <w:szCs w:val="24"/>
              </w:rPr>
              <w:t>Ministru kabineta 2013.gada 15.janvāra noteikumos Nr.40 “Noteikumi par pievienotās vērtības nodokļa deklarācijām”</w:t>
            </w:r>
            <w:r w:rsidR="007B22B0" w:rsidRPr="00A7675C">
              <w:rPr>
                <w:rFonts w:ascii="Times New Roman" w:hAnsi="Times New Roman" w:cs="Times New Roman"/>
                <w:sz w:val="24"/>
                <w:szCs w:val="24"/>
              </w:rPr>
              <w:t>,</w:t>
            </w:r>
            <w:r w:rsidR="00A50455" w:rsidRPr="00A7675C">
              <w:rPr>
                <w:rFonts w:ascii="Times New Roman" w:hAnsi="Times New Roman" w:cs="Times New Roman"/>
                <w:sz w:val="24"/>
                <w:szCs w:val="24"/>
              </w:rPr>
              <w:t xml:space="preserve"> grozot PVN deklarācij</w:t>
            </w:r>
            <w:r w:rsidR="00CC37D5" w:rsidRPr="00A7675C">
              <w:rPr>
                <w:rFonts w:ascii="Times New Roman" w:hAnsi="Times New Roman" w:cs="Times New Roman"/>
                <w:sz w:val="24"/>
                <w:szCs w:val="24"/>
              </w:rPr>
              <w:t xml:space="preserve">as pielikumus attiecībā uz </w:t>
            </w:r>
            <w:r w:rsidR="00CC37D5" w:rsidRPr="00A7675C">
              <w:rPr>
                <w:rFonts w:ascii="Times New Roman" w:hAnsi="Times New Roman" w:cs="Times New Roman"/>
                <w:sz w:val="24"/>
                <w:szCs w:val="24"/>
                <w:lang w:eastAsia="en-US"/>
              </w:rPr>
              <w:t xml:space="preserve">PVN </w:t>
            </w:r>
            <w:r w:rsidR="00560BAA" w:rsidRPr="00A7675C">
              <w:rPr>
                <w:rFonts w:ascii="Times New Roman" w:hAnsi="Times New Roman" w:cs="Times New Roman"/>
                <w:sz w:val="24"/>
                <w:szCs w:val="24"/>
                <w:lang w:eastAsia="en-US"/>
              </w:rPr>
              <w:t xml:space="preserve">apgrieztā </w:t>
            </w:r>
            <w:r w:rsidR="00CC37D5" w:rsidRPr="00A7675C">
              <w:rPr>
                <w:rFonts w:ascii="Times New Roman" w:hAnsi="Times New Roman" w:cs="Times New Roman"/>
                <w:sz w:val="24"/>
                <w:szCs w:val="24"/>
                <w:lang w:eastAsia="en-US"/>
              </w:rPr>
              <w:t>maksāšanas kārtībā veikto</w:t>
            </w:r>
            <w:r w:rsidR="005E532F">
              <w:rPr>
                <w:rFonts w:ascii="Times New Roman" w:hAnsi="Times New Roman" w:cs="Times New Roman"/>
                <w:sz w:val="24"/>
                <w:szCs w:val="24"/>
              </w:rPr>
              <w:t xml:space="preserve"> </w:t>
            </w:r>
            <w:r w:rsidR="00CC37D5" w:rsidRPr="00A7675C">
              <w:rPr>
                <w:rFonts w:ascii="Times New Roman" w:hAnsi="Times New Roman" w:cs="Times New Roman"/>
                <w:sz w:val="24"/>
                <w:szCs w:val="24"/>
              </w:rPr>
              <w:t>darījumu atšifrēšanu.</w:t>
            </w:r>
          </w:p>
        </w:tc>
      </w:tr>
      <w:tr w:rsidR="00DA6C86" w:rsidRPr="00A7675C" w14:paraId="4A71BB43" w14:textId="77777777" w:rsidTr="008A1E0B">
        <w:trPr>
          <w:jc w:val="center"/>
        </w:trPr>
        <w:tc>
          <w:tcPr>
            <w:tcW w:w="414" w:type="dxa"/>
          </w:tcPr>
          <w:p w14:paraId="0CECC32E"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2.</w:t>
            </w:r>
          </w:p>
        </w:tc>
        <w:tc>
          <w:tcPr>
            <w:tcW w:w="2544" w:type="dxa"/>
          </w:tcPr>
          <w:p w14:paraId="7208709C" w14:textId="77777777" w:rsidR="00DA6C86" w:rsidRPr="00A7675C" w:rsidRDefault="00DA6C86" w:rsidP="00171D36">
            <w:pPr>
              <w:pStyle w:val="naiskr"/>
              <w:tabs>
                <w:tab w:val="left" w:pos="2628"/>
              </w:tabs>
              <w:spacing w:before="0" w:beforeAutospacing="0" w:after="0" w:afterAutospacing="0"/>
              <w:jc w:val="both"/>
            </w:pPr>
            <w:r w:rsidRPr="00A7675C">
              <w:t>Atbildīgā institūcija</w:t>
            </w:r>
          </w:p>
        </w:tc>
        <w:tc>
          <w:tcPr>
            <w:tcW w:w="5968" w:type="dxa"/>
          </w:tcPr>
          <w:p w14:paraId="2C94258F" w14:textId="40C267AA" w:rsidR="004822D6" w:rsidRPr="00A7675C" w:rsidRDefault="00B865E0" w:rsidP="004822D6">
            <w:pPr>
              <w:shd w:val="clear" w:color="auto" w:fill="FFFFFF"/>
              <w:spacing w:after="0" w:line="240" w:lineRule="auto"/>
              <w:jc w:val="both"/>
              <w:rPr>
                <w:rFonts w:ascii="Times New Roman" w:hAnsi="Times New Roman" w:cs="Times New Roman"/>
                <w:sz w:val="24"/>
                <w:szCs w:val="24"/>
              </w:rPr>
            </w:pPr>
            <w:r w:rsidRPr="00A7675C">
              <w:rPr>
                <w:rFonts w:ascii="Times New Roman" w:hAnsi="Times New Roman" w:cs="Times New Roman"/>
                <w:sz w:val="24"/>
                <w:szCs w:val="24"/>
              </w:rPr>
              <w:t>Finanšu ministrija</w:t>
            </w:r>
          </w:p>
        </w:tc>
      </w:tr>
      <w:tr w:rsidR="00DA6C86" w:rsidRPr="00A7675C" w14:paraId="718134C9" w14:textId="77777777" w:rsidTr="008A1E0B">
        <w:trPr>
          <w:jc w:val="center"/>
        </w:trPr>
        <w:tc>
          <w:tcPr>
            <w:tcW w:w="414" w:type="dxa"/>
          </w:tcPr>
          <w:p w14:paraId="0829CACA" w14:textId="77777777" w:rsidR="00DA6C86" w:rsidRPr="00A7675C" w:rsidRDefault="00DA6C86" w:rsidP="00171D36">
            <w:pPr>
              <w:pStyle w:val="naiskr"/>
              <w:tabs>
                <w:tab w:val="left" w:pos="2628"/>
              </w:tabs>
              <w:spacing w:before="0" w:beforeAutospacing="0" w:after="0" w:afterAutospacing="0"/>
              <w:jc w:val="both"/>
              <w:rPr>
                <w:iCs/>
              </w:rPr>
            </w:pPr>
            <w:r w:rsidRPr="00A7675C">
              <w:rPr>
                <w:iCs/>
              </w:rPr>
              <w:t>3.</w:t>
            </w:r>
          </w:p>
        </w:tc>
        <w:tc>
          <w:tcPr>
            <w:tcW w:w="2544" w:type="dxa"/>
          </w:tcPr>
          <w:p w14:paraId="46556BDE" w14:textId="77777777" w:rsidR="00DA6C86" w:rsidRPr="00A7675C" w:rsidRDefault="00DA6C86" w:rsidP="00171D36">
            <w:pPr>
              <w:pStyle w:val="naiskr"/>
              <w:tabs>
                <w:tab w:val="left" w:pos="2628"/>
              </w:tabs>
              <w:spacing w:before="0" w:beforeAutospacing="0" w:after="0" w:afterAutospacing="0"/>
              <w:jc w:val="both"/>
              <w:rPr>
                <w:iCs/>
              </w:rPr>
            </w:pPr>
            <w:r w:rsidRPr="00A7675C">
              <w:t>Cita informācija</w:t>
            </w:r>
          </w:p>
        </w:tc>
        <w:tc>
          <w:tcPr>
            <w:tcW w:w="5968" w:type="dxa"/>
          </w:tcPr>
          <w:p w14:paraId="5617FE3C" w14:textId="128ECE7E" w:rsidR="001001E5" w:rsidRPr="00A7675C" w:rsidRDefault="002546D2" w:rsidP="00CF307E">
            <w:pPr>
              <w:pStyle w:val="naiskr"/>
              <w:tabs>
                <w:tab w:val="left" w:pos="2628"/>
              </w:tabs>
              <w:spacing w:before="0" w:beforeAutospacing="0" w:after="0" w:afterAutospacing="0"/>
              <w:jc w:val="both"/>
              <w:rPr>
                <w:iCs/>
              </w:rPr>
            </w:pPr>
            <w:r w:rsidRPr="00A7675C">
              <w:rPr>
                <w:iCs/>
              </w:rPr>
              <w:t>Nav</w:t>
            </w:r>
          </w:p>
        </w:tc>
      </w:tr>
    </w:tbl>
    <w:p w14:paraId="0DC9F2C7" w14:textId="77777777" w:rsidR="005E4388" w:rsidRDefault="005E4388" w:rsidP="00171D36">
      <w:pPr>
        <w:spacing w:after="0" w:line="240" w:lineRule="auto"/>
        <w:rPr>
          <w:rFonts w:ascii="Times New Roman" w:hAnsi="Times New Roman" w:cs="Times New Roman"/>
          <w:sz w:val="24"/>
          <w:szCs w:val="24"/>
        </w:rPr>
      </w:pPr>
    </w:p>
    <w:p w14:paraId="30B63508" w14:textId="77777777" w:rsidR="00423D32" w:rsidRDefault="00423D32" w:rsidP="00171D36">
      <w:pPr>
        <w:spacing w:after="0" w:line="240" w:lineRule="auto"/>
        <w:rPr>
          <w:rFonts w:ascii="Times New Roman" w:hAnsi="Times New Roman" w:cs="Times New Roman"/>
          <w:sz w:val="24"/>
          <w:szCs w:val="24"/>
        </w:rPr>
      </w:pPr>
    </w:p>
    <w:p w14:paraId="6E96FCB4" w14:textId="77777777" w:rsidR="004B26D8" w:rsidRPr="00A7675C" w:rsidRDefault="004B26D8" w:rsidP="00171D36">
      <w:pPr>
        <w:spacing w:after="0" w:line="240" w:lineRule="auto"/>
        <w:rPr>
          <w:rFonts w:ascii="Times New Roman" w:hAnsi="Times New Roman" w:cs="Times New Roman"/>
          <w:sz w:val="24"/>
          <w:szCs w:val="24"/>
        </w:rPr>
      </w:pPr>
    </w:p>
    <w:tbl>
      <w:tblPr>
        <w:tblW w:w="900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30"/>
        <w:gridCol w:w="1713"/>
        <w:gridCol w:w="1016"/>
        <w:gridCol w:w="299"/>
        <w:gridCol w:w="646"/>
        <w:gridCol w:w="134"/>
        <w:gridCol w:w="910"/>
        <w:gridCol w:w="903"/>
        <w:gridCol w:w="2985"/>
      </w:tblGrid>
      <w:tr w:rsidR="00DA6C86" w:rsidRPr="00A7675C" w14:paraId="7952D64E" w14:textId="77777777" w:rsidTr="00F96936">
        <w:trPr>
          <w:jc w:val="center"/>
        </w:trPr>
        <w:tc>
          <w:tcPr>
            <w:tcW w:w="9003" w:type="dxa"/>
            <w:gridSpan w:val="9"/>
            <w:tcBorders>
              <w:top w:val="outset" w:sz="6" w:space="0" w:color="auto"/>
              <w:left w:val="outset" w:sz="6" w:space="0" w:color="auto"/>
              <w:bottom w:val="outset" w:sz="6" w:space="0" w:color="auto"/>
              <w:right w:val="outset" w:sz="6" w:space="0" w:color="auto"/>
            </w:tcBorders>
            <w:vAlign w:val="center"/>
          </w:tcPr>
          <w:p w14:paraId="2DB0F925" w14:textId="77777777" w:rsidR="00DA6C86" w:rsidRPr="00A7675C" w:rsidRDefault="00DA6C86" w:rsidP="00171D36">
            <w:pPr>
              <w:spacing w:after="0" w:line="240" w:lineRule="auto"/>
              <w:jc w:val="center"/>
              <w:rPr>
                <w:rFonts w:ascii="Times New Roman" w:hAnsi="Times New Roman" w:cs="Times New Roman"/>
                <w:b/>
                <w:sz w:val="24"/>
                <w:szCs w:val="24"/>
              </w:rPr>
            </w:pPr>
            <w:r w:rsidRPr="00A7675C">
              <w:rPr>
                <w:rFonts w:ascii="Times New Roman" w:hAnsi="Times New Roman" w:cs="Times New Roman"/>
                <w:b/>
                <w:sz w:val="24"/>
                <w:szCs w:val="24"/>
              </w:rPr>
              <w:t>V. Tiesību akta projekta atbilstība Latvijas Republikas starptautiskajām saistībām</w:t>
            </w:r>
          </w:p>
        </w:tc>
      </w:tr>
      <w:tr w:rsidR="00E86DB5" w:rsidRPr="00E86DB5" w14:paraId="20B3C9B7" w14:textId="77777777" w:rsidTr="00F96936">
        <w:trPr>
          <w:jc w:val="center"/>
        </w:trPr>
        <w:tc>
          <w:tcPr>
            <w:tcW w:w="496" w:type="dxa"/>
            <w:tcBorders>
              <w:top w:val="outset" w:sz="6" w:space="0" w:color="auto"/>
              <w:left w:val="outset" w:sz="6" w:space="0" w:color="auto"/>
              <w:bottom w:val="outset" w:sz="6" w:space="0" w:color="auto"/>
              <w:right w:val="outset" w:sz="6" w:space="0" w:color="auto"/>
            </w:tcBorders>
          </w:tcPr>
          <w:p w14:paraId="79F474AE"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1.</w:t>
            </w:r>
          </w:p>
        </w:tc>
        <w:tc>
          <w:tcPr>
            <w:tcW w:w="2817" w:type="dxa"/>
            <w:gridSpan w:val="3"/>
            <w:tcBorders>
              <w:top w:val="outset" w:sz="6" w:space="0" w:color="auto"/>
              <w:left w:val="outset" w:sz="6" w:space="0" w:color="auto"/>
              <w:bottom w:val="outset" w:sz="6" w:space="0" w:color="auto"/>
              <w:right w:val="outset" w:sz="6" w:space="0" w:color="auto"/>
            </w:tcBorders>
          </w:tcPr>
          <w:p w14:paraId="322D2B47"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Saistības pret Eiropas Savienību</w:t>
            </w:r>
          </w:p>
        </w:tc>
        <w:tc>
          <w:tcPr>
            <w:tcW w:w="5690" w:type="dxa"/>
            <w:gridSpan w:val="5"/>
            <w:tcBorders>
              <w:top w:val="outset" w:sz="6" w:space="0" w:color="auto"/>
              <w:left w:val="outset" w:sz="6" w:space="0" w:color="auto"/>
              <w:bottom w:val="outset" w:sz="6" w:space="0" w:color="auto"/>
              <w:right w:val="outset" w:sz="6" w:space="0" w:color="auto"/>
            </w:tcBorders>
          </w:tcPr>
          <w:p w14:paraId="6D79A279" w14:textId="793DD352" w:rsidR="00A256F6" w:rsidRPr="00976EB4" w:rsidRDefault="00A256F6" w:rsidP="002327F8">
            <w:pPr>
              <w:pStyle w:val="Default"/>
              <w:ind w:right="130"/>
              <w:jc w:val="both"/>
              <w:rPr>
                <w:rFonts w:ascii="Times New Roman" w:hAnsi="Times New Roman" w:cs="Times New Roman"/>
                <w:snapToGrid w:val="0"/>
              </w:rPr>
            </w:pPr>
            <w:r w:rsidRPr="00B32655">
              <w:rPr>
                <w:rFonts w:ascii="Times New Roman" w:hAnsi="Times New Roman" w:cs="Times New Roman"/>
                <w:snapToGrid w:val="0"/>
              </w:rPr>
              <w:t>Ar likumprojektu tiek pap</w:t>
            </w:r>
            <w:r w:rsidRPr="005C2CCB">
              <w:rPr>
                <w:rFonts w:ascii="Times New Roman" w:hAnsi="Times New Roman" w:cs="Times New Roman"/>
                <w:snapToGrid w:val="0"/>
              </w:rPr>
              <w:t xml:space="preserve">lašināts PVN direktīvas 176.panta normas tvērums </w:t>
            </w:r>
            <w:r w:rsidR="00B32655" w:rsidRPr="00E86DB5">
              <w:rPr>
                <w:rFonts w:ascii="Times New Roman" w:hAnsi="Times New Roman" w:cs="Times New Roman"/>
                <w:snapToGrid w:val="0"/>
              </w:rPr>
              <w:t xml:space="preserve">par </w:t>
            </w:r>
            <w:r w:rsidRPr="00B32655">
              <w:rPr>
                <w:rFonts w:ascii="Times New Roman" w:hAnsi="Times New Roman" w:cs="Times New Roman"/>
                <w:snapToGrid w:val="0"/>
              </w:rPr>
              <w:t>priekšnodokļa atskaitīšan</w:t>
            </w:r>
            <w:r w:rsidRPr="005C2CCB">
              <w:rPr>
                <w:rFonts w:ascii="Times New Roman" w:hAnsi="Times New Roman" w:cs="Times New Roman"/>
                <w:snapToGrid w:val="0"/>
              </w:rPr>
              <w:t>as tiesību ierobežojum</w:t>
            </w:r>
            <w:r w:rsidR="00B32655" w:rsidRPr="005C2CCB">
              <w:rPr>
                <w:rFonts w:ascii="Times New Roman" w:hAnsi="Times New Roman" w:cs="Times New Roman"/>
                <w:snapToGrid w:val="0"/>
              </w:rPr>
              <w:t>iem, kas nos</w:t>
            </w:r>
            <w:r w:rsidR="00B32655" w:rsidRPr="00086582">
              <w:rPr>
                <w:rFonts w:ascii="Times New Roman" w:hAnsi="Times New Roman" w:cs="Times New Roman"/>
                <w:snapToGrid w:val="0"/>
              </w:rPr>
              <w:t>aka, ka PVN nekādi nav atskaitāms par izdevumiem, kas nav cieši saistīti ar uzņēmējdarbību, piemēram, luksusa, izpriecu un izklaides izdevumiem</w:t>
            </w:r>
            <w:r w:rsidR="00BD443E">
              <w:rPr>
                <w:rFonts w:ascii="Times New Roman" w:hAnsi="Times New Roman" w:cs="Times New Roman"/>
                <w:snapToGrid w:val="0"/>
              </w:rPr>
              <w:t>, proti, turpmāk priekšnodokļa atskaitīšanas tiesību ierobežojums attieksies ar</w:t>
            </w:r>
            <w:r w:rsidR="00E11497">
              <w:rPr>
                <w:rFonts w:ascii="Times New Roman" w:hAnsi="Times New Roman" w:cs="Times New Roman"/>
                <w:snapToGrid w:val="0"/>
              </w:rPr>
              <w:t xml:space="preserve">ī uz N1 kategorijas automašīnām, kuru vērtība bez PVN pārsniedz 50 000 </w:t>
            </w:r>
            <w:proofErr w:type="spellStart"/>
            <w:r w:rsidR="00E11497" w:rsidRPr="00E11497">
              <w:rPr>
                <w:rFonts w:ascii="Times New Roman" w:hAnsi="Times New Roman" w:cs="Times New Roman"/>
                <w:i/>
                <w:snapToGrid w:val="0"/>
              </w:rPr>
              <w:t>euro</w:t>
            </w:r>
            <w:proofErr w:type="spellEnd"/>
            <w:r w:rsidR="00E11497">
              <w:rPr>
                <w:rFonts w:ascii="Times New Roman" w:hAnsi="Times New Roman" w:cs="Times New Roman"/>
                <w:snapToGrid w:val="0"/>
              </w:rPr>
              <w:t>.</w:t>
            </w:r>
          </w:p>
          <w:p w14:paraId="118E0465" w14:textId="77777777" w:rsidR="004D7081" w:rsidRDefault="007F21A5" w:rsidP="002327F8">
            <w:pPr>
              <w:pStyle w:val="Default"/>
              <w:ind w:right="130"/>
              <w:jc w:val="both"/>
            </w:pPr>
            <w:r w:rsidRPr="00976EB4">
              <w:rPr>
                <w:rFonts w:ascii="Times New Roman" w:hAnsi="Times New Roman" w:cs="Times New Roman"/>
                <w:snapToGrid w:val="0"/>
              </w:rPr>
              <w:t>Ar likumprojektu tiek ieviest</w:t>
            </w:r>
            <w:r w:rsidR="008470A0" w:rsidRPr="00976EB4">
              <w:rPr>
                <w:rFonts w:ascii="Times New Roman" w:hAnsi="Times New Roman" w:cs="Times New Roman"/>
                <w:snapToGrid w:val="0"/>
              </w:rPr>
              <w:t>a</w:t>
            </w:r>
            <w:r w:rsidR="004567C1" w:rsidRPr="00976EB4">
              <w:rPr>
                <w:rFonts w:ascii="Times New Roman" w:hAnsi="Times New Roman" w:cs="Times New Roman"/>
                <w:snapToGrid w:val="0"/>
              </w:rPr>
              <w:t xml:space="preserve"> </w:t>
            </w:r>
            <w:r w:rsidR="008470A0" w:rsidRPr="00976EB4">
              <w:t>PVN direktīvas 199.a panta 1.punkta “</w:t>
            </w:r>
            <w:r w:rsidR="002327F8" w:rsidRPr="00976EB4">
              <w:t>j</w:t>
            </w:r>
            <w:r w:rsidR="008470A0" w:rsidRPr="00976EB4">
              <w:t xml:space="preserve">” apakšpunktā noteiktā izvēles norma, saskaņā ar kuru dalībvalsts var noteikt, ka līdz 2018.gada 31.decembrim un vismaz uz diviem gadiem persona, kas ir atbildīga par PVN nomaksu, ir nodokļa maksātājs, kas ir saņēmis </w:t>
            </w:r>
            <w:r w:rsidR="00BA00BB" w:rsidRPr="00976EB4">
              <w:t>neapstrādātu dārgmetālu</w:t>
            </w:r>
            <w:r w:rsidR="00A061DC" w:rsidRPr="00976EB4">
              <w:t xml:space="preserve"> un to pusfabrikātu</w:t>
            </w:r>
            <w:r w:rsidR="00BA00BB" w:rsidRPr="00976EB4">
              <w:t>, dārgmetālu sakausējumu</w:t>
            </w:r>
            <w:r w:rsidR="00A061DC" w:rsidRPr="00976EB4">
              <w:t xml:space="preserve"> un to pusfabrikātu</w:t>
            </w:r>
            <w:r w:rsidR="00BA00BB" w:rsidRPr="00976EB4">
              <w:t xml:space="preserve">, dārgmetālu </w:t>
            </w:r>
            <w:proofErr w:type="spellStart"/>
            <w:r w:rsidR="00BA00BB" w:rsidRPr="00976EB4">
              <w:t>plaķētu</w:t>
            </w:r>
            <w:proofErr w:type="spellEnd"/>
            <w:r w:rsidR="00BA00BB" w:rsidRPr="00976EB4">
              <w:t xml:space="preserve"> metālu, dārg</w:t>
            </w:r>
            <w:r w:rsidR="00BA00BB" w:rsidRPr="009D03CC">
              <w:t>metālu lūžņu un atlūzu</w:t>
            </w:r>
            <w:r w:rsidR="00EB73C2" w:rsidRPr="009D03CC">
              <w:t xml:space="preserve"> </w:t>
            </w:r>
            <w:r w:rsidR="008470A0" w:rsidRPr="009D03CC">
              <w:t>piegādes</w:t>
            </w:r>
            <w:r w:rsidR="00740568" w:rsidRPr="009D03CC">
              <w:t>.</w:t>
            </w:r>
          </w:p>
          <w:p w14:paraId="3EC82EAF" w14:textId="2F69A850" w:rsidR="00C47CF5" w:rsidRPr="009D03CC" w:rsidRDefault="00C47CF5" w:rsidP="002327F8">
            <w:pPr>
              <w:pStyle w:val="Default"/>
              <w:ind w:right="130"/>
              <w:jc w:val="both"/>
              <w:rPr>
                <w:b/>
              </w:rPr>
            </w:pPr>
          </w:p>
        </w:tc>
      </w:tr>
      <w:tr w:rsidR="00423D32" w:rsidRPr="00A7675C" w14:paraId="15E8C1B7" w14:textId="77777777" w:rsidTr="00F96936">
        <w:trPr>
          <w:jc w:val="center"/>
        </w:trPr>
        <w:tc>
          <w:tcPr>
            <w:tcW w:w="496" w:type="dxa"/>
            <w:tcBorders>
              <w:top w:val="outset" w:sz="6" w:space="0" w:color="auto"/>
              <w:left w:val="outset" w:sz="6" w:space="0" w:color="auto"/>
              <w:bottom w:val="outset" w:sz="6" w:space="0" w:color="auto"/>
              <w:right w:val="outset" w:sz="6" w:space="0" w:color="auto"/>
            </w:tcBorders>
          </w:tcPr>
          <w:p w14:paraId="2C4E38AA" w14:textId="2F2FBE7C"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2.</w:t>
            </w:r>
          </w:p>
        </w:tc>
        <w:tc>
          <w:tcPr>
            <w:tcW w:w="2817" w:type="dxa"/>
            <w:gridSpan w:val="3"/>
            <w:tcBorders>
              <w:top w:val="outset" w:sz="6" w:space="0" w:color="auto"/>
              <w:left w:val="outset" w:sz="6" w:space="0" w:color="auto"/>
              <w:bottom w:val="outset" w:sz="6" w:space="0" w:color="auto"/>
              <w:right w:val="outset" w:sz="6" w:space="0" w:color="auto"/>
            </w:tcBorders>
          </w:tcPr>
          <w:p w14:paraId="4FE09AAA"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Citas starptautiskās saistības</w:t>
            </w:r>
          </w:p>
        </w:tc>
        <w:tc>
          <w:tcPr>
            <w:tcW w:w="5690" w:type="dxa"/>
            <w:gridSpan w:val="5"/>
            <w:tcBorders>
              <w:top w:val="outset" w:sz="6" w:space="0" w:color="auto"/>
              <w:left w:val="outset" w:sz="6" w:space="0" w:color="auto"/>
              <w:bottom w:val="outset" w:sz="6" w:space="0" w:color="auto"/>
              <w:right w:val="outset" w:sz="6" w:space="0" w:color="auto"/>
            </w:tcBorders>
            <w:vAlign w:val="center"/>
          </w:tcPr>
          <w:p w14:paraId="769A3B7A" w14:textId="3F35F2F4" w:rsidR="00C96AEE" w:rsidRPr="00A7675C" w:rsidRDefault="00C96AEE" w:rsidP="003113F6">
            <w:pPr>
              <w:spacing w:after="0" w:line="240" w:lineRule="auto"/>
              <w:ind w:right="129"/>
              <w:rPr>
                <w:rFonts w:ascii="Times New Roman" w:hAnsi="Times New Roman" w:cs="Times New Roman"/>
                <w:sz w:val="24"/>
                <w:szCs w:val="24"/>
              </w:rPr>
            </w:pPr>
            <w:r>
              <w:rPr>
                <w:rFonts w:ascii="Times New Roman" w:hAnsi="Times New Roman" w:cs="Times New Roman"/>
                <w:sz w:val="24"/>
                <w:szCs w:val="24"/>
              </w:rPr>
              <w:t>Projekts šo jomu neskar.</w:t>
            </w:r>
          </w:p>
        </w:tc>
      </w:tr>
      <w:tr w:rsidR="00423D32" w:rsidRPr="00A7675C" w14:paraId="71A7C78E" w14:textId="77777777" w:rsidTr="00F96936">
        <w:trPr>
          <w:jc w:val="center"/>
        </w:trPr>
        <w:tc>
          <w:tcPr>
            <w:tcW w:w="496" w:type="dxa"/>
            <w:tcBorders>
              <w:top w:val="outset" w:sz="6" w:space="0" w:color="auto"/>
              <w:left w:val="outset" w:sz="6" w:space="0" w:color="auto"/>
              <w:bottom w:val="outset" w:sz="6" w:space="0" w:color="auto"/>
              <w:right w:val="outset" w:sz="6" w:space="0" w:color="auto"/>
            </w:tcBorders>
          </w:tcPr>
          <w:p w14:paraId="1D5C4FD7"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3.</w:t>
            </w:r>
          </w:p>
        </w:tc>
        <w:tc>
          <w:tcPr>
            <w:tcW w:w="2817" w:type="dxa"/>
            <w:gridSpan w:val="3"/>
            <w:tcBorders>
              <w:top w:val="outset" w:sz="6" w:space="0" w:color="auto"/>
              <w:left w:val="outset" w:sz="6" w:space="0" w:color="auto"/>
              <w:bottom w:val="outset" w:sz="6" w:space="0" w:color="auto"/>
              <w:right w:val="outset" w:sz="6" w:space="0" w:color="auto"/>
            </w:tcBorders>
          </w:tcPr>
          <w:p w14:paraId="796FB415" w14:textId="77777777" w:rsidR="007F21A5" w:rsidRPr="00A7675C" w:rsidRDefault="007F21A5" w:rsidP="007F21A5">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5690" w:type="dxa"/>
            <w:gridSpan w:val="5"/>
            <w:tcBorders>
              <w:top w:val="outset" w:sz="6" w:space="0" w:color="auto"/>
              <w:left w:val="outset" w:sz="6" w:space="0" w:color="auto"/>
              <w:bottom w:val="outset" w:sz="6" w:space="0" w:color="auto"/>
              <w:right w:val="outset" w:sz="6" w:space="0" w:color="auto"/>
            </w:tcBorders>
          </w:tcPr>
          <w:p w14:paraId="4D5C86AF" w14:textId="7F5D757E" w:rsidR="007F21A5" w:rsidRPr="00A7675C" w:rsidRDefault="00740568" w:rsidP="007F21A5">
            <w:pPr>
              <w:spacing w:after="0" w:line="240" w:lineRule="auto"/>
              <w:ind w:left="57" w:right="129"/>
              <w:jc w:val="both"/>
              <w:rPr>
                <w:rFonts w:ascii="Times New Roman" w:hAnsi="Times New Roman" w:cs="Times New Roman"/>
                <w:sz w:val="24"/>
                <w:szCs w:val="24"/>
              </w:rPr>
            </w:pPr>
            <w:r w:rsidRPr="00A7675C">
              <w:rPr>
                <w:rFonts w:ascii="Times New Roman" w:hAnsi="Times New Roman" w:cs="Times New Roman"/>
                <w:sz w:val="24"/>
                <w:szCs w:val="24"/>
              </w:rPr>
              <w:t>Nav</w:t>
            </w:r>
          </w:p>
        </w:tc>
      </w:tr>
      <w:tr w:rsidR="00DA6C86" w:rsidRPr="00A7675C" w14:paraId="0E5E834D" w14:textId="77777777" w:rsidTr="00F96936">
        <w:trPr>
          <w:jc w:val="center"/>
        </w:trPr>
        <w:tc>
          <w:tcPr>
            <w:tcW w:w="9003" w:type="dxa"/>
            <w:gridSpan w:val="9"/>
            <w:tcBorders>
              <w:top w:val="outset" w:sz="6" w:space="0" w:color="auto"/>
              <w:left w:val="outset" w:sz="6" w:space="0" w:color="auto"/>
              <w:bottom w:val="outset" w:sz="6" w:space="0" w:color="auto"/>
              <w:right w:val="outset" w:sz="6" w:space="0" w:color="auto"/>
            </w:tcBorders>
            <w:vAlign w:val="center"/>
          </w:tcPr>
          <w:p w14:paraId="0E58E31B" w14:textId="77777777" w:rsidR="00622242" w:rsidRDefault="00622242" w:rsidP="00171D36">
            <w:pPr>
              <w:spacing w:after="0" w:line="240" w:lineRule="auto"/>
              <w:ind w:left="57"/>
              <w:jc w:val="center"/>
              <w:rPr>
                <w:rFonts w:ascii="Times New Roman" w:hAnsi="Times New Roman" w:cs="Times New Roman"/>
                <w:b/>
                <w:sz w:val="24"/>
                <w:szCs w:val="24"/>
              </w:rPr>
            </w:pPr>
          </w:p>
          <w:p w14:paraId="4C9F8693" w14:textId="77777777" w:rsidR="00DA6C86" w:rsidRPr="0016158C" w:rsidRDefault="00DA6C86" w:rsidP="00171D36">
            <w:pPr>
              <w:spacing w:after="0" w:line="240" w:lineRule="auto"/>
              <w:ind w:left="57"/>
              <w:jc w:val="center"/>
              <w:rPr>
                <w:rFonts w:ascii="Times New Roman" w:hAnsi="Times New Roman" w:cs="Times New Roman"/>
                <w:b/>
                <w:sz w:val="24"/>
                <w:szCs w:val="24"/>
              </w:rPr>
            </w:pPr>
            <w:r w:rsidRPr="0016158C">
              <w:rPr>
                <w:rFonts w:ascii="Times New Roman" w:hAnsi="Times New Roman" w:cs="Times New Roman"/>
                <w:b/>
                <w:sz w:val="24"/>
                <w:szCs w:val="24"/>
              </w:rPr>
              <w:t>1.tabula</w:t>
            </w:r>
          </w:p>
          <w:p w14:paraId="1EFA9623"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16158C">
              <w:rPr>
                <w:rFonts w:ascii="Times New Roman" w:hAnsi="Times New Roman" w:cs="Times New Roman"/>
                <w:b/>
                <w:sz w:val="24"/>
                <w:szCs w:val="24"/>
              </w:rPr>
              <w:t>Tiesību akta projekta atbilstība ES tiesību aktiem</w:t>
            </w:r>
          </w:p>
        </w:tc>
      </w:tr>
      <w:tr w:rsidR="00DA6C86" w:rsidRPr="00A7675C" w14:paraId="2B6824CC" w14:textId="77777777" w:rsidTr="00F96936">
        <w:trPr>
          <w:jc w:val="center"/>
        </w:trPr>
        <w:tc>
          <w:tcPr>
            <w:tcW w:w="2112" w:type="dxa"/>
            <w:gridSpan w:val="2"/>
            <w:tcBorders>
              <w:top w:val="outset" w:sz="6" w:space="0" w:color="auto"/>
              <w:left w:val="outset" w:sz="6" w:space="0" w:color="auto"/>
              <w:bottom w:val="outset" w:sz="6" w:space="0" w:color="auto"/>
              <w:right w:val="outset" w:sz="6" w:space="0" w:color="auto"/>
            </w:tcBorders>
          </w:tcPr>
          <w:p w14:paraId="5ADFD87E" w14:textId="77777777" w:rsidR="00DA6C86" w:rsidRPr="00A7675C" w:rsidRDefault="00DA6C86" w:rsidP="00171D36">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Attiecīgā ES tiesību akta datums, numurs un nosaukums</w:t>
            </w:r>
          </w:p>
        </w:tc>
        <w:tc>
          <w:tcPr>
            <w:tcW w:w="6891" w:type="dxa"/>
            <w:gridSpan w:val="7"/>
            <w:tcBorders>
              <w:top w:val="outset" w:sz="6" w:space="0" w:color="auto"/>
              <w:left w:val="outset" w:sz="6" w:space="0" w:color="auto"/>
              <w:bottom w:val="outset" w:sz="6" w:space="0" w:color="auto"/>
              <w:right w:val="outset" w:sz="6" w:space="0" w:color="auto"/>
            </w:tcBorders>
          </w:tcPr>
          <w:p w14:paraId="73129843" w14:textId="78C59F56" w:rsidR="00622242" w:rsidRPr="00602F57" w:rsidRDefault="000C50DD" w:rsidP="00602F57">
            <w:pPr>
              <w:pStyle w:val="ListParagraph"/>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z w:val="24"/>
                <w:szCs w:val="24"/>
              </w:rPr>
              <w:t xml:space="preserve">Padomes 2006.gada 28.novembra direktīvas 2006/112/EK par kopējo pievienotās vērtības nodokļa sistēmu </w:t>
            </w:r>
            <w:r w:rsidR="00B32655">
              <w:rPr>
                <w:rFonts w:ascii="Times New Roman" w:hAnsi="Times New Roman" w:cs="Times New Roman"/>
                <w:sz w:val="24"/>
                <w:szCs w:val="24"/>
              </w:rPr>
              <w:t xml:space="preserve">176.pants un </w:t>
            </w:r>
            <w:r w:rsidR="00465C4A" w:rsidRPr="00A7675C">
              <w:rPr>
                <w:rFonts w:ascii="Times New Roman" w:hAnsi="Times New Roman" w:cs="Times New Roman"/>
                <w:sz w:val="24"/>
                <w:szCs w:val="24"/>
              </w:rPr>
              <w:t xml:space="preserve">199.a </w:t>
            </w:r>
            <w:r w:rsidR="00B175E0" w:rsidRPr="00A7675C">
              <w:rPr>
                <w:rFonts w:ascii="Times New Roman" w:hAnsi="Times New Roman" w:cs="Times New Roman"/>
                <w:sz w:val="24"/>
                <w:szCs w:val="24"/>
              </w:rPr>
              <w:t>panta 1.punkta “</w:t>
            </w:r>
            <w:r w:rsidR="002327F8">
              <w:rPr>
                <w:rFonts w:ascii="Times New Roman" w:hAnsi="Times New Roman" w:cs="Times New Roman"/>
                <w:sz w:val="24"/>
                <w:szCs w:val="24"/>
              </w:rPr>
              <w:t>j</w:t>
            </w:r>
            <w:r w:rsidR="00B175E0" w:rsidRPr="00A7675C">
              <w:rPr>
                <w:rFonts w:ascii="Times New Roman" w:hAnsi="Times New Roman" w:cs="Times New Roman"/>
                <w:sz w:val="24"/>
                <w:szCs w:val="24"/>
              </w:rPr>
              <w:t>” apakšpunkts</w:t>
            </w:r>
            <w:r w:rsidR="00B32655">
              <w:rPr>
                <w:rFonts w:ascii="Times New Roman" w:hAnsi="Times New Roman" w:cs="Times New Roman"/>
                <w:sz w:val="24"/>
                <w:szCs w:val="24"/>
              </w:rPr>
              <w:t>.</w:t>
            </w:r>
          </w:p>
        </w:tc>
      </w:tr>
      <w:tr w:rsidR="00BD443E" w:rsidRPr="00A7675C" w14:paraId="69E59091" w14:textId="77777777" w:rsidTr="00F96936">
        <w:trPr>
          <w:jc w:val="center"/>
        </w:trPr>
        <w:tc>
          <w:tcPr>
            <w:tcW w:w="2112" w:type="dxa"/>
            <w:gridSpan w:val="2"/>
            <w:tcBorders>
              <w:top w:val="outset" w:sz="6" w:space="0" w:color="auto"/>
              <w:left w:val="outset" w:sz="6" w:space="0" w:color="auto"/>
              <w:bottom w:val="single" w:sz="4" w:space="0" w:color="auto"/>
              <w:right w:val="outset" w:sz="6" w:space="0" w:color="auto"/>
            </w:tcBorders>
            <w:vAlign w:val="center"/>
          </w:tcPr>
          <w:p w14:paraId="555873A9" w14:textId="77777777"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A</w:t>
            </w:r>
          </w:p>
        </w:tc>
        <w:tc>
          <w:tcPr>
            <w:tcW w:w="2026" w:type="dxa"/>
            <w:gridSpan w:val="3"/>
            <w:tcBorders>
              <w:top w:val="outset" w:sz="6" w:space="0" w:color="auto"/>
              <w:left w:val="outset" w:sz="6" w:space="0" w:color="auto"/>
              <w:bottom w:val="single" w:sz="4" w:space="0" w:color="auto"/>
              <w:right w:val="outset" w:sz="6" w:space="0" w:color="auto"/>
            </w:tcBorders>
            <w:vAlign w:val="center"/>
          </w:tcPr>
          <w:p w14:paraId="3D59F429" w14:textId="2F4C3083"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B</w:t>
            </w:r>
          </w:p>
        </w:tc>
        <w:tc>
          <w:tcPr>
            <w:tcW w:w="2044" w:type="dxa"/>
            <w:gridSpan w:val="3"/>
            <w:tcBorders>
              <w:top w:val="outset" w:sz="6" w:space="0" w:color="auto"/>
              <w:left w:val="outset" w:sz="6" w:space="0" w:color="auto"/>
              <w:bottom w:val="single" w:sz="4" w:space="0" w:color="auto"/>
              <w:right w:val="outset" w:sz="6" w:space="0" w:color="auto"/>
            </w:tcBorders>
            <w:vAlign w:val="center"/>
          </w:tcPr>
          <w:p w14:paraId="3EF89399" w14:textId="7E416EFF"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C</w:t>
            </w:r>
          </w:p>
        </w:tc>
        <w:tc>
          <w:tcPr>
            <w:tcW w:w="2821" w:type="dxa"/>
            <w:tcBorders>
              <w:top w:val="outset" w:sz="6" w:space="0" w:color="auto"/>
              <w:left w:val="outset" w:sz="6" w:space="0" w:color="auto"/>
              <w:bottom w:val="single" w:sz="4" w:space="0" w:color="auto"/>
              <w:right w:val="outset" w:sz="6" w:space="0" w:color="auto"/>
            </w:tcBorders>
            <w:vAlign w:val="center"/>
          </w:tcPr>
          <w:p w14:paraId="61433217" w14:textId="031E768E" w:rsidR="00DA6C86" w:rsidRPr="00A7675C" w:rsidRDefault="00DA6C86" w:rsidP="00171D36">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D</w:t>
            </w:r>
          </w:p>
        </w:tc>
      </w:tr>
      <w:tr w:rsidR="00976EB4" w:rsidRPr="00A7675C" w14:paraId="568C399A" w14:textId="77777777" w:rsidTr="00F96936">
        <w:trPr>
          <w:jc w:val="center"/>
        </w:trPr>
        <w:tc>
          <w:tcPr>
            <w:tcW w:w="9003" w:type="dxa"/>
            <w:gridSpan w:val="9"/>
            <w:tcBorders>
              <w:top w:val="outset" w:sz="6" w:space="0" w:color="auto"/>
              <w:left w:val="outset" w:sz="6" w:space="0" w:color="auto"/>
              <w:bottom w:val="outset" w:sz="6" w:space="0" w:color="auto"/>
              <w:right w:val="outset" w:sz="6" w:space="0" w:color="auto"/>
            </w:tcBorders>
          </w:tcPr>
          <w:p w14:paraId="2F046465" w14:textId="31B8A040" w:rsidR="00976EB4" w:rsidRPr="00A7675C" w:rsidRDefault="00976EB4" w:rsidP="00976EB4">
            <w:pPr>
              <w:spacing w:after="0" w:line="240" w:lineRule="auto"/>
              <w:ind w:left="57"/>
              <w:jc w:val="center"/>
              <w:rPr>
                <w:rFonts w:ascii="Times New Roman" w:hAnsi="Times New Roman" w:cs="Times New Roman"/>
                <w:spacing w:val="-2"/>
                <w:sz w:val="24"/>
                <w:szCs w:val="24"/>
              </w:rPr>
            </w:pPr>
            <w:r>
              <w:rPr>
                <w:rFonts w:ascii="Times New Roman" w:hAnsi="Times New Roman" w:cs="Times New Roman"/>
                <w:spacing w:val="-2"/>
                <w:sz w:val="24"/>
                <w:szCs w:val="24"/>
              </w:rPr>
              <w:t>PVN direktīvas 176.pants</w:t>
            </w:r>
            <w:r w:rsidRPr="00A7675C">
              <w:rPr>
                <w:rFonts w:ascii="Times New Roman" w:hAnsi="Times New Roman" w:cs="Times New Roman"/>
                <w:spacing w:val="-2"/>
                <w:sz w:val="24"/>
                <w:szCs w:val="24"/>
              </w:rPr>
              <w:t xml:space="preserve"> </w:t>
            </w:r>
          </w:p>
        </w:tc>
      </w:tr>
      <w:tr w:rsidR="00BF4019" w:rsidRPr="00A7675C" w14:paraId="77C1ECF7" w14:textId="22569F09" w:rsidTr="00F96936">
        <w:trPr>
          <w:jc w:val="center"/>
        </w:trPr>
        <w:tc>
          <w:tcPr>
            <w:tcW w:w="2112" w:type="dxa"/>
            <w:gridSpan w:val="2"/>
            <w:tcBorders>
              <w:top w:val="outset" w:sz="6" w:space="0" w:color="auto"/>
              <w:left w:val="outset" w:sz="6" w:space="0" w:color="auto"/>
              <w:bottom w:val="outset" w:sz="6" w:space="0" w:color="auto"/>
              <w:right w:val="outset" w:sz="6" w:space="0" w:color="auto"/>
            </w:tcBorders>
          </w:tcPr>
          <w:p w14:paraId="48D6E953" w14:textId="7EEA7E7E" w:rsidR="009D03CC" w:rsidRPr="009D03CC" w:rsidRDefault="009D03CC" w:rsidP="009D03CC">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176.pants</w:t>
            </w:r>
          </w:p>
        </w:tc>
        <w:tc>
          <w:tcPr>
            <w:tcW w:w="2142" w:type="dxa"/>
            <w:gridSpan w:val="4"/>
            <w:tcBorders>
              <w:top w:val="outset" w:sz="6" w:space="0" w:color="auto"/>
              <w:left w:val="outset" w:sz="6" w:space="0" w:color="auto"/>
              <w:bottom w:val="outset" w:sz="6" w:space="0" w:color="auto"/>
              <w:right w:val="outset" w:sz="6" w:space="0" w:color="auto"/>
            </w:tcBorders>
          </w:tcPr>
          <w:p w14:paraId="701FDC55" w14:textId="69CBF2E2" w:rsidR="009D03CC" w:rsidRPr="00A7675C" w:rsidRDefault="009D03CC" w:rsidP="00FC3C45">
            <w:pPr>
              <w:jc w:val="center"/>
              <w:rPr>
                <w:rFonts w:ascii="Times New Roman" w:hAnsi="Times New Roman" w:cs="Times New Roman"/>
                <w:spacing w:val="-2"/>
                <w:sz w:val="24"/>
                <w:szCs w:val="24"/>
              </w:rPr>
            </w:pPr>
            <w:r>
              <w:rPr>
                <w:rFonts w:ascii="Times New Roman" w:hAnsi="Times New Roman" w:cs="Times New Roman"/>
                <w:spacing w:val="-2"/>
                <w:sz w:val="24"/>
                <w:szCs w:val="24"/>
              </w:rPr>
              <w:t>100.</w:t>
            </w:r>
            <w:r w:rsidR="001061E4">
              <w:rPr>
                <w:rFonts w:ascii="Times New Roman" w:hAnsi="Times New Roman" w:cs="Times New Roman"/>
                <w:spacing w:val="-2"/>
                <w:sz w:val="24"/>
                <w:szCs w:val="24"/>
              </w:rPr>
              <w:t>panta 1.</w:t>
            </w:r>
            <w:r w:rsidR="001061E4" w:rsidRPr="001061E4">
              <w:rPr>
                <w:rFonts w:ascii="Times New Roman" w:hAnsi="Times New Roman" w:cs="Times New Roman"/>
                <w:spacing w:val="-2"/>
                <w:sz w:val="24"/>
                <w:szCs w:val="24"/>
                <w:vertAlign w:val="superscript"/>
              </w:rPr>
              <w:t>1</w:t>
            </w:r>
            <w:r w:rsidR="001061E4">
              <w:rPr>
                <w:rFonts w:ascii="Times New Roman" w:hAnsi="Times New Roman" w:cs="Times New Roman"/>
                <w:spacing w:val="-2"/>
                <w:sz w:val="24"/>
                <w:szCs w:val="24"/>
              </w:rPr>
              <w:t xml:space="preserve"> daļa</w:t>
            </w:r>
          </w:p>
        </w:tc>
        <w:tc>
          <w:tcPr>
            <w:tcW w:w="1928" w:type="dxa"/>
            <w:gridSpan w:val="2"/>
            <w:tcBorders>
              <w:top w:val="outset" w:sz="6" w:space="0" w:color="auto"/>
              <w:left w:val="outset" w:sz="6" w:space="0" w:color="auto"/>
              <w:bottom w:val="outset" w:sz="6" w:space="0" w:color="auto"/>
              <w:right w:val="outset" w:sz="6" w:space="0" w:color="auto"/>
            </w:tcBorders>
          </w:tcPr>
          <w:p w14:paraId="11548E56" w14:textId="18F33276" w:rsidR="009D03CC" w:rsidRPr="00A7675C" w:rsidRDefault="004141CC" w:rsidP="00FC3C45">
            <w:pPr>
              <w:jc w:val="center"/>
              <w:rPr>
                <w:rFonts w:ascii="Times New Roman" w:hAnsi="Times New Roman" w:cs="Times New Roman"/>
                <w:spacing w:val="-2"/>
                <w:sz w:val="24"/>
                <w:szCs w:val="24"/>
              </w:rPr>
            </w:pPr>
            <w:r w:rsidRPr="004141CC">
              <w:rPr>
                <w:rFonts w:ascii="Times New Roman" w:hAnsi="Times New Roman" w:cs="Times New Roman"/>
                <w:spacing w:val="-2"/>
                <w:sz w:val="24"/>
                <w:szCs w:val="24"/>
              </w:rPr>
              <w:t>Ieviests daļēji</w:t>
            </w:r>
          </w:p>
        </w:tc>
        <w:tc>
          <w:tcPr>
            <w:tcW w:w="2821" w:type="dxa"/>
            <w:tcBorders>
              <w:top w:val="outset" w:sz="6" w:space="0" w:color="auto"/>
              <w:left w:val="outset" w:sz="6" w:space="0" w:color="auto"/>
              <w:bottom w:val="outset" w:sz="6" w:space="0" w:color="auto"/>
              <w:right w:val="outset" w:sz="6" w:space="0" w:color="auto"/>
            </w:tcBorders>
          </w:tcPr>
          <w:p w14:paraId="73E52A9E" w14:textId="3DE8B8BF" w:rsidR="009D03CC" w:rsidRPr="00A7675C" w:rsidRDefault="009D03CC" w:rsidP="00FC3C45">
            <w:pPr>
              <w:jc w:val="center"/>
              <w:rPr>
                <w:rFonts w:ascii="Times New Roman" w:hAnsi="Times New Roman" w:cs="Times New Roman"/>
                <w:spacing w:val="-2"/>
                <w:sz w:val="24"/>
                <w:szCs w:val="24"/>
              </w:rPr>
            </w:pPr>
            <w:r w:rsidRPr="00A7675C">
              <w:rPr>
                <w:rFonts w:ascii="Times New Roman" w:hAnsi="Times New Roman" w:cs="Times New Roman"/>
                <w:spacing w:val="-2"/>
                <w:sz w:val="24"/>
                <w:szCs w:val="24"/>
              </w:rPr>
              <w:t>Likumprojekts neparedz stingrākas prasības</w:t>
            </w:r>
          </w:p>
        </w:tc>
      </w:tr>
      <w:tr w:rsidR="009D03CC" w:rsidRPr="00A7675C" w14:paraId="39FDC0F5" w14:textId="77777777" w:rsidTr="00F96936">
        <w:trPr>
          <w:jc w:val="center"/>
        </w:trPr>
        <w:tc>
          <w:tcPr>
            <w:tcW w:w="9003" w:type="dxa"/>
            <w:gridSpan w:val="9"/>
            <w:tcBorders>
              <w:top w:val="outset" w:sz="6" w:space="0" w:color="auto"/>
              <w:left w:val="outset" w:sz="6" w:space="0" w:color="auto"/>
              <w:bottom w:val="outset" w:sz="6" w:space="0" w:color="auto"/>
              <w:right w:val="outset" w:sz="6" w:space="0" w:color="auto"/>
            </w:tcBorders>
          </w:tcPr>
          <w:tbl>
            <w:tblPr>
              <w:tblpPr w:leftFromText="180" w:rightFromText="180" w:horzAnchor="margin" w:tblpX="-150" w:tblpY="1"/>
              <w:tblOverlap w:val="never"/>
              <w:tblW w:w="906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98"/>
              <w:gridCol w:w="6966"/>
            </w:tblGrid>
            <w:tr w:rsidR="00BF4019" w:rsidRPr="00A7675C" w14:paraId="4B4B6B2E" w14:textId="77777777" w:rsidTr="00562612">
              <w:tc>
                <w:tcPr>
                  <w:tcW w:w="2098" w:type="dxa"/>
                  <w:tcBorders>
                    <w:top w:val="outset" w:sz="6" w:space="0" w:color="auto"/>
                    <w:left w:val="outset" w:sz="6" w:space="0" w:color="auto"/>
                    <w:bottom w:val="outset" w:sz="6" w:space="0" w:color="auto"/>
                    <w:right w:val="outset" w:sz="6" w:space="0" w:color="auto"/>
                  </w:tcBorders>
                </w:tcPr>
                <w:p w14:paraId="6BF4A21A" w14:textId="77777777" w:rsidR="00BF4019" w:rsidRPr="00BD443E" w:rsidRDefault="00BF4019" w:rsidP="00BF4019">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Kā ir izmantota ES tiesību aktā paredzētā rīcības brīvība dalībvalstij pārņemt vai ieviest noteiktas ES tiesību akta normas?</w:t>
                  </w:r>
                </w:p>
                <w:p w14:paraId="22FBB0AA" w14:textId="77777777" w:rsidR="00BF4019" w:rsidRPr="00A7675C" w:rsidRDefault="00BF4019" w:rsidP="00BF4019">
                  <w:pPr>
                    <w:spacing w:after="0" w:line="240" w:lineRule="auto"/>
                    <w:ind w:left="57"/>
                    <w:rPr>
                      <w:rFonts w:ascii="Times New Roman" w:hAnsi="Times New Roman" w:cs="Times New Roman"/>
                      <w:sz w:val="24"/>
                      <w:szCs w:val="24"/>
                    </w:rPr>
                  </w:pPr>
                  <w:r w:rsidRPr="00BD443E">
                    <w:rPr>
                      <w:rFonts w:ascii="Times New Roman" w:hAnsi="Times New Roman" w:cs="Times New Roman"/>
                      <w:sz w:val="24"/>
                      <w:szCs w:val="24"/>
                    </w:rPr>
                    <w:t>Kādēļ?</w:t>
                  </w:r>
                </w:p>
              </w:tc>
              <w:tc>
                <w:tcPr>
                  <w:tcW w:w="6966" w:type="dxa"/>
                  <w:tcBorders>
                    <w:top w:val="outset" w:sz="6" w:space="0" w:color="auto"/>
                    <w:left w:val="outset" w:sz="6" w:space="0" w:color="auto"/>
                    <w:bottom w:val="outset" w:sz="6" w:space="0" w:color="auto"/>
                    <w:right w:val="outset" w:sz="6" w:space="0" w:color="auto"/>
                  </w:tcBorders>
                </w:tcPr>
                <w:p w14:paraId="3DD5B9F3" w14:textId="507EA9F7" w:rsidR="00622242" w:rsidRPr="00A7675C" w:rsidRDefault="00BF4019" w:rsidP="00602F57">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 xml:space="preserve">Latvija paplašina ar PVN direktīvas 176.panta ieviestās normas tvērumu, ka atskaitīšanas tiesību ierobežojums turpmāk attieksies arī uz kravas automašīnām (N1 kategorija), kuru vērtība atbilst reprezentatīvo automobiļu vērtībai saskaņā ar </w:t>
                  </w:r>
                  <w:r w:rsidRPr="00BD443E">
                    <w:rPr>
                      <w:rFonts w:ascii="Times New Roman" w:hAnsi="Times New Roman" w:cs="Times New Roman"/>
                      <w:sz w:val="24"/>
                      <w:szCs w:val="24"/>
                    </w:rPr>
                    <w:t>uzņēmumu ienākuma nodokli regulējošajos normatīvajos aktos noteikto</w:t>
                  </w:r>
                  <w:r>
                    <w:rPr>
                      <w:rFonts w:ascii="Times New Roman" w:hAnsi="Times New Roman" w:cs="Times New Roman"/>
                      <w:sz w:val="24"/>
                      <w:szCs w:val="24"/>
                    </w:rPr>
                    <w:t>.</w:t>
                  </w:r>
                </w:p>
              </w:tc>
            </w:tr>
          </w:tbl>
          <w:p w14:paraId="2E9F8D55" w14:textId="77777777" w:rsidR="009D03CC" w:rsidRDefault="009D03CC" w:rsidP="009D03CC">
            <w:pPr>
              <w:spacing w:after="0" w:line="240" w:lineRule="auto"/>
              <w:ind w:left="57"/>
              <w:jc w:val="center"/>
              <w:rPr>
                <w:rFonts w:ascii="Times New Roman" w:hAnsi="Times New Roman" w:cs="Times New Roman"/>
                <w:spacing w:val="-2"/>
                <w:sz w:val="24"/>
                <w:szCs w:val="24"/>
              </w:rPr>
            </w:pPr>
          </w:p>
        </w:tc>
      </w:tr>
      <w:tr w:rsidR="00BD443E" w:rsidRPr="00A7675C" w14:paraId="3843D26A" w14:textId="77777777" w:rsidTr="00F96936">
        <w:trPr>
          <w:jc w:val="center"/>
        </w:trPr>
        <w:tc>
          <w:tcPr>
            <w:tcW w:w="2112" w:type="dxa"/>
            <w:gridSpan w:val="2"/>
            <w:tcBorders>
              <w:top w:val="outset" w:sz="6" w:space="0" w:color="auto"/>
              <w:left w:val="outset" w:sz="6" w:space="0" w:color="auto"/>
              <w:bottom w:val="single" w:sz="4" w:space="0" w:color="auto"/>
              <w:right w:val="outset" w:sz="6" w:space="0" w:color="auto"/>
            </w:tcBorders>
            <w:vAlign w:val="center"/>
          </w:tcPr>
          <w:p w14:paraId="4A1862FA" w14:textId="5C8AAAA6" w:rsidR="009D03CC" w:rsidRPr="00A7675C" w:rsidRDefault="009D03CC" w:rsidP="009D03CC">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A</w:t>
            </w:r>
          </w:p>
        </w:tc>
        <w:tc>
          <w:tcPr>
            <w:tcW w:w="2026" w:type="dxa"/>
            <w:gridSpan w:val="3"/>
            <w:tcBorders>
              <w:top w:val="outset" w:sz="6" w:space="0" w:color="auto"/>
              <w:left w:val="outset" w:sz="6" w:space="0" w:color="auto"/>
              <w:bottom w:val="single" w:sz="4" w:space="0" w:color="auto"/>
              <w:right w:val="outset" w:sz="6" w:space="0" w:color="auto"/>
            </w:tcBorders>
            <w:vAlign w:val="center"/>
          </w:tcPr>
          <w:p w14:paraId="2499E843" w14:textId="4EC19D1D" w:rsidR="009D03CC" w:rsidRPr="00A7675C" w:rsidRDefault="009D03CC" w:rsidP="009D03CC">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B</w:t>
            </w:r>
          </w:p>
        </w:tc>
        <w:tc>
          <w:tcPr>
            <w:tcW w:w="2044" w:type="dxa"/>
            <w:gridSpan w:val="3"/>
            <w:tcBorders>
              <w:top w:val="outset" w:sz="6" w:space="0" w:color="auto"/>
              <w:left w:val="outset" w:sz="6" w:space="0" w:color="auto"/>
              <w:bottom w:val="single" w:sz="4" w:space="0" w:color="auto"/>
              <w:right w:val="outset" w:sz="6" w:space="0" w:color="auto"/>
            </w:tcBorders>
            <w:vAlign w:val="center"/>
          </w:tcPr>
          <w:p w14:paraId="3F702B35" w14:textId="74B53035" w:rsidR="009D03CC" w:rsidRPr="00A7675C" w:rsidRDefault="009D03CC" w:rsidP="009D03CC">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C</w:t>
            </w:r>
          </w:p>
        </w:tc>
        <w:tc>
          <w:tcPr>
            <w:tcW w:w="2821" w:type="dxa"/>
            <w:tcBorders>
              <w:top w:val="outset" w:sz="6" w:space="0" w:color="auto"/>
              <w:left w:val="outset" w:sz="6" w:space="0" w:color="auto"/>
              <w:bottom w:val="single" w:sz="4" w:space="0" w:color="auto"/>
              <w:right w:val="outset" w:sz="6" w:space="0" w:color="auto"/>
            </w:tcBorders>
            <w:vAlign w:val="center"/>
          </w:tcPr>
          <w:p w14:paraId="4D365410" w14:textId="660756D0" w:rsidR="009D03CC" w:rsidRPr="00A7675C" w:rsidRDefault="009D03CC" w:rsidP="009D03CC">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D</w:t>
            </w:r>
          </w:p>
        </w:tc>
      </w:tr>
      <w:tr w:rsidR="009D03CC" w:rsidRPr="00A7675C" w14:paraId="1853CC2A" w14:textId="77777777" w:rsidTr="00F96936">
        <w:trPr>
          <w:jc w:val="center"/>
        </w:trPr>
        <w:tc>
          <w:tcPr>
            <w:tcW w:w="9003" w:type="dxa"/>
            <w:gridSpan w:val="9"/>
            <w:tcBorders>
              <w:top w:val="outset" w:sz="6" w:space="0" w:color="auto"/>
              <w:left w:val="outset" w:sz="6" w:space="0" w:color="auto"/>
              <w:bottom w:val="outset" w:sz="6" w:space="0" w:color="auto"/>
              <w:right w:val="outset" w:sz="6" w:space="0" w:color="auto"/>
            </w:tcBorders>
          </w:tcPr>
          <w:p w14:paraId="14E10A46" w14:textId="3F1A29F0" w:rsidR="009D03CC" w:rsidRPr="00A7675C" w:rsidRDefault="009D03CC" w:rsidP="009D03CC">
            <w:pPr>
              <w:spacing w:after="0" w:line="240" w:lineRule="auto"/>
              <w:ind w:left="57"/>
              <w:jc w:val="center"/>
              <w:rPr>
                <w:rFonts w:ascii="Times New Roman" w:hAnsi="Times New Roman" w:cs="Times New Roman"/>
                <w:spacing w:val="-2"/>
                <w:sz w:val="24"/>
                <w:szCs w:val="24"/>
              </w:rPr>
            </w:pPr>
            <w:r w:rsidRPr="00A7675C">
              <w:rPr>
                <w:rFonts w:ascii="Times New Roman" w:hAnsi="Times New Roman" w:cs="Times New Roman"/>
                <w:spacing w:val="-2"/>
                <w:sz w:val="24"/>
                <w:szCs w:val="24"/>
              </w:rPr>
              <w:t xml:space="preserve">PVN direktīvas 199.a panta 1.punkta </w:t>
            </w:r>
            <w:r w:rsidRPr="00A7675C">
              <w:rPr>
                <w:rFonts w:ascii="Times New Roman" w:hAnsi="Times New Roman" w:cs="Times New Roman"/>
                <w:sz w:val="24"/>
                <w:szCs w:val="24"/>
              </w:rPr>
              <w:t>“</w:t>
            </w:r>
            <w:r>
              <w:rPr>
                <w:rFonts w:ascii="Times New Roman" w:hAnsi="Times New Roman" w:cs="Times New Roman"/>
                <w:sz w:val="24"/>
                <w:szCs w:val="24"/>
              </w:rPr>
              <w:t>j</w:t>
            </w:r>
            <w:r w:rsidRPr="00A7675C">
              <w:rPr>
                <w:rFonts w:ascii="Times New Roman" w:hAnsi="Times New Roman" w:cs="Times New Roman"/>
                <w:sz w:val="24"/>
                <w:szCs w:val="24"/>
              </w:rPr>
              <w:t>” apakšpunkts</w:t>
            </w:r>
          </w:p>
        </w:tc>
      </w:tr>
      <w:tr w:rsidR="00BF4019" w:rsidRPr="00A7675C" w14:paraId="639764AA" w14:textId="77777777" w:rsidTr="00F96936">
        <w:trPr>
          <w:jc w:val="center"/>
        </w:trPr>
        <w:tc>
          <w:tcPr>
            <w:tcW w:w="2112" w:type="dxa"/>
            <w:gridSpan w:val="2"/>
            <w:tcBorders>
              <w:top w:val="outset" w:sz="6" w:space="0" w:color="auto"/>
              <w:left w:val="outset" w:sz="6" w:space="0" w:color="auto"/>
              <w:bottom w:val="outset" w:sz="6" w:space="0" w:color="auto"/>
              <w:right w:val="outset" w:sz="6" w:space="0" w:color="auto"/>
            </w:tcBorders>
          </w:tcPr>
          <w:p w14:paraId="76991EFE" w14:textId="77777777" w:rsidR="009D03CC" w:rsidRPr="00A7675C" w:rsidRDefault="009D03CC" w:rsidP="009D03CC">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199.a panta 1.punkta “</w:t>
            </w:r>
            <w:r>
              <w:rPr>
                <w:rFonts w:ascii="Times New Roman" w:hAnsi="Times New Roman" w:cs="Times New Roman"/>
                <w:sz w:val="24"/>
                <w:szCs w:val="24"/>
              </w:rPr>
              <w:t>j</w:t>
            </w:r>
            <w:r w:rsidRPr="00A7675C">
              <w:rPr>
                <w:rFonts w:ascii="Times New Roman" w:hAnsi="Times New Roman" w:cs="Times New Roman"/>
                <w:sz w:val="24"/>
                <w:szCs w:val="24"/>
              </w:rPr>
              <w:t>” apakšpunkts</w:t>
            </w:r>
          </w:p>
        </w:tc>
        <w:tc>
          <w:tcPr>
            <w:tcW w:w="2026" w:type="dxa"/>
            <w:gridSpan w:val="3"/>
            <w:tcBorders>
              <w:top w:val="outset" w:sz="6" w:space="0" w:color="auto"/>
              <w:left w:val="outset" w:sz="6" w:space="0" w:color="auto"/>
              <w:bottom w:val="outset" w:sz="6" w:space="0" w:color="auto"/>
              <w:right w:val="outset" w:sz="6" w:space="0" w:color="auto"/>
            </w:tcBorders>
          </w:tcPr>
          <w:p w14:paraId="6B46EC82" w14:textId="77777777" w:rsidR="009D03CC" w:rsidRPr="00A7675C" w:rsidRDefault="009D03CC" w:rsidP="009D03CC">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pacing w:val="-2"/>
                <w:sz w:val="24"/>
                <w:szCs w:val="24"/>
              </w:rPr>
              <w:t>143.</w:t>
            </w:r>
            <w:r>
              <w:rPr>
                <w:rFonts w:ascii="Times New Roman" w:hAnsi="Times New Roman" w:cs="Times New Roman"/>
                <w:spacing w:val="-2"/>
                <w:sz w:val="24"/>
                <w:szCs w:val="24"/>
                <w:vertAlign w:val="superscript"/>
              </w:rPr>
              <w:t>3</w:t>
            </w:r>
            <w:r w:rsidRPr="00A7675C">
              <w:rPr>
                <w:rFonts w:ascii="Times New Roman" w:hAnsi="Times New Roman" w:cs="Times New Roman"/>
                <w:spacing w:val="-2"/>
                <w:sz w:val="24"/>
                <w:szCs w:val="24"/>
              </w:rPr>
              <w:t xml:space="preserve"> pants</w:t>
            </w:r>
          </w:p>
        </w:tc>
        <w:tc>
          <w:tcPr>
            <w:tcW w:w="2044" w:type="dxa"/>
            <w:gridSpan w:val="3"/>
            <w:tcBorders>
              <w:top w:val="outset" w:sz="6" w:space="0" w:color="auto"/>
              <w:left w:val="outset" w:sz="6" w:space="0" w:color="auto"/>
              <w:bottom w:val="outset" w:sz="6" w:space="0" w:color="auto"/>
              <w:right w:val="outset" w:sz="6" w:space="0" w:color="auto"/>
            </w:tcBorders>
          </w:tcPr>
          <w:p w14:paraId="1AEC2958" w14:textId="77777777" w:rsidR="009D03CC" w:rsidRPr="00A7675C" w:rsidRDefault="009D03CC" w:rsidP="009D03CC">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pacing w:val="-2"/>
                <w:sz w:val="24"/>
                <w:szCs w:val="24"/>
              </w:rPr>
              <w:t>Ieviests daļēji</w:t>
            </w:r>
          </w:p>
        </w:tc>
        <w:tc>
          <w:tcPr>
            <w:tcW w:w="2821" w:type="dxa"/>
            <w:tcBorders>
              <w:top w:val="outset" w:sz="6" w:space="0" w:color="auto"/>
              <w:left w:val="outset" w:sz="6" w:space="0" w:color="auto"/>
              <w:bottom w:val="outset" w:sz="6" w:space="0" w:color="auto"/>
              <w:right w:val="outset" w:sz="6" w:space="0" w:color="auto"/>
            </w:tcBorders>
          </w:tcPr>
          <w:p w14:paraId="70FAE105" w14:textId="77777777" w:rsidR="009D03CC" w:rsidRPr="00A7675C" w:rsidRDefault="009D03CC" w:rsidP="009D03CC">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pacing w:val="-2"/>
                <w:sz w:val="24"/>
                <w:szCs w:val="24"/>
              </w:rPr>
              <w:t>Likumprojekts neparedz stingrākas prasības</w:t>
            </w:r>
          </w:p>
        </w:tc>
      </w:tr>
      <w:tr w:rsidR="009D03CC" w:rsidRPr="00A7675C" w14:paraId="4761B1FD" w14:textId="77777777" w:rsidTr="00F96936">
        <w:trPr>
          <w:jc w:val="center"/>
        </w:trPr>
        <w:tc>
          <w:tcPr>
            <w:tcW w:w="2112" w:type="dxa"/>
            <w:gridSpan w:val="2"/>
            <w:tcBorders>
              <w:top w:val="outset" w:sz="6" w:space="0" w:color="auto"/>
              <w:left w:val="outset" w:sz="6" w:space="0" w:color="auto"/>
              <w:bottom w:val="outset" w:sz="6" w:space="0" w:color="auto"/>
              <w:right w:val="outset" w:sz="6" w:space="0" w:color="auto"/>
            </w:tcBorders>
          </w:tcPr>
          <w:p w14:paraId="39175C18" w14:textId="2321A5A3" w:rsidR="009D03CC" w:rsidRPr="00A7675C" w:rsidRDefault="009D03CC" w:rsidP="009D03CC">
            <w:pPr>
              <w:spacing w:after="0" w:line="240" w:lineRule="auto"/>
              <w:ind w:left="57"/>
              <w:rPr>
                <w:rFonts w:ascii="Times New Roman" w:hAnsi="Times New Roman" w:cs="Times New Roman"/>
                <w:spacing w:val="-3"/>
                <w:sz w:val="24"/>
                <w:szCs w:val="24"/>
              </w:rPr>
            </w:pPr>
            <w:r w:rsidRPr="00A7675C">
              <w:rPr>
                <w:rFonts w:ascii="Times New Roman" w:hAnsi="Times New Roman" w:cs="Times New Roman"/>
                <w:spacing w:val="-3"/>
                <w:sz w:val="24"/>
                <w:szCs w:val="24"/>
              </w:rPr>
              <w:t>Kā ir izmantota ES tiesību aktā paredzētā rīcības brīvība dalībvalstij pārņemt vai ieviest noteiktas ES tiesību akta normas?</w:t>
            </w:r>
          </w:p>
          <w:p w14:paraId="5034CE39" w14:textId="77777777" w:rsidR="009D03CC" w:rsidRPr="00A7675C" w:rsidRDefault="009D03CC" w:rsidP="009D03CC">
            <w:pPr>
              <w:spacing w:after="0" w:line="240" w:lineRule="auto"/>
              <w:ind w:left="57"/>
              <w:rPr>
                <w:rFonts w:ascii="Times New Roman" w:hAnsi="Times New Roman" w:cs="Times New Roman"/>
                <w:spacing w:val="-3"/>
                <w:sz w:val="24"/>
                <w:szCs w:val="24"/>
              </w:rPr>
            </w:pPr>
            <w:r w:rsidRPr="00A7675C">
              <w:rPr>
                <w:rFonts w:ascii="Times New Roman" w:hAnsi="Times New Roman" w:cs="Times New Roman"/>
                <w:spacing w:val="-3"/>
                <w:sz w:val="24"/>
                <w:szCs w:val="24"/>
              </w:rPr>
              <w:t>Kādēļ?</w:t>
            </w:r>
          </w:p>
        </w:tc>
        <w:tc>
          <w:tcPr>
            <w:tcW w:w="6891" w:type="dxa"/>
            <w:gridSpan w:val="7"/>
            <w:tcBorders>
              <w:top w:val="outset" w:sz="6" w:space="0" w:color="auto"/>
              <w:left w:val="outset" w:sz="6" w:space="0" w:color="auto"/>
              <w:bottom w:val="outset" w:sz="6" w:space="0" w:color="auto"/>
              <w:right w:val="outset" w:sz="6" w:space="0" w:color="auto"/>
            </w:tcBorders>
          </w:tcPr>
          <w:p w14:paraId="4B49C8BA" w14:textId="0DC4E0B1" w:rsidR="009D03CC" w:rsidRPr="00A7675C" w:rsidRDefault="009D03CC" w:rsidP="009D03CC">
            <w:pPr>
              <w:spacing w:after="0" w:line="240" w:lineRule="auto"/>
              <w:ind w:left="57"/>
              <w:jc w:val="both"/>
              <w:rPr>
                <w:rFonts w:ascii="Times New Roman" w:hAnsi="Times New Roman" w:cs="Times New Roman"/>
                <w:snapToGrid w:val="0"/>
                <w:sz w:val="24"/>
                <w:szCs w:val="24"/>
              </w:rPr>
            </w:pPr>
            <w:r w:rsidRPr="00A7675C">
              <w:rPr>
                <w:rFonts w:ascii="Times New Roman" w:hAnsi="Times New Roman" w:cs="Times New Roman"/>
                <w:snapToGrid w:val="0"/>
                <w:sz w:val="24"/>
                <w:szCs w:val="24"/>
              </w:rPr>
              <w:t xml:space="preserve">Latvija izvēlas ieviest </w:t>
            </w:r>
            <w:r w:rsidRPr="00A7675C">
              <w:rPr>
                <w:rFonts w:ascii="Times New Roman" w:hAnsi="Times New Roman" w:cs="Times New Roman"/>
                <w:sz w:val="24"/>
                <w:szCs w:val="24"/>
              </w:rPr>
              <w:t xml:space="preserve">PVN direktīvas 199.a panta 1.punkta </w:t>
            </w:r>
            <w:r>
              <w:rPr>
                <w:rFonts w:ascii="Times New Roman" w:hAnsi="Times New Roman" w:cs="Times New Roman"/>
                <w:sz w:val="24"/>
                <w:szCs w:val="24"/>
              </w:rPr>
              <w:t>“j</w:t>
            </w:r>
            <w:r w:rsidRPr="00A7675C">
              <w:rPr>
                <w:rFonts w:ascii="Times New Roman" w:hAnsi="Times New Roman" w:cs="Times New Roman"/>
                <w:sz w:val="24"/>
                <w:szCs w:val="24"/>
              </w:rPr>
              <w:t xml:space="preserve">” apakšpunkta </w:t>
            </w:r>
            <w:r w:rsidRPr="00A7675C">
              <w:rPr>
                <w:rFonts w:ascii="Times New Roman" w:hAnsi="Times New Roman" w:cs="Times New Roman"/>
                <w:snapToGrid w:val="0"/>
                <w:sz w:val="24"/>
                <w:szCs w:val="24"/>
              </w:rPr>
              <w:t>izvēles normu tikai attiecībā uz</w:t>
            </w:r>
            <w:r>
              <w:rPr>
                <w:rFonts w:ascii="Times New Roman" w:hAnsi="Times New Roman" w:cs="Times New Roman"/>
                <w:snapToGrid w:val="0"/>
                <w:sz w:val="24"/>
                <w:szCs w:val="24"/>
              </w:rPr>
              <w:t xml:space="preserve"> </w:t>
            </w:r>
            <w:r w:rsidRPr="00560BAA">
              <w:rPr>
                <w:rFonts w:ascii="Times New Roman" w:hAnsi="Times New Roman" w:cs="Times New Roman"/>
                <w:snapToGrid w:val="0"/>
                <w:sz w:val="24"/>
                <w:szCs w:val="24"/>
              </w:rPr>
              <w:t>neapstrādātu dārgmetālu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dārgmetālu sakausējumu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xml:space="preserve">, dārgmetālu </w:t>
            </w:r>
            <w:proofErr w:type="spellStart"/>
            <w:r w:rsidRPr="00560BAA">
              <w:rPr>
                <w:rFonts w:ascii="Times New Roman" w:hAnsi="Times New Roman" w:cs="Times New Roman"/>
                <w:snapToGrid w:val="0"/>
                <w:sz w:val="24"/>
                <w:szCs w:val="24"/>
              </w:rPr>
              <w:t>plaķētu</w:t>
            </w:r>
            <w:proofErr w:type="spellEnd"/>
            <w:r w:rsidRPr="00560BAA">
              <w:rPr>
                <w:rFonts w:ascii="Times New Roman" w:hAnsi="Times New Roman" w:cs="Times New Roman"/>
                <w:snapToGrid w:val="0"/>
                <w:sz w:val="24"/>
                <w:szCs w:val="24"/>
              </w:rPr>
              <w:t xml:space="preserve"> metālu, dārgmetālu lūžņu un atlūzu</w:t>
            </w:r>
            <w:r w:rsidRPr="00A7675C">
              <w:rPr>
                <w:rFonts w:ascii="Times New Roman" w:hAnsi="Times New Roman" w:cs="Times New Roman"/>
                <w:snapToGrid w:val="0"/>
                <w:sz w:val="24"/>
                <w:szCs w:val="24"/>
              </w:rPr>
              <w:t xml:space="preserve"> piegādēm, lai mazinātu </w:t>
            </w:r>
            <w:proofErr w:type="spellStart"/>
            <w:r w:rsidRPr="00A7675C">
              <w:rPr>
                <w:rFonts w:ascii="Times New Roman" w:hAnsi="Times New Roman" w:cs="Times New Roman"/>
                <w:snapToGrid w:val="0"/>
                <w:sz w:val="24"/>
                <w:szCs w:val="24"/>
              </w:rPr>
              <w:t>krāpniecības</w:t>
            </w:r>
            <w:proofErr w:type="spellEnd"/>
            <w:r w:rsidRPr="00A7675C">
              <w:rPr>
                <w:rFonts w:ascii="Times New Roman" w:hAnsi="Times New Roman" w:cs="Times New Roman"/>
                <w:snapToGrid w:val="0"/>
                <w:sz w:val="24"/>
                <w:szCs w:val="24"/>
              </w:rPr>
              <w:t xml:space="preserve"> iezīmes </w:t>
            </w:r>
            <w:r>
              <w:rPr>
                <w:rFonts w:ascii="Times New Roman" w:hAnsi="Times New Roman" w:cs="Times New Roman"/>
                <w:snapToGrid w:val="0"/>
                <w:sz w:val="24"/>
                <w:szCs w:val="24"/>
              </w:rPr>
              <w:t>dārgmetālu</w:t>
            </w:r>
            <w:r w:rsidRPr="00A7675C">
              <w:rPr>
                <w:rFonts w:ascii="Times New Roman" w:hAnsi="Times New Roman" w:cs="Times New Roman"/>
                <w:snapToGrid w:val="0"/>
                <w:sz w:val="24"/>
                <w:szCs w:val="24"/>
              </w:rPr>
              <w:t xml:space="preserve"> nozarē.</w:t>
            </w:r>
          </w:p>
          <w:p w14:paraId="1092543D" w14:textId="61A5EE6A" w:rsidR="009D03CC" w:rsidRPr="00A7675C" w:rsidRDefault="009D03CC" w:rsidP="009D03CC">
            <w:pPr>
              <w:pStyle w:val="NoSpacing"/>
              <w:ind w:left="100" w:right="161"/>
              <w:jc w:val="both"/>
              <w:rPr>
                <w:rFonts w:ascii="Times New Roman" w:eastAsia="Times New Roman" w:hAnsi="Times New Roman" w:cs="Times New Roman"/>
                <w:sz w:val="24"/>
                <w:szCs w:val="24"/>
              </w:rPr>
            </w:pPr>
            <w:r w:rsidRPr="00A7675C">
              <w:rPr>
                <w:rFonts w:ascii="Times New Roman" w:hAnsi="Times New Roman" w:cs="Times New Roman"/>
                <w:sz w:val="24"/>
                <w:szCs w:val="24"/>
                <w:lang w:eastAsia="en-US"/>
              </w:rPr>
              <w:t>Balstoties uz neatkarīga pētnieka ziņojuma “Par spēkā esošo PVN apgrieztās maksāšanas kārtības efektivitāti un iespēju to piemērot citās nozarēs” rezultātiem,</w:t>
            </w:r>
            <w:r w:rsidRPr="00A7675C">
              <w:rPr>
                <w:rFonts w:ascii="Times New Roman" w:eastAsia="Calibri" w:hAnsi="Times New Roman" w:cs="Times New Roman"/>
                <w:sz w:val="24"/>
                <w:szCs w:val="24"/>
              </w:rPr>
              <w:t xml:space="preserve"> saskaņā ar kuriem secināts, ka </w:t>
            </w:r>
            <w:r w:rsidRPr="00A7675C">
              <w:rPr>
                <w:rFonts w:ascii="Times New Roman" w:eastAsia="Times New Roman" w:hAnsi="Times New Roman" w:cs="Times New Roman"/>
                <w:color w:val="000000"/>
                <w:sz w:val="24"/>
                <w:szCs w:val="24"/>
              </w:rPr>
              <w:t>viena no nozarēm, kurā ir augsts PVN nemaksāšanas risks</w:t>
            </w:r>
            <w:r w:rsidRPr="00A7675C">
              <w:rPr>
                <w:rFonts w:ascii="Times New Roman" w:hAnsi="Times New Roman" w:cs="Times New Roman"/>
                <w:sz w:val="24"/>
                <w:szCs w:val="24"/>
                <w:lang w:eastAsia="en-US"/>
              </w:rPr>
              <w:t xml:space="preserve"> </w:t>
            </w:r>
            <w:r w:rsidRPr="00A7675C">
              <w:rPr>
                <w:rFonts w:ascii="Times New Roman" w:eastAsia="Times New Roman" w:hAnsi="Times New Roman" w:cs="Times New Roman"/>
                <w:color w:val="000000"/>
                <w:sz w:val="24"/>
                <w:szCs w:val="24"/>
              </w:rPr>
              <w:t xml:space="preserve">ir </w:t>
            </w:r>
            <w:r>
              <w:rPr>
                <w:rFonts w:ascii="Times New Roman" w:eastAsia="Times New Roman" w:hAnsi="Times New Roman" w:cs="Times New Roman"/>
                <w:color w:val="000000"/>
                <w:sz w:val="24"/>
                <w:szCs w:val="24"/>
              </w:rPr>
              <w:t>dārgmetālu</w:t>
            </w:r>
            <w:r w:rsidRPr="00A7675C">
              <w:rPr>
                <w:rFonts w:ascii="Times New Roman" w:eastAsia="Times New Roman" w:hAnsi="Times New Roman" w:cs="Times New Roman"/>
                <w:color w:val="000000"/>
                <w:sz w:val="24"/>
                <w:szCs w:val="24"/>
              </w:rPr>
              <w:t xml:space="preserve"> </w:t>
            </w:r>
            <w:r w:rsidRPr="00A7675C">
              <w:rPr>
                <w:rFonts w:ascii="Times New Roman" w:eastAsia="Times New Roman" w:hAnsi="Times New Roman" w:cs="Times New Roman"/>
                <w:sz w:val="24"/>
                <w:szCs w:val="24"/>
              </w:rPr>
              <w:t>nozare,</w:t>
            </w:r>
            <w:r w:rsidRPr="00A7675C">
              <w:rPr>
                <w:rFonts w:ascii="Times New Roman" w:eastAsia="Calibri" w:hAnsi="Times New Roman" w:cs="Times New Roman"/>
                <w:sz w:val="24"/>
                <w:szCs w:val="24"/>
              </w:rPr>
              <w:t xml:space="preserve"> ar mērķi mazināt krāpšanos PVN jomā</w:t>
            </w:r>
            <w:r w:rsidRPr="00A7675C">
              <w:rPr>
                <w:rFonts w:ascii="Times New Roman" w:hAnsi="Times New Roman" w:cs="Times New Roman"/>
                <w:sz w:val="24"/>
                <w:szCs w:val="24"/>
                <w:lang w:eastAsia="en-US"/>
              </w:rPr>
              <w:t xml:space="preserve"> minētājā nozarē</w:t>
            </w:r>
            <w:r w:rsidRPr="00A7675C">
              <w:rPr>
                <w:rFonts w:ascii="Times New Roman" w:eastAsia="Times New Roman" w:hAnsi="Times New Roman" w:cs="Times New Roman"/>
                <w:color w:val="000000"/>
                <w:sz w:val="24"/>
                <w:szCs w:val="24"/>
              </w:rPr>
              <w:t xml:space="preserve"> PVN likumā ir nepieciešams noteikt </w:t>
            </w:r>
            <w:r w:rsidRPr="00A7675C">
              <w:rPr>
                <w:rFonts w:ascii="Times New Roman" w:eastAsia="Times New Roman" w:hAnsi="Times New Roman" w:cs="Times New Roman"/>
                <w:sz w:val="24"/>
                <w:szCs w:val="24"/>
              </w:rPr>
              <w:t xml:space="preserve">PVN </w:t>
            </w:r>
            <w:r>
              <w:rPr>
                <w:rFonts w:ascii="Times New Roman" w:eastAsia="Times New Roman" w:hAnsi="Times New Roman" w:cs="Times New Roman"/>
                <w:sz w:val="24"/>
                <w:szCs w:val="24"/>
              </w:rPr>
              <w:t>apgriezto maksāšanas kārtību</w:t>
            </w:r>
            <w:r w:rsidRPr="00A7675C">
              <w:rPr>
                <w:rFonts w:ascii="Times New Roman" w:eastAsia="Times New Roman" w:hAnsi="Times New Roman" w:cs="Times New Roman"/>
                <w:sz w:val="24"/>
                <w:szCs w:val="24"/>
              </w:rPr>
              <w:t xml:space="preserve"> </w:t>
            </w:r>
            <w:r w:rsidRPr="00560BAA">
              <w:rPr>
                <w:rFonts w:ascii="Times New Roman" w:eastAsia="Times New Roman" w:hAnsi="Times New Roman" w:cs="Times New Roman"/>
                <w:sz w:val="24"/>
                <w:szCs w:val="24"/>
              </w:rPr>
              <w:t xml:space="preserve">neapstrādātu </w:t>
            </w:r>
            <w:r w:rsidRPr="00560BAA">
              <w:rPr>
                <w:rFonts w:ascii="Times New Roman" w:hAnsi="Times New Roman" w:cs="Times New Roman"/>
                <w:snapToGrid w:val="0"/>
                <w:sz w:val="24"/>
                <w:szCs w:val="24"/>
              </w:rPr>
              <w:t>dārgmetālu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dārgmetālu sakausējumu</w:t>
            </w:r>
            <w:r>
              <w:rPr>
                <w:rFonts w:ascii="Times New Roman" w:hAnsi="Times New Roman" w:cs="Times New Roman"/>
                <w:snapToGrid w:val="0"/>
                <w:sz w:val="24"/>
                <w:szCs w:val="24"/>
              </w:rPr>
              <w:t xml:space="preserve"> un to pusfabrikātu</w:t>
            </w:r>
            <w:r w:rsidRPr="00560BAA">
              <w:rPr>
                <w:rFonts w:ascii="Times New Roman" w:eastAsia="Times New Roman" w:hAnsi="Times New Roman" w:cs="Times New Roman"/>
                <w:sz w:val="24"/>
                <w:szCs w:val="24"/>
              </w:rPr>
              <w:t xml:space="preserve">, dārgmetālu </w:t>
            </w:r>
            <w:proofErr w:type="spellStart"/>
            <w:r w:rsidRPr="00560BAA">
              <w:rPr>
                <w:rFonts w:ascii="Times New Roman" w:eastAsia="Times New Roman" w:hAnsi="Times New Roman" w:cs="Times New Roman"/>
                <w:sz w:val="24"/>
                <w:szCs w:val="24"/>
              </w:rPr>
              <w:t>plaķētu</w:t>
            </w:r>
            <w:proofErr w:type="spellEnd"/>
            <w:r w:rsidRPr="00560BAA">
              <w:rPr>
                <w:rFonts w:ascii="Times New Roman" w:eastAsia="Times New Roman" w:hAnsi="Times New Roman" w:cs="Times New Roman"/>
                <w:sz w:val="24"/>
                <w:szCs w:val="24"/>
              </w:rPr>
              <w:t xml:space="preserve"> metālu, dārgmetālu lūžņu un atlūzu</w:t>
            </w:r>
            <w:r w:rsidRPr="00A7675C">
              <w:t xml:space="preserve"> </w:t>
            </w:r>
            <w:r w:rsidRPr="00A7675C">
              <w:rPr>
                <w:rFonts w:ascii="Times New Roman" w:eastAsia="Times New Roman" w:hAnsi="Times New Roman" w:cs="Times New Roman"/>
                <w:sz w:val="24"/>
                <w:szCs w:val="24"/>
              </w:rPr>
              <w:t>piegādēm.</w:t>
            </w:r>
          </w:p>
          <w:p w14:paraId="68A65259" w14:textId="0D306A7D" w:rsidR="009D03CC" w:rsidRPr="00A7675C" w:rsidRDefault="009D03CC" w:rsidP="009D03CC">
            <w:pPr>
              <w:pStyle w:val="NoSpacing"/>
              <w:ind w:left="100"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PVN apgrieztā maksāšanas kārtība</w:t>
            </w:r>
            <w:r w:rsidRPr="00A7675C">
              <w:rPr>
                <w:rFonts w:ascii="Times New Roman" w:eastAsia="Times New Roman" w:hAnsi="Times New Roman" w:cs="Times New Roman"/>
                <w:sz w:val="24"/>
                <w:szCs w:val="24"/>
              </w:rPr>
              <w:t>, ņemot vērā Padomes Regulas (EEK) Nr.2658/87 I pielikuma kombinētās nomenklatūras kodus, ir piemērojam</w:t>
            </w:r>
            <w:r>
              <w:rPr>
                <w:rFonts w:ascii="Times New Roman" w:eastAsia="Times New Roman" w:hAnsi="Times New Roman" w:cs="Times New Roman"/>
                <w:sz w:val="24"/>
                <w:szCs w:val="24"/>
              </w:rPr>
              <w:t>a</w:t>
            </w:r>
            <w:r w:rsidRPr="00A7675C">
              <w:rPr>
                <w:rFonts w:ascii="Times New Roman" w:eastAsia="Times New Roman" w:hAnsi="Times New Roman" w:cs="Times New Roman"/>
                <w:sz w:val="24"/>
                <w:szCs w:val="24"/>
              </w:rPr>
              <w:t xml:space="preserve"> šādu </w:t>
            </w:r>
            <w:r w:rsidRPr="00560BAA">
              <w:rPr>
                <w:rFonts w:ascii="Times New Roman" w:eastAsia="Times New Roman" w:hAnsi="Times New Roman" w:cs="Times New Roman"/>
                <w:sz w:val="24"/>
                <w:szCs w:val="24"/>
              </w:rPr>
              <w:t xml:space="preserve">neapstrādātu </w:t>
            </w:r>
            <w:r w:rsidRPr="00560BAA">
              <w:rPr>
                <w:rFonts w:ascii="Times New Roman" w:hAnsi="Times New Roman" w:cs="Times New Roman"/>
                <w:snapToGrid w:val="0"/>
                <w:sz w:val="24"/>
                <w:szCs w:val="24"/>
              </w:rPr>
              <w:t>dārgmetālu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dārgmetālu sakausējumu</w:t>
            </w:r>
            <w:r>
              <w:rPr>
                <w:rFonts w:ascii="Times New Roman" w:hAnsi="Times New Roman" w:cs="Times New Roman"/>
                <w:snapToGrid w:val="0"/>
                <w:sz w:val="24"/>
                <w:szCs w:val="24"/>
              </w:rPr>
              <w:t xml:space="preserve"> un to pusfabrikātu</w:t>
            </w:r>
            <w:r w:rsidRPr="00560BAA">
              <w:rPr>
                <w:rFonts w:ascii="Times New Roman" w:eastAsia="Times New Roman" w:hAnsi="Times New Roman" w:cs="Times New Roman"/>
                <w:sz w:val="24"/>
                <w:szCs w:val="24"/>
              </w:rPr>
              <w:t xml:space="preserve">, dārgmetālu </w:t>
            </w:r>
            <w:proofErr w:type="spellStart"/>
            <w:r w:rsidRPr="00560BAA">
              <w:rPr>
                <w:rFonts w:ascii="Times New Roman" w:eastAsia="Times New Roman" w:hAnsi="Times New Roman" w:cs="Times New Roman"/>
                <w:sz w:val="24"/>
                <w:szCs w:val="24"/>
              </w:rPr>
              <w:t>plaķētu</w:t>
            </w:r>
            <w:proofErr w:type="spellEnd"/>
            <w:r w:rsidRPr="00560BAA">
              <w:rPr>
                <w:rFonts w:ascii="Times New Roman" w:eastAsia="Times New Roman" w:hAnsi="Times New Roman" w:cs="Times New Roman"/>
                <w:sz w:val="24"/>
                <w:szCs w:val="24"/>
              </w:rPr>
              <w:t xml:space="preserve"> metālu, dārgmetālu lūžņu un atlūzu</w:t>
            </w:r>
            <w:r w:rsidRPr="00A7675C">
              <w:rPr>
                <w:rFonts w:ascii="Times New Roman" w:eastAsia="Times New Roman" w:hAnsi="Times New Roman" w:cs="Times New Roman"/>
                <w:sz w:val="24"/>
                <w:szCs w:val="24"/>
              </w:rPr>
              <w:t xml:space="preserve"> piegādei:</w:t>
            </w:r>
          </w:p>
          <w:tbl>
            <w:tblPr>
              <w:tblStyle w:val="TableGrid"/>
              <w:tblW w:w="0" w:type="auto"/>
              <w:tblLook w:val="04A0" w:firstRow="1" w:lastRow="0" w:firstColumn="1" w:lastColumn="0" w:noHBand="0" w:noVBand="1"/>
            </w:tblPr>
            <w:tblGrid>
              <w:gridCol w:w="2268"/>
              <w:gridCol w:w="4556"/>
            </w:tblGrid>
            <w:tr w:rsidR="009D03CC" w:rsidRPr="00A7675C" w14:paraId="429F2869" w14:textId="77777777" w:rsidTr="00FC1C8A">
              <w:tc>
                <w:tcPr>
                  <w:tcW w:w="2268" w:type="dxa"/>
                </w:tcPr>
                <w:p w14:paraId="55C2C1BF" w14:textId="77777777" w:rsidR="009D03CC" w:rsidRPr="00A7675C" w:rsidRDefault="009D03CC" w:rsidP="009D03CC">
                  <w:pPr>
                    <w:ind w:right="37"/>
                    <w:jc w:val="both"/>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Kombinētās nomenklatūras kods</w:t>
                  </w:r>
                </w:p>
              </w:tc>
              <w:tc>
                <w:tcPr>
                  <w:tcW w:w="4556" w:type="dxa"/>
                </w:tcPr>
                <w:p w14:paraId="2B8FB1A7" w14:textId="1BC7DB0F" w:rsidR="009D03CC" w:rsidRPr="00A7675C" w:rsidRDefault="009D03CC" w:rsidP="009D03CC">
                  <w:pPr>
                    <w:ind w:right="161"/>
                    <w:jc w:val="center"/>
                    <w:rPr>
                      <w:rFonts w:ascii="Times New Roman" w:eastAsia="Times New Roman" w:hAnsi="Times New Roman" w:cs="Times New Roman"/>
                      <w:sz w:val="24"/>
                      <w:szCs w:val="24"/>
                    </w:rPr>
                  </w:pPr>
                  <w:r w:rsidRPr="00A7675C">
                    <w:rPr>
                      <w:rFonts w:ascii="Times New Roman" w:eastAsia="Times New Roman" w:hAnsi="Times New Roman" w:cs="Times New Roman"/>
                      <w:sz w:val="24"/>
                      <w:szCs w:val="24"/>
                    </w:rPr>
                    <w:t>Produkts</w:t>
                  </w:r>
                </w:p>
              </w:tc>
            </w:tr>
            <w:tr w:rsidR="009D03CC" w:rsidRPr="00A7675C" w14:paraId="38B7616D" w14:textId="77777777" w:rsidTr="00FC1C8A">
              <w:tc>
                <w:tcPr>
                  <w:tcW w:w="2268" w:type="dxa"/>
                </w:tcPr>
                <w:p w14:paraId="6EDE2EB1" w14:textId="77777777" w:rsidR="009D03CC" w:rsidRPr="00B76DA4" w:rsidRDefault="009D03CC" w:rsidP="009D03CC">
                  <w:pPr>
                    <w:ind w:right="161"/>
                    <w:jc w:val="both"/>
                    <w:rPr>
                      <w:rFonts w:ascii="Times New Roman" w:eastAsia="Times New Roman" w:hAnsi="Times New Roman" w:cs="Times New Roman"/>
                      <w:sz w:val="24"/>
                      <w:szCs w:val="24"/>
                    </w:rPr>
                  </w:pPr>
                  <w:r w:rsidRPr="00B76DA4">
                    <w:rPr>
                      <w:rFonts w:ascii="Times New Roman" w:eastAsia="Times New Roman" w:hAnsi="Times New Roman" w:cs="Times New Roman"/>
                      <w:sz w:val="24"/>
                      <w:szCs w:val="24"/>
                    </w:rPr>
                    <w:t>7106</w:t>
                  </w:r>
                </w:p>
              </w:tc>
              <w:tc>
                <w:tcPr>
                  <w:tcW w:w="4556" w:type="dxa"/>
                </w:tcPr>
                <w:p w14:paraId="5CB22161" w14:textId="77777777" w:rsidR="009D03CC" w:rsidRPr="00A7675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Sudrabs (ieskaitot ar zeltu vai platīnu pārklātu sudrabu), neapstrādāts, daļēji apstrādāts vai pulverveidā</w:t>
                  </w:r>
                </w:p>
              </w:tc>
            </w:tr>
            <w:tr w:rsidR="009D03CC" w:rsidRPr="00A7675C" w14:paraId="10AB5FB8" w14:textId="77777777" w:rsidTr="00FC1C8A">
              <w:tc>
                <w:tcPr>
                  <w:tcW w:w="2268" w:type="dxa"/>
                </w:tcPr>
                <w:p w14:paraId="6E216E9B"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7107</w:t>
                  </w:r>
                </w:p>
              </w:tc>
              <w:tc>
                <w:tcPr>
                  <w:tcW w:w="4556" w:type="dxa"/>
                </w:tcPr>
                <w:p w14:paraId="139D329D"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Parastie metāli, </w:t>
                  </w:r>
                  <w:proofErr w:type="spellStart"/>
                  <w:r>
                    <w:rPr>
                      <w:rFonts w:ascii="Times New Roman" w:eastAsia="Times New Roman" w:hAnsi="Times New Roman" w:cs="Times New Roman"/>
                      <w:sz w:val="24"/>
                      <w:szCs w:val="24"/>
                    </w:rPr>
                    <w:t>plaķēti</w:t>
                  </w:r>
                  <w:proofErr w:type="spellEnd"/>
                  <w:r>
                    <w:rPr>
                      <w:rFonts w:ascii="Times New Roman" w:eastAsia="Times New Roman" w:hAnsi="Times New Roman" w:cs="Times New Roman"/>
                      <w:sz w:val="24"/>
                      <w:szCs w:val="24"/>
                    </w:rPr>
                    <w:t xml:space="preserve"> ar sudrabu, tikai daļēji apstrādāti</w:t>
                  </w:r>
                </w:p>
              </w:tc>
            </w:tr>
            <w:tr w:rsidR="009D03CC" w:rsidRPr="00A7675C" w14:paraId="38F17D2F" w14:textId="77777777" w:rsidTr="00FC1C8A">
              <w:tc>
                <w:tcPr>
                  <w:tcW w:w="2268" w:type="dxa"/>
                </w:tcPr>
                <w:p w14:paraId="1983CF8B" w14:textId="77777777" w:rsidR="009D03CC" w:rsidRPr="00B76DA4"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7108</w:t>
                  </w:r>
                </w:p>
              </w:tc>
              <w:tc>
                <w:tcPr>
                  <w:tcW w:w="4556" w:type="dxa"/>
                </w:tcPr>
                <w:p w14:paraId="70BDB5B9" w14:textId="77777777" w:rsidR="009D03CC" w:rsidRPr="00A7675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Zelts (ieskaitot platinētu zeltu), neapstrādāts, daļēji apstrādāts vai pulverveidā</w:t>
                  </w:r>
                </w:p>
              </w:tc>
            </w:tr>
            <w:tr w:rsidR="009D03CC" w:rsidRPr="00A7675C" w14:paraId="65193F27" w14:textId="77777777" w:rsidTr="00FC1C8A">
              <w:tc>
                <w:tcPr>
                  <w:tcW w:w="2268" w:type="dxa"/>
                </w:tcPr>
                <w:p w14:paraId="235C3B09"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7109</w:t>
                  </w:r>
                </w:p>
              </w:tc>
              <w:tc>
                <w:tcPr>
                  <w:tcW w:w="4556" w:type="dxa"/>
                </w:tcPr>
                <w:p w14:paraId="24517C46"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zeltu </w:t>
                  </w:r>
                  <w:proofErr w:type="spellStart"/>
                  <w:r>
                    <w:rPr>
                      <w:rFonts w:ascii="Times New Roman" w:eastAsia="Times New Roman" w:hAnsi="Times New Roman" w:cs="Times New Roman"/>
                      <w:sz w:val="24"/>
                      <w:szCs w:val="24"/>
                    </w:rPr>
                    <w:t>plaķēti</w:t>
                  </w:r>
                  <w:proofErr w:type="spellEnd"/>
                  <w:r>
                    <w:rPr>
                      <w:rFonts w:ascii="Times New Roman" w:eastAsia="Times New Roman" w:hAnsi="Times New Roman" w:cs="Times New Roman"/>
                      <w:sz w:val="24"/>
                      <w:szCs w:val="24"/>
                    </w:rPr>
                    <w:t xml:space="preserve"> parastie metāli vai sudrabs, tikai daļēji apstrādāts</w:t>
                  </w:r>
                </w:p>
              </w:tc>
            </w:tr>
            <w:tr w:rsidR="009D03CC" w:rsidRPr="00A7675C" w14:paraId="7D6A1236" w14:textId="77777777" w:rsidTr="00FC1C8A">
              <w:tc>
                <w:tcPr>
                  <w:tcW w:w="2268" w:type="dxa"/>
                </w:tcPr>
                <w:p w14:paraId="14989E14" w14:textId="77777777" w:rsidR="009D03CC" w:rsidRPr="00A7675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7110</w:t>
                  </w:r>
                </w:p>
              </w:tc>
              <w:tc>
                <w:tcPr>
                  <w:tcW w:w="4556" w:type="dxa"/>
                </w:tcPr>
                <w:p w14:paraId="3DF50FC0" w14:textId="77777777" w:rsidR="009D03CC" w:rsidRPr="00A7675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Platīns neapstrādāts, daļēji apstrādāts vai pulverveidā</w:t>
                  </w:r>
                </w:p>
              </w:tc>
            </w:tr>
            <w:tr w:rsidR="009D03CC" w:rsidRPr="00A7675C" w14:paraId="7DBFDF67" w14:textId="77777777" w:rsidTr="00FC1C8A">
              <w:tc>
                <w:tcPr>
                  <w:tcW w:w="2268" w:type="dxa"/>
                </w:tcPr>
                <w:p w14:paraId="69499D2C"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7111</w:t>
                  </w:r>
                </w:p>
              </w:tc>
              <w:tc>
                <w:tcPr>
                  <w:tcW w:w="4556" w:type="dxa"/>
                </w:tcPr>
                <w:p w14:paraId="481F8F0E"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platīnu </w:t>
                  </w:r>
                  <w:proofErr w:type="spellStart"/>
                  <w:r>
                    <w:rPr>
                      <w:rFonts w:ascii="Times New Roman" w:eastAsia="Times New Roman" w:hAnsi="Times New Roman" w:cs="Times New Roman"/>
                      <w:sz w:val="24"/>
                      <w:szCs w:val="24"/>
                    </w:rPr>
                    <w:t>plaķēti</w:t>
                  </w:r>
                  <w:proofErr w:type="spellEnd"/>
                  <w:r>
                    <w:rPr>
                      <w:rFonts w:ascii="Times New Roman" w:eastAsia="Times New Roman" w:hAnsi="Times New Roman" w:cs="Times New Roman"/>
                      <w:sz w:val="24"/>
                      <w:szCs w:val="24"/>
                    </w:rPr>
                    <w:t xml:space="preserve"> parastie metāli, sudrabs un zelts, tikai daļēji apstrādāts</w:t>
                  </w:r>
                </w:p>
              </w:tc>
            </w:tr>
            <w:tr w:rsidR="009D03CC" w:rsidRPr="00A7675C" w14:paraId="35F87F76" w14:textId="77777777" w:rsidTr="00FC1C8A">
              <w:tc>
                <w:tcPr>
                  <w:tcW w:w="2268" w:type="dxa"/>
                </w:tcPr>
                <w:p w14:paraId="44EA7205"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7112</w:t>
                  </w:r>
                </w:p>
              </w:tc>
              <w:tc>
                <w:tcPr>
                  <w:tcW w:w="4556" w:type="dxa"/>
                </w:tcPr>
                <w:p w14:paraId="7125108A" w14:textId="77777777" w:rsidR="009D03CC" w:rsidRDefault="009D03CC" w:rsidP="009D03CC">
                  <w:pPr>
                    <w:ind w:right="1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Dārgmetālu vai ar dārgmetālu </w:t>
                  </w:r>
                  <w:proofErr w:type="spellStart"/>
                  <w:r>
                    <w:rPr>
                      <w:rFonts w:ascii="Times New Roman" w:eastAsia="Times New Roman" w:hAnsi="Times New Roman" w:cs="Times New Roman"/>
                      <w:sz w:val="24"/>
                      <w:szCs w:val="24"/>
                    </w:rPr>
                    <w:t>plaķētu</w:t>
                  </w:r>
                  <w:proofErr w:type="spellEnd"/>
                  <w:r>
                    <w:rPr>
                      <w:rFonts w:ascii="Times New Roman" w:eastAsia="Times New Roman" w:hAnsi="Times New Roman" w:cs="Times New Roman"/>
                      <w:sz w:val="24"/>
                      <w:szCs w:val="24"/>
                    </w:rPr>
                    <w:t xml:space="preserve"> metālu lūžņi un atlūzas: citādi atkritumi un lūžņi, kas satur dārgmetālus vai dārgmetālu savienojumus un kurus izmanto galvenokārt dārgmetālu reģenerēšanai</w:t>
                  </w:r>
                </w:p>
              </w:tc>
            </w:tr>
          </w:tbl>
          <w:p w14:paraId="14D841D1" w14:textId="38994C03" w:rsidR="009D03CC" w:rsidRPr="00A7675C" w:rsidRDefault="009D03CC" w:rsidP="009D03CC">
            <w:pPr>
              <w:pStyle w:val="NoSpacing"/>
              <w:ind w:left="100" w:right="161"/>
              <w:jc w:val="both"/>
              <w:rPr>
                <w:rFonts w:ascii="Times New Roman" w:hAnsi="Times New Roman" w:cs="Times New Roman"/>
                <w:sz w:val="24"/>
                <w:szCs w:val="24"/>
              </w:rPr>
            </w:pPr>
            <w:r w:rsidRPr="00A7675C">
              <w:rPr>
                <w:rFonts w:ascii="Times New Roman" w:eastAsia="Times New Roman" w:hAnsi="Times New Roman" w:cs="Times New Roman"/>
                <w:sz w:val="24"/>
                <w:szCs w:val="24"/>
              </w:rPr>
              <w:t>Ieviešot minēto reg</w:t>
            </w:r>
            <w:r>
              <w:rPr>
                <w:rFonts w:ascii="Times New Roman" w:eastAsia="Times New Roman" w:hAnsi="Times New Roman" w:cs="Times New Roman"/>
                <w:sz w:val="24"/>
                <w:szCs w:val="24"/>
              </w:rPr>
              <w:t>ulējumu, sagaidāms, ka samazinās</w:t>
            </w:r>
            <w:r w:rsidRPr="00A7675C">
              <w:rPr>
                <w:rFonts w:ascii="Times New Roman" w:eastAsia="Times New Roman" w:hAnsi="Times New Roman" w:cs="Times New Roman"/>
                <w:sz w:val="24"/>
                <w:szCs w:val="24"/>
              </w:rPr>
              <w:t xml:space="preserve">ies krāpšanās apjoms ar augstāk minētajiem </w:t>
            </w:r>
            <w:r>
              <w:rPr>
                <w:rFonts w:ascii="Times New Roman" w:eastAsia="Times New Roman" w:hAnsi="Times New Roman" w:cs="Times New Roman"/>
                <w:sz w:val="24"/>
                <w:szCs w:val="24"/>
              </w:rPr>
              <w:t>produktiem</w:t>
            </w:r>
            <w:r w:rsidRPr="00A7675C">
              <w:rPr>
                <w:rFonts w:ascii="Times New Roman" w:eastAsia="Times New Roman" w:hAnsi="Times New Roman" w:cs="Times New Roman"/>
                <w:sz w:val="24"/>
                <w:szCs w:val="24"/>
              </w:rPr>
              <w:t>, tādējādi uz tā rēķina varētu palielināties arī PVN ieņēmumi valsts budžetā.</w:t>
            </w:r>
          </w:p>
        </w:tc>
      </w:tr>
      <w:tr w:rsidR="009D03CC" w:rsidRPr="00A7675C" w14:paraId="5EDC09C9" w14:textId="77777777" w:rsidTr="00F96936">
        <w:trPr>
          <w:jc w:val="center"/>
        </w:trPr>
        <w:tc>
          <w:tcPr>
            <w:tcW w:w="2112" w:type="dxa"/>
            <w:gridSpan w:val="2"/>
            <w:tcBorders>
              <w:top w:val="outset" w:sz="6" w:space="0" w:color="auto"/>
              <w:left w:val="outset" w:sz="6" w:space="0" w:color="auto"/>
              <w:bottom w:val="outset" w:sz="6" w:space="0" w:color="auto"/>
              <w:right w:val="outset" w:sz="6" w:space="0" w:color="auto"/>
            </w:tcBorders>
          </w:tcPr>
          <w:p w14:paraId="09F60032" w14:textId="77777777" w:rsidR="009D03CC" w:rsidRPr="00A7675C" w:rsidRDefault="009D03CC" w:rsidP="009D03CC">
            <w:pPr>
              <w:spacing w:after="0" w:line="240" w:lineRule="auto"/>
              <w:ind w:left="57"/>
              <w:rPr>
                <w:rFonts w:ascii="Times New Roman" w:hAnsi="Times New Roman" w:cs="Times New Roman"/>
                <w:spacing w:val="-3"/>
                <w:sz w:val="24"/>
                <w:szCs w:val="24"/>
              </w:rPr>
            </w:pPr>
            <w:r w:rsidRPr="00A7675C">
              <w:rPr>
                <w:rFonts w:ascii="Times New Roman" w:hAnsi="Times New Roman" w:cs="Times New Roman"/>
                <w:spacing w:val="-4"/>
                <w:sz w:val="24"/>
                <w:szCs w:val="24"/>
              </w:rPr>
              <w:t>Saistības sniegt paziņojumu ES institūcijām un ES dalībvalstīm atbilstoši normatīvajiem aktiem, kas regulē informācijas sniegšanu par tehnisko noteikumu, valsts atbalsta piešķir</w:t>
            </w:r>
            <w:r w:rsidRPr="00A7675C">
              <w:rPr>
                <w:rFonts w:ascii="Times New Roman" w:hAnsi="Times New Roman" w:cs="Times New Roman"/>
                <w:spacing w:val="-4"/>
                <w:sz w:val="24"/>
                <w:szCs w:val="24"/>
              </w:rPr>
              <w:softHyphen/>
              <w:t>šanas un finanšu noteikumu (attiecībā uz monetāro politiku) projektiem</w:t>
            </w:r>
          </w:p>
        </w:tc>
        <w:tc>
          <w:tcPr>
            <w:tcW w:w="6891" w:type="dxa"/>
            <w:gridSpan w:val="7"/>
            <w:tcBorders>
              <w:top w:val="outset" w:sz="6" w:space="0" w:color="auto"/>
              <w:left w:val="outset" w:sz="6" w:space="0" w:color="auto"/>
              <w:bottom w:val="outset" w:sz="6" w:space="0" w:color="auto"/>
              <w:right w:val="outset" w:sz="6" w:space="0" w:color="auto"/>
            </w:tcBorders>
          </w:tcPr>
          <w:p w14:paraId="1F303267" w14:textId="292BA491" w:rsidR="009D03CC" w:rsidRDefault="00BD443E" w:rsidP="009D03CC">
            <w:pPr>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Projekts šo jomu neskar.</w:t>
            </w:r>
          </w:p>
          <w:p w14:paraId="3D722401" w14:textId="3D2B527A" w:rsidR="009D03CC" w:rsidRPr="00A7675C" w:rsidRDefault="009D03CC" w:rsidP="009D03CC">
            <w:pPr>
              <w:spacing w:after="0" w:line="240" w:lineRule="auto"/>
              <w:ind w:left="57"/>
              <w:rPr>
                <w:rFonts w:ascii="Times New Roman" w:hAnsi="Times New Roman" w:cs="Times New Roman"/>
                <w:sz w:val="24"/>
                <w:szCs w:val="24"/>
              </w:rPr>
            </w:pPr>
          </w:p>
        </w:tc>
      </w:tr>
      <w:tr w:rsidR="009D03CC" w:rsidRPr="00A7675C" w14:paraId="470CB713" w14:textId="77777777" w:rsidTr="00F96936">
        <w:trPr>
          <w:jc w:val="center"/>
        </w:trPr>
        <w:tc>
          <w:tcPr>
            <w:tcW w:w="2112" w:type="dxa"/>
            <w:gridSpan w:val="2"/>
            <w:tcBorders>
              <w:top w:val="outset" w:sz="6" w:space="0" w:color="auto"/>
              <w:left w:val="outset" w:sz="6" w:space="0" w:color="auto"/>
              <w:bottom w:val="outset" w:sz="6" w:space="0" w:color="auto"/>
              <w:right w:val="outset" w:sz="6" w:space="0" w:color="auto"/>
            </w:tcBorders>
          </w:tcPr>
          <w:p w14:paraId="473C7FF9" w14:textId="628BD422" w:rsidR="009D03CC" w:rsidRPr="00A7675C" w:rsidRDefault="009D03CC" w:rsidP="009D03CC">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6891" w:type="dxa"/>
            <w:gridSpan w:val="7"/>
            <w:tcBorders>
              <w:top w:val="outset" w:sz="6" w:space="0" w:color="auto"/>
              <w:left w:val="outset" w:sz="6" w:space="0" w:color="auto"/>
              <w:bottom w:val="outset" w:sz="6" w:space="0" w:color="auto"/>
              <w:right w:val="outset" w:sz="6" w:space="0" w:color="auto"/>
            </w:tcBorders>
          </w:tcPr>
          <w:p w14:paraId="57BBF39E" w14:textId="048C2358" w:rsidR="009D03CC" w:rsidRPr="00A7675C" w:rsidRDefault="009D03CC" w:rsidP="009D03CC">
            <w:pPr>
              <w:spacing w:after="0" w:line="240" w:lineRule="auto"/>
              <w:ind w:left="57" w:right="114"/>
              <w:jc w:val="both"/>
              <w:rPr>
                <w:rFonts w:ascii="Times New Roman" w:hAnsi="Times New Roman" w:cs="Times New Roman"/>
                <w:snapToGrid w:val="0"/>
                <w:sz w:val="24"/>
                <w:szCs w:val="24"/>
              </w:rPr>
            </w:pPr>
            <w:r w:rsidRPr="00A7675C">
              <w:rPr>
                <w:rFonts w:ascii="Times New Roman" w:hAnsi="Times New Roman" w:cs="Times New Roman"/>
                <w:snapToGrid w:val="0"/>
                <w:sz w:val="24"/>
                <w:szCs w:val="24"/>
              </w:rPr>
              <w:t xml:space="preserve">PVN </w:t>
            </w:r>
            <w:r>
              <w:rPr>
                <w:rFonts w:ascii="Times New Roman" w:hAnsi="Times New Roman" w:cs="Times New Roman"/>
                <w:snapToGrid w:val="0"/>
                <w:sz w:val="24"/>
                <w:szCs w:val="24"/>
              </w:rPr>
              <w:t>apgrieztā</w:t>
            </w:r>
            <w:r w:rsidRPr="00A7675C">
              <w:rPr>
                <w:rFonts w:ascii="Times New Roman" w:hAnsi="Times New Roman" w:cs="Times New Roman"/>
                <w:snapToGrid w:val="0"/>
                <w:sz w:val="24"/>
                <w:szCs w:val="24"/>
              </w:rPr>
              <w:t xml:space="preserve"> maksāšanas </w:t>
            </w:r>
            <w:r>
              <w:rPr>
                <w:rFonts w:ascii="Times New Roman" w:hAnsi="Times New Roman" w:cs="Times New Roman"/>
                <w:snapToGrid w:val="0"/>
                <w:sz w:val="24"/>
                <w:szCs w:val="24"/>
              </w:rPr>
              <w:t>kārtība</w:t>
            </w:r>
            <w:r w:rsidRPr="00A7675C">
              <w:rPr>
                <w:rFonts w:ascii="Times New Roman" w:hAnsi="Times New Roman" w:cs="Times New Roman"/>
                <w:snapToGrid w:val="0"/>
                <w:sz w:val="24"/>
                <w:szCs w:val="24"/>
              </w:rPr>
              <w:t xml:space="preserve"> </w:t>
            </w:r>
            <w:r w:rsidRPr="00560BAA">
              <w:rPr>
                <w:rFonts w:ascii="Times New Roman" w:hAnsi="Times New Roman" w:cs="Times New Roman"/>
                <w:snapToGrid w:val="0"/>
                <w:sz w:val="24"/>
                <w:szCs w:val="24"/>
              </w:rPr>
              <w:t>neapstrādātu dārgmetālu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dārgmetālu sakausējumu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xml:space="preserve">, dārgmetālu </w:t>
            </w:r>
            <w:proofErr w:type="spellStart"/>
            <w:r w:rsidRPr="00560BAA">
              <w:rPr>
                <w:rFonts w:ascii="Times New Roman" w:hAnsi="Times New Roman" w:cs="Times New Roman"/>
                <w:snapToGrid w:val="0"/>
                <w:sz w:val="24"/>
                <w:szCs w:val="24"/>
              </w:rPr>
              <w:t>plaķētu</w:t>
            </w:r>
            <w:proofErr w:type="spellEnd"/>
            <w:r w:rsidRPr="00560BAA">
              <w:rPr>
                <w:rFonts w:ascii="Times New Roman" w:hAnsi="Times New Roman" w:cs="Times New Roman"/>
                <w:snapToGrid w:val="0"/>
                <w:sz w:val="24"/>
                <w:szCs w:val="24"/>
              </w:rPr>
              <w:t xml:space="preserve"> metālu, dārgmetālu lūžņu un atlūzu</w:t>
            </w:r>
            <w:r w:rsidRPr="00A7675C">
              <w:rPr>
                <w:rFonts w:ascii="Times New Roman" w:hAnsi="Times New Roman" w:cs="Times New Roman"/>
                <w:snapToGrid w:val="0"/>
                <w:sz w:val="24"/>
                <w:szCs w:val="24"/>
              </w:rPr>
              <w:t xml:space="preserve"> piegādēm ir ieviešam</w:t>
            </w:r>
            <w:r>
              <w:rPr>
                <w:rFonts w:ascii="Times New Roman" w:hAnsi="Times New Roman" w:cs="Times New Roman"/>
                <w:snapToGrid w:val="0"/>
                <w:sz w:val="24"/>
                <w:szCs w:val="24"/>
              </w:rPr>
              <w:t>a</w:t>
            </w:r>
            <w:r w:rsidRPr="00A7675C">
              <w:rPr>
                <w:rFonts w:ascii="Times New Roman" w:hAnsi="Times New Roman" w:cs="Times New Roman"/>
                <w:snapToGrid w:val="0"/>
                <w:sz w:val="24"/>
                <w:szCs w:val="24"/>
              </w:rPr>
              <w:t xml:space="preserve"> uz ierobežotu laika periodu, t.i., līdz 2018.gada 31.decembrim un vismaz uz diviem gadiem.</w:t>
            </w:r>
          </w:p>
          <w:p w14:paraId="77064833" w14:textId="6FAA19C1" w:rsidR="009D03CC" w:rsidRPr="00A7675C" w:rsidRDefault="009D03CC" w:rsidP="009D03CC">
            <w:pPr>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napToGrid w:val="0"/>
                <w:sz w:val="24"/>
                <w:szCs w:val="24"/>
              </w:rPr>
              <w:t xml:space="preserve">Latvijai par </w:t>
            </w:r>
            <w:r>
              <w:rPr>
                <w:rFonts w:ascii="Times New Roman" w:hAnsi="Times New Roman" w:cs="Times New Roman"/>
                <w:snapToGrid w:val="0"/>
                <w:sz w:val="24"/>
                <w:szCs w:val="24"/>
              </w:rPr>
              <w:t>PVN apgrieztās maksāšanas kārtības</w:t>
            </w:r>
            <w:r w:rsidRPr="00A7675C">
              <w:rPr>
                <w:rFonts w:ascii="Times New Roman" w:hAnsi="Times New Roman" w:cs="Times New Roman"/>
                <w:snapToGrid w:val="0"/>
                <w:sz w:val="24"/>
                <w:szCs w:val="24"/>
              </w:rPr>
              <w:t xml:space="preserve"> ieviešanu </w:t>
            </w:r>
            <w:r w:rsidRPr="00560BAA">
              <w:rPr>
                <w:rFonts w:ascii="Times New Roman" w:hAnsi="Times New Roman" w:cs="Times New Roman"/>
                <w:snapToGrid w:val="0"/>
                <w:sz w:val="24"/>
                <w:szCs w:val="24"/>
              </w:rPr>
              <w:t>neapstrādātu dārgmetālu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dārgmetālu sakausējumu</w:t>
            </w:r>
            <w:r>
              <w:rPr>
                <w:rFonts w:ascii="Times New Roman" w:hAnsi="Times New Roman" w:cs="Times New Roman"/>
                <w:snapToGrid w:val="0"/>
                <w:sz w:val="24"/>
                <w:szCs w:val="24"/>
              </w:rPr>
              <w:t xml:space="preserve"> un to pusfabrikātu</w:t>
            </w:r>
            <w:r w:rsidRPr="00560BAA">
              <w:rPr>
                <w:rFonts w:ascii="Times New Roman" w:hAnsi="Times New Roman" w:cs="Times New Roman"/>
                <w:snapToGrid w:val="0"/>
                <w:sz w:val="24"/>
                <w:szCs w:val="24"/>
              </w:rPr>
              <w:t xml:space="preserve">, dārgmetālu </w:t>
            </w:r>
            <w:proofErr w:type="spellStart"/>
            <w:r w:rsidRPr="00560BAA">
              <w:rPr>
                <w:rFonts w:ascii="Times New Roman" w:hAnsi="Times New Roman" w:cs="Times New Roman"/>
                <w:snapToGrid w:val="0"/>
                <w:sz w:val="24"/>
                <w:szCs w:val="24"/>
              </w:rPr>
              <w:t>plaķētu</w:t>
            </w:r>
            <w:proofErr w:type="spellEnd"/>
            <w:r w:rsidRPr="00560BAA">
              <w:rPr>
                <w:rFonts w:ascii="Times New Roman" w:hAnsi="Times New Roman" w:cs="Times New Roman"/>
                <w:snapToGrid w:val="0"/>
                <w:sz w:val="24"/>
                <w:szCs w:val="24"/>
              </w:rPr>
              <w:t xml:space="preserve"> metālu, dārgmetālu lūžņu un atlūzu</w:t>
            </w:r>
            <w:r w:rsidRPr="00A7675C">
              <w:rPr>
                <w:rFonts w:ascii="Times New Roman" w:hAnsi="Times New Roman" w:cs="Times New Roman"/>
                <w:snapToGrid w:val="0"/>
                <w:sz w:val="24"/>
                <w:szCs w:val="24"/>
              </w:rPr>
              <w:t xml:space="preserve"> piegādēm jāiesniedz Komisijai ziņojums par pasākuma efektivitāti un lietderību līdz 2017.gada 30.jūnijam.</w:t>
            </w:r>
          </w:p>
        </w:tc>
      </w:tr>
      <w:tr w:rsidR="009D03CC" w:rsidRPr="00A7675C" w14:paraId="147F6AC7" w14:textId="77777777" w:rsidTr="00F96936">
        <w:trPr>
          <w:jc w:val="center"/>
        </w:trPr>
        <w:tc>
          <w:tcPr>
            <w:tcW w:w="9003" w:type="dxa"/>
            <w:gridSpan w:val="9"/>
            <w:tcBorders>
              <w:top w:val="outset" w:sz="6" w:space="0" w:color="auto"/>
              <w:left w:val="outset" w:sz="6" w:space="0" w:color="auto"/>
              <w:bottom w:val="outset" w:sz="6" w:space="0" w:color="auto"/>
              <w:right w:val="outset" w:sz="6" w:space="0" w:color="auto"/>
            </w:tcBorders>
            <w:vAlign w:val="center"/>
          </w:tcPr>
          <w:p w14:paraId="680E6C29" w14:textId="77777777" w:rsidR="009D03CC" w:rsidRPr="00A7675C" w:rsidRDefault="009D03CC" w:rsidP="009D03CC">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2.tabula</w:t>
            </w:r>
          </w:p>
          <w:p w14:paraId="0C585077" w14:textId="77777777" w:rsidR="009D03CC" w:rsidRPr="00A7675C" w:rsidRDefault="009D03CC" w:rsidP="009D03CC">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313AA77" w14:textId="77777777" w:rsidR="009D03CC" w:rsidRPr="00A7675C" w:rsidRDefault="009D03CC" w:rsidP="009D03CC">
            <w:pPr>
              <w:spacing w:after="0" w:line="240" w:lineRule="auto"/>
              <w:ind w:left="57"/>
              <w:jc w:val="center"/>
              <w:rPr>
                <w:rFonts w:ascii="Times New Roman" w:hAnsi="Times New Roman" w:cs="Times New Roman"/>
                <w:b/>
                <w:sz w:val="24"/>
                <w:szCs w:val="24"/>
              </w:rPr>
            </w:pPr>
            <w:r w:rsidRPr="00A7675C">
              <w:rPr>
                <w:rFonts w:ascii="Times New Roman" w:hAnsi="Times New Roman" w:cs="Times New Roman"/>
                <w:b/>
                <w:sz w:val="24"/>
                <w:szCs w:val="24"/>
              </w:rPr>
              <w:t>Pasākumi šo saistību izpildei</w:t>
            </w:r>
          </w:p>
        </w:tc>
      </w:tr>
      <w:tr w:rsidR="009D03CC" w:rsidRPr="00A7675C" w14:paraId="41CC2FFF" w14:textId="77777777" w:rsidTr="00F96936">
        <w:trPr>
          <w:jc w:val="center"/>
        </w:trPr>
        <w:tc>
          <w:tcPr>
            <w:tcW w:w="3084" w:type="dxa"/>
            <w:gridSpan w:val="3"/>
            <w:tcBorders>
              <w:top w:val="outset" w:sz="6" w:space="0" w:color="auto"/>
              <w:left w:val="outset" w:sz="6" w:space="0" w:color="auto"/>
              <w:bottom w:val="outset" w:sz="6" w:space="0" w:color="auto"/>
              <w:right w:val="outset" w:sz="6" w:space="0" w:color="auto"/>
            </w:tcBorders>
            <w:vAlign w:val="center"/>
          </w:tcPr>
          <w:p w14:paraId="77301C12" w14:textId="77777777" w:rsidR="009D03CC" w:rsidRPr="00A7675C" w:rsidRDefault="009D03CC" w:rsidP="009D03CC">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5919" w:type="dxa"/>
            <w:gridSpan w:val="6"/>
            <w:tcBorders>
              <w:top w:val="outset" w:sz="6" w:space="0" w:color="auto"/>
              <w:left w:val="outset" w:sz="6" w:space="0" w:color="auto"/>
              <w:bottom w:val="outset" w:sz="6" w:space="0" w:color="auto"/>
              <w:right w:val="outset" w:sz="6" w:space="0" w:color="auto"/>
            </w:tcBorders>
          </w:tcPr>
          <w:p w14:paraId="0BB1DF32" w14:textId="55707390" w:rsidR="009D03CC" w:rsidRPr="00A7675C" w:rsidRDefault="00DF38B1" w:rsidP="009D03CC">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BD443E" w:rsidRPr="00A7675C" w14:paraId="2CC51BB6" w14:textId="77777777" w:rsidTr="00F96936">
        <w:trPr>
          <w:jc w:val="center"/>
        </w:trPr>
        <w:tc>
          <w:tcPr>
            <w:tcW w:w="3084" w:type="dxa"/>
            <w:gridSpan w:val="3"/>
            <w:tcBorders>
              <w:top w:val="outset" w:sz="6" w:space="0" w:color="auto"/>
              <w:left w:val="outset" w:sz="6" w:space="0" w:color="auto"/>
              <w:bottom w:val="outset" w:sz="6" w:space="0" w:color="auto"/>
              <w:right w:val="outset" w:sz="6" w:space="0" w:color="auto"/>
            </w:tcBorders>
            <w:vAlign w:val="center"/>
          </w:tcPr>
          <w:p w14:paraId="515A1144" w14:textId="77777777" w:rsidR="009D03CC" w:rsidRPr="00A7675C" w:rsidRDefault="009D03CC" w:rsidP="009D03CC">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A</w:t>
            </w:r>
          </w:p>
        </w:tc>
        <w:tc>
          <w:tcPr>
            <w:tcW w:w="2073" w:type="dxa"/>
            <w:gridSpan w:val="4"/>
            <w:tcBorders>
              <w:top w:val="outset" w:sz="6" w:space="0" w:color="auto"/>
              <w:left w:val="outset" w:sz="6" w:space="0" w:color="auto"/>
              <w:bottom w:val="outset" w:sz="6" w:space="0" w:color="auto"/>
              <w:right w:val="outset" w:sz="6" w:space="0" w:color="auto"/>
            </w:tcBorders>
            <w:vAlign w:val="center"/>
          </w:tcPr>
          <w:p w14:paraId="0755506C" w14:textId="77777777" w:rsidR="009D03CC" w:rsidRPr="00A7675C" w:rsidRDefault="009D03CC" w:rsidP="009D03CC">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B</w:t>
            </w:r>
          </w:p>
        </w:tc>
        <w:tc>
          <w:tcPr>
            <w:tcW w:w="3846" w:type="dxa"/>
            <w:gridSpan w:val="2"/>
            <w:tcBorders>
              <w:top w:val="outset" w:sz="6" w:space="0" w:color="auto"/>
              <w:left w:val="outset" w:sz="6" w:space="0" w:color="auto"/>
              <w:bottom w:val="outset" w:sz="6" w:space="0" w:color="auto"/>
              <w:right w:val="outset" w:sz="6" w:space="0" w:color="auto"/>
            </w:tcBorders>
            <w:vAlign w:val="center"/>
          </w:tcPr>
          <w:p w14:paraId="6EFAF63B" w14:textId="77777777" w:rsidR="009D03CC" w:rsidRPr="00A7675C" w:rsidRDefault="009D03CC" w:rsidP="009D03CC">
            <w:pPr>
              <w:spacing w:after="0" w:line="240" w:lineRule="auto"/>
              <w:ind w:left="57"/>
              <w:jc w:val="center"/>
              <w:rPr>
                <w:rFonts w:ascii="Times New Roman" w:hAnsi="Times New Roman" w:cs="Times New Roman"/>
                <w:sz w:val="24"/>
                <w:szCs w:val="24"/>
              </w:rPr>
            </w:pPr>
            <w:r w:rsidRPr="00A7675C">
              <w:rPr>
                <w:rFonts w:ascii="Times New Roman" w:hAnsi="Times New Roman" w:cs="Times New Roman"/>
                <w:sz w:val="24"/>
                <w:szCs w:val="24"/>
              </w:rPr>
              <w:t>C</w:t>
            </w:r>
          </w:p>
        </w:tc>
      </w:tr>
      <w:tr w:rsidR="00BD443E" w:rsidRPr="00A7675C" w14:paraId="1F154848" w14:textId="77777777" w:rsidTr="00F96936">
        <w:trPr>
          <w:jc w:val="center"/>
        </w:trPr>
        <w:tc>
          <w:tcPr>
            <w:tcW w:w="3084" w:type="dxa"/>
            <w:gridSpan w:val="3"/>
            <w:tcBorders>
              <w:top w:val="outset" w:sz="6" w:space="0" w:color="auto"/>
              <w:left w:val="outset" w:sz="6" w:space="0" w:color="auto"/>
              <w:bottom w:val="outset" w:sz="6" w:space="0" w:color="auto"/>
              <w:right w:val="outset" w:sz="6" w:space="0" w:color="auto"/>
            </w:tcBorders>
            <w:vAlign w:val="center"/>
          </w:tcPr>
          <w:p w14:paraId="6CA406CE" w14:textId="23026A7F" w:rsidR="009D03CC" w:rsidRPr="00A7675C" w:rsidRDefault="009D03CC" w:rsidP="009D03CC">
            <w:pPr>
              <w:spacing w:after="0" w:line="240" w:lineRule="auto"/>
              <w:ind w:left="57"/>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c>
          <w:tcPr>
            <w:tcW w:w="2073" w:type="dxa"/>
            <w:gridSpan w:val="4"/>
            <w:tcBorders>
              <w:top w:val="outset" w:sz="6" w:space="0" w:color="auto"/>
              <w:left w:val="outset" w:sz="6" w:space="0" w:color="auto"/>
              <w:bottom w:val="outset" w:sz="6" w:space="0" w:color="auto"/>
              <w:right w:val="outset" w:sz="6" w:space="0" w:color="auto"/>
            </w:tcBorders>
          </w:tcPr>
          <w:p w14:paraId="6BA5EE77" w14:textId="55D4992A" w:rsidR="009D03CC" w:rsidRPr="00A7675C" w:rsidRDefault="009D03CC" w:rsidP="009D03CC">
            <w:pPr>
              <w:spacing w:after="0" w:line="240" w:lineRule="auto"/>
              <w:ind w:left="57"/>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c>
          <w:tcPr>
            <w:tcW w:w="3846" w:type="dxa"/>
            <w:gridSpan w:val="2"/>
            <w:tcBorders>
              <w:top w:val="outset" w:sz="6" w:space="0" w:color="auto"/>
              <w:left w:val="outset" w:sz="6" w:space="0" w:color="auto"/>
              <w:bottom w:val="outset" w:sz="6" w:space="0" w:color="auto"/>
              <w:right w:val="outset" w:sz="6" w:space="0" w:color="auto"/>
            </w:tcBorders>
          </w:tcPr>
          <w:p w14:paraId="57BA3F25" w14:textId="20669155" w:rsidR="009D03CC" w:rsidRPr="00A7675C" w:rsidRDefault="009D03CC" w:rsidP="009D03CC">
            <w:pPr>
              <w:spacing w:after="0" w:line="240" w:lineRule="auto"/>
              <w:ind w:left="57" w:right="129"/>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r>
      <w:tr w:rsidR="009D03CC" w:rsidRPr="00A7675C" w14:paraId="1A69A385" w14:textId="77777777" w:rsidTr="00F96936">
        <w:trPr>
          <w:jc w:val="center"/>
        </w:trPr>
        <w:tc>
          <w:tcPr>
            <w:tcW w:w="3084" w:type="dxa"/>
            <w:gridSpan w:val="3"/>
            <w:tcBorders>
              <w:top w:val="outset" w:sz="6" w:space="0" w:color="auto"/>
              <w:left w:val="outset" w:sz="6" w:space="0" w:color="auto"/>
              <w:bottom w:val="outset" w:sz="6" w:space="0" w:color="auto"/>
              <w:right w:val="outset" w:sz="6" w:space="0" w:color="auto"/>
            </w:tcBorders>
          </w:tcPr>
          <w:p w14:paraId="20C4ECB6" w14:textId="77777777" w:rsidR="009D03CC" w:rsidRPr="00A7675C" w:rsidRDefault="009D03CC" w:rsidP="009D03CC">
            <w:pPr>
              <w:spacing w:after="0" w:line="240" w:lineRule="auto"/>
              <w:ind w:lef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5919" w:type="dxa"/>
            <w:gridSpan w:val="6"/>
            <w:tcBorders>
              <w:top w:val="outset" w:sz="6" w:space="0" w:color="auto"/>
              <w:left w:val="outset" w:sz="6" w:space="0" w:color="auto"/>
              <w:bottom w:val="outset" w:sz="6" w:space="0" w:color="auto"/>
              <w:right w:val="outset" w:sz="6" w:space="0" w:color="auto"/>
            </w:tcBorders>
          </w:tcPr>
          <w:p w14:paraId="3DB9C28E" w14:textId="4C1D6C87" w:rsidR="009D03CC" w:rsidRPr="00A7675C" w:rsidRDefault="009D03CC" w:rsidP="009D03CC">
            <w:pPr>
              <w:spacing w:after="0" w:line="240" w:lineRule="auto"/>
              <w:ind w:left="57" w:right="114"/>
              <w:jc w:val="both"/>
              <w:rPr>
                <w:rFonts w:ascii="Times New Roman" w:hAnsi="Times New Roman" w:cs="Times New Roman"/>
                <w:sz w:val="24"/>
                <w:szCs w:val="24"/>
              </w:rPr>
            </w:pPr>
            <w:r w:rsidRPr="00A7675C">
              <w:rPr>
                <w:rFonts w:ascii="Times New Roman" w:hAnsi="Times New Roman" w:cs="Times New Roman"/>
                <w:sz w:val="24"/>
                <w:szCs w:val="24"/>
              </w:rPr>
              <w:t xml:space="preserve">Nav </w:t>
            </w:r>
          </w:p>
        </w:tc>
      </w:tr>
    </w:tbl>
    <w:p w14:paraId="61B2E84D" w14:textId="77777777" w:rsidR="00DA6C86" w:rsidRPr="00A7675C" w:rsidRDefault="007E7484" w:rsidP="00171D36">
      <w:pPr>
        <w:spacing w:after="0" w:line="240" w:lineRule="auto"/>
        <w:rPr>
          <w:rFonts w:ascii="Times New Roman" w:hAnsi="Times New Roman" w:cs="Times New Roman"/>
          <w:sz w:val="24"/>
          <w:szCs w:val="24"/>
        </w:rPr>
      </w:pPr>
      <w:r w:rsidRPr="00A7675C">
        <w:rPr>
          <w:rFonts w:ascii="Times New Roman" w:hAnsi="Times New Roman" w:cs="Times New Roman"/>
          <w:sz w:val="24"/>
          <w:szCs w:val="24"/>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
        <w:gridCol w:w="2817"/>
        <w:gridCol w:w="5804"/>
      </w:tblGrid>
      <w:tr w:rsidR="00991CBE" w:rsidRPr="00A7675C" w14:paraId="76B342A0" w14:textId="77777777" w:rsidTr="009E7862">
        <w:trPr>
          <w:trHeight w:val="421"/>
          <w:jc w:val="center"/>
        </w:trPr>
        <w:tc>
          <w:tcPr>
            <w:tcW w:w="9073" w:type="dxa"/>
            <w:gridSpan w:val="3"/>
            <w:vAlign w:val="center"/>
          </w:tcPr>
          <w:p w14:paraId="2786BAA6" w14:textId="77777777" w:rsidR="00DA6C86" w:rsidRPr="00A7675C" w:rsidRDefault="00DA6C86" w:rsidP="00171D36">
            <w:pPr>
              <w:pStyle w:val="naisnod"/>
              <w:spacing w:before="0" w:beforeAutospacing="0" w:after="0" w:afterAutospacing="0"/>
              <w:ind w:left="57" w:right="57"/>
              <w:jc w:val="center"/>
            </w:pPr>
            <w:r w:rsidRPr="00A7675C">
              <w:rPr>
                <w:b/>
              </w:rPr>
              <w:t>VI. Sabiedrības līdzdalība un komunikācijas aktivitātes</w:t>
            </w:r>
          </w:p>
        </w:tc>
      </w:tr>
      <w:tr w:rsidR="00991CBE" w:rsidRPr="00A7675C" w14:paraId="5FF3EDEE" w14:textId="77777777" w:rsidTr="009E7862">
        <w:trPr>
          <w:trHeight w:val="572"/>
          <w:jc w:val="center"/>
        </w:trPr>
        <w:tc>
          <w:tcPr>
            <w:tcW w:w="452" w:type="dxa"/>
          </w:tcPr>
          <w:p w14:paraId="560FE989" w14:textId="77777777" w:rsidR="00DA6C86" w:rsidRPr="00A7675C" w:rsidRDefault="00DA6C86"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1.</w:t>
            </w:r>
          </w:p>
        </w:tc>
        <w:tc>
          <w:tcPr>
            <w:tcW w:w="2817" w:type="dxa"/>
          </w:tcPr>
          <w:p w14:paraId="3B7F1EE3" w14:textId="77777777" w:rsidR="00DA6C86" w:rsidRPr="00A7675C" w:rsidRDefault="00DA6C86" w:rsidP="002C5BB1">
            <w:pPr>
              <w:tabs>
                <w:tab w:val="left" w:pos="170"/>
              </w:tabs>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Plānotās sabiedrības līdzdalības un komunikācijas aktivitātes saistībā ar projektu</w:t>
            </w:r>
          </w:p>
        </w:tc>
        <w:tc>
          <w:tcPr>
            <w:tcW w:w="5804" w:type="dxa"/>
          </w:tcPr>
          <w:p w14:paraId="16D0B672" w14:textId="691FC15C" w:rsidR="00B006C9" w:rsidRPr="00E50DDF" w:rsidRDefault="00B006C9" w:rsidP="00CF310C">
            <w:pPr>
              <w:pStyle w:val="NoSpacing"/>
              <w:ind w:left="75" w:right="147"/>
              <w:jc w:val="both"/>
              <w:rPr>
                <w:rFonts w:ascii="Times New Roman" w:hAnsi="Times New Roman" w:cs="Times New Roman"/>
                <w:sz w:val="24"/>
                <w:szCs w:val="24"/>
              </w:rPr>
            </w:pPr>
            <w:bookmarkStart w:id="0" w:name="p61"/>
            <w:bookmarkEnd w:id="0"/>
            <w:r w:rsidRPr="00E50DDF">
              <w:rPr>
                <w:rFonts w:ascii="Times New Roman" w:hAnsi="Times New Roman" w:cs="Times New Roman"/>
                <w:sz w:val="24"/>
                <w:szCs w:val="24"/>
              </w:rPr>
              <w:t xml:space="preserve">Sabiedrības līdzdalība ir nodrošināta, </w:t>
            </w:r>
            <w:r w:rsidR="00BD2CA9" w:rsidRPr="000D34BD">
              <w:rPr>
                <w:rFonts w:ascii="Times New Roman" w:hAnsi="Times New Roman" w:cs="Times New Roman"/>
                <w:sz w:val="24"/>
                <w:szCs w:val="24"/>
              </w:rPr>
              <w:t>š.g. 1.septembrī</w:t>
            </w:r>
            <w:r w:rsidR="00A1326D">
              <w:rPr>
                <w:rFonts w:ascii="Times New Roman" w:hAnsi="Times New Roman" w:cs="Times New Roman"/>
                <w:sz w:val="24"/>
                <w:szCs w:val="24"/>
              </w:rPr>
              <w:t xml:space="preserve"> </w:t>
            </w:r>
            <w:r w:rsidRPr="00E50DDF">
              <w:rPr>
                <w:rFonts w:ascii="Times New Roman" w:hAnsi="Times New Roman" w:cs="Times New Roman"/>
                <w:sz w:val="24"/>
                <w:szCs w:val="24"/>
              </w:rPr>
              <w:t>publicējot informāciju par likumprojekta izstrādes uzsākšanu Finanšu ministrijas mājaslapā sadaļā “Sabiedrības līdzdalība”.</w:t>
            </w:r>
          </w:p>
        </w:tc>
      </w:tr>
      <w:tr w:rsidR="00991CBE" w:rsidRPr="00A7675C" w14:paraId="35E89FAD" w14:textId="77777777" w:rsidTr="009E7862">
        <w:trPr>
          <w:trHeight w:val="339"/>
          <w:jc w:val="center"/>
        </w:trPr>
        <w:tc>
          <w:tcPr>
            <w:tcW w:w="452" w:type="dxa"/>
          </w:tcPr>
          <w:p w14:paraId="2BFBBE58" w14:textId="2827F288" w:rsidR="00DA6C86" w:rsidRPr="00A7675C" w:rsidRDefault="000A3AEB"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2.</w:t>
            </w:r>
          </w:p>
        </w:tc>
        <w:tc>
          <w:tcPr>
            <w:tcW w:w="2817" w:type="dxa"/>
          </w:tcPr>
          <w:p w14:paraId="73C20B9C"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Sabiedrības līdzdalība projekta izstrādē</w:t>
            </w:r>
          </w:p>
        </w:tc>
        <w:tc>
          <w:tcPr>
            <w:tcW w:w="5804" w:type="dxa"/>
          </w:tcPr>
          <w:p w14:paraId="2280716F" w14:textId="77777777" w:rsidR="007E41CB" w:rsidRDefault="00B006C9" w:rsidP="007E41CB">
            <w:pPr>
              <w:pStyle w:val="NoSpacing"/>
              <w:ind w:right="147"/>
              <w:jc w:val="both"/>
              <w:rPr>
                <w:rFonts w:ascii="Times New Roman" w:eastAsia="Calibri" w:hAnsi="Times New Roman" w:cs="Times New Roman"/>
                <w:sz w:val="24"/>
                <w:szCs w:val="24"/>
                <w:lang w:eastAsia="en-US"/>
              </w:rPr>
            </w:pPr>
            <w:bookmarkStart w:id="1" w:name="p62"/>
            <w:bookmarkEnd w:id="1"/>
            <w:r w:rsidRPr="00E50DDF">
              <w:rPr>
                <w:rFonts w:ascii="Times New Roman" w:eastAsia="Calibri" w:hAnsi="Times New Roman" w:cs="Times New Roman"/>
                <w:sz w:val="24"/>
                <w:szCs w:val="24"/>
                <w:lang w:eastAsia="en-US"/>
              </w:rPr>
              <w:t xml:space="preserve">Par ierosinātajiem grozījumiem </w:t>
            </w:r>
            <w:r w:rsidR="00994D5B">
              <w:rPr>
                <w:rFonts w:ascii="Times New Roman" w:eastAsia="Calibri" w:hAnsi="Times New Roman" w:cs="Times New Roman"/>
                <w:sz w:val="24"/>
                <w:szCs w:val="24"/>
                <w:lang w:eastAsia="en-US"/>
              </w:rPr>
              <w:t xml:space="preserve">PVN </w:t>
            </w:r>
            <w:r w:rsidRPr="00E50DDF">
              <w:rPr>
                <w:rFonts w:ascii="Times New Roman" w:eastAsia="Calibri" w:hAnsi="Times New Roman" w:cs="Times New Roman"/>
                <w:sz w:val="24"/>
                <w:szCs w:val="24"/>
                <w:lang w:eastAsia="en-US"/>
              </w:rPr>
              <w:t xml:space="preserve">likumā ir diskutēts Nacionālās trīspusējās sadarbības padomes Budžeta un nodokļu </w:t>
            </w:r>
            <w:proofErr w:type="spellStart"/>
            <w:r w:rsidRPr="00E50DDF">
              <w:rPr>
                <w:rFonts w:ascii="Times New Roman" w:eastAsia="Calibri" w:hAnsi="Times New Roman" w:cs="Times New Roman"/>
                <w:sz w:val="24"/>
                <w:szCs w:val="24"/>
                <w:lang w:eastAsia="en-US"/>
              </w:rPr>
              <w:t>apakšpadomes</w:t>
            </w:r>
            <w:proofErr w:type="spellEnd"/>
            <w:r w:rsidRPr="00E50DDF">
              <w:rPr>
                <w:rFonts w:ascii="Times New Roman" w:eastAsia="Calibri" w:hAnsi="Times New Roman" w:cs="Times New Roman"/>
                <w:sz w:val="24"/>
                <w:szCs w:val="24"/>
                <w:lang w:eastAsia="en-US"/>
              </w:rPr>
              <w:t xml:space="preserve"> </w:t>
            </w:r>
            <w:r w:rsidRPr="00527CF1">
              <w:rPr>
                <w:rFonts w:ascii="Times New Roman" w:eastAsia="Calibri" w:hAnsi="Times New Roman" w:cs="Times New Roman"/>
                <w:sz w:val="24"/>
                <w:szCs w:val="24"/>
                <w:lang w:eastAsia="en-US"/>
              </w:rPr>
              <w:t>sēdē š.g. 1.augustā un Nacionālās trīspusējās sadarbības padomes sēdē š.g. 9.augustā.</w:t>
            </w:r>
          </w:p>
          <w:p w14:paraId="7644511C" w14:textId="49866509" w:rsidR="00B006C9" w:rsidRPr="00E50DDF" w:rsidRDefault="007E41CB" w:rsidP="007E41CB">
            <w:pPr>
              <w:pStyle w:val="NoSpacing"/>
              <w:ind w:right="14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Nosūtīta informācija par grozījumiem PVN likumā </w:t>
            </w:r>
            <w:r w:rsidRPr="007E41CB">
              <w:rPr>
                <w:rFonts w:ascii="Times New Roman" w:eastAsia="Calibri" w:hAnsi="Times New Roman" w:cs="Times New Roman"/>
                <w:sz w:val="24"/>
                <w:szCs w:val="24"/>
                <w:lang w:eastAsia="en-US"/>
              </w:rPr>
              <w:t>Latvijas Darba devēju konfederācijai, Latvijas Tirdzniecības un rūpniecības kamerai, Latvijas nodokļu konsultantu asociācijai un Latvijas nodokļu maksātāju tiesību asociācijai.</w:t>
            </w:r>
          </w:p>
        </w:tc>
      </w:tr>
      <w:tr w:rsidR="00991CBE" w:rsidRPr="00A7675C" w14:paraId="752DB9C0" w14:textId="77777777" w:rsidTr="009E7862">
        <w:trPr>
          <w:trHeight w:val="476"/>
          <w:jc w:val="center"/>
        </w:trPr>
        <w:tc>
          <w:tcPr>
            <w:tcW w:w="452" w:type="dxa"/>
          </w:tcPr>
          <w:p w14:paraId="3842771B" w14:textId="77777777" w:rsidR="00DA6C86" w:rsidRPr="00A7675C" w:rsidRDefault="00DA6C86"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3.</w:t>
            </w:r>
          </w:p>
        </w:tc>
        <w:tc>
          <w:tcPr>
            <w:tcW w:w="2817" w:type="dxa"/>
          </w:tcPr>
          <w:p w14:paraId="68E016AE"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Sabiedrības līdzdalības rezultāti</w:t>
            </w:r>
          </w:p>
        </w:tc>
        <w:tc>
          <w:tcPr>
            <w:tcW w:w="5804" w:type="dxa"/>
          </w:tcPr>
          <w:p w14:paraId="77D3032C" w14:textId="196BE9FB" w:rsidR="00B006C9" w:rsidRPr="00E50DDF" w:rsidRDefault="00B006C9" w:rsidP="00994D5B">
            <w:pPr>
              <w:pStyle w:val="NoSpacing"/>
              <w:ind w:right="147"/>
              <w:jc w:val="both"/>
              <w:rPr>
                <w:rFonts w:ascii="Times New Roman" w:hAnsi="Times New Roman" w:cs="Times New Roman"/>
                <w:sz w:val="24"/>
                <w:szCs w:val="24"/>
              </w:rPr>
            </w:pPr>
            <w:r w:rsidRPr="00E50DDF">
              <w:rPr>
                <w:rFonts w:ascii="Times New Roman" w:hAnsi="Times New Roman" w:cs="Times New Roman"/>
                <w:sz w:val="24"/>
                <w:szCs w:val="24"/>
              </w:rPr>
              <w:t xml:space="preserve">Nacionālās trīspusējās sadarbības padomes sēdēs netika izteikti iebildumi par ierosinātām izmaiņām </w:t>
            </w:r>
            <w:r w:rsidR="00994D5B">
              <w:rPr>
                <w:rFonts w:ascii="Times New Roman" w:hAnsi="Times New Roman" w:cs="Times New Roman"/>
                <w:sz w:val="24"/>
                <w:szCs w:val="24"/>
              </w:rPr>
              <w:t xml:space="preserve">PVN </w:t>
            </w:r>
            <w:r w:rsidRPr="00E50DDF">
              <w:rPr>
                <w:rFonts w:ascii="Times New Roman" w:hAnsi="Times New Roman" w:cs="Times New Roman"/>
                <w:sz w:val="24"/>
                <w:szCs w:val="24"/>
              </w:rPr>
              <w:t>likumā.</w:t>
            </w:r>
          </w:p>
        </w:tc>
      </w:tr>
      <w:tr w:rsidR="00991CBE" w:rsidRPr="00A7675C" w14:paraId="3EFC8DC0" w14:textId="77777777" w:rsidTr="009E7862">
        <w:trPr>
          <w:trHeight w:val="244"/>
          <w:jc w:val="center"/>
        </w:trPr>
        <w:tc>
          <w:tcPr>
            <w:tcW w:w="452" w:type="dxa"/>
          </w:tcPr>
          <w:p w14:paraId="763BE3DF" w14:textId="32692A77" w:rsidR="00DA6C86" w:rsidRPr="00A7675C" w:rsidRDefault="004D6D5B" w:rsidP="00171D36">
            <w:pPr>
              <w:spacing w:after="0" w:line="240" w:lineRule="auto"/>
              <w:ind w:left="57" w:right="57"/>
              <w:jc w:val="both"/>
              <w:rPr>
                <w:rFonts w:ascii="Times New Roman" w:hAnsi="Times New Roman" w:cs="Times New Roman"/>
                <w:bCs/>
                <w:sz w:val="24"/>
                <w:szCs w:val="24"/>
              </w:rPr>
            </w:pPr>
            <w:r w:rsidRPr="00A7675C">
              <w:rPr>
                <w:rFonts w:ascii="Times New Roman" w:hAnsi="Times New Roman" w:cs="Times New Roman"/>
                <w:bCs/>
                <w:sz w:val="24"/>
                <w:szCs w:val="24"/>
              </w:rPr>
              <w:t>4.</w:t>
            </w:r>
          </w:p>
        </w:tc>
        <w:tc>
          <w:tcPr>
            <w:tcW w:w="2817" w:type="dxa"/>
          </w:tcPr>
          <w:p w14:paraId="72A1DC38" w14:textId="77777777" w:rsidR="00DA6C86" w:rsidRPr="00A7675C" w:rsidRDefault="00DA6C86" w:rsidP="002C5BB1">
            <w:pPr>
              <w:spacing w:after="0" w:line="240" w:lineRule="auto"/>
              <w:ind w:left="57" w:right="57"/>
              <w:rPr>
                <w:rFonts w:ascii="Times New Roman" w:hAnsi="Times New Roman" w:cs="Times New Roman"/>
                <w:sz w:val="24"/>
                <w:szCs w:val="24"/>
              </w:rPr>
            </w:pPr>
            <w:r w:rsidRPr="00A7675C">
              <w:rPr>
                <w:rFonts w:ascii="Times New Roman" w:hAnsi="Times New Roman" w:cs="Times New Roman"/>
                <w:sz w:val="24"/>
                <w:szCs w:val="24"/>
              </w:rPr>
              <w:t>Cita informācija</w:t>
            </w:r>
          </w:p>
        </w:tc>
        <w:tc>
          <w:tcPr>
            <w:tcW w:w="5804" w:type="dxa"/>
          </w:tcPr>
          <w:p w14:paraId="468A3413" w14:textId="4E718241" w:rsidR="00DA6C86" w:rsidRPr="00A7675C" w:rsidRDefault="00380812" w:rsidP="009546BF">
            <w:pPr>
              <w:spacing w:after="0" w:line="240" w:lineRule="auto"/>
              <w:ind w:right="57"/>
              <w:jc w:val="both"/>
              <w:rPr>
                <w:rFonts w:ascii="Times New Roman" w:hAnsi="Times New Roman" w:cs="Times New Roman"/>
                <w:sz w:val="24"/>
                <w:szCs w:val="24"/>
              </w:rPr>
            </w:pPr>
            <w:r w:rsidRPr="00A7675C">
              <w:rPr>
                <w:rFonts w:ascii="Times New Roman" w:hAnsi="Times New Roman" w:cs="Times New Roman"/>
                <w:sz w:val="24"/>
                <w:szCs w:val="24"/>
              </w:rPr>
              <w:t>Nav</w:t>
            </w:r>
          </w:p>
        </w:tc>
      </w:tr>
    </w:tbl>
    <w:p w14:paraId="7FD816D9" w14:textId="77777777" w:rsidR="005E4388" w:rsidRPr="00A7675C" w:rsidRDefault="005E4388" w:rsidP="00171D36">
      <w:pPr>
        <w:spacing w:after="0" w:line="240" w:lineRule="auto"/>
        <w:rPr>
          <w:rFonts w:ascii="Times New Roman" w:hAnsi="Times New Roman" w:cs="Times New Roman"/>
          <w:sz w:val="24"/>
          <w:szCs w:val="24"/>
        </w:r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8"/>
        <w:gridCol w:w="3543"/>
        <w:gridCol w:w="5056"/>
      </w:tblGrid>
      <w:tr w:rsidR="00991CBE" w:rsidRPr="00A7675C" w14:paraId="01B5050F" w14:textId="77777777" w:rsidTr="00FC7490">
        <w:trPr>
          <w:trHeight w:val="381"/>
          <w:jc w:val="center"/>
        </w:trPr>
        <w:tc>
          <w:tcPr>
            <w:tcW w:w="9097" w:type="dxa"/>
            <w:gridSpan w:val="3"/>
            <w:vAlign w:val="center"/>
          </w:tcPr>
          <w:p w14:paraId="42318B2D" w14:textId="77777777" w:rsidR="00DA6C86" w:rsidRPr="00A7675C" w:rsidRDefault="00DA6C86" w:rsidP="00171D36">
            <w:pPr>
              <w:pStyle w:val="naisnod"/>
              <w:spacing w:before="0" w:beforeAutospacing="0" w:after="0" w:afterAutospacing="0"/>
              <w:ind w:left="57" w:right="57"/>
              <w:jc w:val="center"/>
            </w:pPr>
            <w:r w:rsidRPr="00A7675C">
              <w:rPr>
                <w:b/>
              </w:rPr>
              <w:t>VII. Tiesību akta projekta izpildes nodrošināšana un tās ietekme uz institūcijām</w:t>
            </w:r>
          </w:p>
        </w:tc>
      </w:tr>
      <w:tr w:rsidR="00DA6C86" w:rsidRPr="00A7675C" w14:paraId="1EE76DE3" w14:textId="77777777" w:rsidTr="00FC7490">
        <w:trPr>
          <w:trHeight w:val="427"/>
          <w:jc w:val="center"/>
        </w:trPr>
        <w:tc>
          <w:tcPr>
            <w:tcW w:w="498" w:type="dxa"/>
          </w:tcPr>
          <w:p w14:paraId="188FBD69" w14:textId="77777777" w:rsidR="00DA6C86" w:rsidRPr="00A7675C" w:rsidRDefault="00DA6C86" w:rsidP="00171D36">
            <w:pPr>
              <w:pStyle w:val="naisnod"/>
              <w:spacing w:before="0" w:beforeAutospacing="0" w:after="0" w:afterAutospacing="0"/>
              <w:ind w:left="57" w:right="57"/>
              <w:jc w:val="both"/>
            </w:pPr>
            <w:r w:rsidRPr="00A7675C">
              <w:t>1.</w:t>
            </w:r>
          </w:p>
        </w:tc>
        <w:tc>
          <w:tcPr>
            <w:tcW w:w="3543" w:type="dxa"/>
          </w:tcPr>
          <w:p w14:paraId="5D621806" w14:textId="77777777" w:rsidR="00DA6C86" w:rsidRPr="00A7675C" w:rsidRDefault="00DA6C86" w:rsidP="002C5BB1">
            <w:pPr>
              <w:pStyle w:val="naisf"/>
              <w:spacing w:before="0" w:beforeAutospacing="0" w:after="0" w:afterAutospacing="0"/>
              <w:ind w:left="57" w:right="57"/>
            </w:pPr>
            <w:r w:rsidRPr="00A7675C">
              <w:t>Projekta izpildē iesaistītās institūcijas</w:t>
            </w:r>
          </w:p>
        </w:tc>
        <w:tc>
          <w:tcPr>
            <w:tcW w:w="5056" w:type="dxa"/>
          </w:tcPr>
          <w:p w14:paraId="79E8079C" w14:textId="77777777" w:rsidR="00227CF1" w:rsidRPr="00A7675C" w:rsidRDefault="00DC2E77" w:rsidP="00D36792">
            <w:pPr>
              <w:shd w:val="clear" w:color="auto" w:fill="FFFFFF"/>
              <w:spacing w:after="0" w:line="240" w:lineRule="auto"/>
              <w:jc w:val="both"/>
              <w:rPr>
                <w:rFonts w:ascii="Times New Roman" w:hAnsi="Times New Roman" w:cs="Times New Roman"/>
                <w:sz w:val="24"/>
                <w:szCs w:val="24"/>
              </w:rPr>
            </w:pPr>
            <w:bookmarkStart w:id="2" w:name="p66"/>
            <w:bookmarkStart w:id="3" w:name="p67"/>
            <w:bookmarkStart w:id="4" w:name="p68"/>
            <w:bookmarkStart w:id="5" w:name="p69"/>
            <w:bookmarkEnd w:id="2"/>
            <w:bookmarkEnd w:id="3"/>
            <w:bookmarkEnd w:id="4"/>
            <w:bookmarkEnd w:id="5"/>
            <w:r w:rsidRPr="00A7675C">
              <w:rPr>
                <w:rFonts w:ascii="Times New Roman" w:hAnsi="Times New Roman" w:cs="Times New Roman"/>
                <w:sz w:val="24"/>
                <w:szCs w:val="24"/>
              </w:rPr>
              <w:t>VID</w:t>
            </w:r>
          </w:p>
          <w:p w14:paraId="17407579" w14:textId="2C453FCF" w:rsidR="00DA6C86" w:rsidRPr="00A7675C" w:rsidRDefault="00DA6C86" w:rsidP="002353EA">
            <w:pPr>
              <w:shd w:val="clear" w:color="auto" w:fill="FFFFFF"/>
              <w:spacing w:after="0" w:line="240" w:lineRule="auto"/>
              <w:ind w:right="114"/>
              <w:jc w:val="both"/>
              <w:rPr>
                <w:rFonts w:ascii="Times New Roman" w:hAnsi="Times New Roman" w:cs="Times New Roman"/>
                <w:sz w:val="24"/>
                <w:szCs w:val="24"/>
              </w:rPr>
            </w:pPr>
          </w:p>
        </w:tc>
      </w:tr>
      <w:tr w:rsidR="00DA6C86" w:rsidRPr="00A7675C" w14:paraId="7EAE9980" w14:textId="77777777" w:rsidTr="00FC7490">
        <w:trPr>
          <w:trHeight w:val="463"/>
          <w:jc w:val="center"/>
        </w:trPr>
        <w:tc>
          <w:tcPr>
            <w:tcW w:w="498" w:type="dxa"/>
          </w:tcPr>
          <w:p w14:paraId="2F6F6985" w14:textId="77777777" w:rsidR="00DA6C86" w:rsidRPr="00A7675C" w:rsidRDefault="00DA6C86" w:rsidP="00171D36">
            <w:pPr>
              <w:pStyle w:val="naisnod"/>
              <w:spacing w:before="0" w:beforeAutospacing="0" w:after="0" w:afterAutospacing="0"/>
              <w:ind w:left="57" w:right="57"/>
              <w:jc w:val="both"/>
            </w:pPr>
            <w:r w:rsidRPr="00A7675C">
              <w:t>2.</w:t>
            </w:r>
          </w:p>
        </w:tc>
        <w:tc>
          <w:tcPr>
            <w:tcW w:w="3543" w:type="dxa"/>
          </w:tcPr>
          <w:p w14:paraId="602FD4CD" w14:textId="77777777" w:rsidR="00DA6C86" w:rsidRPr="00A7675C" w:rsidRDefault="00DA6C86" w:rsidP="002C5BB1">
            <w:pPr>
              <w:pStyle w:val="naisf"/>
              <w:spacing w:before="0" w:beforeAutospacing="0" w:after="0" w:afterAutospacing="0"/>
              <w:ind w:left="57" w:right="57"/>
            </w:pPr>
            <w:r w:rsidRPr="00A7675C">
              <w:t>Projekta izpildes iet</w:t>
            </w:r>
            <w:r w:rsidR="002C5BB1" w:rsidRPr="00A7675C">
              <w:t>ekme uz pār</w:t>
            </w:r>
            <w:r w:rsidR="001E69FC" w:rsidRPr="00A7675C">
              <w:softHyphen/>
            </w:r>
            <w:r w:rsidR="002C5BB1" w:rsidRPr="00A7675C">
              <w:t xml:space="preserve">valdes funkcijām un </w:t>
            </w:r>
            <w:r w:rsidRPr="00A7675C">
              <w:t>institucionālo struktūru.</w:t>
            </w:r>
          </w:p>
          <w:p w14:paraId="2603B33C" w14:textId="77777777" w:rsidR="00DA6C86" w:rsidRPr="00A7675C" w:rsidRDefault="00DA6C86" w:rsidP="002C5BB1">
            <w:pPr>
              <w:pStyle w:val="naisf"/>
              <w:spacing w:before="0" w:beforeAutospacing="0" w:after="0" w:afterAutospacing="0"/>
              <w:ind w:left="57" w:right="57"/>
            </w:pPr>
            <w:r w:rsidRPr="00A7675C">
              <w:t>Jaunu institūciju izveide, esošu institūciju likvidācija vai reorga</w:t>
            </w:r>
            <w:r w:rsidR="001E69FC" w:rsidRPr="00A7675C">
              <w:softHyphen/>
            </w:r>
            <w:r w:rsidRPr="00A7675C">
              <w:t>nizācija, to ietekme uz institūcijas cilvēkresursiem.</w:t>
            </w:r>
          </w:p>
        </w:tc>
        <w:tc>
          <w:tcPr>
            <w:tcW w:w="5056" w:type="dxa"/>
          </w:tcPr>
          <w:p w14:paraId="4D215CB3" w14:textId="77777777" w:rsidR="00521734" w:rsidRDefault="00DF38B1" w:rsidP="00521734">
            <w:pPr>
              <w:shd w:val="clear" w:color="auto" w:fill="FFFFFF"/>
              <w:spacing w:after="120" w:line="240" w:lineRule="auto"/>
              <w:ind w:right="57"/>
              <w:jc w:val="both"/>
              <w:rPr>
                <w:rFonts w:ascii="Times New Roman" w:hAnsi="Times New Roman" w:cs="Times New Roman"/>
                <w:sz w:val="24"/>
                <w:szCs w:val="24"/>
              </w:rPr>
            </w:pPr>
            <w:r w:rsidRPr="00DF38B1">
              <w:rPr>
                <w:rFonts w:ascii="Times New Roman" w:hAnsi="Times New Roman" w:cs="Times New Roman"/>
                <w:sz w:val="24"/>
                <w:szCs w:val="24"/>
              </w:rPr>
              <w:t>Likumprojekts nemainīs pārvaldes funkcijas un institucionālo struktūru.</w:t>
            </w:r>
            <w:r w:rsidR="00521734">
              <w:rPr>
                <w:rFonts w:ascii="Times New Roman" w:hAnsi="Times New Roman" w:cs="Times New Roman"/>
                <w:sz w:val="24"/>
                <w:szCs w:val="24"/>
              </w:rPr>
              <w:t xml:space="preserve"> </w:t>
            </w:r>
          </w:p>
          <w:p w14:paraId="507A4B7B" w14:textId="679B5539" w:rsidR="00DF38B1" w:rsidRPr="00A7675C" w:rsidRDefault="00DF38B1" w:rsidP="00521734">
            <w:pPr>
              <w:shd w:val="clear" w:color="auto" w:fill="FFFFFF"/>
              <w:spacing w:after="120" w:line="240" w:lineRule="auto"/>
              <w:ind w:right="57"/>
              <w:jc w:val="both"/>
              <w:rPr>
                <w:rFonts w:ascii="Times New Roman" w:hAnsi="Times New Roman" w:cs="Times New Roman"/>
                <w:sz w:val="24"/>
                <w:szCs w:val="24"/>
              </w:rPr>
            </w:pPr>
            <w:r w:rsidRPr="00DF38B1">
              <w:rPr>
                <w:rFonts w:ascii="Times New Roman" w:hAnsi="Times New Roman" w:cs="Times New Roman"/>
                <w:sz w:val="24"/>
                <w:szCs w:val="24"/>
              </w:rPr>
              <w:t>Jaunas institūcijas veidotas netiks, kā arī esošās institūcijas netiks likvidētas vai reorganizētas.</w:t>
            </w:r>
          </w:p>
        </w:tc>
      </w:tr>
      <w:tr w:rsidR="00DA6C86" w:rsidRPr="00A7675C" w14:paraId="1C6E9970" w14:textId="77777777" w:rsidTr="00FC7490">
        <w:trPr>
          <w:trHeight w:val="246"/>
          <w:jc w:val="center"/>
        </w:trPr>
        <w:tc>
          <w:tcPr>
            <w:tcW w:w="498" w:type="dxa"/>
            <w:tcBorders>
              <w:top w:val="single" w:sz="4" w:space="0" w:color="auto"/>
              <w:left w:val="single" w:sz="4" w:space="0" w:color="auto"/>
              <w:bottom w:val="single" w:sz="4" w:space="0" w:color="auto"/>
              <w:right w:val="single" w:sz="4" w:space="0" w:color="auto"/>
            </w:tcBorders>
          </w:tcPr>
          <w:p w14:paraId="0B43D251" w14:textId="13EE1593" w:rsidR="00DA6C86" w:rsidRPr="00A7675C" w:rsidRDefault="00DA6C86" w:rsidP="00171D36">
            <w:pPr>
              <w:pStyle w:val="naisnod"/>
              <w:spacing w:before="0" w:beforeAutospacing="0" w:after="0" w:afterAutospacing="0"/>
              <w:ind w:left="57" w:right="57"/>
              <w:jc w:val="both"/>
            </w:pPr>
            <w:r w:rsidRPr="00A7675C">
              <w:t>3.</w:t>
            </w:r>
          </w:p>
        </w:tc>
        <w:tc>
          <w:tcPr>
            <w:tcW w:w="3543" w:type="dxa"/>
            <w:tcBorders>
              <w:top w:val="single" w:sz="4" w:space="0" w:color="auto"/>
              <w:left w:val="single" w:sz="4" w:space="0" w:color="auto"/>
              <w:bottom w:val="single" w:sz="4" w:space="0" w:color="auto"/>
              <w:right w:val="single" w:sz="4" w:space="0" w:color="auto"/>
            </w:tcBorders>
          </w:tcPr>
          <w:p w14:paraId="43E828FE" w14:textId="77777777" w:rsidR="00DA6C86" w:rsidRPr="00A7675C" w:rsidRDefault="00DA6C86" w:rsidP="002C5BB1">
            <w:pPr>
              <w:pStyle w:val="naisf"/>
              <w:spacing w:before="0" w:beforeAutospacing="0" w:after="0" w:afterAutospacing="0"/>
              <w:ind w:left="57" w:right="57"/>
            </w:pPr>
            <w:r w:rsidRPr="00A7675C">
              <w:t>Cita informācija</w:t>
            </w:r>
          </w:p>
        </w:tc>
        <w:tc>
          <w:tcPr>
            <w:tcW w:w="5056" w:type="dxa"/>
            <w:tcBorders>
              <w:top w:val="single" w:sz="4" w:space="0" w:color="auto"/>
              <w:left w:val="single" w:sz="4" w:space="0" w:color="auto"/>
              <w:bottom w:val="single" w:sz="4" w:space="0" w:color="auto"/>
              <w:right w:val="single" w:sz="4" w:space="0" w:color="auto"/>
            </w:tcBorders>
          </w:tcPr>
          <w:p w14:paraId="3C7981A0" w14:textId="77777777" w:rsidR="00DA6C86" w:rsidRPr="00A7675C" w:rsidRDefault="00380812" w:rsidP="00171D36">
            <w:pPr>
              <w:spacing w:after="0" w:line="240" w:lineRule="auto"/>
              <w:ind w:left="57" w:right="57"/>
              <w:jc w:val="both"/>
              <w:rPr>
                <w:rFonts w:ascii="Times New Roman" w:hAnsi="Times New Roman" w:cs="Times New Roman"/>
                <w:sz w:val="24"/>
                <w:szCs w:val="24"/>
              </w:rPr>
            </w:pPr>
            <w:r w:rsidRPr="00A7675C">
              <w:rPr>
                <w:rFonts w:ascii="Times New Roman" w:hAnsi="Times New Roman" w:cs="Times New Roman"/>
                <w:sz w:val="24"/>
                <w:szCs w:val="24"/>
              </w:rPr>
              <w:t>Nav</w:t>
            </w:r>
          </w:p>
        </w:tc>
      </w:tr>
    </w:tbl>
    <w:p w14:paraId="46B35E45" w14:textId="77777777" w:rsidR="00785D32" w:rsidRPr="00A7675C" w:rsidRDefault="00785D32" w:rsidP="00957E98">
      <w:pPr>
        <w:pStyle w:val="NoSpacing"/>
        <w:rPr>
          <w:rFonts w:ascii="Times New Roman" w:hAnsi="Times New Roman" w:cs="Times New Roman"/>
          <w:sz w:val="24"/>
          <w:szCs w:val="24"/>
        </w:rPr>
      </w:pPr>
    </w:p>
    <w:p w14:paraId="472F3BD3" w14:textId="77777777" w:rsidR="00521734" w:rsidRDefault="00521734" w:rsidP="0040351E">
      <w:pPr>
        <w:pStyle w:val="naisf"/>
        <w:rPr>
          <w:bCs/>
        </w:rPr>
      </w:pPr>
    </w:p>
    <w:p w14:paraId="40A294FC" w14:textId="2094AF48" w:rsidR="0040351E" w:rsidRPr="00A7675C" w:rsidRDefault="0040351E" w:rsidP="0040351E">
      <w:pPr>
        <w:pStyle w:val="naisf"/>
        <w:rPr>
          <w:bCs/>
        </w:rPr>
      </w:pPr>
      <w:r w:rsidRPr="00A7675C">
        <w:rPr>
          <w:bCs/>
        </w:rPr>
        <w:t xml:space="preserve">Finanšu ministre </w:t>
      </w:r>
      <w:r w:rsidRPr="00A7675C">
        <w:rPr>
          <w:bCs/>
        </w:rPr>
        <w:tab/>
      </w:r>
      <w:r w:rsidRPr="00A7675C">
        <w:rPr>
          <w:bCs/>
        </w:rPr>
        <w:tab/>
      </w:r>
      <w:r w:rsidRPr="00A7675C">
        <w:rPr>
          <w:bCs/>
        </w:rPr>
        <w:tab/>
      </w:r>
      <w:r w:rsidRPr="00A7675C">
        <w:rPr>
          <w:bCs/>
        </w:rPr>
        <w:tab/>
      </w:r>
      <w:r w:rsidRPr="00A7675C">
        <w:rPr>
          <w:bCs/>
        </w:rPr>
        <w:tab/>
      </w:r>
      <w:r w:rsidRPr="00A7675C">
        <w:rPr>
          <w:bCs/>
        </w:rPr>
        <w:tab/>
        <w:t>D. Reizniece – Ozola</w:t>
      </w:r>
    </w:p>
    <w:p w14:paraId="3D96C870" w14:textId="77777777" w:rsidR="00785D32" w:rsidRDefault="00785D32" w:rsidP="00236887">
      <w:pPr>
        <w:pStyle w:val="Header"/>
        <w:rPr>
          <w:rFonts w:ascii="Times New Roman" w:hAnsi="Times New Roman" w:cs="Times New Roman"/>
          <w:sz w:val="20"/>
          <w:szCs w:val="20"/>
        </w:rPr>
      </w:pPr>
    </w:p>
    <w:p w14:paraId="7A16E2D8" w14:textId="77777777" w:rsidR="00521734" w:rsidRDefault="00521734" w:rsidP="00236887">
      <w:pPr>
        <w:pStyle w:val="Header"/>
        <w:rPr>
          <w:rFonts w:ascii="Times New Roman" w:hAnsi="Times New Roman" w:cs="Times New Roman"/>
          <w:sz w:val="20"/>
          <w:szCs w:val="20"/>
        </w:rPr>
      </w:pPr>
    </w:p>
    <w:p w14:paraId="5B096676" w14:textId="77777777" w:rsidR="00521734" w:rsidRDefault="00521734" w:rsidP="00236887">
      <w:pPr>
        <w:pStyle w:val="Header"/>
        <w:rPr>
          <w:rFonts w:ascii="Times New Roman" w:hAnsi="Times New Roman" w:cs="Times New Roman"/>
          <w:sz w:val="20"/>
          <w:szCs w:val="20"/>
        </w:rPr>
      </w:pPr>
    </w:p>
    <w:p w14:paraId="12ACAF96" w14:textId="77777777" w:rsidR="00521734" w:rsidRDefault="00521734" w:rsidP="00236887">
      <w:pPr>
        <w:pStyle w:val="Header"/>
        <w:rPr>
          <w:rFonts w:ascii="Times New Roman" w:hAnsi="Times New Roman" w:cs="Times New Roman"/>
          <w:sz w:val="20"/>
          <w:szCs w:val="20"/>
        </w:rPr>
      </w:pPr>
    </w:p>
    <w:p w14:paraId="05D8C47E" w14:textId="77777777" w:rsidR="00521734" w:rsidRDefault="00521734" w:rsidP="00236887">
      <w:pPr>
        <w:pStyle w:val="Header"/>
        <w:rPr>
          <w:rFonts w:ascii="Times New Roman" w:hAnsi="Times New Roman" w:cs="Times New Roman"/>
          <w:sz w:val="20"/>
          <w:szCs w:val="20"/>
        </w:rPr>
      </w:pPr>
    </w:p>
    <w:p w14:paraId="03709875" w14:textId="77777777" w:rsidR="00521734" w:rsidRDefault="00521734" w:rsidP="00236887">
      <w:pPr>
        <w:pStyle w:val="Header"/>
        <w:rPr>
          <w:rFonts w:ascii="Times New Roman" w:hAnsi="Times New Roman" w:cs="Times New Roman"/>
          <w:sz w:val="20"/>
          <w:szCs w:val="20"/>
        </w:rPr>
      </w:pPr>
    </w:p>
    <w:p w14:paraId="1CDC8D8F" w14:textId="486F1AF2" w:rsidR="008C3AE0" w:rsidRPr="002B19B8" w:rsidRDefault="00F73CE1" w:rsidP="00236887">
      <w:pPr>
        <w:pStyle w:val="Header"/>
        <w:rPr>
          <w:rFonts w:ascii="Times New Roman" w:hAnsi="Times New Roman" w:cs="Times New Roman"/>
          <w:sz w:val="20"/>
          <w:szCs w:val="20"/>
        </w:rPr>
      </w:pPr>
      <w:r>
        <w:rPr>
          <w:rFonts w:ascii="Times New Roman" w:hAnsi="Times New Roman" w:cs="Times New Roman"/>
          <w:sz w:val="20"/>
          <w:szCs w:val="20"/>
        </w:rPr>
        <w:t>21</w:t>
      </w:r>
      <w:r w:rsidR="008C3AE0" w:rsidRPr="002B19B8">
        <w:rPr>
          <w:rFonts w:ascii="Times New Roman" w:hAnsi="Times New Roman" w:cs="Times New Roman"/>
          <w:sz w:val="20"/>
          <w:szCs w:val="20"/>
        </w:rPr>
        <w:t>.0</w:t>
      </w:r>
      <w:r w:rsidR="009D2B5C">
        <w:rPr>
          <w:rFonts w:ascii="Times New Roman" w:hAnsi="Times New Roman" w:cs="Times New Roman"/>
          <w:sz w:val="20"/>
          <w:szCs w:val="20"/>
        </w:rPr>
        <w:t>9</w:t>
      </w:r>
      <w:r w:rsidR="00460483">
        <w:rPr>
          <w:rFonts w:ascii="Times New Roman" w:hAnsi="Times New Roman" w:cs="Times New Roman"/>
          <w:sz w:val="20"/>
          <w:szCs w:val="20"/>
        </w:rPr>
        <w:t xml:space="preserve">.2016 </w:t>
      </w:r>
      <w:r w:rsidR="00184F28">
        <w:rPr>
          <w:rFonts w:ascii="Times New Roman" w:hAnsi="Times New Roman" w:cs="Times New Roman"/>
          <w:sz w:val="20"/>
          <w:szCs w:val="20"/>
        </w:rPr>
        <w:t>1</w:t>
      </w:r>
      <w:r>
        <w:rPr>
          <w:rFonts w:ascii="Times New Roman" w:hAnsi="Times New Roman" w:cs="Times New Roman"/>
          <w:sz w:val="20"/>
          <w:szCs w:val="20"/>
        </w:rPr>
        <w:t>0</w:t>
      </w:r>
      <w:r w:rsidR="00971940">
        <w:rPr>
          <w:rFonts w:ascii="Times New Roman" w:hAnsi="Times New Roman" w:cs="Times New Roman"/>
          <w:sz w:val="20"/>
          <w:szCs w:val="20"/>
        </w:rPr>
        <w:t>:</w:t>
      </w:r>
      <w:r>
        <w:rPr>
          <w:rFonts w:ascii="Times New Roman" w:hAnsi="Times New Roman" w:cs="Times New Roman"/>
          <w:sz w:val="20"/>
          <w:szCs w:val="20"/>
        </w:rPr>
        <w:t>40</w:t>
      </w:r>
    </w:p>
    <w:p w14:paraId="0BC32F10" w14:textId="510E85C1" w:rsidR="00AD2645" w:rsidRPr="002B19B8" w:rsidRDefault="00676716" w:rsidP="00236887">
      <w:pPr>
        <w:pStyle w:val="Header"/>
        <w:rPr>
          <w:rFonts w:ascii="Times New Roman" w:hAnsi="Times New Roman" w:cs="Times New Roman"/>
          <w:sz w:val="20"/>
          <w:szCs w:val="20"/>
        </w:rPr>
      </w:pPr>
      <w:r>
        <w:rPr>
          <w:rFonts w:ascii="Times New Roman" w:hAnsi="Times New Roman" w:cs="Times New Roman"/>
          <w:sz w:val="20"/>
          <w:szCs w:val="20"/>
        </w:rPr>
        <w:t>3</w:t>
      </w:r>
      <w:r w:rsidR="00426467">
        <w:rPr>
          <w:rFonts w:ascii="Times New Roman" w:hAnsi="Times New Roman" w:cs="Times New Roman"/>
          <w:sz w:val="20"/>
          <w:szCs w:val="20"/>
        </w:rPr>
        <w:t>850</w:t>
      </w:r>
    </w:p>
    <w:p w14:paraId="2B44DCCB" w14:textId="3878D3A1" w:rsidR="00236887" w:rsidRPr="002B19B8" w:rsidRDefault="00F8546E" w:rsidP="00236887">
      <w:pPr>
        <w:pStyle w:val="Header"/>
        <w:rPr>
          <w:rFonts w:ascii="Times New Roman" w:hAnsi="Times New Roman" w:cs="Times New Roman"/>
          <w:sz w:val="20"/>
          <w:szCs w:val="20"/>
        </w:rPr>
      </w:pPr>
      <w:proofErr w:type="spellStart"/>
      <w:r>
        <w:rPr>
          <w:rFonts w:ascii="Times New Roman" w:hAnsi="Times New Roman" w:cs="Times New Roman"/>
          <w:sz w:val="20"/>
          <w:szCs w:val="20"/>
        </w:rPr>
        <w:t>D.Leimane</w:t>
      </w:r>
      <w:proofErr w:type="spellEnd"/>
    </w:p>
    <w:p w14:paraId="2C8B662A" w14:textId="4D6F3BF0" w:rsidR="00077B1B" w:rsidRPr="002B19B8" w:rsidRDefault="00236887" w:rsidP="00925E34">
      <w:pPr>
        <w:spacing w:after="0" w:line="240" w:lineRule="auto"/>
        <w:rPr>
          <w:rFonts w:ascii="Times New Roman" w:hAnsi="Times New Roman" w:cs="Times New Roman"/>
          <w:sz w:val="20"/>
          <w:szCs w:val="20"/>
        </w:rPr>
      </w:pPr>
      <w:r w:rsidRPr="002B19B8">
        <w:rPr>
          <w:rFonts w:ascii="Times New Roman" w:hAnsi="Times New Roman" w:cs="Times New Roman"/>
          <w:sz w:val="20"/>
          <w:szCs w:val="20"/>
        </w:rPr>
        <w:t>670</w:t>
      </w:r>
      <w:r w:rsidR="00F8546E">
        <w:rPr>
          <w:rFonts w:ascii="Times New Roman" w:hAnsi="Times New Roman" w:cs="Times New Roman"/>
          <w:sz w:val="20"/>
          <w:szCs w:val="20"/>
        </w:rPr>
        <w:t>95513</w:t>
      </w:r>
    </w:p>
    <w:p w14:paraId="3C3AC05C" w14:textId="2C7DC981" w:rsidR="002F0F2A" w:rsidRPr="00A7675C" w:rsidRDefault="00F73CE1" w:rsidP="00925E34">
      <w:pPr>
        <w:spacing w:after="0" w:line="240" w:lineRule="auto"/>
        <w:rPr>
          <w:rFonts w:ascii="Times New Roman" w:hAnsi="Times New Roman" w:cs="Times New Roman"/>
          <w:sz w:val="24"/>
          <w:szCs w:val="24"/>
        </w:rPr>
      </w:pPr>
      <w:hyperlink r:id="rId13" w:history="1">
        <w:r w:rsidR="00F8546E" w:rsidRPr="001F7A9B">
          <w:rPr>
            <w:rStyle w:val="Hyperlink"/>
            <w:rFonts w:ascii="Times New Roman" w:hAnsi="Times New Roman" w:cs="Times New Roman"/>
            <w:sz w:val="20"/>
            <w:szCs w:val="20"/>
          </w:rPr>
          <w:t>dace</w:t>
        </w:r>
        <w:bookmarkStart w:id="6" w:name="_GoBack"/>
        <w:bookmarkEnd w:id="6"/>
        <w:r w:rsidR="00F8546E" w:rsidRPr="001F7A9B">
          <w:rPr>
            <w:rStyle w:val="Hyperlink"/>
            <w:rFonts w:ascii="Times New Roman" w:hAnsi="Times New Roman" w:cs="Times New Roman"/>
            <w:sz w:val="20"/>
            <w:szCs w:val="20"/>
          </w:rPr>
          <w:t>.leimane@fm.gov.lv</w:t>
        </w:r>
      </w:hyperlink>
    </w:p>
    <w:sectPr w:rsidR="002F0F2A" w:rsidRPr="00A7675C" w:rsidSect="004A0FA2">
      <w:headerReference w:type="even" r:id="rId14"/>
      <w:headerReference w:type="default" r:id="rId15"/>
      <w:footerReference w:type="even" r:id="rId16"/>
      <w:footerReference w:type="default" r:id="rId17"/>
      <w:headerReference w:type="first" r:id="rId18"/>
      <w:footerReference w:type="first" r:id="rId19"/>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5D5F7" w14:textId="77777777" w:rsidR="005C2CCB" w:rsidRDefault="005C2CCB" w:rsidP="004369B2">
      <w:pPr>
        <w:spacing w:after="0" w:line="240" w:lineRule="auto"/>
      </w:pPr>
      <w:r>
        <w:separator/>
      </w:r>
    </w:p>
  </w:endnote>
  <w:endnote w:type="continuationSeparator" w:id="0">
    <w:p w14:paraId="71BF9A3E" w14:textId="77777777" w:rsidR="005C2CCB" w:rsidRDefault="005C2CCB"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4C3B5" w14:textId="399797C0" w:rsidR="005C2CCB" w:rsidRPr="00851E55" w:rsidRDefault="00F73CE1" w:rsidP="002F0F2A">
    <w:pPr>
      <w:pStyle w:val="Footer"/>
      <w:jc w:val="both"/>
    </w:pPr>
    <w:r>
      <w:rPr>
        <w:rFonts w:ascii="Times New Roman" w:hAnsi="Times New Roman" w:cs="Times New Roman"/>
        <w:sz w:val="18"/>
        <w:szCs w:val="18"/>
      </w:rPr>
      <w:t>FMAnot_21</w:t>
    </w:r>
    <w:r w:rsidR="005C2CCB">
      <w:rPr>
        <w:rFonts w:ascii="Times New Roman" w:hAnsi="Times New Roman" w:cs="Times New Roman"/>
        <w:sz w:val="18"/>
        <w:szCs w:val="18"/>
      </w:rPr>
      <w:t>0916</w:t>
    </w:r>
    <w:r w:rsidR="005C2CCB" w:rsidRPr="00D93EB9">
      <w:rPr>
        <w:rFonts w:ascii="Times New Roman" w:hAnsi="Times New Roman" w:cs="Times New Roman"/>
        <w:sz w:val="18"/>
        <w:szCs w:val="18"/>
      </w:rPr>
      <w:t>_PVN</w:t>
    </w:r>
    <w:r w:rsidR="005C2CCB">
      <w:rPr>
        <w:rFonts w:ascii="Times New Roman" w:hAnsi="Times New Roman" w:cs="Times New Roman"/>
        <w:sz w:val="18"/>
        <w:szCs w:val="18"/>
      </w:rPr>
      <w:t>_budz</w:t>
    </w:r>
    <w:r w:rsidR="005C2CCB" w:rsidRPr="00D93EB9">
      <w:rPr>
        <w:rFonts w:ascii="Times New Roman" w:hAnsi="Times New Roman" w:cs="Times New Roman"/>
        <w:sz w:val="18"/>
        <w:szCs w:val="18"/>
      </w:rPr>
      <w:t>; Sākotnējās ietekmes novēr</w:t>
    </w:r>
    <w:r w:rsidR="005C2CCB">
      <w:rPr>
        <w:rFonts w:ascii="Times New Roman" w:hAnsi="Times New Roman" w:cs="Times New Roman"/>
        <w:sz w:val="18"/>
        <w:szCs w:val="18"/>
      </w:rPr>
      <w:t>tējuma ziņojums (anotācija) likumprojektam “</w:t>
    </w:r>
    <w:r w:rsidR="005C2CCB" w:rsidRPr="00D93EB9">
      <w:rPr>
        <w:rFonts w:ascii="Times New Roman" w:hAnsi="Times New Roman" w:cs="Times New Roman"/>
        <w:sz w:val="18"/>
        <w:szCs w:val="18"/>
      </w:rPr>
      <w:t>Grozījumi Pievienotās vērtības nodokļa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3DA4" w14:textId="1D897CD9" w:rsidR="005C2CCB" w:rsidRPr="002F0F2A" w:rsidRDefault="00F73CE1" w:rsidP="002F0F2A">
    <w:pPr>
      <w:pStyle w:val="Footer"/>
      <w:jc w:val="both"/>
      <w:rPr>
        <w:sz w:val="18"/>
        <w:szCs w:val="18"/>
      </w:rPr>
    </w:pPr>
    <w:r>
      <w:rPr>
        <w:rFonts w:ascii="Times New Roman" w:hAnsi="Times New Roman" w:cs="Times New Roman"/>
        <w:sz w:val="18"/>
        <w:szCs w:val="18"/>
      </w:rPr>
      <w:t>FMAnot_21</w:t>
    </w:r>
    <w:r w:rsidR="005C2CCB">
      <w:rPr>
        <w:rFonts w:ascii="Times New Roman" w:hAnsi="Times New Roman" w:cs="Times New Roman"/>
        <w:sz w:val="18"/>
        <w:szCs w:val="18"/>
      </w:rPr>
      <w:t>0916</w:t>
    </w:r>
    <w:r w:rsidR="005C2CCB" w:rsidRPr="00D93EB9">
      <w:rPr>
        <w:rFonts w:ascii="Times New Roman" w:hAnsi="Times New Roman" w:cs="Times New Roman"/>
        <w:sz w:val="18"/>
        <w:szCs w:val="18"/>
      </w:rPr>
      <w:t>_PVN</w:t>
    </w:r>
    <w:r w:rsidR="005C2CCB">
      <w:rPr>
        <w:rFonts w:ascii="Times New Roman" w:hAnsi="Times New Roman" w:cs="Times New Roman"/>
        <w:sz w:val="18"/>
        <w:szCs w:val="18"/>
      </w:rPr>
      <w:t>_budz</w:t>
    </w:r>
    <w:r w:rsidR="005C2CCB" w:rsidRPr="00D93EB9">
      <w:rPr>
        <w:rFonts w:ascii="Times New Roman" w:hAnsi="Times New Roman" w:cs="Times New Roman"/>
        <w:sz w:val="18"/>
        <w:szCs w:val="18"/>
      </w:rPr>
      <w:t>; Sākotnējās ietekmes novēr</w:t>
    </w:r>
    <w:r w:rsidR="005C2CCB">
      <w:rPr>
        <w:rFonts w:ascii="Times New Roman" w:hAnsi="Times New Roman" w:cs="Times New Roman"/>
        <w:sz w:val="18"/>
        <w:szCs w:val="18"/>
      </w:rPr>
      <w:t>tējuma ziņojums (anotācija) likumprojektam “</w:t>
    </w:r>
    <w:r w:rsidR="005C2CCB" w:rsidRPr="00D93EB9">
      <w:rPr>
        <w:rFonts w:ascii="Times New Roman" w:hAnsi="Times New Roman" w:cs="Times New Roman"/>
        <w:sz w:val="18"/>
        <w:szCs w:val="18"/>
      </w:rPr>
      <w:t>Grozījumi Pievienotās vērtības nodokļa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BD75" w14:textId="6C8502C7" w:rsidR="005C2CCB" w:rsidRPr="00D93EB9" w:rsidRDefault="00F73CE1" w:rsidP="00851E55">
    <w:pPr>
      <w:pStyle w:val="Footer"/>
      <w:jc w:val="both"/>
      <w:rPr>
        <w:sz w:val="18"/>
        <w:szCs w:val="18"/>
      </w:rPr>
    </w:pPr>
    <w:r>
      <w:rPr>
        <w:rFonts w:ascii="Times New Roman" w:hAnsi="Times New Roman" w:cs="Times New Roman"/>
        <w:sz w:val="18"/>
        <w:szCs w:val="18"/>
      </w:rPr>
      <w:t>FMAnot_21</w:t>
    </w:r>
    <w:r w:rsidR="005C2CCB">
      <w:rPr>
        <w:rFonts w:ascii="Times New Roman" w:hAnsi="Times New Roman" w:cs="Times New Roman"/>
        <w:sz w:val="18"/>
        <w:szCs w:val="18"/>
      </w:rPr>
      <w:t>0916</w:t>
    </w:r>
    <w:r w:rsidR="005C2CCB" w:rsidRPr="00D93EB9">
      <w:rPr>
        <w:rFonts w:ascii="Times New Roman" w:hAnsi="Times New Roman" w:cs="Times New Roman"/>
        <w:sz w:val="18"/>
        <w:szCs w:val="18"/>
      </w:rPr>
      <w:t>_PVN</w:t>
    </w:r>
    <w:r w:rsidR="005C2CCB">
      <w:rPr>
        <w:rFonts w:ascii="Times New Roman" w:hAnsi="Times New Roman" w:cs="Times New Roman"/>
        <w:sz w:val="18"/>
        <w:szCs w:val="18"/>
      </w:rPr>
      <w:t>_budz</w:t>
    </w:r>
    <w:r w:rsidR="005C2CCB" w:rsidRPr="00D93EB9">
      <w:rPr>
        <w:rFonts w:ascii="Times New Roman" w:hAnsi="Times New Roman" w:cs="Times New Roman"/>
        <w:sz w:val="18"/>
        <w:szCs w:val="18"/>
      </w:rPr>
      <w:t>; Sākotnējās ietekmes novēr</w:t>
    </w:r>
    <w:r w:rsidR="005C2CCB">
      <w:rPr>
        <w:rFonts w:ascii="Times New Roman" w:hAnsi="Times New Roman" w:cs="Times New Roman"/>
        <w:sz w:val="18"/>
        <w:szCs w:val="18"/>
      </w:rPr>
      <w:t>tējuma ziņojums (anotācija) likumprojektam “</w:t>
    </w:r>
    <w:r w:rsidR="005C2CCB" w:rsidRPr="00D93EB9">
      <w:rPr>
        <w:rFonts w:ascii="Times New Roman" w:hAnsi="Times New Roman" w:cs="Times New Roman"/>
        <w:sz w:val="18"/>
        <w:szCs w:val="18"/>
      </w:rPr>
      <w:t>Grozījumi Pievienotās vērtības nodokļa likumā”</w:t>
    </w:r>
  </w:p>
  <w:p w14:paraId="3DDDBEC9" w14:textId="40E04653" w:rsidR="005C2CCB" w:rsidRPr="00851E55" w:rsidRDefault="005C2CCB" w:rsidP="0085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5BBF2" w14:textId="77777777" w:rsidR="005C2CCB" w:rsidRDefault="005C2CCB" w:rsidP="004369B2">
      <w:pPr>
        <w:spacing w:after="0" w:line="240" w:lineRule="auto"/>
      </w:pPr>
      <w:r>
        <w:separator/>
      </w:r>
    </w:p>
  </w:footnote>
  <w:footnote w:type="continuationSeparator" w:id="0">
    <w:p w14:paraId="568D4C89" w14:textId="77777777" w:rsidR="005C2CCB" w:rsidRDefault="005C2CCB"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5857444" w14:textId="369F0ADC" w:rsidR="005C2CCB" w:rsidRPr="00171D36" w:rsidRDefault="005C2CC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F73CE1">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3A24FCD3" w14:textId="75964626" w:rsidR="005C2CCB" w:rsidRPr="00171D36" w:rsidRDefault="005C2CCB">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F73CE1">
          <w:rPr>
            <w:rFonts w:ascii="Times New Roman" w:hAnsi="Times New Roman" w:cs="Times New Roman"/>
            <w:noProof/>
            <w:sz w:val="24"/>
          </w:rPr>
          <w:t>15</w:t>
        </w:r>
        <w:r w:rsidRPr="00171D36">
          <w:rPr>
            <w:rFonts w:ascii="Times New Roman" w:hAnsi="Times New Roman" w:cs="Times New Roman"/>
            <w:noProof/>
            <w:sz w:val="24"/>
          </w:rPr>
          <w:fldChar w:fldCharType="end"/>
        </w:r>
      </w:p>
    </w:sdtContent>
  </w:sdt>
  <w:p w14:paraId="38040072" w14:textId="77777777" w:rsidR="005C2CCB" w:rsidRDefault="005C2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3015" w14:textId="77777777" w:rsidR="005C2CCB" w:rsidRDefault="005C2CCB"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5A1D"/>
    <w:multiLevelType w:val="hybridMultilevel"/>
    <w:tmpl w:val="EA544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2A16DC"/>
    <w:multiLevelType w:val="hybridMultilevel"/>
    <w:tmpl w:val="82AA293A"/>
    <w:lvl w:ilvl="0" w:tplc="9148EB2A">
      <w:start w:val="1"/>
      <w:numFmt w:val="decimal"/>
      <w:lvlText w:val="%1."/>
      <w:lvlJc w:val="left"/>
      <w:pPr>
        <w:ind w:left="420" w:hanging="360"/>
      </w:pPr>
      <w:rPr>
        <w:rFonts w:ascii="Times New Roman" w:hAnsi="Times New Roman" w:cs="Times New Roman" w:hint="default"/>
        <w:i w:val="0"/>
        <w:color w:val="auto"/>
        <w:sz w:val="25"/>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0D2165DE"/>
    <w:multiLevelType w:val="hybridMultilevel"/>
    <w:tmpl w:val="D6D8BD82"/>
    <w:lvl w:ilvl="0" w:tplc="50CE7CC4">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3">
    <w:nsid w:val="0D2D24B8"/>
    <w:multiLevelType w:val="hybridMultilevel"/>
    <w:tmpl w:val="6666DC34"/>
    <w:lvl w:ilvl="0" w:tplc="AC94155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D61380"/>
    <w:multiLevelType w:val="hybridMultilevel"/>
    <w:tmpl w:val="46BC2D2A"/>
    <w:lvl w:ilvl="0" w:tplc="28443AAC">
      <w:start w:val="1"/>
      <w:numFmt w:val="decimal"/>
      <w:lvlText w:val="%1."/>
      <w:lvlJc w:val="left"/>
      <w:pPr>
        <w:ind w:left="670" w:hanging="570"/>
      </w:pPr>
      <w:rPr>
        <w:rFonts w:eastAsiaTheme="minorEastAsia"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5">
    <w:nsid w:val="13DC1F75"/>
    <w:multiLevelType w:val="hybridMultilevel"/>
    <w:tmpl w:val="89DADD06"/>
    <w:lvl w:ilvl="0" w:tplc="E99ED82C">
      <w:start w:val="1"/>
      <w:numFmt w:val="decimal"/>
      <w:lvlText w:val="%1."/>
      <w:lvlJc w:val="left"/>
      <w:pPr>
        <w:ind w:left="741" w:hanging="360"/>
      </w:pPr>
      <w:rPr>
        <w:rFonts w:hint="default"/>
        <w:b w:val="0"/>
        <w:color w:val="auto"/>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6">
    <w:nsid w:val="17CF050B"/>
    <w:multiLevelType w:val="hybridMultilevel"/>
    <w:tmpl w:val="DEFE5EC0"/>
    <w:lvl w:ilvl="0" w:tplc="44D89F32">
      <w:start w:val="1"/>
      <w:numFmt w:val="decimal"/>
      <w:lvlText w:val="%1."/>
      <w:lvlJc w:val="left"/>
      <w:pPr>
        <w:ind w:left="4045" w:hanging="360"/>
      </w:pPr>
      <w:rPr>
        <w:rFonts w:ascii="Times New Roman" w:hAnsi="Times New Roman" w:cs="Times New Roman"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7">
    <w:nsid w:val="17D03E0A"/>
    <w:multiLevelType w:val="hybridMultilevel"/>
    <w:tmpl w:val="6B2C04DA"/>
    <w:lvl w:ilvl="0" w:tplc="9148EB2A">
      <w:start w:val="1"/>
      <w:numFmt w:val="decimal"/>
      <w:lvlText w:val="%1."/>
      <w:lvlJc w:val="left"/>
      <w:pPr>
        <w:ind w:left="420" w:hanging="360"/>
      </w:pPr>
      <w:rPr>
        <w:rFonts w:ascii="Times New Roman" w:hAnsi="Times New Roman" w:cs="Times New Roman" w:hint="default"/>
        <w:i w:val="0"/>
        <w:color w:val="auto"/>
        <w:sz w:val="25"/>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4D6F83"/>
    <w:multiLevelType w:val="hybridMultilevel"/>
    <w:tmpl w:val="D9448814"/>
    <w:lvl w:ilvl="0" w:tplc="853025B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294173"/>
    <w:multiLevelType w:val="hybridMultilevel"/>
    <w:tmpl w:val="CBE2507A"/>
    <w:lvl w:ilvl="0" w:tplc="C0E6C54A">
      <w:start w:val="1"/>
      <w:numFmt w:val="decimal"/>
      <w:lvlText w:val="%1)"/>
      <w:lvlJc w:val="left"/>
      <w:pPr>
        <w:ind w:left="383" w:hanging="360"/>
      </w:pPr>
      <w:rPr>
        <w:rFonts w:ascii="Times New Roman" w:eastAsiaTheme="minorEastAsia" w:hAnsi="Times New Roman" w:cs="Times New Roman"/>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1">
    <w:nsid w:val="39D606DE"/>
    <w:multiLevelType w:val="hybridMultilevel"/>
    <w:tmpl w:val="F7701E1C"/>
    <w:lvl w:ilvl="0" w:tplc="39888550">
      <w:start w:val="1"/>
      <w:numFmt w:val="bullet"/>
      <w:lvlText w:val="–"/>
      <w:lvlJc w:val="left"/>
      <w:pPr>
        <w:ind w:left="1069" w:hanging="360"/>
      </w:pPr>
      <w:rPr>
        <w:rFonts w:ascii="Times New Roman" w:eastAsiaTheme="minorEastAsia"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nsid w:val="421148BD"/>
    <w:multiLevelType w:val="hybridMultilevel"/>
    <w:tmpl w:val="E806D026"/>
    <w:lvl w:ilvl="0" w:tplc="65FE3364">
      <w:start w:val="1"/>
      <w:numFmt w:val="decimal"/>
      <w:lvlText w:val="%1."/>
      <w:lvlJc w:val="left"/>
      <w:pPr>
        <w:ind w:left="460" w:hanging="360"/>
      </w:pPr>
      <w:rPr>
        <w:rFonts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13">
    <w:nsid w:val="576F0C85"/>
    <w:multiLevelType w:val="hybridMultilevel"/>
    <w:tmpl w:val="E806D026"/>
    <w:lvl w:ilvl="0" w:tplc="65FE3364">
      <w:start w:val="1"/>
      <w:numFmt w:val="decimal"/>
      <w:lvlText w:val="%1."/>
      <w:lvlJc w:val="left"/>
      <w:pPr>
        <w:ind w:left="460" w:hanging="360"/>
      </w:pPr>
      <w:rPr>
        <w:rFonts w:hint="default"/>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14">
    <w:nsid w:val="5F9C32A9"/>
    <w:multiLevelType w:val="hybridMultilevel"/>
    <w:tmpl w:val="0DF489FC"/>
    <w:lvl w:ilvl="0" w:tplc="D654E0C2">
      <w:start w:val="3"/>
      <w:numFmt w:val="bullet"/>
      <w:lvlText w:val="-"/>
      <w:lvlJc w:val="left"/>
      <w:pPr>
        <w:ind w:left="460" w:hanging="360"/>
      </w:pPr>
      <w:rPr>
        <w:rFonts w:ascii="Times New Roman" w:eastAsia="Times New Roman" w:hAnsi="Times New Roman" w:cs="Times New Roman" w:hint="default"/>
      </w:rPr>
    </w:lvl>
    <w:lvl w:ilvl="1" w:tplc="04260003" w:tentative="1">
      <w:start w:val="1"/>
      <w:numFmt w:val="bullet"/>
      <w:lvlText w:val="o"/>
      <w:lvlJc w:val="left"/>
      <w:pPr>
        <w:ind w:left="1180" w:hanging="360"/>
      </w:pPr>
      <w:rPr>
        <w:rFonts w:ascii="Courier New" w:hAnsi="Courier New" w:cs="Courier New" w:hint="default"/>
      </w:rPr>
    </w:lvl>
    <w:lvl w:ilvl="2" w:tplc="04260005" w:tentative="1">
      <w:start w:val="1"/>
      <w:numFmt w:val="bullet"/>
      <w:lvlText w:val=""/>
      <w:lvlJc w:val="left"/>
      <w:pPr>
        <w:ind w:left="1900" w:hanging="360"/>
      </w:pPr>
      <w:rPr>
        <w:rFonts w:ascii="Wingdings" w:hAnsi="Wingdings" w:hint="default"/>
      </w:rPr>
    </w:lvl>
    <w:lvl w:ilvl="3" w:tplc="04260001" w:tentative="1">
      <w:start w:val="1"/>
      <w:numFmt w:val="bullet"/>
      <w:lvlText w:val=""/>
      <w:lvlJc w:val="left"/>
      <w:pPr>
        <w:ind w:left="2620" w:hanging="360"/>
      </w:pPr>
      <w:rPr>
        <w:rFonts w:ascii="Symbol" w:hAnsi="Symbol" w:hint="default"/>
      </w:rPr>
    </w:lvl>
    <w:lvl w:ilvl="4" w:tplc="04260003" w:tentative="1">
      <w:start w:val="1"/>
      <w:numFmt w:val="bullet"/>
      <w:lvlText w:val="o"/>
      <w:lvlJc w:val="left"/>
      <w:pPr>
        <w:ind w:left="3340" w:hanging="360"/>
      </w:pPr>
      <w:rPr>
        <w:rFonts w:ascii="Courier New" w:hAnsi="Courier New" w:cs="Courier New" w:hint="default"/>
      </w:rPr>
    </w:lvl>
    <w:lvl w:ilvl="5" w:tplc="04260005" w:tentative="1">
      <w:start w:val="1"/>
      <w:numFmt w:val="bullet"/>
      <w:lvlText w:val=""/>
      <w:lvlJc w:val="left"/>
      <w:pPr>
        <w:ind w:left="4060" w:hanging="360"/>
      </w:pPr>
      <w:rPr>
        <w:rFonts w:ascii="Wingdings" w:hAnsi="Wingdings" w:hint="default"/>
      </w:rPr>
    </w:lvl>
    <w:lvl w:ilvl="6" w:tplc="04260001" w:tentative="1">
      <w:start w:val="1"/>
      <w:numFmt w:val="bullet"/>
      <w:lvlText w:val=""/>
      <w:lvlJc w:val="left"/>
      <w:pPr>
        <w:ind w:left="4780" w:hanging="360"/>
      </w:pPr>
      <w:rPr>
        <w:rFonts w:ascii="Symbol" w:hAnsi="Symbol" w:hint="default"/>
      </w:rPr>
    </w:lvl>
    <w:lvl w:ilvl="7" w:tplc="04260003" w:tentative="1">
      <w:start w:val="1"/>
      <w:numFmt w:val="bullet"/>
      <w:lvlText w:val="o"/>
      <w:lvlJc w:val="left"/>
      <w:pPr>
        <w:ind w:left="5500" w:hanging="360"/>
      </w:pPr>
      <w:rPr>
        <w:rFonts w:ascii="Courier New" w:hAnsi="Courier New" w:cs="Courier New" w:hint="default"/>
      </w:rPr>
    </w:lvl>
    <w:lvl w:ilvl="8" w:tplc="04260005" w:tentative="1">
      <w:start w:val="1"/>
      <w:numFmt w:val="bullet"/>
      <w:lvlText w:val=""/>
      <w:lvlJc w:val="left"/>
      <w:pPr>
        <w:ind w:left="6220" w:hanging="360"/>
      </w:pPr>
      <w:rPr>
        <w:rFonts w:ascii="Wingdings" w:hAnsi="Wingdings" w:hint="default"/>
      </w:rPr>
    </w:lvl>
  </w:abstractNum>
  <w:abstractNum w:abstractNumId="15">
    <w:nsid w:val="60F6032B"/>
    <w:multiLevelType w:val="hybridMultilevel"/>
    <w:tmpl w:val="27B4AF5C"/>
    <w:lvl w:ilvl="0" w:tplc="A4EECF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nsid w:val="617A45B7"/>
    <w:multiLevelType w:val="hybridMultilevel"/>
    <w:tmpl w:val="2A30D72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81B2B8F"/>
    <w:multiLevelType w:val="hybridMultilevel"/>
    <w:tmpl w:val="AA6C6342"/>
    <w:lvl w:ilvl="0" w:tplc="70C8314A">
      <w:start w:val="1"/>
      <w:numFmt w:val="decimal"/>
      <w:lvlText w:val="%1."/>
      <w:lvlJc w:val="left"/>
      <w:pPr>
        <w:ind w:left="1101" w:hanging="360"/>
      </w:pPr>
      <w:rPr>
        <w:rFonts w:ascii="Times New Roman" w:eastAsia="Times New Roman" w:hAnsi="Times New Roman" w:cs="Times New Roman"/>
      </w:rPr>
    </w:lvl>
    <w:lvl w:ilvl="1" w:tplc="04260019" w:tentative="1">
      <w:start w:val="1"/>
      <w:numFmt w:val="lowerLetter"/>
      <w:lvlText w:val="%2."/>
      <w:lvlJc w:val="left"/>
      <w:pPr>
        <w:ind w:left="1821" w:hanging="360"/>
      </w:pPr>
    </w:lvl>
    <w:lvl w:ilvl="2" w:tplc="0426001B" w:tentative="1">
      <w:start w:val="1"/>
      <w:numFmt w:val="lowerRoman"/>
      <w:lvlText w:val="%3."/>
      <w:lvlJc w:val="right"/>
      <w:pPr>
        <w:ind w:left="2541" w:hanging="180"/>
      </w:pPr>
    </w:lvl>
    <w:lvl w:ilvl="3" w:tplc="0426000F" w:tentative="1">
      <w:start w:val="1"/>
      <w:numFmt w:val="decimal"/>
      <w:lvlText w:val="%4."/>
      <w:lvlJc w:val="left"/>
      <w:pPr>
        <w:ind w:left="3261" w:hanging="360"/>
      </w:pPr>
    </w:lvl>
    <w:lvl w:ilvl="4" w:tplc="04260019" w:tentative="1">
      <w:start w:val="1"/>
      <w:numFmt w:val="lowerLetter"/>
      <w:lvlText w:val="%5."/>
      <w:lvlJc w:val="left"/>
      <w:pPr>
        <w:ind w:left="3981" w:hanging="360"/>
      </w:pPr>
    </w:lvl>
    <w:lvl w:ilvl="5" w:tplc="0426001B" w:tentative="1">
      <w:start w:val="1"/>
      <w:numFmt w:val="lowerRoman"/>
      <w:lvlText w:val="%6."/>
      <w:lvlJc w:val="right"/>
      <w:pPr>
        <w:ind w:left="4701" w:hanging="180"/>
      </w:pPr>
    </w:lvl>
    <w:lvl w:ilvl="6" w:tplc="0426000F" w:tentative="1">
      <w:start w:val="1"/>
      <w:numFmt w:val="decimal"/>
      <w:lvlText w:val="%7."/>
      <w:lvlJc w:val="left"/>
      <w:pPr>
        <w:ind w:left="5421" w:hanging="360"/>
      </w:pPr>
    </w:lvl>
    <w:lvl w:ilvl="7" w:tplc="04260019" w:tentative="1">
      <w:start w:val="1"/>
      <w:numFmt w:val="lowerLetter"/>
      <w:lvlText w:val="%8."/>
      <w:lvlJc w:val="left"/>
      <w:pPr>
        <w:ind w:left="6141" w:hanging="360"/>
      </w:pPr>
    </w:lvl>
    <w:lvl w:ilvl="8" w:tplc="0426001B" w:tentative="1">
      <w:start w:val="1"/>
      <w:numFmt w:val="lowerRoman"/>
      <w:lvlText w:val="%9."/>
      <w:lvlJc w:val="right"/>
      <w:pPr>
        <w:ind w:left="6861" w:hanging="180"/>
      </w:pPr>
    </w:lvl>
  </w:abstractNum>
  <w:abstractNum w:abstractNumId="18">
    <w:nsid w:val="69A23381"/>
    <w:multiLevelType w:val="hybridMultilevel"/>
    <w:tmpl w:val="F3EE76F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
  </w:num>
  <w:num w:numId="5">
    <w:abstractNumId w:val="8"/>
  </w:num>
  <w:num w:numId="6">
    <w:abstractNumId w:val="4"/>
  </w:num>
  <w:num w:numId="7">
    <w:abstractNumId w:val="6"/>
  </w:num>
  <w:num w:numId="8">
    <w:abstractNumId w:val="18"/>
  </w:num>
  <w:num w:numId="9">
    <w:abstractNumId w:val="14"/>
  </w:num>
  <w:num w:numId="10">
    <w:abstractNumId w:val="0"/>
  </w:num>
  <w:num w:numId="11">
    <w:abstractNumId w:val="16"/>
  </w:num>
  <w:num w:numId="12">
    <w:abstractNumId w:val="15"/>
  </w:num>
  <w:num w:numId="13">
    <w:abstractNumId w:val="9"/>
  </w:num>
  <w:num w:numId="14">
    <w:abstractNumId w:val="7"/>
  </w:num>
  <w:num w:numId="15">
    <w:abstractNumId w:val="11"/>
  </w:num>
  <w:num w:numId="16">
    <w:abstractNumId w:val="13"/>
  </w:num>
  <w:num w:numId="17">
    <w:abstractNumId w:val="2"/>
  </w:num>
  <w:num w:numId="18">
    <w:abstractNumId w:val="12"/>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80A"/>
    <w:rsid w:val="000018E8"/>
    <w:rsid w:val="00001C19"/>
    <w:rsid w:val="00002AC4"/>
    <w:rsid w:val="00003E71"/>
    <w:rsid w:val="00003F2D"/>
    <w:rsid w:val="00004070"/>
    <w:rsid w:val="00004120"/>
    <w:rsid w:val="0000434C"/>
    <w:rsid w:val="000044FD"/>
    <w:rsid w:val="000050C3"/>
    <w:rsid w:val="00005B65"/>
    <w:rsid w:val="000066F2"/>
    <w:rsid w:val="000071F3"/>
    <w:rsid w:val="00007445"/>
    <w:rsid w:val="00007A44"/>
    <w:rsid w:val="00011A47"/>
    <w:rsid w:val="000125F8"/>
    <w:rsid w:val="00012F4F"/>
    <w:rsid w:val="00013066"/>
    <w:rsid w:val="00013581"/>
    <w:rsid w:val="000136A3"/>
    <w:rsid w:val="00013DA3"/>
    <w:rsid w:val="000143C2"/>
    <w:rsid w:val="00015087"/>
    <w:rsid w:val="00016B39"/>
    <w:rsid w:val="00017233"/>
    <w:rsid w:val="00017F2D"/>
    <w:rsid w:val="00020318"/>
    <w:rsid w:val="000207C6"/>
    <w:rsid w:val="000209A4"/>
    <w:rsid w:val="00021DAF"/>
    <w:rsid w:val="0002255B"/>
    <w:rsid w:val="00024BC7"/>
    <w:rsid w:val="00026EFE"/>
    <w:rsid w:val="0002742F"/>
    <w:rsid w:val="000277B3"/>
    <w:rsid w:val="00027E6D"/>
    <w:rsid w:val="000313ED"/>
    <w:rsid w:val="00033F19"/>
    <w:rsid w:val="00034F6A"/>
    <w:rsid w:val="0003695E"/>
    <w:rsid w:val="0003706D"/>
    <w:rsid w:val="0003709A"/>
    <w:rsid w:val="00037757"/>
    <w:rsid w:val="000410A5"/>
    <w:rsid w:val="000419BA"/>
    <w:rsid w:val="00042368"/>
    <w:rsid w:val="00042943"/>
    <w:rsid w:val="00044FE4"/>
    <w:rsid w:val="00046F79"/>
    <w:rsid w:val="00047C66"/>
    <w:rsid w:val="0005010A"/>
    <w:rsid w:val="000508D7"/>
    <w:rsid w:val="000521CC"/>
    <w:rsid w:val="000538B8"/>
    <w:rsid w:val="0005478E"/>
    <w:rsid w:val="00054E06"/>
    <w:rsid w:val="00056305"/>
    <w:rsid w:val="000612C8"/>
    <w:rsid w:val="000627FE"/>
    <w:rsid w:val="00062FE4"/>
    <w:rsid w:val="00064315"/>
    <w:rsid w:val="0006659D"/>
    <w:rsid w:val="000674A5"/>
    <w:rsid w:val="00067F85"/>
    <w:rsid w:val="00070B26"/>
    <w:rsid w:val="00070BAD"/>
    <w:rsid w:val="00071243"/>
    <w:rsid w:val="000712A8"/>
    <w:rsid w:val="00071906"/>
    <w:rsid w:val="00072A6D"/>
    <w:rsid w:val="00073C35"/>
    <w:rsid w:val="0007560A"/>
    <w:rsid w:val="00075663"/>
    <w:rsid w:val="00076147"/>
    <w:rsid w:val="00077871"/>
    <w:rsid w:val="00077906"/>
    <w:rsid w:val="00077B1B"/>
    <w:rsid w:val="00077FF6"/>
    <w:rsid w:val="000824DD"/>
    <w:rsid w:val="0008283D"/>
    <w:rsid w:val="000829F0"/>
    <w:rsid w:val="00082EA8"/>
    <w:rsid w:val="00085D9E"/>
    <w:rsid w:val="000863ED"/>
    <w:rsid w:val="00086582"/>
    <w:rsid w:val="000865EF"/>
    <w:rsid w:val="00086F73"/>
    <w:rsid w:val="00087CE5"/>
    <w:rsid w:val="00093808"/>
    <w:rsid w:val="000941B9"/>
    <w:rsid w:val="00094218"/>
    <w:rsid w:val="00095785"/>
    <w:rsid w:val="00096AA9"/>
    <w:rsid w:val="00096B59"/>
    <w:rsid w:val="00096F4D"/>
    <w:rsid w:val="00097301"/>
    <w:rsid w:val="000A0B88"/>
    <w:rsid w:val="000A150F"/>
    <w:rsid w:val="000A21A6"/>
    <w:rsid w:val="000A38B5"/>
    <w:rsid w:val="000A3A53"/>
    <w:rsid w:val="000A3AEB"/>
    <w:rsid w:val="000A4DCF"/>
    <w:rsid w:val="000A55A7"/>
    <w:rsid w:val="000A6B02"/>
    <w:rsid w:val="000A6BCF"/>
    <w:rsid w:val="000A71B7"/>
    <w:rsid w:val="000A7487"/>
    <w:rsid w:val="000A76F1"/>
    <w:rsid w:val="000A7E81"/>
    <w:rsid w:val="000B0A81"/>
    <w:rsid w:val="000B0DD9"/>
    <w:rsid w:val="000B1A2A"/>
    <w:rsid w:val="000B3A22"/>
    <w:rsid w:val="000B40A0"/>
    <w:rsid w:val="000B65AC"/>
    <w:rsid w:val="000B6F71"/>
    <w:rsid w:val="000C01E7"/>
    <w:rsid w:val="000C03F8"/>
    <w:rsid w:val="000C1546"/>
    <w:rsid w:val="000C210D"/>
    <w:rsid w:val="000C2E1B"/>
    <w:rsid w:val="000C3185"/>
    <w:rsid w:val="000C50DD"/>
    <w:rsid w:val="000C674A"/>
    <w:rsid w:val="000C7217"/>
    <w:rsid w:val="000D14D5"/>
    <w:rsid w:val="000D1A7F"/>
    <w:rsid w:val="000D34BD"/>
    <w:rsid w:val="000D405C"/>
    <w:rsid w:val="000D4B27"/>
    <w:rsid w:val="000E0ABB"/>
    <w:rsid w:val="000E13C6"/>
    <w:rsid w:val="000E1594"/>
    <w:rsid w:val="000E22BE"/>
    <w:rsid w:val="000E2D1E"/>
    <w:rsid w:val="000E46D7"/>
    <w:rsid w:val="000E49B9"/>
    <w:rsid w:val="000E4EE4"/>
    <w:rsid w:val="000F058F"/>
    <w:rsid w:val="000F0726"/>
    <w:rsid w:val="000F101C"/>
    <w:rsid w:val="000F16A0"/>
    <w:rsid w:val="000F4094"/>
    <w:rsid w:val="000F41A8"/>
    <w:rsid w:val="000F4A5C"/>
    <w:rsid w:val="000F5120"/>
    <w:rsid w:val="000F56D3"/>
    <w:rsid w:val="000F78B3"/>
    <w:rsid w:val="001001E5"/>
    <w:rsid w:val="00101B54"/>
    <w:rsid w:val="00101DDB"/>
    <w:rsid w:val="001024C4"/>
    <w:rsid w:val="001028F2"/>
    <w:rsid w:val="001030D7"/>
    <w:rsid w:val="00104BFD"/>
    <w:rsid w:val="00104F70"/>
    <w:rsid w:val="0010596A"/>
    <w:rsid w:val="00105E0D"/>
    <w:rsid w:val="00105F95"/>
    <w:rsid w:val="001061E4"/>
    <w:rsid w:val="00106E13"/>
    <w:rsid w:val="00106E8B"/>
    <w:rsid w:val="001075F4"/>
    <w:rsid w:val="00107BB6"/>
    <w:rsid w:val="00110348"/>
    <w:rsid w:val="00112631"/>
    <w:rsid w:val="001166B9"/>
    <w:rsid w:val="00116CAD"/>
    <w:rsid w:val="00117C3F"/>
    <w:rsid w:val="00120B5D"/>
    <w:rsid w:val="0012183D"/>
    <w:rsid w:val="001219DB"/>
    <w:rsid w:val="00121E4B"/>
    <w:rsid w:val="001236CD"/>
    <w:rsid w:val="00124547"/>
    <w:rsid w:val="00124F9B"/>
    <w:rsid w:val="001251B2"/>
    <w:rsid w:val="0012546D"/>
    <w:rsid w:val="00125A33"/>
    <w:rsid w:val="00125C6A"/>
    <w:rsid w:val="0012659F"/>
    <w:rsid w:val="00127DB5"/>
    <w:rsid w:val="0013023A"/>
    <w:rsid w:val="00131B50"/>
    <w:rsid w:val="00133320"/>
    <w:rsid w:val="00133505"/>
    <w:rsid w:val="00133AAF"/>
    <w:rsid w:val="001343C0"/>
    <w:rsid w:val="0013630C"/>
    <w:rsid w:val="00136795"/>
    <w:rsid w:val="00137CE0"/>
    <w:rsid w:val="00137F4C"/>
    <w:rsid w:val="00140D30"/>
    <w:rsid w:val="00141179"/>
    <w:rsid w:val="00141DA8"/>
    <w:rsid w:val="00145BBF"/>
    <w:rsid w:val="0014618B"/>
    <w:rsid w:val="0014724B"/>
    <w:rsid w:val="0014771B"/>
    <w:rsid w:val="00147E5D"/>
    <w:rsid w:val="0015306F"/>
    <w:rsid w:val="001532D1"/>
    <w:rsid w:val="001561F5"/>
    <w:rsid w:val="0016158C"/>
    <w:rsid w:val="00161EA3"/>
    <w:rsid w:val="001636A9"/>
    <w:rsid w:val="00163A60"/>
    <w:rsid w:val="00164274"/>
    <w:rsid w:val="00164329"/>
    <w:rsid w:val="00166E1E"/>
    <w:rsid w:val="00166EA2"/>
    <w:rsid w:val="00167958"/>
    <w:rsid w:val="00170ECE"/>
    <w:rsid w:val="001719E3"/>
    <w:rsid w:val="00171D17"/>
    <w:rsid w:val="00171D36"/>
    <w:rsid w:val="001730E1"/>
    <w:rsid w:val="00174AC6"/>
    <w:rsid w:val="00174FB9"/>
    <w:rsid w:val="00175420"/>
    <w:rsid w:val="00176CB2"/>
    <w:rsid w:val="00176DC1"/>
    <w:rsid w:val="001809EE"/>
    <w:rsid w:val="0018277F"/>
    <w:rsid w:val="0018354B"/>
    <w:rsid w:val="00183F06"/>
    <w:rsid w:val="00184133"/>
    <w:rsid w:val="00184F28"/>
    <w:rsid w:val="001854FC"/>
    <w:rsid w:val="00186946"/>
    <w:rsid w:val="00186AF1"/>
    <w:rsid w:val="00192196"/>
    <w:rsid w:val="0019395F"/>
    <w:rsid w:val="00194AC6"/>
    <w:rsid w:val="00195CC3"/>
    <w:rsid w:val="00196154"/>
    <w:rsid w:val="0019649B"/>
    <w:rsid w:val="001A0506"/>
    <w:rsid w:val="001A173B"/>
    <w:rsid w:val="001A30FE"/>
    <w:rsid w:val="001A3439"/>
    <w:rsid w:val="001A464D"/>
    <w:rsid w:val="001A6068"/>
    <w:rsid w:val="001A681D"/>
    <w:rsid w:val="001A6A7F"/>
    <w:rsid w:val="001A6DE9"/>
    <w:rsid w:val="001A7231"/>
    <w:rsid w:val="001A7D41"/>
    <w:rsid w:val="001B0AC6"/>
    <w:rsid w:val="001B1210"/>
    <w:rsid w:val="001B2D57"/>
    <w:rsid w:val="001B2FDD"/>
    <w:rsid w:val="001B42C1"/>
    <w:rsid w:val="001C1119"/>
    <w:rsid w:val="001C144E"/>
    <w:rsid w:val="001C14B6"/>
    <w:rsid w:val="001C1D64"/>
    <w:rsid w:val="001C25E8"/>
    <w:rsid w:val="001C2F14"/>
    <w:rsid w:val="001C6401"/>
    <w:rsid w:val="001C6B6C"/>
    <w:rsid w:val="001C6CE8"/>
    <w:rsid w:val="001D0E62"/>
    <w:rsid w:val="001D21E5"/>
    <w:rsid w:val="001D42C9"/>
    <w:rsid w:val="001D55F6"/>
    <w:rsid w:val="001D66B7"/>
    <w:rsid w:val="001E1D5D"/>
    <w:rsid w:val="001E2195"/>
    <w:rsid w:val="001E221C"/>
    <w:rsid w:val="001E3456"/>
    <w:rsid w:val="001E3DE9"/>
    <w:rsid w:val="001E423B"/>
    <w:rsid w:val="001E4CC2"/>
    <w:rsid w:val="001E4F58"/>
    <w:rsid w:val="001E516D"/>
    <w:rsid w:val="001E69FC"/>
    <w:rsid w:val="001E74ED"/>
    <w:rsid w:val="001F004D"/>
    <w:rsid w:val="001F0072"/>
    <w:rsid w:val="001F055F"/>
    <w:rsid w:val="001F05AA"/>
    <w:rsid w:val="001F0B44"/>
    <w:rsid w:val="001F13F4"/>
    <w:rsid w:val="001F24FA"/>
    <w:rsid w:val="001F3159"/>
    <w:rsid w:val="001F34BB"/>
    <w:rsid w:val="001F37E2"/>
    <w:rsid w:val="001F41E7"/>
    <w:rsid w:val="001F5329"/>
    <w:rsid w:val="001F5427"/>
    <w:rsid w:val="001F5E1D"/>
    <w:rsid w:val="001F6940"/>
    <w:rsid w:val="001F798D"/>
    <w:rsid w:val="001F7F68"/>
    <w:rsid w:val="00200138"/>
    <w:rsid w:val="0020064B"/>
    <w:rsid w:val="0020107A"/>
    <w:rsid w:val="00201419"/>
    <w:rsid w:val="00201828"/>
    <w:rsid w:val="0020233E"/>
    <w:rsid w:val="002030E5"/>
    <w:rsid w:val="00204A32"/>
    <w:rsid w:val="00205591"/>
    <w:rsid w:val="00205CCF"/>
    <w:rsid w:val="00205DB2"/>
    <w:rsid w:val="00205F39"/>
    <w:rsid w:val="00206258"/>
    <w:rsid w:val="0021040D"/>
    <w:rsid w:val="0021130D"/>
    <w:rsid w:val="002121D7"/>
    <w:rsid w:val="002130ED"/>
    <w:rsid w:val="002133F3"/>
    <w:rsid w:val="00213F48"/>
    <w:rsid w:val="00215E60"/>
    <w:rsid w:val="00216A29"/>
    <w:rsid w:val="00216EA7"/>
    <w:rsid w:val="0022006A"/>
    <w:rsid w:val="002207FD"/>
    <w:rsid w:val="00221762"/>
    <w:rsid w:val="00221F5A"/>
    <w:rsid w:val="0022219E"/>
    <w:rsid w:val="00222D39"/>
    <w:rsid w:val="00224488"/>
    <w:rsid w:val="0022673F"/>
    <w:rsid w:val="00227CF1"/>
    <w:rsid w:val="0023029C"/>
    <w:rsid w:val="0023149A"/>
    <w:rsid w:val="002327F8"/>
    <w:rsid w:val="00232B4D"/>
    <w:rsid w:val="00232D62"/>
    <w:rsid w:val="00232EA5"/>
    <w:rsid w:val="00233CDB"/>
    <w:rsid w:val="00234A68"/>
    <w:rsid w:val="00235345"/>
    <w:rsid w:val="002353EA"/>
    <w:rsid w:val="002361F4"/>
    <w:rsid w:val="002362A9"/>
    <w:rsid w:val="0023636B"/>
    <w:rsid w:val="00236887"/>
    <w:rsid w:val="00236E26"/>
    <w:rsid w:val="002417B5"/>
    <w:rsid w:val="00241E96"/>
    <w:rsid w:val="00242A52"/>
    <w:rsid w:val="002432C9"/>
    <w:rsid w:val="00244042"/>
    <w:rsid w:val="002441D0"/>
    <w:rsid w:val="00244ED4"/>
    <w:rsid w:val="002473E7"/>
    <w:rsid w:val="00247EBD"/>
    <w:rsid w:val="00250602"/>
    <w:rsid w:val="002507F6"/>
    <w:rsid w:val="00250F7D"/>
    <w:rsid w:val="00252108"/>
    <w:rsid w:val="0025261C"/>
    <w:rsid w:val="00252B3E"/>
    <w:rsid w:val="00253D3A"/>
    <w:rsid w:val="002546D2"/>
    <w:rsid w:val="00254E00"/>
    <w:rsid w:val="002567B1"/>
    <w:rsid w:val="0025789E"/>
    <w:rsid w:val="00270CCE"/>
    <w:rsid w:val="002711CC"/>
    <w:rsid w:val="00271F13"/>
    <w:rsid w:val="002731B1"/>
    <w:rsid w:val="0027384E"/>
    <w:rsid w:val="002741EE"/>
    <w:rsid w:val="00274308"/>
    <w:rsid w:val="00274A90"/>
    <w:rsid w:val="0027500F"/>
    <w:rsid w:val="00276EAD"/>
    <w:rsid w:val="0027765C"/>
    <w:rsid w:val="00277B1F"/>
    <w:rsid w:val="00280188"/>
    <w:rsid w:val="0028065B"/>
    <w:rsid w:val="002813E2"/>
    <w:rsid w:val="002820E8"/>
    <w:rsid w:val="00282F55"/>
    <w:rsid w:val="00284148"/>
    <w:rsid w:val="00284D83"/>
    <w:rsid w:val="00285418"/>
    <w:rsid w:val="00285BE7"/>
    <w:rsid w:val="00286C3C"/>
    <w:rsid w:val="002907F0"/>
    <w:rsid w:val="002909AD"/>
    <w:rsid w:val="00291829"/>
    <w:rsid w:val="002926B8"/>
    <w:rsid w:val="00292F92"/>
    <w:rsid w:val="002951D6"/>
    <w:rsid w:val="0029549F"/>
    <w:rsid w:val="00296224"/>
    <w:rsid w:val="0029664A"/>
    <w:rsid w:val="00297E92"/>
    <w:rsid w:val="002A0447"/>
    <w:rsid w:val="002A14CE"/>
    <w:rsid w:val="002A3561"/>
    <w:rsid w:val="002A456F"/>
    <w:rsid w:val="002A4F97"/>
    <w:rsid w:val="002A5634"/>
    <w:rsid w:val="002A5855"/>
    <w:rsid w:val="002B14E1"/>
    <w:rsid w:val="002B19B8"/>
    <w:rsid w:val="002B1D69"/>
    <w:rsid w:val="002B239B"/>
    <w:rsid w:val="002B302E"/>
    <w:rsid w:val="002B3655"/>
    <w:rsid w:val="002B36F7"/>
    <w:rsid w:val="002B3DAC"/>
    <w:rsid w:val="002B645B"/>
    <w:rsid w:val="002B78CB"/>
    <w:rsid w:val="002C0C87"/>
    <w:rsid w:val="002C0DA5"/>
    <w:rsid w:val="002C10EA"/>
    <w:rsid w:val="002C1728"/>
    <w:rsid w:val="002C21ED"/>
    <w:rsid w:val="002C3712"/>
    <w:rsid w:val="002C3769"/>
    <w:rsid w:val="002C3ABB"/>
    <w:rsid w:val="002C5BB1"/>
    <w:rsid w:val="002D08D1"/>
    <w:rsid w:val="002D0BE4"/>
    <w:rsid w:val="002D1ACD"/>
    <w:rsid w:val="002D1DBA"/>
    <w:rsid w:val="002D1EA4"/>
    <w:rsid w:val="002D285E"/>
    <w:rsid w:val="002D3EBD"/>
    <w:rsid w:val="002D4D57"/>
    <w:rsid w:val="002D5B6F"/>
    <w:rsid w:val="002D6CFF"/>
    <w:rsid w:val="002E1C28"/>
    <w:rsid w:val="002E1CF7"/>
    <w:rsid w:val="002E1DFC"/>
    <w:rsid w:val="002E2B09"/>
    <w:rsid w:val="002E44B7"/>
    <w:rsid w:val="002E4580"/>
    <w:rsid w:val="002E5CB8"/>
    <w:rsid w:val="002E768A"/>
    <w:rsid w:val="002F0F2A"/>
    <w:rsid w:val="002F249C"/>
    <w:rsid w:val="002F29D1"/>
    <w:rsid w:val="002F3515"/>
    <w:rsid w:val="002F3634"/>
    <w:rsid w:val="002F3C1A"/>
    <w:rsid w:val="002F4637"/>
    <w:rsid w:val="002F5FFE"/>
    <w:rsid w:val="002F700B"/>
    <w:rsid w:val="003002AA"/>
    <w:rsid w:val="0030131B"/>
    <w:rsid w:val="00301583"/>
    <w:rsid w:val="00301D9D"/>
    <w:rsid w:val="00301DFD"/>
    <w:rsid w:val="003033B2"/>
    <w:rsid w:val="00303A1E"/>
    <w:rsid w:val="00304983"/>
    <w:rsid w:val="003052EF"/>
    <w:rsid w:val="00305E8A"/>
    <w:rsid w:val="00306ED5"/>
    <w:rsid w:val="00310206"/>
    <w:rsid w:val="003113F6"/>
    <w:rsid w:val="0031152D"/>
    <w:rsid w:val="00311AFF"/>
    <w:rsid w:val="00312EFB"/>
    <w:rsid w:val="00313E2A"/>
    <w:rsid w:val="00314CCD"/>
    <w:rsid w:val="00314D23"/>
    <w:rsid w:val="00315183"/>
    <w:rsid w:val="003167F5"/>
    <w:rsid w:val="00320F98"/>
    <w:rsid w:val="003218C2"/>
    <w:rsid w:val="0032258D"/>
    <w:rsid w:val="00322DFE"/>
    <w:rsid w:val="00323B21"/>
    <w:rsid w:val="00325324"/>
    <w:rsid w:val="0032763C"/>
    <w:rsid w:val="0033005C"/>
    <w:rsid w:val="0033264B"/>
    <w:rsid w:val="00333A9B"/>
    <w:rsid w:val="00334924"/>
    <w:rsid w:val="00335F6B"/>
    <w:rsid w:val="0034066F"/>
    <w:rsid w:val="00340A5E"/>
    <w:rsid w:val="003420E3"/>
    <w:rsid w:val="00343428"/>
    <w:rsid w:val="00344211"/>
    <w:rsid w:val="00344591"/>
    <w:rsid w:val="00345086"/>
    <w:rsid w:val="00345C33"/>
    <w:rsid w:val="003461B4"/>
    <w:rsid w:val="00351184"/>
    <w:rsid w:val="003512D0"/>
    <w:rsid w:val="0035187D"/>
    <w:rsid w:val="003518AE"/>
    <w:rsid w:val="00352541"/>
    <w:rsid w:val="00352DF3"/>
    <w:rsid w:val="0035301C"/>
    <w:rsid w:val="00353520"/>
    <w:rsid w:val="00353557"/>
    <w:rsid w:val="003546A1"/>
    <w:rsid w:val="00355A37"/>
    <w:rsid w:val="00355BB8"/>
    <w:rsid w:val="003601EB"/>
    <w:rsid w:val="00360693"/>
    <w:rsid w:val="003635FF"/>
    <w:rsid w:val="00363660"/>
    <w:rsid w:val="00363ADD"/>
    <w:rsid w:val="0036416C"/>
    <w:rsid w:val="003642B2"/>
    <w:rsid w:val="003654AA"/>
    <w:rsid w:val="0036598E"/>
    <w:rsid w:val="00366525"/>
    <w:rsid w:val="0036755F"/>
    <w:rsid w:val="003706F9"/>
    <w:rsid w:val="00371037"/>
    <w:rsid w:val="003714C5"/>
    <w:rsid w:val="00371D48"/>
    <w:rsid w:val="003722FD"/>
    <w:rsid w:val="00372F48"/>
    <w:rsid w:val="00373483"/>
    <w:rsid w:val="00375982"/>
    <w:rsid w:val="00375B76"/>
    <w:rsid w:val="003807D5"/>
    <w:rsid w:val="00380812"/>
    <w:rsid w:val="003808AD"/>
    <w:rsid w:val="003829FC"/>
    <w:rsid w:val="0038558A"/>
    <w:rsid w:val="003855FF"/>
    <w:rsid w:val="00386316"/>
    <w:rsid w:val="00386D3D"/>
    <w:rsid w:val="003907BE"/>
    <w:rsid w:val="00390975"/>
    <w:rsid w:val="0039251A"/>
    <w:rsid w:val="00393CFF"/>
    <w:rsid w:val="0039446F"/>
    <w:rsid w:val="003955DF"/>
    <w:rsid w:val="003962D5"/>
    <w:rsid w:val="00396337"/>
    <w:rsid w:val="003975D3"/>
    <w:rsid w:val="003A1256"/>
    <w:rsid w:val="003A135E"/>
    <w:rsid w:val="003A1663"/>
    <w:rsid w:val="003A2457"/>
    <w:rsid w:val="003A3372"/>
    <w:rsid w:val="003A4318"/>
    <w:rsid w:val="003A50CC"/>
    <w:rsid w:val="003A5C61"/>
    <w:rsid w:val="003B02CB"/>
    <w:rsid w:val="003B18F2"/>
    <w:rsid w:val="003B1968"/>
    <w:rsid w:val="003B1CA6"/>
    <w:rsid w:val="003B2F31"/>
    <w:rsid w:val="003B3D15"/>
    <w:rsid w:val="003B3FFB"/>
    <w:rsid w:val="003B4B9E"/>
    <w:rsid w:val="003B4F3E"/>
    <w:rsid w:val="003B51C7"/>
    <w:rsid w:val="003B6F6D"/>
    <w:rsid w:val="003B74C9"/>
    <w:rsid w:val="003C04B5"/>
    <w:rsid w:val="003C1E4F"/>
    <w:rsid w:val="003C204A"/>
    <w:rsid w:val="003C2843"/>
    <w:rsid w:val="003C327D"/>
    <w:rsid w:val="003C3D05"/>
    <w:rsid w:val="003C4E3F"/>
    <w:rsid w:val="003C605B"/>
    <w:rsid w:val="003D086D"/>
    <w:rsid w:val="003D0A4F"/>
    <w:rsid w:val="003D26CD"/>
    <w:rsid w:val="003D3422"/>
    <w:rsid w:val="003D38D2"/>
    <w:rsid w:val="003D56D6"/>
    <w:rsid w:val="003D5FA7"/>
    <w:rsid w:val="003D664D"/>
    <w:rsid w:val="003E0BC9"/>
    <w:rsid w:val="003E1193"/>
    <w:rsid w:val="003E13AB"/>
    <w:rsid w:val="003E2191"/>
    <w:rsid w:val="003E23E2"/>
    <w:rsid w:val="003E3572"/>
    <w:rsid w:val="003E4EDD"/>
    <w:rsid w:val="003E5EA0"/>
    <w:rsid w:val="003F0BAA"/>
    <w:rsid w:val="003F124F"/>
    <w:rsid w:val="003F2E4B"/>
    <w:rsid w:val="003F4EB3"/>
    <w:rsid w:val="003F5AD5"/>
    <w:rsid w:val="003F5C23"/>
    <w:rsid w:val="003F5DA0"/>
    <w:rsid w:val="003F61FB"/>
    <w:rsid w:val="003F6A7D"/>
    <w:rsid w:val="003F6F80"/>
    <w:rsid w:val="003F7223"/>
    <w:rsid w:val="003F7A4B"/>
    <w:rsid w:val="003F7BF0"/>
    <w:rsid w:val="00400048"/>
    <w:rsid w:val="004001D3"/>
    <w:rsid w:val="0040070B"/>
    <w:rsid w:val="004009E2"/>
    <w:rsid w:val="00400C39"/>
    <w:rsid w:val="00400EB0"/>
    <w:rsid w:val="004029F0"/>
    <w:rsid w:val="0040351E"/>
    <w:rsid w:val="00404FC0"/>
    <w:rsid w:val="00405BC6"/>
    <w:rsid w:val="004079A5"/>
    <w:rsid w:val="004141CC"/>
    <w:rsid w:val="00415348"/>
    <w:rsid w:val="00415F33"/>
    <w:rsid w:val="00416136"/>
    <w:rsid w:val="00416F24"/>
    <w:rsid w:val="0042241E"/>
    <w:rsid w:val="004229F8"/>
    <w:rsid w:val="00422B09"/>
    <w:rsid w:val="00423B97"/>
    <w:rsid w:val="00423D32"/>
    <w:rsid w:val="004246AB"/>
    <w:rsid w:val="004249A0"/>
    <w:rsid w:val="00424C6A"/>
    <w:rsid w:val="00424F9A"/>
    <w:rsid w:val="004258EA"/>
    <w:rsid w:val="00425DD6"/>
    <w:rsid w:val="00426467"/>
    <w:rsid w:val="0042678A"/>
    <w:rsid w:val="00427C14"/>
    <w:rsid w:val="00427F59"/>
    <w:rsid w:val="00430E82"/>
    <w:rsid w:val="004310D8"/>
    <w:rsid w:val="004323E6"/>
    <w:rsid w:val="004326FC"/>
    <w:rsid w:val="0043316C"/>
    <w:rsid w:val="0043434C"/>
    <w:rsid w:val="00434D12"/>
    <w:rsid w:val="004353BF"/>
    <w:rsid w:val="004369B2"/>
    <w:rsid w:val="0043773C"/>
    <w:rsid w:val="004402B7"/>
    <w:rsid w:val="00441758"/>
    <w:rsid w:val="004428D4"/>
    <w:rsid w:val="004431BD"/>
    <w:rsid w:val="00443C0C"/>
    <w:rsid w:val="00444F92"/>
    <w:rsid w:val="00445572"/>
    <w:rsid w:val="0044616F"/>
    <w:rsid w:val="0044749C"/>
    <w:rsid w:val="00447E17"/>
    <w:rsid w:val="004544D2"/>
    <w:rsid w:val="00455CA6"/>
    <w:rsid w:val="0045647D"/>
    <w:rsid w:val="004567C1"/>
    <w:rsid w:val="00460345"/>
    <w:rsid w:val="00460483"/>
    <w:rsid w:val="00462F83"/>
    <w:rsid w:val="0046319C"/>
    <w:rsid w:val="004654FF"/>
    <w:rsid w:val="00465C4A"/>
    <w:rsid w:val="00466CF4"/>
    <w:rsid w:val="004723B1"/>
    <w:rsid w:val="004736AC"/>
    <w:rsid w:val="00474628"/>
    <w:rsid w:val="00474EEF"/>
    <w:rsid w:val="00475DE4"/>
    <w:rsid w:val="0047700D"/>
    <w:rsid w:val="00477F6D"/>
    <w:rsid w:val="00477FA6"/>
    <w:rsid w:val="00480676"/>
    <w:rsid w:val="00482278"/>
    <w:rsid w:val="004822D6"/>
    <w:rsid w:val="00485371"/>
    <w:rsid w:val="00485D16"/>
    <w:rsid w:val="0048666A"/>
    <w:rsid w:val="00486E31"/>
    <w:rsid w:val="00487A04"/>
    <w:rsid w:val="004900D0"/>
    <w:rsid w:val="004903A8"/>
    <w:rsid w:val="0049194D"/>
    <w:rsid w:val="00491991"/>
    <w:rsid w:val="004919AC"/>
    <w:rsid w:val="004922F0"/>
    <w:rsid w:val="00492774"/>
    <w:rsid w:val="00492DC2"/>
    <w:rsid w:val="0049346C"/>
    <w:rsid w:val="0049352B"/>
    <w:rsid w:val="0049379D"/>
    <w:rsid w:val="00494102"/>
    <w:rsid w:val="00494180"/>
    <w:rsid w:val="0049537D"/>
    <w:rsid w:val="00496171"/>
    <w:rsid w:val="004A0140"/>
    <w:rsid w:val="004A0FA2"/>
    <w:rsid w:val="004A20D0"/>
    <w:rsid w:val="004A2762"/>
    <w:rsid w:val="004A30A9"/>
    <w:rsid w:val="004A3321"/>
    <w:rsid w:val="004A39BC"/>
    <w:rsid w:val="004A4140"/>
    <w:rsid w:val="004A4B6A"/>
    <w:rsid w:val="004A510B"/>
    <w:rsid w:val="004A5AAF"/>
    <w:rsid w:val="004A6F98"/>
    <w:rsid w:val="004A758F"/>
    <w:rsid w:val="004A7982"/>
    <w:rsid w:val="004B056A"/>
    <w:rsid w:val="004B05D3"/>
    <w:rsid w:val="004B06D2"/>
    <w:rsid w:val="004B07EC"/>
    <w:rsid w:val="004B1B69"/>
    <w:rsid w:val="004B20FD"/>
    <w:rsid w:val="004B247B"/>
    <w:rsid w:val="004B263A"/>
    <w:rsid w:val="004B26D8"/>
    <w:rsid w:val="004B3F90"/>
    <w:rsid w:val="004B52D2"/>
    <w:rsid w:val="004B53F2"/>
    <w:rsid w:val="004B56B5"/>
    <w:rsid w:val="004B7587"/>
    <w:rsid w:val="004C187A"/>
    <w:rsid w:val="004C3189"/>
    <w:rsid w:val="004C5549"/>
    <w:rsid w:val="004C5B55"/>
    <w:rsid w:val="004C67B2"/>
    <w:rsid w:val="004C6898"/>
    <w:rsid w:val="004C7982"/>
    <w:rsid w:val="004D1C3F"/>
    <w:rsid w:val="004D226D"/>
    <w:rsid w:val="004D3097"/>
    <w:rsid w:val="004D4E77"/>
    <w:rsid w:val="004D6D5B"/>
    <w:rsid w:val="004D7081"/>
    <w:rsid w:val="004D7266"/>
    <w:rsid w:val="004E04E9"/>
    <w:rsid w:val="004E12B0"/>
    <w:rsid w:val="004E1770"/>
    <w:rsid w:val="004E2524"/>
    <w:rsid w:val="004E33C8"/>
    <w:rsid w:val="004E48E3"/>
    <w:rsid w:val="004E49C7"/>
    <w:rsid w:val="004E617F"/>
    <w:rsid w:val="004F03A2"/>
    <w:rsid w:val="004F0469"/>
    <w:rsid w:val="004F06A6"/>
    <w:rsid w:val="004F12C2"/>
    <w:rsid w:val="004F1F14"/>
    <w:rsid w:val="004F2C94"/>
    <w:rsid w:val="004F527E"/>
    <w:rsid w:val="004F6353"/>
    <w:rsid w:val="004F6CFC"/>
    <w:rsid w:val="004F785D"/>
    <w:rsid w:val="004F7CF3"/>
    <w:rsid w:val="00500067"/>
    <w:rsid w:val="00500402"/>
    <w:rsid w:val="00500D7F"/>
    <w:rsid w:val="0050254F"/>
    <w:rsid w:val="0050259D"/>
    <w:rsid w:val="0050267C"/>
    <w:rsid w:val="00502937"/>
    <w:rsid w:val="00503049"/>
    <w:rsid w:val="005038C2"/>
    <w:rsid w:val="00503D72"/>
    <w:rsid w:val="00504112"/>
    <w:rsid w:val="00504770"/>
    <w:rsid w:val="0050499F"/>
    <w:rsid w:val="005051D5"/>
    <w:rsid w:val="0050629F"/>
    <w:rsid w:val="005103D4"/>
    <w:rsid w:val="005116C9"/>
    <w:rsid w:val="005119D6"/>
    <w:rsid w:val="00511C34"/>
    <w:rsid w:val="0051428A"/>
    <w:rsid w:val="00516322"/>
    <w:rsid w:val="00517601"/>
    <w:rsid w:val="00517F51"/>
    <w:rsid w:val="005205B3"/>
    <w:rsid w:val="00520D85"/>
    <w:rsid w:val="00521734"/>
    <w:rsid w:val="005233FA"/>
    <w:rsid w:val="00524E56"/>
    <w:rsid w:val="005252A7"/>
    <w:rsid w:val="005258CC"/>
    <w:rsid w:val="00526D24"/>
    <w:rsid w:val="00527CF1"/>
    <w:rsid w:val="005307DD"/>
    <w:rsid w:val="00531F58"/>
    <w:rsid w:val="0053272A"/>
    <w:rsid w:val="00532A1A"/>
    <w:rsid w:val="005332D6"/>
    <w:rsid w:val="00533385"/>
    <w:rsid w:val="00534B0C"/>
    <w:rsid w:val="00534C09"/>
    <w:rsid w:val="00535137"/>
    <w:rsid w:val="005409BA"/>
    <w:rsid w:val="00541141"/>
    <w:rsid w:val="00541CC6"/>
    <w:rsid w:val="00541F67"/>
    <w:rsid w:val="00542124"/>
    <w:rsid w:val="00543049"/>
    <w:rsid w:val="0054344C"/>
    <w:rsid w:val="00543B65"/>
    <w:rsid w:val="005450FD"/>
    <w:rsid w:val="00545E0E"/>
    <w:rsid w:val="00545FF6"/>
    <w:rsid w:val="00546129"/>
    <w:rsid w:val="00546450"/>
    <w:rsid w:val="005477B0"/>
    <w:rsid w:val="0055062B"/>
    <w:rsid w:val="00550879"/>
    <w:rsid w:val="00551EF4"/>
    <w:rsid w:val="00551F62"/>
    <w:rsid w:val="0055290D"/>
    <w:rsid w:val="0055431F"/>
    <w:rsid w:val="0055506C"/>
    <w:rsid w:val="005561E6"/>
    <w:rsid w:val="00556C1B"/>
    <w:rsid w:val="00556E92"/>
    <w:rsid w:val="00560BAA"/>
    <w:rsid w:val="00560C94"/>
    <w:rsid w:val="0056254F"/>
    <w:rsid w:val="00562612"/>
    <w:rsid w:val="005654D3"/>
    <w:rsid w:val="00566531"/>
    <w:rsid w:val="00567188"/>
    <w:rsid w:val="00567C83"/>
    <w:rsid w:val="00575269"/>
    <w:rsid w:val="005765FB"/>
    <w:rsid w:val="00576833"/>
    <w:rsid w:val="00576A25"/>
    <w:rsid w:val="00580017"/>
    <w:rsid w:val="005823B3"/>
    <w:rsid w:val="005840B6"/>
    <w:rsid w:val="00584507"/>
    <w:rsid w:val="00584AA3"/>
    <w:rsid w:val="00584F08"/>
    <w:rsid w:val="00585200"/>
    <w:rsid w:val="005852D2"/>
    <w:rsid w:val="00585557"/>
    <w:rsid w:val="00585B64"/>
    <w:rsid w:val="00585F65"/>
    <w:rsid w:val="005906C4"/>
    <w:rsid w:val="00590CCC"/>
    <w:rsid w:val="00590E95"/>
    <w:rsid w:val="00592AE3"/>
    <w:rsid w:val="0059311E"/>
    <w:rsid w:val="005935A8"/>
    <w:rsid w:val="005938B3"/>
    <w:rsid w:val="00593BB7"/>
    <w:rsid w:val="005942DC"/>
    <w:rsid w:val="00596520"/>
    <w:rsid w:val="00596F47"/>
    <w:rsid w:val="00597631"/>
    <w:rsid w:val="005A0C20"/>
    <w:rsid w:val="005A1D14"/>
    <w:rsid w:val="005A33B6"/>
    <w:rsid w:val="005A39DF"/>
    <w:rsid w:val="005A3DB9"/>
    <w:rsid w:val="005A5076"/>
    <w:rsid w:val="005A5A37"/>
    <w:rsid w:val="005A5C64"/>
    <w:rsid w:val="005A5DD9"/>
    <w:rsid w:val="005A6697"/>
    <w:rsid w:val="005A70D2"/>
    <w:rsid w:val="005B0639"/>
    <w:rsid w:val="005B0D8C"/>
    <w:rsid w:val="005B1B6C"/>
    <w:rsid w:val="005B22B7"/>
    <w:rsid w:val="005B32A1"/>
    <w:rsid w:val="005B33EE"/>
    <w:rsid w:val="005B50E6"/>
    <w:rsid w:val="005B56A2"/>
    <w:rsid w:val="005B669E"/>
    <w:rsid w:val="005B6D97"/>
    <w:rsid w:val="005B6FD3"/>
    <w:rsid w:val="005B7508"/>
    <w:rsid w:val="005C1FB7"/>
    <w:rsid w:val="005C2ABD"/>
    <w:rsid w:val="005C2CCB"/>
    <w:rsid w:val="005C2DF1"/>
    <w:rsid w:val="005C6D71"/>
    <w:rsid w:val="005C77B9"/>
    <w:rsid w:val="005C7C75"/>
    <w:rsid w:val="005C7C9C"/>
    <w:rsid w:val="005D136D"/>
    <w:rsid w:val="005D1556"/>
    <w:rsid w:val="005D300B"/>
    <w:rsid w:val="005D50B6"/>
    <w:rsid w:val="005D5BAE"/>
    <w:rsid w:val="005E056B"/>
    <w:rsid w:val="005E09FF"/>
    <w:rsid w:val="005E1193"/>
    <w:rsid w:val="005E1487"/>
    <w:rsid w:val="005E1C9C"/>
    <w:rsid w:val="005E26F3"/>
    <w:rsid w:val="005E2F8B"/>
    <w:rsid w:val="005E4388"/>
    <w:rsid w:val="005E532F"/>
    <w:rsid w:val="005E56CC"/>
    <w:rsid w:val="005E5E64"/>
    <w:rsid w:val="005E5FCA"/>
    <w:rsid w:val="005E6A88"/>
    <w:rsid w:val="005E7AF3"/>
    <w:rsid w:val="005F018A"/>
    <w:rsid w:val="005F07DD"/>
    <w:rsid w:val="005F1777"/>
    <w:rsid w:val="005F26C1"/>
    <w:rsid w:val="005F3251"/>
    <w:rsid w:val="005F414A"/>
    <w:rsid w:val="005F4F95"/>
    <w:rsid w:val="005F5156"/>
    <w:rsid w:val="005F6144"/>
    <w:rsid w:val="005F631D"/>
    <w:rsid w:val="005F64F4"/>
    <w:rsid w:val="005F7099"/>
    <w:rsid w:val="005F70D7"/>
    <w:rsid w:val="005F73B9"/>
    <w:rsid w:val="006006A5"/>
    <w:rsid w:val="0060138D"/>
    <w:rsid w:val="00602F57"/>
    <w:rsid w:val="006036EF"/>
    <w:rsid w:val="006051C0"/>
    <w:rsid w:val="006063BC"/>
    <w:rsid w:val="006067AE"/>
    <w:rsid w:val="00607ECD"/>
    <w:rsid w:val="006107BD"/>
    <w:rsid w:val="006112F6"/>
    <w:rsid w:val="006119A1"/>
    <w:rsid w:val="00611C20"/>
    <w:rsid w:val="006134EB"/>
    <w:rsid w:val="00613B1F"/>
    <w:rsid w:val="00616AEA"/>
    <w:rsid w:val="006170FC"/>
    <w:rsid w:val="00617970"/>
    <w:rsid w:val="0062160B"/>
    <w:rsid w:val="00622007"/>
    <w:rsid w:val="00622242"/>
    <w:rsid w:val="0063099B"/>
    <w:rsid w:val="00632480"/>
    <w:rsid w:val="0063257C"/>
    <w:rsid w:val="00633B07"/>
    <w:rsid w:val="006345EC"/>
    <w:rsid w:val="00634CAE"/>
    <w:rsid w:val="00635007"/>
    <w:rsid w:val="00635027"/>
    <w:rsid w:val="006354C8"/>
    <w:rsid w:val="006358E7"/>
    <w:rsid w:val="00635DFB"/>
    <w:rsid w:val="00636151"/>
    <w:rsid w:val="0063638D"/>
    <w:rsid w:val="00640F04"/>
    <w:rsid w:val="006414AD"/>
    <w:rsid w:val="006423B6"/>
    <w:rsid w:val="00643263"/>
    <w:rsid w:val="00645995"/>
    <w:rsid w:val="00646392"/>
    <w:rsid w:val="00646A60"/>
    <w:rsid w:val="00646F29"/>
    <w:rsid w:val="006477CB"/>
    <w:rsid w:val="00650199"/>
    <w:rsid w:val="00651B2D"/>
    <w:rsid w:val="00651B77"/>
    <w:rsid w:val="006562E0"/>
    <w:rsid w:val="006606FF"/>
    <w:rsid w:val="006610BC"/>
    <w:rsid w:val="006619FF"/>
    <w:rsid w:val="00662CA0"/>
    <w:rsid w:val="00663974"/>
    <w:rsid w:val="00664E67"/>
    <w:rsid w:val="00665314"/>
    <w:rsid w:val="00665490"/>
    <w:rsid w:val="00666C0C"/>
    <w:rsid w:val="00666F67"/>
    <w:rsid w:val="006671FC"/>
    <w:rsid w:val="0066785D"/>
    <w:rsid w:val="0067092B"/>
    <w:rsid w:val="00670D76"/>
    <w:rsid w:val="00672444"/>
    <w:rsid w:val="00672DAC"/>
    <w:rsid w:val="00674D56"/>
    <w:rsid w:val="00675254"/>
    <w:rsid w:val="00675EFB"/>
    <w:rsid w:val="00676100"/>
    <w:rsid w:val="00676716"/>
    <w:rsid w:val="00676C02"/>
    <w:rsid w:val="0068003D"/>
    <w:rsid w:val="00681548"/>
    <w:rsid w:val="006827AC"/>
    <w:rsid w:val="006837F1"/>
    <w:rsid w:val="006842D6"/>
    <w:rsid w:val="006846F7"/>
    <w:rsid w:val="00686DA3"/>
    <w:rsid w:val="0068707F"/>
    <w:rsid w:val="006878C6"/>
    <w:rsid w:val="006934D6"/>
    <w:rsid w:val="006945BB"/>
    <w:rsid w:val="00694926"/>
    <w:rsid w:val="00694976"/>
    <w:rsid w:val="00696143"/>
    <w:rsid w:val="00696872"/>
    <w:rsid w:val="00697605"/>
    <w:rsid w:val="0069780A"/>
    <w:rsid w:val="006A0C55"/>
    <w:rsid w:val="006A11E6"/>
    <w:rsid w:val="006A24C9"/>
    <w:rsid w:val="006A293E"/>
    <w:rsid w:val="006A2F18"/>
    <w:rsid w:val="006A31F5"/>
    <w:rsid w:val="006A326F"/>
    <w:rsid w:val="006A471E"/>
    <w:rsid w:val="006A58B0"/>
    <w:rsid w:val="006A76E2"/>
    <w:rsid w:val="006A7AA7"/>
    <w:rsid w:val="006A7F89"/>
    <w:rsid w:val="006B0F63"/>
    <w:rsid w:val="006B142D"/>
    <w:rsid w:val="006B2115"/>
    <w:rsid w:val="006B2DC9"/>
    <w:rsid w:val="006B4287"/>
    <w:rsid w:val="006B49DD"/>
    <w:rsid w:val="006B6186"/>
    <w:rsid w:val="006B710E"/>
    <w:rsid w:val="006B79FD"/>
    <w:rsid w:val="006C103B"/>
    <w:rsid w:val="006C377F"/>
    <w:rsid w:val="006C4154"/>
    <w:rsid w:val="006C4D67"/>
    <w:rsid w:val="006C5C6F"/>
    <w:rsid w:val="006C62AB"/>
    <w:rsid w:val="006C6655"/>
    <w:rsid w:val="006C6B48"/>
    <w:rsid w:val="006C6FEF"/>
    <w:rsid w:val="006C719C"/>
    <w:rsid w:val="006D0FB6"/>
    <w:rsid w:val="006D1373"/>
    <w:rsid w:val="006D16B5"/>
    <w:rsid w:val="006D201B"/>
    <w:rsid w:val="006D241E"/>
    <w:rsid w:val="006D2983"/>
    <w:rsid w:val="006D2C8B"/>
    <w:rsid w:val="006D3637"/>
    <w:rsid w:val="006D3A64"/>
    <w:rsid w:val="006D4C35"/>
    <w:rsid w:val="006E2085"/>
    <w:rsid w:val="006E3BB3"/>
    <w:rsid w:val="006E412A"/>
    <w:rsid w:val="006E534B"/>
    <w:rsid w:val="006E6432"/>
    <w:rsid w:val="006E7B52"/>
    <w:rsid w:val="006F0BB1"/>
    <w:rsid w:val="006F1983"/>
    <w:rsid w:val="006F3A33"/>
    <w:rsid w:val="006F3C37"/>
    <w:rsid w:val="006F6768"/>
    <w:rsid w:val="006F6EFB"/>
    <w:rsid w:val="006F73E1"/>
    <w:rsid w:val="006F7CBA"/>
    <w:rsid w:val="00700110"/>
    <w:rsid w:val="007007BA"/>
    <w:rsid w:val="00700A10"/>
    <w:rsid w:val="00700AD9"/>
    <w:rsid w:val="00701D89"/>
    <w:rsid w:val="007036F4"/>
    <w:rsid w:val="007059C6"/>
    <w:rsid w:val="007079D9"/>
    <w:rsid w:val="007103F1"/>
    <w:rsid w:val="0071422E"/>
    <w:rsid w:val="007145A7"/>
    <w:rsid w:val="007152CB"/>
    <w:rsid w:val="007153BD"/>
    <w:rsid w:val="007159E1"/>
    <w:rsid w:val="00717343"/>
    <w:rsid w:val="00717B59"/>
    <w:rsid w:val="007202D3"/>
    <w:rsid w:val="007203CF"/>
    <w:rsid w:val="00721279"/>
    <w:rsid w:val="007224A5"/>
    <w:rsid w:val="0072263E"/>
    <w:rsid w:val="00722824"/>
    <w:rsid w:val="007229C7"/>
    <w:rsid w:val="0072329F"/>
    <w:rsid w:val="00723802"/>
    <w:rsid w:val="007253C1"/>
    <w:rsid w:val="00725C4F"/>
    <w:rsid w:val="00725C7F"/>
    <w:rsid w:val="00726802"/>
    <w:rsid w:val="007318A3"/>
    <w:rsid w:val="007319A4"/>
    <w:rsid w:val="00731F56"/>
    <w:rsid w:val="00733A84"/>
    <w:rsid w:val="00733D4E"/>
    <w:rsid w:val="0073566D"/>
    <w:rsid w:val="0073592E"/>
    <w:rsid w:val="0073620D"/>
    <w:rsid w:val="007367C4"/>
    <w:rsid w:val="00740568"/>
    <w:rsid w:val="00740C2D"/>
    <w:rsid w:val="00741C15"/>
    <w:rsid w:val="007421BC"/>
    <w:rsid w:val="00742A0A"/>
    <w:rsid w:val="007430EA"/>
    <w:rsid w:val="00743A6B"/>
    <w:rsid w:val="00744560"/>
    <w:rsid w:val="00745ABB"/>
    <w:rsid w:val="00745AFB"/>
    <w:rsid w:val="0074752C"/>
    <w:rsid w:val="007505EB"/>
    <w:rsid w:val="00752A06"/>
    <w:rsid w:val="00752B67"/>
    <w:rsid w:val="00753A6D"/>
    <w:rsid w:val="00753C38"/>
    <w:rsid w:val="007542D3"/>
    <w:rsid w:val="00754C07"/>
    <w:rsid w:val="00755F90"/>
    <w:rsid w:val="00756A78"/>
    <w:rsid w:val="007608B1"/>
    <w:rsid w:val="00760969"/>
    <w:rsid w:val="00760B27"/>
    <w:rsid w:val="00760D11"/>
    <w:rsid w:val="00760F61"/>
    <w:rsid w:val="007634F8"/>
    <w:rsid w:val="0076426A"/>
    <w:rsid w:val="0076437C"/>
    <w:rsid w:val="00765E16"/>
    <w:rsid w:val="00767188"/>
    <w:rsid w:val="007701E4"/>
    <w:rsid w:val="00770E95"/>
    <w:rsid w:val="00771A61"/>
    <w:rsid w:val="00773564"/>
    <w:rsid w:val="00773677"/>
    <w:rsid w:val="00774E67"/>
    <w:rsid w:val="00774FB2"/>
    <w:rsid w:val="007766F6"/>
    <w:rsid w:val="00776E44"/>
    <w:rsid w:val="00780F05"/>
    <w:rsid w:val="007817A7"/>
    <w:rsid w:val="00781A27"/>
    <w:rsid w:val="00781DF4"/>
    <w:rsid w:val="00783B3F"/>
    <w:rsid w:val="00784413"/>
    <w:rsid w:val="00785299"/>
    <w:rsid w:val="00785D32"/>
    <w:rsid w:val="00786632"/>
    <w:rsid w:val="00786848"/>
    <w:rsid w:val="00787650"/>
    <w:rsid w:val="00787C33"/>
    <w:rsid w:val="00795BDA"/>
    <w:rsid w:val="007967A6"/>
    <w:rsid w:val="00796885"/>
    <w:rsid w:val="00796E59"/>
    <w:rsid w:val="00797147"/>
    <w:rsid w:val="007978A1"/>
    <w:rsid w:val="007A026A"/>
    <w:rsid w:val="007A15DB"/>
    <w:rsid w:val="007A4496"/>
    <w:rsid w:val="007A5365"/>
    <w:rsid w:val="007A5414"/>
    <w:rsid w:val="007A7F1A"/>
    <w:rsid w:val="007B0616"/>
    <w:rsid w:val="007B080B"/>
    <w:rsid w:val="007B125E"/>
    <w:rsid w:val="007B22B0"/>
    <w:rsid w:val="007B2372"/>
    <w:rsid w:val="007B2C37"/>
    <w:rsid w:val="007B3A1A"/>
    <w:rsid w:val="007B3EDF"/>
    <w:rsid w:val="007B3FC3"/>
    <w:rsid w:val="007B6EB2"/>
    <w:rsid w:val="007B7B6C"/>
    <w:rsid w:val="007B7E52"/>
    <w:rsid w:val="007C01C3"/>
    <w:rsid w:val="007C042F"/>
    <w:rsid w:val="007C08F5"/>
    <w:rsid w:val="007C1874"/>
    <w:rsid w:val="007C2883"/>
    <w:rsid w:val="007C3634"/>
    <w:rsid w:val="007C5406"/>
    <w:rsid w:val="007C7070"/>
    <w:rsid w:val="007C70EE"/>
    <w:rsid w:val="007C7500"/>
    <w:rsid w:val="007C7AE5"/>
    <w:rsid w:val="007C7AEC"/>
    <w:rsid w:val="007D03DA"/>
    <w:rsid w:val="007D146B"/>
    <w:rsid w:val="007D3056"/>
    <w:rsid w:val="007D3073"/>
    <w:rsid w:val="007D3C76"/>
    <w:rsid w:val="007D4452"/>
    <w:rsid w:val="007D5708"/>
    <w:rsid w:val="007D703B"/>
    <w:rsid w:val="007D7612"/>
    <w:rsid w:val="007E0BC6"/>
    <w:rsid w:val="007E206D"/>
    <w:rsid w:val="007E3622"/>
    <w:rsid w:val="007E41CB"/>
    <w:rsid w:val="007E5C26"/>
    <w:rsid w:val="007E6C75"/>
    <w:rsid w:val="007E7484"/>
    <w:rsid w:val="007F035D"/>
    <w:rsid w:val="007F047A"/>
    <w:rsid w:val="007F1EDB"/>
    <w:rsid w:val="007F21A5"/>
    <w:rsid w:val="007F2331"/>
    <w:rsid w:val="007F2A78"/>
    <w:rsid w:val="007F2BFD"/>
    <w:rsid w:val="007F303A"/>
    <w:rsid w:val="007F32B9"/>
    <w:rsid w:val="007F3835"/>
    <w:rsid w:val="007F3911"/>
    <w:rsid w:val="007F4447"/>
    <w:rsid w:val="007F7E98"/>
    <w:rsid w:val="008023D7"/>
    <w:rsid w:val="008024D2"/>
    <w:rsid w:val="008024F1"/>
    <w:rsid w:val="0080415B"/>
    <w:rsid w:val="008053B2"/>
    <w:rsid w:val="00805E92"/>
    <w:rsid w:val="00806DBA"/>
    <w:rsid w:val="008079EB"/>
    <w:rsid w:val="00811466"/>
    <w:rsid w:val="00815DC3"/>
    <w:rsid w:val="00816043"/>
    <w:rsid w:val="00822BEB"/>
    <w:rsid w:val="0082303E"/>
    <w:rsid w:val="008231F5"/>
    <w:rsid w:val="00823E55"/>
    <w:rsid w:val="0082427C"/>
    <w:rsid w:val="00824B32"/>
    <w:rsid w:val="00826012"/>
    <w:rsid w:val="00826BB3"/>
    <w:rsid w:val="008310F4"/>
    <w:rsid w:val="008313C7"/>
    <w:rsid w:val="0083172A"/>
    <w:rsid w:val="00831928"/>
    <w:rsid w:val="0083222B"/>
    <w:rsid w:val="008331FB"/>
    <w:rsid w:val="00835713"/>
    <w:rsid w:val="00836902"/>
    <w:rsid w:val="00836F7D"/>
    <w:rsid w:val="00842A43"/>
    <w:rsid w:val="00843663"/>
    <w:rsid w:val="00843AFD"/>
    <w:rsid w:val="00844B59"/>
    <w:rsid w:val="00844CB7"/>
    <w:rsid w:val="00844DBE"/>
    <w:rsid w:val="0084646A"/>
    <w:rsid w:val="00846958"/>
    <w:rsid w:val="008470A0"/>
    <w:rsid w:val="008517AB"/>
    <w:rsid w:val="00851ACB"/>
    <w:rsid w:val="00851E55"/>
    <w:rsid w:val="008521EA"/>
    <w:rsid w:val="008523C7"/>
    <w:rsid w:val="0085451E"/>
    <w:rsid w:val="00854918"/>
    <w:rsid w:val="00855308"/>
    <w:rsid w:val="00856561"/>
    <w:rsid w:val="00856DE7"/>
    <w:rsid w:val="008608C6"/>
    <w:rsid w:val="008608FC"/>
    <w:rsid w:val="00861308"/>
    <w:rsid w:val="00862C35"/>
    <w:rsid w:val="00862FD3"/>
    <w:rsid w:val="00865161"/>
    <w:rsid w:val="0086526D"/>
    <w:rsid w:val="00865A36"/>
    <w:rsid w:val="00865C2B"/>
    <w:rsid w:val="00867305"/>
    <w:rsid w:val="00867787"/>
    <w:rsid w:val="008679A3"/>
    <w:rsid w:val="00870C9D"/>
    <w:rsid w:val="0087130E"/>
    <w:rsid w:val="00871C8D"/>
    <w:rsid w:val="0087233E"/>
    <w:rsid w:val="00873DF6"/>
    <w:rsid w:val="00874568"/>
    <w:rsid w:val="0087502C"/>
    <w:rsid w:val="008769A0"/>
    <w:rsid w:val="00876B5D"/>
    <w:rsid w:val="008802BE"/>
    <w:rsid w:val="0088052A"/>
    <w:rsid w:val="00881F59"/>
    <w:rsid w:val="0088290E"/>
    <w:rsid w:val="008833EC"/>
    <w:rsid w:val="00883D90"/>
    <w:rsid w:val="00885312"/>
    <w:rsid w:val="00885CAE"/>
    <w:rsid w:val="008903C5"/>
    <w:rsid w:val="00890AD7"/>
    <w:rsid w:val="00891580"/>
    <w:rsid w:val="00892C67"/>
    <w:rsid w:val="00893C1F"/>
    <w:rsid w:val="00894630"/>
    <w:rsid w:val="00894B2E"/>
    <w:rsid w:val="00895BE3"/>
    <w:rsid w:val="00896C9F"/>
    <w:rsid w:val="008A0EEA"/>
    <w:rsid w:val="008A1801"/>
    <w:rsid w:val="008A1E0B"/>
    <w:rsid w:val="008A2503"/>
    <w:rsid w:val="008A27C5"/>
    <w:rsid w:val="008A3085"/>
    <w:rsid w:val="008A54DE"/>
    <w:rsid w:val="008A5837"/>
    <w:rsid w:val="008A5981"/>
    <w:rsid w:val="008A6111"/>
    <w:rsid w:val="008A68A8"/>
    <w:rsid w:val="008A7536"/>
    <w:rsid w:val="008B0F6B"/>
    <w:rsid w:val="008B2652"/>
    <w:rsid w:val="008B26DA"/>
    <w:rsid w:val="008B2F04"/>
    <w:rsid w:val="008B35A0"/>
    <w:rsid w:val="008B3843"/>
    <w:rsid w:val="008B4579"/>
    <w:rsid w:val="008B54E9"/>
    <w:rsid w:val="008B627E"/>
    <w:rsid w:val="008C028A"/>
    <w:rsid w:val="008C0582"/>
    <w:rsid w:val="008C091B"/>
    <w:rsid w:val="008C3AE0"/>
    <w:rsid w:val="008C434C"/>
    <w:rsid w:val="008C4A17"/>
    <w:rsid w:val="008C53AF"/>
    <w:rsid w:val="008D06E6"/>
    <w:rsid w:val="008D1BB1"/>
    <w:rsid w:val="008D4C1F"/>
    <w:rsid w:val="008E0B92"/>
    <w:rsid w:val="008E1670"/>
    <w:rsid w:val="008E1A2B"/>
    <w:rsid w:val="008E1ABA"/>
    <w:rsid w:val="008E1CDD"/>
    <w:rsid w:val="008E1F3D"/>
    <w:rsid w:val="008E1FAC"/>
    <w:rsid w:val="008E2373"/>
    <w:rsid w:val="008E393F"/>
    <w:rsid w:val="008E433C"/>
    <w:rsid w:val="008E441B"/>
    <w:rsid w:val="008E5310"/>
    <w:rsid w:val="008E5B18"/>
    <w:rsid w:val="008E71E9"/>
    <w:rsid w:val="008E731F"/>
    <w:rsid w:val="008F04F9"/>
    <w:rsid w:val="008F0E08"/>
    <w:rsid w:val="008F2BA8"/>
    <w:rsid w:val="008F32A3"/>
    <w:rsid w:val="008F3FB9"/>
    <w:rsid w:val="008F5128"/>
    <w:rsid w:val="008F707A"/>
    <w:rsid w:val="00900304"/>
    <w:rsid w:val="00901B16"/>
    <w:rsid w:val="00902EA4"/>
    <w:rsid w:val="0090362A"/>
    <w:rsid w:val="00903A2D"/>
    <w:rsid w:val="00905871"/>
    <w:rsid w:val="0090638D"/>
    <w:rsid w:val="009063EF"/>
    <w:rsid w:val="00906D29"/>
    <w:rsid w:val="00907095"/>
    <w:rsid w:val="00907495"/>
    <w:rsid w:val="00907E8C"/>
    <w:rsid w:val="00910B17"/>
    <w:rsid w:val="009134EE"/>
    <w:rsid w:val="009137F6"/>
    <w:rsid w:val="00914B4D"/>
    <w:rsid w:val="009168BD"/>
    <w:rsid w:val="009169E7"/>
    <w:rsid w:val="009170E4"/>
    <w:rsid w:val="009170EA"/>
    <w:rsid w:val="00917BD7"/>
    <w:rsid w:val="00920261"/>
    <w:rsid w:val="0092098F"/>
    <w:rsid w:val="00920A79"/>
    <w:rsid w:val="00920B21"/>
    <w:rsid w:val="0092231D"/>
    <w:rsid w:val="009230A4"/>
    <w:rsid w:val="009253C9"/>
    <w:rsid w:val="00925E34"/>
    <w:rsid w:val="009260B4"/>
    <w:rsid w:val="00930383"/>
    <w:rsid w:val="00930B47"/>
    <w:rsid w:val="00930C42"/>
    <w:rsid w:val="009310B4"/>
    <w:rsid w:val="009310B9"/>
    <w:rsid w:val="00933948"/>
    <w:rsid w:val="00933EBA"/>
    <w:rsid w:val="00934722"/>
    <w:rsid w:val="0093487E"/>
    <w:rsid w:val="00934D07"/>
    <w:rsid w:val="00937D9C"/>
    <w:rsid w:val="0094115F"/>
    <w:rsid w:val="00941E63"/>
    <w:rsid w:val="00942B9F"/>
    <w:rsid w:val="0094378B"/>
    <w:rsid w:val="00945D94"/>
    <w:rsid w:val="0094686C"/>
    <w:rsid w:val="00950E22"/>
    <w:rsid w:val="009526DC"/>
    <w:rsid w:val="009532A5"/>
    <w:rsid w:val="009546BF"/>
    <w:rsid w:val="00954DE5"/>
    <w:rsid w:val="00955714"/>
    <w:rsid w:val="00955D91"/>
    <w:rsid w:val="0095614B"/>
    <w:rsid w:val="009569F7"/>
    <w:rsid w:val="0095722C"/>
    <w:rsid w:val="00957476"/>
    <w:rsid w:val="00957E98"/>
    <w:rsid w:val="00960E36"/>
    <w:rsid w:val="00962EEC"/>
    <w:rsid w:val="00962FC9"/>
    <w:rsid w:val="00963C1E"/>
    <w:rsid w:val="00964F3B"/>
    <w:rsid w:val="009659E8"/>
    <w:rsid w:val="00965B97"/>
    <w:rsid w:val="0096605D"/>
    <w:rsid w:val="009661BB"/>
    <w:rsid w:val="00966AE4"/>
    <w:rsid w:val="00971940"/>
    <w:rsid w:val="0097347F"/>
    <w:rsid w:val="00974F96"/>
    <w:rsid w:val="00975765"/>
    <w:rsid w:val="009768DD"/>
    <w:rsid w:val="00976CBC"/>
    <w:rsid w:val="00976EB4"/>
    <w:rsid w:val="00977805"/>
    <w:rsid w:val="00980635"/>
    <w:rsid w:val="00981E3F"/>
    <w:rsid w:val="00982034"/>
    <w:rsid w:val="00982B7C"/>
    <w:rsid w:val="00983254"/>
    <w:rsid w:val="00983615"/>
    <w:rsid w:val="009855D0"/>
    <w:rsid w:val="00986D97"/>
    <w:rsid w:val="00991CBE"/>
    <w:rsid w:val="00992B29"/>
    <w:rsid w:val="009932D5"/>
    <w:rsid w:val="00993EA7"/>
    <w:rsid w:val="00994D5B"/>
    <w:rsid w:val="009951D5"/>
    <w:rsid w:val="009957F1"/>
    <w:rsid w:val="00995E9B"/>
    <w:rsid w:val="0099648E"/>
    <w:rsid w:val="00996E4C"/>
    <w:rsid w:val="009A0A1E"/>
    <w:rsid w:val="009A0A38"/>
    <w:rsid w:val="009A2F97"/>
    <w:rsid w:val="009A3179"/>
    <w:rsid w:val="009A5674"/>
    <w:rsid w:val="009A5F82"/>
    <w:rsid w:val="009A6CD0"/>
    <w:rsid w:val="009A7D10"/>
    <w:rsid w:val="009B00CA"/>
    <w:rsid w:val="009B1A8B"/>
    <w:rsid w:val="009B218B"/>
    <w:rsid w:val="009B2262"/>
    <w:rsid w:val="009B5C7A"/>
    <w:rsid w:val="009B640C"/>
    <w:rsid w:val="009B74B4"/>
    <w:rsid w:val="009C16BE"/>
    <w:rsid w:val="009C18DB"/>
    <w:rsid w:val="009C29C5"/>
    <w:rsid w:val="009C3D1F"/>
    <w:rsid w:val="009C686D"/>
    <w:rsid w:val="009C73A4"/>
    <w:rsid w:val="009C7738"/>
    <w:rsid w:val="009C7B2D"/>
    <w:rsid w:val="009D03CC"/>
    <w:rsid w:val="009D1C93"/>
    <w:rsid w:val="009D2498"/>
    <w:rsid w:val="009D2B5C"/>
    <w:rsid w:val="009D4A99"/>
    <w:rsid w:val="009D51AB"/>
    <w:rsid w:val="009D5A7C"/>
    <w:rsid w:val="009D5C65"/>
    <w:rsid w:val="009D5F0F"/>
    <w:rsid w:val="009D682C"/>
    <w:rsid w:val="009D75E6"/>
    <w:rsid w:val="009E0F59"/>
    <w:rsid w:val="009E1574"/>
    <w:rsid w:val="009E18BD"/>
    <w:rsid w:val="009E20F9"/>
    <w:rsid w:val="009E229B"/>
    <w:rsid w:val="009E3041"/>
    <w:rsid w:val="009E3773"/>
    <w:rsid w:val="009E3AA2"/>
    <w:rsid w:val="009E48EA"/>
    <w:rsid w:val="009E7862"/>
    <w:rsid w:val="009E7B4D"/>
    <w:rsid w:val="009E7E46"/>
    <w:rsid w:val="009F0AA4"/>
    <w:rsid w:val="009F0BFB"/>
    <w:rsid w:val="009F1138"/>
    <w:rsid w:val="009F1CD7"/>
    <w:rsid w:val="009F21E6"/>
    <w:rsid w:val="009F4D9D"/>
    <w:rsid w:val="009F5E35"/>
    <w:rsid w:val="009F6D64"/>
    <w:rsid w:val="009F72C8"/>
    <w:rsid w:val="009F782F"/>
    <w:rsid w:val="009F7855"/>
    <w:rsid w:val="009F78ED"/>
    <w:rsid w:val="00A01492"/>
    <w:rsid w:val="00A02881"/>
    <w:rsid w:val="00A045E2"/>
    <w:rsid w:val="00A05074"/>
    <w:rsid w:val="00A061DC"/>
    <w:rsid w:val="00A078FF"/>
    <w:rsid w:val="00A1093C"/>
    <w:rsid w:val="00A1100E"/>
    <w:rsid w:val="00A1144A"/>
    <w:rsid w:val="00A11855"/>
    <w:rsid w:val="00A11C90"/>
    <w:rsid w:val="00A11C95"/>
    <w:rsid w:val="00A127ED"/>
    <w:rsid w:val="00A1326D"/>
    <w:rsid w:val="00A13F94"/>
    <w:rsid w:val="00A14261"/>
    <w:rsid w:val="00A14481"/>
    <w:rsid w:val="00A15446"/>
    <w:rsid w:val="00A15F45"/>
    <w:rsid w:val="00A2012E"/>
    <w:rsid w:val="00A22790"/>
    <w:rsid w:val="00A228C0"/>
    <w:rsid w:val="00A23B32"/>
    <w:rsid w:val="00A256F6"/>
    <w:rsid w:val="00A259C9"/>
    <w:rsid w:val="00A25AF9"/>
    <w:rsid w:val="00A271C7"/>
    <w:rsid w:val="00A30BFF"/>
    <w:rsid w:val="00A30C32"/>
    <w:rsid w:val="00A31627"/>
    <w:rsid w:val="00A3208B"/>
    <w:rsid w:val="00A41010"/>
    <w:rsid w:val="00A41044"/>
    <w:rsid w:val="00A413B2"/>
    <w:rsid w:val="00A41D31"/>
    <w:rsid w:val="00A426C3"/>
    <w:rsid w:val="00A429EF"/>
    <w:rsid w:val="00A42F34"/>
    <w:rsid w:val="00A43BAA"/>
    <w:rsid w:val="00A43D4B"/>
    <w:rsid w:val="00A45312"/>
    <w:rsid w:val="00A45722"/>
    <w:rsid w:val="00A46B4F"/>
    <w:rsid w:val="00A47DDC"/>
    <w:rsid w:val="00A47FDA"/>
    <w:rsid w:val="00A50455"/>
    <w:rsid w:val="00A50BF5"/>
    <w:rsid w:val="00A51AE5"/>
    <w:rsid w:val="00A52594"/>
    <w:rsid w:val="00A52AC8"/>
    <w:rsid w:val="00A53C4B"/>
    <w:rsid w:val="00A54E12"/>
    <w:rsid w:val="00A55113"/>
    <w:rsid w:val="00A56B07"/>
    <w:rsid w:val="00A56E33"/>
    <w:rsid w:val="00A579C5"/>
    <w:rsid w:val="00A6009E"/>
    <w:rsid w:val="00A62884"/>
    <w:rsid w:val="00A63F6D"/>
    <w:rsid w:val="00A645B5"/>
    <w:rsid w:val="00A65F55"/>
    <w:rsid w:val="00A65F57"/>
    <w:rsid w:val="00A723F4"/>
    <w:rsid w:val="00A72F64"/>
    <w:rsid w:val="00A7307F"/>
    <w:rsid w:val="00A730F7"/>
    <w:rsid w:val="00A7576D"/>
    <w:rsid w:val="00A7675C"/>
    <w:rsid w:val="00A77870"/>
    <w:rsid w:val="00A82C30"/>
    <w:rsid w:val="00A83F35"/>
    <w:rsid w:val="00A87078"/>
    <w:rsid w:val="00A87ABE"/>
    <w:rsid w:val="00A87BFD"/>
    <w:rsid w:val="00A87C85"/>
    <w:rsid w:val="00A90450"/>
    <w:rsid w:val="00A9164A"/>
    <w:rsid w:val="00A9165E"/>
    <w:rsid w:val="00A94ADF"/>
    <w:rsid w:val="00A9511E"/>
    <w:rsid w:val="00A9657B"/>
    <w:rsid w:val="00AA1687"/>
    <w:rsid w:val="00AA1998"/>
    <w:rsid w:val="00AA1C73"/>
    <w:rsid w:val="00AA21AA"/>
    <w:rsid w:val="00AA22DE"/>
    <w:rsid w:val="00AA6F53"/>
    <w:rsid w:val="00AA701A"/>
    <w:rsid w:val="00AA7C7A"/>
    <w:rsid w:val="00AB1160"/>
    <w:rsid w:val="00AB2F46"/>
    <w:rsid w:val="00AB3141"/>
    <w:rsid w:val="00AB37EC"/>
    <w:rsid w:val="00AB4526"/>
    <w:rsid w:val="00AB518E"/>
    <w:rsid w:val="00AB52B1"/>
    <w:rsid w:val="00AB54A5"/>
    <w:rsid w:val="00AB5683"/>
    <w:rsid w:val="00AB57D0"/>
    <w:rsid w:val="00AB5BAD"/>
    <w:rsid w:val="00AB60AC"/>
    <w:rsid w:val="00AB739B"/>
    <w:rsid w:val="00AC0167"/>
    <w:rsid w:val="00AC041D"/>
    <w:rsid w:val="00AC1150"/>
    <w:rsid w:val="00AC14DD"/>
    <w:rsid w:val="00AC2CE4"/>
    <w:rsid w:val="00AC4BE2"/>
    <w:rsid w:val="00AC6DCA"/>
    <w:rsid w:val="00AD2645"/>
    <w:rsid w:val="00AD3789"/>
    <w:rsid w:val="00AD42DD"/>
    <w:rsid w:val="00AD473A"/>
    <w:rsid w:val="00AD5E9A"/>
    <w:rsid w:val="00AD6E48"/>
    <w:rsid w:val="00AD72E7"/>
    <w:rsid w:val="00AE021E"/>
    <w:rsid w:val="00AE03D1"/>
    <w:rsid w:val="00AE1145"/>
    <w:rsid w:val="00AE13EF"/>
    <w:rsid w:val="00AE300D"/>
    <w:rsid w:val="00AE54F6"/>
    <w:rsid w:val="00AE6CE0"/>
    <w:rsid w:val="00AF0385"/>
    <w:rsid w:val="00AF0DEF"/>
    <w:rsid w:val="00AF2194"/>
    <w:rsid w:val="00AF3161"/>
    <w:rsid w:val="00AF424C"/>
    <w:rsid w:val="00AF4CF3"/>
    <w:rsid w:val="00AF54D6"/>
    <w:rsid w:val="00AF57D0"/>
    <w:rsid w:val="00AF5F37"/>
    <w:rsid w:val="00AF6121"/>
    <w:rsid w:val="00AF6604"/>
    <w:rsid w:val="00AF6743"/>
    <w:rsid w:val="00AF6863"/>
    <w:rsid w:val="00AF6AE4"/>
    <w:rsid w:val="00B006C9"/>
    <w:rsid w:val="00B013C4"/>
    <w:rsid w:val="00B030FC"/>
    <w:rsid w:val="00B034B8"/>
    <w:rsid w:val="00B03690"/>
    <w:rsid w:val="00B03955"/>
    <w:rsid w:val="00B03BB2"/>
    <w:rsid w:val="00B047A2"/>
    <w:rsid w:val="00B067FA"/>
    <w:rsid w:val="00B1000C"/>
    <w:rsid w:val="00B1027F"/>
    <w:rsid w:val="00B107AB"/>
    <w:rsid w:val="00B1096C"/>
    <w:rsid w:val="00B117AF"/>
    <w:rsid w:val="00B118EC"/>
    <w:rsid w:val="00B1286E"/>
    <w:rsid w:val="00B12EB3"/>
    <w:rsid w:val="00B1316C"/>
    <w:rsid w:val="00B139E9"/>
    <w:rsid w:val="00B13A14"/>
    <w:rsid w:val="00B16F15"/>
    <w:rsid w:val="00B175A9"/>
    <w:rsid w:val="00B175E0"/>
    <w:rsid w:val="00B17F25"/>
    <w:rsid w:val="00B20921"/>
    <w:rsid w:val="00B222F0"/>
    <w:rsid w:val="00B23154"/>
    <w:rsid w:val="00B233FD"/>
    <w:rsid w:val="00B23AC9"/>
    <w:rsid w:val="00B241FD"/>
    <w:rsid w:val="00B24207"/>
    <w:rsid w:val="00B24B83"/>
    <w:rsid w:val="00B261BB"/>
    <w:rsid w:val="00B306D2"/>
    <w:rsid w:val="00B30EEF"/>
    <w:rsid w:val="00B311A4"/>
    <w:rsid w:val="00B32655"/>
    <w:rsid w:val="00B34110"/>
    <w:rsid w:val="00B3548C"/>
    <w:rsid w:val="00B37E2C"/>
    <w:rsid w:val="00B4027B"/>
    <w:rsid w:val="00B42201"/>
    <w:rsid w:val="00B43022"/>
    <w:rsid w:val="00B44203"/>
    <w:rsid w:val="00B45B52"/>
    <w:rsid w:val="00B4681E"/>
    <w:rsid w:val="00B46FCB"/>
    <w:rsid w:val="00B47DEA"/>
    <w:rsid w:val="00B51104"/>
    <w:rsid w:val="00B5139D"/>
    <w:rsid w:val="00B51900"/>
    <w:rsid w:val="00B51BE5"/>
    <w:rsid w:val="00B5312E"/>
    <w:rsid w:val="00B5372C"/>
    <w:rsid w:val="00B53AFD"/>
    <w:rsid w:val="00B5506B"/>
    <w:rsid w:val="00B55EB2"/>
    <w:rsid w:val="00B56933"/>
    <w:rsid w:val="00B57DF5"/>
    <w:rsid w:val="00B60D9F"/>
    <w:rsid w:val="00B6158B"/>
    <w:rsid w:val="00B64423"/>
    <w:rsid w:val="00B64BD4"/>
    <w:rsid w:val="00B65D67"/>
    <w:rsid w:val="00B65FAE"/>
    <w:rsid w:val="00B666B2"/>
    <w:rsid w:val="00B70707"/>
    <w:rsid w:val="00B73F0D"/>
    <w:rsid w:val="00B74830"/>
    <w:rsid w:val="00B76DA4"/>
    <w:rsid w:val="00B81D7F"/>
    <w:rsid w:val="00B824EA"/>
    <w:rsid w:val="00B84CCD"/>
    <w:rsid w:val="00B85308"/>
    <w:rsid w:val="00B8643A"/>
    <w:rsid w:val="00B865E0"/>
    <w:rsid w:val="00B91B1A"/>
    <w:rsid w:val="00B929E6"/>
    <w:rsid w:val="00B9516C"/>
    <w:rsid w:val="00B96385"/>
    <w:rsid w:val="00B9797C"/>
    <w:rsid w:val="00B97A36"/>
    <w:rsid w:val="00BA00BB"/>
    <w:rsid w:val="00BA00E1"/>
    <w:rsid w:val="00BA1E8B"/>
    <w:rsid w:val="00BA4585"/>
    <w:rsid w:val="00BA4B49"/>
    <w:rsid w:val="00BA5462"/>
    <w:rsid w:val="00BA5725"/>
    <w:rsid w:val="00BA58F7"/>
    <w:rsid w:val="00BA5A82"/>
    <w:rsid w:val="00BA5EB9"/>
    <w:rsid w:val="00BA6F45"/>
    <w:rsid w:val="00BB14DE"/>
    <w:rsid w:val="00BB2570"/>
    <w:rsid w:val="00BB3A2A"/>
    <w:rsid w:val="00BB3C4C"/>
    <w:rsid w:val="00BB5B31"/>
    <w:rsid w:val="00BB742A"/>
    <w:rsid w:val="00BC10A1"/>
    <w:rsid w:val="00BC1CD3"/>
    <w:rsid w:val="00BC1E8B"/>
    <w:rsid w:val="00BC368F"/>
    <w:rsid w:val="00BC451E"/>
    <w:rsid w:val="00BC6F9B"/>
    <w:rsid w:val="00BD20BB"/>
    <w:rsid w:val="00BD2436"/>
    <w:rsid w:val="00BD2CA9"/>
    <w:rsid w:val="00BD443E"/>
    <w:rsid w:val="00BD49E9"/>
    <w:rsid w:val="00BD4A60"/>
    <w:rsid w:val="00BD596A"/>
    <w:rsid w:val="00BD67FD"/>
    <w:rsid w:val="00BD73CA"/>
    <w:rsid w:val="00BE0B3D"/>
    <w:rsid w:val="00BE1116"/>
    <w:rsid w:val="00BE3938"/>
    <w:rsid w:val="00BE3943"/>
    <w:rsid w:val="00BE3ED6"/>
    <w:rsid w:val="00BE6496"/>
    <w:rsid w:val="00BE68A2"/>
    <w:rsid w:val="00BE7C4D"/>
    <w:rsid w:val="00BF05C3"/>
    <w:rsid w:val="00BF1573"/>
    <w:rsid w:val="00BF3DB3"/>
    <w:rsid w:val="00BF4019"/>
    <w:rsid w:val="00BF413D"/>
    <w:rsid w:val="00BF4472"/>
    <w:rsid w:val="00BF560D"/>
    <w:rsid w:val="00BF6007"/>
    <w:rsid w:val="00BF6CF4"/>
    <w:rsid w:val="00BF6E02"/>
    <w:rsid w:val="00BF768F"/>
    <w:rsid w:val="00C003A0"/>
    <w:rsid w:val="00C00954"/>
    <w:rsid w:val="00C03343"/>
    <w:rsid w:val="00C03E09"/>
    <w:rsid w:val="00C04526"/>
    <w:rsid w:val="00C05026"/>
    <w:rsid w:val="00C05BDF"/>
    <w:rsid w:val="00C06734"/>
    <w:rsid w:val="00C10625"/>
    <w:rsid w:val="00C1149C"/>
    <w:rsid w:val="00C1284D"/>
    <w:rsid w:val="00C1397D"/>
    <w:rsid w:val="00C13BD6"/>
    <w:rsid w:val="00C15E62"/>
    <w:rsid w:val="00C16C44"/>
    <w:rsid w:val="00C171CB"/>
    <w:rsid w:val="00C1727C"/>
    <w:rsid w:val="00C178F2"/>
    <w:rsid w:val="00C20BF9"/>
    <w:rsid w:val="00C2204A"/>
    <w:rsid w:val="00C226D6"/>
    <w:rsid w:val="00C22997"/>
    <w:rsid w:val="00C22B47"/>
    <w:rsid w:val="00C2452E"/>
    <w:rsid w:val="00C262F5"/>
    <w:rsid w:val="00C26C40"/>
    <w:rsid w:val="00C315F1"/>
    <w:rsid w:val="00C31B0F"/>
    <w:rsid w:val="00C3290A"/>
    <w:rsid w:val="00C32E20"/>
    <w:rsid w:val="00C335E0"/>
    <w:rsid w:val="00C34A63"/>
    <w:rsid w:val="00C35539"/>
    <w:rsid w:val="00C357B0"/>
    <w:rsid w:val="00C36AD7"/>
    <w:rsid w:val="00C40C4E"/>
    <w:rsid w:val="00C40C95"/>
    <w:rsid w:val="00C4158E"/>
    <w:rsid w:val="00C415CE"/>
    <w:rsid w:val="00C41E67"/>
    <w:rsid w:val="00C41E79"/>
    <w:rsid w:val="00C421E6"/>
    <w:rsid w:val="00C42B35"/>
    <w:rsid w:val="00C4302F"/>
    <w:rsid w:val="00C43244"/>
    <w:rsid w:val="00C43D67"/>
    <w:rsid w:val="00C44237"/>
    <w:rsid w:val="00C44E2A"/>
    <w:rsid w:val="00C4660C"/>
    <w:rsid w:val="00C466F2"/>
    <w:rsid w:val="00C46C4B"/>
    <w:rsid w:val="00C47345"/>
    <w:rsid w:val="00C47CF5"/>
    <w:rsid w:val="00C47FE6"/>
    <w:rsid w:val="00C501E3"/>
    <w:rsid w:val="00C51900"/>
    <w:rsid w:val="00C51EB5"/>
    <w:rsid w:val="00C53089"/>
    <w:rsid w:val="00C53794"/>
    <w:rsid w:val="00C54D8F"/>
    <w:rsid w:val="00C560EA"/>
    <w:rsid w:val="00C607A9"/>
    <w:rsid w:val="00C61AB5"/>
    <w:rsid w:val="00C61E62"/>
    <w:rsid w:val="00C624CB"/>
    <w:rsid w:val="00C62BE1"/>
    <w:rsid w:val="00C634FC"/>
    <w:rsid w:val="00C63814"/>
    <w:rsid w:val="00C63BC6"/>
    <w:rsid w:val="00C64F29"/>
    <w:rsid w:val="00C65499"/>
    <w:rsid w:val="00C66814"/>
    <w:rsid w:val="00C67CAC"/>
    <w:rsid w:val="00C703F5"/>
    <w:rsid w:val="00C72DA9"/>
    <w:rsid w:val="00C72E19"/>
    <w:rsid w:val="00C736C0"/>
    <w:rsid w:val="00C7379D"/>
    <w:rsid w:val="00C73FEB"/>
    <w:rsid w:val="00C74BA6"/>
    <w:rsid w:val="00C76627"/>
    <w:rsid w:val="00C766D3"/>
    <w:rsid w:val="00C766F3"/>
    <w:rsid w:val="00C77BD4"/>
    <w:rsid w:val="00C812C7"/>
    <w:rsid w:val="00C82913"/>
    <w:rsid w:val="00C82BD3"/>
    <w:rsid w:val="00C8308E"/>
    <w:rsid w:val="00C83A4A"/>
    <w:rsid w:val="00C842B0"/>
    <w:rsid w:val="00C86B50"/>
    <w:rsid w:val="00C92396"/>
    <w:rsid w:val="00C92867"/>
    <w:rsid w:val="00C930BD"/>
    <w:rsid w:val="00C947C2"/>
    <w:rsid w:val="00C95025"/>
    <w:rsid w:val="00C95529"/>
    <w:rsid w:val="00C96AEE"/>
    <w:rsid w:val="00C97173"/>
    <w:rsid w:val="00CA126E"/>
    <w:rsid w:val="00CA29BD"/>
    <w:rsid w:val="00CA518E"/>
    <w:rsid w:val="00CA54EF"/>
    <w:rsid w:val="00CA6915"/>
    <w:rsid w:val="00CA71F0"/>
    <w:rsid w:val="00CA71F3"/>
    <w:rsid w:val="00CB2E5A"/>
    <w:rsid w:val="00CB4429"/>
    <w:rsid w:val="00CB67F0"/>
    <w:rsid w:val="00CB779C"/>
    <w:rsid w:val="00CC0DE0"/>
    <w:rsid w:val="00CC1AF9"/>
    <w:rsid w:val="00CC2011"/>
    <w:rsid w:val="00CC3404"/>
    <w:rsid w:val="00CC37D5"/>
    <w:rsid w:val="00CC3C16"/>
    <w:rsid w:val="00CC525F"/>
    <w:rsid w:val="00CC68FE"/>
    <w:rsid w:val="00CC69FE"/>
    <w:rsid w:val="00CC7145"/>
    <w:rsid w:val="00CC730E"/>
    <w:rsid w:val="00CC745B"/>
    <w:rsid w:val="00CC779A"/>
    <w:rsid w:val="00CD0F36"/>
    <w:rsid w:val="00CD1B47"/>
    <w:rsid w:val="00CD234C"/>
    <w:rsid w:val="00CD4E48"/>
    <w:rsid w:val="00CD5060"/>
    <w:rsid w:val="00CD57C7"/>
    <w:rsid w:val="00CD6114"/>
    <w:rsid w:val="00CD6CF0"/>
    <w:rsid w:val="00CD6DE9"/>
    <w:rsid w:val="00CD6F61"/>
    <w:rsid w:val="00CE07DF"/>
    <w:rsid w:val="00CE12D4"/>
    <w:rsid w:val="00CE1498"/>
    <w:rsid w:val="00CE2572"/>
    <w:rsid w:val="00CE27EE"/>
    <w:rsid w:val="00CE35D0"/>
    <w:rsid w:val="00CE368A"/>
    <w:rsid w:val="00CE3BE0"/>
    <w:rsid w:val="00CF0360"/>
    <w:rsid w:val="00CF070C"/>
    <w:rsid w:val="00CF1D88"/>
    <w:rsid w:val="00CF2633"/>
    <w:rsid w:val="00CF2CD4"/>
    <w:rsid w:val="00CF2E23"/>
    <w:rsid w:val="00CF307E"/>
    <w:rsid w:val="00CF310C"/>
    <w:rsid w:val="00CF3582"/>
    <w:rsid w:val="00CF381A"/>
    <w:rsid w:val="00CF6620"/>
    <w:rsid w:val="00CF6995"/>
    <w:rsid w:val="00CF7268"/>
    <w:rsid w:val="00D00267"/>
    <w:rsid w:val="00D00A05"/>
    <w:rsid w:val="00D00B9E"/>
    <w:rsid w:val="00D01D49"/>
    <w:rsid w:val="00D06E35"/>
    <w:rsid w:val="00D06EA2"/>
    <w:rsid w:val="00D07C2C"/>
    <w:rsid w:val="00D10634"/>
    <w:rsid w:val="00D10A68"/>
    <w:rsid w:val="00D1132B"/>
    <w:rsid w:val="00D11633"/>
    <w:rsid w:val="00D13203"/>
    <w:rsid w:val="00D13A0F"/>
    <w:rsid w:val="00D13CA4"/>
    <w:rsid w:val="00D1441E"/>
    <w:rsid w:val="00D14EF4"/>
    <w:rsid w:val="00D15A68"/>
    <w:rsid w:val="00D1702C"/>
    <w:rsid w:val="00D175B3"/>
    <w:rsid w:val="00D20844"/>
    <w:rsid w:val="00D20B04"/>
    <w:rsid w:val="00D2104D"/>
    <w:rsid w:val="00D21680"/>
    <w:rsid w:val="00D21EF7"/>
    <w:rsid w:val="00D22B01"/>
    <w:rsid w:val="00D23C4A"/>
    <w:rsid w:val="00D23EC5"/>
    <w:rsid w:val="00D2400B"/>
    <w:rsid w:val="00D24398"/>
    <w:rsid w:val="00D2597B"/>
    <w:rsid w:val="00D26EE2"/>
    <w:rsid w:val="00D279E9"/>
    <w:rsid w:val="00D3031B"/>
    <w:rsid w:val="00D30597"/>
    <w:rsid w:val="00D30B00"/>
    <w:rsid w:val="00D310BC"/>
    <w:rsid w:val="00D31FDC"/>
    <w:rsid w:val="00D3211B"/>
    <w:rsid w:val="00D322C8"/>
    <w:rsid w:val="00D33110"/>
    <w:rsid w:val="00D358EA"/>
    <w:rsid w:val="00D35CF5"/>
    <w:rsid w:val="00D360EB"/>
    <w:rsid w:val="00D366BC"/>
    <w:rsid w:val="00D36792"/>
    <w:rsid w:val="00D37294"/>
    <w:rsid w:val="00D37AB1"/>
    <w:rsid w:val="00D40A94"/>
    <w:rsid w:val="00D42845"/>
    <w:rsid w:val="00D445E3"/>
    <w:rsid w:val="00D4599A"/>
    <w:rsid w:val="00D468D7"/>
    <w:rsid w:val="00D46F0A"/>
    <w:rsid w:val="00D47419"/>
    <w:rsid w:val="00D5049A"/>
    <w:rsid w:val="00D51D96"/>
    <w:rsid w:val="00D52381"/>
    <w:rsid w:val="00D54966"/>
    <w:rsid w:val="00D5497F"/>
    <w:rsid w:val="00D54E17"/>
    <w:rsid w:val="00D56095"/>
    <w:rsid w:val="00D565F2"/>
    <w:rsid w:val="00D56E11"/>
    <w:rsid w:val="00D5758E"/>
    <w:rsid w:val="00D57C0C"/>
    <w:rsid w:val="00D57F4A"/>
    <w:rsid w:val="00D60701"/>
    <w:rsid w:val="00D61BBA"/>
    <w:rsid w:val="00D62544"/>
    <w:rsid w:val="00D62EEC"/>
    <w:rsid w:val="00D632AF"/>
    <w:rsid w:val="00D66100"/>
    <w:rsid w:val="00D666B6"/>
    <w:rsid w:val="00D672BE"/>
    <w:rsid w:val="00D725FE"/>
    <w:rsid w:val="00D7280C"/>
    <w:rsid w:val="00D739B5"/>
    <w:rsid w:val="00D73E93"/>
    <w:rsid w:val="00D74099"/>
    <w:rsid w:val="00D75309"/>
    <w:rsid w:val="00D763AF"/>
    <w:rsid w:val="00D76ED0"/>
    <w:rsid w:val="00D808EB"/>
    <w:rsid w:val="00D81182"/>
    <w:rsid w:val="00D83A27"/>
    <w:rsid w:val="00D83D23"/>
    <w:rsid w:val="00D84CE6"/>
    <w:rsid w:val="00D84EFA"/>
    <w:rsid w:val="00D85E1A"/>
    <w:rsid w:val="00D86085"/>
    <w:rsid w:val="00D864E4"/>
    <w:rsid w:val="00D870D7"/>
    <w:rsid w:val="00D909B1"/>
    <w:rsid w:val="00D90EFC"/>
    <w:rsid w:val="00D915AF"/>
    <w:rsid w:val="00D916E9"/>
    <w:rsid w:val="00D93111"/>
    <w:rsid w:val="00D93EB9"/>
    <w:rsid w:val="00D94002"/>
    <w:rsid w:val="00D943E3"/>
    <w:rsid w:val="00D94D3E"/>
    <w:rsid w:val="00D954B8"/>
    <w:rsid w:val="00D956B2"/>
    <w:rsid w:val="00D95779"/>
    <w:rsid w:val="00D95A41"/>
    <w:rsid w:val="00D96CE9"/>
    <w:rsid w:val="00D96D1B"/>
    <w:rsid w:val="00D96FCC"/>
    <w:rsid w:val="00D97695"/>
    <w:rsid w:val="00D97822"/>
    <w:rsid w:val="00DA015A"/>
    <w:rsid w:val="00DA4A19"/>
    <w:rsid w:val="00DA5A1C"/>
    <w:rsid w:val="00DA6C86"/>
    <w:rsid w:val="00DB05EF"/>
    <w:rsid w:val="00DB1D2F"/>
    <w:rsid w:val="00DB2CD9"/>
    <w:rsid w:val="00DB315A"/>
    <w:rsid w:val="00DB37E2"/>
    <w:rsid w:val="00DB634B"/>
    <w:rsid w:val="00DC023D"/>
    <w:rsid w:val="00DC0370"/>
    <w:rsid w:val="00DC04E5"/>
    <w:rsid w:val="00DC0895"/>
    <w:rsid w:val="00DC0BE8"/>
    <w:rsid w:val="00DC1273"/>
    <w:rsid w:val="00DC1312"/>
    <w:rsid w:val="00DC13BD"/>
    <w:rsid w:val="00DC24AE"/>
    <w:rsid w:val="00DC2E77"/>
    <w:rsid w:val="00DC3630"/>
    <w:rsid w:val="00DC4CA1"/>
    <w:rsid w:val="00DC4E35"/>
    <w:rsid w:val="00DC4F9A"/>
    <w:rsid w:val="00DC4FC0"/>
    <w:rsid w:val="00DC6561"/>
    <w:rsid w:val="00DC735D"/>
    <w:rsid w:val="00DD1CBF"/>
    <w:rsid w:val="00DD3C6E"/>
    <w:rsid w:val="00DD4142"/>
    <w:rsid w:val="00DD47C8"/>
    <w:rsid w:val="00DD47CA"/>
    <w:rsid w:val="00DD49B6"/>
    <w:rsid w:val="00DD4ADF"/>
    <w:rsid w:val="00DD5240"/>
    <w:rsid w:val="00DD586C"/>
    <w:rsid w:val="00DD58BD"/>
    <w:rsid w:val="00DD65FA"/>
    <w:rsid w:val="00DD7D20"/>
    <w:rsid w:val="00DE002F"/>
    <w:rsid w:val="00DE2111"/>
    <w:rsid w:val="00DE2C62"/>
    <w:rsid w:val="00DE2D3B"/>
    <w:rsid w:val="00DE3EE8"/>
    <w:rsid w:val="00DE4554"/>
    <w:rsid w:val="00DE5F35"/>
    <w:rsid w:val="00DE6036"/>
    <w:rsid w:val="00DE6106"/>
    <w:rsid w:val="00DE6261"/>
    <w:rsid w:val="00DE6610"/>
    <w:rsid w:val="00DE69D0"/>
    <w:rsid w:val="00DE73E0"/>
    <w:rsid w:val="00DF0641"/>
    <w:rsid w:val="00DF0C25"/>
    <w:rsid w:val="00DF0DED"/>
    <w:rsid w:val="00DF136D"/>
    <w:rsid w:val="00DF1D8B"/>
    <w:rsid w:val="00DF2891"/>
    <w:rsid w:val="00DF300E"/>
    <w:rsid w:val="00DF38B1"/>
    <w:rsid w:val="00DF5521"/>
    <w:rsid w:val="00DF5C1F"/>
    <w:rsid w:val="00DF6772"/>
    <w:rsid w:val="00DF77F5"/>
    <w:rsid w:val="00DF7F62"/>
    <w:rsid w:val="00E00947"/>
    <w:rsid w:val="00E01FC7"/>
    <w:rsid w:val="00E03E5A"/>
    <w:rsid w:val="00E03F19"/>
    <w:rsid w:val="00E0686D"/>
    <w:rsid w:val="00E11497"/>
    <w:rsid w:val="00E120A4"/>
    <w:rsid w:val="00E137C0"/>
    <w:rsid w:val="00E13F58"/>
    <w:rsid w:val="00E141B2"/>
    <w:rsid w:val="00E15436"/>
    <w:rsid w:val="00E15664"/>
    <w:rsid w:val="00E163C4"/>
    <w:rsid w:val="00E20011"/>
    <w:rsid w:val="00E208B9"/>
    <w:rsid w:val="00E20CA8"/>
    <w:rsid w:val="00E227AA"/>
    <w:rsid w:val="00E22C30"/>
    <w:rsid w:val="00E2316B"/>
    <w:rsid w:val="00E238E6"/>
    <w:rsid w:val="00E26B5A"/>
    <w:rsid w:val="00E26BFA"/>
    <w:rsid w:val="00E3048B"/>
    <w:rsid w:val="00E30F3C"/>
    <w:rsid w:val="00E31DE5"/>
    <w:rsid w:val="00E32DD6"/>
    <w:rsid w:val="00E33F9B"/>
    <w:rsid w:val="00E340FC"/>
    <w:rsid w:val="00E34CFB"/>
    <w:rsid w:val="00E35E48"/>
    <w:rsid w:val="00E404DB"/>
    <w:rsid w:val="00E40605"/>
    <w:rsid w:val="00E42794"/>
    <w:rsid w:val="00E42943"/>
    <w:rsid w:val="00E43215"/>
    <w:rsid w:val="00E43B80"/>
    <w:rsid w:val="00E43E40"/>
    <w:rsid w:val="00E45620"/>
    <w:rsid w:val="00E45BCD"/>
    <w:rsid w:val="00E465A2"/>
    <w:rsid w:val="00E50DDF"/>
    <w:rsid w:val="00E5174D"/>
    <w:rsid w:val="00E52099"/>
    <w:rsid w:val="00E52CD2"/>
    <w:rsid w:val="00E52FB5"/>
    <w:rsid w:val="00E53113"/>
    <w:rsid w:val="00E533AB"/>
    <w:rsid w:val="00E544F6"/>
    <w:rsid w:val="00E5580B"/>
    <w:rsid w:val="00E55F3B"/>
    <w:rsid w:val="00E57E2F"/>
    <w:rsid w:val="00E57FCE"/>
    <w:rsid w:val="00E6004A"/>
    <w:rsid w:val="00E60E6E"/>
    <w:rsid w:val="00E6314D"/>
    <w:rsid w:val="00E64BA4"/>
    <w:rsid w:val="00E66012"/>
    <w:rsid w:val="00E67751"/>
    <w:rsid w:val="00E679B1"/>
    <w:rsid w:val="00E70959"/>
    <w:rsid w:val="00E71B57"/>
    <w:rsid w:val="00E72CE0"/>
    <w:rsid w:val="00E74E50"/>
    <w:rsid w:val="00E75B3D"/>
    <w:rsid w:val="00E762A9"/>
    <w:rsid w:val="00E7789A"/>
    <w:rsid w:val="00E80A81"/>
    <w:rsid w:val="00E80D3E"/>
    <w:rsid w:val="00E82DCB"/>
    <w:rsid w:val="00E83754"/>
    <w:rsid w:val="00E841DE"/>
    <w:rsid w:val="00E84781"/>
    <w:rsid w:val="00E85D96"/>
    <w:rsid w:val="00E86166"/>
    <w:rsid w:val="00E862B5"/>
    <w:rsid w:val="00E8633C"/>
    <w:rsid w:val="00E86518"/>
    <w:rsid w:val="00E8652F"/>
    <w:rsid w:val="00E86DB5"/>
    <w:rsid w:val="00E86F71"/>
    <w:rsid w:val="00E87161"/>
    <w:rsid w:val="00E877B0"/>
    <w:rsid w:val="00E87AB7"/>
    <w:rsid w:val="00E902C2"/>
    <w:rsid w:val="00E915F2"/>
    <w:rsid w:val="00E917B0"/>
    <w:rsid w:val="00E91B2F"/>
    <w:rsid w:val="00E92511"/>
    <w:rsid w:val="00E96220"/>
    <w:rsid w:val="00E973EE"/>
    <w:rsid w:val="00EA09C1"/>
    <w:rsid w:val="00EA0C48"/>
    <w:rsid w:val="00EA0E35"/>
    <w:rsid w:val="00EA2C51"/>
    <w:rsid w:val="00EA365B"/>
    <w:rsid w:val="00EA4199"/>
    <w:rsid w:val="00EA599C"/>
    <w:rsid w:val="00EA67EC"/>
    <w:rsid w:val="00EA6DDF"/>
    <w:rsid w:val="00EB03A5"/>
    <w:rsid w:val="00EB0C84"/>
    <w:rsid w:val="00EB1595"/>
    <w:rsid w:val="00EB1C58"/>
    <w:rsid w:val="00EB230F"/>
    <w:rsid w:val="00EB2CCC"/>
    <w:rsid w:val="00EB3C78"/>
    <w:rsid w:val="00EB464E"/>
    <w:rsid w:val="00EB4BBE"/>
    <w:rsid w:val="00EB5033"/>
    <w:rsid w:val="00EB5637"/>
    <w:rsid w:val="00EB5C61"/>
    <w:rsid w:val="00EB73C2"/>
    <w:rsid w:val="00EC100E"/>
    <w:rsid w:val="00EC2F70"/>
    <w:rsid w:val="00EC31CC"/>
    <w:rsid w:val="00EC4C3F"/>
    <w:rsid w:val="00EC574E"/>
    <w:rsid w:val="00EC5E31"/>
    <w:rsid w:val="00EC75EC"/>
    <w:rsid w:val="00ED0552"/>
    <w:rsid w:val="00ED0CC5"/>
    <w:rsid w:val="00ED3C58"/>
    <w:rsid w:val="00ED4614"/>
    <w:rsid w:val="00ED53B3"/>
    <w:rsid w:val="00ED5EB3"/>
    <w:rsid w:val="00ED7D50"/>
    <w:rsid w:val="00EE1725"/>
    <w:rsid w:val="00EE1D30"/>
    <w:rsid w:val="00EE24A7"/>
    <w:rsid w:val="00EE29BC"/>
    <w:rsid w:val="00EE2F22"/>
    <w:rsid w:val="00EE3B01"/>
    <w:rsid w:val="00EE60F2"/>
    <w:rsid w:val="00EE6D99"/>
    <w:rsid w:val="00EF05DD"/>
    <w:rsid w:val="00EF0F81"/>
    <w:rsid w:val="00EF256B"/>
    <w:rsid w:val="00EF324E"/>
    <w:rsid w:val="00EF516D"/>
    <w:rsid w:val="00EF6992"/>
    <w:rsid w:val="00EF786B"/>
    <w:rsid w:val="00EF7928"/>
    <w:rsid w:val="00EF7B6C"/>
    <w:rsid w:val="00EF7BBB"/>
    <w:rsid w:val="00F01460"/>
    <w:rsid w:val="00F016CD"/>
    <w:rsid w:val="00F01F4E"/>
    <w:rsid w:val="00F0244D"/>
    <w:rsid w:val="00F02959"/>
    <w:rsid w:val="00F02C8F"/>
    <w:rsid w:val="00F0423B"/>
    <w:rsid w:val="00F0451B"/>
    <w:rsid w:val="00F04563"/>
    <w:rsid w:val="00F0661D"/>
    <w:rsid w:val="00F078AF"/>
    <w:rsid w:val="00F10FAF"/>
    <w:rsid w:val="00F1174D"/>
    <w:rsid w:val="00F121D4"/>
    <w:rsid w:val="00F1238D"/>
    <w:rsid w:val="00F12A40"/>
    <w:rsid w:val="00F1331E"/>
    <w:rsid w:val="00F13C13"/>
    <w:rsid w:val="00F14254"/>
    <w:rsid w:val="00F143AE"/>
    <w:rsid w:val="00F1495F"/>
    <w:rsid w:val="00F15109"/>
    <w:rsid w:val="00F15718"/>
    <w:rsid w:val="00F15AD2"/>
    <w:rsid w:val="00F16708"/>
    <w:rsid w:val="00F16B06"/>
    <w:rsid w:val="00F16D0A"/>
    <w:rsid w:val="00F17392"/>
    <w:rsid w:val="00F17467"/>
    <w:rsid w:val="00F2007C"/>
    <w:rsid w:val="00F22174"/>
    <w:rsid w:val="00F23634"/>
    <w:rsid w:val="00F2490D"/>
    <w:rsid w:val="00F265DB"/>
    <w:rsid w:val="00F2710C"/>
    <w:rsid w:val="00F2753F"/>
    <w:rsid w:val="00F32BD6"/>
    <w:rsid w:val="00F32FA6"/>
    <w:rsid w:val="00F33236"/>
    <w:rsid w:val="00F33780"/>
    <w:rsid w:val="00F3407C"/>
    <w:rsid w:val="00F34B94"/>
    <w:rsid w:val="00F36600"/>
    <w:rsid w:val="00F372C9"/>
    <w:rsid w:val="00F4028F"/>
    <w:rsid w:val="00F4075D"/>
    <w:rsid w:val="00F4108D"/>
    <w:rsid w:val="00F424D9"/>
    <w:rsid w:val="00F437F3"/>
    <w:rsid w:val="00F43CFB"/>
    <w:rsid w:val="00F4430E"/>
    <w:rsid w:val="00F44973"/>
    <w:rsid w:val="00F44A85"/>
    <w:rsid w:val="00F462A6"/>
    <w:rsid w:val="00F46D80"/>
    <w:rsid w:val="00F51688"/>
    <w:rsid w:val="00F51725"/>
    <w:rsid w:val="00F5237D"/>
    <w:rsid w:val="00F5288B"/>
    <w:rsid w:val="00F5307E"/>
    <w:rsid w:val="00F5547B"/>
    <w:rsid w:val="00F5616A"/>
    <w:rsid w:val="00F561D7"/>
    <w:rsid w:val="00F56B31"/>
    <w:rsid w:val="00F56EA8"/>
    <w:rsid w:val="00F57E68"/>
    <w:rsid w:val="00F6079A"/>
    <w:rsid w:val="00F611EC"/>
    <w:rsid w:val="00F61F43"/>
    <w:rsid w:val="00F62B50"/>
    <w:rsid w:val="00F62F8F"/>
    <w:rsid w:val="00F637F1"/>
    <w:rsid w:val="00F641D2"/>
    <w:rsid w:val="00F64D14"/>
    <w:rsid w:val="00F66A01"/>
    <w:rsid w:val="00F70A14"/>
    <w:rsid w:val="00F70BC7"/>
    <w:rsid w:val="00F71ABB"/>
    <w:rsid w:val="00F72056"/>
    <w:rsid w:val="00F73424"/>
    <w:rsid w:val="00F73CE1"/>
    <w:rsid w:val="00F73FCA"/>
    <w:rsid w:val="00F740E5"/>
    <w:rsid w:val="00F74C61"/>
    <w:rsid w:val="00F74CF7"/>
    <w:rsid w:val="00F75C77"/>
    <w:rsid w:val="00F75D5E"/>
    <w:rsid w:val="00F76B7F"/>
    <w:rsid w:val="00F7764D"/>
    <w:rsid w:val="00F779B3"/>
    <w:rsid w:val="00F8093F"/>
    <w:rsid w:val="00F80CE7"/>
    <w:rsid w:val="00F81817"/>
    <w:rsid w:val="00F81E8D"/>
    <w:rsid w:val="00F8287F"/>
    <w:rsid w:val="00F82B79"/>
    <w:rsid w:val="00F84618"/>
    <w:rsid w:val="00F853CC"/>
    <w:rsid w:val="00F8546E"/>
    <w:rsid w:val="00F86E28"/>
    <w:rsid w:val="00F87F16"/>
    <w:rsid w:val="00F91071"/>
    <w:rsid w:val="00F9141E"/>
    <w:rsid w:val="00F92593"/>
    <w:rsid w:val="00F9283B"/>
    <w:rsid w:val="00F92F50"/>
    <w:rsid w:val="00F943FB"/>
    <w:rsid w:val="00F9471B"/>
    <w:rsid w:val="00F95181"/>
    <w:rsid w:val="00F96936"/>
    <w:rsid w:val="00F97440"/>
    <w:rsid w:val="00F97550"/>
    <w:rsid w:val="00F977B1"/>
    <w:rsid w:val="00FA176A"/>
    <w:rsid w:val="00FA2F18"/>
    <w:rsid w:val="00FA487E"/>
    <w:rsid w:val="00FA5E4C"/>
    <w:rsid w:val="00FA5F1D"/>
    <w:rsid w:val="00FA679D"/>
    <w:rsid w:val="00FA6FE9"/>
    <w:rsid w:val="00FA7EA5"/>
    <w:rsid w:val="00FB0A69"/>
    <w:rsid w:val="00FB3349"/>
    <w:rsid w:val="00FB3C81"/>
    <w:rsid w:val="00FB546A"/>
    <w:rsid w:val="00FB66AF"/>
    <w:rsid w:val="00FB723B"/>
    <w:rsid w:val="00FB75EB"/>
    <w:rsid w:val="00FC02B0"/>
    <w:rsid w:val="00FC0FAB"/>
    <w:rsid w:val="00FC183C"/>
    <w:rsid w:val="00FC1BAE"/>
    <w:rsid w:val="00FC1C8A"/>
    <w:rsid w:val="00FC22D0"/>
    <w:rsid w:val="00FC2354"/>
    <w:rsid w:val="00FC3C45"/>
    <w:rsid w:val="00FC5340"/>
    <w:rsid w:val="00FC5432"/>
    <w:rsid w:val="00FC591D"/>
    <w:rsid w:val="00FC6921"/>
    <w:rsid w:val="00FC7422"/>
    <w:rsid w:val="00FC7490"/>
    <w:rsid w:val="00FD163E"/>
    <w:rsid w:val="00FD2B16"/>
    <w:rsid w:val="00FD2C55"/>
    <w:rsid w:val="00FD37A7"/>
    <w:rsid w:val="00FD3C30"/>
    <w:rsid w:val="00FD53D4"/>
    <w:rsid w:val="00FD581A"/>
    <w:rsid w:val="00FE025E"/>
    <w:rsid w:val="00FE054F"/>
    <w:rsid w:val="00FE114D"/>
    <w:rsid w:val="00FE1606"/>
    <w:rsid w:val="00FE2432"/>
    <w:rsid w:val="00FE2766"/>
    <w:rsid w:val="00FE2839"/>
    <w:rsid w:val="00FE2AEC"/>
    <w:rsid w:val="00FE3ADD"/>
    <w:rsid w:val="00FE3E56"/>
    <w:rsid w:val="00FE478C"/>
    <w:rsid w:val="00FE4FC9"/>
    <w:rsid w:val="00FE5A39"/>
    <w:rsid w:val="00FE5DD1"/>
    <w:rsid w:val="00FE7968"/>
    <w:rsid w:val="00FF083D"/>
    <w:rsid w:val="00FF0F13"/>
    <w:rsid w:val="00FF2306"/>
    <w:rsid w:val="00FF2742"/>
    <w:rsid w:val="00FF3E04"/>
    <w:rsid w:val="00FF524A"/>
    <w:rsid w:val="00FF5875"/>
    <w:rsid w:val="00FF6C87"/>
    <w:rsid w:val="00FF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4F6F066"/>
  <w15:docId w15:val="{35C44D81-2A7C-45AA-BDE6-883C919A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3E"/>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2818">
      <w:bodyDiv w:val="1"/>
      <w:marLeft w:val="0"/>
      <w:marRight w:val="0"/>
      <w:marTop w:val="0"/>
      <w:marBottom w:val="0"/>
      <w:divBdr>
        <w:top w:val="none" w:sz="0" w:space="0" w:color="auto"/>
        <w:left w:val="none" w:sz="0" w:space="0" w:color="auto"/>
        <w:bottom w:val="none" w:sz="0" w:space="0" w:color="auto"/>
        <w:right w:val="none" w:sz="0" w:space="0" w:color="auto"/>
      </w:divBdr>
    </w:div>
    <w:div w:id="123695617">
      <w:bodyDiv w:val="1"/>
      <w:marLeft w:val="0"/>
      <w:marRight w:val="0"/>
      <w:marTop w:val="0"/>
      <w:marBottom w:val="0"/>
      <w:divBdr>
        <w:top w:val="none" w:sz="0" w:space="0" w:color="auto"/>
        <w:left w:val="none" w:sz="0" w:space="0" w:color="auto"/>
        <w:bottom w:val="none" w:sz="0" w:space="0" w:color="auto"/>
        <w:right w:val="none" w:sz="0" w:space="0" w:color="auto"/>
      </w:divBdr>
    </w:div>
    <w:div w:id="244998164">
      <w:bodyDiv w:val="1"/>
      <w:marLeft w:val="0"/>
      <w:marRight w:val="0"/>
      <w:marTop w:val="0"/>
      <w:marBottom w:val="0"/>
      <w:divBdr>
        <w:top w:val="none" w:sz="0" w:space="0" w:color="auto"/>
        <w:left w:val="none" w:sz="0" w:space="0" w:color="auto"/>
        <w:bottom w:val="none" w:sz="0" w:space="0" w:color="auto"/>
        <w:right w:val="none" w:sz="0" w:space="0" w:color="auto"/>
      </w:divBdr>
    </w:div>
    <w:div w:id="309410698">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79490530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26058443">
      <w:bodyDiv w:val="1"/>
      <w:marLeft w:val="0"/>
      <w:marRight w:val="0"/>
      <w:marTop w:val="0"/>
      <w:marBottom w:val="0"/>
      <w:divBdr>
        <w:top w:val="none" w:sz="0" w:space="0" w:color="auto"/>
        <w:left w:val="none" w:sz="0" w:space="0" w:color="auto"/>
        <w:bottom w:val="none" w:sz="0" w:space="0" w:color="auto"/>
        <w:right w:val="none" w:sz="0" w:space="0" w:color="auto"/>
      </w:divBdr>
    </w:div>
    <w:div w:id="1067804370">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93840">
      <w:bodyDiv w:val="1"/>
      <w:marLeft w:val="0"/>
      <w:marRight w:val="0"/>
      <w:marTop w:val="0"/>
      <w:marBottom w:val="0"/>
      <w:divBdr>
        <w:top w:val="none" w:sz="0" w:space="0" w:color="auto"/>
        <w:left w:val="none" w:sz="0" w:space="0" w:color="auto"/>
        <w:bottom w:val="none" w:sz="0" w:space="0" w:color="auto"/>
        <w:right w:val="none" w:sz="0" w:space="0" w:color="auto"/>
      </w:divBdr>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562910662">
      <w:bodyDiv w:val="1"/>
      <w:marLeft w:val="0"/>
      <w:marRight w:val="0"/>
      <w:marTop w:val="0"/>
      <w:marBottom w:val="0"/>
      <w:divBdr>
        <w:top w:val="none" w:sz="0" w:space="0" w:color="auto"/>
        <w:left w:val="none" w:sz="0" w:space="0" w:color="auto"/>
        <w:bottom w:val="none" w:sz="0" w:space="0" w:color="auto"/>
        <w:right w:val="none" w:sz="0" w:space="0" w:color="auto"/>
      </w:divBdr>
    </w:div>
    <w:div w:id="1569802329">
      <w:bodyDiv w:val="1"/>
      <w:marLeft w:val="0"/>
      <w:marRight w:val="0"/>
      <w:marTop w:val="0"/>
      <w:marBottom w:val="0"/>
      <w:divBdr>
        <w:top w:val="none" w:sz="0" w:space="0" w:color="auto"/>
        <w:left w:val="none" w:sz="0" w:space="0" w:color="auto"/>
        <w:bottom w:val="none" w:sz="0" w:space="0" w:color="auto"/>
        <w:right w:val="none" w:sz="0" w:space="0" w:color="auto"/>
      </w:divBdr>
    </w:div>
    <w:div w:id="1792549792">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ce.leimane@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m.gov.lv/files/nodoklupolitika/18-12-2015_PwC%20Zinojum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wc.com/lv/lv.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Sintija Ozola</Vad_x012b_t_x0101_js>
    <Kategorija xmlns="2e5bb04e-596e-45bd-9003-43ca78b1ba16">Likumprojekts</Kategorija>
    <DKP xmlns="2e5bb04e-596e-45bd-9003-43ca78b1ba16">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2.xml><?xml version="1.0" encoding="utf-8"?>
<ds:datastoreItem xmlns:ds="http://schemas.openxmlformats.org/officeDocument/2006/customXml" ds:itemID="{7B87346C-0C43-4220-866D-05E3652FDA13}">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2e5bb04e-596e-45bd-9003-43ca78b1ba16"/>
    <ds:schemaRef ds:uri="http://schemas.openxmlformats.org/package/2006/metadata/core-properties"/>
  </ds:schemaRefs>
</ds:datastoreItem>
</file>

<file path=customXml/itemProps3.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FD4FDF-6F61-43F6-9A0D-39F1800F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15</Pages>
  <Words>3850</Words>
  <Characters>25939</Characters>
  <Application>Microsoft Office Word</Application>
  <DocSecurity>0</DocSecurity>
  <Lines>1015</Lines>
  <Paragraphs>320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Likumprojekta “Grozījumi Pievienotās vērtības nodokļa likumā” sākotnējās ietekmes novērtējuma ziņojums (anotācija)</vt:lpstr>
      <vt:lpstr>Likumprojekts „Grozījumi PVN likumā”</vt:lpstr>
    </vt:vector>
  </TitlesOfParts>
  <Company>Finanšu ministrija</Company>
  <LinksUpToDate>false</LinksUpToDate>
  <CharactersWithSpaces>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Pievienotās vērtības nodokļa likumā” sākotnējās ietekmes novērtējuma ziņojums (anotācija)</dc:title>
  <dc:subject>Anotācija</dc:subject>
  <dc:creator>Dace Leimane</dc:creator>
  <dc:description>Dace.Leimane@fm.gov.lv
67095513</dc:description>
  <cp:lastModifiedBy>Dace Leimane</cp:lastModifiedBy>
  <cp:revision>222</cp:revision>
  <cp:lastPrinted>2016-09-15T11:38:00Z</cp:lastPrinted>
  <dcterms:created xsi:type="dcterms:W3CDTF">2016-08-26T07:13:00Z</dcterms:created>
  <dcterms:modified xsi:type="dcterms:W3CDTF">2016-09-21T07:41:00Z</dcterms:modified>
  <cp:category>Likumprojekts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