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43DF" w14:textId="77777777" w:rsidR="006F2323" w:rsidRPr="00004375" w:rsidRDefault="006F2323" w:rsidP="006F232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04375">
        <w:rPr>
          <w:i/>
          <w:sz w:val="28"/>
          <w:szCs w:val="28"/>
        </w:rPr>
        <w:t xml:space="preserve">  Likumprojekts</w:t>
      </w:r>
    </w:p>
    <w:p w14:paraId="3BBF79C2" w14:textId="77777777" w:rsidR="006F2323" w:rsidRPr="00004375" w:rsidRDefault="006F2323" w:rsidP="006F2323">
      <w:pPr>
        <w:rPr>
          <w:sz w:val="28"/>
          <w:szCs w:val="28"/>
        </w:rPr>
      </w:pPr>
    </w:p>
    <w:p w14:paraId="3BAEE6B6" w14:textId="77777777" w:rsidR="006F2323" w:rsidRDefault="006F2323" w:rsidP="006F2323">
      <w:pPr>
        <w:spacing w:after="120"/>
        <w:ind w:firstLine="720"/>
        <w:jc w:val="center"/>
        <w:rPr>
          <w:b/>
          <w:sz w:val="28"/>
          <w:szCs w:val="28"/>
        </w:rPr>
      </w:pPr>
      <w:r w:rsidRPr="006F2323">
        <w:rPr>
          <w:b/>
          <w:sz w:val="28"/>
          <w:szCs w:val="28"/>
        </w:rPr>
        <w:t xml:space="preserve">Grozījumi </w:t>
      </w:r>
      <w:hyperlink r:id="rId8" w:tgtFrame="_blank" w:history="1">
        <w:r w:rsidRPr="006F2323">
          <w:rPr>
            <w:b/>
            <w:sz w:val="28"/>
            <w:szCs w:val="28"/>
          </w:rPr>
          <w:t>Maksājumu pakalpojumu un elektroniskās naudas likumā</w:t>
        </w:r>
      </w:hyperlink>
    </w:p>
    <w:p w14:paraId="3FD5A8C9" w14:textId="77777777" w:rsidR="006F2323" w:rsidRPr="006F2323" w:rsidRDefault="006F2323" w:rsidP="006F2323">
      <w:pPr>
        <w:spacing w:after="120"/>
        <w:ind w:firstLine="720"/>
        <w:jc w:val="center"/>
        <w:rPr>
          <w:b/>
          <w:sz w:val="28"/>
          <w:szCs w:val="28"/>
        </w:rPr>
      </w:pPr>
    </w:p>
    <w:p w14:paraId="02B90A9A" w14:textId="6F11B06E" w:rsidR="006F2323" w:rsidRDefault="006F2323" w:rsidP="006F2323">
      <w:pPr>
        <w:spacing w:after="120"/>
        <w:ind w:firstLine="720"/>
        <w:jc w:val="both"/>
        <w:rPr>
          <w:sz w:val="28"/>
          <w:szCs w:val="28"/>
        </w:rPr>
      </w:pPr>
      <w:r w:rsidRPr="006F2323">
        <w:rPr>
          <w:sz w:val="28"/>
          <w:szCs w:val="28"/>
        </w:rPr>
        <w:t xml:space="preserve">Izdarīt </w:t>
      </w:r>
      <w:hyperlink r:id="rId9" w:tgtFrame="_blank" w:history="1">
        <w:r w:rsidRPr="006F2323">
          <w:rPr>
            <w:sz w:val="28"/>
            <w:szCs w:val="28"/>
          </w:rPr>
          <w:t>Maksājumu pakalpojumu un elektroniskās naudas likumā</w:t>
        </w:r>
      </w:hyperlink>
      <w:r w:rsidRPr="006F2323">
        <w:rPr>
          <w:sz w:val="28"/>
          <w:szCs w:val="28"/>
        </w:rPr>
        <w:t xml:space="preserve"> (Latvijas Vēstnesis, 2010, 43.</w:t>
      </w:r>
      <w:r w:rsidR="00D47F05">
        <w:rPr>
          <w:sz w:val="28"/>
          <w:szCs w:val="28"/>
        </w:rPr>
        <w:t xml:space="preserve"> </w:t>
      </w:r>
      <w:r w:rsidRPr="006F2323">
        <w:rPr>
          <w:sz w:val="28"/>
          <w:szCs w:val="28"/>
        </w:rPr>
        <w:t>nr.; 2011, 52., 85.nr.; 2013, 128., 187.nr.; 2014, 92.nr.; 2015, 248.nr.) šādus grozījumus:</w:t>
      </w:r>
      <w:r>
        <w:rPr>
          <w:sz w:val="28"/>
          <w:szCs w:val="28"/>
        </w:rPr>
        <w:t xml:space="preserve"> </w:t>
      </w:r>
    </w:p>
    <w:p w14:paraId="7E9E6B65" w14:textId="20F37ABC" w:rsidR="006F2323" w:rsidRPr="007E5EE0" w:rsidRDefault="006F2323" w:rsidP="007E5EE0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E5EE0">
        <w:rPr>
          <w:sz w:val="28"/>
          <w:szCs w:val="28"/>
        </w:rPr>
        <w:t>Izteikt 44.</w:t>
      </w:r>
      <w:r w:rsidRPr="007E5EE0">
        <w:rPr>
          <w:sz w:val="28"/>
          <w:szCs w:val="28"/>
          <w:vertAlign w:val="superscript"/>
        </w:rPr>
        <w:t>1</w:t>
      </w:r>
      <w:r w:rsidR="00FD1632">
        <w:rPr>
          <w:sz w:val="28"/>
          <w:szCs w:val="28"/>
          <w:vertAlign w:val="superscript"/>
        </w:rPr>
        <w:t xml:space="preserve"> </w:t>
      </w:r>
      <w:r w:rsidRPr="007E5EE0">
        <w:rPr>
          <w:sz w:val="28"/>
          <w:szCs w:val="28"/>
        </w:rPr>
        <w:t>panta pirmo daļu šādā redakcijā:</w:t>
      </w:r>
    </w:p>
    <w:p w14:paraId="1E8AF143" w14:textId="7401945A" w:rsidR="006F2323" w:rsidRDefault="006F2323" w:rsidP="006F232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“(1) </w:t>
      </w:r>
      <w:r w:rsidRPr="005419D8">
        <w:rPr>
          <w:sz w:val="28"/>
          <w:szCs w:val="28"/>
        </w:rPr>
        <w:t xml:space="preserve">Atverot un slēdzot </w:t>
      </w:r>
      <w:r w:rsidR="001673EB" w:rsidRPr="001673EB">
        <w:rPr>
          <w:rFonts w:eastAsia="Times New Roman" w:cs="Times New Roman"/>
          <w:sz w:val="28"/>
          <w:szCs w:val="28"/>
          <w:lang w:eastAsia="lv-LV"/>
        </w:rPr>
        <w:t>komercsabiedrības, kooperatīvās sabiedrības, citas juridiskās un privāto tiesību personas</w:t>
      </w:r>
      <w:r w:rsidR="001673E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5419D8">
        <w:rPr>
          <w:sz w:val="28"/>
          <w:szCs w:val="28"/>
        </w:rPr>
        <w:t>— Latvijas Republikas rezident</w:t>
      </w:r>
      <w:r w:rsidR="00FC1E49">
        <w:rPr>
          <w:sz w:val="28"/>
          <w:szCs w:val="28"/>
        </w:rPr>
        <w:t>a</w:t>
      </w:r>
      <w:r w:rsidRPr="005419D8">
        <w:rPr>
          <w:sz w:val="28"/>
          <w:szCs w:val="28"/>
        </w:rPr>
        <w:t>, nerezident</w:t>
      </w:r>
      <w:r w:rsidR="00FC1E49">
        <w:rPr>
          <w:sz w:val="28"/>
          <w:szCs w:val="28"/>
        </w:rPr>
        <w:t>a</w:t>
      </w:r>
      <w:r w:rsidRPr="005419D8">
        <w:rPr>
          <w:sz w:val="28"/>
          <w:szCs w:val="28"/>
        </w:rPr>
        <w:t xml:space="preserve"> pastāvīg</w:t>
      </w:r>
      <w:r w:rsidR="00FC1E49">
        <w:rPr>
          <w:sz w:val="28"/>
          <w:szCs w:val="28"/>
        </w:rPr>
        <w:t>ās</w:t>
      </w:r>
      <w:r w:rsidRPr="005419D8">
        <w:rPr>
          <w:sz w:val="28"/>
          <w:szCs w:val="28"/>
        </w:rPr>
        <w:t xml:space="preserve"> pārstāvniecīb</w:t>
      </w:r>
      <w:r w:rsidR="00FC1E49">
        <w:rPr>
          <w:sz w:val="28"/>
          <w:szCs w:val="28"/>
        </w:rPr>
        <w:t>as</w:t>
      </w:r>
      <w:r w:rsidRPr="005419D8">
        <w:rPr>
          <w:sz w:val="28"/>
          <w:szCs w:val="28"/>
        </w:rPr>
        <w:t xml:space="preserve"> Latvijā, kā arī fizisk</w:t>
      </w:r>
      <w:r w:rsidR="001673EB">
        <w:rPr>
          <w:sz w:val="28"/>
          <w:szCs w:val="28"/>
        </w:rPr>
        <w:t>ās</w:t>
      </w:r>
      <w:r w:rsidRPr="005419D8">
        <w:rPr>
          <w:sz w:val="28"/>
          <w:szCs w:val="28"/>
        </w:rPr>
        <w:t xml:space="preserve"> person</w:t>
      </w:r>
      <w:r w:rsidR="001673EB">
        <w:rPr>
          <w:sz w:val="28"/>
          <w:szCs w:val="28"/>
        </w:rPr>
        <w:t>as</w:t>
      </w:r>
      <w:r w:rsidRPr="005419D8">
        <w:rPr>
          <w:sz w:val="28"/>
          <w:szCs w:val="28"/>
        </w:rPr>
        <w:t xml:space="preserve"> – Latvijas Republikas rezident</w:t>
      </w:r>
      <w:r w:rsidR="001673EB">
        <w:rPr>
          <w:sz w:val="28"/>
          <w:szCs w:val="28"/>
        </w:rPr>
        <w:t>a</w:t>
      </w:r>
      <w:r w:rsidRPr="005419D8">
        <w:rPr>
          <w:sz w:val="28"/>
          <w:szCs w:val="28"/>
        </w:rPr>
        <w:t xml:space="preserve"> </w:t>
      </w:r>
      <w:r w:rsidRPr="006F2323">
        <w:rPr>
          <w:sz w:val="28"/>
          <w:szCs w:val="28"/>
        </w:rPr>
        <w:t>maksājumu kontus, maksājumu pakalpojumu sniedzējiem, kas noteikti šā likuma</w:t>
      </w:r>
      <w:r w:rsidR="00867E84">
        <w:rPr>
          <w:sz w:val="28"/>
          <w:szCs w:val="28"/>
        </w:rPr>
        <w:t xml:space="preserve"> 2.panta otrās daļas 3., 4., </w:t>
      </w:r>
      <w:r w:rsidRPr="006F2323">
        <w:rPr>
          <w:sz w:val="28"/>
          <w:szCs w:val="28"/>
        </w:rPr>
        <w:t>7.</w:t>
      </w:r>
      <w:r w:rsidR="00867E84">
        <w:rPr>
          <w:sz w:val="28"/>
          <w:szCs w:val="28"/>
        </w:rPr>
        <w:t xml:space="preserve"> un 8.</w:t>
      </w:r>
      <w:r w:rsidRPr="006F2323">
        <w:rPr>
          <w:sz w:val="28"/>
          <w:szCs w:val="28"/>
        </w:rPr>
        <w:t xml:space="preserve">punktā, ir pienākums sniegt Valsts ieņēmumu dienestam </w:t>
      </w:r>
      <w:r w:rsidR="00F77A81">
        <w:rPr>
          <w:sz w:val="28"/>
          <w:szCs w:val="28"/>
        </w:rPr>
        <w:t xml:space="preserve">informāciju </w:t>
      </w:r>
      <w:r w:rsidR="004963E7" w:rsidRPr="005419D8">
        <w:rPr>
          <w:sz w:val="28"/>
          <w:szCs w:val="28"/>
        </w:rPr>
        <w:t xml:space="preserve">Kontu reģistra likumā </w:t>
      </w:r>
      <w:r w:rsidR="004963E7">
        <w:rPr>
          <w:sz w:val="28"/>
          <w:szCs w:val="28"/>
        </w:rPr>
        <w:t>noteiktajā kārtībā.</w:t>
      </w:r>
      <w:r w:rsidRPr="005419D8">
        <w:rPr>
          <w:sz w:val="28"/>
          <w:szCs w:val="28"/>
        </w:rPr>
        <w:t>”</w:t>
      </w:r>
    </w:p>
    <w:p w14:paraId="4F5EC4B4" w14:textId="59ED69E3" w:rsidR="007E5EE0" w:rsidRDefault="00FD1632" w:rsidP="007E5EE0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Pr="007E5EE0">
        <w:rPr>
          <w:sz w:val="28"/>
          <w:szCs w:val="28"/>
        </w:rPr>
        <w:t>44.</w:t>
      </w:r>
      <w:r w:rsidRPr="007E5EE0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7E5EE0">
        <w:rPr>
          <w:sz w:val="28"/>
          <w:szCs w:val="28"/>
        </w:rPr>
        <w:t>pant</w:t>
      </w:r>
      <w:r>
        <w:rPr>
          <w:sz w:val="28"/>
          <w:szCs w:val="28"/>
        </w:rPr>
        <w:t>u ar 1</w:t>
      </w:r>
      <w:r>
        <w:rPr>
          <w:sz w:val="28"/>
          <w:szCs w:val="28"/>
          <w:vertAlign w:val="superscript"/>
        </w:rPr>
        <w:t xml:space="preserve">2  </w:t>
      </w:r>
      <w:r w:rsidRPr="007E5EE0">
        <w:rPr>
          <w:sz w:val="28"/>
          <w:szCs w:val="28"/>
        </w:rPr>
        <w:t>daļu šādā redakcijā</w:t>
      </w:r>
      <w:r>
        <w:rPr>
          <w:sz w:val="28"/>
          <w:szCs w:val="28"/>
        </w:rPr>
        <w:t>:</w:t>
      </w:r>
    </w:p>
    <w:p w14:paraId="2C3DCCFA" w14:textId="54D94605" w:rsidR="00FD1632" w:rsidRDefault="00FD1632" w:rsidP="00FD16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“(1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5419D8">
        <w:rPr>
          <w:sz w:val="28"/>
          <w:szCs w:val="28"/>
        </w:rPr>
        <w:t xml:space="preserve">Atverot un slēdzot </w:t>
      </w:r>
      <w:r w:rsidR="001673EB" w:rsidRPr="001673EB">
        <w:rPr>
          <w:rFonts w:eastAsia="Times New Roman" w:cs="Times New Roman"/>
          <w:sz w:val="28"/>
          <w:szCs w:val="28"/>
          <w:lang w:eastAsia="lv-LV"/>
        </w:rPr>
        <w:t>komercsabiedrības, kooperatīvās sabiedrības, citas juridiskās un privāto tiesību personas</w:t>
      </w:r>
      <w:r>
        <w:rPr>
          <w:sz w:val="28"/>
          <w:szCs w:val="28"/>
        </w:rPr>
        <w:t>— ne</w:t>
      </w:r>
      <w:r w:rsidRPr="005419D8">
        <w:rPr>
          <w:sz w:val="28"/>
          <w:szCs w:val="28"/>
        </w:rPr>
        <w:t>rezident</w:t>
      </w:r>
      <w:r w:rsidR="001673EB">
        <w:rPr>
          <w:sz w:val="28"/>
          <w:szCs w:val="28"/>
        </w:rPr>
        <w:t>a</w:t>
      </w:r>
      <w:r w:rsidRPr="005419D8">
        <w:rPr>
          <w:sz w:val="28"/>
          <w:szCs w:val="28"/>
        </w:rPr>
        <w:t>, kā arī fizisk</w:t>
      </w:r>
      <w:r w:rsidR="001673EB">
        <w:rPr>
          <w:sz w:val="28"/>
          <w:szCs w:val="28"/>
        </w:rPr>
        <w:t>ās</w:t>
      </w:r>
      <w:r w:rsidRPr="005419D8">
        <w:rPr>
          <w:sz w:val="28"/>
          <w:szCs w:val="28"/>
        </w:rPr>
        <w:t xml:space="preserve"> person</w:t>
      </w:r>
      <w:r w:rsidR="001673EB">
        <w:rPr>
          <w:sz w:val="28"/>
          <w:szCs w:val="28"/>
        </w:rPr>
        <w:t>as</w:t>
      </w:r>
      <w:r w:rsidRPr="005419D8">
        <w:rPr>
          <w:sz w:val="28"/>
          <w:szCs w:val="28"/>
        </w:rPr>
        <w:t xml:space="preserve"> – </w:t>
      </w:r>
      <w:r w:rsidR="003E0371">
        <w:rPr>
          <w:sz w:val="28"/>
          <w:szCs w:val="28"/>
        </w:rPr>
        <w:t>ne</w:t>
      </w:r>
      <w:r w:rsidRPr="005419D8">
        <w:rPr>
          <w:sz w:val="28"/>
          <w:szCs w:val="28"/>
        </w:rPr>
        <w:t>rezident</w:t>
      </w:r>
      <w:r w:rsidR="001673EB">
        <w:rPr>
          <w:sz w:val="28"/>
          <w:szCs w:val="28"/>
        </w:rPr>
        <w:t>a</w:t>
      </w:r>
      <w:r w:rsidRPr="005419D8">
        <w:rPr>
          <w:sz w:val="28"/>
          <w:szCs w:val="28"/>
        </w:rPr>
        <w:t xml:space="preserve"> </w:t>
      </w:r>
      <w:r w:rsidRPr="006F2323">
        <w:rPr>
          <w:sz w:val="28"/>
          <w:szCs w:val="28"/>
        </w:rPr>
        <w:t>maksājumu kontus, maksājumu pakalpojumu sniedzējiem, kas noteikti šā likuma 2.panta otrās daļas 3., 4.</w:t>
      </w:r>
      <w:r w:rsidR="00867E84">
        <w:rPr>
          <w:sz w:val="28"/>
          <w:szCs w:val="28"/>
        </w:rPr>
        <w:t xml:space="preserve">, </w:t>
      </w:r>
      <w:r w:rsidRPr="006F2323">
        <w:rPr>
          <w:sz w:val="28"/>
          <w:szCs w:val="28"/>
        </w:rPr>
        <w:t>7.</w:t>
      </w:r>
      <w:r w:rsidR="00867E84">
        <w:rPr>
          <w:sz w:val="28"/>
          <w:szCs w:val="28"/>
        </w:rPr>
        <w:t xml:space="preserve"> un 8.</w:t>
      </w:r>
      <w:r w:rsidRPr="006F2323">
        <w:rPr>
          <w:sz w:val="28"/>
          <w:szCs w:val="28"/>
        </w:rPr>
        <w:t xml:space="preserve">punktā, ir pienākums sniegt Valsts ieņēmumu dienestam </w:t>
      </w:r>
      <w:r>
        <w:rPr>
          <w:sz w:val="28"/>
          <w:szCs w:val="28"/>
        </w:rPr>
        <w:t xml:space="preserve">informāciju </w:t>
      </w:r>
      <w:r w:rsidRPr="005419D8">
        <w:rPr>
          <w:sz w:val="28"/>
          <w:szCs w:val="28"/>
        </w:rPr>
        <w:t xml:space="preserve">Kontu reģistra likumā </w:t>
      </w:r>
      <w:r>
        <w:rPr>
          <w:sz w:val="28"/>
          <w:szCs w:val="28"/>
        </w:rPr>
        <w:t>noteiktajā kārtībā.</w:t>
      </w:r>
      <w:r w:rsidRPr="005419D8">
        <w:rPr>
          <w:sz w:val="28"/>
          <w:szCs w:val="28"/>
        </w:rPr>
        <w:t>”</w:t>
      </w:r>
    </w:p>
    <w:p w14:paraId="08B80168" w14:textId="13C1EEA4" w:rsidR="001673EB" w:rsidRPr="007E5EE0" w:rsidRDefault="001673EB" w:rsidP="001673E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E5EE0">
        <w:rPr>
          <w:sz w:val="28"/>
          <w:szCs w:val="28"/>
        </w:rPr>
        <w:t>Izteikt 44.</w:t>
      </w:r>
      <w:r w:rsidRPr="007E5EE0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7E5EE0">
        <w:rPr>
          <w:sz w:val="28"/>
          <w:szCs w:val="28"/>
        </w:rPr>
        <w:t xml:space="preserve">panta </w:t>
      </w:r>
      <w:r>
        <w:rPr>
          <w:sz w:val="28"/>
          <w:szCs w:val="28"/>
        </w:rPr>
        <w:t>otro</w:t>
      </w:r>
      <w:r w:rsidRPr="007E5EE0">
        <w:rPr>
          <w:sz w:val="28"/>
          <w:szCs w:val="28"/>
        </w:rPr>
        <w:t xml:space="preserve"> daļu šādā redakcijā:</w:t>
      </w:r>
    </w:p>
    <w:p w14:paraId="01AD1C5D" w14:textId="242EDC3A" w:rsidR="007E5EE0" w:rsidRDefault="001673EB" w:rsidP="006F232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1FD1">
        <w:rPr>
          <w:sz w:val="28"/>
          <w:szCs w:val="28"/>
        </w:rPr>
        <w:t>(2)</w:t>
      </w:r>
      <w:r w:rsidR="003A1FD1" w:rsidRPr="003A1FD1">
        <w:rPr>
          <w:sz w:val="28"/>
          <w:szCs w:val="28"/>
        </w:rPr>
        <w:t xml:space="preserve"> Šā likuma </w:t>
      </w:r>
      <w:hyperlink r:id="rId10" w:anchor="p2" w:tgtFrame="_blank" w:history="1">
        <w:r w:rsidR="003A1FD1" w:rsidRPr="003A1FD1">
          <w:rPr>
            <w:sz w:val="28"/>
            <w:szCs w:val="28"/>
          </w:rPr>
          <w:t>2.panta</w:t>
        </w:r>
      </w:hyperlink>
      <w:r w:rsidR="003A1FD1" w:rsidRPr="003A1FD1">
        <w:rPr>
          <w:sz w:val="28"/>
          <w:szCs w:val="28"/>
        </w:rPr>
        <w:t> otrās daļas 1.punktā noteiktais maksājumu pakalpojumu sniedzējs šajā pantā minēto informāciju Valsts ieņēmumu dienestam sniedz atbilstoši </w:t>
      </w:r>
      <w:hyperlink r:id="rId11" w:tgtFrame="_blank" w:history="1">
        <w:r w:rsidR="003A1FD1" w:rsidRPr="003A1FD1">
          <w:rPr>
            <w:sz w:val="28"/>
            <w:szCs w:val="28"/>
          </w:rPr>
          <w:t>K</w:t>
        </w:r>
        <w:r w:rsidR="003A1FD1">
          <w:rPr>
            <w:sz w:val="28"/>
            <w:szCs w:val="28"/>
          </w:rPr>
          <w:t>ontu reģistra</w:t>
        </w:r>
        <w:r w:rsidR="003A1FD1" w:rsidRPr="003A1FD1">
          <w:rPr>
            <w:sz w:val="28"/>
            <w:szCs w:val="28"/>
          </w:rPr>
          <w:t xml:space="preserve"> likuma</w:t>
        </w:r>
      </w:hyperlink>
      <w:r w:rsidR="003A1FD1" w:rsidRPr="003A1FD1">
        <w:rPr>
          <w:sz w:val="28"/>
          <w:szCs w:val="28"/>
        </w:rPr>
        <w:t> noteikumiem.</w:t>
      </w:r>
      <w:r w:rsidR="00741B35">
        <w:rPr>
          <w:sz w:val="28"/>
          <w:szCs w:val="28"/>
        </w:rPr>
        <w:t>”</w:t>
      </w:r>
      <w:r w:rsidR="003A1FD1">
        <w:rPr>
          <w:sz w:val="28"/>
          <w:szCs w:val="28"/>
        </w:rPr>
        <w:t xml:space="preserve"> </w:t>
      </w:r>
    </w:p>
    <w:p w14:paraId="6A9B6E5D" w14:textId="77777777" w:rsidR="007E5EE0" w:rsidRDefault="007E5EE0" w:rsidP="006F2323">
      <w:pPr>
        <w:spacing w:after="120"/>
        <w:ind w:firstLine="720"/>
        <w:jc w:val="both"/>
        <w:rPr>
          <w:sz w:val="28"/>
          <w:szCs w:val="28"/>
        </w:rPr>
      </w:pPr>
    </w:p>
    <w:p w14:paraId="53565CA6" w14:textId="14AA6B44" w:rsidR="006F2323" w:rsidRPr="00004375" w:rsidRDefault="006F2323" w:rsidP="006F2323">
      <w:pPr>
        <w:spacing w:after="120"/>
        <w:ind w:firstLine="720"/>
        <w:jc w:val="both"/>
        <w:rPr>
          <w:sz w:val="28"/>
          <w:szCs w:val="28"/>
        </w:rPr>
      </w:pPr>
      <w:r w:rsidRPr="00004375">
        <w:rPr>
          <w:sz w:val="28"/>
          <w:szCs w:val="28"/>
        </w:rPr>
        <w:t>Likums stājas spēkā 2017.</w:t>
      </w:r>
      <w:r w:rsidR="00D47F05">
        <w:rPr>
          <w:sz w:val="28"/>
          <w:szCs w:val="28"/>
        </w:rPr>
        <w:t xml:space="preserve"> </w:t>
      </w:r>
      <w:bookmarkStart w:id="0" w:name="_GoBack"/>
      <w:bookmarkEnd w:id="0"/>
      <w:r w:rsidRPr="00004375">
        <w:rPr>
          <w:sz w:val="28"/>
          <w:szCs w:val="28"/>
        </w:rPr>
        <w:t>gada 1.jūlijā.</w:t>
      </w:r>
    </w:p>
    <w:p w14:paraId="332D26D2" w14:textId="77777777" w:rsidR="006F2323" w:rsidRDefault="006F2323" w:rsidP="006F2323">
      <w:pPr>
        <w:jc w:val="both"/>
        <w:rPr>
          <w:sz w:val="28"/>
          <w:szCs w:val="28"/>
        </w:rPr>
      </w:pPr>
    </w:p>
    <w:p w14:paraId="688589F0" w14:textId="77777777" w:rsidR="006F2323" w:rsidRPr="00004375" w:rsidRDefault="006F2323" w:rsidP="006F2323">
      <w:pPr>
        <w:jc w:val="both"/>
        <w:rPr>
          <w:sz w:val="28"/>
          <w:szCs w:val="28"/>
        </w:rPr>
      </w:pPr>
      <w:r w:rsidRPr="00004375">
        <w:rPr>
          <w:sz w:val="28"/>
          <w:szCs w:val="28"/>
        </w:rPr>
        <w:t xml:space="preserve">Ministru prezidents </w:t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proofErr w:type="spellStart"/>
      <w:r w:rsidRPr="00004375">
        <w:rPr>
          <w:sz w:val="28"/>
          <w:szCs w:val="28"/>
        </w:rPr>
        <w:t>M.Kučinskis</w:t>
      </w:r>
      <w:proofErr w:type="spellEnd"/>
    </w:p>
    <w:p w14:paraId="6609B425" w14:textId="77777777" w:rsidR="006F2323" w:rsidRPr="00910B53" w:rsidRDefault="006F2323" w:rsidP="006F2323">
      <w:pPr>
        <w:jc w:val="both"/>
        <w:rPr>
          <w:sz w:val="28"/>
          <w:szCs w:val="28"/>
        </w:rPr>
      </w:pPr>
    </w:p>
    <w:p w14:paraId="1D50E83A" w14:textId="77777777" w:rsidR="006F2323" w:rsidRPr="00004375" w:rsidRDefault="006F2323" w:rsidP="006F2323">
      <w:pPr>
        <w:jc w:val="both"/>
        <w:rPr>
          <w:sz w:val="28"/>
          <w:szCs w:val="28"/>
        </w:rPr>
      </w:pPr>
    </w:p>
    <w:p w14:paraId="43E9CB6B" w14:textId="77777777" w:rsidR="006F2323" w:rsidRPr="00DF03BF" w:rsidRDefault="006F2323" w:rsidP="006F2323">
      <w:pPr>
        <w:jc w:val="both"/>
        <w:rPr>
          <w:sz w:val="28"/>
          <w:szCs w:val="28"/>
        </w:rPr>
      </w:pPr>
      <w:r w:rsidRPr="00004375">
        <w:rPr>
          <w:sz w:val="28"/>
          <w:szCs w:val="28"/>
        </w:rPr>
        <w:t>Finanšu ministre</w:t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proofErr w:type="spellStart"/>
      <w:r w:rsidRPr="00004375">
        <w:rPr>
          <w:sz w:val="28"/>
          <w:szCs w:val="28"/>
        </w:rPr>
        <w:t>D.Reizniece</w:t>
      </w:r>
      <w:proofErr w:type="spellEnd"/>
      <w:r w:rsidRPr="00004375">
        <w:rPr>
          <w:sz w:val="28"/>
          <w:szCs w:val="28"/>
        </w:rPr>
        <w:t>-Ozola</w:t>
      </w:r>
    </w:p>
    <w:p w14:paraId="7B2D933F" w14:textId="77777777" w:rsidR="006F2323" w:rsidRPr="00DF03BF" w:rsidRDefault="006F2323" w:rsidP="006F2323">
      <w:pPr>
        <w:jc w:val="both"/>
        <w:rPr>
          <w:sz w:val="28"/>
          <w:szCs w:val="28"/>
        </w:rPr>
      </w:pPr>
    </w:p>
    <w:p w14:paraId="1E76CDC0" w14:textId="77777777" w:rsidR="006F2323" w:rsidRPr="00DF03BF" w:rsidRDefault="006F2323" w:rsidP="006F2323">
      <w:pPr>
        <w:jc w:val="both"/>
        <w:rPr>
          <w:sz w:val="28"/>
          <w:szCs w:val="28"/>
        </w:rPr>
      </w:pPr>
    </w:p>
    <w:p w14:paraId="42746925" w14:textId="1994D6BB" w:rsidR="00F77A81" w:rsidRDefault="00F77A81" w:rsidP="006F232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867E84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.09.2016 plkst. </w:t>
      </w:r>
      <w:r w:rsidR="00867E84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:46</w:t>
      </w:r>
    </w:p>
    <w:p w14:paraId="38E3FCE4" w14:textId="21D0080B" w:rsidR="006F2323" w:rsidRPr="004170F0" w:rsidRDefault="001673EB" w:rsidP="006F232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2E3BE2">
        <w:rPr>
          <w:rFonts w:cs="Times New Roman"/>
          <w:sz w:val="20"/>
          <w:szCs w:val="20"/>
        </w:rPr>
        <w:t>7</w:t>
      </w:r>
    </w:p>
    <w:p w14:paraId="7D27A982" w14:textId="0B89B77A" w:rsidR="00F77A81" w:rsidRDefault="00F77A81" w:rsidP="006F2323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D.</w:t>
      </w:r>
      <w:r w:rsidR="00867E84"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>Buse</w:t>
      </w:r>
    </w:p>
    <w:p w14:paraId="774431C1" w14:textId="2A6E337C" w:rsidR="006F2323" w:rsidRPr="004170F0" w:rsidRDefault="006F2323" w:rsidP="006F2323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670</w:t>
      </w:r>
      <w:r w:rsidR="00F77A81">
        <w:rPr>
          <w:rFonts w:eastAsia="Times New Roman" w:cs="Times New Roman"/>
          <w:sz w:val="20"/>
          <w:szCs w:val="20"/>
          <w:lang w:eastAsia="lv-LV"/>
        </w:rPr>
        <w:t>05535; e- pasts: Dina.Buse</w:t>
      </w:r>
      <w:r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6F2323" w:rsidRPr="004170F0" w:rsidSect="006A18F9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2B5C" w14:textId="77777777" w:rsidR="00F15598" w:rsidRDefault="00F15598" w:rsidP="000174F5">
      <w:r>
        <w:separator/>
      </w:r>
    </w:p>
  </w:endnote>
  <w:endnote w:type="continuationSeparator" w:id="0">
    <w:p w14:paraId="5ECB0EF8" w14:textId="77777777" w:rsidR="00F15598" w:rsidRDefault="00F15598" w:rsidP="0001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3D98" w14:textId="77777777" w:rsidR="006A18F9" w:rsidRPr="00DD7857" w:rsidRDefault="00E703D3" w:rsidP="006A18F9">
    <w:pPr>
      <w:spacing w:before="120"/>
      <w:jc w:val="both"/>
      <w:rPr>
        <w:sz w:val="20"/>
        <w:szCs w:val="20"/>
      </w:rPr>
    </w:pPr>
    <w:r w:rsidRPr="001B4117">
      <w:rPr>
        <w:sz w:val="20"/>
      </w:rPr>
      <w:t>FMLik_</w:t>
    </w:r>
    <w:r>
      <w:rPr>
        <w:sz w:val="20"/>
      </w:rPr>
      <w:t>110816</w:t>
    </w:r>
    <w:r w:rsidRPr="001B4117">
      <w:rPr>
        <w:sz w:val="20"/>
      </w:rPr>
      <w:t>_</w:t>
    </w:r>
    <w:r>
      <w:rPr>
        <w:sz w:val="20"/>
      </w:rPr>
      <w:t>KIL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Pr="001B4117">
      <w:rPr>
        <w:sz w:val="20"/>
      </w:rPr>
      <w:t xml:space="preserve">Grozījumi </w:t>
    </w:r>
    <w:r>
      <w:rPr>
        <w:sz w:val="20"/>
      </w:rPr>
      <w:t>Kredītiestāžu likumā</w:t>
    </w:r>
    <w:r w:rsidRPr="001B4117">
      <w:rPr>
        <w:sz w:val="20"/>
      </w:rPr>
      <w:t>”</w:t>
    </w:r>
  </w:p>
  <w:p w14:paraId="570AEA33" w14:textId="77777777" w:rsidR="006D0A58" w:rsidRPr="006A18F9" w:rsidRDefault="00F15598" w:rsidP="006A1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B8BE" w14:textId="6EC5BD11" w:rsidR="006A18F9" w:rsidRDefault="00E703D3" w:rsidP="000174F5">
    <w:pPr>
      <w:spacing w:before="120"/>
      <w:jc w:val="both"/>
    </w:pPr>
    <w:r w:rsidRPr="001B4117">
      <w:rPr>
        <w:sz w:val="20"/>
      </w:rPr>
      <w:t>FMLik_</w:t>
    </w:r>
    <w:r w:rsidR="00F77A81">
      <w:rPr>
        <w:sz w:val="20"/>
      </w:rPr>
      <w:t>2</w:t>
    </w:r>
    <w:r w:rsidR="00867E84">
      <w:rPr>
        <w:sz w:val="20"/>
      </w:rPr>
      <w:t>8</w:t>
    </w:r>
    <w:r>
      <w:rPr>
        <w:sz w:val="20"/>
      </w:rPr>
      <w:t>0</w:t>
    </w:r>
    <w:r w:rsidR="001673EB">
      <w:rPr>
        <w:sz w:val="20"/>
      </w:rPr>
      <w:t>9</w:t>
    </w:r>
    <w:r>
      <w:rPr>
        <w:sz w:val="20"/>
      </w:rPr>
      <w:t>16</w:t>
    </w:r>
    <w:r w:rsidRPr="001B4117">
      <w:rPr>
        <w:sz w:val="20"/>
      </w:rPr>
      <w:t>_</w:t>
    </w:r>
    <w:r w:rsidR="000174F5">
      <w:rPr>
        <w:sz w:val="20"/>
      </w:rPr>
      <w:t>MPL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="000174F5" w:rsidRPr="000174F5">
      <w:rPr>
        <w:sz w:val="20"/>
      </w:rPr>
      <w:t>Grozījumi Maksājumu pakalpojumu un elektroniskās naudas likumā</w:t>
    </w:r>
    <w:r w:rsidR="000174F5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A813" w14:textId="77777777" w:rsidR="00F15598" w:rsidRDefault="00F15598" w:rsidP="000174F5">
      <w:r>
        <w:separator/>
      </w:r>
    </w:p>
  </w:footnote>
  <w:footnote w:type="continuationSeparator" w:id="0">
    <w:p w14:paraId="5B78390E" w14:textId="77777777" w:rsidR="00F15598" w:rsidRDefault="00F15598" w:rsidP="0001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09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3D520F" w14:textId="77777777" w:rsidR="006D0A58" w:rsidRDefault="00E703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1DCB2" w14:textId="77777777" w:rsidR="006D0A58" w:rsidRDefault="00F15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9B6"/>
    <w:multiLevelType w:val="hybridMultilevel"/>
    <w:tmpl w:val="F752944A"/>
    <w:lvl w:ilvl="0" w:tplc="32F0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3"/>
    <w:rsid w:val="000174F5"/>
    <w:rsid w:val="000E712C"/>
    <w:rsid w:val="0015023B"/>
    <w:rsid w:val="001673EB"/>
    <w:rsid w:val="001754D5"/>
    <w:rsid w:val="001D284A"/>
    <w:rsid w:val="001E3993"/>
    <w:rsid w:val="00292A01"/>
    <w:rsid w:val="002A1DC2"/>
    <w:rsid w:val="002E3BE2"/>
    <w:rsid w:val="00304BF0"/>
    <w:rsid w:val="003256FE"/>
    <w:rsid w:val="003A1FD1"/>
    <w:rsid w:val="003E0371"/>
    <w:rsid w:val="003F5874"/>
    <w:rsid w:val="00404D28"/>
    <w:rsid w:val="00446FB0"/>
    <w:rsid w:val="004963E7"/>
    <w:rsid w:val="0055419B"/>
    <w:rsid w:val="005C0F9F"/>
    <w:rsid w:val="006047CA"/>
    <w:rsid w:val="006F2323"/>
    <w:rsid w:val="007370BE"/>
    <w:rsid w:val="00741B35"/>
    <w:rsid w:val="007E5EE0"/>
    <w:rsid w:val="007F1CA7"/>
    <w:rsid w:val="00867E84"/>
    <w:rsid w:val="008A5EA7"/>
    <w:rsid w:val="008E0FEC"/>
    <w:rsid w:val="009A23A9"/>
    <w:rsid w:val="009E64A8"/>
    <w:rsid w:val="00AE13D8"/>
    <w:rsid w:val="00AE50AB"/>
    <w:rsid w:val="00AE6085"/>
    <w:rsid w:val="00B07B59"/>
    <w:rsid w:val="00B66EB3"/>
    <w:rsid w:val="00B83A12"/>
    <w:rsid w:val="00BB1116"/>
    <w:rsid w:val="00BD7EE4"/>
    <w:rsid w:val="00CF0C60"/>
    <w:rsid w:val="00D03E3C"/>
    <w:rsid w:val="00D412CB"/>
    <w:rsid w:val="00D47F05"/>
    <w:rsid w:val="00D50DFD"/>
    <w:rsid w:val="00D954A8"/>
    <w:rsid w:val="00DC6063"/>
    <w:rsid w:val="00DD1006"/>
    <w:rsid w:val="00E703D3"/>
    <w:rsid w:val="00EC24D5"/>
    <w:rsid w:val="00F15598"/>
    <w:rsid w:val="00F77A81"/>
    <w:rsid w:val="00F95954"/>
    <w:rsid w:val="00FC1E49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45FDE"/>
  <w15:docId w15:val="{7930B78C-F80F-49DD-9D08-23BA5D4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2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6F2323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3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23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23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2323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c1">
    <w:name w:val="lik_c1"/>
    <w:basedOn w:val="Normal"/>
    <w:rsid w:val="006F2323"/>
    <w:pPr>
      <w:spacing w:before="100" w:beforeAutospacing="1" w:after="100" w:afterAutospacing="1" w:line="360" w:lineRule="auto"/>
      <w:ind w:firstLine="300"/>
      <w:jc w:val="right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nhideWhenUsed/>
    <w:rsid w:val="00496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6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3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E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E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1FD1"/>
  </w:style>
  <w:style w:type="character" w:styleId="Hyperlink">
    <w:name w:val="Hyperlink"/>
    <w:basedOn w:val="DefaultParagraphFont"/>
    <w:uiPriority w:val="99"/>
    <w:semiHidden/>
    <w:unhideWhenUsed/>
    <w:rsid w:val="003A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6634-maksajumu-pakalpojumu-un-elektroniskas-naud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37426-kreditiestaz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06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06634-maksajumu-pakalpojumu-un-elektroniskas-naud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1E47-9835-4D35-AE83-7FC4828E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FMLik_280916_MPL; Likumprojekts „Grozījumi Maksājumu pakalpojumu un elektroniskās naudas likumā”</dc:title>
  <dc:subject/>
  <dc:creator>D</dc:creator>
  <cp:keywords/>
  <dc:description>Dina Buse, Finanšu ministrijas Finanšu tirgus politikas departamenta finanšu sektora pārvaldības nodaļas vadītāja vietniece, t.67095535, e-pasts: Dina.Buse@fm.gov.lv</dc:description>
  <cp:lastModifiedBy>Marija Radeiko</cp:lastModifiedBy>
  <cp:revision>17</cp:revision>
  <dcterms:created xsi:type="dcterms:W3CDTF">2016-09-28T02:37:00Z</dcterms:created>
  <dcterms:modified xsi:type="dcterms:W3CDTF">2016-09-28T11:25:00Z</dcterms:modified>
</cp:coreProperties>
</file>