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77777777" w:rsidR="00684ADB" w:rsidRDefault="00684ADB" w:rsidP="00684ADB">
      <w:pPr>
        <w:jc w:val="center"/>
        <w:rPr>
          <w:b/>
        </w:rPr>
      </w:pPr>
      <w:bookmarkStart w:id="0" w:name="_GoBack"/>
      <w:r w:rsidRPr="00063A01">
        <w:rPr>
          <w:b/>
        </w:rPr>
        <w:t xml:space="preserve">INFORMATĪVAIS ZIŅOJUMS PAR </w:t>
      </w:r>
      <w:r>
        <w:rPr>
          <w:b/>
        </w:rPr>
        <w:t xml:space="preserve">EIROPAS SAVIENĪBAS </w:t>
      </w:r>
      <w:r w:rsidRPr="00BE36BA">
        <w:rPr>
          <w:b/>
        </w:rPr>
        <w:t>STRUKTŪRFONDU UN KOHĒZIJAS FONDA</w:t>
      </w:r>
      <w:r w:rsidRPr="00B27FD3">
        <w:rPr>
          <w:b/>
          <w:caps/>
        </w:rPr>
        <w:t xml:space="preserve"> </w:t>
      </w:r>
      <w:r w:rsidRPr="00063A01">
        <w:rPr>
          <w:b/>
        </w:rPr>
        <w:t xml:space="preserve">INVESTĪCIJU </w:t>
      </w:r>
      <w:r>
        <w:rPr>
          <w:b/>
        </w:rPr>
        <w:t>IEVIEŠANAS STATUSU</w:t>
      </w:r>
      <w:bookmarkEnd w:id="0"/>
      <w:r>
        <w:rPr>
          <w:rStyle w:val="FootnoteReference"/>
          <w:b/>
        </w:rPr>
        <w:footnoteReference w:id="1"/>
      </w:r>
      <w:r>
        <w:rPr>
          <w:b/>
        </w:rPr>
        <w:t xml:space="preserve"> </w:t>
      </w:r>
    </w:p>
    <w:p w14:paraId="063DA8FC" w14:textId="77777777" w:rsidR="00684ADB" w:rsidRDefault="00684ADB" w:rsidP="00684ADB"/>
    <w:p w14:paraId="0688920F" w14:textId="77777777" w:rsidR="00684ADB" w:rsidRPr="003B05E1" w:rsidRDefault="00684ADB" w:rsidP="001D796F">
      <w:pPr>
        <w:pStyle w:val="BodyText"/>
        <w:numPr>
          <w:ilvl w:val="0"/>
          <w:numId w:val="1"/>
        </w:numPr>
        <w:spacing w:before="0" w:after="0" w:line="240" w:lineRule="auto"/>
        <w:ind w:left="0" w:firstLine="0"/>
        <w:jc w:val="both"/>
        <w:rPr>
          <w:rFonts w:eastAsia="Calibri"/>
          <w:lang w:val="lv-LV" w:eastAsia="ar-SA"/>
        </w:rPr>
      </w:pPr>
      <w:r w:rsidRPr="003B05E1">
        <w:rPr>
          <w:rFonts w:eastAsia="Calibri"/>
          <w:b w:val="0"/>
          <w:lang w:val="lv-LV" w:eastAsia="ar-SA"/>
        </w:rPr>
        <w:t>Atbilstoši Ministru kabineta</w:t>
      </w:r>
      <w:r>
        <w:rPr>
          <w:rFonts w:eastAsia="Calibri"/>
          <w:b w:val="0"/>
          <w:lang w:val="lv-LV" w:eastAsia="ar-SA"/>
        </w:rPr>
        <w:t xml:space="preserve"> (turpmāk – MK)</w:t>
      </w:r>
      <w:r w:rsidRPr="003B05E1">
        <w:rPr>
          <w:rFonts w:eastAsia="Calibri"/>
          <w:b w:val="0"/>
          <w:lang w:val="lv-LV" w:eastAsia="ar-SA"/>
        </w:rPr>
        <w:t xml:space="preserve"> 2015.gada 10.marta sēdes protokola Nr.14 27.§ 11.punktam Finanšu ministrijai (turpmāk - FM) ir uzdots, sākot ar 2015.gada maiju reizi mēnesī (līdz nākamā mēneša beigām) </w:t>
      </w:r>
      <w:r w:rsidRPr="003B05E1">
        <w:rPr>
          <w:rFonts w:eastAsia="Calibri"/>
          <w:b w:val="0"/>
          <w:u w:val="single"/>
          <w:lang w:val="lv-LV" w:eastAsia="ar-SA"/>
        </w:rPr>
        <w:t xml:space="preserve">iesniegt </w:t>
      </w:r>
      <w:r>
        <w:rPr>
          <w:rFonts w:eastAsia="Calibri"/>
          <w:b w:val="0"/>
          <w:u w:val="single"/>
          <w:lang w:val="lv-LV" w:eastAsia="ar-SA"/>
        </w:rPr>
        <w:t>MK</w:t>
      </w:r>
      <w:r w:rsidRPr="003B05E1">
        <w:rPr>
          <w:rFonts w:eastAsia="Calibri"/>
          <w:b w:val="0"/>
          <w:u w:val="single"/>
          <w:lang w:val="lv-LV" w:eastAsia="ar-SA"/>
        </w:rPr>
        <w:t xml:space="preserve"> bez saskaņošanas ar citām iestādēm operatīvo informāciju</w:t>
      </w:r>
      <w:r w:rsidRPr="003B05E1">
        <w:rPr>
          <w:rFonts w:eastAsia="Calibri"/>
          <w:b w:val="0"/>
          <w:lang w:val="lv-LV" w:eastAsia="ar-SA"/>
        </w:rPr>
        <w:t xml:space="preserve"> par Eiropas Savienības struktūrfondu un Kohēzijas fondu (turpmāk – ES fondi) ieviešanas plānu izpildi (turpmāk – </w:t>
      </w:r>
      <w:r w:rsidRPr="003B05E1">
        <w:rPr>
          <w:rFonts w:eastAsia="Calibri"/>
          <w:b w:val="0"/>
          <w:lang w:val="lv-LV"/>
        </w:rPr>
        <w:t xml:space="preserve">ikmēneša ziņojums </w:t>
      </w:r>
      <w:r w:rsidRPr="003B05E1">
        <w:rPr>
          <w:rFonts w:eastAsia="Calibri"/>
          <w:b w:val="0"/>
          <w:lang w:val="lv-LV" w:eastAsia="ar-SA"/>
        </w:rPr>
        <w:t xml:space="preserve">MK), tai skaitā informāciju atbildīgo iestāžu dalījumā par noteiktiem finanšu mērķiem un citiem priekšnosacījumiem un uzdevumiem. Attiecīgi FM sniedz pieejamo operatīvo informāciju par ES fondu </w:t>
      </w:r>
      <w:r w:rsidRPr="003B05E1">
        <w:rPr>
          <w:rFonts w:eastAsia="Calibri"/>
          <w:b w:val="0"/>
          <w:u w:val="single"/>
          <w:lang w:val="lv-LV" w:eastAsia="ar-SA"/>
        </w:rPr>
        <w:t xml:space="preserve">2007.–2013.gada plānošanas periodu un 2014.–2020.gada plānošanas periodu. </w:t>
      </w:r>
    </w:p>
    <w:p w14:paraId="4057FA01" w14:textId="77777777" w:rsidR="00684ADB" w:rsidRPr="00B0645A" w:rsidRDefault="00684ADB" w:rsidP="001D796F">
      <w:pPr>
        <w:pStyle w:val="ListParagraph"/>
        <w:numPr>
          <w:ilvl w:val="0"/>
          <w:numId w:val="1"/>
        </w:numPr>
        <w:suppressAutoHyphens/>
        <w:spacing w:before="120" w:after="120"/>
        <w:ind w:left="0" w:firstLine="0"/>
        <w:contextualSpacing w:val="0"/>
        <w:jc w:val="both"/>
        <w:rPr>
          <w:rFonts w:eastAsia="Calibri" w:cs="Times New Roman"/>
          <w:b/>
          <w:szCs w:val="24"/>
          <w:u w:val="single"/>
          <w:lang w:eastAsia="ar-SA"/>
        </w:rPr>
      </w:pPr>
      <w:r w:rsidRPr="00B0645A">
        <w:rPr>
          <w:rFonts w:eastAsia="Calibri" w:cs="Times New Roman"/>
          <w:b/>
          <w:szCs w:val="24"/>
          <w:u w:val="single"/>
          <w:lang w:eastAsia="ar-SA"/>
        </w:rPr>
        <w:t>2007.–2013.gada plānošanas perioda ietvaros:</w:t>
      </w:r>
    </w:p>
    <w:p w14:paraId="0A1EC6D1" w14:textId="7B3A376F" w:rsidR="00684ADB" w:rsidRPr="00B0645A" w:rsidRDefault="00684ADB" w:rsidP="001D796F">
      <w:pPr>
        <w:pStyle w:val="ListParagraph"/>
        <w:numPr>
          <w:ilvl w:val="1"/>
          <w:numId w:val="2"/>
        </w:numPr>
        <w:spacing w:before="120" w:after="120"/>
        <w:ind w:left="0" w:firstLine="0"/>
        <w:contextualSpacing w:val="0"/>
        <w:jc w:val="both"/>
        <w:rPr>
          <w:rFonts w:cs="Times New Roman"/>
          <w:szCs w:val="24"/>
        </w:rPr>
      </w:pPr>
      <w:r w:rsidRPr="00B0645A">
        <w:rPr>
          <w:color w:val="000000" w:themeColor="text1"/>
          <w:szCs w:val="24"/>
        </w:rPr>
        <w:t>Notiek koordinēta ES fondu 2007.-2013.gada plānošanas perioda slēgšanas procesa organizācija</w:t>
      </w:r>
      <w:r>
        <w:rPr>
          <w:color w:val="000000" w:themeColor="text1"/>
          <w:szCs w:val="24"/>
        </w:rPr>
        <w:t xml:space="preserve"> saskaņā </w:t>
      </w:r>
      <w:r w:rsidR="00A237A5">
        <w:rPr>
          <w:color w:val="000000" w:themeColor="text1"/>
          <w:szCs w:val="24"/>
        </w:rPr>
        <w:t xml:space="preserve">ar </w:t>
      </w:r>
      <w:r>
        <w:rPr>
          <w:color w:val="000000" w:themeColor="text1"/>
          <w:szCs w:val="24"/>
        </w:rPr>
        <w:t>programmu slēgšanas laika grafiku, lai līdz 2017.gada 31.martam Latvija iesniegtu visus nepieciešamos noslēguma dokumentus Eiropas Komisijai (turpmāk – EK)</w:t>
      </w:r>
      <w:r>
        <w:rPr>
          <w:rStyle w:val="FootnoteReference"/>
          <w:color w:val="000000" w:themeColor="text1"/>
          <w:szCs w:val="24"/>
        </w:rPr>
        <w:footnoteReference w:id="2"/>
      </w:r>
      <w:r w:rsidRPr="00B0645A">
        <w:rPr>
          <w:color w:val="000000" w:themeColor="text1"/>
          <w:szCs w:val="24"/>
        </w:rPr>
        <w:t xml:space="preserve">. </w:t>
      </w:r>
      <w:r>
        <w:rPr>
          <w:color w:val="000000" w:themeColor="text1"/>
          <w:szCs w:val="24"/>
        </w:rPr>
        <w:t>Tāpat iestādes t</w:t>
      </w:r>
      <w:r w:rsidRPr="00B0645A">
        <w:rPr>
          <w:color w:val="000000" w:themeColor="text1"/>
          <w:szCs w:val="24"/>
        </w:rPr>
        <w:t>urpin</w:t>
      </w:r>
      <w:r>
        <w:rPr>
          <w:color w:val="000000" w:themeColor="text1"/>
          <w:szCs w:val="24"/>
        </w:rPr>
        <w:t xml:space="preserve">a nepieciešamās kontroles pēc projektu pabeigšanas un </w:t>
      </w:r>
      <w:r w:rsidRPr="00B0645A">
        <w:rPr>
          <w:color w:val="000000" w:themeColor="text1"/>
          <w:szCs w:val="24"/>
        </w:rPr>
        <w:t>atsevišķu projektu, kuriem pagarināts funkcionalitātes nodrošināšanas termiņš, uzraudzīb</w:t>
      </w:r>
      <w:r>
        <w:rPr>
          <w:color w:val="000000" w:themeColor="text1"/>
          <w:szCs w:val="24"/>
        </w:rPr>
        <w:t>u</w:t>
      </w:r>
      <w:r w:rsidRPr="00B0645A">
        <w:rPr>
          <w:color w:val="000000" w:themeColor="text1"/>
          <w:szCs w:val="24"/>
        </w:rPr>
        <w:t xml:space="preserve">. </w:t>
      </w:r>
    </w:p>
    <w:p w14:paraId="68351C52" w14:textId="377B09C8" w:rsidR="00684ADB" w:rsidRPr="0098250D" w:rsidRDefault="003232BA" w:rsidP="000A5C17">
      <w:pPr>
        <w:pStyle w:val="ListParagraph"/>
        <w:numPr>
          <w:ilvl w:val="1"/>
          <w:numId w:val="2"/>
        </w:numPr>
        <w:spacing w:before="120" w:after="120"/>
        <w:ind w:left="0" w:firstLine="0"/>
        <w:contextualSpacing w:val="0"/>
        <w:jc w:val="both"/>
        <w:rPr>
          <w:szCs w:val="24"/>
        </w:rPr>
      </w:pPr>
      <w:r w:rsidRPr="00A029ED">
        <w:rPr>
          <w:rFonts w:eastAsia="Calibri" w:cs="Times New Roman"/>
          <w:szCs w:val="24"/>
          <w:lang w:eastAsia="ar-SA"/>
        </w:rPr>
        <w:t xml:space="preserve">Finanšu instrumentu aktivitātēs </w:t>
      </w:r>
      <w:r w:rsidR="00831B8D" w:rsidRPr="0098250D">
        <w:rPr>
          <w:rFonts w:eastAsia="Calibri" w:cs="Times New Roman"/>
          <w:szCs w:val="24"/>
          <w:lang w:eastAsia="ar-SA"/>
        </w:rPr>
        <w:t>līdz 2016.gada oktobra beigām izmantojams</w:t>
      </w:r>
      <w:r w:rsidR="00B974C2" w:rsidRPr="0098250D">
        <w:rPr>
          <w:rFonts w:eastAsia="Calibri" w:cs="Times New Roman"/>
          <w:szCs w:val="24"/>
          <w:lang w:eastAsia="ar-SA"/>
        </w:rPr>
        <w:t xml:space="preserve"> ieguldījumiem riska kapitāla instrumentos</w:t>
      </w:r>
      <w:r w:rsidR="00831B8D" w:rsidRPr="00DD00E7">
        <w:rPr>
          <w:rFonts w:eastAsia="Calibri" w:cs="Times New Roman"/>
          <w:szCs w:val="24"/>
          <w:lang w:eastAsia="ar-SA"/>
        </w:rPr>
        <w:t xml:space="preserve"> ES fondu līdzfinansējums, tai skaitā ieņēmumi no</w:t>
      </w:r>
      <w:r w:rsidR="00831B8D" w:rsidRPr="00A029ED">
        <w:rPr>
          <w:rFonts w:eastAsia="Calibri" w:cs="Times New Roman"/>
          <w:szCs w:val="24"/>
          <w:lang w:eastAsia="ar-SA"/>
        </w:rPr>
        <w:t xml:space="preserve"> brīvo </w:t>
      </w:r>
      <w:r w:rsidR="00B974C2" w:rsidRPr="00A029ED">
        <w:rPr>
          <w:rFonts w:eastAsia="Calibri" w:cs="Times New Roman"/>
          <w:szCs w:val="24"/>
          <w:lang w:eastAsia="ar-SA"/>
        </w:rPr>
        <w:t>publisko līdzekļu noguldījumiem,</w:t>
      </w:r>
      <w:r w:rsidR="00831B8D" w:rsidRPr="00A029ED">
        <w:rPr>
          <w:rFonts w:eastAsia="Calibri" w:cs="Times New Roman"/>
          <w:szCs w:val="24"/>
          <w:lang w:eastAsia="ar-SA"/>
        </w:rPr>
        <w:t xml:space="preserve"> kopā 10,4 milj. </w:t>
      </w:r>
      <w:r w:rsidR="00831B8D" w:rsidRPr="00A029ED">
        <w:rPr>
          <w:rFonts w:eastAsia="Calibri" w:cs="Times New Roman"/>
          <w:i/>
          <w:szCs w:val="24"/>
          <w:lang w:eastAsia="ar-SA"/>
        </w:rPr>
        <w:t>euro</w:t>
      </w:r>
      <w:r w:rsidR="00831B8D">
        <w:rPr>
          <w:rStyle w:val="FootnoteReference"/>
          <w:rFonts w:eastAsia="Calibri" w:cs="Times New Roman"/>
          <w:szCs w:val="24"/>
          <w:lang w:eastAsia="ar-SA"/>
        </w:rPr>
        <w:footnoteReference w:id="3"/>
      </w:r>
      <w:r w:rsidR="00831B8D" w:rsidRPr="00A029ED">
        <w:rPr>
          <w:rFonts w:eastAsia="Calibri" w:cs="Times New Roman"/>
          <w:szCs w:val="24"/>
          <w:lang w:eastAsia="ar-SA"/>
        </w:rPr>
        <w:t>. Papildus no 2007-2013.gadu perioda finanšu instrumentu</w:t>
      </w:r>
      <w:r w:rsidRPr="0098250D">
        <w:rPr>
          <w:rFonts w:eastAsia="Calibri" w:cs="Times New Roman"/>
          <w:szCs w:val="24"/>
          <w:lang w:eastAsia="ar-SA"/>
        </w:rPr>
        <w:t xml:space="preserve"> publiskā finansējuma atmaksām </w:t>
      </w:r>
      <w:r w:rsidR="00AB7CC9" w:rsidRPr="00A029ED">
        <w:rPr>
          <w:rFonts w:eastAsia="Calibri" w:cs="Times New Roman"/>
          <w:szCs w:val="24"/>
          <w:lang w:eastAsia="ar-SA"/>
        </w:rPr>
        <w:t>ir</w:t>
      </w:r>
      <w:r w:rsidR="00831B8D" w:rsidRPr="00A029ED">
        <w:rPr>
          <w:rFonts w:eastAsia="Calibri" w:cs="Times New Roman"/>
          <w:szCs w:val="24"/>
          <w:lang w:eastAsia="ar-SA"/>
        </w:rPr>
        <w:t xml:space="preserve"> pieejams finansējums </w:t>
      </w:r>
      <w:r w:rsidR="00A90223" w:rsidRPr="00A029ED">
        <w:rPr>
          <w:rFonts w:eastAsia="Calibri" w:cs="Times New Roman"/>
          <w:szCs w:val="24"/>
          <w:lang w:eastAsia="ar-SA"/>
        </w:rPr>
        <w:t xml:space="preserve">52,1 milj. </w:t>
      </w:r>
      <w:r w:rsidR="00A90223" w:rsidRPr="00A029ED">
        <w:rPr>
          <w:rFonts w:eastAsia="Calibri" w:cs="Times New Roman"/>
          <w:i/>
          <w:szCs w:val="24"/>
          <w:lang w:eastAsia="ar-SA"/>
        </w:rPr>
        <w:t>euro</w:t>
      </w:r>
      <w:r w:rsidR="00A90223" w:rsidRPr="00A029ED">
        <w:rPr>
          <w:rFonts w:eastAsia="Calibri" w:cs="Times New Roman"/>
          <w:szCs w:val="24"/>
          <w:lang w:eastAsia="ar-SA"/>
        </w:rPr>
        <w:t xml:space="preserve"> </w:t>
      </w:r>
      <w:r w:rsidR="00A90223">
        <w:rPr>
          <w:rStyle w:val="FootnoteReference"/>
          <w:rFonts w:eastAsia="Calibri" w:cs="Times New Roman"/>
          <w:szCs w:val="24"/>
          <w:lang w:eastAsia="ar-SA"/>
        </w:rPr>
        <w:footnoteReference w:id="4"/>
      </w:r>
      <w:r w:rsidR="00A90223" w:rsidRPr="0098250D">
        <w:rPr>
          <w:rFonts w:eastAsia="Calibri" w:cs="Times New Roman"/>
          <w:szCs w:val="24"/>
          <w:lang w:eastAsia="ar-SA"/>
        </w:rPr>
        <w:t xml:space="preserve"> </w:t>
      </w:r>
      <w:r w:rsidR="00831B8D" w:rsidRPr="0098250D">
        <w:rPr>
          <w:rFonts w:eastAsia="Calibri" w:cs="Times New Roman"/>
          <w:szCs w:val="24"/>
          <w:lang w:eastAsia="ar-SA"/>
        </w:rPr>
        <w:t>finanšu instrument</w:t>
      </w:r>
      <w:r w:rsidR="00A90223" w:rsidRPr="00DD00E7">
        <w:rPr>
          <w:rFonts w:eastAsia="Calibri" w:cs="Times New Roman"/>
          <w:szCs w:val="24"/>
          <w:lang w:eastAsia="ar-SA"/>
        </w:rPr>
        <w:t>u veid</w:t>
      </w:r>
      <w:r w:rsidR="00A90223" w:rsidRPr="00A029ED">
        <w:rPr>
          <w:rFonts w:eastAsia="Calibri" w:cs="Times New Roman"/>
          <w:szCs w:val="24"/>
          <w:lang w:eastAsia="ar-SA"/>
        </w:rPr>
        <w:t>ā</w:t>
      </w:r>
      <w:r w:rsidR="000A5C17">
        <w:rPr>
          <w:rFonts w:eastAsia="Calibri" w:cs="Times New Roman"/>
          <w:szCs w:val="24"/>
          <w:lang w:eastAsia="ar-SA"/>
        </w:rPr>
        <w:t xml:space="preserve"> un to</w:t>
      </w:r>
      <w:r w:rsidR="00A029ED" w:rsidRPr="00A029ED">
        <w:rPr>
          <w:rFonts w:eastAsia="Calibri" w:cs="Times New Roman"/>
          <w:szCs w:val="24"/>
          <w:lang w:eastAsia="ar-SA"/>
        </w:rPr>
        <w:t xml:space="preserve"> paredzēts </w:t>
      </w:r>
      <w:r w:rsidRPr="00A029ED">
        <w:rPr>
          <w:rFonts w:eastAsia="Calibri" w:cs="Times New Roman"/>
          <w:szCs w:val="24"/>
          <w:lang w:eastAsia="ar-SA"/>
        </w:rPr>
        <w:t xml:space="preserve">izmantot, lai </w:t>
      </w:r>
      <w:r w:rsidR="00831B8D" w:rsidRPr="00A029ED">
        <w:rPr>
          <w:rFonts w:eastAsia="Calibri" w:cs="Times New Roman"/>
          <w:szCs w:val="24"/>
          <w:lang w:eastAsia="ar-SA"/>
        </w:rPr>
        <w:t xml:space="preserve">finansētu 2014.-2020.gada plānošanas perioda finanšu instrumentus, nodrošinātu AS “Attīstības finanšu institūcija </w:t>
      </w:r>
      <w:proofErr w:type="spellStart"/>
      <w:r w:rsidR="00831B8D" w:rsidRPr="00A029ED">
        <w:rPr>
          <w:rFonts w:eastAsia="Calibri" w:cs="Times New Roman"/>
          <w:szCs w:val="24"/>
          <w:lang w:eastAsia="ar-SA"/>
        </w:rPr>
        <w:t>Altum</w:t>
      </w:r>
      <w:proofErr w:type="spellEnd"/>
      <w:r w:rsidR="00831B8D" w:rsidRPr="00A029ED">
        <w:rPr>
          <w:rFonts w:eastAsia="Calibri" w:cs="Times New Roman"/>
          <w:szCs w:val="24"/>
          <w:lang w:eastAsia="ar-SA"/>
        </w:rPr>
        <w:t>” turpmākās iemaksas Baltijas inovāciju fondā.</w:t>
      </w:r>
      <w:r w:rsidR="00A029ED" w:rsidRPr="00A029ED">
        <w:rPr>
          <w:rFonts w:eastAsia="Calibri" w:cs="Times New Roman"/>
          <w:szCs w:val="24"/>
          <w:lang w:eastAsia="ar-SA"/>
        </w:rPr>
        <w:t xml:space="preserve"> </w:t>
      </w:r>
      <w:r w:rsidR="00684ADB" w:rsidRPr="00A029ED">
        <w:rPr>
          <w:rFonts w:eastAsia="Calibri" w:cs="Times New Roman"/>
          <w:szCs w:val="24"/>
          <w:lang w:eastAsia="ar-SA"/>
        </w:rPr>
        <w:t>Plašāka informācija par finanšu instrumentiem, tai skaitā par % ieņēmumiem un uzkrāta</w:t>
      </w:r>
      <w:r w:rsidR="00684ADB" w:rsidRPr="0098250D">
        <w:rPr>
          <w:rFonts w:eastAsia="Calibri" w:cs="Times New Roman"/>
          <w:szCs w:val="24"/>
          <w:lang w:eastAsia="ar-SA"/>
        </w:rPr>
        <w:t>jām atmaksām, pieejama ES fondu tīmekļa vietnē</w:t>
      </w:r>
      <w:r w:rsidR="00684ADB" w:rsidRPr="003465BA">
        <w:rPr>
          <w:rStyle w:val="FootnoteReference"/>
          <w:rFonts w:eastAsia="Calibri" w:cs="Times New Roman"/>
          <w:szCs w:val="24"/>
          <w:lang w:eastAsia="ar-SA"/>
        </w:rPr>
        <w:footnoteReference w:id="5"/>
      </w:r>
      <w:r w:rsidR="000A5C17">
        <w:rPr>
          <w:szCs w:val="24"/>
        </w:rPr>
        <w:t>, kā arī AS “</w:t>
      </w:r>
      <w:r w:rsidR="00684ADB" w:rsidRPr="00A029ED">
        <w:rPr>
          <w:szCs w:val="24"/>
        </w:rPr>
        <w:t xml:space="preserve">Attīstības finanšu institūcijas </w:t>
      </w:r>
      <w:proofErr w:type="spellStart"/>
      <w:r w:rsidR="00684ADB" w:rsidRPr="00A029ED">
        <w:rPr>
          <w:szCs w:val="24"/>
        </w:rPr>
        <w:t>Altum</w:t>
      </w:r>
      <w:proofErr w:type="spellEnd"/>
      <w:r w:rsidR="00684ADB" w:rsidRPr="00A029ED">
        <w:rPr>
          <w:szCs w:val="24"/>
        </w:rPr>
        <w:t>” tīmekļa vietnē</w:t>
      </w:r>
      <w:r w:rsidR="00684ADB" w:rsidRPr="003465BA">
        <w:rPr>
          <w:rStyle w:val="FootnoteReference"/>
          <w:szCs w:val="24"/>
        </w:rPr>
        <w:footnoteReference w:id="6"/>
      </w:r>
      <w:r w:rsidR="00684ADB" w:rsidRPr="00A029ED">
        <w:rPr>
          <w:szCs w:val="24"/>
        </w:rPr>
        <w:t>.</w:t>
      </w:r>
      <w:r w:rsidR="00777090" w:rsidRPr="0098250D">
        <w:rPr>
          <w:szCs w:val="24"/>
        </w:rPr>
        <w:t xml:space="preserve"> </w:t>
      </w:r>
    </w:p>
    <w:p w14:paraId="439D6ABB" w14:textId="77777777" w:rsidR="00684ADB" w:rsidRPr="00B067FC" w:rsidRDefault="00684ADB" w:rsidP="00684ADB">
      <w:pPr>
        <w:pStyle w:val="ListParagraph"/>
        <w:numPr>
          <w:ilvl w:val="0"/>
          <w:numId w:val="2"/>
        </w:numPr>
        <w:suppressAutoHyphens/>
        <w:spacing w:before="120" w:after="120" w:line="276" w:lineRule="auto"/>
        <w:contextualSpacing w:val="0"/>
        <w:jc w:val="both"/>
        <w:rPr>
          <w:rFonts w:eastAsia="Calibri" w:cs="Times New Roman"/>
          <w:b/>
          <w:szCs w:val="24"/>
          <w:u w:val="single"/>
          <w:lang w:eastAsia="ar-SA"/>
        </w:rPr>
      </w:pPr>
      <w:r w:rsidRPr="00B067FC">
        <w:rPr>
          <w:rFonts w:eastAsia="Calibri" w:cs="Times New Roman"/>
          <w:b/>
          <w:szCs w:val="24"/>
          <w:u w:val="single"/>
          <w:lang w:eastAsia="ar-SA"/>
        </w:rPr>
        <w:t>2014.–2020.gada plānošanas periods:</w:t>
      </w:r>
    </w:p>
    <w:p w14:paraId="2C1AE539" w14:textId="4825373B" w:rsidR="003232BA" w:rsidRPr="0027168C" w:rsidRDefault="00A35118" w:rsidP="0027168C">
      <w:pPr>
        <w:pStyle w:val="ListParagraph"/>
        <w:numPr>
          <w:ilvl w:val="1"/>
          <w:numId w:val="2"/>
        </w:numPr>
        <w:suppressAutoHyphens/>
        <w:spacing w:before="120" w:after="120"/>
        <w:ind w:left="0" w:firstLine="0"/>
        <w:contextualSpacing w:val="0"/>
        <w:jc w:val="both"/>
        <w:rPr>
          <w:color w:val="000000" w:themeColor="text1"/>
        </w:rPr>
      </w:pPr>
      <w:r w:rsidRPr="00301E51">
        <w:rPr>
          <w:szCs w:val="28"/>
          <w:lang w:eastAsia="ar-SA"/>
        </w:rPr>
        <w:t>Par Latvijas salīd</w:t>
      </w:r>
      <w:r>
        <w:rPr>
          <w:szCs w:val="28"/>
          <w:lang w:eastAsia="ar-SA"/>
        </w:rPr>
        <w:t>zinoši labām investīciju uzsākša</w:t>
      </w:r>
      <w:r w:rsidRPr="00301E51">
        <w:rPr>
          <w:szCs w:val="28"/>
          <w:lang w:eastAsia="ar-SA"/>
        </w:rPr>
        <w:t xml:space="preserve">nas sekmēm liecina ES dalībvalstu dati - </w:t>
      </w:r>
      <w:r w:rsidRPr="00301E51">
        <w:rPr>
          <w:b/>
          <w:bCs/>
          <w:szCs w:val="28"/>
          <w:lang w:eastAsia="ar-SA"/>
        </w:rPr>
        <w:t xml:space="preserve">Latvijai </w:t>
      </w:r>
      <w:r w:rsidRPr="00301E51">
        <w:rPr>
          <w:b/>
          <w:bCs/>
          <w:szCs w:val="28"/>
          <w:u w:val="single"/>
          <w:lang w:eastAsia="ar-SA"/>
        </w:rPr>
        <w:t>4.vieta</w:t>
      </w:r>
      <w:r w:rsidRPr="00301E51">
        <w:rPr>
          <w:b/>
          <w:bCs/>
          <w:szCs w:val="28"/>
          <w:lang w:eastAsia="ar-SA"/>
        </w:rPr>
        <w:t xml:space="preserve">, saņemot </w:t>
      </w:r>
      <w:r>
        <w:rPr>
          <w:b/>
          <w:bCs/>
          <w:szCs w:val="28"/>
          <w:lang w:eastAsia="ar-SA"/>
        </w:rPr>
        <w:t xml:space="preserve">no EK </w:t>
      </w:r>
      <w:r w:rsidRPr="00301E51">
        <w:rPr>
          <w:b/>
          <w:bCs/>
          <w:szCs w:val="28"/>
          <w:lang w:eastAsia="ar-SA"/>
        </w:rPr>
        <w:t>starpposma maksājumus</w:t>
      </w:r>
      <w:r>
        <w:rPr>
          <w:b/>
          <w:bCs/>
          <w:szCs w:val="28"/>
          <w:lang w:eastAsia="ar-SA"/>
        </w:rPr>
        <w:t xml:space="preserve"> par jau veiktām investīcijām un pārbaudītiem izdevumu dokumentiem projektu ietvaros. </w:t>
      </w:r>
      <w:r w:rsidRPr="00AE524D">
        <w:rPr>
          <w:color w:val="000000" w:themeColor="text1"/>
          <w:szCs w:val="24"/>
        </w:rPr>
        <w:t xml:space="preserve">Detalizētu informāciju skatīt </w:t>
      </w:r>
      <w:hyperlink r:id="rId8" w:history="1">
        <w:r w:rsidRPr="00AE524D">
          <w:rPr>
            <w:rStyle w:val="Hyperlink"/>
            <w:rFonts w:cs="Times New Roman"/>
            <w:color w:val="000000" w:themeColor="text1"/>
            <w:szCs w:val="24"/>
          </w:rPr>
          <w:t>ES fondu tīmekļa vietnē</w:t>
        </w:r>
      </w:hyperlink>
      <w:r w:rsidRPr="00AE524D">
        <w:rPr>
          <w:rStyle w:val="FootnoteReference"/>
          <w:color w:val="000000" w:themeColor="text1"/>
          <w:szCs w:val="24"/>
        </w:rPr>
        <w:footnoteReference w:id="7"/>
      </w:r>
      <w:r w:rsidRPr="00E76168">
        <w:rPr>
          <w:rStyle w:val="Hyperlink"/>
          <w:rFonts w:cs="Times New Roman"/>
          <w:color w:val="000000" w:themeColor="text1"/>
          <w:szCs w:val="24"/>
          <w:u w:val="none"/>
        </w:rPr>
        <w:t xml:space="preserve"> un zemāk esošajā grafikā</w:t>
      </w:r>
      <w:r>
        <w:rPr>
          <w:rStyle w:val="Hyperlink"/>
          <w:rFonts w:cs="Times New Roman"/>
          <w:color w:val="000000" w:themeColor="text1"/>
          <w:szCs w:val="24"/>
          <w:u w:val="none"/>
        </w:rPr>
        <w:t>.</w:t>
      </w:r>
    </w:p>
    <w:p w14:paraId="56D3286D" w14:textId="77777777" w:rsidR="008C6B48" w:rsidRDefault="008C6B48">
      <w:pPr>
        <w:rPr>
          <w:rFonts w:eastAsia="Times New Roman" w:cs="Times New Roman"/>
          <w:b/>
          <w:i/>
          <w:color w:val="000000"/>
          <w:sz w:val="22"/>
          <w:szCs w:val="24"/>
        </w:rPr>
      </w:pPr>
      <w:r>
        <w:rPr>
          <w:rFonts w:eastAsia="Times New Roman" w:cs="Times New Roman"/>
          <w:b/>
          <w:i/>
          <w:color w:val="000000"/>
          <w:sz w:val="22"/>
          <w:szCs w:val="24"/>
        </w:rPr>
        <w:br w:type="page"/>
      </w:r>
    </w:p>
    <w:p w14:paraId="6C9ECA1E" w14:textId="6BD14865" w:rsidR="00684ADB" w:rsidRDefault="00684ADB" w:rsidP="00684ADB">
      <w:pPr>
        <w:spacing w:before="120" w:after="120" w:line="276" w:lineRule="auto"/>
        <w:rPr>
          <w:noProof/>
          <w:lang w:eastAsia="lv-LV"/>
        </w:rPr>
      </w:pPr>
      <w:r w:rsidRPr="00A82E78">
        <w:rPr>
          <w:rFonts w:eastAsia="Times New Roman" w:cs="Times New Roman"/>
          <w:b/>
          <w:i/>
          <w:color w:val="000000"/>
          <w:sz w:val="22"/>
          <w:szCs w:val="24"/>
        </w:rPr>
        <w:lastRenderedPageBreak/>
        <w:t xml:space="preserve">Grafiks </w:t>
      </w:r>
      <w:r w:rsidRPr="00AE524D">
        <w:rPr>
          <w:rFonts w:eastAsia="Times New Roman" w:cs="Times New Roman"/>
          <w:b/>
          <w:i/>
          <w:color w:val="000000"/>
          <w:sz w:val="22"/>
          <w:szCs w:val="24"/>
        </w:rPr>
        <w:t>Nr.1</w:t>
      </w:r>
      <w:r w:rsidRPr="00AE524D">
        <w:rPr>
          <w:rFonts w:eastAsia="Times New Roman" w:cs="Times New Roman"/>
          <w:i/>
          <w:color w:val="000000"/>
          <w:sz w:val="22"/>
          <w:szCs w:val="24"/>
        </w:rPr>
        <w:t xml:space="preserve"> “</w:t>
      </w:r>
      <w:r w:rsidRPr="00AE524D">
        <w:rPr>
          <w:rFonts w:eastAsia="Times New Roman" w:cs="Times New Roman"/>
          <w:bCs/>
          <w:i/>
          <w:color w:val="000000"/>
          <w:sz w:val="22"/>
          <w:szCs w:val="24"/>
        </w:rPr>
        <w:t xml:space="preserve">ES fondu kopējie EK veiktie sākotnējie, ikgadējie avansi un starpposma maksājumi dalībvalstīm, % no pieejamā ES fondu </w:t>
      </w:r>
      <w:r w:rsidR="00AE524D" w:rsidRPr="00AE524D">
        <w:rPr>
          <w:rFonts w:eastAsia="Times New Roman" w:cs="Times New Roman"/>
          <w:bCs/>
          <w:i/>
          <w:color w:val="000000"/>
          <w:sz w:val="22"/>
          <w:szCs w:val="24"/>
        </w:rPr>
        <w:t>finansējuma, dati uz 2016.gada 12.septembri</w:t>
      </w:r>
      <w:r w:rsidRPr="00AE524D">
        <w:rPr>
          <w:rFonts w:eastAsia="Times New Roman" w:cs="Times New Roman"/>
          <w:bCs/>
          <w:i/>
          <w:color w:val="000000"/>
          <w:sz w:val="22"/>
          <w:szCs w:val="24"/>
        </w:rPr>
        <w:t>”</w:t>
      </w:r>
    </w:p>
    <w:p w14:paraId="7251AEDD" w14:textId="0A7B4037" w:rsidR="00AE524D" w:rsidRPr="00471A76" w:rsidRDefault="00AE524D" w:rsidP="00AE524D">
      <w:pPr>
        <w:spacing w:before="120" w:after="120" w:line="276" w:lineRule="auto"/>
        <w:jc w:val="center"/>
        <w:rPr>
          <w:color w:val="000000" w:themeColor="text1"/>
          <w:szCs w:val="24"/>
        </w:rPr>
      </w:pPr>
      <w:r>
        <w:rPr>
          <w:noProof/>
          <w:color w:val="000000" w:themeColor="text1"/>
          <w:szCs w:val="24"/>
          <w:lang w:eastAsia="lv-LV"/>
        </w:rPr>
        <w:drawing>
          <wp:inline distT="0" distB="0" distL="0" distR="0" wp14:anchorId="317A3430" wp14:editId="0D19F65E">
            <wp:extent cx="4584700" cy="551497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5514975"/>
                    </a:xfrm>
                    <a:prstGeom prst="rect">
                      <a:avLst/>
                    </a:prstGeom>
                    <a:noFill/>
                  </pic:spPr>
                </pic:pic>
              </a:graphicData>
            </a:graphic>
          </wp:inline>
        </w:drawing>
      </w:r>
    </w:p>
    <w:p w14:paraId="42623C36" w14:textId="6158C668" w:rsidR="00684ADB" w:rsidRPr="008D32FA" w:rsidRDefault="00684ADB" w:rsidP="00684ADB">
      <w:pPr>
        <w:pStyle w:val="ListParagraph"/>
        <w:numPr>
          <w:ilvl w:val="1"/>
          <w:numId w:val="2"/>
        </w:numPr>
        <w:suppressAutoHyphens/>
        <w:spacing w:before="120" w:after="120"/>
        <w:ind w:left="0" w:firstLine="0"/>
        <w:contextualSpacing w:val="0"/>
        <w:jc w:val="both"/>
        <w:rPr>
          <w:color w:val="000000" w:themeColor="text1"/>
        </w:rPr>
      </w:pPr>
      <w:r w:rsidRPr="008D32FA">
        <w:t>Informācija par investīciju ieviešanas laika grafika</w:t>
      </w:r>
      <w:r w:rsidRPr="008D32FA">
        <w:rPr>
          <w:rStyle w:val="FootnoteReference"/>
        </w:rPr>
        <w:footnoteReference w:id="8"/>
      </w:r>
      <w:r w:rsidRPr="008D32FA">
        <w:t xml:space="preserve"> un finanšu progresa izpildes statusu uz 2016.gada 1.</w:t>
      </w:r>
      <w:r w:rsidR="001F303D" w:rsidRPr="008D32FA">
        <w:t>septembri</w:t>
      </w:r>
      <w:r w:rsidRPr="008D32FA">
        <w:t xml:space="preserve"> liecina, ka </w:t>
      </w:r>
      <w:r w:rsidRPr="008D32FA">
        <w:rPr>
          <w:u w:val="single"/>
        </w:rPr>
        <w:t xml:space="preserve">ir </w:t>
      </w:r>
      <w:r w:rsidRPr="008D32FA">
        <w:rPr>
          <w:szCs w:val="24"/>
          <w:u w:val="single"/>
        </w:rPr>
        <w:t>pieaugošs un stabils progress investīciju uzsākšanas gatavībai, kas atspoguļots grafikā Nr.2, vienlaikus ir arī atsevišķi kavējumi</w:t>
      </w:r>
      <w:r w:rsidRPr="008D32FA">
        <w:rPr>
          <w:szCs w:val="24"/>
        </w:rPr>
        <w:t xml:space="preserve">. Detalizēta informācija ir </w:t>
      </w:r>
      <w:r w:rsidRPr="008D32FA">
        <w:t>pieejama šī ziņojuma 1.pielikumā</w:t>
      </w:r>
      <w:r w:rsidRPr="008D32FA">
        <w:rPr>
          <w:szCs w:val="24"/>
        </w:rPr>
        <w:t xml:space="preserve">, kurā informācija </w:t>
      </w:r>
      <w:r w:rsidRPr="008D32FA">
        <w:t>sakārtota loģiskā secībā</w:t>
      </w:r>
      <w:r w:rsidRPr="008D32FA">
        <w:rPr>
          <w:szCs w:val="24"/>
        </w:rPr>
        <w:t xml:space="preserve">, sākot ar 2016.gada </w:t>
      </w:r>
      <w:r w:rsidR="001F303D" w:rsidRPr="008D32FA">
        <w:rPr>
          <w:szCs w:val="24"/>
        </w:rPr>
        <w:t>augustā</w:t>
      </w:r>
      <w:r w:rsidRPr="008D32FA">
        <w:rPr>
          <w:rStyle w:val="FootnoteReference"/>
          <w:szCs w:val="24"/>
        </w:rPr>
        <w:footnoteReference w:id="9"/>
      </w:r>
      <w:r w:rsidRPr="008D32FA">
        <w:rPr>
          <w:szCs w:val="24"/>
        </w:rPr>
        <w:t xml:space="preserve"> apstiprinātajiem MK noteikumiem un turpinot ar kavējumiem (MK noteikumu apstiprināšanai, MK noteikumu izsludināšanai Valsts sekretāru sanāksmē (turpmāk – VSS), kā arī projektu iesniegumu atlases kritēriju iesniegšanai apakškomitejā) un noslēdzot ar specifiskajiem atbalsta mērķiem /pasākumiem, kuriem MK noteikumu apstiprināšanas termiņš vēl nav iestājies. Plašāka kopsavilkuma informācija par aps</w:t>
      </w:r>
      <w:r w:rsidRPr="008D32FA">
        <w:rPr>
          <w:rFonts w:eastAsia="Calibri" w:cs="Times New Roman"/>
          <w:szCs w:val="24"/>
          <w:lang w:eastAsia="ar-SA"/>
        </w:rPr>
        <w:t>tiprinātajiem projektiem un noslēgtajiem līgumiem, kā arī veiktajiem maksājumiem pieejama ES fondu tīmekļa vietnē</w:t>
      </w:r>
      <w:r w:rsidRPr="008D32FA">
        <w:rPr>
          <w:rStyle w:val="FootnoteReference"/>
          <w:rFonts w:eastAsia="Calibri" w:cs="Times New Roman"/>
          <w:szCs w:val="24"/>
          <w:lang w:eastAsia="ar-SA"/>
        </w:rPr>
        <w:footnoteReference w:id="10"/>
      </w:r>
      <w:r w:rsidRPr="008D32FA">
        <w:rPr>
          <w:rFonts w:eastAsia="Calibri" w:cs="Times New Roman"/>
          <w:szCs w:val="24"/>
          <w:lang w:eastAsia="ar-SA"/>
        </w:rPr>
        <w:t xml:space="preserve">. </w:t>
      </w:r>
    </w:p>
    <w:p w14:paraId="4DACB6F0" w14:textId="20340EC1" w:rsidR="00684ADB" w:rsidRPr="00C15A72" w:rsidRDefault="00684ADB" w:rsidP="00684ADB">
      <w:pPr>
        <w:pStyle w:val="ListParagraph"/>
        <w:suppressAutoHyphens/>
        <w:spacing w:before="120" w:after="120" w:line="276" w:lineRule="auto"/>
        <w:ind w:left="0"/>
        <w:contextualSpacing w:val="0"/>
        <w:jc w:val="both"/>
        <w:rPr>
          <w:rFonts w:eastAsia="Times New Roman" w:cs="Times New Roman"/>
          <w:i/>
          <w:color w:val="000000"/>
          <w:sz w:val="22"/>
          <w:szCs w:val="24"/>
        </w:rPr>
      </w:pPr>
      <w:r w:rsidRPr="00430F99">
        <w:rPr>
          <w:rFonts w:eastAsia="Times New Roman" w:cs="Times New Roman"/>
          <w:b/>
          <w:i/>
          <w:color w:val="000000"/>
          <w:sz w:val="22"/>
          <w:szCs w:val="24"/>
        </w:rPr>
        <w:lastRenderedPageBreak/>
        <w:t>Grafiks Nr.2</w:t>
      </w:r>
      <w:r w:rsidRPr="00430F99">
        <w:rPr>
          <w:rFonts w:eastAsia="Times New Roman" w:cs="Times New Roman"/>
          <w:i/>
          <w:color w:val="000000"/>
          <w:sz w:val="22"/>
          <w:szCs w:val="24"/>
        </w:rPr>
        <w:t xml:space="preserve"> “</w:t>
      </w:r>
      <w:r w:rsidRPr="00430F99">
        <w:rPr>
          <w:rFonts w:eastAsia="Times New Roman" w:cs="Times New Roman"/>
          <w:bCs/>
          <w:i/>
          <w:color w:val="000000"/>
          <w:sz w:val="22"/>
          <w:szCs w:val="24"/>
        </w:rPr>
        <w:t>ES fondu investīciju uzsākšanas un ieviešanas statuss līdz 2016.gada 1.</w:t>
      </w:r>
      <w:r w:rsidR="001F303D" w:rsidRPr="00430F99">
        <w:rPr>
          <w:rFonts w:eastAsia="Times New Roman" w:cs="Times New Roman"/>
          <w:bCs/>
          <w:i/>
          <w:color w:val="000000"/>
          <w:sz w:val="22"/>
          <w:szCs w:val="24"/>
        </w:rPr>
        <w:t xml:space="preserve">septembrim </w:t>
      </w:r>
      <w:r w:rsidRPr="00430F99">
        <w:rPr>
          <w:rFonts w:eastAsia="Times New Roman" w:cs="Times New Roman"/>
          <w:bCs/>
          <w:i/>
          <w:color w:val="000000"/>
          <w:sz w:val="22"/>
          <w:szCs w:val="24"/>
        </w:rPr>
        <w:t>milj. euro, % no ES fondu finansējuma, progress pret datiem līdz 2016.gada 1.</w:t>
      </w:r>
      <w:r w:rsidR="001F303D" w:rsidRPr="00430F99">
        <w:rPr>
          <w:rFonts w:eastAsia="Times New Roman" w:cs="Times New Roman"/>
          <w:bCs/>
          <w:i/>
          <w:color w:val="000000"/>
          <w:sz w:val="22"/>
          <w:szCs w:val="24"/>
        </w:rPr>
        <w:t>augustam</w:t>
      </w:r>
      <w:r w:rsidRPr="00430F99">
        <w:rPr>
          <w:rFonts w:eastAsia="Times New Roman" w:cs="Times New Roman"/>
          <w:bCs/>
          <w:i/>
          <w:color w:val="000000"/>
          <w:sz w:val="22"/>
          <w:szCs w:val="24"/>
        </w:rPr>
        <w:t>”</w:t>
      </w:r>
    </w:p>
    <w:p w14:paraId="75F2EE6D" w14:textId="7A40E869" w:rsidR="00684ADB" w:rsidRPr="0004426A" w:rsidRDefault="001F2CE3" w:rsidP="00684ADB">
      <w:pPr>
        <w:pStyle w:val="ListParagraph"/>
        <w:suppressAutoHyphens/>
        <w:spacing w:before="120" w:after="120"/>
        <w:ind w:left="0"/>
        <w:contextualSpacing w:val="0"/>
        <w:jc w:val="both"/>
        <w:rPr>
          <w:rFonts w:cs="Times New Roman"/>
          <w:szCs w:val="24"/>
          <w:highlight w:val="yellow"/>
        </w:rPr>
      </w:pPr>
      <w:r>
        <w:rPr>
          <w:noProof/>
          <w:lang w:eastAsia="lv-LV"/>
        </w:rPr>
        <w:drawing>
          <wp:inline distT="0" distB="0" distL="0" distR="0" wp14:anchorId="04213C08" wp14:editId="54782CA9">
            <wp:extent cx="5939790" cy="2676525"/>
            <wp:effectExtent l="0" t="0" r="381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C58BBA" w14:textId="77777777" w:rsidR="0057093A" w:rsidRDefault="00F31925" w:rsidP="00684ADB">
      <w:pPr>
        <w:pStyle w:val="ListParagraph"/>
        <w:numPr>
          <w:ilvl w:val="1"/>
          <w:numId w:val="2"/>
        </w:numPr>
        <w:suppressAutoHyphens/>
        <w:spacing w:before="120" w:after="120"/>
        <w:ind w:left="0" w:firstLine="0"/>
        <w:contextualSpacing w:val="0"/>
        <w:jc w:val="both"/>
        <w:rPr>
          <w:color w:val="000000" w:themeColor="text1"/>
        </w:rPr>
      </w:pPr>
      <w:r w:rsidRPr="0057093A">
        <w:rPr>
          <w:color w:val="000000" w:themeColor="text1"/>
        </w:rPr>
        <w:t xml:space="preserve">Pozitīvi, ka līdz 2016.gada 1.septembrim ievērojami samazinājusies starpība starp plānotajiem un faktiski apstiprinātajiem MK noteikumiem finanšu izteiksmē. Kavējas MK noteikumu apstiprināšana 150,3 milj. </w:t>
      </w:r>
      <w:r w:rsidRPr="0057093A">
        <w:rPr>
          <w:i/>
          <w:color w:val="000000" w:themeColor="text1"/>
        </w:rPr>
        <w:t>euro</w:t>
      </w:r>
      <w:r w:rsidRPr="0057093A">
        <w:rPr>
          <w:color w:val="000000" w:themeColor="text1"/>
        </w:rPr>
        <w:t xml:space="preserve"> apmērā (detalizētāk informācija </w:t>
      </w:r>
      <w:r w:rsidR="0051077F" w:rsidRPr="0057093A">
        <w:rPr>
          <w:color w:val="000000" w:themeColor="text1"/>
        </w:rPr>
        <w:t xml:space="preserve">šī ziņojuma </w:t>
      </w:r>
      <w:r w:rsidRPr="0057093A">
        <w:rPr>
          <w:color w:val="000000" w:themeColor="text1"/>
        </w:rPr>
        <w:t xml:space="preserve">2.pielikumā). Papildus no septembrī plānotajiem 6 MK noteikumiem, 2 </w:t>
      </w:r>
      <w:r w:rsidR="00A66422" w:rsidRPr="0057093A">
        <w:rPr>
          <w:color w:val="000000" w:themeColor="text1"/>
        </w:rPr>
        <w:t xml:space="preserve">jau </w:t>
      </w:r>
      <w:r w:rsidRPr="0057093A">
        <w:rPr>
          <w:color w:val="000000" w:themeColor="text1"/>
        </w:rPr>
        <w:t>ir apstiprināti 2016.gada 6.septembra MK sēdē.</w:t>
      </w:r>
      <w:r w:rsidR="00684ADB" w:rsidRPr="0057093A">
        <w:rPr>
          <w:rFonts w:cs="Times New Roman"/>
          <w:szCs w:val="24"/>
        </w:rPr>
        <w:t xml:space="preserve"> </w:t>
      </w:r>
    </w:p>
    <w:p w14:paraId="0A00BD6F" w14:textId="52B57292" w:rsidR="00684ADB" w:rsidRPr="0057093A" w:rsidRDefault="00F31925" w:rsidP="00684ADB">
      <w:pPr>
        <w:pStyle w:val="ListParagraph"/>
        <w:numPr>
          <w:ilvl w:val="1"/>
          <w:numId w:val="2"/>
        </w:numPr>
        <w:suppressAutoHyphens/>
        <w:spacing w:before="120" w:after="120"/>
        <w:ind w:left="0" w:firstLine="0"/>
        <w:contextualSpacing w:val="0"/>
        <w:jc w:val="both"/>
        <w:rPr>
          <w:color w:val="000000" w:themeColor="text1"/>
        </w:rPr>
      </w:pPr>
      <w:r w:rsidRPr="0057093A">
        <w:rPr>
          <w:rFonts w:cs="Times New Roman"/>
          <w:szCs w:val="24"/>
        </w:rPr>
        <w:t>S</w:t>
      </w:r>
      <w:r w:rsidR="00684ADB" w:rsidRPr="0057093A">
        <w:rPr>
          <w:rFonts w:cs="Times New Roman"/>
          <w:szCs w:val="24"/>
        </w:rPr>
        <w:t xml:space="preserve">avukārt </w:t>
      </w:r>
      <w:r w:rsidR="00A66422" w:rsidRPr="0057093A">
        <w:rPr>
          <w:rFonts w:cs="Times New Roman"/>
          <w:szCs w:val="24"/>
        </w:rPr>
        <w:t xml:space="preserve">informācija </w:t>
      </w:r>
      <w:r w:rsidR="00684ADB" w:rsidRPr="0057093A">
        <w:rPr>
          <w:rFonts w:cs="Times New Roman"/>
          <w:szCs w:val="24"/>
        </w:rPr>
        <w:t>par MK noteikumiem, kuriem tiek kavēta izsludināša</w:t>
      </w:r>
      <w:r w:rsidR="00C6059D" w:rsidRPr="0057093A">
        <w:rPr>
          <w:rFonts w:cs="Times New Roman"/>
          <w:szCs w:val="24"/>
        </w:rPr>
        <w:t>na VSS</w:t>
      </w:r>
      <w:r w:rsidR="00A66422" w:rsidRPr="0057093A">
        <w:rPr>
          <w:rFonts w:cs="Times New Roman"/>
          <w:szCs w:val="24"/>
        </w:rPr>
        <w:t>,</w:t>
      </w:r>
      <w:r w:rsidR="00C6059D" w:rsidRPr="0057093A">
        <w:rPr>
          <w:rFonts w:cs="Times New Roman"/>
          <w:szCs w:val="24"/>
        </w:rPr>
        <w:t xml:space="preserve"> ir pieejama šī ziņojuma 3</w:t>
      </w:r>
      <w:r w:rsidR="00684ADB" w:rsidRPr="0057093A">
        <w:rPr>
          <w:rFonts w:cs="Times New Roman"/>
          <w:szCs w:val="24"/>
        </w:rPr>
        <w:t xml:space="preserve">.pielikumā. </w:t>
      </w:r>
      <w:r w:rsidR="003232BA">
        <w:rPr>
          <w:noProof/>
          <w:lang w:eastAsia="lv-LV"/>
        </w:rPr>
        <w:t>Informācija par specifiskajiem atbalsta mērķiem</w:t>
      </w:r>
      <w:r w:rsidR="00684ADB" w:rsidRPr="008D32FA">
        <w:rPr>
          <w:noProof/>
          <w:lang w:eastAsia="lv-LV"/>
        </w:rPr>
        <w:t xml:space="preserve">/pasākumiem, kuru īstenošanas MK noteikumu apstiprināšana plānota </w:t>
      </w:r>
      <w:r w:rsidR="002F3DF0" w:rsidRPr="008D32FA">
        <w:rPr>
          <w:noProof/>
          <w:lang w:eastAsia="lv-LV"/>
        </w:rPr>
        <w:t>septembrī</w:t>
      </w:r>
      <w:r w:rsidR="00684ADB" w:rsidRPr="008D32FA">
        <w:rPr>
          <w:noProof/>
          <w:lang w:eastAsia="lv-LV"/>
        </w:rPr>
        <w:t xml:space="preserve">, kā arī to izpildes statuss līdz </w:t>
      </w:r>
      <w:r w:rsidR="00684ADB" w:rsidRPr="00A66422">
        <w:rPr>
          <w:noProof/>
          <w:lang w:eastAsia="lv-LV"/>
        </w:rPr>
        <w:t>2016.gada 1</w:t>
      </w:r>
      <w:r w:rsidR="0014737B" w:rsidRPr="00A66422">
        <w:rPr>
          <w:noProof/>
          <w:lang w:eastAsia="lv-LV"/>
        </w:rPr>
        <w:t>9</w:t>
      </w:r>
      <w:r w:rsidR="00684ADB" w:rsidRPr="00A66422">
        <w:rPr>
          <w:noProof/>
          <w:lang w:eastAsia="lv-LV"/>
        </w:rPr>
        <w:t>.</w:t>
      </w:r>
      <w:r w:rsidR="002F3DF0" w:rsidRPr="005E7B9C">
        <w:rPr>
          <w:noProof/>
          <w:lang w:eastAsia="lv-LV"/>
        </w:rPr>
        <w:t>septembrim</w:t>
      </w:r>
      <w:r w:rsidRPr="0057093A">
        <w:rPr>
          <w:i/>
          <w:noProof/>
          <w:lang w:eastAsia="lv-LV"/>
        </w:rPr>
        <w:t xml:space="preserve"> (prognozējams, ka septembra dati līdz mēneša beigām paliks nemainīgi, progress plānots IV cet</w:t>
      </w:r>
      <w:r w:rsidR="007540CF" w:rsidRPr="0057093A">
        <w:rPr>
          <w:i/>
          <w:noProof/>
          <w:lang w:eastAsia="lv-LV"/>
        </w:rPr>
        <w:t>urksnī</w:t>
      </w:r>
      <w:r w:rsidRPr="0057093A">
        <w:rPr>
          <w:i/>
          <w:noProof/>
          <w:lang w:eastAsia="lv-LV"/>
        </w:rPr>
        <w:t>)</w:t>
      </w:r>
      <w:r w:rsidR="00C6059D">
        <w:rPr>
          <w:noProof/>
          <w:lang w:eastAsia="lv-LV"/>
        </w:rPr>
        <w:t xml:space="preserve"> ir apkopots šī ziņojuma 4</w:t>
      </w:r>
      <w:r w:rsidR="00684ADB" w:rsidRPr="008D32FA">
        <w:rPr>
          <w:noProof/>
          <w:lang w:eastAsia="lv-LV"/>
        </w:rPr>
        <w:t xml:space="preserve">.pielikumā. </w:t>
      </w:r>
      <w:r w:rsidR="00684ADB" w:rsidRPr="0057093A">
        <w:rPr>
          <w:rFonts w:cs="Times New Roman"/>
          <w:szCs w:val="24"/>
        </w:rPr>
        <w:t>Detalizētāk MK noteikumu ikmēneša izpildi skatīt grafikā Nr.3.</w:t>
      </w:r>
    </w:p>
    <w:p w14:paraId="5970107B" w14:textId="51C6E63C" w:rsidR="00684ADB" w:rsidRPr="009D277D" w:rsidRDefault="00684ADB" w:rsidP="00684ADB">
      <w:pPr>
        <w:rPr>
          <w:rFonts w:cs="Times New Roman"/>
          <w:b/>
          <w:i/>
          <w:sz w:val="22"/>
        </w:rPr>
      </w:pPr>
      <w:r w:rsidRPr="008D32FA">
        <w:rPr>
          <w:rFonts w:cs="Times New Roman"/>
          <w:b/>
          <w:i/>
          <w:sz w:val="22"/>
        </w:rPr>
        <w:t>Grafiks Nr.3</w:t>
      </w:r>
      <w:r w:rsidRPr="008D32FA">
        <w:rPr>
          <w:rFonts w:cs="Times New Roman"/>
          <w:i/>
          <w:sz w:val="22"/>
        </w:rPr>
        <w:t xml:space="preserve"> “</w:t>
      </w:r>
      <w:r w:rsidRPr="008D32FA">
        <w:rPr>
          <w:rFonts w:eastAsia="Times New Roman" w:cs="Times New Roman"/>
          <w:bCs/>
          <w:i/>
          <w:color w:val="000000"/>
          <w:sz w:val="22"/>
        </w:rPr>
        <w:t xml:space="preserve">ES fondu investīciju uzsākšanas gatavība – MK noteikumi 2016.gads.(faktiskie dati līdz 2016.gada </w:t>
      </w:r>
      <w:r w:rsidR="00B63A45">
        <w:rPr>
          <w:rFonts w:eastAsia="Times New Roman" w:cs="Times New Roman"/>
          <w:bCs/>
          <w:i/>
          <w:color w:val="000000"/>
          <w:sz w:val="22"/>
        </w:rPr>
        <w:t>6</w:t>
      </w:r>
      <w:r w:rsidR="00035523" w:rsidRPr="008D32FA">
        <w:rPr>
          <w:rFonts w:eastAsia="Times New Roman" w:cs="Times New Roman"/>
          <w:bCs/>
          <w:i/>
          <w:color w:val="000000"/>
          <w:sz w:val="22"/>
        </w:rPr>
        <w:t>.septembrim</w:t>
      </w:r>
      <w:r w:rsidRPr="008D32FA">
        <w:rPr>
          <w:rFonts w:eastAsia="Times New Roman" w:cs="Times New Roman"/>
          <w:bCs/>
          <w:i/>
          <w:color w:val="000000"/>
          <w:sz w:val="22"/>
        </w:rPr>
        <w:t>. milj. euro)”</w:t>
      </w:r>
      <w:r w:rsidRPr="007B786E">
        <w:rPr>
          <w:rStyle w:val="FootnoteReference"/>
          <w:rFonts w:eastAsia="Times New Roman" w:cs="Times New Roman"/>
          <w:bCs/>
          <w:i/>
          <w:color w:val="000000"/>
          <w:sz w:val="22"/>
        </w:rPr>
        <w:t xml:space="preserve"> </w:t>
      </w:r>
    </w:p>
    <w:p w14:paraId="3B3531A0" w14:textId="76E4375A" w:rsidR="00684ADB" w:rsidRDefault="00B63A45" w:rsidP="00684ADB">
      <w:pPr>
        <w:suppressAutoHyphens/>
        <w:spacing w:before="120" w:after="120" w:line="276" w:lineRule="auto"/>
        <w:jc w:val="both"/>
        <w:rPr>
          <w:rFonts w:eastAsia="Times New Roman" w:cs="Times New Roman"/>
          <w:b/>
          <w:bCs/>
          <w:i/>
          <w:color w:val="000000"/>
          <w:szCs w:val="24"/>
          <w:highlight w:val="yellow"/>
        </w:rPr>
      </w:pPr>
      <w:r w:rsidRPr="00B63A45">
        <w:rPr>
          <w:rFonts w:eastAsia="Times New Roman" w:cs="Times New Roman"/>
          <w:b/>
          <w:bCs/>
          <w:i/>
          <w:noProof/>
          <w:color w:val="000000"/>
          <w:szCs w:val="24"/>
          <w:highlight w:val="yellow"/>
          <w:lang w:eastAsia="lv-LV"/>
        </w:rPr>
        <w:drawing>
          <wp:inline distT="0" distB="0" distL="0" distR="0" wp14:anchorId="2C2C64DE" wp14:editId="7344DE90">
            <wp:extent cx="5939790" cy="337185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BD9308" w14:textId="0503CF01" w:rsidR="00684ADB" w:rsidRPr="00CD142E" w:rsidRDefault="00CD142E" w:rsidP="00684ADB">
      <w:pPr>
        <w:pStyle w:val="ListParagraph"/>
        <w:numPr>
          <w:ilvl w:val="1"/>
          <w:numId w:val="2"/>
        </w:numPr>
        <w:suppressAutoHyphens/>
        <w:spacing w:before="120" w:after="120"/>
        <w:ind w:left="0" w:firstLine="0"/>
        <w:contextualSpacing w:val="0"/>
        <w:jc w:val="both"/>
        <w:rPr>
          <w:b/>
          <w:color w:val="000000" w:themeColor="text1"/>
        </w:rPr>
      </w:pPr>
      <w:r w:rsidRPr="00CD142E">
        <w:rPr>
          <w:b/>
          <w:color w:val="000000" w:themeColor="text1"/>
        </w:rPr>
        <w:lastRenderedPageBreak/>
        <w:t xml:space="preserve">Ņemot vērā </w:t>
      </w:r>
      <w:r w:rsidR="00EB276A">
        <w:rPr>
          <w:b/>
          <w:color w:val="000000" w:themeColor="text1"/>
        </w:rPr>
        <w:t>atsevišķus kavējumus</w:t>
      </w:r>
      <w:r w:rsidRPr="00CD142E">
        <w:rPr>
          <w:b/>
          <w:color w:val="000000" w:themeColor="text1"/>
        </w:rPr>
        <w:t xml:space="preserve">, joprojām </w:t>
      </w:r>
      <w:r w:rsidRPr="00CD142E">
        <w:rPr>
          <w:b/>
          <w:bCs/>
          <w:color w:val="000000" w:themeColor="text1"/>
        </w:rPr>
        <w:t xml:space="preserve">iespējams sasniegt uzstādīto mērķi </w:t>
      </w:r>
      <w:r w:rsidR="00A66422">
        <w:rPr>
          <w:b/>
          <w:bCs/>
          <w:color w:val="000000" w:themeColor="text1"/>
        </w:rPr>
        <w:t>–</w:t>
      </w:r>
      <w:r w:rsidRPr="00CD142E">
        <w:rPr>
          <w:b/>
          <w:bCs/>
          <w:color w:val="000000" w:themeColor="text1"/>
        </w:rPr>
        <w:t xml:space="preserve"> līdz 2016.gada beigām </w:t>
      </w:r>
      <w:r w:rsidRPr="00CD142E">
        <w:rPr>
          <w:b/>
          <w:color w:val="000000" w:themeColor="text1"/>
        </w:rPr>
        <w:t>valdībā apstiprināt investīciju noteikumus</w:t>
      </w:r>
      <w:r w:rsidRPr="00CD142E">
        <w:rPr>
          <w:b/>
          <w:bCs/>
          <w:color w:val="000000" w:themeColor="text1"/>
        </w:rPr>
        <w:t xml:space="preserve"> </w:t>
      </w:r>
      <w:r>
        <w:rPr>
          <w:b/>
          <w:bCs/>
          <w:color w:val="000000" w:themeColor="text1"/>
        </w:rPr>
        <w:t>vismaz 90% no kopējā</w:t>
      </w:r>
      <w:r w:rsidRPr="00CD142E">
        <w:rPr>
          <w:b/>
          <w:bCs/>
          <w:color w:val="000000" w:themeColor="text1"/>
        </w:rPr>
        <w:t xml:space="preserve"> ES </w:t>
      </w:r>
      <w:r>
        <w:rPr>
          <w:b/>
          <w:bCs/>
          <w:color w:val="000000" w:themeColor="text1"/>
        </w:rPr>
        <w:t>fondu finansējuma.</w:t>
      </w:r>
    </w:p>
    <w:p w14:paraId="3DBE4D75" w14:textId="3D52D298" w:rsidR="00684ADB" w:rsidRPr="008D32FA" w:rsidRDefault="00684ADB" w:rsidP="00684ADB">
      <w:pPr>
        <w:pStyle w:val="ListParagraph"/>
        <w:numPr>
          <w:ilvl w:val="1"/>
          <w:numId w:val="2"/>
        </w:numPr>
        <w:suppressAutoHyphens/>
        <w:spacing w:before="120" w:after="120"/>
        <w:ind w:left="0" w:firstLine="0"/>
        <w:contextualSpacing w:val="0"/>
        <w:jc w:val="both"/>
        <w:rPr>
          <w:color w:val="000000" w:themeColor="text1"/>
        </w:rPr>
      </w:pPr>
      <w:r w:rsidRPr="008D32FA">
        <w:rPr>
          <w:rFonts w:cs="Times New Roman"/>
          <w:szCs w:val="24"/>
        </w:rPr>
        <w:t>Projektu iesniegumu atlašu izsludināšanas progress kopumā vērtējams labi</w:t>
      </w:r>
      <w:r w:rsidR="00253006">
        <w:rPr>
          <w:rFonts w:cs="Times New Roman"/>
          <w:szCs w:val="24"/>
        </w:rPr>
        <w:t>. A</w:t>
      </w:r>
      <w:r w:rsidRPr="008D32FA">
        <w:rPr>
          <w:rFonts w:cs="Times New Roman"/>
          <w:szCs w:val="24"/>
        </w:rPr>
        <w:t xml:space="preserve">tsevišķos gadījumos </w:t>
      </w:r>
      <w:r w:rsidR="00253006">
        <w:rPr>
          <w:rFonts w:cs="Times New Roman"/>
          <w:szCs w:val="24"/>
        </w:rPr>
        <w:t xml:space="preserve">projektu konkursu (atlašu) uzsākšana ir atkarīga no </w:t>
      </w:r>
      <w:r w:rsidRPr="008D32FA">
        <w:rPr>
          <w:rFonts w:cs="Times New Roman"/>
          <w:szCs w:val="24"/>
        </w:rPr>
        <w:t>specifisko priekšnosacījumu izpild</w:t>
      </w:r>
      <w:r w:rsidR="00253006">
        <w:rPr>
          <w:rFonts w:cs="Times New Roman"/>
          <w:szCs w:val="24"/>
        </w:rPr>
        <w:t>es</w:t>
      </w:r>
      <w:r w:rsidRPr="008D32FA">
        <w:rPr>
          <w:rFonts w:cs="Times New Roman"/>
          <w:szCs w:val="24"/>
        </w:rPr>
        <w:t xml:space="preserve"> (piemēram, projektu ideju </w:t>
      </w:r>
      <w:proofErr w:type="spellStart"/>
      <w:r w:rsidRPr="008D32FA">
        <w:rPr>
          <w:rFonts w:cs="Times New Roman"/>
          <w:szCs w:val="24"/>
        </w:rPr>
        <w:t>priekšatlase</w:t>
      </w:r>
      <w:proofErr w:type="spellEnd"/>
      <w:r w:rsidRPr="008D32FA">
        <w:rPr>
          <w:rFonts w:cs="Times New Roman"/>
          <w:szCs w:val="24"/>
        </w:rPr>
        <w:t>)</w:t>
      </w:r>
      <w:r w:rsidRPr="008D32FA">
        <w:rPr>
          <w:rStyle w:val="FootnoteReference"/>
          <w:rFonts w:cs="Times New Roman"/>
          <w:szCs w:val="24"/>
        </w:rPr>
        <w:footnoteReference w:id="11"/>
      </w:r>
      <w:r w:rsidRPr="008D32FA">
        <w:rPr>
          <w:rFonts w:cs="Times New Roman"/>
          <w:szCs w:val="24"/>
        </w:rPr>
        <w:t>.</w:t>
      </w:r>
      <w:r w:rsidR="00AA07C3" w:rsidRPr="00AA07C3">
        <w:rPr>
          <w:rFonts w:eastAsia="Calibri" w:cs="Times New Roman"/>
          <w:szCs w:val="24"/>
          <w:lang w:eastAsia="ar-SA"/>
        </w:rPr>
        <w:t xml:space="preserve"> </w:t>
      </w:r>
      <w:r w:rsidR="00AA07C3" w:rsidRPr="008D32FA">
        <w:rPr>
          <w:rFonts w:eastAsia="Calibri" w:cs="Times New Roman"/>
          <w:szCs w:val="24"/>
          <w:lang w:eastAsia="ar-SA"/>
        </w:rPr>
        <w:t>Savukārt, a</w:t>
      </w:r>
      <w:r w:rsidR="00AA07C3" w:rsidRPr="008D32FA">
        <w:rPr>
          <w:rFonts w:eastAsia="Times New Roman" w:cs="Times New Roman"/>
          <w:color w:val="000000"/>
          <w:szCs w:val="24"/>
        </w:rPr>
        <w:t xml:space="preserve">r </w:t>
      </w:r>
      <w:r w:rsidR="00101539">
        <w:rPr>
          <w:rFonts w:eastAsia="Times New Roman" w:cs="Times New Roman"/>
          <w:color w:val="000000"/>
          <w:szCs w:val="24"/>
        </w:rPr>
        <w:t xml:space="preserve">visām </w:t>
      </w:r>
      <w:r w:rsidR="00AA07C3" w:rsidRPr="008D32FA">
        <w:rPr>
          <w:rFonts w:eastAsia="Times New Roman" w:cs="Times New Roman"/>
          <w:color w:val="000000"/>
          <w:szCs w:val="24"/>
        </w:rPr>
        <w:t>līdz šim uzsāktajām projektu iesniegumu atlasēm var iepazīties Centrālās finanšu un līgumu aģentūras tīmekļa vietnē</w:t>
      </w:r>
      <w:r w:rsidR="00AA07C3" w:rsidRPr="008D32FA">
        <w:rPr>
          <w:rStyle w:val="FootnoteReference"/>
          <w:rFonts w:eastAsia="Times New Roman" w:cs="Times New Roman"/>
          <w:color w:val="000000"/>
          <w:szCs w:val="24"/>
        </w:rPr>
        <w:footnoteReference w:id="12"/>
      </w:r>
      <w:r w:rsidR="00AA07C3" w:rsidRPr="008D32FA">
        <w:rPr>
          <w:rFonts w:eastAsia="Times New Roman" w:cs="Times New Roman"/>
          <w:color w:val="000000"/>
          <w:szCs w:val="24"/>
        </w:rPr>
        <w:t>.</w:t>
      </w:r>
    </w:p>
    <w:p w14:paraId="63C529B6" w14:textId="4937F82F" w:rsidR="00684ADB" w:rsidRPr="008D32FA" w:rsidRDefault="000C2AA0" w:rsidP="00684ADB">
      <w:pPr>
        <w:pStyle w:val="ListParagraph"/>
        <w:numPr>
          <w:ilvl w:val="1"/>
          <w:numId w:val="2"/>
        </w:numPr>
        <w:suppressAutoHyphens/>
        <w:spacing w:before="120" w:after="120"/>
        <w:ind w:left="0" w:firstLine="0"/>
        <w:contextualSpacing w:val="0"/>
        <w:jc w:val="both"/>
        <w:rPr>
          <w:b/>
          <w:color w:val="000000" w:themeColor="text1"/>
        </w:rPr>
      </w:pPr>
      <w:r>
        <w:rPr>
          <w:rFonts w:cs="Times New Roman"/>
          <w:b/>
          <w:szCs w:val="24"/>
        </w:rPr>
        <w:t xml:space="preserve">Būtiskākie aktuālie </w:t>
      </w:r>
      <w:r w:rsidR="00684ADB" w:rsidRPr="008D32FA">
        <w:rPr>
          <w:rFonts w:cs="Times New Roman"/>
          <w:b/>
          <w:szCs w:val="24"/>
        </w:rPr>
        <w:t>riski</w:t>
      </w:r>
      <w:r>
        <w:rPr>
          <w:rFonts w:cs="Times New Roman"/>
          <w:b/>
          <w:szCs w:val="24"/>
        </w:rPr>
        <w:t xml:space="preserve"> ar lielāko finanšu ietekmi</w:t>
      </w:r>
      <w:r w:rsidR="00684ADB" w:rsidRPr="008D32FA">
        <w:rPr>
          <w:rFonts w:cs="Times New Roman"/>
          <w:b/>
          <w:szCs w:val="24"/>
        </w:rPr>
        <w:t>:</w:t>
      </w:r>
    </w:p>
    <w:p w14:paraId="5A91EAF2" w14:textId="1CE2727C" w:rsidR="00252B85" w:rsidRPr="0027168C" w:rsidRDefault="00684ADB" w:rsidP="0027168C">
      <w:pPr>
        <w:pStyle w:val="ListParagraph"/>
        <w:numPr>
          <w:ilvl w:val="0"/>
          <w:numId w:val="11"/>
        </w:numPr>
        <w:suppressAutoHyphens/>
        <w:spacing w:before="120" w:after="120"/>
        <w:contextualSpacing w:val="0"/>
        <w:jc w:val="both"/>
        <w:rPr>
          <w:rFonts w:cs="Times New Roman"/>
          <w:szCs w:val="24"/>
        </w:rPr>
      </w:pPr>
      <w:r w:rsidRPr="001D31EB">
        <w:rPr>
          <w:rFonts w:cs="Times New Roman"/>
          <w:b/>
          <w:bCs/>
          <w:szCs w:val="24"/>
        </w:rPr>
        <w:t xml:space="preserve">Veselības infrastruktūra </w:t>
      </w:r>
      <w:r w:rsidRPr="001D31EB">
        <w:rPr>
          <w:rFonts w:cs="Times New Roman"/>
          <w:szCs w:val="24"/>
        </w:rPr>
        <w:t>(</w:t>
      </w:r>
      <w:r w:rsidRPr="001D31EB">
        <w:rPr>
          <w:rFonts w:cs="Times New Roman"/>
          <w:b/>
          <w:szCs w:val="24"/>
        </w:rPr>
        <w:t xml:space="preserve">152 milj. </w:t>
      </w:r>
      <w:r w:rsidRPr="001D31EB">
        <w:rPr>
          <w:rFonts w:cs="Times New Roman"/>
          <w:b/>
          <w:i/>
          <w:iCs/>
          <w:szCs w:val="24"/>
        </w:rPr>
        <w:t>euro</w:t>
      </w:r>
      <w:r w:rsidRPr="001D31EB">
        <w:rPr>
          <w:rFonts w:cs="Times New Roman"/>
          <w:szCs w:val="24"/>
        </w:rPr>
        <w:t>,</w:t>
      </w:r>
      <w:r w:rsidRPr="001D31EB">
        <w:rPr>
          <w:rFonts w:eastAsia="Times New Roman"/>
          <w:i/>
          <w:szCs w:val="24"/>
          <w:lang w:eastAsia="lv-LV"/>
        </w:rPr>
        <w:t xml:space="preserve"> </w:t>
      </w:r>
      <w:r w:rsidRPr="001D31EB">
        <w:rPr>
          <w:rFonts w:eastAsia="Times New Roman"/>
          <w:szCs w:val="24"/>
          <w:lang w:eastAsia="lv-LV"/>
        </w:rPr>
        <w:t>Eiropas Reģionālās attīstības fonds (turpmāk – ERAF)</w:t>
      </w:r>
      <w:r w:rsidRPr="001D31EB">
        <w:rPr>
          <w:rFonts w:cs="Times New Roman"/>
          <w:szCs w:val="24"/>
        </w:rPr>
        <w:t xml:space="preserve">) </w:t>
      </w:r>
      <w:r w:rsidR="00F465A3">
        <w:rPr>
          <w:rFonts w:cs="Times New Roman"/>
          <w:szCs w:val="24"/>
        </w:rPr>
        <w:t xml:space="preserve">- </w:t>
      </w:r>
      <w:r w:rsidR="0036722E" w:rsidRPr="0027168C">
        <w:rPr>
          <w:rFonts w:cs="Times New Roman"/>
          <w:szCs w:val="24"/>
        </w:rPr>
        <w:t xml:space="preserve">kā ziņots iepriekš, saistībā ar </w:t>
      </w:r>
      <w:r w:rsidR="00252B85" w:rsidRPr="0027168C">
        <w:rPr>
          <w:rFonts w:cs="Times New Roman"/>
          <w:szCs w:val="24"/>
        </w:rPr>
        <w:t>kavē</w:t>
      </w:r>
      <w:r w:rsidR="0036722E" w:rsidRPr="0027168C">
        <w:rPr>
          <w:rFonts w:cs="Times New Roman"/>
          <w:szCs w:val="24"/>
        </w:rPr>
        <w:t>jumiem saņemt</w:t>
      </w:r>
      <w:r w:rsidR="00252B85" w:rsidRPr="0027168C">
        <w:rPr>
          <w:rFonts w:cs="Times New Roman"/>
          <w:szCs w:val="24"/>
        </w:rPr>
        <w:t xml:space="preserve"> Pasaules Bankas (</w:t>
      </w:r>
      <w:r w:rsidR="00A66422" w:rsidRPr="0027168C">
        <w:rPr>
          <w:rFonts w:cs="Times New Roman"/>
          <w:szCs w:val="24"/>
        </w:rPr>
        <w:t xml:space="preserve">turpmāk – </w:t>
      </w:r>
      <w:r w:rsidR="00252B85" w:rsidRPr="0027168C">
        <w:rPr>
          <w:rFonts w:cs="Times New Roman"/>
          <w:szCs w:val="24"/>
        </w:rPr>
        <w:t>PB) pētījum</w:t>
      </w:r>
      <w:r w:rsidR="0036722E" w:rsidRPr="0027168C">
        <w:rPr>
          <w:rFonts w:cs="Times New Roman"/>
          <w:szCs w:val="24"/>
        </w:rPr>
        <w:t>u</w:t>
      </w:r>
      <w:r w:rsidR="00252B85" w:rsidRPr="0027168C">
        <w:rPr>
          <w:rFonts w:cs="Times New Roman"/>
          <w:szCs w:val="24"/>
        </w:rPr>
        <w:t xml:space="preserve">, </w:t>
      </w:r>
      <w:r w:rsidR="0036722E" w:rsidRPr="0027168C">
        <w:rPr>
          <w:rFonts w:cs="Times New Roman"/>
          <w:szCs w:val="24"/>
        </w:rPr>
        <w:t xml:space="preserve">ir nobīdes gan </w:t>
      </w:r>
      <w:r w:rsidR="00252B85" w:rsidRPr="0027168C">
        <w:rPr>
          <w:rFonts w:cs="Times New Roman"/>
          <w:szCs w:val="24"/>
        </w:rPr>
        <w:t>tālāk</w:t>
      </w:r>
      <w:r w:rsidR="0036722E" w:rsidRPr="0027168C">
        <w:rPr>
          <w:rFonts w:cs="Times New Roman"/>
          <w:szCs w:val="24"/>
        </w:rPr>
        <w:t>u</w:t>
      </w:r>
      <w:r w:rsidR="00252B85" w:rsidRPr="0027168C">
        <w:rPr>
          <w:rFonts w:cs="Times New Roman"/>
          <w:szCs w:val="24"/>
        </w:rPr>
        <w:t xml:space="preserve"> </w:t>
      </w:r>
      <w:r w:rsidR="0036722E" w:rsidRPr="0027168C">
        <w:rPr>
          <w:rFonts w:cs="Times New Roman"/>
          <w:szCs w:val="24"/>
        </w:rPr>
        <w:t xml:space="preserve">ES fondu </w:t>
      </w:r>
      <w:r w:rsidR="00252B85" w:rsidRPr="0027168C">
        <w:rPr>
          <w:rFonts w:cs="Times New Roman"/>
          <w:szCs w:val="24"/>
        </w:rPr>
        <w:t>investīciju uzsākšan</w:t>
      </w:r>
      <w:r w:rsidR="0036722E" w:rsidRPr="0027168C">
        <w:rPr>
          <w:rFonts w:cs="Times New Roman"/>
          <w:szCs w:val="24"/>
        </w:rPr>
        <w:t>ā</w:t>
      </w:r>
      <w:r w:rsidR="00252B85" w:rsidRPr="0027168C">
        <w:rPr>
          <w:rFonts w:cs="Times New Roman"/>
          <w:szCs w:val="24"/>
        </w:rPr>
        <w:t xml:space="preserve"> veselības nozarē</w:t>
      </w:r>
      <w:r w:rsidR="0036722E" w:rsidRPr="0027168C">
        <w:rPr>
          <w:rFonts w:cs="Times New Roman"/>
          <w:szCs w:val="24"/>
        </w:rPr>
        <w:t>, gan ietekme uz darbības programmā</w:t>
      </w:r>
      <w:r w:rsidR="0027168C">
        <w:rPr>
          <w:rFonts w:cs="Times New Roman"/>
          <w:szCs w:val="24"/>
        </w:rPr>
        <w:t xml:space="preserve"> </w:t>
      </w:r>
      <w:r w:rsidR="0027168C" w:rsidRPr="0027168C">
        <w:rPr>
          <w:rFonts w:cs="Times New Roman"/>
          <w:szCs w:val="24"/>
        </w:rPr>
        <w:t>“Izaugsme un nodarbinātība”</w:t>
      </w:r>
      <w:r w:rsidR="0036722E" w:rsidRPr="0027168C">
        <w:rPr>
          <w:rFonts w:cs="Times New Roman"/>
          <w:szCs w:val="24"/>
        </w:rPr>
        <w:t xml:space="preserve"> noteikto sasniedzamo finan</w:t>
      </w:r>
      <w:r w:rsidR="000A5C17">
        <w:rPr>
          <w:rFonts w:cs="Times New Roman"/>
          <w:szCs w:val="24"/>
        </w:rPr>
        <w:t>šu mērķi līdz 2018.gada beigām.</w:t>
      </w:r>
      <w:r w:rsidR="00252B85" w:rsidRPr="0027168C">
        <w:rPr>
          <w:rFonts w:cs="Times New Roman"/>
          <w:szCs w:val="24"/>
        </w:rPr>
        <w:t xml:space="preserve"> </w:t>
      </w:r>
      <w:r w:rsidR="00080827" w:rsidRPr="0027168C">
        <w:rPr>
          <w:rFonts w:cs="Times New Roman"/>
          <w:szCs w:val="24"/>
        </w:rPr>
        <w:t>Lai nodrošinātu iespējami ātrāko veidu uzsākt investīcijas, Veselībai min</w:t>
      </w:r>
      <w:r w:rsidR="00456F50" w:rsidRPr="0027168C">
        <w:rPr>
          <w:rFonts w:cs="Times New Roman"/>
          <w:szCs w:val="24"/>
        </w:rPr>
        <w:t>i</w:t>
      </w:r>
      <w:r w:rsidR="00080827" w:rsidRPr="0027168C">
        <w:rPr>
          <w:rFonts w:cs="Times New Roman"/>
          <w:szCs w:val="24"/>
        </w:rPr>
        <w:t>strijai jāizstrādā nepieciešamie nacionālie</w:t>
      </w:r>
      <w:r w:rsidR="00886DD2" w:rsidRPr="0027168C">
        <w:rPr>
          <w:rFonts w:cs="Times New Roman"/>
          <w:szCs w:val="24"/>
        </w:rPr>
        <w:t xml:space="preserve"> politikas</w:t>
      </w:r>
      <w:r w:rsidR="00080827" w:rsidRPr="0027168C">
        <w:rPr>
          <w:rFonts w:cs="Times New Roman"/>
          <w:szCs w:val="24"/>
        </w:rPr>
        <w:t xml:space="preserve"> plānošanas dokumenti</w:t>
      </w:r>
      <w:r w:rsidR="00456F50" w:rsidRPr="0027168C">
        <w:rPr>
          <w:rFonts w:cs="Times New Roman"/>
          <w:szCs w:val="24"/>
        </w:rPr>
        <w:t>, kā arī līdz</w:t>
      </w:r>
      <w:r w:rsidR="00080827" w:rsidRPr="0027168C">
        <w:rPr>
          <w:rFonts w:cs="Times New Roman"/>
          <w:szCs w:val="24"/>
        </w:rPr>
        <w:t xml:space="preserve"> </w:t>
      </w:r>
      <w:r w:rsidR="00456F50" w:rsidRPr="0027168C">
        <w:rPr>
          <w:rFonts w:cs="Times New Roman"/>
          <w:szCs w:val="24"/>
        </w:rPr>
        <w:t xml:space="preserve">2016.gada beigām </w:t>
      </w:r>
      <w:r w:rsidR="00080827" w:rsidRPr="0027168C">
        <w:rPr>
          <w:rFonts w:cs="Times New Roman"/>
          <w:szCs w:val="24"/>
        </w:rPr>
        <w:t>saistošie MK noteikumi. Tāpat paredzēts iesniegt EK attiecīgus Veselības min</w:t>
      </w:r>
      <w:r w:rsidR="003540F6" w:rsidRPr="0027168C">
        <w:rPr>
          <w:rFonts w:cs="Times New Roman"/>
          <w:szCs w:val="24"/>
        </w:rPr>
        <w:t>i</w:t>
      </w:r>
      <w:r w:rsidR="00080827" w:rsidRPr="0027168C">
        <w:rPr>
          <w:rFonts w:cs="Times New Roman"/>
          <w:szCs w:val="24"/>
        </w:rPr>
        <w:t>strijas pri</w:t>
      </w:r>
      <w:r w:rsidR="003540F6" w:rsidRPr="0027168C">
        <w:rPr>
          <w:rFonts w:cs="Times New Roman"/>
          <w:szCs w:val="24"/>
        </w:rPr>
        <w:t>e</w:t>
      </w:r>
      <w:r w:rsidR="00080827" w:rsidRPr="0027168C">
        <w:rPr>
          <w:rFonts w:cs="Times New Roman"/>
          <w:szCs w:val="24"/>
        </w:rPr>
        <w:t xml:space="preserve">kšlikumus </w:t>
      </w:r>
      <w:r w:rsidR="00252B85" w:rsidRPr="0027168C">
        <w:rPr>
          <w:rFonts w:cs="Times New Roman"/>
          <w:szCs w:val="24"/>
        </w:rPr>
        <w:t>grozījum</w:t>
      </w:r>
      <w:r w:rsidR="00886DD2" w:rsidRPr="0027168C">
        <w:rPr>
          <w:rFonts w:cs="Times New Roman"/>
          <w:szCs w:val="24"/>
        </w:rPr>
        <w:t>iem</w:t>
      </w:r>
      <w:r w:rsidR="00252B85" w:rsidRPr="0027168C">
        <w:rPr>
          <w:rFonts w:cs="Times New Roman"/>
          <w:szCs w:val="24"/>
        </w:rPr>
        <w:t xml:space="preserve"> </w:t>
      </w:r>
      <w:r w:rsidR="0051077F" w:rsidRPr="0027168C">
        <w:rPr>
          <w:rFonts w:cs="Times New Roman"/>
          <w:szCs w:val="24"/>
        </w:rPr>
        <w:t>darbības programmā “Izaugsme un nodarbinātība</w:t>
      </w:r>
      <w:r w:rsidR="00886DD2" w:rsidRPr="0027168C">
        <w:rPr>
          <w:rFonts w:cs="Times New Roman"/>
          <w:szCs w:val="24"/>
        </w:rPr>
        <w:t>”</w:t>
      </w:r>
      <w:r w:rsidR="00080827" w:rsidRPr="0027168C">
        <w:rPr>
          <w:rFonts w:cs="Times New Roman"/>
          <w:szCs w:val="24"/>
        </w:rPr>
        <w:t>, lai atbilstoši reāl</w:t>
      </w:r>
      <w:r w:rsidR="00886DD2" w:rsidRPr="0027168C">
        <w:rPr>
          <w:rFonts w:cs="Times New Roman"/>
          <w:szCs w:val="24"/>
        </w:rPr>
        <w:t>ajām</w:t>
      </w:r>
      <w:r w:rsidR="00080827" w:rsidRPr="0027168C">
        <w:rPr>
          <w:rFonts w:cs="Times New Roman"/>
          <w:szCs w:val="24"/>
        </w:rPr>
        <w:t xml:space="preserve"> iespēj</w:t>
      </w:r>
      <w:r w:rsidR="00886DD2" w:rsidRPr="0027168C">
        <w:rPr>
          <w:rFonts w:cs="Times New Roman"/>
          <w:szCs w:val="24"/>
        </w:rPr>
        <w:t>ā</w:t>
      </w:r>
      <w:r w:rsidR="00080827" w:rsidRPr="0027168C">
        <w:rPr>
          <w:rFonts w:cs="Times New Roman"/>
          <w:szCs w:val="24"/>
        </w:rPr>
        <w:t>m samazinātu gan finanšu mērķi, gan saskaņotu plānotās darbības un sasniedzamos rezultātus</w:t>
      </w:r>
      <w:r w:rsidR="009D277D" w:rsidRPr="0027168C">
        <w:rPr>
          <w:rFonts w:cs="Times New Roman"/>
          <w:szCs w:val="24"/>
        </w:rPr>
        <w:t>;</w:t>
      </w:r>
    </w:p>
    <w:p w14:paraId="66564B4E" w14:textId="083CC127" w:rsidR="00F465A3" w:rsidRPr="0027168C" w:rsidRDefault="00F465A3" w:rsidP="0027168C">
      <w:pPr>
        <w:pStyle w:val="ListParagraph"/>
        <w:numPr>
          <w:ilvl w:val="0"/>
          <w:numId w:val="11"/>
        </w:numPr>
        <w:jc w:val="both"/>
        <w:rPr>
          <w:rFonts w:eastAsia="Times New Roman"/>
          <w:szCs w:val="28"/>
          <w:lang w:eastAsia="lv-LV"/>
        </w:rPr>
      </w:pPr>
      <w:r w:rsidRPr="0027168C">
        <w:rPr>
          <w:rFonts w:eastAsia="Times New Roman"/>
          <w:b/>
          <w:bCs/>
          <w:szCs w:val="28"/>
          <w:lang w:eastAsia="lv-LV"/>
        </w:rPr>
        <w:t xml:space="preserve">Dzelzceļa elektrifikācijas projekts (346,6 milj. </w:t>
      </w:r>
      <w:r w:rsidRPr="0027168C">
        <w:rPr>
          <w:rFonts w:eastAsia="Times New Roman"/>
          <w:b/>
          <w:bCs/>
          <w:i/>
          <w:iCs/>
          <w:szCs w:val="28"/>
          <w:lang w:eastAsia="lv-LV"/>
        </w:rPr>
        <w:t>euro</w:t>
      </w:r>
      <w:r w:rsidRPr="0027168C">
        <w:rPr>
          <w:rFonts w:eastAsia="Times New Roman"/>
          <w:b/>
          <w:bCs/>
          <w:szCs w:val="28"/>
          <w:lang w:eastAsia="lv-LV"/>
        </w:rPr>
        <w:t>, K</w:t>
      </w:r>
      <w:r w:rsidR="0027168C">
        <w:rPr>
          <w:rFonts w:eastAsia="Times New Roman"/>
          <w:b/>
          <w:bCs/>
          <w:szCs w:val="28"/>
          <w:lang w:eastAsia="lv-LV"/>
        </w:rPr>
        <w:t>ohēzijas fonds</w:t>
      </w:r>
      <w:r w:rsidRPr="0027168C">
        <w:rPr>
          <w:rFonts w:eastAsia="Times New Roman"/>
          <w:b/>
          <w:bCs/>
          <w:szCs w:val="28"/>
          <w:lang w:eastAsia="lv-LV"/>
        </w:rPr>
        <w:t xml:space="preserve">) </w:t>
      </w:r>
      <w:r w:rsidRPr="0027168C">
        <w:rPr>
          <w:rFonts w:eastAsia="Times New Roman"/>
          <w:szCs w:val="28"/>
          <w:lang w:eastAsia="lv-LV"/>
        </w:rPr>
        <w:t xml:space="preserve">– </w:t>
      </w:r>
      <w:r w:rsidRPr="0027168C">
        <w:rPr>
          <w:rFonts w:eastAsia="Times New Roman"/>
          <w:b/>
          <w:bCs/>
          <w:szCs w:val="28"/>
          <w:lang w:eastAsia="lv-LV"/>
        </w:rPr>
        <w:t xml:space="preserve">ievērojams risks zaudēt ES finansējumu, </w:t>
      </w:r>
      <w:r>
        <w:rPr>
          <w:rFonts w:eastAsia="Times New Roman"/>
          <w:b/>
          <w:bCs/>
          <w:szCs w:val="28"/>
          <w:lang w:eastAsia="lv-LV"/>
        </w:rPr>
        <w:t>ja līdz 2016.gada beigām netiek pieņemti lēmumi par pi</w:t>
      </w:r>
      <w:r w:rsidR="000A5C17">
        <w:rPr>
          <w:rFonts w:eastAsia="Times New Roman"/>
          <w:b/>
          <w:bCs/>
          <w:szCs w:val="28"/>
          <w:lang w:eastAsia="lv-LV"/>
        </w:rPr>
        <w:t>eejamā finansējuma investēšanu.</w:t>
      </w:r>
      <w:r>
        <w:rPr>
          <w:rFonts w:eastAsia="Times New Roman"/>
          <w:b/>
          <w:bCs/>
          <w:szCs w:val="28"/>
          <w:lang w:eastAsia="lv-LV"/>
        </w:rPr>
        <w:t xml:space="preserve"> </w:t>
      </w:r>
      <w:r w:rsidRPr="0027168C">
        <w:rPr>
          <w:rFonts w:eastAsia="Times New Roman"/>
          <w:bCs/>
          <w:szCs w:val="28"/>
          <w:lang w:eastAsia="lv-LV"/>
        </w:rPr>
        <w:t>Pl</w:t>
      </w:r>
      <w:r w:rsidRPr="00F465A3">
        <w:rPr>
          <w:rFonts w:eastAsia="Times New Roman"/>
          <w:bCs/>
          <w:szCs w:val="28"/>
          <w:lang w:eastAsia="lv-LV"/>
        </w:rPr>
        <w:t>ānot</w:t>
      </w:r>
      <w:r>
        <w:rPr>
          <w:rFonts w:eastAsia="Times New Roman"/>
          <w:bCs/>
          <w:szCs w:val="28"/>
          <w:lang w:eastAsia="lv-LV"/>
        </w:rPr>
        <w:t>s, ka valdība šo jautājumu skata šādā laika grafikā</w:t>
      </w:r>
      <w:r w:rsidRPr="0027168C">
        <w:rPr>
          <w:rFonts w:eastAsia="Times New Roman"/>
          <w:bCs/>
          <w:szCs w:val="28"/>
          <w:lang w:eastAsia="lv-LV"/>
        </w:rPr>
        <w:t xml:space="preserve">: </w:t>
      </w:r>
    </w:p>
    <w:p w14:paraId="1793E919" w14:textId="5F93A5FC" w:rsidR="00F465A3" w:rsidRPr="00301E51" w:rsidRDefault="00F465A3" w:rsidP="00F465A3">
      <w:pPr>
        <w:numPr>
          <w:ilvl w:val="0"/>
          <w:numId w:val="13"/>
        </w:numPr>
        <w:ind w:hanging="11"/>
        <w:jc w:val="both"/>
        <w:rPr>
          <w:rFonts w:eastAsia="Times New Roman"/>
          <w:szCs w:val="28"/>
          <w:lang w:eastAsia="lv-LV"/>
        </w:rPr>
      </w:pPr>
      <w:r w:rsidRPr="00301E51">
        <w:rPr>
          <w:rFonts w:eastAsia="Times New Roman"/>
          <w:szCs w:val="28"/>
          <w:u w:val="single"/>
          <w:lang w:eastAsia="lv-LV"/>
        </w:rPr>
        <w:t xml:space="preserve">2016.gada 25.oktobra valdības sēdē </w:t>
      </w:r>
      <w:r w:rsidRPr="00301E51">
        <w:rPr>
          <w:rFonts w:eastAsia="Times New Roman"/>
          <w:szCs w:val="28"/>
          <w:lang w:eastAsia="lv-LV"/>
        </w:rPr>
        <w:t>S</w:t>
      </w:r>
      <w:r w:rsidR="0027168C">
        <w:rPr>
          <w:rFonts w:eastAsia="Times New Roman"/>
          <w:szCs w:val="28"/>
          <w:lang w:eastAsia="lv-LV"/>
        </w:rPr>
        <w:t>atiksmes ministrijas</w:t>
      </w:r>
      <w:r w:rsidRPr="00301E51">
        <w:rPr>
          <w:rFonts w:eastAsia="Times New Roman"/>
          <w:szCs w:val="28"/>
          <w:lang w:eastAsia="lv-LV"/>
        </w:rPr>
        <w:t xml:space="preserve"> priekšlikums par Izmaksu ieguvumu analīzes rezultātā izvēlēto projekta maršrutu,</w:t>
      </w:r>
    </w:p>
    <w:p w14:paraId="20621DEE" w14:textId="77777777" w:rsidR="00F465A3" w:rsidRPr="00301E51" w:rsidRDefault="00F465A3" w:rsidP="00F465A3">
      <w:pPr>
        <w:numPr>
          <w:ilvl w:val="0"/>
          <w:numId w:val="13"/>
        </w:numPr>
        <w:ind w:hanging="11"/>
        <w:jc w:val="both"/>
        <w:rPr>
          <w:rFonts w:eastAsia="Times New Roman"/>
          <w:szCs w:val="28"/>
          <w:lang w:eastAsia="lv-LV"/>
        </w:rPr>
      </w:pPr>
      <w:r w:rsidRPr="00301E51">
        <w:rPr>
          <w:rFonts w:eastAsia="Times New Roman"/>
          <w:szCs w:val="28"/>
          <w:u w:val="single"/>
          <w:lang w:eastAsia="lv-LV"/>
        </w:rPr>
        <w:t xml:space="preserve">2016.gada 29.novembra valdības sēdē ES fondu investīciju MK noteikumu apstiprināšana, lai </w:t>
      </w:r>
      <w:r w:rsidRPr="00301E51">
        <w:rPr>
          <w:rFonts w:eastAsia="Times New Roman"/>
          <w:szCs w:val="28"/>
          <w:lang w:eastAsia="lv-LV"/>
        </w:rPr>
        <w:t xml:space="preserve">2016.gada novembrī varētu uzsākt projektu iesniegumu atlasi. </w:t>
      </w:r>
    </w:p>
    <w:p w14:paraId="7EE401E2" w14:textId="3E5390F0" w:rsidR="00684ADB" w:rsidRPr="008D32FA" w:rsidRDefault="00684ADB" w:rsidP="0057093A">
      <w:pPr>
        <w:pStyle w:val="ListParagraph"/>
        <w:numPr>
          <w:ilvl w:val="0"/>
          <w:numId w:val="11"/>
        </w:numPr>
        <w:suppressAutoHyphens/>
        <w:spacing w:before="120" w:after="120"/>
        <w:contextualSpacing w:val="0"/>
        <w:jc w:val="both"/>
        <w:rPr>
          <w:rFonts w:cs="Times New Roman"/>
          <w:szCs w:val="24"/>
        </w:rPr>
      </w:pPr>
      <w:r w:rsidRPr="008D32FA">
        <w:rPr>
          <w:rFonts w:cs="Times New Roman"/>
          <w:b/>
          <w:bCs/>
          <w:szCs w:val="24"/>
        </w:rPr>
        <w:t xml:space="preserve">Inčukalna gudrona dīķu attīrīšanas </w:t>
      </w:r>
      <w:r w:rsidRPr="008D32FA">
        <w:rPr>
          <w:rFonts w:cs="Times New Roman"/>
          <w:szCs w:val="24"/>
        </w:rPr>
        <w:t xml:space="preserve">(sanācijas) projekta pabeigšana </w:t>
      </w:r>
      <w:r w:rsidR="00D32CD5" w:rsidRPr="00167240">
        <w:rPr>
          <w:rFonts w:eastAsia="Times New Roman"/>
          <w:szCs w:val="28"/>
          <w:lang w:eastAsia="lv-LV"/>
        </w:rPr>
        <w:t xml:space="preserve">(kopā </w:t>
      </w:r>
      <w:r w:rsidR="003E6E22">
        <w:rPr>
          <w:rFonts w:eastAsia="Times New Roman"/>
          <w:szCs w:val="28"/>
          <w:lang w:eastAsia="lv-LV"/>
        </w:rPr>
        <w:t>indikatīvi</w:t>
      </w:r>
      <w:r w:rsidR="00D32CD5" w:rsidRPr="00167240">
        <w:rPr>
          <w:rFonts w:eastAsia="Times New Roman"/>
          <w:szCs w:val="28"/>
          <w:lang w:eastAsia="lv-LV"/>
        </w:rPr>
        <w:t xml:space="preserve"> 53 milj. </w:t>
      </w:r>
      <w:r w:rsidR="00D32CD5" w:rsidRPr="00167240">
        <w:rPr>
          <w:rFonts w:eastAsia="Times New Roman"/>
          <w:i/>
          <w:szCs w:val="28"/>
          <w:lang w:eastAsia="lv-LV"/>
        </w:rPr>
        <w:t>euro</w:t>
      </w:r>
      <w:r w:rsidR="00D32CD5" w:rsidRPr="00167240">
        <w:rPr>
          <w:rFonts w:eastAsia="Times New Roman"/>
          <w:szCs w:val="28"/>
          <w:lang w:eastAsia="lv-LV"/>
        </w:rPr>
        <w:t xml:space="preserve">, 2.posmam </w:t>
      </w:r>
      <w:r w:rsidR="003E6E22">
        <w:rPr>
          <w:rFonts w:eastAsia="Times New Roman"/>
          <w:szCs w:val="28"/>
          <w:lang w:eastAsia="lv-LV"/>
        </w:rPr>
        <w:t>indikatīvi</w:t>
      </w:r>
      <w:r w:rsidR="00D32CD5" w:rsidRPr="00167240">
        <w:rPr>
          <w:rFonts w:eastAsia="Times New Roman"/>
          <w:szCs w:val="28"/>
          <w:lang w:eastAsia="lv-LV"/>
        </w:rPr>
        <w:t xml:space="preserve"> 25 milj. </w:t>
      </w:r>
      <w:r w:rsidR="00D32CD5" w:rsidRPr="00167240">
        <w:rPr>
          <w:rFonts w:eastAsia="Times New Roman"/>
          <w:i/>
          <w:szCs w:val="28"/>
          <w:lang w:eastAsia="lv-LV"/>
        </w:rPr>
        <w:t>euro</w:t>
      </w:r>
      <w:r w:rsidR="00D32CD5" w:rsidRPr="00167240">
        <w:rPr>
          <w:rFonts w:eastAsia="Times New Roman"/>
          <w:szCs w:val="28"/>
          <w:lang w:eastAsia="lv-LV"/>
        </w:rPr>
        <w:t xml:space="preserve">) – EK apstiprinājusi projekta pabeigšanas iespēju 2014.–2020.gada plānošanas perioda ietvaros. </w:t>
      </w:r>
      <w:r w:rsidR="000C2AA0">
        <w:rPr>
          <w:rFonts w:eastAsia="Times New Roman"/>
          <w:szCs w:val="28"/>
          <w:lang w:eastAsia="lv-LV"/>
        </w:rPr>
        <w:t>Ja projektu nepabeidz, Latvija zaudēs 2007.-2013.</w:t>
      </w:r>
      <w:r w:rsidR="0027168C">
        <w:rPr>
          <w:rFonts w:eastAsia="Times New Roman"/>
          <w:szCs w:val="28"/>
          <w:lang w:eastAsia="lv-LV"/>
        </w:rPr>
        <w:t>gada</w:t>
      </w:r>
      <w:r w:rsidR="000C2AA0">
        <w:rPr>
          <w:rFonts w:eastAsia="Times New Roman"/>
          <w:szCs w:val="28"/>
          <w:lang w:eastAsia="lv-LV"/>
        </w:rPr>
        <w:t xml:space="preserve"> plānošanas perioda ERAF atbalstu 19,3 milj</w:t>
      </w:r>
      <w:r w:rsidR="009C6B5C">
        <w:rPr>
          <w:rFonts w:eastAsia="Times New Roman"/>
          <w:szCs w:val="28"/>
          <w:lang w:eastAsia="lv-LV"/>
        </w:rPr>
        <w:t>.</w:t>
      </w:r>
      <w:r w:rsidR="000C2AA0">
        <w:rPr>
          <w:rFonts w:eastAsia="Times New Roman"/>
          <w:szCs w:val="28"/>
          <w:lang w:eastAsia="lv-LV"/>
        </w:rPr>
        <w:t xml:space="preserve"> </w:t>
      </w:r>
      <w:r w:rsidR="000C2AA0" w:rsidRPr="0027168C">
        <w:rPr>
          <w:rFonts w:eastAsia="Times New Roman"/>
          <w:i/>
          <w:szCs w:val="28"/>
          <w:lang w:eastAsia="lv-LV"/>
        </w:rPr>
        <w:t>euro</w:t>
      </w:r>
      <w:r w:rsidR="000C2AA0">
        <w:rPr>
          <w:rFonts w:eastAsia="Times New Roman"/>
          <w:szCs w:val="28"/>
          <w:lang w:eastAsia="lv-LV"/>
        </w:rPr>
        <w:t xml:space="preserve">. </w:t>
      </w:r>
      <w:r w:rsidR="003E6E22" w:rsidRPr="008D32FA">
        <w:rPr>
          <w:rFonts w:cs="Times New Roman"/>
          <w:szCs w:val="24"/>
        </w:rPr>
        <w:t>Vides aizsardzības un r</w:t>
      </w:r>
      <w:r w:rsidR="003E6E22">
        <w:rPr>
          <w:rFonts w:cs="Times New Roman"/>
          <w:szCs w:val="24"/>
        </w:rPr>
        <w:t>eģionālās attīstības ministrijai</w:t>
      </w:r>
      <w:r w:rsidR="00D32CD5" w:rsidRPr="00167240">
        <w:rPr>
          <w:rFonts w:eastAsia="Times New Roman"/>
          <w:szCs w:val="28"/>
          <w:u w:val="single"/>
          <w:lang w:eastAsia="lv-LV"/>
        </w:rPr>
        <w:t xml:space="preserve"> līdz 2016.gada beigām uzdots sniegt valdībai p</w:t>
      </w:r>
      <w:r w:rsidR="00EE18A8">
        <w:rPr>
          <w:rFonts w:eastAsia="Times New Roman"/>
          <w:szCs w:val="28"/>
          <w:u w:val="single"/>
          <w:lang w:eastAsia="lv-LV"/>
        </w:rPr>
        <w:t>riekšlikumu par finanšu avotiem</w:t>
      </w:r>
      <w:r w:rsidR="00D32CD5" w:rsidRPr="00167240">
        <w:rPr>
          <w:rFonts w:eastAsia="Times New Roman"/>
          <w:szCs w:val="28"/>
          <w:u w:val="single"/>
          <w:lang w:eastAsia="lv-LV"/>
        </w:rPr>
        <w:t>.</w:t>
      </w:r>
      <w:r w:rsidR="00D32CD5" w:rsidRPr="00EE18A8">
        <w:rPr>
          <w:rFonts w:eastAsia="Times New Roman"/>
          <w:szCs w:val="28"/>
          <w:lang w:eastAsia="lv-LV"/>
        </w:rPr>
        <w:t xml:space="preserve"> </w:t>
      </w:r>
      <w:r w:rsidR="00347166" w:rsidRPr="008D32FA">
        <w:rPr>
          <w:rFonts w:cs="Times New Roman"/>
          <w:szCs w:val="24"/>
        </w:rPr>
        <w:t>Vienlaikus iespējam</w:t>
      </w:r>
      <w:r w:rsidR="003B15D7" w:rsidRPr="008D32FA">
        <w:rPr>
          <w:rFonts w:cs="Times New Roman"/>
          <w:szCs w:val="24"/>
        </w:rPr>
        <w:t>o</w:t>
      </w:r>
      <w:r w:rsidR="00347166" w:rsidRPr="008D32FA">
        <w:rPr>
          <w:rFonts w:cs="Times New Roman"/>
          <w:szCs w:val="24"/>
        </w:rPr>
        <w:t xml:space="preserve"> risinājum</w:t>
      </w:r>
      <w:r w:rsidR="003B15D7" w:rsidRPr="008D32FA">
        <w:rPr>
          <w:rFonts w:cs="Times New Roman"/>
          <w:szCs w:val="24"/>
        </w:rPr>
        <w:t>u</w:t>
      </w:r>
      <w:r w:rsidR="00347166" w:rsidRPr="008D32FA">
        <w:rPr>
          <w:rFonts w:cs="Times New Roman"/>
          <w:szCs w:val="24"/>
        </w:rPr>
        <w:t xml:space="preserve"> </w:t>
      </w:r>
      <w:r w:rsidR="003B15D7" w:rsidRPr="008D32FA">
        <w:rPr>
          <w:rFonts w:cs="Times New Roman"/>
          <w:szCs w:val="24"/>
        </w:rPr>
        <w:t xml:space="preserve">plānots </w:t>
      </w:r>
      <w:r w:rsidR="00347166" w:rsidRPr="008D32FA">
        <w:rPr>
          <w:rFonts w:cs="Times New Roman"/>
          <w:szCs w:val="24"/>
        </w:rPr>
        <w:t>virz</w:t>
      </w:r>
      <w:r w:rsidR="003B15D7" w:rsidRPr="008D32FA">
        <w:rPr>
          <w:rFonts w:cs="Times New Roman"/>
          <w:szCs w:val="24"/>
        </w:rPr>
        <w:t>īt</w:t>
      </w:r>
      <w:r w:rsidR="00347166" w:rsidRPr="008D32FA">
        <w:rPr>
          <w:rFonts w:cs="Times New Roman"/>
          <w:szCs w:val="24"/>
        </w:rPr>
        <w:t xml:space="preserve"> kā groz</w:t>
      </w:r>
      <w:r w:rsidR="003B15D7" w:rsidRPr="008D32FA">
        <w:rPr>
          <w:rFonts w:cs="Times New Roman"/>
          <w:szCs w:val="24"/>
        </w:rPr>
        <w:t>ījumus</w:t>
      </w:r>
      <w:r w:rsidR="00347166" w:rsidRPr="008D32FA">
        <w:rPr>
          <w:rFonts w:cs="Times New Roman"/>
          <w:szCs w:val="24"/>
        </w:rPr>
        <w:t xml:space="preserve"> darbības programmā “Izaugsme un nodarbinātība”</w:t>
      </w:r>
      <w:r w:rsidR="00B30A86" w:rsidRPr="008D32FA">
        <w:rPr>
          <w:rFonts w:cs="Times New Roman"/>
          <w:szCs w:val="24"/>
        </w:rPr>
        <w:t>, attiecīgi to saskaņojot arī ar EK</w:t>
      </w:r>
      <w:r w:rsidR="00347166" w:rsidRPr="008D32FA">
        <w:rPr>
          <w:rFonts w:cs="Times New Roman"/>
          <w:szCs w:val="24"/>
        </w:rPr>
        <w:t>.</w:t>
      </w:r>
      <w:r w:rsidR="000C2AA0">
        <w:rPr>
          <w:rFonts w:cs="Times New Roman"/>
          <w:szCs w:val="24"/>
        </w:rPr>
        <w:t xml:space="preserve"> </w:t>
      </w:r>
    </w:p>
    <w:p w14:paraId="1348A70A" w14:textId="1B583070" w:rsidR="00537632" w:rsidRPr="0098250D" w:rsidRDefault="0098250D" w:rsidP="0098250D">
      <w:pPr>
        <w:pStyle w:val="ListParagraph"/>
        <w:numPr>
          <w:ilvl w:val="1"/>
          <w:numId w:val="2"/>
        </w:numPr>
        <w:ind w:left="0" w:firstLine="0"/>
        <w:jc w:val="both"/>
        <w:rPr>
          <w:rFonts w:eastAsia="Calibri" w:cs="Times New Roman"/>
          <w:szCs w:val="24"/>
          <w:lang w:eastAsia="ar-SA"/>
        </w:rPr>
      </w:pPr>
      <w:r>
        <w:rPr>
          <w:rFonts w:eastAsia="Calibri" w:cs="Times New Roman"/>
          <w:szCs w:val="24"/>
          <w:lang w:eastAsia="ar-SA"/>
        </w:rPr>
        <w:t xml:space="preserve">Attiecībā uz 2016.gada </w:t>
      </w:r>
      <w:r w:rsidRPr="00F5184A">
        <w:rPr>
          <w:rFonts w:eastAsia="Calibri" w:cs="Times New Roman"/>
          <w:szCs w:val="24"/>
          <w:u w:val="single"/>
          <w:lang w:eastAsia="ar-SA"/>
        </w:rPr>
        <w:t>finanšu plāna</w:t>
      </w:r>
      <w:r>
        <w:rPr>
          <w:rFonts w:eastAsia="Calibri" w:cs="Times New Roman"/>
          <w:szCs w:val="24"/>
          <w:lang w:eastAsia="ar-SA"/>
        </w:rPr>
        <w:t xml:space="preserve"> </w:t>
      </w:r>
      <w:r w:rsidR="00F5184A">
        <w:rPr>
          <w:rFonts w:eastAsia="Calibri" w:cs="Times New Roman"/>
          <w:szCs w:val="24"/>
          <w:lang w:eastAsia="ar-SA"/>
        </w:rPr>
        <w:t xml:space="preserve">izpildi </w:t>
      </w:r>
      <w:r>
        <w:rPr>
          <w:rFonts w:eastAsia="Calibri" w:cs="Times New Roman"/>
          <w:szCs w:val="24"/>
          <w:lang w:eastAsia="ar-SA"/>
        </w:rPr>
        <w:t>–</w:t>
      </w:r>
      <w:r w:rsidR="000A734C">
        <w:rPr>
          <w:rFonts w:eastAsia="Calibri" w:cs="Times New Roman"/>
          <w:szCs w:val="24"/>
          <w:lang w:eastAsia="ar-SA"/>
        </w:rPr>
        <w:t xml:space="preserve"> </w:t>
      </w:r>
      <w:r>
        <w:rPr>
          <w:rFonts w:eastAsia="Calibri" w:cs="Times New Roman"/>
          <w:szCs w:val="24"/>
          <w:lang w:eastAsia="ar-SA"/>
        </w:rPr>
        <w:t>atbalsta ma</w:t>
      </w:r>
      <w:r w:rsidR="000A734C">
        <w:rPr>
          <w:rFonts w:eastAsia="Calibri" w:cs="Times New Roman"/>
          <w:szCs w:val="24"/>
          <w:lang w:eastAsia="ar-SA"/>
        </w:rPr>
        <w:t>ksājumiem projektu īstenotājiem </w:t>
      </w:r>
      <w:r>
        <w:rPr>
          <w:rFonts w:eastAsia="Calibri" w:cs="Times New Roman"/>
          <w:szCs w:val="24"/>
          <w:lang w:eastAsia="ar-SA"/>
        </w:rPr>
        <w:t>–</w:t>
      </w:r>
      <w:r w:rsidR="00F5184A">
        <w:rPr>
          <w:rFonts w:eastAsia="Calibri" w:cs="Times New Roman"/>
          <w:szCs w:val="24"/>
          <w:lang w:eastAsia="ar-SA"/>
        </w:rPr>
        <w:t xml:space="preserve"> </w:t>
      </w:r>
      <w:r>
        <w:rPr>
          <w:rFonts w:eastAsia="Calibri" w:cs="Times New Roman"/>
          <w:szCs w:val="24"/>
          <w:lang w:eastAsia="ar-SA"/>
        </w:rPr>
        <w:t xml:space="preserve">konstatējams, ka </w:t>
      </w:r>
      <w:r w:rsidR="00F5184A">
        <w:rPr>
          <w:rFonts w:eastAsia="Calibri" w:cs="Times New Roman"/>
          <w:szCs w:val="24"/>
          <w:lang w:eastAsia="ar-SA"/>
        </w:rPr>
        <w:t>p</w:t>
      </w:r>
      <w:r w:rsidR="00537632" w:rsidRPr="00537632">
        <w:rPr>
          <w:rFonts w:eastAsia="Calibri" w:cs="Times New Roman"/>
          <w:szCs w:val="24"/>
          <w:lang w:eastAsia="ar-SA"/>
        </w:rPr>
        <w:t xml:space="preserve">ārskata periodā kopumā </w:t>
      </w:r>
      <w:r w:rsidR="00F5184A">
        <w:rPr>
          <w:rFonts w:eastAsia="Calibri" w:cs="Times New Roman"/>
          <w:szCs w:val="24"/>
          <w:lang w:eastAsia="ar-SA"/>
        </w:rPr>
        <w:t>nav ievērojama</w:t>
      </w:r>
      <w:r w:rsidR="00253006">
        <w:rPr>
          <w:rFonts w:eastAsia="Calibri" w:cs="Times New Roman"/>
          <w:szCs w:val="24"/>
          <w:lang w:eastAsia="ar-SA"/>
        </w:rPr>
        <w:t xml:space="preserve"> </w:t>
      </w:r>
      <w:r w:rsidR="00537632" w:rsidRPr="00537632">
        <w:rPr>
          <w:rFonts w:eastAsia="Calibri" w:cs="Times New Roman"/>
          <w:szCs w:val="24"/>
          <w:lang w:eastAsia="ar-SA"/>
        </w:rPr>
        <w:t xml:space="preserve">ES fondu maksājumu </w:t>
      </w:r>
      <w:r w:rsidR="00F5184A">
        <w:rPr>
          <w:rFonts w:eastAsia="Calibri" w:cs="Times New Roman"/>
          <w:szCs w:val="24"/>
          <w:lang w:eastAsia="ar-SA"/>
        </w:rPr>
        <w:t>pieauguma</w:t>
      </w:r>
      <w:r>
        <w:rPr>
          <w:rFonts w:eastAsia="Calibri" w:cs="Times New Roman"/>
          <w:szCs w:val="24"/>
          <w:lang w:eastAsia="ar-SA"/>
        </w:rPr>
        <w:t>. K</w:t>
      </w:r>
      <w:r w:rsidR="00253006">
        <w:rPr>
          <w:rFonts w:eastAsia="Calibri" w:cs="Times New Roman"/>
          <w:szCs w:val="24"/>
          <w:lang w:eastAsia="ar-SA"/>
        </w:rPr>
        <w:t xml:space="preserve">umulatīvā </w:t>
      </w:r>
      <w:r w:rsidR="00347FFA">
        <w:rPr>
          <w:rFonts w:eastAsia="Calibri" w:cs="Times New Roman"/>
          <w:szCs w:val="24"/>
          <w:lang w:eastAsia="ar-SA"/>
        </w:rPr>
        <w:t xml:space="preserve">plāna </w:t>
      </w:r>
      <w:r w:rsidR="00537632" w:rsidRPr="00537632">
        <w:rPr>
          <w:rFonts w:eastAsia="Calibri" w:cs="Times New Roman"/>
          <w:szCs w:val="24"/>
          <w:lang w:eastAsia="ar-SA"/>
        </w:rPr>
        <w:t>izpilde</w:t>
      </w:r>
      <w:r w:rsidR="00253006">
        <w:rPr>
          <w:rFonts w:eastAsia="Calibri" w:cs="Times New Roman"/>
          <w:szCs w:val="24"/>
          <w:lang w:eastAsia="ar-SA"/>
        </w:rPr>
        <w:t xml:space="preserve"> līdz </w:t>
      </w:r>
      <w:r w:rsidR="00537632" w:rsidRPr="00537632">
        <w:rPr>
          <w:rFonts w:eastAsia="Calibri" w:cs="Times New Roman"/>
          <w:szCs w:val="24"/>
          <w:lang w:eastAsia="ar-SA"/>
        </w:rPr>
        <w:t>2016.gad</w:t>
      </w:r>
      <w:r w:rsidR="00253006">
        <w:rPr>
          <w:rFonts w:eastAsia="Calibri" w:cs="Times New Roman"/>
          <w:szCs w:val="24"/>
          <w:lang w:eastAsia="ar-SA"/>
        </w:rPr>
        <w:t>a</w:t>
      </w:r>
      <w:r w:rsidR="00537632" w:rsidRPr="00537632">
        <w:rPr>
          <w:rFonts w:eastAsia="Calibri" w:cs="Times New Roman"/>
          <w:szCs w:val="24"/>
          <w:lang w:eastAsia="ar-SA"/>
        </w:rPr>
        <w:t xml:space="preserve"> 1.septembrim </w:t>
      </w:r>
      <w:r w:rsidR="00253006">
        <w:rPr>
          <w:rFonts w:eastAsia="Calibri" w:cs="Times New Roman"/>
          <w:szCs w:val="24"/>
          <w:lang w:eastAsia="ar-SA"/>
        </w:rPr>
        <w:t xml:space="preserve">ir </w:t>
      </w:r>
      <w:r w:rsidR="00537632" w:rsidRPr="00537632">
        <w:rPr>
          <w:rFonts w:eastAsia="Calibri" w:cs="Times New Roman"/>
          <w:szCs w:val="24"/>
          <w:lang w:eastAsia="ar-SA"/>
        </w:rPr>
        <w:t xml:space="preserve">92,9% (131,5 milj. </w:t>
      </w:r>
      <w:r w:rsidR="00537632" w:rsidRPr="00AF5C6A">
        <w:rPr>
          <w:rFonts w:eastAsia="Calibri" w:cs="Times New Roman"/>
          <w:i/>
          <w:szCs w:val="24"/>
          <w:lang w:eastAsia="ar-SA"/>
        </w:rPr>
        <w:t>euro</w:t>
      </w:r>
      <w:r w:rsidR="00537632" w:rsidRPr="00537632">
        <w:rPr>
          <w:rFonts w:eastAsia="Calibri" w:cs="Times New Roman"/>
          <w:szCs w:val="24"/>
          <w:lang w:eastAsia="ar-SA"/>
        </w:rPr>
        <w:t>)</w:t>
      </w:r>
      <w:r w:rsidR="00516573">
        <w:rPr>
          <w:rStyle w:val="FootnoteReference"/>
          <w:rFonts w:eastAsia="Calibri" w:cs="Times New Roman"/>
          <w:szCs w:val="24"/>
          <w:lang w:eastAsia="ar-SA"/>
        </w:rPr>
        <w:footnoteReference w:id="13"/>
      </w:r>
      <w:r w:rsidR="00537632" w:rsidRPr="00537632">
        <w:rPr>
          <w:rFonts w:eastAsia="Calibri" w:cs="Times New Roman"/>
          <w:szCs w:val="24"/>
          <w:lang w:eastAsia="ar-SA"/>
        </w:rPr>
        <w:t xml:space="preserve">, bet gada plāns (314,9 milj. </w:t>
      </w:r>
      <w:r w:rsidR="00537632" w:rsidRPr="00AF5C6A">
        <w:rPr>
          <w:rFonts w:eastAsia="Calibri" w:cs="Times New Roman"/>
          <w:i/>
          <w:szCs w:val="24"/>
          <w:lang w:eastAsia="ar-SA"/>
        </w:rPr>
        <w:t>euro</w:t>
      </w:r>
      <w:r w:rsidR="00537632" w:rsidRPr="00537632">
        <w:rPr>
          <w:rFonts w:eastAsia="Calibri" w:cs="Times New Roman"/>
          <w:szCs w:val="24"/>
          <w:lang w:eastAsia="ar-SA"/>
        </w:rPr>
        <w:t xml:space="preserve">) izpildīts tikai 41,7% apmērā, </w:t>
      </w:r>
      <w:r w:rsidR="003D3AC0">
        <w:rPr>
          <w:rFonts w:eastAsia="Calibri" w:cs="Times New Roman"/>
          <w:szCs w:val="24"/>
          <w:lang w:eastAsia="ar-SA"/>
        </w:rPr>
        <w:t>kopš iepriekšējā mēneša</w:t>
      </w:r>
      <w:r w:rsidR="00253006">
        <w:rPr>
          <w:rFonts w:eastAsia="Calibri" w:cs="Times New Roman"/>
          <w:szCs w:val="24"/>
          <w:lang w:eastAsia="ar-SA"/>
        </w:rPr>
        <w:t xml:space="preserve"> </w:t>
      </w:r>
      <w:r w:rsidR="00537632" w:rsidRPr="00537632">
        <w:rPr>
          <w:rFonts w:eastAsia="Calibri" w:cs="Times New Roman"/>
          <w:szCs w:val="24"/>
          <w:lang w:eastAsia="ar-SA"/>
        </w:rPr>
        <w:t>palielinoties par 5,0%</w:t>
      </w:r>
      <w:r w:rsidR="00516573">
        <w:rPr>
          <w:rStyle w:val="FootnoteReference"/>
          <w:rFonts w:eastAsia="Calibri" w:cs="Times New Roman"/>
          <w:szCs w:val="24"/>
          <w:lang w:eastAsia="ar-SA"/>
        </w:rPr>
        <w:footnoteReference w:id="14"/>
      </w:r>
      <w:r w:rsidR="00537632" w:rsidRPr="00537632">
        <w:rPr>
          <w:rFonts w:eastAsia="Calibri" w:cs="Times New Roman"/>
          <w:szCs w:val="24"/>
          <w:lang w:eastAsia="ar-SA"/>
        </w:rPr>
        <w:t>.</w:t>
      </w:r>
      <w:r w:rsidR="003D3AC0">
        <w:rPr>
          <w:rFonts w:eastAsia="Calibri" w:cs="Times New Roman"/>
          <w:szCs w:val="24"/>
          <w:lang w:eastAsia="ar-SA"/>
        </w:rPr>
        <w:t xml:space="preserve"> </w:t>
      </w:r>
      <w:r w:rsidR="000C2AA0">
        <w:rPr>
          <w:rFonts w:eastAsia="Calibri" w:cs="Times New Roman"/>
          <w:szCs w:val="24"/>
          <w:lang w:eastAsia="ar-SA"/>
        </w:rPr>
        <w:t>L</w:t>
      </w:r>
      <w:r w:rsidR="00C5210A">
        <w:rPr>
          <w:rFonts w:eastAsia="Calibri" w:cs="Times New Roman"/>
          <w:szCs w:val="24"/>
          <w:lang w:eastAsia="ar-SA"/>
        </w:rPr>
        <w:t>ielākie maksājumu plānu kavējumi fiksēti: (1) ceļu rekonstrukcij</w:t>
      </w:r>
      <w:r>
        <w:rPr>
          <w:rFonts w:eastAsia="Calibri" w:cs="Times New Roman"/>
          <w:szCs w:val="24"/>
          <w:lang w:eastAsia="ar-SA"/>
        </w:rPr>
        <w:t>as jomā (vēlāk iesniegti projektu iesniegumi, iepirkumu sa</w:t>
      </w:r>
      <w:r w:rsidR="00F5184A">
        <w:rPr>
          <w:rFonts w:eastAsia="Calibri" w:cs="Times New Roman"/>
          <w:szCs w:val="24"/>
          <w:lang w:eastAsia="ar-SA"/>
        </w:rPr>
        <w:t>režģījumi)</w:t>
      </w:r>
      <w:r w:rsidR="00B5136C" w:rsidRPr="00DD00E7">
        <w:rPr>
          <w:rFonts w:eastAsia="Calibri" w:cs="Times New Roman"/>
          <w:szCs w:val="24"/>
          <w:lang w:eastAsia="ar-SA"/>
        </w:rPr>
        <w:t xml:space="preserve">; </w:t>
      </w:r>
      <w:r w:rsidR="00B5136C" w:rsidRPr="0098250D">
        <w:rPr>
          <w:rFonts w:eastAsia="Calibri" w:cs="Times New Roman"/>
          <w:szCs w:val="24"/>
          <w:lang w:eastAsia="ar-SA"/>
        </w:rPr>
        <w:t>(2) atbalstā dzīvojamo ēku siltināšanai, jo ieilga atbalstu regulējošo normatīvu saskaņošana, t.sk. ar EK dienestiem</w:t>
      </w:r>
      <w:r>
        <w:rPr>
          <w:rFonts w:eastAsia="Calibri" w:cs="Times New Roman"/>
          <w:szCs w:val="24"/>
          <w:lang w:eastAsia="ar-SA"/>
        </w:rPr>
        <w:t xml:space="preserve"> (pasākum</w:t>
      </w:r>
      <w:r w:rsidR="00F5184A">
        <w:rPr>
          <w:rFonts w:eastAsia="Calibri" w:cs="Times New Roman"/>
          <w:szCs w:val="24"/>
          <w:lang w:eastAsia="ar-SA"/>
        </w:rPr>
        <w:t>a</w:t>
      </w:r>
      <w:r>
        <w:rPr>
          <w:rFonts w:eastAsia="Calibri" w:cs="Times New Roman"/>
          <w:szCs w:val="24"/>
          <w:lang w:eastAsia="ar-SA"/>
        </w:rPr>
        <w:t xml:space="preserve"> </w:t>
      </w:r>
      <w:r>
        <w:rPr>
          <w:rFonts w:eastAsia="Calibri" w:cs="Times New Roman"/>
          <w:szCs w:val="24"/>
          <w:lang w:eastAsia="ar-SA"/>
        </w:rPr>
        <w:lastRenderedPageBreak/>
        <w:t>īstenošana uzsākta un turpmāk sagaidāms reālu investīciju progress)</w:t>
      </w:r>
      <w:r w:rsidR="00B5136C" w:rsidRPr="0098250D">
        <w:rPr>
          <w:rFonts w:eastAsia="Calibri" w:cs="Times New Roman"/>
          <w:szCs w:val="24"/>
          <w:lang w:eastAsia="ar-SA"/>
        </w:rPr>
        <w:t xml:space="preserve">; (3) </w:t>
      </w:r>
      <w:r w:rsidR="00F5184A">
        <w:rPr>
          <w:rFonts w:eastAsia="Calibri" w:cs="Times New Roman"/>
          <w:szCs w:val="24"/>
          <w:lang w:eastAsia="ar-SA"/>
        </w:rPr>
        <w:t>integrēti teritoriālajās investīcijā</w:t>
      </w:r>
      <w:r w:rsidR="00DD00E7">
        <w:rPr>
          <w:rFonts w:eastAsia="Calibri" w:cs="Times New Roman"/>
          <w:szCs w:val="24"/>
          <w:lang w:eastAsia="ar-SA"/>
        </w:rPr>
        <w:t xml:space="preserve">s, jo īpaši </w:t>
      </w:r>
      <w:r w:rsidRPr="0098250D">
        <w:rPr>
          <w:rFonts w:eastAsia="Calibri" w:cs="Times New Roman"/>
          <w:szCs w:val="24"/>
          <w:lang w:eastAsia="ar-SA"/>
        </w:rPr>
        <w:t>i</w:t>
      </w:r>
      <w:r w:rsidR="00B5136C" w:rsidRPr="0098250D">
        <w:rPr>
          <w:rFonts w:eastAsia="Calibri" w:cs="Times New Roman"/>
          <w:szCs w:val="24"/>
          <w:lang w:eastAsia="ar-SA"/>
        </w:rPr>
        <w:t>eguldījum</w:t>
      </w:r>
      <w:r w:rsidRPr="0098250D">
        <w:rPr>
          <w:rFonts w:eastAsia="Calibri" w:cs="Times New Roman"/>
          <w:szCs w:val="24"/>
          <w:lang w:eastAsia="ar-SA"/>
        </w:rPr>
        <w:t>os</w:t>
      </w:r>
      <w:r w:rsidR="00B5136C" w:rsidRPr="0098250D">
        <w:rPr>
          <w:rFonts w:eastAsia="Calibri" w:cs="Times New Roman"/>
          <w:szCs w:val="24"/>
          <w:lang w:eastAsia="ar-SA"/>
        </w:rPr>
        <w:t xml:space="preserve"> uzņēmējdarbībai nozīmīgā infrastruktūrā nacionālas nozīmes attīstības centru pašvaldībās</w:t>
      </w:r>
      <w:r w:rsidR="00F5184A">
        <w:rPr>
          <w:rFonts w:eastAsia="Calibri" w:cs="Times New Roman"/>
          <w:szCs w:val="24"/>
          <w:lang w:eastAsia="ar-SA"/>
        </w:rPr>
        <w:t xml:space="preserve"> (</w:t>
      </w:r>
      <w:r w:rsidR="00DD00E7">
        <w:rPr>
          <w:rFonts w:eastAsia="Calibri" w:cs="Times New Roman"/>
          <w:szCs w:val="24"/>
          <w:lang w:eastAsia="ar-SA"/>
        </w:rPr>
        <w:t>tā kā integrē</w:t>
      </w:r>
      <w:r w:rsidR="00F5184A">
        <w:rPr>
          <w:rFonts w:eastAsia="Calibri" w:cs="Times New Roman"/>
          <w:szCs w:val="24"/>
          <w:lang w:eastAsia="ar-SA"/>
        </w:rPr>
        <w:t xml:space="preserve">ti teritoriālās investīcijas </w:t>
      </w:r>
      <w:r w:rsidR="00DD00E7">
        <w:rPr>
          <w:rFonts w:eastAsia="Calibri" w:cs="Times New Roman"/>
          <w:szCs w:val="24"/>
          <w:lang w:eastAsia="ar-SA"/>
        </w:rPr>
        <w:t>saska</w:t>
      </w:r>
      <w:r w:rsidR="00F5184A">
        <w:rPr>
          <w:rFonts w:eastAsia="Calibri" w:cs="Times New Roman"/>
          <w:szCs w:val="24"/>
          <w:lang w:eastAsia="ar-SA"/>
        </w:rPr>
        <w:t>ņā ar ES normatīvajie</w:t>
      </w:r>
      <w:r w:rsidR="00DD00E7">
        <w:rPr>
          <w:rFonts w:eastAsia="Calibri" w:cs="Times New Roman"/>
          <w:szCs w:val="24"/>
          <w:lang w:eastAsia="ar-SA"/>
        </w:rPr>
        <w:t xml:space="preserve">m aktiem </w:t>
      </w:r>
      <w:r w:rsidR="00F5184A">
        <w:rPr>
          <w:rFonts w:eastAsia="Calibri" w:cs="Times New Roman"/>
          <w:szCs w:val="24"/>
          <w:lang w:eastAsia="ar-SA"/>
        </w:rPr>
        <w:t xml:space="preserve">ir </w:t>
      </w:r>
      <w:r w:rsidR="00DD00E7">
        <w:rPr>
          <w:rFonts w:eastAsia="Calibri" w:cs="Times New Roman"/>
          <w:szCs w:val="24"/>
          <w:lang w:eastAsia="ar-SA"/>
        </w:rPr>
        <w:t>jaunievedums</w:t>
      </w:r>
      <w:r w:rsidR="00F5184A">
        <w:rPr>
          <w:rFonts w:eastAsia="Calibri" w:cs="Times New Roman"/>
          <w:szCs w:val="24"/>
          <w:lang w:eastAsia="ar-SA"/>
        </w:rPr>
        <w:t xml:space="preserve"> </w:t>
      </w:r>
      <w:r w:rsidR="00DD00E7">
        <w:rPr>
          <w:rFonts w:eastAsia="Calibri" w:cs="Times New Roman"/>
          <w:szCs w:val="24"/>
          <w:lang w:eastAsia="ar-SA"/>
        </w:rPr>
        <w:t xml:space="preserve">šajā plānošanas periodā, sākotnējais plāns uzsākt </w:t>
      </w:r>
      <w:r w:rsidR="00F5184A">
        <w:rPr>
          <w:rFonts w:eastAsia="Calibri" w:cs="Times New Roman"/>
          <w:szCs w:val="24"/>
          <w:lang w:eastAsia="ar-SA"/>
        </w:rPr>
        <w:t>projektu</w:t>
      </w:r>
      <w:r w:rsidR="00DD00E7">
        <w:rPr>
          <w:rFonts w:eastAsia="Calibri" w:cs="Times New Roman"/>
          <w:szCs w:val="24"/>
          <w:lang w:eastAsia="ar-SA"/>
        </w:rPr>
        <w:t xml:space="preserve"> atlases un </w:t>
      </w:r>
      <w:r w:rsidR="00F5184A">
        <w:rPr>
          <w:rFonts w:eastAsia="Calibri" w:cs="Times New Roman"/>
          <w:szCs w:val="24"/>
          <w:lang w:eastAsia="ar-SA"/>
        </w:rPr>
        <w:t xml:space="preserve">veikt </w:t>
      </w:r>
      <w:r w:rsidR="00DD00E7">
        <w:rPr>
          <w:rFonts w:eastAsia="Calibri" w:cs="Times New Roman"/>
          <w:szCs w:val="24"/>
          <w:lang w:eastAsia="ar-SA"/>
        </w:rPr>
        <w:t>investīcijas bijis pārāk optimistisks; šobrīd secināms, ka progress sagaidāms 2017.gadā</w:t>
      </w:r>
      <w:r w:rsidR="00F5184A">
        <w:rPr>
          <w:rFonts w:eastAsia="Calibri" w:cs="Times New Roman"/>
          <w:szCs w:val="24"/>
          <w:lang w:eastAsia="ar-SA"/>
        </w:rPr>
        <w:t>)</w:t>
      </w:r>
      <w:r w:rsidR="00A17716" w:rsidRPr="0098250D">
        <w:rPr>
          <w:rFonts w:eastAsia="Calibri" w:cs="Times New Roman"/>
          <w:szCs w:val="24"/>
          <w:lang w:eastAsia="ar-SA"/>
        </w:rPr>
        <w:t>.</w:t>
      </w:r>
    </w:p>
    <w:p w14:paraId="25256D77" w14:textId="016FC23B" w:rsidR="00684ADB" w:rsidRPr="00537632" w:rsidRDefault="00537632" w:rsidP="00537632">
      <w:pPr>
        <w:pStyle w:val="ListParagraph"/>
        <w:numPr>
          <w:ilvl w:val="1"/>
          <w:numId w:val="2"/>
        </w:numPr>
        <w:suppressAutoHyphens/>
        <w:spacing w:before="120" w:after="120"/>
        <w:ind w:left="0" w:firstLine="0"/>
        <w:contextualSpacing w:val="0"/>
        <w:jc w:val="both"/>
        <w:rPr>
          <w:color w:val="000000" w:themeColor="text1"/>
        </w:rPr>
      </w:pPr>
      <w:r w:rsidRPr="00537632">
        <w:rPr>
          <w:rFonts w:eastAsia="Calibri" w:cs="Times New Roman"/>
          <w:szCs w:val="24"/>
          <w:lang w:eastAsia="ar-SA"/>
        </w:rPr>
        <w:t xml:space="preserve">Ņemot vērā atlikušo maksājumu apjomu, kas plānots līdz gada beigām, un aktualizētās operatīvās vadošās iestādes prognozes, jau šobrīd var paredzēt, ka līdz gada beigām noteiktais plāns neizpildīsies jomās, kas vērstas uz ceļu infrastruktūras, IKT sistēmu, izglītības, veselības aprūpes </w:t>
      </w:r>
      <w:r w:rsidR="00051CE6">
        <w:rPr>
          <w:rFonts w:eastAsia="Calibri" w:cs="Times New Roman"/>
          <w:szCs w:val="24"/>
          <w:lang w:eastAsia="ar-SA"/>
        </w:rPr>
        <w:t xml:space="preserve">un vides aizsardzības attīstību – līdz 30% no 2016.gadā kopējiem plānotajiem maksājumiem faktiski </w:t>
      </w:r>
      <w:r w:rsidR="00FB2EBC">
        <w:rPr>
          <w:rFonts w:eastAsia="Calibri" w:cs="Times New Roman"/>
          <w:szCs w:val="24"/>
          <w:lang w:eastAsia="ar-SA"/>
        </w:rPr>
        <w:t>īstenosies</w:t>
      </w:r>
      <w:r w:rsidR="00051CE6">
        <w:rPr>
          <w:rFonts w:eastAsia="Calibri" w:cs="Times New Roman"/>
          <w:szCs w:val="24"/>
          <w:lang w:eastAsia="ar-SA"/>
        </w:rPr>
        <w:t xml:space="preserve"> 2017.gadā, vienlaikus </w:t>
      </w:r>
      <w:r w:rsidR="00F72D20">
        <w:rPr>
          <w:rFonts w:eastAsia="Calibri" w:cs="Times New Roman"/>
          <w:szCs w:val="24"/>
          <w:lang w:eastAsia="ar-SA"/>
        </w:rPr>
        <w:t xml:space="preserve">līdzvērtīgi </w:t>
      </w:r>
      <w:r w:rsidR="00051CE6">
        <w:rPr>
          <w:rFonts w:eastAsia="Calibri" w:cs="Times New Roman"/>
          <w:szCs w:val="24"/>
          <w:lang w:eastAsia="ar-SA"/>
        </w:rPr>
        <w:t xml:space="preserve">samazinot arī </w:t>
      </w:r>
      <w:r w:rsidR="00F72D20">
        <w:rPr>
          <w:rFonts w:eastAsia="Calibri" w:cs="Times New Roman"/>
          <w:szCs w:val="24"/>
          <w:lang w:eastAsia="ar-SA"/>
        </w:rPr>
        <w:t xml:space="preserve">valsts </w:t>
      </w:r>
      <w:r w:rsidR="00051CE6">
        <w:rPr>
          <w:rFonts w:eastAsia="Calibri" w:cs="Times New Roman"/>
          <w:szCs w:val="24"/>
          <w:lang w:eastAsia="ar-SA"/>
        </w:rPr>
        <w:t>budžet</w:t>
      </w:r>
      <w:r w:rsidR="00F72D20">
        <w:rPr>
          <w:rFonts w:eastAsia="Calibri" w:cs="Times New Roman"/>
          <w:szCs w:val="24"/>
          <w:lang w:eastAsia="ar-SA"/>
        </w:rPr>
        <w:t>ā</w:t>
      </w:r>
      <w:r w:rsidR="00051CE6">
        <w:rPr>
          <w:rFonts w:eastAsia="Calibri" w:cs="Times New Roman"/>
          <w:szCs w:val="24"/>
          <w:lang w:eastAsia="ar-SA"/>
        </w:rPr>
        <w:t xml:space="preserve"> </w:t>
      </w:r>
      <w:r w:rsidR="00F72D20">
        <w:rPr>
          <w:rFonts w:eastAsia="Calibri" w:cs="Times New Roman"/>
          <w:szCs w:val="24"/>
          <w:lang w:eastAsia="ar-SA"/>
        </w:rPr>
        <w:t xml:space="preserve">2016.gadam ieplānotos </w:t>
      </w:r>
      <w:r w:rsidR="00051CE6">
        <w:rPr>
          <w:rFonts w:eastAsia="Calibri" w:cs="Times New Roman"/>
          <w:szCs w:val="24"/>
          <w:lang w:eastAsia="ar-SA"/>
        </w:rPr>
        <w:t>izdevumus</w:t>
      </w:r>
      <w:r w:rsidR="00F72D20">
        <w:rPr>
          <w:rFonts w:eastAsia="Calibri" w:cs="Times New Roman"/>
          <w:szCs w:val="24"/>
          <w:lang w:eastAsia="ar-SA"/>
        </w:rPr>
        <w:t xml:space="preserve"> (346,8 milj. </w:t>
      </w:r>
      <w:r w:rsidR="00F72D20">
        <w:rPr>
          <w:rFonts w:eastAsia="Calibri" w:cs="Times New Roman"/>
          <w:i/>
          <w:szCs w:val="24"/>
          <w:lang w:eastAsia="ar-SA"/>
        </w:rPr>
        <w:t>euro</w:t>
      </w:r>
      <w:r w:rsidR="00F72D20">
        <w:rPr>
          <w:rFonts w:eastAsia="Calibri" w:cs="Times New Roman"/>
          <w:szCs w:val="24"/>
          <w:lang w:eastAsia="ar-SA"/>
        </w:rPr>
        <w:t>).</w:t>
      </w:r>
      <w:r w:rsidR="000A5C17">
        <w:rPr>
          <w:rFonts w:eastAsia="Calibri" w:cs="Times New Roman"/>
          <w:szCs w:val="24"/>
          <w:lang w:eastAsia="ar-SA"/>
        </w:rPr>
        <w:t xml:space="preserve"> </w:t>
      </w:r>
      <w:r w:rsidR="00E77AD6">
        <w:rPr>
          <w:rFonts w:eastAsia="Calibri" w:cs="Times New Roman"/>
          <w:szCs w:val="24"/>
          <w:lang w:eastAsia="ar-SA"/>
        </w:rPr>
        <w:t>Finanšu ministrija informēs valdību par 2017.gada maksājumu plānu, ņemot vērā aktualizētu 2016.gada izpildi un turpmāko gadu prognozes, 2017.gada martā, iesniedzot kārtējo pusgada progresa ziņojumu</w:t>
      </w:r>
      <w:r w:rsidR="00361D88">
        <w:rPr>
          <w:rFonts w:eastAsia="Calibri" w:cs="Times New Roman"/>
          <w:szCs w:val="24"/>
          <w:lang w:eastAsia="ar-SA"/>
        </w:rPr>
        <w:t>.</w:t>
      </w:r>
      <w:r w:rsidRPr="00537632">
        <w:rPr>
          <w:rFonts w:eastAsia="Calibri" w:cs="Times New Roman"/>
          <w:szCs w:val="24"/>
          <w:lang w:eastAsia="ar-SA"/>
        </w:rPr>
        <w:t xml:space="preserve"> </w:t>
      </w:r>
      <w:r w:rsidRPr="00537632">
        <w:rPr>
          <w:rFonts w:eastAsia="Calibri" w:cs="Times New Roman"/>
          <w:szCs w:val="24"/>
          <w:u w:val="single"/>
          <w:lang w:eastAsia="ar-SA"/>
        </w:rPr>
        <w:t>Skatīt šī ziņojuma tabulu Nr.</w:t>
      </w:r>
      <w:r w:rsidR="009A0686">
        <w:rPr>
          <w:rFonts w:eastAsia="Calibri" w:cs="Times New Roman"/>
          <w:szCs w:val="24"/>
          <w:u w:val="single"/>
          <w:lang w:eastAsia="ar-SA"/>
        </w:rPr>
        <w:t>1</w:t>
      </w:r>
      <w:r w:rsidRPr="00537632">
        <w:rPr>
          <w:rFonts w:eastAsia="Calibri" w:cs="Times New Roman"/>
          <w:szCs w:val="24"/>
          <w:u w:val="single"/>
          <w:lang w:eastAsia="ar-SA"/>
        </w:rPr>
        <w:t>.</w:t>
      </w:r>
    </w:p>
    <w:p w14:paraId="27E527ED" w14:textId="1AB0D806" w:rsidR="00684ADB" w:rsidRPr="009D277D" w:rsidRDefault="00537632" w:rsidP="009D277D">
      <w:pPr>
        <w:rPr>
          <w:rFonts w:eastAsia="Calibri" w:cs="Times New Roman"/>
          <w:b/>
          <w:i/>
          <w:sz w:val="22"/>
          <w:lang w:eastAsia="ar-SA"/>
        </w:rPr>
      </w:pPr>
      <w:r w:rsidRPr="00537632">
        <w:rPr>
          <w:rFonts w:eastAsia="Calibri" w:cs="Times New Roman"/>
          <w:b/>
          <w:i/>
          <w:sz w:val="22"/>
          <w:lang w:eastAsia="ar-SA"/>
        </w:rPr>
        <w:t>Tabula Nr.</w:t>
      </w:r>
      <w:r w:rsidR="009A0686">
        <w:rPr>
          <w:rFonts w:eastAsia="Calibri" w:cs="Times New Roman"/>
          <w:b/>
          <w:i/>
          <w:sz w:val="22"/>
          <w:lang w:eastAsia="ar-SA"/>
        </w:rPr>
        <w:t>1</w:t>
      </w:r>
      <w:r w:rsidR="00684ADB" w:rsidRPr="00537632">
        <w:rPr>
          <w:rFonts w:eastAsia="Calibri" w:cs="Times New Roman"/>
          <w:i/>
          <w:sz w:val="22"/>
          <w:lang w:eastAsia="ar-SA"/>
        </w:rPr>
        <w:t xml:space="preserve"> “2014.-2020.gadu plānošanas periods: ES fondu līdzfinansējuma maksājumu plāna izpilde līdz 2016.gada 1.</w:t>
      </w:r>
      <w:r w:rsidRPr="00537632">
        <w:rPr>
          <w:rFonts w:eastAsia="Calibri" w:cs="Times New Roman"/>
          <w:i/>
          <w:sz w:val="22"/>
          <w:lang w:eastAsia="ar-SA"/>
        </w:rPr>
        <w:t>septembrim</w:t>
      </w:r>
      <w:r w:rsidR="00684ADB" w:rsidRPr="00537632">
        <w:rPr>
          <w:rFonts w:eastAsia="Calibri" w:cs="Times New Roman"/>
          <w:i/>
          <w:sz w:val="22"/>
          <w:lang w:eastAsia="ar-SA"/>
        </w:rPr>
        <w:t>, euro.”</w:t>
      </w:r>
    </w:p>
    <w:tbl>
      <w:tblPr>
        <w:tblW w:w="9947" w:type="dxa"/>
        <w:jc w:val="center"/>
        <w:tblLayout w:type="fixed"/>
        <w:tblLook w:val="04A0" w:firstRow="1" w:lastRow="0" w:firstColumn="1" w:lastColumn="0" w:noHBand="0" w:noVBand="1"/>
      </w:tblPr>
      <w:tblGrid>
        <w:gridCol w:w="1867"/>
        <w:gridCol w:w="1276"/>
        <w:gridCol w:w="1276"/>
        <w:gridCol w:w="1241"/>
        <w:gridCol w:w="885"/>
        <w:gridCol w:w="1276"/>
        <w:gridCol w:w="850"/>
        <w:gridCol w:w="1276"/>
      </w:tblGrid>
      <w:tr w:rsidR="00F72D20" w:rsidRPr="00687CBC" w14:paraId="3F6AC84C" w14:textId="77777777" w:rsidTr="00F72D20">
        <w:trPr>
          <w:trHeight w:val="376"/>
          <w:tblHeader/>
          <w:jc w:val="center"/>
        </w:trPr>
        <w:tc>
          <w:tcPr>
            <w:tcW w:w="1867" w:type="dxa"/>
            <w:vMerge w:val="restart"/>
            <w:tcBorders>
              <w:top w:val="single" w:sz="8" w:space="0" w:color="auto"/>
              <w:left w:val="single" w:sz="8" w:space="0" w:color="auto"/>
              <w:bottom w:val="single" w:sz="8" w:space="0" w:color="000000"/>
              <w:right w:val="single" w:sz="8" w:space="0" w:color="auto"/>
            </w:tcBorders>
            <w:shd w:val="clear" w:color="auto" w:fill="E7E6E6" w:themeFill="background2"/>
            <w:noWrap/>
            <w:vAlign w:val="center"/>
            <w:hideMark/>
          </w:tcPr>
          <w:p w14:paraId="118636E1"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Prioritārais virziens</w:t>
            </w:r>
          </w:p>
        </w:tc>
        <w:tc>
          <w:tcPr>
            <w:tcW w:w="1276" w:type="dxa"/>
            <w:vMerge w:val="restart"/>
            <w:tcBorders>
              <w:top w:val="single" w:sz="8" w:space="0" w:color="auto"/>
              <w:left w:val="single" w:sz="8" w:space="0" w:color="auto"/>
              <w:right w:val="single" w:sz="8" w:space="0" w:color="auto"/>
            </w:tcBorders>
            <w:shd w:val="clear" w:color="auto" w:fill="E7E6E6" w:themeFill="background2"/>
          </w:tcPr>
          <w:p w14:paraId="20ABD19A" w14:textId="6F1FB9D0" w:rsidR="00F72D20" w:rsidRPr="00B9669F" w:rsidRDefault="00F72D20" w:rsidP="00046371">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Plāns 2016.g. kopā</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64F417F9" w14:textId="3313FBB3"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Plāns 01.01.2016. - 01.09.2016.</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03489B2E"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Faktiskā izpilde 01.01.2016. - 01.09.2016.</w:t>
            </w:r>
          </w:p>
        </w:tc>
        <w:tc>
          <w:tcPr>
            <w:tcW w:w="2161" w:type="dxa"/>
            <w:gridSpan w:val="2"/>
            <w:tcBorders>
              <w:top w:val="single" w:sz="8" w:space="0" w:color="auto"/>
              <w:left w:val="nil"/>
              <w:bottom w:val="single" w:sz="8" w:space="0" w:color="auto"/>
              <w:right w:val="single" w:sz="8" w:space="0" w:color="000000"/>
            </w:tcBorders>
            <w:shd w:val="clear" w:color="auto" w:fill="E7E6E6" w:themeFill="background2"/>
            <w:vAlign w:val="center"/>
            <w:hideMark/>
          </w:tcPr>
          <w:p w14:paraId="1375E085"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Līdz 01.09.2016.</w:t>
            </w:r>
          </w:p>
        </w:tc>
        <w:tc>
          <w:tcPr>
            <w:tcW w:w="2126" w:type="dxa"/>
            <w:gridSpan w:val="2"/>
            <w:tcBorders>
              <w:top w:val="single" w:sz="8" w:space="0" w:color="auto"/>
              <w:left w:val="nil"/>
              <w:bottom w:val="single" w:sz="8" w:space="0" w:color="auto"/>
              <w:right w:val="single" w:sz="8" w:space="0" w:color="000000"/>
            </w:tcBorders>
            <w:shd w:val="clear" w:color="auto" w:fill="E7E6E6" w:themeFill="background2"/>
            <w:vAlign w:val="center"/>
            <w:hideMark/>
          </w:tcPr>
          <w:p w14:paraId="2C3319A0"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Iepriekšējā mēnesī</w:t>
            </w:r>
          </w:p>
        </w:tc>
      </w:tr>
      <w:tr w:rsidR="00F72D20" w:rsidRPr="00687CBC" w14:paraId="3429CD48" w14:textId="77777777" w:rsidTr="00F72D20">
        <w:trPr>
          <w:trHeight w:val="508"/>
          <w:tblHeader/>
          <w:jc w:val="center"/>
        </w:trPr>
        <w:tc>
          <w:tcPr>
            <w:tcW w:w="1867" w:type="dxa"/>
            <w:vMerge/>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7E92D5C9" w14:textId="77777777" w:rsidR="00F72D20" w:rsidRPr="00B9669F" w:rsidRDefault="00F72D20" w:rsidP="00046371">
            <w:pPr>
              <w:rPr>
                <w:rFonts w:eastAsia="Times New Roman" w:cs="Times New Roman"/>
                <w:b/>
                <w:bCs/>
                <w:color w:val="000000"/>
                <w:sz w:val="20"/>
                <w:szCs w:val="20"/>
                <w:lang w:eastAsia="lv-LV"/>
              </w:rPr>
            </w:pPr>
          </w:p>
        </w:tc>
        <w:tc>
          <w:tcPr>
            <w:tcW w:w="1276" w:type="dxa"/>
            <w:vMerge/>
            <w:tcBorders>
              <w:left w:val="single" w:sz="8" w:space="0" w:color="auto"/>
              <w:bottom w:val="single" w:sz="4" w:space="0" w:color="auto"/>
              <w:right w:val="single" w:sz="8" w:space="0" w:color="auto"/>
            </w:tcBorders>
            <w:shd w:val="clear" w:color="auto" w:fill="E7E6E6" w:themeFill="background2"/>
          </w:tcPr>
          <w:p w14:paraId="3B0A6929" w14:textId="77777777" w:rsidR="00F72D20" w:rsidRPr="00B9669F" w:rsidRDefault="00F72D20" w:rsidP="00046371">
            <w:pPr>
              <w:rPr>
                <w:rFonts w:eastAsia="Times New Roman" w:cs="Times New Roman"/>
                <w:b/>
                <w:bCs/>
                <w:color w:val="000000"/>
                <w:sz w:val="20"/>
                <w:szCs w:val="20"/>
                <w:lang w:eastAsia="lv-LV"/>
              </w:rPr>
            </w:pPr>
          </w:p>
        </w:tc>
        <w:tc>
          <w:tcPr>
            <w:tcW w:w="1276" w:type="dxa"/>
            <w:vMerge/>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6220797A" w14:textId="7A94D709" w:rsidR="00F72D20" w:rsidRPr="00B9669F" w:rsidRDefault="00F72D20" w:rsidP="00046371">
            <w:pPr>
              <w:rPr>
                <w:rFonts w:eastAsia="Times New Roman" w:cs="Times New Roman"/>
                <w:b/>
                <w:bCs/>
                <w:color w:val="000000"/>
                <w:sz w:val="20"/>
                <w:szCs w:val="20"/>
                <w:lang w:eastAsia="lv-LV"/>
              </w:rPr>
            </w:pPr>
          </w:p>
        </w:tc>
        <w:tc>
          <w:tcPr>
            <w:tcW w:w="1241" w:type="dxa"/>
            <w:vMerge/>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12E12819" w14:textId="77777777" w:rsidR="00F72D20" w:rsidRPr="00B9669F" w:rsidRDefault="00F72D20" w:rsidP="00046371">
            <w:pPr>
              <w:rPr>
                <w:rFonts w:eastAsia="Times New Roman" w:cs="Times New Roman"/>
                <w:b/>
                <w:bCs/>
                <w:color w:val="000000"/>
                <w:sz w:val="20"/>
                <w:szCs w:val="20"/>
                <w:lang w:eastAsia="lv-LV"/>
              </w:rPr>
            </w:pPr>
          </w:p>
        </w:tc>
        <w:tc>
          <w:tcPr>
            <w:tcW w:w="885" w:type="dxa"/>
            <w:tcBorders>
              <w:top w:val="nil"/>
              <w:left w:val="single" w:sz="8" w:space="0" w:color="auto"/>
              <w:bottom w:val="single" w:sz="8" w:space="0" w:color="000000"/>
              <w:right w:val="single" w:sz="8" w:space="0" w:color="auto"/>
            </w:tcBorders>
            <w:shd w:val="clear" w:color="auto" w:fill="E7E6E6" w:themeFill="background2"/>
            <w:vAlign w:val="center"/>
            <w:hideMark/>
          </w:tcPr>
          <w:p w14:paraId="62CBF456"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Izpilde,%</w:t>
            </w:r>
          </w:p>
        </w:tc>
        <w:tc>
          <w:tcPr>
            <w:tcW w:w="1276" w:type="dxa"/>
            <w:tcBorders>
              <w:top w:val="nil"/>
              <w:left w:val="nil"/>
              <w:bottom w:val="single" w:sz="4" w:space="0" w:color="auto"/>
              <w:right w:val="single" w:sz="8" w:space="0" w:color="auto"/>
            </w:tcBorders>
            <w:shd w:val="clear" w:color="auto" w:fill="E7E6E6" w:themeFill="background2"/>
            <w:vAlign w:val="center"/>
            <w:hideMark/>
          </w:tcPr>
          <w:p w14:paraId="45697C5B"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Neizpilde (-)</w:t>
            </w:r>
          </w:p>
          <w:p w14:paraId="7AD48539" w14:textId="77777777" w:rsidR="00F72D20" w:rsidRPr="00B9669F" w:rsidRDefault="00F72D20" w:rsidP="00046371">
            <w:pP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w:t>
            </w:r>
            <w:proofErr w:type="spellStart"/>
            <w:r w:rsidRPr="00B9669F">
              <w:rPr>
                <w:rFonts w:eastAsia="Times New Roman" w:cs="Times New Roman"/>
                <w:b/>
                <w:bCs/>
                <w:color w:val="000000"/>
                <w:sz w:val="20"/>
                <w:szCs w:val="20"/>
                <w:lang w:eastAsia="lv-LV"/>
              </w:rPr>
              <w:t>pārpilde</w:t>
            </w:r>
            <w:proofErr w:type="spellEnd"/>
            <w:r w:rsidRPr="00B9669F">
              <w:rPr>
                <w:rFonts w:eastAsia="Times New Roman" w:cs="Times New Roman"/>
                <w:b/>
                <w:bCs/>
                <w:color w:val="000000"/>
                <w:sz w:val="20"/>
                <w:szCs w:val="20"/>
                <w:lang w:eastAsia="lv-LV"/>
              </w:rPr>
              <w:t>(+)</w:t>
            </w:r>
          </w:p>
        </w:tc>
        <w:tc>
          <w:tcPr>
            <w:tcW w:w="850" w:type="dxa"/>
            <w:tcBorders>
              <w:top w:val="nil"/>
              <w:left w:val="single" w:sz="8" w:space="0" w:color="auto"/>
              <w:bottom w:val="single" w:sz="8" w:space="0" w:color="000000"/>
              <w:right w:val="single" w:sz="8" w:space="0" w:color="auto"/>
            </w:tcBorders>
            <w:shd w:val="clear" w:color="auto" w:fill="E7E6E6" w:themeFill="background2"/>
            <w:vAlign w:val="center"/>
            <w:hideMark/>
          </w:tcPr>
          <w:p w14:paraId="4607D790"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Izpilde,%</w:t>
            </w:r>
          </w:p>
        </w:tc>
        <w:tc>
          <w:tcPr>
            <w:tcW w:w="1276" w:type="dxa"/>
            <w:tcBorders>
              <w:top w:val="nil"/>
              <w:left w:val="nil"/>
              <w:bottom w:val="single" w:sz="4" w:space="0" w:color="auto"/>
              <w:right w:val="single" w:sz="8" w:space="0" w:color="auto"/>
            </w:tcBorders>
            <w:shd w:val="clear" w:color="auto" w:fill="E7E6E6" w:themeFill="background2"/>
            <w:vAlign w:val="center"/>
            <w:hideMark/>
          </w:tcPr>
          <w:p w14:paraId="35E592E5"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Neizpilde (-)</w:t>
            </w:r>
          </w:p>
          <w:p w14:paraId="43411E07" w14:textId="77777777" w:rsidR="00F72D20" w:rsidRPr="00B9669F" w:rsidRDefault="00F72D20" w:rsidP="00046371">
            <w:pPr>
              <w:jc w:val="cente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w:t>
            </w:r>
            <w:proofErr w:type="spellStart"/>
            <w:r w:rsidRPr="00B9669F">
              <w:rPr>
                <w:rFonts w:eastAsia="Times New Roman" w:cs="Times New Roman"/>
                <w:b/>
                <w:bCs/>
                <w:color w:val="000000"/>
                <w:sz w:val="20"/>
                <w:szCs w:val="20"/>
                <w:lang w:eastAsia="lv-LV"/>
              </w:rPr>
              <w:t>pārpilde</w:t>
            </w:r>
            <w:proofErr w:type="spellEnd"/>
            <w:r w:rsidRPr="00B9669F">
              <w:rPr>
                <w:rFonts w:eastAsia="Times New Roman" w:cs="Times New Roman"/>
                <w:b/>
                <w:bCs/>
                <w:color w:val="000000"/>
                <w:sz w:val="20"/>
                <w:szCs w:val="20"/>
                <w:lang w:eastAsia="lv-LV"/>
              </w:rPr>
              <w:t>(+)</w:t>
            </w:r>
          </w:p>
        </w:tc>
      </w:tr>
      <w:tr w:rsidR="00F72D20" w:rsidRPr="00687CBC" w14:paraId="1133C3A2" w14:textId="77777777" w:rsidTr="00F72D20">
        <w:trPr>
          <w:trHeight w:val="285"/>
          <w:jc w:val="center"/>
        </w:trPr>
        <w:tc>
          <w:tcPr>
            <w:tcW w:w="1867" w:type="dxa"/>
            <w:tcBorders>
              <w:top w:val="nil"/>
              <w:left w:val="single" w:sz="8" w:space="0" w:color="auto"/>
              <w:bottom w:val="single" w:sz="8" w:space="0" w:color="auto"/>
              <w:right w:val="single" w:sz="4" w:space="0" w:color="auto"/>
            </w:tcBorders>
            <w:shd w:val="clear" w:color="auto" w:fill="auto"/>
            <w:noWrap/>
            <w:vAlign w:val="center"/>
            <w:hideMark/>
          </w:tcPr>
          <w:p w14:paraId="42B51BB9"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1.Pētniecība tehnoloģiju attīstība un inovācijas</w:t>
            </w:r>
          </w:p>
        </w:tc>
        <w:tc>
          <w:tcPr>
            <w:tcW w:w="1276" w:type="dxa"/>
            <w:tcBorders>
              <w:top w:val="nil"/>
              <w:left w:val="nil"/>
              <w:bottom w:val="single" w:sz="8" w:space="0" w:color="auto"/>
              <w:right w:val="single" w:sz="8" w:space="0" w:color="auto"/>
            </w:tcBorders>
            <w:shd w:val="clear" w:color="auto" w:fill="auto"/>
            <w:vAlign w:val="center"/>
          </w:tcPr>
          <w:p w14:paraId="20C5DF64" w14:textId="796247D9" w:rsidR="00F72D20" w:rsidRPr="00F72D20" w:rsidRDefault="00F72D20" w:rsidP="00F72D20">
            <w:pPr>
              <w:jc w:val="center"/>
              <w:rPr>
                <w:color w:val="000000"/>
                <w:sz w:val="20"/>
                <w:szCs w:val="20"/>
              </w:rPr>
            </w:pPr>
            <w:r w:rsidRPr="00F72D20">
              <w:rPr>
                <w:color w:val="000000"/>
                <w:sz w:val="20"/>
                <w:szCs w:val="20"/>
              </w:rPr>
              <w:t>11 137 430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38F55682" w14:textId="19710B29"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1 133 697</w:t>
            </w:r>
          </w:p>
        </w:tc>
        <w:tc>
          <w:tcPr>
            <w:tcW w:w="1241" w:type="dxa"/>
            <w:tcBorders>
              <w:top w:val="nil"/>
              <w:left w:val="nil"/>
              <w:bottom w:val="single" w:sz="8" w:space="0" w:color="auto"/>
              <w:right w:val="single" w:sz="8" w:space="0" w:color="auto"/>
            </w:tcBorders>
            <w:shd w:val="clear" w:color="auto" w:fill="auto"/>
            <w:vAlign w:val="center"/>
            <w:hideMark/>
          </w:tcPr>
          <w:p w14:paraId="37048BF3"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593 400</w:t>
            </w:r>
          </w:p>
        </w:tc>
        <w:tc>
          <w:tcPr>
            <w:tcW w:w="885" w:type="dxa"/>
            <w:tcBorders>
              <w:top w:val="nil"/>
              <w:left w:val="nil"/>
              <w:bottom w:val="single" w:sz="8" w:space="0" w:color="auto"/>
              <w:right w:val="single" w:sz="8" w:space="0" w:color="auto"/>
            </w:tcBorders>
            <w:shd w:val="clear" w:color="auto" w:fill="auto"/>
            <w:noWrap/>
            <w:vAlign w:val="center"/>
            <w:hideMark/>
          </w:tcPr>
          <w:p w14:paraId="4479B122"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1008" behindDoc="0" locked="0" layoutInCell="1" allowOverlap="1" wp14:anchorId="1E5BCA29" wp14:editId="56DD7F3F">
                      <wp:simplePos x="0" y="0"/>
                      <wp:positionH relativeFrom="column">
                        <wp:posOffset>354330</wp:posOffset>
                      </wp:positionH>
                      <wp:positionV relativeFrom="paragraph">
                        <wp:posOffset>635</wp:posOffset>
                      </wp:positionV>
                      <wp:extent cx="111125" cy="150495"/>
                      <wp:effectExtent l="19050" t="0" r="41275" b="40005"/>
                      <wp:wrapNone/>
                      <wp:docPr id="16" name="Down Arrow 16"/>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F7A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7.9pt;margin-top:.05pt;width:8.75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" adj="13625" fillcolor="#ed7d31" strokecolor="#ae5a21" strokeweight="1pt"/>
                  </w:pict>
                </mc:Fallback>
              </mc:AlternateContent>
            </w:r>
            <w:r>
              <w:rPr>
                <w:color w:val="000000"/>
                <w:sz w:val="20"/>
                <w:szCs w:val="20"/>
              </w:rPr>
              <w:t>52,3</w:t>
            </w:r>
          </w:p>
        </w:tc>
        <w:tc>
          <w:tcPr>
            <w:tcW w:w="1276" w:type="dxa"/>
            <w:tcBorders>
              <w:top w:val="nil"/>
              <w:left w:val="nil"/>
              <w:bottom w:val="single" w:sz="8" w:space="0" w:color="auto"/>
              <w:right w:val="single" w:sz="8" w:space="0" w:color="auto"/>
            </w:tcBorders>
            <w:shd w:val="clear" w:color="auto" w:fill="auto"/>
            <w:vAlign w:val="center"/>
            <w:hideMark/>
          </w:tcPr>
          <w:p w14:paraId="0B8D469D"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-540 297</w:t>
            </w:r>
          </w:p>
        </w:tc>
        <w:tc>
          <w:tcPr>
            <w:tcW w:w="850" w:type="dxa"/>
            <w:tcBorders>
              <w:top w:val="nil"/>
              <w:left w:val="nil"/>
              <w:bottom w:val="single" w:sz="8" w:space="0" w:color="auto"/>
              <w:right w:val="single" w:sz="8" w:space="0" w:color="auto"/>
            </w:tcBorders>
            <w:shd w:val="clear" w:color="auto" w:fill="auto"/>
            <w:vAlign w:val="center"/>
            <w:hideMark/>
          </w:tcPr>
          <w:p w14:paraId="45DA9FAB"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hideMark/>
          </w:tcPr>
          <w:p w14:paraId="6F2C4A85" w14:textId="4BF45E81" w:rsidR="00F72D20" w:rsidRPr="00F72D20" w:rsidRDefault="00F72D20" w:rsidP="00F72D20">
            <w:pPr>
              <w:jc w:val="center"/>
              <w:rPr>
                <w:rFonts w:eastAsia="Times New Roman" w:cs="Times New Roman"/>
                <w:color w:val="000000"/>
                <w:sz w:val="20"/>
                <w:szCs w:val="20"/>
                <w:highlight w:val="yellow"/>
                <w:lang w:eastAsia="lv-LV"/>
              </w:rPr>
            </w:pPr>
            <w:r w:rsidRPr="00F72D20">
              <w:rPr>
                <w:color w:val="000000"/>
                <w:sz w:val="20"/>
                <w:szCs w:val="20"/>
                <w:lang w:eastAsia="lv-LV"/>
              </w:rPr>
              <w:t>593 400</w:t>
            </w:r>
          </w:p>
        </w:tc>
      </w:tr>
      <w:tr w:rsidR="00F72D20" w:rsidRPr="00687CBC" w14:paraId="57D4389E" w14:textId="77777777" w:rsidTr="00A30D07">
        <w:trPr>
          <w:trHeight w:val="285"/>
          <w:jc w:val="center"/>
        </w:trPr>
        <w:tc>
          <w:tcPr>
            <w:tcW w:w="1867" w:type="dxa"/>
            <w:tcBorders>
              <w:top w:val="nil"/>
              <w:left w:val="single" w:sz="8" w:space="0" w:color="auto"/>
              <w:bottom w:val="single" w:sz="8" w:space="0" w:color="auto"/>
              <w:right w:val="single" w:sz="4" w:space="0" w:color="auto"/>
            </w:tcBorders>
            <w:shd w:val="clear" w:color="auto" w:fill="auto"/>
            <w:noWrap/>
            <w:vAlign w:val="center"/>
          </w:tcPr>
          <w:p w14:paraId="713290FC" w14:textId="1C380994" w:rsidR="00F72D20" w:rsidRPr="00F72D20" w:rsidRDefault="00F72D20" w:rsidP="00F72D20">
            <w:pPr>
              <w:rPr>
                <w:rFonts w:eastAsia="Times New Roman" w:cs="Times New Roman"/>
                <w:color w:val="000000"/>
                <w:sz w:val="20"/>
                <w:szCs w:val="20"/>
                <w:lang w:eastAsia="lv-LV"/>
              </w:rPr>
            </w:pPr>
            <w:r>
              <w:rPr>
                <w:rFonts w:eastAsia="Times New Roman" w:cs="Times New Roman"/>
                <w:color w:val="000000"/>
                <w:sz w:val="20"/>
                <w:szCs w:val="20"/>
                <w:lang w:eastAsia="lv-LV"/>
              </w:rPr>
              <w:t>2.</w:t>
            </w:r>
            <w:r w:rsidRPr="00F72D20">
              <w:rPr>
                <w:rFonts w:eastAsia="Times New Roman" w:cs="Times New Roman"/>
                <w:color w:val="000000"/>
                <w:sz w:val="20"/>
                <w:szCs w:val="20"/>
                <w:lang w:eastAsia="lv-LV"/>
              </w:rPr>
              <w:t>IKT pieejamība, e-pārvalde un pakalpojumi</w:t>
            </w:r>
          </w:p>
        </w:tc>
        <w:tc>
          <w:tcPr>
            <w:tcW w:w="1276" w:type="dxa"/>
            <w:tcBorders>
              <w:top w:val="nil"/>
              <w:left w:val="nil"/>
              <w:bottom w:val="single" w:sz="8" w:space="0" w:color="auto"/>
              <w:right w:val="single" w:sz="8" w:space="0" w:color="auto"/>
            </w:tcBorders>
            <w:shd w:val="clear" w:color="auto" w:fill="auto"/>
            <w:vAlign w:val="center"/>
          </w:tcPr>
          <w:p w14:paraId="3BF11759" w14:textId="4A6B3655" w:rsidR="00F72D20" w:rsidRPr="00F72D20" w:rsidRDefault="00F72D20" w:rsidP="00F72D20">
            <w:pPr>
              <w:jc w:val="center"/>
              <w:rPr>
                <w:color w:val="000000"/>
                <w:sz w:val="20"/>
                <w:szCs w:val="20"/>
              </w:rPr>
            </w:pPr>
            <w:r w:rsidRPr="00F72D20">
              <w:rPr>
                <w:color w:val="000000"/>
                <w:sz w:val="20"/>
                <w:szCs w:val="20"/>
              </w:rPr>
              <w:t>9 340 843</w:t>
            </w:r>
          </w:p>
        </w:tc>
        <w:tc>
          <w:tcPr>
            <w:tcW w:w="1276" w:type="dxa"/>
            <w:tcBorders>
              <w:top w:val="nil"/>
              <w:left w:val="single" w:sz="4" w:space="0" w:color="auto"/>
              <w:bottom w:val="single" w:sz="8" w:space="0" w:color="auto"/>
              <w:right w:val="single" w:sz="8" w:space="0" w:color="auto"/>
            </w:tcBorders>
            <w:shd w:val="clear" w:color="auto" w:fill="auto"/>
            <w:vAlign w:val="center"/>
          </w:tcPr>
          <w:p w14:paraId="2B19784A" w14:textId="5162360B" w:rsidR="00F72D20" w:rsidRDefault="00F72D20" w:rsidP="00F72D20">
            <w:pPr>
              <w:jc w:val="center"/>
              <w:rPr>
                <w:color w:val="000000"/>
                <w:sz w:val="20"/>
                <w:szCs w:val="20"/>
              </w:rPr>
            </w:pPr>
            <w:r>
              <w:rPr>
                <w:color w:val="000000"/>
                <w:sz w:val="20"/>
                <w:szCs w:val="20"/>
              </w:rPr>
              <w:t>-</w:t>
            </w:r>
          </w:p>
        </w:tc>
        <w:tc>
          <w:tcPr>
            <w:tcW w:w="1241" w:type="dxa"/>
            <w:tcBorders>
              <w:top w:val="nil"/>
              <w:left w:val="nil"/>
              <w:bottom w:val="single" w:sz="8" w:space="0" w:color="auto"/>
              <w:right w:val="single" w:sz="8" w:space="0" w:color="auto"/>
            </w:tcBorders>
            <w:shd w:val="clear" w:color="auto" w:fill="auto"/>
            <w:vAlign w:val="center"/>
          </w:tcPr>
          <w:p w14:paraId="0B288940" w14:textId="3FC0215B" w:rsidR="00F72D20" w:rsidRDefault="00F72D20" w:rsidP="00F72D20">
            <w:pPr>
              <w:jc w:val="center"/>
              <w:rPr>
                <w:color w:val="000000"/>
                <w:sz w:val="20"/>
                <w:szCs w:val="20"/>
              </w:rPr>
            </w:pPr>
            <w:r>
              <w:rPr>
                <w:color w:val="000000"/>
                <w:sz w:val="20"/>
                <w:szCs w:val="20"/>
              </w:rPr>
              <w:t>-</w:t>
            </w:r>
          </w:p>
        </w:tc>
        <w:tc>
          <w:tcPr>
            <w:tcW w:w="885" w:type="dxa"/>
            <w:tcBorders>
              <w:top w:val="nil"/>
              <w:left w:val="nil"/>
              <w:bottom w:val="single" w:sz="8" w:space="0" w:color="auto"/>
              <w:right w:val="single" w:sz="8" w:space="0" w:color="auto"/>
            </w:tcBorders>
            <w:shd w:val="clear" w:color="auto" w:fill="auto"/>
            <w:noWrap/>
            <w:vAlign w:val="center"/>
          </w:tcPr>
          <w:p w14:paraId="2D2611FA" w14:textId="48CC8656" w:rsidR="00F72D20" w:rsidRPr="00687CBC" w:rsidRDefault="00F72D20" w:rsidP="00F72D20">
            <w:pPr>
              <w:jc w:val="center"/>
              <w:rPr>
                <w:rFonts w:eastAsia="Times New Roman" w:cs="Times New Roman"/>
                <w:noProof/>
                <w:color w:val="000000"/>
                <w:sz w:val="20"/>
                <w:szCs w:val="20"/>
                <w:highlight w:val="yellow"/>
                <w:lang w:eastAsia="lv-LV"/>
              </w:rPr>
            </w:pPr>
            <w:r w:rsidRPr="00F72D20">
              <w:rPr>
                <w:rFonts w:eastAsia="Times New Roman" w:cs="Times New Roman"/>
                <w:noProof/>
                <w:color w:val="000000"/>
                <w:sz w:val="20"/>
                <w:szCs w:val="20"/>
                <w:lang w:eastAsia="lv-LV"/>
              </w:rPr>
              <w:t>-</w:t>
            </w:r>
          </w:p>
        </w:tc>
        <w:tc>
          <w:tcPr>
            <w:tcW w:w="1276" w:type="dxa"/>
            <w:tcBorders>
              <w:top w:val="nil"/>
              <w:left w:val="nil"/>
              <w:bottom w:val="single" w:sz="8" w:space="0" w:color="auto"/>
              <w:right w:val="single" w:sz="8" w:space="0" w:color="auto"/>
            </w:tcBorders>
            <w:shd w:val="clear" w:color="auto" w:fill="auto"/>
            <w:vAlign w:val="center"/>
          </w:tcPr>
          <w:p w14:paraId="288C605D" w14:textId="694A68C2" w:rsidR="00F72D20" w:rsidRDefault="00F72D20" w:rsidP="00F72D20">
            <w:pPr>
              <w:jc w:val="center"/>
              <w:rPr>
                <w:color w:val="000000"/>
                <w:sz w:val="20"/>
                <w:szCs w:val="20"/>
              </w:rPr>
            </w:pPr>
            <w:r>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14:paraId="2C59A0A2" w14:textId="66A1BA4F" w:rsidR="00F72D20" w:rsidRDefault="00F72D20" w:rsidP="00F72D20">
            <w:pPr>
              <w:jc w:val="center"/>
              <w:rPr>
                <w:color w:val="000000"/>
                <w:sz w:val="20"/>
                <w:szCs w:val="20"/>
              </w:rPr>
            </w:pPr>
            <w:r>
              <w:rPr>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tcPr>
          <w:p w14:paraId="05744052" w14:textId="65754EC0" w:rsidR="00F72D20" w:rsidRDefault="00F72D20" w:rsidP="00F72D20">
            <w:pPr>
              <w:jc w:val="center"/>
              <w:rPr>
                <w:color w:val="000000"/>
                <w:sz w:val="20"/>
                <w:szCs w:val="20"/>
              </w:rPr>
            </w:pPr>
            <w:r>
              <w:rPr>
                <w:color w:val="000000"/>
                <w:sz w:val="20"/>
                <w:szCs w:val="20"/>
              </w:rPr>
              <w:t>-</w:t>
            </w:r>
          </w:p>
        </w:tc>
      </w:tr>
      <w:tr w:rsidR="00F72D20" w:rsidRPr="00687CBC" w14:paraId="7D7367C3" w14:textId="77777777" w:rsidTr="00A30D07">
        <w:trPr>
          <w:trHeight w:val="285"/>
          <w:jc w:val="center"/>
        </w:trPr>
        <w:tc>
          <w:tcPr>
            <w:tcW w:w="1867" w:type="dxa"/>
            <w:tcBorders>
              <w:top w:val="nil"/>
              <w:left w:val="single" w:sz="8" w:space="0" w:color="auto"/>
              <w:bottom w:val="single" w:sz="8" w:space="0" w:color="auto"/>
              <w:right w:val="single" w:sz="4" w:space="0" w:color="auto"/>
            </w:tcBorders>
            <w:shd w:val="clear" w:color="auto" w:fill="auto"/>
            <w:noWrap/>
            <w:vAlign w:val="center"/>
          </w:tcPr>
          <w:p w14:paraId="09E4E650"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3.Mazo un vidējo komersantu konkurētspēja</w:t>
            </w:r>
          </w:p>
        </w:tc>
        <w:tc>
          <w:tcPr>
            <w:tcW w:w="1276" w:type="dxa"/>
            <w:tcBorders>
              <w:top w:val="nil"/>
              <w:left w:val="nil"/>
              <w:bottom w:val="single" w:sz="8" w:space="0" w:color="auto"/>
              <w:right w:val="single" w:sz="8" w:space="0" w:color="auto"/>
            </w:tcBorders>
            <w:shd w:val="clear" w:color="auto" w:fill="auto"/>
            <w:vAlign w:val="center"/>
          </w:tcPr>
          <w:p w14:paraId="437B0BC4" w14:textId="0E10474E" w:rsidR="00F72D20" w:rsidRPr="00F72D20" w:rsidRDefault="00F72D20" w:rsidP="00F72D20">
            <w:pPr>
              <w:jc w:val="center"/>
              <w:rPr>
                <w:color w:val="000000"/>
                <w:sz w:val="20"/>
                <w:szCs w:val="20"/>
              </w:rPr>
            </w:pPr>
            <w:r w:rsidRPr="00F72D20">
              <w:rPr>
                <w:color w:val="000000"/>
                <w:sz w:val="20"/>
                <w:szCs w:val="20"/>
              </w:rPr>
              <w:t>30 075 247</w:t>
            </w:r>
          </w:p>
        </w:tc>
        <w:tc>
          <w:tcPr>
            <w:tcW w:w="1276" w:type="dxa"/>
            <w:tcBorders>
              <w:top w:val="nil"/>
              <w:left w:val="single" w:sz="4" w:space="0" w:color="auto"/>
              <w:bottom w:val="single" w:sz="8" w:space="0" w:color="auto"/>
              <w:right w:val="single" w:sz="8" w:space="0" w:color="auto"/>
            </w:tcBorders>
            <w:shd w:val="clear" w:color="auto" w:fill="auto"/>
            <w:vAlign w:val="center"/>
          </w:tcPr>
          <w:p w14:paraId="2D6430FA" w14:textId="6217BB58"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8 850 306</w:t>
            </w:r>
          </w:p>
        </w:tc>
        <w:tc>
          <w:tcPr>
            <w:tcW w:w="1241" w:type="dxa"/>
            <w:tcBorders>
              <w:top w:val="nil"/>
              <w:left w:val="nil"/>
              <w:bottom w:val="single" w:sz="8" w:space="0" w:color="auto"/>
              <w:right w:val="single" w:sz="8" w:space="0" w:color="auto"/>
            </w:tcBorders>
            <w:shd w:val="clear" w:color="auto" w:fill="auto"/>
            <w:vAlign w:val="center"/>
          </w:tcPr>
          <w:p w14:paraId="77B7BD36"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30 122 932</w:t>
            </w:r>
          </w:p>
        </w:tc>
        <w:tc>
          <w:tcPr>
            <w:tcW w:w="885" w:type="dxa"/>
            <w:tcBorders>
              <w:top w:val="nil"/>
              <w:left w:val="nil"/>
              <w:bottom w:val="single" w:sz="8" w:space="0" w:color="auto"/>
              <w:right w:val="single" w:sz="8" w:space="0" w:color="auto"/>
            </w:tcBorders>
            <w:shd w:val="clear" w:color="auto" w:fill="auto"/>
            <w:noWrap/>
            <w:vAlign w:val="center"/>
          </w:tcPr>
          <w:p w14:paraId="5EE2AB04"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2032" behindDoc="0" locked="0" layoutInCell="1" allowOverlap="1" wp14:anchorId="0F5F075B" wp14:editId="63BE0175">
                      <wp:simplePos x="0" y="0"/>
                      <wp:positionH relativeFrom="column">
                        <wp:posOffset>375920</wp:posOffset>
                      </wp:positionH>
                      <wp:positionV relativeFrom="paragraph">
                        <wp:posOffset>635</wp:posOffset>
                      </wp:positionV>
                      <wp:extent cx="111125" cy="150495"/>
                      <wp:effectExtent l="19050" t="0" r="41275" b="40005"/>
                      <wp:wrapNone/>
                      <wp:docPr id="17" name="Down Arrow 17"/>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F39CB" id="Down Arrow 17" o:spid="_x0000_s1026" type="#_x0000_t67" style="position:absolute;margin-left:29.6pt;margin-top:.05pt;width:8.75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" adj="13625" fillcolor="#ed7d31" strokecolor="#ae5a21" strokeweight="1pt"/>
                  </w:pict>
                </mc:Fallback>
              </mc:AlternateContent>
            </w:r>
            <w:r>
              <w:rPr>
                <w:color w:val="000000"/>
                <w:sz w:val="20"/>
                <w:szCs w:val="20"/>
              </w:rPr>
              <w:t>340,4</w:t>
            </w:r>
          </w:p>
        </w:tc>
        <w:tc>
          <w:tcPr>
            <w:tcW w:w="1276" w:type="dxa"/>
            <w:tcBorders>
              <w:top w:val="nil"/>
              <w:left w:val="nil"/>
              <w:bottom w:val="single" w:sz="8" w:space="0" w:color="auto"/>
              <w:right w:val="single" w:sz="8" w:space="0" w:color="auto"/>
            </w:tcBorders>
            <w:shd w:val="clear" w:color="auto" w:fill="auto"/>
            <w:vAlign w:val="center"/>
          </w:tcPr>
          <w:p w14:paraId="38C78F98"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21 272 626</w:t>
            </w:r>
          </w:p>
        </w:tc>
        <w:tc>
          <w:tcPr>
            <w:tcW w:w="850" w:type="dxa"/>
            <w:tcBorders>
              <w:top w:val="nil"/>
              <w:left w:val="nil"/>
              <w:bottom w:val="single" w:sz="8" w:space="0" w:color="auto"/>
              <w:right w:val="single" w:sz="8" w:space="0" w:color="auto"/>
            </w:tcBorders>
            <w:shd w:val="clear" w:color="auto" w:fill="auto"/>
            <w:vAlign w:val="center"/>
          </w:tcPr>
          <w:p w14:paraId="5ADC9D93"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1726,6</w:t>
            </w:r>
          </w:p>
        </w:tc>
        <w:tc>
          <w:tcPr>
            <w:tcW w:w="1276" w:type="dxa"/>
            <w:tcBorders>
              <w:top w:val="nil"/>
              <w:left w:val="nil"/>
              <w:bottom w:val="single" w:sz="8" w:space="0" w:color="auto"/>
              <w:right w:val="single" w:sz="8" w:space="0" w:color="auto"/>
            </w:tcBorders>
            <w:shd w:val="clear" w:color="auto" w:fill="auto"/>
            <w:vAlign w:val="center"/>
          </w:tcPr>
          <w:p w14:paraId="5C95E4B2"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27 922 465</w:t>
            </w:r>
          </w:p>
        </w:tc>
      </w:tr>
      <w:tr w:rsidR="00F72D20" w:rsidRPr="00687CBC" w14:paraId="111C29ED" w14:textId="77777777" w:rsidTr="00F72D20">
        <w:trPr>
          <w:trHeight w:val="285"/>
          <w:jc w:val="center"/>
        </w:trPr>
        <w:tc>
          <w:tcPr>
            <w:tcW w:w="1867" w:type="dxa"/>
            <w:tcBorders>
              <w:top w:val="nil"/>
              <w:left w:val="single" w:sz="8" w:space="0" w:color="auto"/>
              <w:bottom w:val="single" w:sz="8" w:space="0" w:color="auto"/>
              <w:right w:val="single" w:sz="4" w:space="0" w:color="auto"/>
            </w:tcBorders>
            <w:shd w:val="clear" w:color="auto" w:fill="auto"/>
            <w:noWrap/>
            <w:vAlign w:val="center"/>
            <w:hideMark/>
          </w:tcPr>
          <w:p w14:paraId="4F60A1A5"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4.</w:t>
            </w:r>
            <w:r w:rsidRPr="00B9669F">
              <w:rPr>
                <w:rFonts w:eastAsia="Times New Roman" w:cs="Times New Roman"/>
                <w:color w:val="000000"/>
                <w:szCs w:val="24"/>
                <w:lang w:eastAsia="lv-LV"/>
              </w:rPr>
              <w:t xml:space="preserve"> </w:t>
            </w:r>
            <w:r w:rsidRPr="00B9669F">
              <w:rPr>
                <w:rFonts w:eastAsia="Times New Roman" w:cs="Times New Roman"/>
                <w:color w:val="000000"/>
                <w:sz w:val="20"/>
                <w:szCs w:val="20"/>
                <w:lang w:eastAsia="lv-LV"/>
              </w:rPr>
              <w:t>Pāreja uz ekonomiku ar zemu oglekļa emisijas līmeni visās nozarēs</w:t>
            </w:r>
          </w:p>
        </w:tc>
        <w:tc>
          <w:tcPr>
            <w:tcW w:w="1276" w:type="dxa"/>
            <w:tcBorders>
              <w:top w:val="nil"/>
              <w:left w:val="nil"/>
              <w:bottom w:val="single" w:sz="8" w:space="0" w:color="auto"/>
              <w:right w:val="single" w:sz="8" w:space="0" w:color="auto"/>
            </w:tcBorders>
            <w:shd w:val="clear" w:color="auto" w:fill="auto"/>
            <w:vAlign w:val="center"/>
          </w:tcPr>
          <w:p w14:paraId="441A60BD" w14:textId="218C2872" w:rsidR="00F72D20" w:rsidRPr="00F72D20" w:rsidRDefault="00F72D20" w:rsidP="00F72D20">
            <w:pPr>
              <w:jc w:val="center"/>
              <w:rPr>
                <w:color w:val="000000"/>
                <w:sz w:val="20"/>
                <w:szCs w:val="20"/>
              </w:rPr>
            </w:pPr>
            <w:r w:rsidRPr="00F72D20">
              <w:rPr>
                <w:color w:val="000000"/>
                <w:sz w:val="20"/>
                <w:szCs w:val="20"/>
              </w:rPr>
              <w:t>19 368 881</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49260FE2" w14:textId="627F2E26"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5 383 700</w:t>
            </w:r>
          </w:p>
        </w:tc>
        <w:tc>
          <w:tcPr>
            <w:tcW w:w="1241" w:type="dxa"/>
            <w:tcBorders>
              <w:top w:val="nil"/>
              <w:left w:val="nil"/>
              <w:bottom w:val="single" w:sz="8" w:space="0" w:color="auto"/>
              <w:right w:val="single" w:sz="8" w:space="0" w:color="auto"/>
            </w:tcBorders>
            <w:shd w:val="clear" w:color="auto" w:fill="auto"/>
            <w:vAlign w:val="center"/>
            <w:hideMark/>
          </w:tcPr>
          <w:p w14:paraId="543C1BE1"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17 790</w:t>
            </w:r>
          </w:p>
        </w:tc>
        <w:tc>
          <w:tcPr>
            <w:tcW w:w="885" w:type="dxa"/>
            <w:tcBorders>
              <w:top w:val="nil"/>
              <w:left w:val="nil"/>
              <w:bottom w:val="single" w:sz="8" w:space="0" w:color="auto"/>
              <w:right w:val="single" w:sz="8" w:space="0" w:color="auto"/>
            </w:tcBorders>
            <w:shd w:val="clear" w:color="auto" w:fill="auto"/>
            <w:noWrap/>
            <w:vAlign w:val="center"/>
            <w:hideMark/>
          </w:tcPr>
          <w:p w14:paraId="21066B38"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3056" behindDoc="0" locked="0" layoutInCell="1" allowOverlap="1" wp14:anchorId="5154BE63" wp14:editId="33489EDF">
                      <wp:simplePos x="0" y="0"/>
                      <wp:positionH relativeFrom="column">
                        <wp:posOffset>363855</wp:posOffset>
                      </wp:positionH>
                      <wp:positionV relativeFrom="paragraph">
                        <wp:posOffset>19050</wp:posOffset>
                      </wp:positionV>
                      <wp:extent cx="102870" cy="158750"/>
                      <wp:effectExtent l="19050" t="19050" r="30480" b="12700"/>
                      <wp:wrapNone/>
                      <wp:docPr id="19" name="Up Arrow 19"/>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9B3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28.65pt;margin-top:1.5pt;width:8.1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" adj="7020" fillcolor="#70ad47" strokecolor="#507e32" strokeweight="1pt"/>
                  </w:pict>
                </mc:Fallback>
              </mc:AlternateContent>
            </w:r>
            <w:r>
              <w:rPr>
                <w:color w:val="000000"/>
                <w:sz w:val="20"/>
                <w:szCs w:val="20"/>
              </w:rPr>
              <w:t>0,3</w:t>
            </w:r>
          </w:p>
        </w:tc>
        <w:tc>
          <w:tcPr>
            <w:tcW w:w="1276" w:type="dxa"/>
            <w:tcBorders>
              <w:top w:val="nil"/>
              <w:left w:val="nil"/>
              <w:bottom w:val="single" w:sz="8" w:space="0" w:color="auto"/>
              <w:right w:val="single" w:sz="8" w:space="0" w:color="auto"/>
            </w:tcBorders>
            <w:shd w:val="clear" w:color="auto" w:fill="auto"/>
            <w:vAlign w:val="center"/>
            <w:hideMark/>
          </w:tcPr>
          <w:p w14:paraId="0E4C0D14"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-5 365 910</w:t>
            </w:r>
          </w:p>
        </w:tc>
        <w:tc>
          <w:tcPr>
            <w:tcW w:w="850" w:type="dxa"/>
            <w:tcBorders>
              <w:top w:val="nil"/>
              <w:left w:val="nil"/>
              <w:bottom w:val="single" w:sz="8" w:space="0" w:color="auto"/>
              <w:right w:val="single" w:sz="8" w:space="0" w:color="auto"/>
            </w:tcBorders>
            <w:shd w:val="clear" w:color="auto" w:fill="auto"/>
            <w:noWrap/>
            <w:vAlign w:val="center"/>
            <w:hideMark/>
          </w:tcPr>
          <w:p w14:paraId="169E618E"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hideMark/>
          </w:tcPr>
          <w:p w14:paraId="55113B48"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-3 979 263</w:t>
            </w:r>
          </w:p>
        </w:tc>
      </w:tr>
      <w:tr w:rsidR="00F72D20" w:rsidRPr="00687CBC" w14:paraId="782D1BC1" w14:textId="77777777" w:rsidTr="00F72D20">
        <w:trPr>
          <w:trHeight w:val="285"/>
          <w:jc w:val="center"/>
        </w:trPr>
        <w:tc>
          <w:tcPr>
            <w:tcW w:w="1867" w:type="dxa"/>
            <w:tcBorders>
              <w:top w:val="nil"/>
              <w:left w:val="single" w:sz="8" w:space="0" w:color="auto"/>
              <w:bottom w:val="single" w:sz="4" w:space="0" w:color="auto"/>
              <w:right w:val="single" w:sz="4" w:space="0" w:color="auto"/>
            </w:tcBorders>
            <w:shd w:val="clear" w:color="auto" w:fill="auto"/>
            <w:noWrap/>
            <w:vAlign w:val="center"/>
            <w:hideMark/>
          </w:tcPr>
          <w:p w14:paraId="00812ABD"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5.Vides aizsardzība un resursu izmantošanas efektivitāte</w:t>
            </w:r>
          </w:p>
        </w:tc>
        <w:tc>
          <w:tcPr>
            <w:tcW w:w="1276" w:type="dxa"/>
            <w:tcBorders>
              <w:top w:val="nil"/>
              <w:left w:val="nil"/>
              <w:bottom w:val="single" w:sz="8" w:space="0" w:color="auto"/>
              <w:right w:val="single" w:sz="8" w:space="0" w:color="auto"/>
            </w:tcBorders>
            <w:shd w:val="clear" w:color="auto" w:fill="auto"/>
            <w:vAlign w:val="center"/>
          </w:tcPr>
          <w:p w14:paraId="2829910D" w14:textId="18F85E3B" w:rsidR="00F72D20" w:rsidRPr="00F72D20" w:rsidRDefault="00F72D20" w:rsidP="00F72D20">
            <w:pPr>
              <w:jc w:val="center"/>
              <w:rPr>
                <w:color w:val="000000"/>
                <w:sz w:val="20"/>
                <w:szCs w:val="20"/>
              </w:rPr>
            </w:pPr>
            <w:r w:rsidRPr="00F72D20">
              <w:rPr>
                <w:color w:val="000000"/>
                <w:sz w:val="20"/>
                <w:szCs w:val="20"/>
              </w:rPr>
              <w:t>27 324 058</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76514CA1" w14:textId="42FE12F1"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5 394 246</w:t>
            </w:r>
          </w:p>
        </w:tc>
        <w:tc>
          <w:tcPr>
            <w:tcW w:w="1241" w:type="dxa"/>
            <w:tcBorders>
              <w:top w:val="nil"/>
              <w:left w:val="nil"/>
              <w:bottom w:val="single" w:sz="8" w:space="0" w:color="auto"/>
              <w:right w:val="single" w:sz="8" w:space="0" w:color="auto"/>
            </w:tcBorders>
            <w:shd w:val="clear" w:color="auto" w:fill="auto"/>
            <w:vAlign w:val="center"/>
            <w:hideMark/>
          </w:tcPr>
          <w:p w14:paraId="27F5B0A1"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785 970</w:t>
            </w:r>
          </w:p>
        </w:tc>
        <w:tc>
          <w:tcPr>
            <w:tcW w:w="885" w:type="dxa"/>
            <w:tcBorders>
              <w:top w:val="nil"/>
              <w:left w:val="nil"/>
              <w:bottom w:val="single" w:sz="8" w:space="0" w:color="auto"/>
              <w:right w:val="single" w:sz="8" w:space="0" w:color="auto"/>
            </w:tcBorders>
            <w:shd w:val="clear" w:color="auto" w:fill="auto"/>
            <w:noWrap/>
            <w:vAlign w:val="center"/>
            <w:hideMark/>
          </w:tcPr>
          <w:p w14:paraId="1785E456"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4080" behindDoc="0" locked="0" layoutInCell="1" allowOverlap="1" wp14:anchorId="3E0EF0FE" wp14:editId="6F48EA3E">
                      <wp:simplePos x="0" y="0"/>
                      <wp:positionH relativeFrom="column">
                        <wp:posOffset>366395</wp:posOffset>
                      </wp:positionH>
                      <wp:positionV relativeFrom="paragraph">
                        <wp:posOffset>7620</wp:posOffset>
                      </wp:positionV>
                      <wp:extent cx="111125" cy="150495"/>
                      <wp:effectExtent l="19050" t="0" r="41275" b="40005"/>
                      <wp:wrapNone/>
                      <wp:docPr id="23" name="Down Arrow 23"/>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E309" id="Down Arrow 23" o:spid="_x0000_s1026" type="#_x0000_t67" style="position:absolute;margin-left:28.85pt;margin-top:.6pt;width:8.75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" adj="13625" fillcolor="#ed7d31" strokecolor="#ae5a21" strokeweight="1pt"/>
                  </w:pict>
                </mc:Fallback>
              </mc:AlternateContent>
            </w:r>
            <w:r>
              <w:rPr>
                <w:color w:val="000000"/>
                <w:sz w:val="20"/>
                <w:szCs w:val="20"/>
              </w:rPr>
              <w:t>14,6</w:t>
            </w:r>
          </w:p>
        </w:tc>
        <w:tc>
          <w:tcPr>
            <w:tcW w:w="1276" w:type="dxa"/>
            <w:tcBorders>
              <w:top w:val="nil"/>
              <w:left w:val="nil"/>
              <w:bottom w:val="single" w:sz="8" w:space="0" w:color="auto"/>
              <w:right w:val="single" w:sz="8" w:space="0" w:color="auto"/>
            </w:tcBorders>
            <w:shd w:val="clear" w:color="auto" w:fill="auto"/>
            <w:vAlign w:val="center"/>
            <w:hideMark/>
          </w:tcPr>
          <w:p w14:paraId="0695748A"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-4 608 276</w:t>
            </w:r>
          </w:p>
        </w:tc>
        <w:tc>
          <w:tcPr>
            <w:tcW w:w="850" w:type="dxa"/>
            <w:tcBorders>
              <w:top w:val="nil"/>
              <w:left w:val="nil"/>
              <w:bottom w:val="single" w:sz="8" w:space="0" w:color="auto"/>
              <w:right w:val="single" w:sz="8" w:space="0" w:color="auto"/>
            </w:tcBorders>
            <w:shd w:val="clear" w:color="auto" w:fill="auto"/>
            <w:noWrap/>
            <w:vAlign w:val="center"/>
            <w:hideMark/>
          </w:tcPr>
          <w:p w14:paraId="2EA47593"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64,2</w:t>
            </w:r>
          </w:p>
        </w:tc>
        <w:tc>
          <w:tcPr>
            <w:tcW w:w="1276" w:type="dxa"/>
            <w:tcBorders>
              <w:top w:val="nil"/>
              <w:left w:val="nil"/>
              <w:bottom w:val="single" w:sz="8" w:space="0" w:color="auto"/>
              <w:right w:val="single" w:sz="8" w:space="0" w:color="auto"/>
            </w:tcBorders>
            <w:shd w:val="clear" w:color="auto" w:fill="auto"/>
            <w:vAlign w:val="center"/>
            <w:hideMark/>
          </w:tcPr>
          <w:p w14:paraId="763F5F04"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-437 986</w:t>
            </w:r>
          </w:p>
        </w:tc>
      </w:tr>
      <w:tr w:rsidR="00F72D20" w:rsidRPr="00687CBC" w14:paraId="51D32BBB" w14:textId="77777777" w:rsidTr="00F72D20">
        <w:trPr>
          <w:trHeight w:val="285"/>
          <w:jc w:val="center"/>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EAC54"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6.Ilgtspējīga transporta sistēma</w:t>
            </w:r>
          </w:p>
        </w:tc>
        <w:tc>
          <w:tcPr>
            <w:tcW w:w="1276" w:type="dxa"/>
            <w:tcBorders>
              <w:top w:val="nil"/>
              <w:left w:val="nil"/>
              <w:bottom w:val="single" w:sz="8" w:space="0" w:color="auto"/>
              <w:right w:val="single" w:sz="8" w:space="0" w:color="auto"/>
            </w:tcBorders>
            <w:shd w:val="clear" w:color="auto" w:fill="auto"/>
            <w:vAlign w:val="center"/>
          </w:tcPr>
          <w:p w14:paraId="080A6B8B" w14:textId="0B43B57C" w:rsidR="00F72D20" w:rsidRPr="00F72D20" w:rsidRDefault="00F72D20" w:rsidP="00F72D20">
            <w:pPr>
              <w:jc w:val="center"/>
              <w:rPr>
                <w:color w:val="000000"/>
                <w:sz w:val="20"/>
                <w:szCs w:val="20"/>
              </w:rPr>
            </w:pPr>
            <w:r w:rsidRPr="00F72D20">
              <w:rPr>
                <w:color w:val="000000"/>
                <w:sz w:val="20"/>
                <w:szCs w:val="20"/>
              </w:rPr>
              <w:t>152 749 691</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7D75FE09" w14:textId="5DAE6FF8"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83 392 864</w:t>
            </w:r>
          </w:p>
        </w:tc>
        <w:tc>
          <w:tcPr>
            <w:tcW w:w="1241" w:type="dxa"/>
            <w:tcBorders>
              <w:top w:val="nil"/>
              <w:left w:val="nil"/>
              <w:bottom w:val="single" w:sz="8" w:space="0" w:color="auto"/>
              <w:right w:val="single" w:sz="8" w:space="0" w:color="auto"/>
            </w:tcBorders>
            <w:shd w:val="clear" w:color="auto" w:fill="auto"/>
            <w:vAlign w:val="center"/>
            <w:hideMark/>
          </w:tcPr>
          <w:p w14:paraId="329F9249"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67 442 754</w:t>
            </w:r>
          </w:p>
        </w:tc>
        <w:tc>
          <w:tcPr>
            <w:tcW w:w="885" w:type="dxa"/>
            <w:tcBorders>
              <w:top w:val="nil"/>
              <w:left w:val="nil"/>
              <w:bottom w:val="single" w:sz="8" w:space="0" w:color="auto"/>
              <w:right w:val="single" w:sz="8" w:space="0" w:color="auto"/>
            </w:tcBorders>
            <w:shd w:val="clear" w:color="auto" w:fill="auto"/>
            <w:noWrap/>
            <w:vAlign w:val="center"/>
            <w:hideMark/>
          </w:tcPr>
          <w:p w14:paraId="2EBBCD77"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5104" behindDoc="0" locked="0" layoutInCell="1" allowOverlap="1" wp14:anchorId="59ACF96F" wp14:editId="5DADC77A">
                      <wp:simplePos x="0" y="0"/>
                      <wp:positionH relativeFrom="column">
                        <wp:posOffset>357505</wp:posOffset>
                      </wp:positionH>
                      <wp:positionV relativeFrom="paragraph">
                        <wp:posOffset>5715</wp:posOffset>
                      </wp:positionV>
                      <wp:extent cx="111125" cy="150495"/>
                      <wp:effectExtent l="19050" t="0" r="41275" b="40005"/>
                      <wp:wrapNone/>
                      <wp:docPr id="24" name="Down Arrow 24"/>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703C6" id="Down Arrow 24" o:spid="_x0000_s1026" type="#_x0000_t67" style="position:absolute;margin-left:28.15pt;margin-top:.45pt;width:8.75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" adj="13625" fillcolor="#ed7d31" strokecolor="#ae5a21" strokeweight="1pt"/>
                  </w:pict>
                </mc:Fallback>
              </mc:AlternateContent>
            </w:r>
            <w:r>
              <w:rPr>
                <w:color w:val="000000"/>
                <w:sz w:val="20"/>
                <w:szCs w:val="20"/>
              </w:rPr>
              <w:t>80,9</w:t>
            </w:r>
          </w:p>
        </w:tc>
        <w:tc>
          <w:tcPr>
            <w:tcW w:w="1276" w:type="dxa"/>
            <w:tcBorders>
              <w:top w:val="nil"/>
              <w:left w:val="nil"/>
              <w:bottom w:val="single" w:sz="8" w:space="0" w:color="auto"/>
              <w:right w:val="single" w:sz="8" w:space="0" w:color="auto"/>
            </w:tcBorders>
            <w:shd w:val="clear" w:color="auto" w:fill="auto"/>
            <w:vAlign w:val="center"/>
            <w:hideMark/>
          </w:tcPr>
          <w:p w14:paraId="75C62AFD"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-15 950 111</w:t>
            </w:r>
          </w:p>
        </w:tc>
        <w:tc>
          <w:tcPr>
            <w:tcW w:w="850" w:type="dxa"/>
            <w:tcBorders>
              <w:top w:val="nil"/>
              <w:left w:val="nil"/>
              <w:bottom w:val="single" w:sz="8" w:space="0" w:color="auto"/>
              <w:right w:val="single" w:sz="8" w:space="0" w:color="auto"/>
            </w:tcBorders>
            <w:shd w:val="clear" w:color="auto" w:fill="auto"/>
            <w:noWrap/>
            <w:vAlign w:val="center"/>
            <w:hideMark/>
          </w:tcPr>
          <w:p w14:paraId="4E6C272B"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121,1</w:t>
            </w:r>
          </w:p>
        </w:tc>
        <w:tc>
          <w:tcPr>
            <w:tcW w:w="1276" w:type="dxa"/>
            <w:tcBorders>
              <w:top w:val="nil"/>
              <w:left w:val="nil"/>
              <w:bottom w:val="single" w:sz="8" w:space="0" w:color="auto"/>
              <w:right w:val="single" w:sz="8" w:space="0" w:color="auto"/>
            </w:tcBorders>
            <w:shd w:val="clear" w:color="auto" w:fill="auto"/>
            <w:vAlign w:val="center"/>
            <w:hideMark/>
          </w:tcPr>
          <w:p w14:paraId="26276ED2"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9 578 231</w:t>
            </w:r>
          </w:p>
        </w:tc>
      </w:tr>
      <w:tr w:rsidR="00F72D20" w:rsidRPr="00687CBC" w14:paraId="29BD838B" w14:textId="77777777" w:rsidTr="00A30D07">
        <w:trPr>
          <w:trHeight w:val="285"/>
          <w:jc w:val="center"/>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417CAD"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7.Nodarbinātība un darbaspēka mobilitāte</w:t>
            </w:r>
          </w:p>
        </w:tc>
        <w:tc>
          <w:tcPr>
            <w:tcW w:w="1276" w:type="dxa"/>
            <w:tcBorders>
              <w:top w:val="nil"/>
              <w:left w:val="nil"/>
              <w:bottom w:val="single" w:sz="8" w:space="0" w:color="auto"/>
              <w:right w:val="single" w:sz="8" w:space="0" w:color="auto"/>
            </w:tcBorders>
            <w:shd w:val="clear" w:color="auto" w:fill="auto"/>
            <w:vAlign w:val="center"/>
          </w:tcPr>
          <w:p w14:paraId="45160175" w14:textId="3F96046E" w:rsidR="00F72D20" w:rsidRPr="00F72D20" w:rsidRDefault="00F72D20" w:rsidP="00F72D20">
            <w:pPr>
              <w:jc w:val="center"/>
              <w:rPr>
                <w:color w:val="000000"/>
                <w:sz w:val="20"/>
                <w:szCs w:val="20"/>
              </w:rPr>
            </w:pPr>
            <w:r w:rsidRPr="00F72D20">
              <w:rPr>
                <w:color w:val="000000"/>
                <w:sz w:val="20"/>
                <w:szCs w:val="20"/>
              </w:rPr>
              <w:t>31 395 139</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4458C739" w14:textId="12CC5CEF"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23 920 823</w:t>
            </w:r>
          </w:p>
        </w:tc>
        <w:tc>
          <w:tcPr>
            <w:tcW w:w="1241" w:type="dxa"/>
            <w:tcBorders>
              <w:top w:val="nil"/>
              <w:left w:val="nil"/>
              <w:bottom w:val="single" w:sz="8" w:space="0" w:color="auto"/>
              <w:right w:val="single" w:sz="8" w:space="0" w:color="auto"/>
            </w:tcBorders>
            <w:shd w:val="clear" w:color="auto" w:fill="auto"/>
            <w:vAlign w:val="center"/>
            <w:hideMark/>
          </w:tcPr>
          <w:p w14:paraId="1CDFAF66"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27 063 000</w:t>
            </w:r>
          </w:p>
        </w:tc>
        <w:tc>
          <w:tcPr>
            <w:tcW w:w="885" w:type="dxa"/>
            <w:tcBorders>
              <w:top w:val="nil"/>
              <w:left w:val="nil"/>
              <w:bottom w:val="single" w:sz="8" w:space="0" w:color="auto"/>
              <w:right w:val="single" w:sz="8" w:space="0" w:color="auto"/>
            </w:tcBorders>
            <w:shd w:val="clear" w:color="auto" w:fill="auto"/>
            <w:noWrap/>
            <w:vAlign w:val="center"/>
            <w:hideMark/>
          </w:tcPr>
          <w:p w14:paraId="4C589FCA"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700224" behindDoc="0" locked="0" layoutInCell="1" allowOverlap="1" wp14:anchorId="3A5C9858" wp14:editId="0CD5B082">
                      <wp:simplePos x="0" y="0"/>
                      <wp:positionH relativeFrom="column">
                        <wp:posOffset>373380</wp:posOffset>
                      </wp:positionH>
                      <wp:positionV relativeFrom="paragraph">
                        <wp:posOffset>-10795</wp:posOffset>
                      </wp:positionV>
                      <wp:extent cx="102870" cy="158750"/>
                      <wp:effectExtent l="19050" t="19050" r="30480" b="12700"/>
                      <wp:wrapNone/>
                      <wp:docPr id="29" name="Up Arrow 29"/>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03D3" id="Up Arrow 29" o:spid="_x0000_s1026" type="#_x0000_t68" style="position:absolute;margin-left:29.4pt;margin-top:-.85pt;width:8.1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" adj="7020" fillcolor="#70ad47" strokecolor="#507e32" strokeweight="1pt"/>
                  </w:pict>
                </mc:Fallback>
              </mc:AlternateContent>
            </w:r>
            <w:r>
              <w:rPr>
                <w:color w:val="000000"/>
                <w:sz w:val="20"/>
                <w:szCs w:val="20"/>
              </w:rPr>
              <w:t>113,1</w:t>
            </w:r>
          </w:p>
        </w:tc>
        <w:tc>
          <w:tcPr>
            <w:tcW w:w="1276" w:type="dxa"/>
            <w:tcBorders>
              <w:top w:val="nil"/>
              <w:left w:val="nil"/>
              <w:bottom w:val="single" w:sz="8" w:space="0" w:color="auto"/>
              <w:right w:val="single" w:sz="8" w:space="0" w:color="auto"/>
            </w:tcBorders>
            <w:shd w:val="clear" w:color="auto" w:fill="auto"/>
            <w:vAlign w:val="center"/>
            <w:hideMark/>
          </w:tcPr>
          <w:p w14:paraId="7EF6EA03"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3 142 177</w:t>
            </w:r>
          </w:p>
        </w:tc>
        <w:tc>
          <w:tcPr>
            <w:tcW w:w="850" w:type="dxa"/>
            <w:tcBorders>
              <w:top w:val="nil"/>
              <w:left w:val="nil"/>
              <w:bottom w:val="single" w:sz="8" w:space="0" w:color="auto"/>
              <w:right w:val="single" w:sz="8" w:space="0" w:color="auto"/>
            </w:tcBorders>
            <w:shd w:val="clear" w:color="auto" w:fill="auto"/>
            <w:noWrap/>
            <w:vAlign w:val="center"/>
            <w:hideMark/>
          </w:tcPr>
          <w:p w14:paraId="617C68ED"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106,6</w:t>
            </w:r>
          </w:p>
        </w:tc>
        <w:tc>
          <w:tcPr>
            <w:tcW w:w="1276" w:type="dxa"/>
            <w:tcBorders>
              <w:top w:val="nil"/>
              <w:left w:val="nil"/>
              <w:bottom w:val="single" w:sz="8" w:space="0" w:color="auto"/>
              <w:right w:val="single" w:sz="8" w:space="0" w:color="auto"/>
            </w:tcBorders>
            <w:shd w:val="clear" w:color="auto" w:fill="auto"/>
            <w:vAlign w:val="center"/>
            <w:hideMark/>
          </w:tcPr>
          <w:p w14:paraId="7CD24567"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1 533 458</w:t>
            </w:r>
          </w:p>
        </w:tc>
      </w:tr>
      <w:tr w:rsidR="00F72D20" w:rsidRPr="00687CBC" w14:paraId="574C2C61" w14:textId="77777777" w:rsidTr="00A30D07">
        <w:trPr>
          <w:trHeight w:val="285"/>
          <w:jc w:val="center"/>
        </w:trPr>
        <w:tc>
          <w:tcPr>
            <w:tcW w:w="18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6C408A"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8.Izglītība, prasmes un mūžizglītība</w:t>
            </w:r>
          </w:p>
        </w:tc>
        <w:tc>
          <w:tcPr>
            <w:tcW w:w="1276" w:type="dxa"/>
            <w:tcBorders>
              <w:top w:val="nil"/>
              <w:left w:val="nil"/>
              <w:bottom w:val="single" w:sz="8" w:space="0" w:color="auto"/>
              <w:right w:val="single" w:sz="8" w:space="0" w:color="auto"/>
            </w:tcBorders>
            <w:shd w:val="clear" w:color="auto" w:fill="auto"/>
            <w:vAlign w:val="center"/>
          </w:tcPr>
          <w:p w14:paraId="35E6CB4B" w14:textId="7934B424" w:rsidR="00F72D20" w:rsidRPr="00F72D20" w:rsidRDefault="00F72D20" w:rsidP="00F72D20">
            <w:pPr>
              <w:jc w:val="center"/>
              <w:rPr>
                <w:color w:val="000000"/>
                <w:sz w:val="20"/>
                <w:szCs w:val="20"/>
              </w:rPr>
            </w:pPr>
            <w:r w:rsidRPr="00F72D20">
              <w:rPr>
                <w:color w:val="000000"/>
                <w:sz w:val="20"/>
                <w:szCs w:val="20"/>
              </w:rPr>
              <w:t>5 048 340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61F4CE30" w14:textId="7842CE0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407 349</w:t>
            </w:r>
          </w:p>
        </w:tc>
        <w:tc>
          <w:tcPr>
            <w:tcW w:w="1241" w:type="dxa"/>
            <w:tcBorders>
              <w:top w:val="nil"/>
              <w:left w:val="nil"/>
              <w:bottom w:val="single" w:sz="8" w:space="0" w:color="auto"/>
              <w:right w:val="single" w:sz="8" w:space="0" w:color="auto"/>
            </w:tcBorders>
            <w:shd w:val="clear" w:color="auto" w:fill="auto"/>
            <w:vAlign w:val="center"/>
            <w:hideMark/>
          </w:tcPr>
          <w:p w14:paraId="07970266"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228 723</w:t>
            </w:r>
          </w:p>
        </w:tc>
        <w:tc>
          <w:tcPr>
            <w:tcW w:w="885" w:type="dxa"/>
            <w:tcBorders>
              <w:top w:val="nil"/>
              <w:left w:val="nil"/>
              <w:bottom w:val="single" w:sz="8" w:space="0" w:color="auto"/>
              <w:right w:val="single" w:sz="8" w:space="0" w:color="auto"/>
            </w:tcBorders>
            <w:shd w:val="clear" w:color="auto" w:fill="auto"/>
            <w:noWrap/>
            <w:vAlign w:val="center"/>
            <w:hideMark/>
          </w:tcPr>
          <w:p w14:paraId="4743B94D"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6128" behindDoc="0" locked="0" layoutInCell="1" allowOverlap="1" wp14:anchorId="64505CFF" wp14:editId="249F0113">
                      <wp:simplePos x="0" y="0"/>
                      <wp:positionH relativeFrom="column">
                        <wp:posOffset>351155</wp:posOffset>
                      </wp:positionH>
                      <wp:positionV relativeFrom="paragraph">
                        <wp:posOffset>-3810</wp:posOffset>
                      </wp:positionV>
                      <wp:extent cx="111125" cy="150495"/>
                      <wp:effectExtent l="19050" t="0" r="41275" b="40005"/>
                      <wp:wrapNone/>
                      <wp:docPr id="25" name="Down Arrow 25"/>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A3BB" id="Down Arrow 25" o:spid="_x0000_s1026" type="#_x0000_t67" style="position:absolute;margin-left:27.65pt;margin-top:-.3pt;width:8.75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" adj="13625" fillcolor="#ed7d31" strokecolor="#ae5a21" strokeweight="1pt"/>
                  </w:pict>
                </mc:Fallback>
              </mc:AlternateContent>
            </w:r>
            <w:r>
              <w:rPr>
                <w:color w:val="000000"/>
                <w:sz w:val="20"/>
                <w:szCs w:val="20"/>
              </w:rPr>
              <w:t>56,1</w:t>
            </w:r>
          </w:p>
        </w:tc>
        <w:tc>
          <w:tcPr>
            <w:tcW w:w="1276" w:type="dxa"/>
            <w:tcBorders>
              <w:top w:val="nil"/>
              <w:left w:val="nil"/>
              <w:bottom w:val="single" w:sz="8" w:space="0" w:color="auto"/>
              <w:right w:val="single" w:sz="8" w:space="0" w:color="auto"/>
            </w:tcBorders>
            <w:shd w:val="clear" w:color="auto" w:fill="auto"/>
            <w:vAlign w:val="center"/>
            <w:hideMark/>
          </w:tcPr>
          <w:p w14:paraId="0C28AC4C"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-178 627</w:t>
            </w:r>
          </w:p>
        </w:tc>
        <w:tc>
          <w:tcPr>
            <w:tcW w:w="850" w:type="dxa"/>
            <w:tcBorders>
              <w:top w:val="nil"/>
              <w:left w:val="nil"/>
              <w:bottom w:val="single" w:sz="8" w:space="0" w:color="auto"/>
              <w:right w:val="single" w:sz="8" w:space="0" w:color="auto"/>
            </w:tcBorders>
            <w:shd w:val="clear" w:color="auto" w:fill="auto"/>
            <w:noWrap/>
            <w:vAlign w:val="center"/>
            <w:hideMark/>
          </w:tcPr>
          <w:p w14:paraId="0F66939D"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88,4</w:t>
            </w:r>
          </w:p>
        </w:tc>
        <w:tc>
          <w:tcPr>
            <w:tcW w:w="1276" w:type="dxa"/>
            <w:tcBorders>
              <w:top w:val="nil"/>
              <w:left w:val="nil"/>
              <w:bottom w:val="single" w:sz="8" w:space="0" w:color="auto"/>
              <w:right w:val="single" w:sz="8" w:space="0" w:color="auto"/>
            </w:tcBorders>
            <w:shd w:val="clear" w:color="auto" w:fill="auto"/>
            <w:vAlign w:val="center"/>
            <w:hideMark/>
          </w:tcPr>
          <w:p w14:paraId="6D39A3C2"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-29 876</w:t>
            </w:r>
          </w:p>
        </w:tc>
      </w:tr>
      <w:tr w:rsidR="00F72D20" w:rsidRPr="00687CBC" w14:paraId="2CCAEFE8" w14:textId="77777777" w:rsidTr="00F72D20">
        <w:trPr>
          <w:trHeight w:val="285"/>
          <w:jc w:val="center"/>
        </w:trPr>
        <w:tc>
          <w:tcPr>
            <w:tcW w:w="1867" w:type="dxa"/>
            <w:tcBorders>
              <w:top w:val="nil"/>
              <w:left w:val="single" w:sz="8" w:space="0" w:color="auto"/>
              <w:bottom w:val="single" w:sz="8" w:space="0" w:color="auto"/>
              <w:right w:val="single" w:sz="4" w:space="0" w:color="auto"/>
            </w:tcBorders>
            <w:shd w:val="clear" w:color="auto" w:fill="auto"/>
            <w:noWrap/>
            <w:vAlign w:val="center"/>
            <w:hideMark/>
          </w:tcPr>
          <w:p w14:paraId="204F7C74"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9.Sociālā iekļaušana un nabadzības apkarošana</w:t>
            </w:r>
          </w:p>
        </w:tc>
        <w:tc>
          <w:tcPr>
            <w:tcW w:w="1276" w:type="dxa"/>
            <w:tcBorders>
              <w:top w:val="nil"/>
              <w:left w:val="nil"/>
              <w:bottom w:val="single" w:sz="8" w:space="0" w:color="auto"/>
              <w:right w:val="single" w:sz="8" w:space="0" w:color="auto"/>
            </w:tcBorders>
            <w:shd w:val="clear" w:color="auto" w:fill="auto"/>
            <w:vAlign w:val="center"/>
          </w:tcPr>
          <w:p w14:paraId="30F2DFCE" w14:textId="75EFD484" w:rsidR="00F72D20" w:rsidRPr="00F72D20" w:rsidRDefault="00F72D20" w:rsidP="00F72D20">
            <w:pPr>
              <w:jc w:val="center"/>
              <w:rPr>
                <w:color w:val="000000"/>
                <w:sz w:val="20"/>
                <w:szCs w:val="20"/>
              </w:rPr>
            </w:pPr>
            <w:r w:rsidRPr="00F72D20">
              <w:rPr>
                <w:color w:val="000000"/>
                <w:sz w:val="20"/>
                <w:szCs w:val="20"/>
              </w:rPr>
              <w:t>16 054 669</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2466213E" w14:textId="7211D3AF"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7 768 848</w:t>
            </w:r>
          </w:p>
        </w:tc>
        <w:tc>
          <w:tcPr>
            <w:tcW w:w="1241" w:type="dxa"/>
            <w:tcBorders>
              <w:top w:val="nil"/>
              <w:left w:val="nil"/>
              <w:bottom w:val="single" w:sz="8" w:space="0" w:color="auto"/>
              <w:right w:val="single" w:sz="8" w:space="0" w:color="auto"/>
            </w:tcBorders>
            <w:shd w:val="clear" w:color="auto" w:fill="auto"/>
            <w:vAlign w:val="center"/>
            <w:hideMark/>
          </w:tcPr>
          <w:p w14:paraId="7D161CB7"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2 326 517</w:t>
            </w:r>
          </w:p>
        </w:tc>
        <w:tc>
          <w:tcPr>
            <w:tcW w:w="885" w:type="dxa"/>
            <w:tcBorders>
              <w:top w:val="nil"/>
              <w:left w:val="nil"/>
              <w:bottom w:val="single" w:sz="8" w:space="0" w:color="auto"/>
              <w:right w:val="single" w:sz="8" w:space="0" w:color="auto"/>
            </w:tcBorders>
            <w:shd w:val="clear" w:color="auto" w:fill="auto"/>
            <w:noWrap/>
            <w:vAlign w:val="center"/>
            <w:hideMark/>
          </w:tcPr>
          <w:p w14:paraId="54588679"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7152" behindDoc="0" locked="0" layoutInCell="1" allowOverlap="1" wp14:anchorId="4CEA9C2A" wp14:editId="0662D890">
                      <wp:simplePos x="0" y="0"/>
                      <wp:positionH relativeFrom="column">
                        <wp:posOffset>350520</wp:posOffset>
                      </wp:positionH>
                      <wp:positionV relativeFrom="paragraph">
                        <wp:posOffset>5715</wp:posOffset>
                      </wp:positionV>
                      <wp:extent cx="111125" cy="150495"/>
                      <wp:effectExtent l="19050" t="0" r="41275" b="40005"/>
                      <wp:wrapNone/>
                      <wp:docPr id="26" name="Down Arrow 26"/>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D724" id="Down Arrow 26" o:spid="_x0000_s1026" type="#_x0000_t67" style="position:absolute;margin-left:27.6pt;margin-top:.45pt;width:8.75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" adj="13625" fillcolor="#ed7d31" strokecolor="#ae5a21" strokeweight="1pt"/>
                  </w:pict>
                </mc:Fallback>
              </mc:AlternateContent>
            </w:r>
            <w:r>
              <w:rPr>
                <w:color w:val="000000"/>
                <w:sz w:val="20"/>
                <w:szCs w:val="20"/>
              </w:rPr>
              <w:t>29,9</w:t>
            </w:r>
          </w:p>
        </w:tc>
        <w:tc>
          <w:tcPr>
            <w:tcW w:w="1276" w:type="dxa"/>
            <w:tcBorders>
              <w:top w:val="nil"/>
              <w:left w:val="nil"/>
              <w:bottom w:val="single" w:sz="8" w:space="0" w:color="auto"/>
              <w:right w:val="single" w:sz="8" w:space="0" w:color="auto"/>
            </w:tcBorders>
            <w:shd w:val="clear" w:color="auto" w:fill="auto"/>
            <w:vAlign w:val="center"/>
            <w:hideMark/>
          </w:tcPr>
          <w:p w14:paraId="632BC2AC"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-5 442 331</w:t>
            </w:r>
          </w:p>
        </w:tc>
        <w:tc>
          <w:tcPr>
            <w:tcW w:w="850" w:type="dxa"/>
            <w:tcBorders>
              <w:top w:val="nil"/>
              <w:left w:val="nil"/>
              <w:bottom w:val="single" w:sz="8" w:space="0" w:color="auto"/>
              <w:right w:val="single" w:sz="8" w:space="0" w:color="auto"/>
            </w:tcBorders>
            <w:shd w:val="clear" w:color="auto" w:fill="auto"/>
            <w:noWrap/>
            <w:vAlign w:val="center"/>
            <w:hideMark/>
          </w:tcPr>
          <w:p w14:paraId="20D81DD9"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32,3</w:t>
            </w:r>
          </w:p>
        </w:tc>
        <w:tc>
          <w:tcPr>
            <w:tcW w:w="1276" w:type="dxa"/>
            <w:tcBorders>
              <w:top w:val="nil"/>
              <w:left w:val="nil"/>
              <w:bottom w:val="single" w:sz="8" w:space="0" w:color="auto"/>
              <w:right w:val="single" w:sz="8" w:space="0" w:color="auto"/>
            </w:tcBorders>
            <w:shd w:val="clear" w:color="auto" w:fill="auto"/>
            <w:vAlign w:val="center"/>
            <w:hideMark/>
          </w:tcPr>
          <w:p w14:paraId="1DFDCDC0"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-4 536 987</w:t>
            </w:r>
          </w:p>
        </w:tc>
      </w:tr>
      <w:tr w:rsidR="00F72D20" w:rsidRPr="00687CBC" w14:paraId="179F7DC2" w14:textId="77777777" w:rsidTr="00A30D07">
        <w:trPr>
          <w:trHeight w:val="286"/>
          <w:jc w:val="center"/>
        </w:trPr>
        <w:tc>
          <w:tcPr>
            <w:tcW w:w="1867" w:type="dxa"/>
            <w:tcBorders>
              <w:top w:val="nil"/>
              <w:left w:val="single" w:sz="8" w:space="0" w:color="auto"/>
              <w:bottom w:val="single" w:sz="8" w:space="0" w:color="auto"/>
              <w:right w:val="single" w:sz="4" w:space="0" w:color="auto"/>
            </w:tcBorders>
            <w:shd w:val="clear" w:color="auto" w:fill="auto"/>
            <w:noWrap/>
            <w:vAlign w:val="center"/>
            <w:hideMark/>
          </w:tcPr>
          <w:p w14:paraId="006250C1" w14:textId="77777777" w:rsidR="00F72D20" w:rsidRPr="00B9669F" w:rsidRDefault="00F72D20" w:rsidP="00F72D20">
            <w:pPr>
              <w:rPr>
                <w:rFonts w:eastAsia="Times New Roman" w:cs="Times New Roman"/>
                <w:color w:val="000000"/>
                <w:sz w:val="20"/>
                <w:szCs w:val="20"/>
                <w:lang w:eastAsia="lv-LV"/>
              </w:rPr>
            </w:pPr>
            <w:r w:rsidRPr="00B9669F">
              <w:rPr>
                <w:rFonts w:eastAsia="Times New Roman" w:cs="Times New Roman"/>
                <w:color w:val="000000"/>
                <w:sz w:val="20"/>
                <w:szCs w:val="20"/>
                <w:lang w:eastAsia="lv-LV"/>
              </w:rPr>
              <w:t>10.; 11.; 12. Tehniskā palīdzība</w:t>
            </w:r>
          </w:p>
        </w:tc>
        <w:tc>
          <w:tcPr>
            <w:tcW w:w="1276" w:type="dxa"/>
            <w:tcBorders>
              <w:top w:val="nil"/>
              <w:left w:val="nil"/>
              <w:bottom w:val="single" w:sz="8" w:space="0" w:color="auto"/>
              <w:right w:val="single" w:sz="8" w:space="0" w:color="auto"/>
            </w:tcBorders>
            <w:shd w:val="clear" w:color="auto" w:fill="auto"/>
            <w:vAlign w:val="center"/>
          </w:tcPr>
          <w:p w14:paraId="12655349" w14:textId="0CB8CD82" w:rsidR="00F72D20" w:rsidRPr="00F72D20" w:rsidRDefault="00F72D20" w:rsidP="00F72D20">
            <w:pPr>
              <w:jc w:val="center"/>
              <w:rPr>
                <w:color w:val="000000"/>
                <w:sz w:val="20"/>
                <w:szCs w:val="20"/>
              </w:rPr>
            </w:pPr>
            <w:r w:rsidRPr="00F72D20">
              <w:rPr>
                <w:color w:val="000000"/>
                <w:sz w:val="20"/>
                <w:szCs w:val="20"/>
              </w:rPr>
              <w:t>12 463 361</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56C0BBCD" w14:textId="7080A5CB"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5 313 763</w:t>
            </w:r>
          </w:p>
        </w:tc>
        <w:tc>
          <w:tcPr>
            <w:tcW w:w="1241" w:type="dxa"/>
            <w:tcBorders>
              <w:top w:val="nil"/>
              <w:left w:val="nil"/>
              <w:bottom w:val="single" w:sz="8" w:space="0" w:color="auto"/>
              <w:right w:val="single" w:sz="8" w:space="0" w:color="auto"/>
            </w:tcBorders>
            <w:shd w:val="clear" w:color="auto" w:fill="auto"/>
            <w:vAlign w:val="center"/>
            <w:hideMark/>
          </w:tcPr>
          <w:p w14:paraId="3AF19073"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2 909 913</w:t>
            </w:r>
          </w:p>
        </w:tc>
        <w:tc>
          <w:tcPr>
            <w:tcW w:w="885" w:type="dxa"/>
            <w:tcBorders>
              <w:top w:val="nil"/>
              <w:left w:val="nil"/>
              <w:bottom w:val="single" w:sz="8" w:space="0" w:color="auto"/>
              <w:right w:val="single" w:sz="8" w:space="0" w:color="auto"/>
            </w:tcBorders>
            <w:shd w:val="clear" w:color="auto" w:fill="auto"/>
            <w:noWrap/>
            <w:vAlign w:val="center"/>
            <w:hideMark/>
          </w:tcPr>
          <w:p w14:paraId="603F5FFF" w14:textId="77777777" w:rsidR="00F72D20" w:rsidRPr="00687CBC" w:rsidRDefault="00F72D20" w:rsidP="00F72D20">
            <w:pPr>
              <w:jc w:val="center"/>
              <w:rPr>
                <w:rFonts w:eastAsia="Times New Roman" w:cs="Times New Roman"/>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8176" behindDoc="0" locked="0" layoutInCell="1" allowOverlap="1" wp14:anchorId="44E68922" wp14:editId="228A07C5">
                      <wp:simplePos x="0" y="0"/>
                      <wp:positionH relativeFrom="column">
                        <wp:posOffset>342900</wp:posOffset>
                      </wp:positionH>
                      <wp:positionV relativeFrom="paragraph">
                        <wp:posOffset>-9525</wp:posOffset>
                      </wp:positionV>
                      <wp:extent cx="111125" cy="150495"/>
                      <wp:effectExtent l="19050" t="0" r="41275" b="40005"/>
                      <wp:wrapNone/>
                      <wp:docPr id="27" name="Down Arrow 27"/>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9E67" id="Down Arrow 27" o:spid="_x0000_s1026" type="#_x0000_t67" style="position:absolute;margin-left:27pt;margin-top:-.75pt;width:8.75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" adj="13625" fillcolor="#ed7d31" strokecolor="#ae5a21" strokeweight="1pt"/>
                  </w:pict>
                </mc:Fallback>
              </mc:AlternateContent>
            </w:r>
            <w:r>
              <w:rPr>
                <w:color w:val="000000"/>
                <w:sz w:val="20"/>
                <w:szCs w:val="20"/>
              </w:rPr>
              <w:t>54,8</w:t>
            </w:r>
          </w:p>
        </w:tc>
        <w:tc>
          <w:tcPr>
            <w:tcW w:w="1276" w:type="dxa"/>
            <w:tcBorders>
              <w:top w:val="nil"/>
              <w:left w:val="nil"/>
              <w:bottom w:val="single" w:sz="8" w:space="0" w:color="auto"/>
              <w:right w:val="single" w:sz="8" w:space="0" w:color="auto"/>
            </w:tcBorders>
            <w:shd w:val="clear" w:color="auto" w:fill="auto"/>
            <w:vAlign w:val="center"/>
            <w:hideMark/>
          </w:tcPr>
          <w:p w14:paraId="7A5299C4"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-2 403 849</w:t>
            </w:r>
          </w:p>
        </w:tc>
        <w:tc>
          <w:tcPr>
            <w:tcW w:w="850" w:type="dxa"/>
            <w:tcBorders>
              <w:top w:val="nil"/>
              <w:left w:val="nil"/>
              <w:bottom w:val="single" w:sz="8" w:space="0" w:color="auto"/>
              <w:right w:val="single" w:sz="8" w:space="0" w:color="auto"/>
            </w:tcBorders>
            <w:shd w:val="clear" w:color="auto" w:fill="auto"/>
            <w:noWrap/>
            <w:vAlign w:val="center"/>
            <w:hideMark/>
          </w:tcPr>
          <w:p w14:paraId="4DE1F621"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65,0</w:t>
            </w:r>
          </w:p>
        </w:tc>
        <w:tc>
          <w:tcPr>
            <w:tcW w:w="1276" w:type="dxa"/>
            <w:tcBorders>
              <w:top w:val="nil"/>
              <w:left w:val="nil"/>
              <w:bottom w:val="single" w:sz="8" w:space="0" w:color="auto"/>
              <w:right w:val="single" w:sz="8" w:space="0" w:color="auto"/>
            </w:tcBorders>
            <w:shd w:val="clear" w:color="auto" w:fill="auto"/>
            <w:vAlign w:val="center"/>
            <w:hideMark/>
          </w:tcPr>
          <w:p w14:paraId="70AC28A0" w14:textId="77777777" w:rsidR="00F72D20" w:rsidRPr="00687CBC" w:rsidRDefault="00F72D20" w:rsidP="00F72D20">
            <w:pPr>
              <w:jc w:val="center"/>
              <w:rPr>
                <w:rFonts w:eastAsia="Times New Roman" w:cs="Times New Roman"/>
                <w:color w:val="000000"/>
                <w:sz w:val="20"/>
                <w:szCs w:val="20"/>
                <w:highlight w:val="yellow"/>
                <w:lang w:eastAsia="lv-LV"/>
              </w:rPr>
            </w:pPr>
            <w:r>
              <w:rPr>
                <w:color w:val="000000"/>
                <w:sz w:val="20"/>
                <w:szCs w:val="20"/>
              </w:rPr>
              <w:t>-1 452 265</w:t>
            </w:r>
          </w:p>
        </w:tc>
      </w:tr>
      <w:tr w:rsidR="00F72D20" w:rsidRPr="0004426A" w14:paraId="22833382" w14:textId="77777777" w:rsidTr="00A30D07">
        <w:trPr>
          <w:trHeight w:val="346"/>
          <w:jc w:val="center"/>
        </w:trPr>
        <w:tc>
          <w:tcPr>
            <w:tcW w:w="1867" w:type="dxa"/>
            <w:tcBorders>
              <w:top w:val="nil"/>
              <w:left w:val="single" w:sz="8" w:space="0" w:color="auto"/>
              <w:bottom w:val="single" w:sz="8" w:space="0" w:color="auto"/>
              <w:right w:val="single" w:sz="4" w:space="0" w:color="auto"/>
            </w:tcBorders>
            <w:shd w:val="clear" w:color="auto" w:fill="auto"/>
            <w:noWrap/>
            <w:vAlign w:val="center"/>
            <w:hideMark/>
          </w:tcPr>
          <w:p w14:paraId="5CA84A3A" w14:textId="77777777" w:rsidR="00F72D20" w:rsidRPr="00B9669F" w:rsidRDefault="00F72D20" w:rsidP="00F72D20">
            <w:pPr>
              <w:rPr>
                <w:rFonts w:eastAsia="Times New Roman" w:cs="Times New Roman"/>
                <w:b/>
                <w:bCs/>
                <w:color w:val="000000"/>
                <w:sz w:val="20"/>
                <w:szCs w:val="20"/>
                <w:lang w:eastAsia="lv-LV"/>
              </w:rPr>
            </w:pPr>
            <w:r w:rsidRPr="00B9669F">
              <w:rPr>
                <w:rFonts w:eastAsia="Times New Roman" w:cs="Times New Roman"/>
                <w:b/>
                <w:bCs/>
                <w:color w:val="000000"/>
                <w:sz w:val="20"/>
                <w:szCs w:val="20"/>
                <w:lang w:eastAsia="lv-LV"/>
              </w:rPr>
              <w:t>KOPĀ</w:t>
            </w:r>
          </w:p>
        </w:tc>
        <w:tc>
          <w:tcPr>
            <w:tcW w:w="1276" w:type="dxa"/>
            <w:tcBorders>
              <w:top w:val="nil"/>
              <w:left w:val="nil"/>
              <w:bottom w:val="single" w:sz="8" w:space="0" w:color="auto"/>
              <w:right w:val="single" w:sz="8" w:space="0" w:color="auto"/>
            </w:tcBorders>
            <w:shd w:val="clear" w:color="auto" w:fill="auto"/>
            <w:vAlign w:val="center"/>
          </w:tcPr>
          <w:p w14:paraId="23E15284" w14:textId="28B0A9F4" w:rsidR="00F72D20" w:rsidRPr="00F72D20" w:rsidRDefault="00F72D20" w:rsidP="00F72D20">
            <w:pPr>
              <w:jc w:val="center"/>
              <w:rPr>
                <w:b/>
                <w:bCs/>
                <w:color w:val="000000"/>
                <w:sz w:val="20"/>
                <w:szCs w:val="20"/>
              </w:rPr>
            </w:pPr>
            <w:r w:rsidRPr="00F72D20">
              <w:rPr>
                <w:b/>
                <w:bCs/>
                <w:color w:val="000000"/>
                <w:sz w:val="20"/>
                <w:szCs w:val="20"/>
              </w:rPr>
              <w:t>314 957 659</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3F34693D" w14:textId="5438D8C8" w:rsidR="00F72D20" w:rsidRPr="00687CBC" w:rsidRDefault="00F72D20" w:rsidP="00F72D20">
            <w:pPr>
              <w:jc w:val="center"/>
              <w:rPr>
                <w:rFonts w:eastAsia="Times New Roman" w:cs="Times New Roman"/>
                <w:b/>
                <w:bCs/>
                <w:color w:val="000000"/>
                <w:sz w:val="20"/>
                <w:szCs w:val="20"/>
                <w:highlight w:val="yellow"/>
                <w:lang w:eastAsia="lv-LV"/>
              </w:rPr>
            </w:pPr>
            <w:r>
              <w:rPr>
                <w:b/>
                <w:bCs/>
                <w:color w:val="000000"/>
                <w:sz w:val="20"/>
                <w:szCs w:val="20"/>
              </w:rPr>
              <w:t>141 565 596</w:t>
            </w:r>
          </w:p>
        </w:tc>
        <w:tc>
          <w:tcPr>
            <w:tcW w:w="1241" w:type="dxa"/>
            <w:tcBorders>
              <w:top w:val="nil"/>
              <w:left w:val="nil"/>
              <w:bottom w:val="single" w:sz="8" w:space="0" w:color="auto"/>
              <w:right w:val="single" w:sz="8" w:space="0" w:color="auto"/>
            </w:tcBorders>
            <w:shd w:val="clear" w:color="auto" w:fill="auto"/>
            <w:vAlign w:val="center"/>
            <w:hideMark/>
          </w:tcPr>
          <w:p w14:paraId="58B61EA7" w14:textId="77777777" w:rsidR="00F72D20" w:rsidRPr="00687CBC" w:rsidRDefault="00F72D20" w:rsidP="00F72D20">
            <w:pPr>
              <w:jc w:val="center"/>
              <w:rPr>
                <w:rFonts w:eastAsia="Times New Roman" w:cs="Times New Roman"/>
                <w:b/>
                <w:bCs/>
                <w:color w:val="000000"/>
                <w:sz w:val="20"/>
                <w:szCs w:val="20"/>
                <w:highlight w:val="yellow"/>
                <w:lang w:eastAsia="lv-LV"/>
              </w:rPr>
            </w:pPr>
            <w:r>
              <w:rPr>
                <w:b/>
                <w:bCs/>
                <w:color w:val="000000"/>
                <w:sz w:val="20"/>
                <w:szCs w:val="20"/>
              </w:rPr>
              <w:t>131 490 999</w:t>
            </w:r>
          </w:p>
        </w:tc>
        <w:tc>
          <w:tcPr>
            <w:tcW w:w="885" w:type="dxa"/>
            <w:tcBorders>
              <w:top w:val="nil"/>
              <w:left w:val="nil"/>
              <w:bottom w:val="single" w:sz="8" w:space="0" w:color="auto"/>
              <w:right w:val="single" w:sz="8" w:space="0" w:color="auto"/>
            </w:tcBorders>
            <w:shd w:val="clear" w:color="auto" w:fill="auto"/>
            <w:noWrap/>
            <w:vAlign w:val="center"/>
            <w:hideMark/>
          </w:tcPr>
          <w:p w14:paraId="5DC2D02C" w14:textId="77777777" w:rsidR="00F72D20" w:rsidRPr="00687CBC" w:rsidRDefault="00F72D20" w:rsidP="00F72D20">
            <w:pPr>
              <w:jc w:val="center"/>
              <w:rPr>
                <w:rFonts w:eastAsia="Times New Roman" w:cs="Times New Roman"/>
                <w:b/>
                <w:color w:val="000000"/>
                <w:sz w:val="20"/>
                <w:szCs w:val="20"/>
                <w:highlight w:val="yellow"/>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99200" behindDoc="0" locked="0" layoutInCell="1" allowOverlap="1" wp14:anchorId="2035473F" wp14:editId="3A097177">
                      <wp:simplePos x="0" y="0"/>
                      <wp:positionH relativeFrom="column">
                        <wp:posOffset>365760</wp:posOffset>
                      </wp:positionH>
                      <wp:positionV relativeFrom="paragraph">
                        <wp:posOffset>-5715</wp:posOffset>
                      </wp:positionV>
                      <wp:extent cx="111125" cy="150495"/>
                      <wp:effectExtent l="19050" t="0" r="41275" b="40005"/>
                      <wp:wrapNone/>
                      <wp:docPr id="28" name="Down Arrow 28"/>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98D5B" id="Down Arrow 28" o:spid="_x0000_s1026" type="#_x0000_t67" style="position:absolute;margin-left:28.8pt;margin-top:-.45pt;width:8.75pt;height:1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" adj="13625" fillcolor="#ed7d31" strokecolor="#ae5a21" strokeweight="1pt"/>
                  </w:pict>
                </mc:Fallback>
              </mc:AlternateContent>
            </w:r>
            <w:r>
              <w:rPr>
                <w:b/>
                <w:bCs/>
                <w:color w:val="000000"/>
                <w:sz w:val="20"/>
                <w:szCs w:val="20"/>
              </w:rPr>
              <w:t>92,9</w:t>
            </w:r>
          </w:p>
        </w:tc>
        <w:tc>
          <w:tcPr>
            <w:tcW w:w="1276" w:type="dxa"/>
            <w:tcBorders>
              <w:top w:val="nil"/>
              <w:left w:val="nil"/>
              <w:bottom w:val="single" w:sz="8" w:space="0" w:color="auto"/>
              <w:right w:val="single" w:sz="8" w:space="0" w:color="auto"/>
            </w:tcBorders>
            <w:shd w:val="clear" w:color="auto" w:fill="auto"/>
            <w:vAlign w:val="center"/>
            <w:hideMark/>
          </w:tcPr>
          <w:p w14:paraId="15B90A38" w14:textId="77777777" w:rsidR="00F72D20" w:rsidRPr="00687CBC" w:rsidRDefault="00F72D20" w:rsidP="00F72D20">
            <w:pPr>
              <w:jc w:val="center"/>
              <w:rPr>
                <w:rFonts w:eastAsia="Times New Roman" w:cs="Times New Roman"/>
                <w:b/>
                <w:color w:val="000000"/>
                <w:sz w:val="20"/>
                <w:szCs w:val="20"/>
                <w:highlight w:val="yellow"/>
                <w:lang w:eastAsia="lv-LV"/>
              </w:rPr>
            </w:pPr>
            <w:r>
              <w:rPr>
                <w:color w:val="000000"/>
                <w:sz w:val="20"/>
                <w:szCs w:val="20"/>
              </w:rPr>
              <w:t>-10 074 597</w:t>
            </w:r>
          </w:p>
        </w:tc>
        <w:tc>
          <w:tcPr>
            <w:tcW w:w="850" w:type="dxa"/>
            <w:tcBorders>
              <w:top w:val="nil"/>
              <w:left w:val="nil"/>
              <w:bottom w:val="single" w:sz="8" w:space="0" w:color="auto"/>
              <w:right w:val="single" w:sz="8" w:space="0" w:color="auto"/>
            </w:tcBorders>
            <w:shd w:val="clear" w:color="auto" w:fill="auto"/>
            <w:noWrap/>
            <w:vAlign w:val="center"/>
            <w:hideMark/>
          </w:tcPr>
          <w:p w14:paraId="76C9BED6" w14:textId="77777777" w:rsidR="00F72D20" w:rsidRPr="00687CBC" w:rsidRDefault="00F72D20" w:rsidP="00F72D20">
            <w:pPr>
              <w:jc w:val="center"/>
              <w:rPr>
                <w:rFonts w:eastAsia="Times New Roman" w:cs="Times New Roman"/>
                <w:b/>
                <w:color w:val="000000"/>
                <w:sz w:val="20"/>
                <w:szCs w:val="20"/>
                <w:highlight w:val="yellow"/>
                <w:lang w:eastAsia="lv-LV"/>
              </w:rPr>
            </w:pPr>
            <w:r>
              <w:rPr>
                <w:b/>
                <w:bCs/>
                <w:color w:val="000000"/>
                <w:sz w:val="20"/>
                <w:szCs w:val="20"/>
              </w:rPr>
              <w:t>133,7</w:t>
            </w:r>
          </w:p>
        </w:tc>
        <w:tc>
          <w:tcPr>
            <w:tcW w:w="1276" w:type="dxa"/>
            <w:tcBorders>
              <w:top w:val="nil"/>
              <w:left w:val="nil"/>
              <w:bottom w:val="single" w:sz="8" w:space="0" w:color="auto"/>
              <w:right w:val="single" w:sz="8" w:space="0" w:color="auto"/>
            </w:tcBorders>
            <w:shd w:val="clear" w:color="auto" w:fill="auto"/>
            <w:vAlign w:val="center"/>
            <w:hideMark/>
          </w:tcPr>
          <w:p w14:paraId="34AB164C" w14:textId="77777777" w:rsidR="00F72D20" w:rsidRPr="001D00C0" w:rsidRDefault="00F72D20" w:rsidP="00F72D20">
            <w:pPr>
              <w:jc w:val="center"/>
              <w:rPr>
                <w:rFonts w:eastAsia="Times New Roman" w:cs="Times New Roman"/>
                <w:b/>
                <w:color w:val="000000"/>
                <w:sz w:val="20"/>
                <w:szCs w:val="20"/>
                <w:lang w:eastAsia="lv-LV"/>
              </w:rPr>
            </w:pPr>
            <w:r>
              <w:rPr>
                <w:b/>
                <w:bCs/>
                <w:color w:val="000000"/>
                <w:sz w:val="20"/>
                <w:szCs w:val="20"/>
              </w:rPr>
              <w:t>29 191 177</w:t>
            </w:r>
          </w:p>
        </w:tc>
      </w:tr>
    </w:tbl>
    <w:p w14:paraId="03A0BB5D" w14:textId="77777777" w:rsidR="003A048F" w:rsidRDefault="003A048F" w:rsidP="00684ADB">
      <w:pPr>
        <w:pStyle w:val="ListParagraph"/>
        <w:suppressAutoHyphens/>
        <w:spacing w:before="120" w:after="120"/>
        <w:ind w:left="0"/>
        <w:contextualSpacing w:val="0"/>
        <w:jc w:val="both"/>
        <w:rPr>
          <w:rFonts w:eastAsia="Calibri" w:cs="Times New Roman"/>
          <w:szCs w:val="24"/>
          <w:lang w:eastAsia="ar-SA"/>
        </w:rPr>
      </w:pPr>
    </w:p>
    <w:p w14:paraId="06AA0B21" w14:textId="77777777" w:rsidR="00AC0CCA" w:rsidRDefault="00AC0CCA">
      <w:pPr>
        <w:rPr>
          <w:rFonts w:eastAsia="Calibri" w:cs="Times New Roman"/>
          <w:szCs w:val="24"/>
          <w:lang w:eastAsia="ar-SA"/>
        </w:rPr>
      </w:pPr>
      <w:r>
        <w:rPr>
          <w:rFonts w:eastAsia="Calibri" w:cs="Times New Roman"/>
          <w:szCs w:val="24"/>
          <w:lang w:eastAsia="ar-SA"/>
        </w:rPr>
        <w:br w:type="page"/>
      </w:r>
    </w:p>
    <w:p w14:paraId="565F5815" w14:textId="55A3C42E" w:rsidR="00684ADB" w:rsidRPr="00DA25BD" w:rsidRDefault="00684ADB" w:rsidP="00684ADB">
      <w:pPr>
        <w:pStyle w:val="ListParagraph"/>
        <w:suppressAutoHyphens/>
        <w:spacing w:before="120" w:after="120"/>
        <w:ind w:left="0"/>
        <w:contextualSpacing w:val="0"/>
        <w:jc w:val="both"/>
        <w:rPr>
          <w:rFonts w:eastAsia="Calibri" w:cs="Times New Roman"/>
          <w:szCs w:val="24"/>
          <w:lang w:eastAsia="ar-SA"/>
        </w:rPr>
      </w:pPr>
      <w:r w:rsidRPr="00DA25BD">
        <w:rPr>
          <w:rFonts w:eastAsia="Calibri" w:cs="Times New Roman"/>
          <w:szCs w:val="24"/>
          <w:lang w:eastAsia="ar-SA"/>
        </w:rPr>
        <w:lastRenderedPageBreak/>
        <w:t xml:space="preserve">Pielikumā: </w:t>
      </w:r>
    </w:p>
    <w:p w14:paraId="22C30A34" w14:textId="0A30E808" w:rsidR="00684ADB" w:rsidRPr="00DA25BD" w:rsidRDefault="00684ADB" w:rsidP="00684ADB">
      <w:pPr>
        <w:pStyle w:val="ListParagraph"/>
        <w:numPr>
          <w:ilvl w:val="0"/>
          <w:numId w:val="4"/>
        </w:numPr>
        <w:suppressAutoHyphens/>
        <w:spacing w:before="120" w:after="120"/>
        <w:ind w:left="425" w:hanging="357"/>
        <w:contextualSpacing w:val="0"/>
        <w:jc w:val="both"/>
        <w:rPr>
          <w:rFonts w:eastAsia="Calibri" w:cs="Times New Roman"/>
          <w:szCs w:val="24"/>
          <w:lang w:eastAsia="ar-SA"/>
        </w:rPr>
      </w:pPr>
      <w:r w:rsidRPr="00DA25BD">
        <w:rPr>
          <w:rFonts w:eastAsia="Times New Roman" w:cs="Times New Roman"/>
          <w:color w:val="000000"/>
          <w:szCs w:val="24"/>
        </w:rPr>
        <w:t>Eiropas Savienības struktūrfondu un Kohēzijas fonda 2014.-2020.gada plānošanas perioda specifisko atbalsta mērķu ieviešanas laika grafika statuss uz 01.0</w:t>
      </w:r>
      <w:r>
        <w:rPr>
          <w:rFonts w:eastAsia="Times New Roman" w:cs="Times New Roman"/>
          <w:color w:val="000000"/>
          <w:szCs w:val="24"/>
        </w:rPr>
        <w:t>9</w:t>
      </w:r>
      <w:r w:rsidRPr="00DA25BD">
        <w:rPr>
          <w:rFonts w:eastAsia="Times New Roman" w:cs="Times New Roman"/>
          <w:color w:val="000000"/>
          <w:szCs w:val="24"/>
        </w:rPr>
        <w:t>.</w:t>
      </w:r>
      <w:r w:rsidRPr="00D53A16">
        <w:rPr>
          <w:rFonts w:eastAsia="Times New Roman" w:cs="Times New Roman"/>
          <w:color w:val="000000"/>
          <w:szCs w:val="24"/>
        </w:rPr>
        <w:t xml:space="preserve">2016. uz </w:t>
      </w:r>
      <w:r w:rsidR="00D53A16" w:rsidRPr="00D53A16">
        <w:rPr>
          <w:rFonts w:eastAsia="Times New Roman" w:cs="Times New Roman"/>
          <w:color w:val="000000"/>
          <w:szCs w:val="24"/>
        </w:rPr>
        <w:t>3</w:t>
      </w:r>
      <w:r w:rsidRPr="00D53A16">
        <w:rPr>
          <w:rFonts w:eastAsia="Times New Roman" w:cs="Times New Roman"/>
          <w:color w:val="000000"/>
          <w:szCs w:val="24"/>
        </w:rPr>
        <w:t xml:space="preserve"> </w:t>
      </w:r>
      <w:proofErr w:type="spellStart"/>
      <w:r w:rsidRPr="00D53A16">
        <w:rPr>
          <w:rFonts w:eastAsia="Times New Roman" w:cs="Times New Roman"/>
          <w:color w:val="000000"/>
          <w:szCs w:val="24"/>
        </w:rPr>
        <w:t>lp</w:t>
      </w:r>
      <w:proofErr w:type="spellEnd"/>
      <w:r w:rsidRPr="00D53A16">
        <w:rPr>
          <w:rFonts w:eastAsia="Times New Roman" w:cs="Times New Roman"/>
          <w:color w:val="000000"/>
          <w:szCs w:val="24"/>
        </w:rPr>
        <w:t>.</w:t>
      </w:r>
    </w:p>
    <w:p w14:paraId="2F6B27EF" w14:textId="63803AEB" w:rsidR="00684ADB" w:rsidRPr="00493683" w:rsidRDefault="00684ADB" w:rsidP="00684ADB">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sidRPr="00493683">
        <w:rPr>
          <w:rFonts w:eastAsia="Times New Roman" w:cs="Times New Roman"/>
          <w:color w:val="000000"/>
          <w:szCs w:val="24"/>
        </w:rPr>
        <w:t>K</w:t>
      </w:r>
      <w:r>
        <w:rPr>
          <w:rFonts w:eastAsia="Times New Roman" w:cs="Times New Roman"/>
          <w:color w:val="000000"/>
          <w:szCs w:val="24"/>
        </w:rPr>
        <w:t>avētie</w:t>
      </w:r>
      <w:r w:rsidRPr="00493683">
        <w:rPr>
          <w:rFonts w:eastAsia="Times New Roman" w:cs="Times New Roman"/>
          <w:color w:val="000000"/>
          <w:szCs w:val="24"/>
        </w:rPr>
        <w:t xml:space="preserve"> Ministru kabineta noteikumi specifisko atbalsta mērķu/pasāku</w:t>
      </w:r>
      <w:r>
        <w:rPr>
          <w:rFonts w:eastAsia="Times New Roman" w:cs="Times New Roman"/>
          <w:color w:val="000000"/>
          <w:szCs w:val="24"/>
        </w:rPr>
        <w:t>mu laika grafikā, statuss uz 1</w:t>
      </w:r>
      <w:r w:rsidR="0012795B">
        <w:rPr>
          <w:rFonts w:eastAsia="Times New Roman" w:cs="Times New Roman"/>
          <w:color w:val="000000"/>
          <w:szCs w:val="24"/>
        </w:rPr>
        <w:t>9</w:t>
      </w:r>
      <w:r>
        <w:rPr>
          <w:rFonts w:eastAsia="Times New Roman" w:cs="Times New Roman"/>
          <w:color w:val="000000"/>
          <w:szCs w:val="24"/>
        </w:rPr>
        <w:t>.09</w:t>
      </w:r>
      <w:r w:rsidRPr="00493683">
        <w:rPr>
          <w:rFonts w:eastAsia="Times New Roman" w:cs="Times New Roman"/>
          <w:color w:val="000000"/>
          <w:szCs w:val="24"/>
        </w:rPr>
        <w:t xml:space="preserve">.2016 uz </w:t>
      </w:r>
      <w:r>
        <w:rPr>
          <w:rFonts w:eastAsia="Times New Roman" w:cs="Times New Roman"/>
          <w:color w:val="000000"/>
          <w:szCs w:val="24"/>
        </w:rPr>
        <w:t>1</w:t>
      </w:r>
      <w:r w:rsidRPr="00493683">
        <w:rPr>
          <w:rFonts w:eastAsia="Times New Roman" w:cs="Times New Roman"/>
          <w:color w:val="000000"/>
          <w:szCs w:val="24"/>
        </w:rPr>
        <w:t xml:space="preserve"> </w:t>
      </w:r>
      <w:proofErr w:type="spellStart"/>
      <w:r w:rsidRPr="00493683">
        <w:rPr>
          <w:rFonts w:eastAsia="Times New Roman" w:cs="Times New Roman"/>
          <w:color w:val="000000"/>
          <w:szCs w:val="24"/>
        </w:rPr>
        <w:t>lp</w:t>
      </w:r>
      <w:proofErr w:type="spellEnd"/>
      <w:r w:rsidRPr="00493683">
        <w:rPr>
          <w:rFonts w:eastAsia="Times New Roman" w:cs="Times New Roman"/>
          <w:color w:val="000000"/>
          <w:szCs w:val="24"/>
        </w:rPr>
        <w:t>.</w:t>
      </w:r>
    </w:p>
    <w:p w14:paraId="164DF04A" w14:textId="49613AE3" w:rsidR="00DB203A" w:rsidRPr="00493683" w:rsidRDefault="00DB203A" w:rsidP="00DB203A">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Pr>
          <w:rFonts w:eastAsia="Times New Roman" w:cs="Times New Roman"/>
          <w:color w:val="000000"/>
          <w:szCs w:val="24"/>
        </w:rPr>
        <w:t>Kavēta</w:t>
      </w:r>
      <w:r w:rsidRPr="00493683">
        <w:rPr>
          <w:rFonts w:eastAsia="Times New Roman" w:cs="Times New Roman"/>
          <w:color w:val="000000"/>
          <w:szCs w:val="24"/>
        </w:rPr>
        <w:t xml:space="preserve"> Ministru kabineta noteikumu izsludināšana</w:t>
      </w:r>
      <w:r>
        <w:rPr>
          <w:rFonts w:eastAsia="Times New Roman" w:cs="Times New Roman"/>
          <w:color w:val="000000"/>
          <w:szCs w:val="24"/>
        </w:rPr>
        <w:t xml:space="preserve"> valsts sekretāru sanāksmē uz 1</w:t>
      </w:r>
      <w:r w:rsidR="0012795B">
        <w:rPr>
          <w:rFonts w:eastAsia="Times New Roman" w:cs="Times New Roman"/>
          <w:color w:val="000000"/>
          <w:szCs w:val="24"/>
        </w:rPr>
        <w:t>9</w:t>
      </w:r>
      <w:r>
        <w:rPr>
          <w:rFonts w:eastAsia="Times New Roman" w:cs="Times New Roman"/>
          <w:color w:val="000000"/>
          <w:szCs w:val="24"/>
        </w:rPr>
        <w:t>.09</w:t>
      </w:r>
      <w:r w:rsidRPr="00493683">
        <w:rPr>
          <w:rFonts w:eastAsia="Times New Roman" w:cs="Times New Roman"/>
          <w:color w:val="000000"/>
          <w:szCs w:val="24"/>
        </w:rPr>
        <w:t xml:space="preserve">.2016 uz 1 </w:t>
      </w:r>
      <w:proofErr w:type="spellStart"/>
      <w:r w:rsidRPr="00493683">
        <w:rPr>
          <w:rFonts w:eastAsia="Times New Roman" w:cs="Times New Roman"/>
          <w:color w:val="000000"/>
          <w:szCs w:val="24"/>
        </w:rPr>
        <w:t>lp</w:t>
      </w:r>
      <w:proofErr w:type="spellEnd"/>
      <w:r>
        <w:rPr>
          <w:rFonts w:eastAsia="Times New Roman" w:cs="Times New Roman"/>
          <w:color w:val="000000"/>
          <w:szCs w:val="24"/>
        </w:rPr>
        <w:t>.</w:t>
      </w:r>
    </w:p>
    <w:p w14:paraId="3CE7DAC2" w14:textId="77777777" w:rsidR="00684ADB" w:rsidRPr="00493683" w:rsidRDefault="00684ADB" w:rsidP="00684ADB">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Pr>
          <w:rFonts w:eastAsia="Times New Roman" w:cs="Times New Roman"/>
          <w:color w:val="000000"/>
          <w:szCs w:val="24"/>
        </w:rPr>
        <w:t>Septembrī plānoto</w:t>
      </w:r>
      <w:r w:rsidRPr="00493683">
        <w:rPr>
          <w:rFonts w:eastAsia="Times New Roman" w:cs="Times New Roman"/>
          <w:color w:val="000000"/>
          <w:szCs w:val="24"/>
        </w:rPr>
        <w:t xml:space="preserve"> Ministru kabineta noteikumu apstiprināšana specifiskajiem atbalsta mērķiem/pasākumiem uz 1 </w:t>
      </w:r>
      <w:proofErr w:type="spellStart"/>
      <w:r w:rsidRPr="00493683">
        <w:rPr>
          <w:rFonts w:eastAsia="Times New Roman" w:cs="Times New Roman"/>
          <w:color w:val="000000"/>
          <w:szCs w:val="24"/>
        </w:rPr>
        <w:t>lp</w:t>
      </w:r>
      <w:proofErr w:type="spellEnd"/>
      <w:r w:rsidRPr="00493683">
        <w:rPr>
          <w:rFonts w:eastAsia="Times New Roman" w:cs="Times New Roman"/>
          <w:color w:val="000000"/>
          <w:szCs w:val="24"/>
        </w:rPr>
        <w:t>.</w:t>
      </w:r>
    </w:p>
    <w:p w14:paraId="5723F1EA" w14:textId="77777777" w:rsidR="00684ADB" w:rsidRPr="00D407D7" w:rsidRDefault="00684ADB" w:rsidP="00684ADB">
      <w:pPr>
        <w:tabs>
          <w:tab w:val="right" w:pos="9072"/>
        </w:tabs>
        <w:suppressAutoHyphens/>
        <w:rPr>
          <w:rFonts w:eastAsia="Calibri" w:cs="Times New Roman"/>
          <w:szCs w:val="24"/>
          <w:lang w:eastAsia="ar-SA"/>
        </w:rPr>
      </w:pPr>
    </w:p>
    <w:p w14:paraId="190485B6" w14:textId="77777777" w:rsidR="00684ADB" w:rsidRDefault="00684ADB" w:rsidP="00684ADB">
      <w:pPr>
        <w:tabs>
          <w:tab w:val="right" w:pos="9072"/>
        </w:tabs>
        <w:suppressAutoHyphens/>
        <w:rPr>
          <w:rFonts w:eastAsia="Calibri" w:cs="Times New Roman"/>
          <w:szCs w:val="24"/>
          <w:lang w:eastAsia="ar-SA"/>
        </w:rPr>
      </w:pPr>
    </w:p>
    <w:p w14:paraId="7C2BEB2F" w14:textId="77777777" w:rsidR="00DB203A" w:rsidRDefault="00DB203A" w:rsidP="00684ADB">
      <w:pPr>
        <w:tabs>
          <w:tab w:val="right" w:pos="9072"/>
        </w:tabs>
        <w:suppressAutoHyphens/>
        <w:rPr>
          <w:rFonts w:eastAsia="Calibri" w:cs="Times New Roman"/>
          <w:szCs w:val="24"/>
          <w:lang w:eastAsia="ar-SA"/>
        </w:rPr>
      </w:pPr>
    </w:p>
    <w:p w14:paraId="3BEA5A64" w14:textId="77777777" w:rsidR="00DB203A" w:rsidRDefault="00DB203A" w:rsidP="00684ADB">
      <w:pPr>
        <w:tabs>
          <w:tab w:val="right" w:pos="9072"/>
        </w:tabs>
        <w:suppressAutoHyphens/>
        <w:rPr>
          <w:rFonts w:eastAsia="Calibri" w:cs="Times New Roman"/>
          <w:szCs w:val="24"/>
          <w:lang w:eastAsia="ar-SA"/>
        </w:rPr>
      </w:pPr>
    </w:p>
    <w:p w14:paraId="5D8A5994" w14:textId="77777777" w:rsidR="00684ADB" w:rsidRDefault="00684ADB" w:rsidP="00684ADB">
      <w:pPr>
        <w:tabs>
          <w:tab w:val="right" w:pos="9072"/>
        </w:tabs>
        <w:suppressAutoHyphens/>
        <w:rPr>
          <w:rFonts w:eastAsia="Calibri" w:cs="Times New Roman"/>
          <w:szCs w:val="24"/>
          <w:lang w:eastAsia="ar-SA"/>
        </w:rPr>
      </w:pPr>
      <w:r w:rsidRPr="00D407D7">
        <w:rPr>
          <w:rFonts w:eastAsia="Calibri" w:cs="Times New Roman"/>
          <w:szCs w:val="24"/>
          <w:lang w:eastAsia="ar-SA"/>
        </w:rPr>
        <w:t xml:space="preserve">Finanšu ministre                                                                                            </w:t>
      </w:r>
      <w:proofErr w:type="spellStart"/>
      <w:r w:rsidRPr="00D407D7">
        <w:rPr>
          <w:rFonts w:eastAsia="Calibri" w:cs="Times New Roman"/>
          <w:szCs w:val="24"/>
          <w:lang w:eastAsia="ar-SA"/>
        </w:rPr>
        <w:t>D.Reizniece</w:t>
      </w:r>
      <w:proofErr w:type="spellEnd"/>
      <w:r w:rsidRPr="00D407D7">
        <w:rPr>
          <w:rFonts w:eastAsia="Calibri" w:cs="Times New Roman"/>
          <w:szCs w:val="24"/>
          <w:lang w:eastAsia="ar-SA"/>
        </w:rPr>
        <w:t>-Ozola </w:t>
      </w:r>
    </w:p>
    <w:p w14:paraId="1F9B6107" w14:textId="77777777" w:rsidR="00684ADB" w:rsidRPr="00D407D7" w:rsidRDefault="00684ADB" w:rsidP="00684ADB">
      <w:pPr>
        <w:tabs>
          <w:tab w:val="right" w:pos="9072"/>
        </w:tabs>
        <w:suppressAutoHyphens/>
        <w:rPr>
          <w:rFonts w:eastAsia="Calibri" w:cs="Times New Roman"/>
          <w:szCs w:val="24"/>
          <w:lang w:eastAsia="ar-SA"/>
        </w:rPr>
      </w:pPr>
    </w:p>
    <w:p w14:paraId="26E6105A" w14:textId="56C49C29" w:rsidR="00684ADB" w:rsidRDefault="0027168C" w:rsidP="0027168C">
      <w:pPr>
        <w:tabs>
          <w:tab w:val="left" w:pos="8145"/>
        </w:tabs>
        <w:rPr>
          <w:color w:val="000000" w:themeColor="text1"/>
          <w:sz w:val="18"/>
        </w:rPr>
      </w:pPr>
      <w:r>
        <w:rPr>
          <w:color w:val="000000" w:themeColor="text1"/>
          <w:sz w:val="18"/>
        </w:rPr>
        <w:tab/>
      </w:r>
    </w:p>
    <w:p w14:paraId="630E191F" w14:textId="77777777" w:rsidR="00684ADB" w:rsidRDefault="00684ADB" w:rsidP="00684ADB">
      <w:pPr>
        <w:tabs>
          <w:tab w:val="left" w:pos="1725"/>
        </w:tabs>
        <w:rPr>
          <w:color w:val="000000" w:themeColor="text1"/>
          <w:sz w:val="18"/>
        </w:rPr>
      </w:pPr>
    </w:p>
    <w:p w14:paraId="422FC927" w14:textId="77777777" w:rsidR="002E28C2" w:rsidRDefault="002E28C2" w:rsidP="00684ADB">
      <w:pPr>
        <w:tabs>
          <w:tab w:val="left" w:pos="1725"/>
        </w:tabs>
        <w:rPr>
          <w:color w:val="000000" w:themeColor="text1"/>
          <w:sz w:val="18"/>
        </w:rPr>
      </w:pPr>
    </w:p>
    <w:p w14:paraId="3E44A82C" w14:textId="77777777" w:rsidR="002E28C2" w:rsidRPr="005A3F87" w:rsidRDefault="002E28C2" w:rsidP="00684ADB">
      <w:pPr>
        <w:tabs>
          <w:tab w:val="left" w:pos="1725"/>
        </w:tabs>
        <w:rPr>
          <w:color w:val="000000" w:themeColor="text1"/>
          <w:sz w:val="18"/>
        </w:rPr>
      </w:pPr>
    </w:p>
    <w:p w14:paraId="2EE69E98" w14:textId="77777777" w:rsidR="00684ADB" w:rsidRDefault="00684ADB" w:rsidP="00684ADB">
      <w:pPr>
        <w:tabs>
          <w:tab w:val="left" w:pos="1725"/>
        </w:tabs>
        <w:rPr>
          <w:color w:val="000000" w:themeColor="text1"/>
          <w:sz w:val="18"/>
        </w:rPr>
      </w:pPr>
    </w:p>
    <w:p w14:paraId="605EE903" w14:textId="77777777" w:rsidR="00684ADB" w:rsidRPr="005A3F87" w:rsidRDefault="00684ADB" w:rsidP="00684ADB">
      <w:pPr>
        <w:tabs>
          <w:tab w:val="left" w:pos="1725"/>
        </w:tabs>
        <w:rPr>
          <w:color w:val="000000" w:themeColor="text1"/>
          <w:sz w:val="18"/>
        </w:rPr>
      </w:pPr>
      <w:r w:rsidRPr="005A3F87">
        <w:rPr>
          <w:color w:val="000000" w:themeColor="text1"/>
          <w:sz w:val="18"/>
        </w:rPr>
        <w:t>2</w:t>
      </w:r>
      <w:r>
        <w:rPr>
          <w:color w:val="000000" w:themeColor="text1"/>
          <w:sz w:val="18"/>
        </w:rPr>
        <w:t>7</w:t>
      </w:r>
      <w:r w:rsidRPr="005A3F87">
        <w:rPr>
          <w:color w:val="000000" w:themeColor="text1"/>
          <w:sz w:val="18"/>
        </w:rPr>
        <w:t>.</w:t>
      </w:r>
      <w:r>
        <w:rPr>
          <w:color w:val="000000" w:themeColor="text1"/>
          <w:sz w:val="18"/>
        </w:rPr>
        <w:t>09</w:t>
      </w:r>
      <w:r w:rsidRPr="005A3F87">
        <w:rPr>
          <w:color w:val="000000" w:themeColor="text1"/>
          <w:sz w:val="18"/>
        </w:rPr>
        <w:t>.2016 09:36</w:t>
      </w:r>
    </w:p>
    <w:p w14:paraId="341DEFFB" w14:textId="79585A8B" w:rsidR="00684ADB" w:rsidRPr="00D407D7" w:rsidRDefault="00F93FDD" w:rsidP="00684ADB">
      <w:pPr>
        <w:tabs>
          <w:tab w:val="left" w:pos="1725"/>
        </w:tabs>
        <w:rPr>
          <w:color w:val="000000" w:themeColor="text1"/>
          <w:sz w:val="18"/>
        </w:rPr>
      </w:pPr>
      <w:r>
        <w:rPr>
          <w:color w:val="000000" w:themeColor="text1"/>
          <w:sz w:val="18"/>
        </w:rPr>
        <w:t>1741</w:t>
      </w:r>
    </w:p>
    <w:p w14:paraId="7B8C4C7E" w14:textId="77777777" w:rsidR="00684ADB" w:rsidRPr="00D407D7" w:rsidRDefault="00684ADB" w:rsidP="00684ADB">
      <w:pPr>
        <w:tabs>
          <w:tab w:val="center" w:pos="4153"/>
          <w:tab w:val="right" w:pos="8306"/>
        </w:tabs>
        <w:rPr>
          <w:color w:val="000000"/>
          <w:sz w:val="20"/>
        </w:rPr>
      </w:pPr>
      <w:r w:rsidRPr="00D407D7">
        <w:rPr>
          <w:color w:val="000000"/>
          <w:sz w:val="20"/>
        </w:rPr>
        <w:t>Ieva Ziepniece</w:t>
      </w:r>
    </w:p>
    <w:p w14:paraId="505F7595" w14:textId="77777777" w:rsidR="00684ADB" w:rsidRPr="00D407D7" w:rsidRDefault="00684ADB" w:rsidP="00684ADB">
      <w:pPr>
        <w:tabs>
          <w:tab w:val="center" w:pos="4153"/>
          <w:tab w:val="right" w:pos="8306"/>
        </w:tabs>
        <w:rPr>
          <w:color w:val="000000"/>
          <w:sz w:val="20"/>
        </w:rPr>
      </w:pPr>
      <w:r w:rsidRPr="00D407D7">
        <w:rPr>
          <w:color w:val="000000"/>
          <w:sz w:val="20"/>
        </w:rPr>
        <w:t>Finanšu ministrijas Eiropas Savienības fondu uzraudzības departamenta</w:t>
      </w:r>
    </w:p>
    <w:p w14:paraId="792EC00C" w14:textId="77777777" w:rsidR="00684ADB" w:rsidRPr="00D407D7" w:rsidRDefault="00684ADB" w:rsidP="00684ADB">
      <w:pPr>
        <w:tabs>
          <w:tab w:val="center" w:pos="4153"/>
          <w:tab w:val="right" w:pos="8306"/>
        </w:tabs>
        <w:rPr>
          <w:color w:val="000000"/>
          <w:sz w:val="20"/>
        </w:rPr>
      </w:pPr>
      <w:r w:rsidRPr="00D407D7">
        <w:rPr>
          <w:color w:val="000000"/>
          <w:sz w:val="20"/>
        </w:rPr>
        <w:t>Uzņēmējdarbības un inovāciju uzraudzības nodaļas vadītājas vietniece</w:t>
      </w:r>
    </w:p>
    <w:p w14:paraId="118A9448" w14:textId="77777777" w:rsidR="00684ADB" w:rsidRPr="00D407D7" w:rsidRDefault="00684ADB" w:rsidP="00684ADB">
      <w:pPr>
        <w:tabs>
          <w:tab w:val="center" w:pos="4153"/>
          <w:tab w:val="right" w:pos="8306"/>
        </w:tabs>
        <w:rPr>
          <w:color w:val="000000"/>
          <w:sz w:val="20"/>
        </w:rPr>
      </w:pPr>
      <w:r w:rsidRPr="00D407D7">
        <w:rPr>
          <w:color w:val="000000"/>
          <w:sz w:val="20"/>
        </w:rPr>
        <w:t>Tālr. 67095614, fakss 67095697</w:t>
      </w:r>
    </w:p>
    <w:p w14:paraId="0C6754D1" w14:textId="77777777" w:rsidR="00684ADB" w:rsidRPr="008B65F5" w:rsidRDefault="0067128F" w:rsidP="00684ADB">
      <w:pPr>
        <w:tabs>
          <w:tab w:val="center" w:pos="4153"/>
          <w:tab w:val="right" w:pos="8306"/>
        </w:tabs>
      </w:pPr>
      <w:hyperlink r:id="rId12" w:history="1">
        <w:r w:rsidR="00684ADB" w:rsidRPr="00D407D7">
          <w:rPr>
            <w:rStyle w:val="Hyperlink"/>
            <w:sz w:val="20"/>
          </w:rPr>
          <w:t>Ieva.Ziepniece@fm.gov.lv</w:t>
        </w:r>
      </w:hyperlink>
    </w:p>
    <w:p w14:paraId="732D946A" w14:textId="77777777" w:rsidR="00942AB5" w:rsidRDefault="00942AB5"/>
    <w:sectPr w:rsidR="00942AB5" w:rsidSect="00473293">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18AD7" w14:textId="77777777" w:rsidR="0067128F" w:rsidRDefault="0067128F" w:rsidP="00684ADB">
      <w:r>
        <w:separator/>
      </w:r>
    </w:p>
  </w:endnote>
  <w:endnote w:type="continuationSeparator" w:id="0">
    <w:p w14:paraId="0B4183F2" w14:textId="77777777" w:rsidR="0067128F" w:rsidRDefault="0067128F"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77777777" w:rsidR="00A36560" w:rsidRPr="0038735F" w:rsidRDefault="009E1C78" w:rsidP="00A36560">
    <w:pPr>
      <w:pStyle w:val="Footer"/>
      <w:jc w:val="both"/>
      <w:rPr>
        <w:sz w:val="20"/>
      </w:rPr>
    </w:pPr>
    <w:r>
      <w:rPr>
        <w:sz w:val="20"/>
      </w:rPr>
      <w:t>FMzino_270916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 investīciju ieviešanas statusu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77777777" w:rsidR="00AC4E18" w:rsidRPr="0038735F" w:rsidRDefault="009E1C78" w:rsidP="0038735F">
    <w:pPr>
      <w:pStyle w:val="Footer"/>
      <w:jc w:val="both"/>
      <w:rPr>
        <w:sz w:val="20"/>
      </w:rPr>
    </w:pPr>
    <w:r>
      <w:rPr>
        <w:sz w:val="20"/>
      </w:rPr>
      <w:t>FMzino_260816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 investīciju ieviešanas statusu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0B83" w14:textId="77777777" w:rsidR="0067128F" w:rsidRDefault="0067128F" w:rsidP="00684ADB">
      <w:r>
        <w:separator/>
      </w:r>
    </w:p>
  </w:footnote>
  <w:footnote w:type="continuationSeparator" w:id="0">
    <w:p w14:paraId="24E5772C" w14:textId="77777777" w:rsidR="0067128F" w:rsidRDefault="0067128F" w:rsidP="00684ADB">
      <w:r>
        <w:continuationSeparator/>
      </w:r>
    </w:p>
  </w:footnote>
  <w:footnote w:id="1">
    <w:p w14:paraId="49CAF906" w14:textId="77777777" w:rsidR="00684ADB" w:rsidRPr="00C70E21" w:rsidRDefault="00684ADB" w:rsidP="00684ADB">
      <w:pPr>
        <w:pStyle w:val="FootnoteText"/>
        <w:jc w:val="both"/>
      </w:pPr>
      <w:r w:rsidRPr="00C70E21">
        <w:rPr>
          <w:rStyle w:val="FootnoteReference"/>
        </w:rPr>
        <w:footnoteRef/>
      </w:r>
      <w:r w:rsidRPr="00C70E21">
        <w:t xml:space="preserve"> Ziņojumā tiek sniegta informācija par datu un informācijas apkopojumiem uz dažādiem atskaites datumiem</w:t>
      </w:r>
      <w:r>
        <w:t xml:space="preserve"> ar mērķi sniegt aktuālo informāciju</w:t>
      </w:r>
      <w:r w:rsidRPr="00C70E21">
        <w:t>, kas ziņojumā tiek norādīti.</w:t>
      </w:r>
    </w:p>
  </w:footnote>
  <w:footnote w:id="2">
    <w:p w14:paraId="0AC039D1" w14:textId="77777777" w:rsidR="00684ADB" w:rsidRPr="00C70E21" w:rsidRDefault="00684ADB" w:rsidP="00684ADB">
      <w:pPr>
        <w:pStyle w:val="FootnoteText"/>
        <w:jc w:val="both"/>
      </w:pPr>
      <w:r w:rsidRPr="00C70E21">
        <w:rPr>
          <w:rStyle w:val="FootnoteReference"/>
        </w:rPr>
        <w:footnoteRef/>
      </w:r>
      <w:r w:rsidRPr="00C70E21">
        <w:t xml:space="preserve"> Saskaņā ar EK </w:t>
      </w:r>
      <w:r>
        <w:t>2006.gada 11.</w:t>
      </w:r>
      <w:r w:rsidRPr="00C70E21">
        <w:t>jūlija Regulas Nr. 1083/2006, ar ko paredz vispārīgus noteikumus par Eiropas Reģionālās attīstības fondu, Eiropas Sociālo fondu un Kohēzijas fondu un atceļ Regulu(EK) Nr. 1260/1999</w:t>
      </w:r>
    </w:p>
    <w:p w14:paraId="0B76CA37" w14:textId="77777777" w:rsidR="00684ADB" w:rsidRPr="00C70E21" w:rsidRDefault="00684ADB" w:rsidP="00684ADB">
      <w:pPr>
        <w:pStyle w:val="FootnoteText"/>
        <w:jc w:val="both"/>
      </w:pPr>
      <w:r w:rsidRPr="00C70E21">
        <w:t xml:space="preserve">89.panta 1.punktu un saskaņā ar Pamatnostādņu par to darbības programmu slēgšanu, kuras pieņemtas atbalsta saņemšanai no Eiropas Reģionālās attīstības fonda, Eiropas Sociālā fonda un Kohēzijas fonda (2007.–2013. gada periodam) (turpmāk - slēgšanas pamatnostādnes) 4.1.punktu un nacionālo slēgšanas laika grafiku, kas pieejams </w:t>
      </w:r>
      <w:hyperlink r:id="rId1" w:history="1">
        <w:r w:rsidRPr="00C70E21">
          <w:rPr>
            <w:rStyle w:val="Hyperlink"/>
          </w:rPr>
          <w:t>http://www.esfondi.lv/es-fondu-slegsana</w:t>
        </w:r>
      </w:hyperlink>
      <w:r w:rsidRPr="00C70E21">
        <w:t>.</w:t>
      </w:r>
    </w:p>
  </w:footnote>
  <w:footnote w:id="3">
    <w:p w14:paraId="6C3B303A" w14:textId="66ABA75F" w:rsidR="00831B8D" w:rsidRDefault="00831B8D">
      <w:pPr>
        <w:pStyle w:val="FootnoteText"/>
      </w:pPr>
      <w:r>
        <w:rPr>
          <w:rStyle w:val="FootnoteReference"/>
        </w:rPr>
        <w:footnoteRef/>
      </w:r>
      <w:r>
        <w:t xml:space="preserve"> Dati uz 1.augustu</w:t>
      </w:r>
    </w:p>
  </w:footnote>
  <w:footnote w:id="4">
    <w:p w14:paraId="3F977310" w14:textId="77777777" w:rsidR="00A90223" w:rsidRDefault="00A90223" w:rsidP="00A90223">
      <w:pPr>
        <w:pStyle w:val="FootnoteText"/>
      </w:pPr>
      <w:r>
        <w:rPr>
          <w:rStyle w:val="FootnoteReference"/>
        </w:rPr>
        <w:footnoteRef/>
      </w:r>
      <w:r>
        <w:t xml:space="preserve"> Dati uz 1.jūliju, jo </w:t>
      </w:r>
      <w:r w:rsidRPr="00831B8D">
        <w:rPr>
          <w:rFonts w:eastAsia="Calibri" w:cs="Times New Roman"/>
          <w:szCs w:val="24"/>
          <w:lang w:eastAsia="ar-SA"/>
        </w:rPr>
        <w:t xml:space="preserve">AS “Attīstības finanšu institūcija </w:t>
      </w:r>
      <w:proofErr w:type="spellStart"/>
      <w:r w:rsidRPr="00831B8D">
        <w:rPr>
          <w:rFonts w:eastAsia="Calibri" w:cs="Times New Roman"/>
          <w:szCs w:val="24"/>
          <w:lang w:eastAsia="ar-SA"/>
        </w:rPr>
        <w:t>Altum</w:t>
      </w:r>
      <w:proofErr w:type="spellEnd"/>
      <w:r w:rsidRPr="00831B8D">
        <w:rPr>
          <w:rFonts w:eastAsia="Calibri" w:cs="Times New Roman"/>
          <w:szCs w:val="24"/>
          <w:lang w:eastAsia="ar-SA"/>
        </w:rPr>
        <w:t>”</w:t>
      </w:r>
      <w:r>
        <w:rPr>
          <w:rFonts w:eastAsia="Calibri" w:cs="Times New Roman"/>
          <w:szCs w:val="24"/>
          <w:lang w:eastAsia="ar-SA"/>
        </w:rPr>
        <w:t xml:space="preserve"> iesniedz pārskatus reizi ceturksnī</w:t>
      </w:r>
    </w:p>
  </w:footnote>
  <w:footnote w:id="5">
    <w:p w14:paraId="778D39AC" w14:textId="77777777" w:rsidR="00684ADB" w:rsidRPr="00C70E21" w:rsidRDefault="00684ADB" w:rsidP="00684ADB">
      <w:pPr>
        <w:pStyle w:val="FootnoteText"/>
      </w:pPr>
      <w:r w:rsidRPr="00C70E21">
        <w:rPr>
          <w:rStyle w:val="FootnoteReference"/>
        </w:rPr>
        <w:footnoteRef/>
      </w:r>
      <w:r w:rsidRPr="00C70E21">
        <w:t xml:space="preserve"> </w:t>
      </w:r>
      <w:hyperlink r:id="rId2" w:history="1">
        <w:r w:rsidRPr="00C70E21">
          <w:rPr>
            <w:rStyle w:val="Hyperlink"/>
            <w:szCs w:val="24"/>
          </w:rPr>
          <w:t>http://www.esfondi.lv/finansu-instrumentu-ieviesanas-statuss</w:t>
        </w:r>
      </w:hyperlink>
    </w:p>
  </w:footnote>
  <w:footnote w:id="6">
    <w:p w14:paraId="7FEA7264" w14:textId="77777777" w:rsidR="00684ADB" w:rsidRDefault="00684ADB" w:rsidP="00684ADB">
      <w:pPr>
        <w:pStyle w:val="FootnoteText"/>
      </w:pPr>
      <w:r w:rsidRPr="00C70E21">
        <w:rPr>
          <w:rStyle w:val="FootnoteReference"/>
        </w:rPr>
        <w:footnoteRef/>
      </w:r>
      <w:r w:rsidRPr="00C70E21">
        <w:t xml:space="preserve"> </w:t>
      </w:r>
      <w:hyperlink r:id="rId3" w:history="1">
        <w:r w:rsidRPr="00C70E21">
          <w:rPr>
            <w:rStyle w:val="Hyperlink"/>
          </w:rPr>
          <w:t>http://www.altum.lv/lv/</w:t>
        </w:r>
      </w:hyperlink>
    </w:p>
  </w:footnote>
  <w:footnote w:id="7">
    <w:p w14:paraId="483EADD9" w14:textId="77777777" w:rsidR="00A35118" w:rsidRPr="00822986" w:rsidRDefault="00A35118" w:rsidP="00A35118">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ES fondu un Kohēzijas fonda kopējiem EK veiktiem maksājumiem dalībvalstīm:</w:t>
      </w:r>
      <w:r w:rsidRPr="00822986">
        <w:rPr>
          <w:color w:val="000000" w:themeColor="text1"/>
        </w:rPr>
        <w:t xml:space="preserve"> </w:t>
      </w:r>
      <w:hyperlink r:id="rId4" w:history="1">
        <w:r>
          <w:rPr>
            <w:rStyle w:val="Hyperlink"/>
          </w:rPr>
          <w:t>http://www.esfondi.lv/kopejie-ek-veiktie-maksajumi-dalibvalstim</w:t>
        </w:r>
      </w:hyperlink>
    </w:p>
  </w:footnote>
  <w:footnote w:id="8">
    <w:p w14:paraId="703181B8" w14:textId="77777777" w:rsidR="00684ADB" w:rsidRDefault="00684ADB" w:rsidP="00684ADB">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5" w:history="1">
        <w:r w:rsidRPr="00F42493">
          <w:rPr>
            <w:rStyle w:val="Hyperlink"/>
            <w:rFonts w:eastAsia="Calibri" w:cs="Times New Roman"/>
            <w:szCs w:val="24"/>
            <w:lang w:eastAsia="ar-SA"/>
          </w:rPr>
          <w:t>http://www.esfondi.lv/zinojumi-Ministru-kabinetam</w:t>
        </w:r>
      </w:hyperlink>
    </w:p>
  </w:footnote>
  <w:footnote w:id="9">
    <w:p w14:paraId="364A761E" w14:textId="00D00EB1" w:rsidR="00684ADB" w:rsidRDefault="00684ADB" w:rsidP="00684ADB">
      <w:pPr>
        <w:pStyle w:val="FootnoteText"/>
      </w:pPr>
      <w:r>
        <w:rPr>
          <w:rStyle w:val="FootnoteReference"/>
        </w:rPr>
        <w:footnoteRef/>
      </w:r>
      <w:r>
        <w:t xml:space="preserve"> Pilna informācija par izpildes statusu uz 2016.gada 1.</w:t>
      </w:r>
      <w:r w:rsidR="000C7125">
        <w:t>septembri</w:t>
      </w:r>
      <w:r>
        <w:t xml:space="preserve"> pieejama</w:t>
      </w:r>
      <w:r w:rsidR="000C7125">
        <w:t xml:space="preserve"> </w:t>
      </w:r>
      <w:hyperlink r:id="rId6" w:history="1">
        <w:r w:rsidR="000C7125" w:rsidRPr="007317F5">
          <w:rPr>
            <w:rStyle w:val="Hyperlink"/>
          </w:rPr>
          <w:t>http://www.esfondi.lv/finansu-un-raditaju-plani-to-izpilde</w:t>
        </w:r>
      </w:hyperlink>
    </w:p>
  </w:footnote>
  <w:footnote w:id="10">
    <w:p w14:paraId="61A2238E" w14:textId="456D1A8C" w:rsidR="00684ADB" w:rsidRDefault="00684ADB" w:rsidP="00684ADB">
      <w:pPr>
        <w:pStyle w:val="FootnoteText"/>
      </w:pPr>
      <w:r>
        <w:rPr>
          <w:rStyle w:val="FootnoteReference"/>
        </w:rPr>
        <w:footnoteRef/>
      </w:r>
      <w:r>
        <w:t xml:space="preserve"> </w:t>
      </w:r>
      <w:hyperlink r:id="rId7" w:history="1">
        <w:r w:rsidR="00427EAD" w:rsidRPr="007317F5">
          <w:rPr>
            <w:rStyle w:val="Hyperlink"/>
          </w:rPr>
          <w:t>http://www.esfondi.lv/finansu-un-raditaju-plani-to-izpilde</w:t>
        </w:r>
      </w:hyperlink>
      <w:r w:rsidR="00427EAD">
        <w:t xml:space="preserve"> </w:t>
      </w:r>
    </w:p>
  </w:footnote>
  <w:footnote w:id="11">
    <w:p w14:paraId="2BEE9CEF" w14:textId="714B0A66" w:rsidR="00684ADB" w:rsidRDefault="00684ADB" w:rsidP="00684ADB">
      <w:pPr>
        <w:pStyle w:val="FootnoteText"/>
        <w:jc w:val="both"/>
      </w:pPr>
      <w:r>
        <w:rPr>
          <w:rStyle w:val="FootnoteReference"/>
        </w:rPr>
        <w:footnoteRef/>
      </w:r>
      <w:r>
        <w:t xml:space="preserve"> </w:t>
      </w:r>
      <w:r>
        <w:t>Pilna informācija par izpildes statusu uz 2016.gada 1.</w:t>
      </w:r>
      <w:r w:rsidR="008C5E2A">
        <w:t>septembri pieejama</w:t>
      </w:r>
      <w:hyperlink r:id="rId8" w:history="1"/>
      <w:r w:rsidR="008C5E2A">
        <w:rPr>
          <w:rStyle w:val="Hyperlink"/>
        </w:rPr>
        <w:t xml:space="preserve"> </w:t>
      </w:r>
      <w:hyperlink r:id="rId9" w:history="1">
        <w:r w:rsidR="008C5E2A" w:rsidRPr="00E71609">
          <w:rPr>
            <w:rStyle w:val="Hyperlink"/>
          </w:rPr>
          <w:t>http://www.esfondi.lv/finansu-un-raditaju-plani-to-izpilde</w:t>
        </w:r>
      </w:hyperlink>
      <w:r w:rsidR="00101539">
        <w:rPr>
          <w:rStyle w:val="Hyperlink"/>
        </w:rPr>
        <w:t xml:space="preserve">, </w:t>
      </w:r>
      <w:r w:rsidR="00101539" w:rsidRPr="007E68A5">
        <w:rPr>
          <w:rFonts w:eastAsia="Times New Roman" w:cs="Times New Roman"/>
          <w:color w:val="000000"/>
          <w:szCs w:val="24"/>
        </w:rPr>
        <w:t xml:space="preserve">kā arī </w:t>
      </w:r>
      <w:r w:rsidR="00101539" w:rsidRPr="008D32FA">
        <w:rPr>
          <w:rFonts w:eastAsia="Times New Roman" w:cs="Times New Roman"/>
          <w:color w:val="000000"/>
          <w:szCs w:val="24"/>
        </w:rPr>
        <w:t>Centrālās finanšu un līgumu aģentūras tīmekļa vietnē</w:t>
      </w:r>
      <w:r w:rsidR="00101539">
        <w:rPr>
          <w:rFonts w:eastAsia="Times New Roman" w:cs="Times New Roman"/>
          <w:color w:val="000000"/>
          <w:szCs w:val="24"/>
        </w:rPr>
        <w:t xml:space="preserve"> pieejams </w:t>
      </w:r>
      <w:r w:rsidR="00101539">
        <w:rPr>
          <w:rStyle w:val="Hyperlink"/>
        </w:rPr>
        <w:t xml:space="preserve">atlašu izsludināšanas indikatīvais laika grafiks </w:t>
      </w:r>
      <w:hyperlink r:id="rId10" w:history="1">
        <w:r w:rsidR="007E68A5" w:rsidRPr="00F50149">
          <w:rPr>
            <w:rStyle w:val="Hyperlink"/>
          </w:rPr>
          <w:t>http://www.cfla.gov.lv/lv/es-fondi-2014-2020/projektu-iesniegumu-atlase</w:t>
        </w:r>
      </w:hyperlink>
      <w:r w:rsidR="007E68A5">
        <w:rPr>
          <w:rStyle w:val="Hyperlink"/>
        </w:rPr>
        <w:t xml:space="preserve"> </w:t>
      </w:r>
    </w:p>
  </w:footnote>
  <w:footnote w:id="12">
    <w:p w14:paraId="32FF7283" w14:textId="77777777" w:rsidR="00AA07C3" w:rsidRDefault="00AA07C3" w:rsidP="00AA07C3">
      <w:pPr>
        <w:pStyle w:val="FootnoteText"/>
      </w:pPr>
      <w:r>
        <w:rPr>
          <w:rStyle w:val="FootnoteReference"/>
        </w:rPr>
        <w:footnoteRef/>
      </w:r>
      <w:r>
        <w:t xml:space="preserve"> </w:t>
      </w:r>
      <w:hyperlink r:id="rId11" w:history="1">
        <w:r w:rsidRPr="009B0729">
          <w:rPr>
            <w:rStyle w:val="Hyperlink"/>
            <w:rFonts w:eastAsia="Times New Roman" w:cs="Times New Roman"/>
            <w:szCs w:val="24"/>
          </w:rPr>
          <w:t>http://www.cfla.gov.lv/lv/es-fondi-2014-2020/izsludinatas-atlases</w:t>
        </w:r>
      </w:hyperlink>
    </w:p>
  </w:footnote>
  <w:footnote w:id="13">
    <w:p w14:paraId="24A11997" w14:textId="5080EDD1" w:rsidR="00516573" w:rsidRDefault="00516573">
      <w:pPr>
        <w:pStyle w:val="FootnoteText"/>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12" w:history="1">
        <w:r w:rsidRPr="00F42493">
          <w:rPr>
            <w:rStyle w:val="Hyperlink"/>
            <w:rFonts w:eastAsia="Calibri" w:cs="Times New Roman"/>
            <w:szCs w:val="24"/>
            <w:lang w:eastAsia="ar-SA"/>
          </w:rPr>
          <w:t>http://www.esfondi.lv/zinojumi-Ministru-kabinetam</w:t>
        </w:r>
      </w:hyperlink>
    </w:p>
  </w:footnote>
  <w:footnote w:id="14">
    <w:p w14:paraId="690CC9B5" w14:textId="66641D64" w:rsidR="00516573" w:rsidRDefault="00516573">
      <w:pPr>
        <w:pStyle w:val="FootnoteText"/>
      </w:pPr>
      <w:r>
        <w:rPr>
          <w:rStyle w:val="FootnoteReference"/>
        </w:rPr>
        <w:footnoteRef/>
      </w:r>
      <w:r>
        <w:t xml:space="preserve"> Papildus</w:t>
      </w:r>
      <w:r w:rsidRPr="004471DE">
        <w:t xml:space="preserve"> informācija par </w:t>
      </w:r>
      <w:r>
        <w:t xml:space="preserve">maksājumu plāniem un </w:t>
      </w:r>
      <w:r w:rsidRPr="004471DE">
        <w:t>valsts budžeta izlietojumu ES fondu programmās pieejama</w:t>
      </w:r>
      <w:r>
        <w:t xml:space="preserve"> ES fondu interneta vietnē: </w:t>
      </w:r>
      <w:hyperlink r:id="rId13" w:history="1">
        <w:r w:rsidRPr="00D562F1">
          <w:rPr>
            <w:rStyle w:val="Hyperlink"/>
          </w:rPr>
          <w:t>http://www.esfondi.lv/finansu-un-raditaju-plani-to-izpilde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0D9CA63D" w:rsidR="00A90223" w:rsidRDefault="00A90223">
        <w:pPr>
          <w:pStyle w:val="Header"/>
          <w:jc w:val="center"/>
        </w:pPr>
        <w:r>
          <w:fldChar w:fldCharType="begin"/>
        </w:r>
        <w:r>
          <w:instrText xml:space="preserve"> PAGE   \* MERGEFORMAT </w:instrText>
        </w:r>
        <w:r>
          <w:fldChar w:fldCharType="separate"/>
        </w:r>
        <w:r w:rsidR="00E70A72">
          <w:rPr>
            <w:noProof/>
          </w:rPr>
          <w:t>6</w:t>
        </w:r>
        <w:r>
          <w:rPr>
            <w:noProof/>
          </w:rPr>
          <w:fldChar w:fldCharType="end"/>
        </w:r>
      </w:p>
    </w:sdtContent>
  </w:sdt>
  <w:p w14:paraId="0C8E0C95" w14:textId="26BB3FA8" w:rsidR="00AC4E18" w:rsidRDefault="0067128F" w:rsidP="0023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A50485"/>
    <w:multiLevelType w:val="hybridMultilevel"/>
    <w:tmpl w:val="AB38EE72"/>
    <w:lvl w:ilvl="0" w:tplc="3EEEA13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29258C"/>
    <w:multiLevelType w:val="hybridMultilevel"/>
    <w:tmpl w:val="68D8B1A6"/>
    <w:lvl w:ilvl="0" w:tplc="D6AADBA2">
      <w:start w:val="1"/>
      <w:numFmt w:val="decimal"/>
      <w:lvlText w:val="%1)"/>
      <w:lvlJc w:val="left"/>
      <w:pPr>
        <w:tabs>
          <w:tab w:val="num" w:pos="720"/>
        </w:tabs>
        <w:ind w:left="720" w:hanging="360"/>
      </w:pPr>
    </w:lvl>
    <w:lvl w:ilvl="1" w:tplc="8B42E8CA" w:tentative="1">
      <w:start w:val="1"/>
      <w:numFmt w:val="decimal"/>
      <w:lvlText w:val="%2)"/>
      <w:lvlJc w:val="left"/>
      <w:pPr>
        <w:tabs>
          <w:tab w:val="num" w:pos="1440"/>
        </w:tabs>
        <w:ind w:left="1440" w:hanging="360"/>
      </w:pPr>
    </w:lvl>
    <w:lvl w:ilvl="2" w:tplc="34BC91F6" w:tentative="1">
      <w:start w:val="1"/>
      <w:numFmt w:val="decimal"/>
      <w:lvlText w:val="%3)"/>
      <w:lvlJc w:val="left"/>
      <w:pPr>
        <w:tabs>
          <w:tab w:val="num" w:pos="2160"/>
        </w:tabs>
        <w:ind w:left="2160" w:hanging="360"/>
      </w:pPr>
    </w:lvl>
    <w:lvl w:ilvl="3" w:tplc="FAC28BB8" w:tentative="1">
      <w:start w:val="1"/>
      <w:numFmt w:val="decimal"/>
      <w:lvlText w:val="%4)"/>
      <w:lvlJc w:val="left"/>
      <w:pPr>
        <w:tabs>
          <w:tab w:val="num" w:pos="2880"/>
        </w:tabs>
        <w:ind w:left="2880" w:hanging="360"/>
      </w:pPr>
    </w:lvl>
    <w:lvl w:ilvl="4" w:tplc="97DAF21A" w:tentative="1">
      <w:start w:val="1"/>
      <w:numFmt w:val="decimal"/>
      <w:lvlText w:val="%5)"/>
      <w:lvlJc w:val="left"/>
      <w:pPr>
        <w:tabs>
          <w:tab w:val="num" w:pos="3600"/>
        </w:tabs>
        <w:ind w:left="3600" w:hanging="360"/>
      </w:pPr>
    </w:lvl>
    <w:lvl w:ilvl="5" w:tplc="5F7C772E" w:tentative="1">
      <w:start w:val="1"/>
      <w:numFmt w:val="decimal"/>
      <w:lvlText w:val="%6)"/>
      <w:lvlJc w:val="left"/>
      <w:pPr>
        <w:tabs>
          <w:tab w:val="num" w:pos="4320"/>
        </w:tabs>
        <w:ind w:left="4320" w:hanging="360"/>
      </w:pPr>
    </w:lvl>
    <w:lvl w:ilvl="6" w:tplc="A4FAACAC" w:tentative="1">
      <w:start w:val="1"/>
      <w:numFmt w:val="decimal"/>
      <w:lvlText w:val="%7)"/>
      <w:lvlJc w:val="left"/>
      <w:pPr>
        <w:tabs>
          <w:tab w:val="num" w:pos="5040"/>
        </w:tabs>
        <w:ind w:left="5040" w:hanging="360"/>
      </w:pPr>
    </w:lvl>
    <w:lvl w:ilvl="7" w:tplc="B636E28E" w:tentative="1">
      <w:start w:val="1"/>
      <w:numFmt w:val="decimal"/>
      <w:lvlText w:val="%8)"/>
      <w:lvlJc w:val="left"/>
      <w:pPr>
        <w:tabs>
          <w:tab w:val="num" w:pos="5760"/>
        </w:tabs>
        <w:ind w:left="5760" w:hanging="360"/>
      </w:pPr>
    </w:lvl>
    <w:lvl w:ilvl="8" w:tplc="F0F0CF9E" w:tentative="1">
      <w:start w:val="1"/>
      <w:numFmt w:val="decimal"/>
      <w:lvlText w:val="%9)"/>
      <w:lvlJc w:val="left"/>
      <w:pPr>
        <w:tabs>
          <w:tab w:val="num" w:pos="6480"/>
        </w:tabs>
        <w:ind w:left="6480" w:hanging="360"/>
      </w:pPr>
    </w:lvl>
  </w:abstractNum>
  <w:abstractNum w:abstractNumId="3">
    <w:nsid w:val="300D0D16"/>
    <w:multiLevelType w:val="hybridMultilevel"/>
    <w:tmpl w:val="77F21DFC"/>
    <w:lvl w:ilvl="0" w:tplc="04260001">
      <w:start w:val="1"/>
      <w:numFmt w:val="bullet"/>
      <w:lvlText w:val=""/>
      <w:lvlJc w:val="left"/>
      <w:pPr>
        <w:ind w:left="780" w:hanging="360"/>
      </w:pPr>
      <w:rPr>
        <w:rFonts w:ascii="Symbol" w:hAnsi="Symbol" w:hint="default"/>
      </w:rPr>
    </w:lvl>
    <w:lvl w:ilvl="1" w:tplc="0824B9DE">
      <w:start w:val="1"/>
      <w:numFmt w:val="lowerLetter"/>
      <w:lvlText w:val="%2)"/>
      <w:lvlJc w:val="left"/>
      <w:pPr>
        <w:ind w:left="1500" w:hanging="360"/>
      </w:pPr>
      <w:rPr>
        <w:rFonts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406B0A1B"/>
    <w:multiLevelType w:val="hybridMultilevel"/>
    <w:tmpl w:val="C5B0A606"/>
    <w:lvl w:ilvl="0" w:tplc="04260011">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D41C4"/>
    <w:multiLevelType w:val="hybridMultilevel"/>
    <w:tmpl w:val="9F9C9CDA"/>
    <w:lvl w:ilvl="0" w:tplc="0824B9DE">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5FED4615"/>
    <w:multiLevelType w:val="hybridMultilevel"/>
    <w:tmpl w:val="C3F423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648E5BCD"/>
    <w:multiLevelType w:val="hybridMultilevel"/>
    <w:tmpl w:val="399EB4F6"/>
    <w:lvl w:ilvl="0" w:tplc="EC2E4502">
      <w:start w:val="1"/>
      <w:numFmt w:val="lowerLetter"/>
      <w:lvlText w:val="%1)"/>
      <w:lvlJc w:val="left"/>
      <w:pPr>
        <w:tabs>
          <w:tab w:val="num" w:pos="720"/>
        </w:tabs>
        <w:ind w:left="720" w:hanging="360"/>
      </w:pPr>
    </w:lvl>
    <w:lvl w:ilvl="1" w:tplc="AFD28040" w:tentative="1">
      <w:start w:val="1"/>
      <w:numFmt w:val="lowerLetter"/>
      <w:lvlText w:val="%2)"/>
      <w:lvlJc w:val="left"/>
      <w:pPr>
        <w:tabs>
          <w:tab w:val="num" w:pos="1440"/>
        </w:tabs>
        <w:ind w:left="1440" w:hanging="360"/>
      </w:pPr>
    </w:lvl>
    <w:lvl w:ilvl="2" w:tplc="BD2A6CA8" w:tentative="1">
      <w:start w:val="1"/>
      <w:numFmt w:val="lowerLetter"/>
      <w:lvlText w:val="%3)"/>
      <w:lvlJc w:val="left"/>
      <w:pPr>
        <w:tabs>
          <w:tab w:val="num" w:pos="2160"/>
        </w:tabs>
        <w:ind w:left="2160" w:hanging="360"/>
      </w:pPr>
    </w:lvl>
    <w:lvl w:ilvl="3" w:tplc="E634E2D2" w:tentative="1">
      <w:start w:val="1"/>
      <w:numFmt w:val="lowerLetter"/>
      <w:lvlText w:val="%4)"/>
      <w:lvlJc w:val="left"/>
      <w:pPr>
        <w:tabs>
          <w:tab w:val="num" w:pos="2880"/>
        </w:tabs>
        <w:ind w:left="2880" w:hanging="360"/>
      </w:pPr>
    </w:lvl>
    <w:lvl w:ilvl="4" w:tplc="2FC64072" w:tentative="1">
      <w:start w:val="1"/>
      <w:numFmt w:val="lowerLetter"/>
      <w:lvlText w:val="%5)"/>
      <w:lvlJc w:val="left"/>
      <w:pPr>
        <w:tabs>
          <w:tab w:val="num" w:pos="3600"/>
        </w:tabs>
        <w:ind w:left="3600" w:hanging="360"/>
      </w:pPr>
    </w:lvl>
    <w:lvl w:ilvl="5" w:tplc="A41C4B0A" w:tentative="1">
      <w:start w:val="1"/>
      <w:numFmt w:val="lowerLetter"/>
      <w:lvlText w:val="%6)"/>
      <w:lvlJc w:val="left"/>
      <w:pPr>
        <w:tabs>
          <w:tab w:val="num" w:pos="4320"/>
        </w:tabs>
        <w:ind w:left="4320" w:hanging="360"/>
      </w:pPr>
    </w:lvl>
    <w:lvl w:ilvl="6" w:tplc="43F471D2" w:tentative="1">
      <w:start w:val="1"/>
      <w:numFmt w:val="lowerLetter"/>
      <w:lvlText w:val="%7)"/>
      <w:lvlJc w:val="left"/>
      <w:pPr>
        <w:tabs>
          <w:tab w:val="num" w:pos="5040"/>
        </w:tabs>
        <w:ind w:left="5040" w:hanging="360"/>
      </w:pPr>
    </w:lvl>
    <w:lvl w:ilvl="7" w:tplc="E20C6F70" w:tentative="1">
      <w:start w:val="1"/>
      <w:numFmt w:val="lowerLetter"/>
      <w:lvlText w:val="%8)"/>
      <w:lvlJc w:val="left"/>
      <w:pPr>
        <w:tabs>
          <w:tab w:val="num" w:pos="5760"/>
        </w:tabs>
        <w:ind w:left="5760" w:hanging="360"/>
      </w:pPr>
    </w:lvl>
    <w:lvl w:ilvl="8" w:tplc="836078F6" w:tentative="1">
      <w:start w:val="1"/>
      <w:numFmt w:val="lowerLetter"/>
      <w:lvlText w:val="%9)"/>
      <w:lvlJc w:val="left"/>
      <w:pPr>
        <w:tabs>
          <w:tab w:val="num" w:pos="6480"/>
        </w:tabs>
        <w:ind w:left="6480" w:hanging="360"/>
      </w:pPr>
    </w:lvl>
  </w:abstractNum>
  <w:abstractNum w:abstractNumId="9">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1">
    <w:nsid w:val="6CD44B46"/>
    <w:multiLevelType w:val="hybridMultilevel"/>
    <w:tmpl w:val="2688A0BA"/>
    <w:lvl w:ilvl="0" w:tplc="578CF352">
      <w:start w:val="593"/>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622A47"/>
    <w:multiLevelType w:val="hybridMultilevel"/>
    <w:tmpl w:val="5D72649C"/>
    <w:lvl w:ilvl="0" w:tplc="436E2C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3"/>
  </w:num>
  <w:num w:numId="6">
    <w:abstractNumId w:val="5"/>
  </w:num>
  <w:num w:numId="7">
    <w:abstractNumId w:val="1"/>
  </w:num>
  <w:num w:numId="8">
    <w:abstractNumId w:val="7"/>
  </w:num>
  <w:num w:numId="9">
    <w:abstractNumId w:val="12"/>
  </w:num>
  <w:num w:numId="10">
    <w:abstractNumId w:val="11"/>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177C8"/>
    <w:rsid w:val="00027639"/>
    <w:rsid w:val="00035523"/>
    <w:rsid w:val="00051CE6"/>
    <w:rsid w:val="00080827"/>
    <w:rsid w:val="000A5C17"/>
    <w:rsid w:val="000A734C"/>
    <w:rsid w:val="000C2AA0"/>
    <w:rsid w:val="000C7125"/>
    <w:rsid w:val="00101539"/>
    <w:rsid w:val="0012795B"/>
    <w:rsid w:val="00141BF7"/>
    <w:rsid w:val="0014737B"/>
    <w:rsid w:val="0018493C"/>
    <w:rsid w:val="001B70A4"/>
    <w:rsid w:val="001D31EB"/>
    <w:rsid w:val="001D5725"/>
    <w:rsid w:val="001D796F"/>
    <w:rsid w:val="001F2CE3"/>
    <w:rsid w:val="001F303D"/>
    <w:rsid w:val="001F7824"/>
    <w:rsid w:val="002314FA"/>
    <w:rsid w:val="002505A2"/>
    <w:rsid w:val="00252B85"/>
    <w:rsid w:val="00253006"/>
    <w:rsid w:val="0027168C"/>
    <w:rsid w:val="00274C3D"/>
    <w:rsid w:val="002E2841"/>
    <w:rsid w:val="002E28C2"/>
    <w:rsid w:val="002F3DF0"/>
    <w:rsid w:val="003232BA"/>
    <w:rsid w:val="00333CC6"/>
    <w:rsid w:val="00340086"/>
    <w:rsid w:val="00345C5B"/>
    <w:rsid w:val="003465BA"/>
    <w:rsid w:val="00347166"/>
    <w:rsid w:val="00347FFA"/>
    <w:rsid w:val="003540F6"/>
    <w:rsid w:val="00361D88"/>
    <w:rsid w:val="003623F3"/>
    <w:rsid w:val="003633B4"/>
    <w:rsid w:val="00365B91"/>
    <w:rsid w:val="0036722E"/>
    <w:rsid w:val="00387644"/>
    <w:rsid w:val="003A048F"/>
    <w:rsid w:val="003B15D7"/>
    <w:rsid w:val="003C3903"/>
    <w:rsid w:val="003D3AC0"/>
    <w:rsid w:val="003E6E22"/>
    <w:rsid w:val="00427EAD"/>
    <w:rsid w:val="00430F99"/>
    <w:rsid w:val="00444353"/>
    <w:rsid w:val="00446CEC"/>
    <w:rsid w:val="00456F50"/>
    <w:rsid w:val="00462E61"/>
    <w:rsid w:val="00473293"/>
    <w:rsid w:val="00493C72"/>
    <w:rsid w:val="00495FE9"/>
    <w:rsid w:val="004D0E20"/>
    <w:rsid w:val="004D54FB"/>
    <w:rsid w:val="004E2D4E"/>
    <w:rsid w:val="0051077F"/>
    <w:rsid w:val="00512C0B"/>
    <w:rsid w:val="00516573"/>
    <w:rsid w:val="00537632"/>
    <w:rsid w:val="00546DD5"/>
    <w:rsid w:val="0057093A"/>
    <w:rsid w:val="0059206A"/>
    <w:rsid w:val="005E7B9C"/>
    <w:rsid w:val="006175F0"/>
    <w:rsid w:val="00644FD8"/>
    <w:rsid w:val="0067128F"/>
    <w:rsid w:val="00673178"/>
    <w:rsid w:val="006752E4"/>
    <w:rsid w:val="00684ADB"/>
    <w:rsid w:val="006A4607"/>
    <w:rsid w:val="006B098A"/>
    <w:rsid w:val="006B7616"/>
    <w:rsid w:val="006F5D1E"/>
    <w:rsid w:val="00711452"/>
    <w:rsid w:val="00711CDB"/>
    <w:rsid w:val="00724F17"/>
    <w:rsid w:val="00726E33"/>
    <w:rsid w:val="00743F75"/>
    <w:rsid w:val="007540CF"/>
    <w:rsid w:val="00777090"/>
    <w:rsid w:val="00781D8C"/>
    <w:rsid w:val="007E68A5"/>
    <w:rsid w:val="00831B8D"/>
    <w:rsid w:val="008567A1"/>
    <w:rsid w:val="0085714A"/>
    <w:rsid w:val="00886DD2"/>
    <w:rsid w:val="008900DF"/>
    <w:rsid w:val="008A2734"/>
    <w:rsid w:val="008C21E4"/>
    <w:rsid w:val="008C5E2A"/>
    <w:rsid w:val="008C6B48"/>
    <w:rsid w:val="008C7F9D"/>
    <w:rsid w:val="008D32FA"/>
    <w:rsid w:val="008E30D9"/>
    <w:rsid w:val="00901698"/>
    <w:rsid w:val="00916EAB"/>
    <w:rsid w:val="009219B5"/>
    <w:rsid w:val="0092268E"/>
    <w:rsid w:val="00940E47"/>
    <w:rsid w:val="00942AB5"/>
    <w:rsid w:val="009667A7"/>
    <w:rsid w:val="0098250D"/>
    <w:rsid w:val="00992717"/>
    <w:rsid w:val="009A0686"/>
    <w:rsid w:val="009A06B4"/>
    <w:rsid w:val="009A776F"/>
    <w:rsid w:val="009B58FD"/>
    <w:rsid w:val="009C6B5C"/>
    <w:rsid w:val="009D277D"/>
    <w:rsid w:val="009E1C78"/>
    <w:rsid w:val="00A029ED"/>
    <w:rsid w:val="00A145B1"/>
    <w:rsid w:val="00A17716"/>
    <w:rsid w:val="00A17F80"/>
    <w:rsid w:val="00A237A5"/>
    <w:rsid w:val="00A35118"/>
    <w:rsid w:val="00A43CD1"/>
    <w:rsid w:val="00A66422"/>
    <w:rsid w:val="00A8379C"/>
    <w:rsid w:val="00A90223"/>
    <w:rsid w:val="00AA07C3"/>
    <w:rsid w:val="00AB7CC9"/>
    <w:rsid w:val="00AC0CCA"/>
    <w:rsid w:val="00AE39EB"/>
    <w:rsid w:val="00AE4B29"/>
    <w:rsid w:val="00AE524D"/>
    <w:rsid w:val="00AF43D1"/>
    <w:rsid w:val="00AF5C6A"/>
    <w:rsid w:val="00B05FDF"/>
    <w:rsid w:val="00B30A86"/>
    <w:rsid w:val="00B5136C"/>
    <w:rsid w:val="00B535B2"/>
    <w:rsid w:val="00B63A45"/>
    <w:rsid w:val="00B9639B"/>
    <w:rsid w:val="00B974C2"/>
    <w:rsid w:val="00BA22AA"/>
    <w:rsid w:val="00BB12BF"/>
    <w:rsid w:val="00BB6131"/>
    <w:rsid w:val="00C15570"/>
    <w:rsid w:val="00C4423E"/>
    <w:rsid w:val="00C5210A"/>
    <w:rsid w:val="00C6059D"/>
    <w:rsid w:val="00C84146"/>
    <w:rsid w:val="00C84F64"/>
    <w:rsid w:val="00CD142E"/>
    <w:rsid w:val="00CD3C2B"/>
    <w:rsid w:val="00D10C40"/>
    <w:rsid w:val="00D32CD5"/>
    <w:rsid w:val="00D522DE"/>
    <w:rsid w:val="00D53A16"/>
    <w:rsid w:val="00D75364"/>
    <w:rsid w:val="00D833DD"/>
    <w:rsid w:val="00DB203A"/>
    <w:rsid w:val="00DC6C63"/>
    <w:rsid w:val="00DD00E7"/>
    <w:rsid w:val="00DD4D51"/>
    <w:rsid w:val="00DE30E6"/>
    <w:rsid w:val="00E06F40"/>
    <w:rsid w:val="00E305B3"/>
    <w:rsid w:val="00E70A72"/>
    <w:rsid w:val="00E7516F"/>
    <w:rsid w:val="00E76168"/>
    <w:rsid w:val="00E77AD6"/>
    <w:rsid w:val="00E84EBE"/>
    <w:rsid w:val="00EB276A"/>
    <w:rsid w:val="00EE18A8"/>
    <w:rsid w:val="00F31925"/>
    <w:rsid w:val="00F36769"/>
    <w:rsid w:val="00F465A3"/>
    <w:rsid w:val="00F5184A"/>
    <w:rsid w:val="00F72D20"/>
    <w:rsid w:val="00F93FDD"/>
    <w:rsid w:val="00FA2BD8"/>
    <w:rsid w:val="00FB2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684ADB"/>
    <w:rPr>
      <w:vertAlign w:val="superscript"/>
    </w:rPr>
  </w:style>
  <w:style w:type="character" w:customStyle="1" w:styleId="ListParagraphChar">
    <w:name w:val="List Paragraph Char"/>
    <w:aliases w:val="2 Char,Strip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106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Ziepniec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planosanas-dokumenti" TargetMode="External"/><Relationship Id="rId13" Type="http://schemas.openxmlformats.org/officeDocument/2006/relationships/hyperlink" Target="http://www.esfondi.lv/finansu-un-raditaju-plani-to-izpilde" TargetMode="External"/><Relationship Id="rId3" Type="http://schemas.openxmlformats.org/officeDocument/2006/relationships/hyperlink" Target="http://www.altum.lv/lv/" TargetMode="External"/><Relationship Id="rId7" Type="http://schemas.openxmlformats.org/officeDocument/2006/relationships/hyperlink" Target="http://www.esfondi.lv/finansu-un-raditaju-plani-to-izpilde" TargetMode="External"/><Relationship Id="rId12" Type="http://schemas.openxmlformats.org/officeDocument/2006/relationships/hyperlink" Target="http://www.esfondi.lv/zinojumi-Ministru-kabinetam" TargetMode="External"/><Relationship Id="rId2" Type="http://schemas.openxmlformats.org/officeDocument/2006/relationships/hyperlink" Target="http://www.esfondi.lv/finansu-instrumentu-ieviesanas-statuss" TargetMode="External"/><Relationship Id="rId1" Type="http://schemas.openxmlformats.org/officeDocument/2006/relationships/hyperlink" Target="http://www.esfondi.lv/es-fondu-slegsana" TargetMode="External"/><Relationship Id="rId6" Type="http://schemas.openxmlformats.org/officeDocument/2006/relationships/hyperlink" Target="http://www.esfondi.lv/finansu-un-raditaju-plani-to-izpilde" TargetMode="External"/><Relationship Id="rId11" Type="http://schemas.openxmlformats.org/officeDocument/2006/relationships/hyperlink" Target="http://www.cfla.gov.lv/lv/es-fondi-2014-2020/izsludinatas-atlases" TargetMode="External"/><Relationship Id="rId5" Type="http://schemas.openxmlformats.org/officeDocument/2006/relationships/hyperlink" Target="http://www.esfondi.lv/zinojumi-Ministru-kabinetam" TargetMode="External"/><Relationship Id="rId10" Type="http://schemas.openxmlformats.org/officeDocument/2006/relationships/hyperlink" Target="http://www.cfla.gov.lv/lv/es-fondi-2014-2020/projektu-iesniegumu-atlase" TargetMode="External"/><Relationship Id="rId4" Type="http://schemas.openxmlformats.org/officeDocument/2006/relationships/hyperlink" Target="http://www.esfondi.lv/kopejie-ek-veiktie-maksajumi-dalibvalstim" TargetMode="External"/><Relationship Id="rId9" Type="http://schemas.openxmlformats.org/officeDocument/2006/relationships/hyperlink" Target="http://www.esfondi.lv/finansu-un-raditaju-plani-to-izpild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20739453751732"/>
          <c:y val="2.5012086461944895E-2"/>
          <c:w val="0.47986814348655427"/>
          <c:h val="0.83548854124803396"/>
        </c:manualLayout>
      </c:layout>
      <c:barChart>
        <c:barDir val="bar"/>
        <c:grouping val="stacked"/>
        <c:varyColors val="0"/>
        <c:ser>
          <c:idx val="0"/>
          <c:order val="0"/>
          <c:tx>
            <c:strRef>
              <c:f>Grafiks!$K$5</c:f>
              <c:strCache>
                <c:ptCount val="1"/>
                <c:pt idx="0">
                  <c:v>Pieejamais ES fondu finansējums</c:v>
                </c:pt>
              </c:strCache>
            </c:strRef>
          </c:tx>
          <c:spPr>
            <a:solidFill>
              <a:schemeClr val="accent1"/>
            </a:solidFill>
            <a:ln>
              <a:noFill/>
            </a:ln>
            <a:effectLst/>
          </c:spPr>
          <c:invertIfNegative val="0"/>
          <c:dPt>
            <c:idx val="0"/>
            <c:invertIfNegative val="0"/>
            <c:bubble3D val="0"/>
            <c:spPr>
              <a:solidFill>
                <a:schemeClr val="accent4">
                  <a:lumMod val="60000"/>
                  <a:lumOff val="40000"/>
                </a:schemeClr>
              </a:solidFill>
              <a:ln>
                <a:noFill/>
              </a:ln>
              <a:effectLst/>
            </c:spPr>
          </c:dPt>
          <c:dPt>
            <c:idx val="1"/>
            <c:invertIfNegative val="0"/>
            <c:bubble3D val="0"/>
            <c:spPr>
              <a:solidFill>
                <a:schemeClr val="accent3">
                  <a:lumMod val="60000"/>
                  <a:lumOff val="40000"/>
                </a:schemeClr>
              </a:solidFill>
              <a:ln>
                <a:noFill/>
              </a:ln>
              <a:effectLst/>
            </c:spPr>
          </c:dPt>
          <c:dPt>
            <c:idx val="2"/>
            <c:invertIfNegative val="0"/>
            <c:bubble3D val="0"/>
            <c:spPr>
              <a:solidFill>
                <a:schemeClr val="accent2">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Pt>
            <c:idx val="4"/>
            <c:invertIfNegative val="0"/>
            <c:bubble3D val="0"/>
            <c:spPr>
              <a:solidFill>
                <a:schemeClr val="accent4"/>
              </a:solidFill>
              <a:ln>
                <a:noFill/>
              </a:ln>
              <a:effectLst/>
            </c:spPr>
          </c:dPt>
          <c:dPt>
            <c:idx val="5"/>
            <c:invertIfNegative val="0"/>
            <c:bubble3D val="0"/>
            <c:spPr>
              <a:solidFill>
                <a:schemeClr val="accent3"/>
              </a:solidFill>
              <a:ln>
                <a:noFill/>
              </a:ln>
              <a:effectLst/>
            </c:spPr>
          </c:dPt>
          <c:dPt>
            <c:idx val="6"/>
            <c:invertIfNegative val="0"/>
            <c:bubble3D val="0"/>
            <c:spPr>
              <a:solidFill>
                <a:schemeClr val="accent2"/>
              </a:solidFill>
              <a:ln>
                <a:noFill/>
              </a:ln>
              <a:effectLst/>
            </c:spPr>
          </c:dPt>
          <c:dPt>
            <c:idx val="7"/>
            <c:invertIfNegative val="0"/>
            <c:bubble3D val="0"/>
            <c:spPr>
              <a:solidFill>
                <a:schemeClr val="accent6"/>
              </a:solidFill>
              <a:ln>
                <a:noFill/>
              </a:ln>
              <a:effectLst/>
            </c:spPr>
          </c:dPt>
          <c:dLbls>
            <c:dLbl>
              <c:idx val="0"/>
              <c:layout>
                <c:manualLayout>
                  <c:x val="0.1114978812382256"/>
                  <c:y val="0"/>
                </c:manualLayout>
              </c:layout>
              <c:tx>
                <c:rich>
                  <a:bodyPr/>
                  <a:lstStyle/>
                  <a:p>
                    <a:fld id="{B317540D-2B21-4AE7-A7C0-23047079AC91}" type="VALUE">
                      <a:rPr lang="en-US"/>
                      <a:pPr/>
                      <a:t>[VALUE]</a:t>
                    </a:fld>
                    <a:r>
                      <a:rPr lang="en-US"/>
                      <a:t> (3,8%)</a:t>
                    </a:r>
                    <a:r>
                      <a:rPr lang="en-US" baseline="0"/>
                      <a:t> ↑0,4%</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14310253392796715"/>
                  <c:y val="-3.1424229866003593E-3"/>
                </c:manualLayout>
              </c:layout>
              <c:tx>
                <c:rich>
                  <a:bodyPr/>
                  <a:lstStyle/>
                  <a:p>
                    <a:fld id="{74E2AB8B-05D5-4AF4-B574-232DF0DB4F2F}" type="VALUE">
                      <a:rPr lang="en-US"/>
                      <a:pPr/>
                      <a:t>[VALUE]</a:t>
                    </a:fld>
                    <a:r>
                      <a:rPr lang="en-US"/>
                      <a:t> (20,4%) ↑1,5%</a:t>
                    </a:r>
                  </a:p>
                </c:rich>
              </c:tx>
              <c:dLblPos val="ctr"/>
              <c:showLegendKey val="0"/>
              <c:showVal val="1"/>
              <c:showCatName val="0"/>
              <c:showSerName val="0"/>
              <c:showPercent val="0"/>
              <c:showBubbleSize val="0"/>
              <c:extLst>
                <c:ext xmlns:c15="http://schemas.microsoft.com/office/drawing/2012/chart" uri="{CE6537A1-D6FC-4f65-9D91-7224C49458BB}">
                  <c15:layout>
                    <c:manualLayout>
                      <c:w val="0.22313448791960658"/>
                      <c:h val="9.5228070175438592E-2"/>
                    </c:manualLayout>
                  </c15:layout>
                  <c15:dlblFieldTable/>
                  <c15:showDataLabelsRange val="0"/>
                </c:ext>
              </c:extLst>
            </c:dLbl>
            <c:dLbl>
              <c:idx val="2"/>
              <c:layout>
                <c:manualLayout>
                  <c:x val="0.15495766685354187"/>
                  <c:y val="-1.2865348454420203E-16"/>
                </c:manualLayout>
              </c:layout>
              <c:tx>
                <c:rich>
                  <a:bodyPr/>
                  <a:lstStyle/>
                  <a:p>
                    <a:fld id="{13205B73-25B3-4ED1-ADFD-96743580E580}" type="VALUE">
                      <a:rPr lang="en-US"/>
                      <a:pPr/>
                      <a:t>[VALUE]</a:t>
                    </a:fld>
                    <a:r>
                      <a:rPr lang="en-US"/>
                      <a:t> (20,5%) ↑1,4%</a:t>
                    </a:r>
                  </a:p>
                </c:rich>
              </c:tx>
              <c:dLblPos val="ctr"/>
              <c:showLegendKey val="0"/>
              <c:showVal val="1"/>
              <c:showCatName val="0"/>
              <c:showSerName val="0"/>
              <c:showPercent val="0"/>
              <c:showBubbleSize val="0"/>
              <c:extLst>
                <c:ext xmlns:c15="http://schemas.microsoft.com/office/drawing/2012/chart" uri="{CE6537A1-D6FC-4f65-9D91-7224C49458BB}">
                  <c15:layout>
                    <c:manualLayout>
                      <c:w val="0.253068206115031"/>
                      <c:h val="9.5228070175438592E-2"/>
                    </c:manualLayout>
                  </c15:layout>
                  <c15:dlblFieldTable/>
                  <c15:showDataLabelsRange val="0"/>
                </c:ext>
              </c:extLst>
            </c:dLbl>
            <c:dLbl>
              <c:idx val="3"/>
              <c:layout>
                <c:manualLayout>
                  <c:x val="0.18242421028352845"/>
                  <c:y val="0"/>
                </c:manualLayout>
              </c:layout>
              <c:tx>
                <c:rich>
                  <a:bodyPr/>
                  <a:lstStyle/>
                  <a:p>
                    <a:fld id="{0E3190B7-F70B-4758-8762-89017049C514}" type="VALUE">
                      <a:rPr lang="en-US"/>
                      <a:pPr/>
                      <a:t>[VALUE]</a:t>
                    </a:fld>
                    <a:r>
                      <a:rPr lang="en-US"/>
                      <a:t> (</a:t>
                    </a:r>
                    <a:r>
                      <a:rPr lang="en-US" b="1"/>
                      <a:t>31,6%</a:t>
                    </a:r>
                    <a:r>
                      <a:rPr lang="en-US"/>
                      <a:t>) ↑3,5%</a:t>
                    </a:r>
                  </a:p>
                </c:rich>
              </c:tx>
              <c:dLblPos val="ctr"/>
              <c:showLegendKey val="0"/>
              <c:showVal val="1"/>
              <c:showCatName val="0"/>
              <c:showSerName val="0"/>
              <c:showPercent val="0"/>
              <c:showBubbleSize val="0"/>
              <c:extLst>
                <c:ext xmlns:c15="http://schemas.microsoft.com/office/drawing/2012/chart" uri="{CE6537A1-D6FC-4f65-9D91-7224C49458BB}">
                  <c15:layout>
                    <c:manualLayout>
                      <c:w val="0.28059662041924038"/>
                      <c:h val="9.5228070175438592E-2"/>
                    </c:manualLayout>
                  </c15:layout>
                  <c15:dlblFieldTable/>
                  <c15:showDataLabelsRange val="0"/>
                </c:ext>
              </c:extLst>
            </c:dLbl>
            <c:dLbl>
              <c:idx val="4"/>
              <c:layout>
                <c:manualLayout>
                  <c:x val="0.23091725465041685"/>
                  <c:y val="0"/>
                </c:manualLayout>
              </c:layout>
              <c:tx>
                <c:rich>
                  <a:bodyPr/>
                  <a:lstStyle/>
                  <a:p>
                    <a:fld id="{CED506E5-CFF3-4EA9-823E-6436576BAFCC}" type="VALUE">
                      <a:rPr lang="en-US"/>
                      <a:pPr/>
                      <a:t>[VALUE]</a:t>
                    </a:fld>
                    <a:r>
                      <a:rPr lang="en-US"/>
                      <a:t> (</a:t>
                    </a:r>
                    <a:r>
                      <a:rPr lang="en-US" b="1"/>
                      <a:t>57,5%</a:t>
                    </a:r>
                    <a:r>
                      <a:rPr lang="en-US"/>
                      <a:t>) ↑10,6%</a:t>
                    </a:r>
                  </a:p>
                </c:rich>
              </c:tx>
              <c:dLblPos val="ctr"/>
              <c:showLegendKey val="0"/>
              <c:showVal val="1"/>
              <c:showCatName val="0"/>
              <c:showSerName val="0"/>
              <c:showPercent val="0"/>
              <c:showBubbleSize val="0"/>
              <c:extLst>
                <c:ext xmlns:c15="http://schemas.microsoft.com/office/drawing/2012/chart" uri="{CE6537A1-D6FC-4f65-9D91-7224C49458BB}">
                  <c15:layout>
                    <c:manualLayout>
                      <c:w val="0.26135351586503902"/>
                      <c:h val="9.5228070175438592E-2"/>
                    </c:manualLayout>
                  </c15:layout>
                  <c15:dlblFieldTable/>
                  <c15:showDataLabelsRange val="0"/>
                </c:ext>
              </c:extLst>
            </c:dLbl>
            <c:dLbl>
              <c:idx val="5"/>
              <c:layout>
                <c:manualLayout>
                  <c:x val="0.25871285011759676"/>
                  <c:y val="0"/>
                </c:manualLayout>
              </c:layout>
              <c:tx>
                <c:rich>
                  <a:bodyPr/>
                  <a:lstStyle/>
                  <a:p>
                    <a:fld id="{4E1074E7-BCE0-4431-8A1C-917D5024C9A0}" type="VALUE">
                      <a:rPr lang="en-US"/>
                      <a:pPr/>
                      <a:t>[VALUE]</a:t>
                    </a:fld>
                    <a:r>
                      <a:rPr lang="en-US"/>
                      <a:t> (</a:t>
                    </a:r>
                    <a:r>
                      <a:rPr lang="en-US" b="1"/>
                      <a:t>78,7%</a:t>
                    </a:r>
                    <a:r>
                      <a:rPr lang="en-US"/>
                      <a:t>) ↑10,4%</a:t>
                    </a:r>
                  </a:p>
                </c:rich>
              </c:tx>
              <c:dLblPos val="ctr"/>
              <c:showLegendKey val="0"/>
              <c:showVal val="1"/>
              <c:showCatName val="0"/>
              <c:showSerName val="0"/>
              <c:showPercent val="0"/>
              <c:showBubbleSize val="0"/>
              <c:extLst>
                <c:ext xmlns:c15="http://schemas.microsoft.com/office/drawing/2012/chart" uri="{CE6537A1-D6FC-4f65-9D91-7224C49458BB}">
                  <c15:layout>
                    <c:manualLayout>
                      <c:w val="0.26776788404977281"/>
                      <c:h val="9.5228070175438592E-2"/>
                    </c:manualLayout>
                  </c15:layout>
                  <c15:dlblFieldTable/>
                  <c15:showDataLabelsRange val="0"/>
                </c:ext>
              </c:extLst>
            </c:dLbl>
            <c:dLbl>
              <c:idx val="6"/>
              <c:layout>
                <c:manualLayout>
                  <c:x val="0.26085097284584136"/>
                  <c:y val="-3.5087719298245615E-3"/>
                </c:manualLayout>
              </c:layout>
              <c:tx>
                <c:rich>
                  <a:bodyPr/>
                  <a:lstStyle/>
                  <a:p>
                    <a:fld id="{46CAE126-404F-4B01-9468-3627E2192BC2}" type="VALUE">
                      <a:rPr lang="en-US"/>
                      <a:pPr/>
                      <a:t>[VALUE]</a:t>
                    </a:fld>
                    <a:r>
                      <a:rPr lang="en-US"/>
                      <a:t> (</a:t>
                    </a:r>
                    <a:r>
                      <a:rPr lang="en-US" b="1"/>
                      <a:t>81,6%</a:t>
                    </a:r>
                    <a:r>
                      <a:rPr lang="en-US"/>
                      <a:t>) ↑0,8%</a:t>
                    </a:r>
                  </a:p>
                </c:rich>
              </c:tx>
              <c:dLblPos val="ctr"/>
              <c:showLegendKey val="0"/>
              <c:showVal val="1"/>
              <c:showCatName val="0"/>
              <c:showSerName val="0"/>
              <c:showPercent val="0"/>
              <c:showBubbleSize val="0"/>
              <c:extLst>
                <c:ext xmlns:c15="http://schemas.microsoft.com/office/drawing/2012/chart" uri="{CE6537A1-D6FC-4f65-9D91-7224C49458BB}">
                  <c15:layout>
                    <c:manualLayout>
                      <c:w val="0.28701098860397423"/>
                      <c:h val="9.5228070175438592E-2"/>
                    </c:manualLayout>
                  </c15:layout>
                  <c15:dlblFieldTable/>
                  <c15:showDataLabelsRange val="0"/>
                </c:ext>
              </c:extLst>
            </c:dLbl>
            <c:dLbl>
              <c:idx val="7"/>
              <c:layout>
                <c:manualLayout>
                  <c:x val="0.28650844558477656"/>
                  <c:y val="3.5087719298245615E-3"/>
                </c:manualLayout>
              </c:layout>
              <c:tx>
                <c:rich>
                  <a:bodyPr/>
                  <a:lstStyle/>
                  <a:p>
                    <a:fld id="{7AD754EF-6EA7-40F0-9CA5-6A7FB6CB5998}" type="VALUE">
                      <a:rPr lang="en-US"/>
                      <a:pPr/>
                      <a:t>[VALUE]</a:t>
                    </a:fld>
                    <a:r>
                      <a:rPr lang="en-US"/>
                      <a:t> (</a:t>
                    </a:r>
                    <a:r>
                      <a:rPr lang="en-US" b="1"/>
                      <a:t>91,8%</a:t>
                    </a:r>
                    <a:r>
                      <a:rPr lang="en-US"/>
                      <a:t>) ↑10,1%</a:t>
                    </a:r>
                  </a:p>
                </c:rich>
              </c:tx>
              <c:dLblPos val="ctr"/>
              <c:showLegendKey val="0"/>
              <c:showVal val="1"/>
              <c:showCatName val="0"/>
              <c:showSerName val="0"/>
              <c:showPercent val="0"/>
              <c:showBubbleSize val="0"/>
              <c:extLst>
                <c:ext xmlns:c15="http://schemas.microsoft.com/office/drawing/2012/chart" uri="{CE6537A1-D6FC-4f65-9D91-7224C49458BB}">
                  <c15:layout>
                    <c:manualLayout>
                      <c:w val="0.28487286587572963"/>
                      <c:h val="9.5228070175438592E-2"/>
                    </c:manualLayout>
                  </c15:layout>
                  <c15:dlblFieldTable/>
                  <c15:showDataLabelsRange val="0"/>
                </c:ext>
              </c:extLst>
            </c:dLbl>
            <c:dLbl>
              <c:idx val="8"/>
              <c:tx>
                <c:rich>
                  <a:bodyPr/>
                  <a:lstStyle/>
                  <a:p>
                    <a:fld id="{86C2BC57-992B-4E02-88E9-085A729426AD}"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Grafiks!$C$5:$K$5</c:f>
              <c:strCache>
                <c:ptCount val="9"/>
                <c:pt idx="0">
                  <c:v>Veikti maksājumi projektos</c:v>
                </c:pt>
                <c:pt idx="1">
                  <c:v>Noslēgti līgumi, skaits - 115</c:v>
                </c:pt>
                <c:pt idx="2">
                  <c:v>Apstiprināti projekti, skaits - 116</c:v>
                </c:pt>
                <c:pt idx="3">
                  <c:v>Iesniegti projekti, skaits - 530</c:v>
                </c:pt>
                <c:pt idx="4">
                  <c:v>Uzsāktās projektu atlases, skaits - 76</c:v>
                </c:pt>
                <c:pt idx="5">
                  <c:v>Apstiprināti MKN, skaits - 90</c:v>
                </c:pt>
                <c:pt idx="6">
                  <c:v>MKN VSS, skaits - 95</c:v>
                </c:pt>
                <c:pt idx="7">
                  <c:v>Iesniegti kritēriji, skaits - 100</c:v>
                </c:pt>
                <c:pt idx="8">
                  <c:v>Pieejamais ES fondu finansējums</c:v>
                </c:pt>
              </c:strCache>
            </c:strRef>
          </c:cat>
          <c:val>
            <c:numRef>
              <c:f>Grafiks!$C$6:$K$6</c:f>
              <c:numCache>
                <c:formatCode>#,##0</c:formatCode>
                <c:ptCount val="9"/>
                <c:pt idx="0">
                  <c:v>168625170.08000001</c:v>
                </c:pt>
                <c:pt idx="1">
                  <c:v>902091257.66999996</c:v>
                </c:pt>
                <c:pt idx="2">
                  <c:v>904889867.53999996</c:v>
                </c:pt>
                <c:pt idx="3">
                  <c:v>1395546366.1600001</c:v>
                </c:pt>
                <c:pt idx="4">
                  <c:v>2542258890</c:v>
                </c:pt>
                <c:pt idx="5">
                  <c:v>3478651893</c:v>
                </c:pt>
                <c:pt idx="6">
                  <c:v>3604108661</c:v>
                </c:pt>
                <c:pt idx="7">
                  <c:v>4054545654</c:v>
                </c:pt>
                <c:pt idx="8">
                  <c:v>4418233214</c:v>
                </c:pt>
              </c:numCache>
            </c:numRef>
          </c:val>
          <c:extLst/>
        </c:ser>
        <c:ser>
          <c:idx val="1"/>
          <c:order val="1"/>
          <c:tx>
            <c:strRef>
              <c:f>Grafiks!$L$5</c:f>
              <c:strCache>
                <c:ptCount val="1"/>
                <c:pt idx="0">
                  <c:v>Pieejamais "virssaistību" apjoms</c:v>
                </c:pt>
              </c:strCache>
            </c:strRef>
          </c:tx>
          <c:spPr>
            <a:solidFill>
              <a:srgbClr val="FF0000"/>
            </a:solidFill>
            <a:ln>
              <a:noFill/>
            </a:ln>
            <a:effectLst/>
          </c:spPr>
          <c:invertIfNegative val="0"/>
          <c:dLbls>
            <c:dLbl>
              <c:idx val="8"/>
              <c:layout>
                <c:manualLayout>
                  <c:x val="6.124223246949808E-2"/>
                  <c:y val="2.0402449693788276E-2"/>
                </c:manualLayout>
              </c:layout>
              <c:tx>
                <c:rich>
                  <a:bodyPr/>
                  <a:lstStyle/>
                  <a:p>
                    <a:fld id="{289BC1D9-2F05-4E0E-B41B-B59B8EEB0A28}"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Grafiks!$C$5:$K$5</c:f>
              <c:strCache>
                <c:ptCount val="9"/>
                <c:pt idx="0">
                  <c:v>Veikti maksājumi projektos</c:v>
                </c:pt>
                <c:pt idx="1">
                  <c:v>Noslēgti līgumi, skaits - 115</c:v>
                </c:pt>
                <c:pt idx="2">
                  <c:v>Apstiprināti projekti, skaits - 116</c:v>
                </c:pt>
                <c:pt idx="3">
                  <c:v>Iesniegti projekti, skaits - 530</c:v>
                </c:pt>
                <c:pt idx="4">
                  <c:v>Uzsāktās projektu atlases, skaits - 76</c:v>
                </c:pt>
                <c:pt idx="5">
                  <c:v>Apstiprināti MKN, skaits - 90</c:v>
                </c:pt>
                <c:pt idx="6">
                  <c:v>MKN VSS, skaits - 95</c:v>
                </c:pt>
                <c:pt idx="7">
                  <c:v>Iesniegti kritēriji, skaits - 100</c:v>
                </c:pt>
                <c:pt idx="8">
                  <c:v>Pieejamais ES fondu finansējums</c:v>
                </c:pt>
              </c:strCache>
            </c:strRef>
          </c:cat>
          <c:val>
            <c:numRef>
              <c:f>Grafiks!$C$7:$K$7</c:f>
              <c:numCache>
                <c:formatCode>General</c:formatCode>
                <c:ptCount val="9"/>
                <c:pt idx="8" formatCode="#,##0_ ;\-#,##0\ ">
                  <c:v>53000000</c:v>
                </c:pt>
              </c:numCache>
            </c:numRef>
          </c:val>
        </c:ser>
        <c:dLbls>
          <c:dLblPos val="ctr"/>
          <c:showLegendKey val="0"/>
          <c:showVal val="1"/>
          <c:showCatName val="0"/>
          <c:showSerName val="0"/>
          <c:showPercent val="0"/>
          <c:showBubbleSize val="0"/>
        </c:dLbls>
        <c:gapWidth val="150"/>
        <c:overlap val="100"/>
        <c:axId val="226432744"/>
        <c:axId val="226433528"/>
      </c:barChart>
      <c:catAx>
        <c:axId val="226432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6433528"/>
        <c:crosses val="autoZero"/>
        <c:auto val="1"/>
        <c:lblAlgn val="ctr"/>
        <c:lblOffset val="100"/>
        <c:noMultiLvlLbl val="0"/>
      </c:catAx>
      <c:valAx>
        <c:axId val="2264335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6432744"/>
        <c:crosses val="autoZero"/>
        <c:crossBetween val="between"/>
        <c:dispUnits>
          <c:builtInUnit val="millions"/>
        </c:dispUnits>
      </c:valAx>
      <c:spPr>
        <a:noFill/>
        <a:ln>
          <a:noFill/>
        </a:ln>
        <a:effectLst/>
      </c:spPr>
    </c:plotArea>
    <c:legend>
      <c:legendPos val="b"/>
      <c:layout>
        <c:manualLayout>
          <c:xMode val="edge"/>
          <c:yMode val="edge"/>
          <c:x val="0.11616875344077821"/>
          <c:y val="0.92444988065812161"/>
          <c:w val="0.76766249311844359"/>
          <c:h val="7.5550119341878386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137500879017381E-2"/>
          <c:y val="4.760860146648313E-2"/>
          <c:w val="0.88743284114595911"/>
          <c:h val="0.56955359861785237"/>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40000"/>
                <a:lumOff val="60000"/>
              </a:schemeClr>
            </a:solidFill>
            <a:ln>
              <a:noFill/>
            </a:ln>
            <a:effectLst/>
          </c:spPr>
          <c:invertIfNegative val="0"/>
          <c:dLbls>
            <c:dLbl>
              <c:idx val="7"/>
              <c:layout>
                <c:manualLayout>
                  <c:x val="-8.5524909129784839E-3"/>
                  <c:y val="0.4876722246735732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77</c:v>
                </c:pt>
                <c:pt idx="4">
                  <c:v>86</c:v>
                </c:pt>
                <c:pt idx="5">
                  <c:v>91</c:v>
                </c:pt>
                <c:pt idx="6">
                  <c:v>97</c:v>
                </c:pt>
                <c:pt idx="7">
                  <c:v>102</c:v>
                </c:pt>
                <c:pt idx="8">
                  <c:v>103</c:v>
                </c:pt>
                <c:pt idx="9">
                  <c:v>103</c:v>
                </c:pt>
                <c:pt idx="10">
                  <c:v>103</c:v>
                </c:pt>
              </c:numCache>
            </c:numRef>
          </c:val>
        </c:ser>
        <c:ser>
          <c:idx val="2"/>
          <c:order val="2"/>
          <c:tx>
            <c:strRef>
              <c:f>'Kopā (4)'!$A$55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spPr>
              <a:solidFill>
                <a:schemeClr val="accent6">
                  <a:lumMod val="40000"/>
                  <a:lumOff val="60000"/>
                </a:schemeClr>
              </a:solidFill>
              <a:ln>
                <a:noFill/>
              </a:ln>
              <a:effectLst/>
            </c:spPr>
          </c:dPt>
          <c:dPt>
            <c:idx val="2"/>
            <c:invertIfNegative val="0"/>
            <c:bubble3D val="0"/>
            <c:spPr>
              <a:solidFill>
                <a:schemeClr val="accent6">
                  <a:lumMod val="40000"/>
                  <a:lumOff val="60000"/>
                </a:schemeClr>
              </a:solidFill>
              <a:ln>
                <a:noFill/>
              </a:ln>
              <a:effectLst/>
            </c:spPr>
          </c:dPt>
          <c:dPt>
            <c:idx val="3"/>
            <c:invertIfNegative val="0"/>
            <c:bubble3D val="0"/>
            <c:spPr>
              <a:solidFill>
                <a:schemeClr val="accent6">
                  <a:lumMod val="40000"/>
                  <a:lumOff val="60000"/>
                </a:schemeClr>
              </a:solidFill>
              <a:ln>
                <a:noFill/>
              </a:ln>
              <a:effectLst/>
            </c:spPr>
          </c:dPt>
          <c:dPt>
            <c:idx val="4"/>
            <c:invertIfNegative val="0"/>
            <c:bubble3D val="0"/>
            <c:spPr>
              <a:solidFill>
                <a:schemeClr val="accent6">
                  <a:lumMod val="40000"/>
                  <a:lumOff val="60000"/>
                </a:schemeClr>
              </a:solidFill>
              <a:ln>
                <a:noFill/>
              </a:ln>
              <a:effectLst/>
            </c:spPr>
          </c:dPt>
          <c:dPt>
            <c:idx val="5"/>
            <c:invertIfNegative val="0"/>
            <c:bubble3D val="0"/>
            <c:spPr>
              <a:solidFill>
                <a:schemeClr val="accent6">
                  <a:lumMod val="40000"/>
                  <a:lumOff val="60000"/>
                </a:schemeClr>
              </a:solidFill>
              <a:ln>
                <a:noFill/>
              </a:ln>
              <a:effectLst/>
            </c:spPr>
          </c:dPt>
          <c:dPt>
            <c:idx val="6"/>
            <c:invertIfNegative val="0"/>
            <c:bubble3D val="0"/>
            <c:spPr>
              <a:solidFill>
                <a:schemeClr val="accent6">
                  <a:lumMod val="40000"/>
                  <a:lumOff val="60000"/>
                </a:schemeClr>
              </a:solidFill>
              <a:ln>
                <a:noFill/>
              </a:ln>
              <a:effectLst/>
            </c:spPr>
          </c:dPt>
          <c:dPt>
            <c:idx val="7"/>
            <c:invertIfNegative val="0"/>
            <c:bubble3D val="0"/>
            <c:spPr>
              <a:solidFill>
                <a:schemeClr val="accent2">
                  <a:lumMod val="60000"/>
                  <a:lumOff val="40000"/>
                </a:schemeClr>
              </a:solidFill>
              <a:ln>
                <a:noFill/>
              </a:ln>
              <a:effectLst/>
            </c:spPr>
          </c:dPt>
          <c:dLbls>
            <c:dLbl>
              <c:idx val="7"/>
              <c:layout>
                <c:manualLayout>
                  <c:x val="6.414368184733725E-3"/>
                  <c:y val="0.4474445183302363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69</c:v>
                </c:pt>
                <c:pt idx="4">
                  <c:v>73</c:v>
                </c:pt>
                <c:pt idx="5">
                  <c:v>78</c:v>
                </c:pt>
                <c:pt idx="6">
                  <c:v>90</c:v>
                </c:pt>
                <c:pt idx="7">
                  <c:v>92</c:v>
                </c:pt>
              </c:numCache>
            </c:numRef>
          </c:val>
        </c:ser>
        <c:dLbls>
          <c:showLegendKey val="0"/>
          <c:showVal val="0"/>
          <c:showCatName val="0"/>
          <c:showSerName val="0"/>
          <c:showPercent val="0"/>
          <c:showBubbleSize val="0"/>
        </c:dLbls>
        <c:gapWidth val="150"/>
        <c:axId val="228903632"/>
        <c:axId val="228904024"/>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1928716559785126E-2"/>
                  <c:y val="-4.30976339568633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66734394566389E-2"/>
                  <c:y val="-2.69360212230396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747725477175782E-2"/>
                  <c:y val="-3.232322546764755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361982165218734E-2"/>
                  <c:y val="-4.04040318345593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373862738587929E-2"/>
                  <c:y val="-2.96296233453435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771486623914152E-2"/>
                  <c:y val="-3.501682758995146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735844903806715E-2"/>
                  <c:y val="-2.980294221611695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133468789132882E-2"/>
                  <c:y val="-2.154871759922785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3976238853261606E-2"/>
                  <c:y val="-2.693602122303958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157229935871075E-2"/>
                  <c:y val="-2.750585136883336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6771486623914048E-2"/>
                  <c:y val="-2.60696457771484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3301851179</c:v>
                </c:pt>
                <c:pt idx="5">
                  <c:v>3351385016</c:v>
                </c:pt>
                <c:pt idx="6">
                  <c:v>3628926739</c:v>
                </c:pt>
                <c:pt idx="7">
                  <c:v>3879332431</c:v>
                </c:pt>
                <c:pt idx="8">
                  <c:v>4225971779</c:v>
                </c:pt>
                <c:pt idx="9">
                  <c:v>4225971779</c:v>
                </c:pt>
                <c:pt idx="10">
                  <c:v>4225971779</c:v>
                </c:pt>
              </c:numCache>
            </c:numRef>
          </c:val>
          <c:smooth val="0"/>
        </c:ser>
        <c:ser>
          <c:idx val="3"/>
          <c:order val="3"/>
          <c:tx>
            <c:strRef>
              <c:f>'Kopā (4)'!$A$56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3"/>
              <c:layout>
                <c:manualLayout>
                  <c:x val="0"/>
                  <c:y val="8.08080636691187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88119426630854E-3"/>
                  <c:y val="1.346801061151979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95247770652444E-3"/>
                  <c:y val="2.96296233453435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(4)'!$B$56:$L$56</c:f>
              <c:numCache>
                <c:formatCode>#,##0</c:formatCode>
                <c:ptCount val="11"/>
                <c:pt idx="0">
                  <c:v>1076187422</c:v>
                </c:pt>
                <c:pt idx="1">
                  <c:v>1966937422</c:v>
                </c:pt>
                <c:pt idx="2">
                  <c:v>2114180016</c:v>
                </c:pt>
                <c:pt idx="3">
                  <c:v>2643746354</c:v>
                </c:pt>
                <c:pt idx="4">
                  <c:v>2934472660</c:v>
                </c:pt>
                <c:pt idx="5">
                  <c:v>3020809120</c:v>
                </c:pt>
                <c:pt idx="6">
                  <c:v>3478651893</c:v>
                </c:pt>
                <c:pt idx="7">
                  <c:v>3512481923</c:v>
                </c:pt>
              </c:numCache>
            </c:numRef>
          </c:val>
          <c:smooth val="0"/>
        </c:ser>
        <c:dLbls>
          <c:showLegendKey val="0"/>
          <c:showVal val="0"/>
          <c:showCatName val="0"/>
          <c:showSerName val="0"/>
          <c:showPercent val="0"/>
          <c:showBubbleSize val="0"/>
        </c:dLbls>
        <c:marker val="1"/>
        <c:smooth val="0"/>
        <c:axId val="362331024"/>
        <c:axId val="228904416"/>
      </c:lineChart>
      <c:catAx>
        <c:axId val="22890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8904024"/>
        <c:crosses val="autoZero"/>
        <c:auto val="1"/>
        <c:lblAlgn val="ctr"/>
        <c:lblOffset val="100"/>
        <c:noMultiLvlLbl val="0"/>
      </c:catAx>
      <c:valAx>
        <c:axId val="228904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8903632"/>
        <c:crosses val="autoZero"/>
        <c:crossBetween val="between"/>
      </c:valAx>
      <c:valAx>
        <c:axId val="22890441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62331024"/>
        <c:crosses val="max"/>
        <c:crossBetween val="between"/>
        <c:dispUnits>
          <c:builtInUnit val="millions"/>
        </c:dispUnits>
      </c:valAx>
      <c:catAx>
        <c:axId val="362331024"/>
        <c:scaling>
          <c:orientation val="minMax"/>
        </c:scaling>
        <c:delete val="1"/>
        <c:axPos val="b"/>
        <c:numFmt formatCode="General" sourceLinked="1"/>
        <c:majorTickMark val="out"/>
        <c:minorTickMark val="none"/>
        <c:tickLblPos val="nextTo"/>
        <c:crossAx val="228904416"/>
        <c:crosses val="autoZero"/>
        <c:auto val="1"/>
        <c:lblAlgn val="ctr"/>
        <c:lblOffset val="100"/>
        <c:noMultiLvlLbl val="0"/>
      </c:catAx>
      <c:spPr>
        <a:noFill/>
        <a:ln>
          <a:noFill/>
        </a:ln>
        <a:effectLst/>
      </c:spPr>
    </c:plotArea>
    <c:legend>
      <c:legendPos val="b"/>
      <c:layout>
        <c:manualLayout>
          <c:xMode val="edge"/>
          <c:yMode val="edge"/>
          <c:x val="0"/>
          <c:y val="0.78334990584740438"/>
          <c:w val="0.87466358238254216"/>
          <c:h val="0.1732404651076074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0.73926</cdr:x>
      <cdr:y>0</cdr:y>
    </cdr:from>
    <cdr:to>
      <cdr:x>1</cdr:x>
      <cdr:y>0.0851</cdr:y>
    </cdr:to>
    <cdr:sp macro="" textlink="">
      <cdr:nvSpPr>
        <cdr:cNvPr id="2" name="TextBox 3"/>
        <cdr:cNvSpPr txBox="1"/>
      </cdr:nvSpPr>
      <cdr:spPr>
        <a:xfrm xmlns:a="http://schemas.openxmlformats.org/drawingml/2006/main">
          <a:off x="4391025" y="0"/>
          <a:ext cx="1548765" cy="30802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50" b="1">
              <a:latin typeface="Times New Roman" panose="02020603050405020304" pitchFamily="18" charset="0"/>
              <a:cs typeface="Times New Roman" panose="02020603050405020304" pitchFamily="18" charset="0"/>
            </a:rPr>
            <a:t>Kopā: 4</a:t>
          </a:r>
          <a:r>
            <a:rPr lang="lv-LV" sz="1050" b="1" baseline="0">
              <a:latin typeface="Times New Roman" panose="02020603050405020304" pitchFamily="18" charset="0"/>
              <a:cs typeface="Times New Roman" panose="02020603050405020304" pitchFamily="18" charset="0"/>
            </a:rPr>
            <a:t> 471,2</a:t>
          </a:r>
          <a:r>
            <a:rPr lang="lv-LV" sz="1050" b="1">
              <a:latin typeface="Times New Roman" panose="02020603050405020304" pitchFamily="18" charset="0"/>
              <a:cs typeface="Times New Roman" panose="02020603050405020304" pitchFamily="18" charset="0"/>
            </a:rPr>
            <a:t> (101,2%)</a:t>
          </a:r>
        </a:p>
      </cdr:txBody>
    </cdr:sp>
  </cdr:relSizeAnchor>
  <cdr:relSizeAnchor xmlns:cdr="http://schemas.openxmlformats.org/drawingml/2006/chartDrawing">
    <cdr:from>
      <cdr:x>0</cdr:x>
      <cdr:y>0.49064</cdr:y>
    </cdr:from>
    <cdr:to>
      <cdr:x>1</cdr:x>
      <cdr:y>0.49095</cdr:y>
    </cdr:to>
    <cdr:cxnSp macro="">
      <cdr:nvCxnSpPr>
        <cdr:cNvPr id="3" name="Straight Connector 2"/>
        <cdr:cNvCxnSpPr/>
      </cdr:nvCxnSpPr>
      <cdr:spPr>
        <a:xfrm xmlns:a="http://schemas.openxmlformats.org/drawingml/2006/main">
          <a:off x="0" y="1729134"/>
          <a:ext cx="12465844" cy="1092"/>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F52C-4D26-4DE2-9E3D-942071ED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6</Pages>
  <Words>7399</Words>
  <Characters>4218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Ieva Ziepniece</dc:creator>
  <cp:keywords/>
  <dc:description>Ieva Ziepniece
Finanšu ministrijas Eiropas Savienības fondu uzraudzības departamenta
Uzņēmējdarbības un inovāciju uzraudzības nodaļas vadītājas vietniece
Tālr. 67095614, fakss 67095697
Ieva.Ziepniece@fm.gov.lv</dc:description>
  <cp:lastModifiedBy>Zane Zute</cp:lastModifiedBy>
  <cp:revision>146</cp:revision>
  <cp:lastPrinted>2016-09-14T06:25:00Z</cp:lastPrinted>
  <dcterms:created xsi:type="dcterms:W3CDTF">2016-08-31T12:28:00Z</dcterms:created>
  <dcterms:modified xsi:type="dcterms:W3CDTF">2016-09-28T13:25:00Z</dcterms:modified>
</cp:coreProperties>
</file>