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45720B8B" w:rsidR="00616AA6" w:rsidRPr="00E803D6" w:rsidRDefault="00132DF0" w:rsidP="00E803D6">
      <w:pPr>
        <w:pStyle w:val="naisnod"/>
        <w:spacing w:before="0" w:after="0"/>
        <w:rPr>
          <w:b w:val="0"/>
          <w:sz w:val="28"/>
          <w:szCs w:val="28"/>
        </w:rPr>
      </w:pPr>
      <w:r>
        <w:rPr>
          <w:sz w:val="28"/>
          <w:szCs w:val="28"/>
        </w:rPr>
        <w:t xml:space="preserve">Ministru kabineta </w:t>
      </w:r>
      <w:r w:rsidR="00E803D6">
        <w:rPr>
          <w:sz w:val="28"/>
          <w:szCs w:val="28"/>
        </w:rPr>
        <w:t>noteikumu</w:t>
      </w:r>
      <w:r>
        <w:rPr>
          <w:sz w:val="28"/>
          <w:szCs w:val="28"/>
        </w:rPr>
        <w:t xml:space="preserve"> </w:t>
      </w:r>
      <w:r w:rsidRPr="00E803D6">
        <w:rPr>
          <w:sz w:val="28"/>
          <w:szCs w:val="28"/>
        </w:rPr>
        <w:t xml:space="preserve">projekta </w:t>
      </w:r>
      <w:r w:rsidR="00B67703">
        <w:rPr>
          <w:sz w:val="28"/>
          <w:szCs w:val="28"/>
        </w:rPr>
        <w:t>“</w:t>
      </w:r>
      <w:proofErr w:type="spellStart"/>
      <w:r w:rsidR="000B1FA2">
        <w:rPr>
          <w:sz w:val="28"/>
          <w:szCs w:val="28"/>
        </w:rPr>
        <w:t>Iekšlietu</w:t>
      </w:r>
      <w:proofErr w:type="spellEnd"/>
      <w:r w:rsidR="000B1FA2">
        <w:rPr>
          <w:sz w:val="28"/>
          <w:szCs w:val="28"/>
        </w:rPr>
        <w:t xml:space="preserve"> ministrijas Informācijas centra nolikums</w:t>
      </w:r>
      <w:r w:rsidR="00E803D6" w:rsidRPr="00E803D6">
        <w:rPr>
          <w:sz w:val="28"/>
          <w:szCs w:val="28"/>
        </w:rPr>
        <w:t>”</w:t>
      </w:r>
      <w:r w:rsidRPr="00E803D6">
        <w:rPr>
          <w:sz w:val="28"/>
          <w:szCs w:val="28"/>
        </w:rPr>
        <w:t xml:space="preserve"> </w:t>
      </w:r>
      <w:r w:rsidR="00616AA6" w:rsidRPr="00E803D6">
        <w:rPr>
          <w:sz w:val="28"/>
          <w:szCs w:val="28"/>
        </w:rPr>
        <w:t>sākotnējās ietekmes novērtējuma ziņojums</w:t>
      </w:r>
      <w:r w:rsidR="00CC496E" w:rsidRPr="00E803D6">
        <w:rPr>
          <w:sz w:val="28"/>
          <w:szCs w:val="28"/>
        </w:rPr>
        <w:t xml:space="preserve"> </w:t>
      </w:r>
      <w:r w:rsidR="00616AA6" w:rsidRPr="00E803D6">
        <w:rPr>
          <w:sz w:val="28"/>
          <w:szCs w:val="28"/>
        </w:rPr>
        <w:t>(anotācija)</w:t>
      </w:r>
    </w:p>
    <w:p w14:paraId="4E9F9811" w14:textId="77777777"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426"/>
        <w:gridCol w:w="108"/>
        <w:gridCol w:w="2601"/>
        <w:gridCol w:w="1935"/>
        <w:gridCol w:w="4063"/>
      </w:tblGrid>
      <w:tr w:rsidR="00616AA6" w:rsidRPr="00D65D1A" w14:paraId="30F37E3F" w14:textId="77777777" w:rsidTr="00F03184">
        <w:tc>
          <w:tcPr>
            <w:tcW w:w="9133" w:type="dxa"/>
            <w:gridSpan w:val="5"/>
          </w:tcPr>
          <w:p w14:paraId="5B99A8F4" w14:textId="77777777"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14:paraId="2FA85720" w14:textId="77777777" w:rsidTr="00F03184">
        <w:tc>
          <w:tcPr>
            <w:tcW w:w="426" w:type="dxa"/>
          </w:tcPr>
          <w:p w14:paraId="083EF60E" w14:textId="77777777" w:rsidR="00616AA6" w:rsidRPr="00D65D1A" w:rsidRDefault="00616AA6" w:rsidP="00710EAA">
            <w:pPr>
              <w:spacing w:before="60"/>
              <w:rPr>
                <w:sz w:val="28"/>
                <w:szCs w:val="28"/>
              </w:rPr>
            </w:pPr>
            <w:r w:rsidRPr="00D65D1A">
              <w:rPr>
                <w:sz w:val="28"/>
                <w:szCs w:val="28"/>
              </w:rPr>
              <w:t>1.</w:t>
            </w:r>
          </w:p>
        </w:tc>
        <w:tc>
          <w:tcPr>
            <w:tcW w:w="2709" w:type="dxa"/>
            <w:gridSpan w:val="2"/>
          </w:tcPr>
          <w:p w14:paraId="72722F48" w14:textId="77777777" w:rsidR="00616AA6" w:rsidRPr="00D65D1A" w:rsidRDefault="00616AA6" w:rsidP="00710EAA">
            <w:pPr>
              <w:spacing w:before="60"/>
              <w:rPr>
                <w:sz w:val="28"/>
                <w:szCs w:val="28"/>
              </w:rPr>
            </w:pPr>
            <w:r w:rsidRPr="00D65D1A">
              <w:rPr>
                <w:sz w:val="28"/>
                <w:szCs w:val="28"/>
              </w:rPr>
              <w:t>Pamatojums</w:t>
            </w:r>
          </w:p>
        </w:tc>
        <w:tc>
          <w:tcPr>
            <w:tcW w:w="5998" w:type="dxa"/>
            <w:gridSpan w:val="2"/>
          </w:tcPr>
          <w:p w14:paraId="218CBFD7" w14:textId="7FE72611" w:rsidR="007E5425" w:rsidRPr="00D65D1A" w:rsidRDefault="008D51F4" w:rsidP="002B149F">
            <w:pPr>
              <w:jc w:val="both"/>
              <w:rPr>
                <w:sz w:val="28"/>
                <w:szCs w:val="28"/>
              </w:rPr>
            </w:pPr>
            <w:r>
              <w:rPr>
                <w:sz w:val="28"/>
                <w:szCs w:val="28"/>
              </w:rPr>
              <w:t>Ministru kabineta noteikumu projekts “</w:t>
            </w:r>
            <w:proofErr w:type="spellStart"/>
            <w:r>
              <w:rPr>
                <w:sz w:val="28"/>
                <w:szCs w:val="28"/>
              </w:rPr>
              <w:t>Iekšlietu</w:t>
            </w:r>
            <w:proofErr w:type="spellEnd"/>
            <w:r>
              <w:rPr>
                <w:sz w:val="28"/>
                <w:szCs w:val="28"/>
              </w:rPr>
              <w:t xml:space="preserve"> ministrijas Informācijas centra nolikums” izstrādāts, pamatojoties uz </w:t>
            </w:r>
            <w:r w:rsidR="00BC534F">
              <w:rPr>
                <w:sz w:val="28"/>
                <w:szCs w:val="28"/>
              </w:rPr>
              <w:t xml:space="preserve">Valsts pārvaldes iekārtas likuma 16.panta </w:t>
            </w:r>
            <w:r>
              <w:rPr>
                <w:sz w:val="28"/>
                <w:szCs w:val="28"/>
              </w:rPr>
              <w:t>pirmo daļu</w:t>
            </w:r>
            <w:r w:rsidR="00BC534F">
              <w:rPr>
                <w:sz w:val="28"/>
                <w:szCs w:val="28"/>
              </w:rPr>
              <w:t>.</w:t>
            </w:r>
          </w:p>
        </w:tc>
      </w:tr>
      <w:tr w:rsidR="00616AA6" w:rsidRPr="00D108AA" w14:paraId="5FCB99D7" w14:textId="77777777" w:rsidTr="00F03184">
        <w:tc>
          <w:tcPr>
            <w:tcW w:w="426" w:type="dxa"/>
          </w:tcPr>
          <w:p w14:paraId="68232D0E" w14:textId="70037335" w:rsidR="00616AA6" w:rsidRPr="00D65D1A" w:rsidRDefault="00616AA6" w:rsidP="00710EAA">
            <w:pPr>
              <w:spacing w:before="60" w:line="720" w:lineRule="auto"/>
              <w:rPr>
                <w:sz w:val="28"/>
                <w:szCs w:val="28"/>
              </w:rPr>
            </w:pPr>
            <w:r w:rsidRPr="00D65D1A">
              <w:rPr>
                <w:sz w:val="28"/>
                <w:szCs w:val="28"/>
              </w:rPr>
              <w:t>2.</w:t>
            </w:r>
          </w:p>
        </w:tc>
        <w:tc>
          <w:tcPr>
            <w:tcW w:w="2709" w:type="dxa"/>
            <w:gridSpan w:val="2"/>
          </w:tcPr>
          <w:p w14:paraId="28846866" w14:textId="2871626F" w:rsidR="00B45BD7" w:rsidRDefault="00616AA6" w:rsidP="00710EAA">
            <w:pPr>
              <w:spacing w:before="60"/>
              <w:rPr>
                <w:sz w:val="28"/>
                <w:szCs w:val="28"/>
              </w:rPr>
            </w:pPr>
            <w:r w:rsidRPr="00D65D1A">
              <w:rPr>
                <w:sz w:val="28"/>
                <w:szCs w:val="28"/>
              </w:rPr>
              <w:t>Pašreizējā situācija un problēmas</w:t>
            </w:r>
            <w:r w:rsidR="000F2F91" w:rsidRPr="00D65D1A">
              <w:rPr>
                <w:sz w:val="28"/>
                <w:szCs w:val="28"/>
              </w:rPr>
              <w:t>, kuru risināšanai tiesību akta projekts izstrādāts, tiesiskā regulējuma mērķis un būtība</w:t>
            </w:r>
          </w:p>
          <w:p w14:paraId="4BBB51CD" w14:textId="77777777" w:rsidR="00B45BD7" w:rsidRPr="00B45BD7" w:rsidRDefault="00B45BD7" w:rsidP="00B45BD7">
            <w:pPr>
              <w:rPr>
                <w:sz w:val="28"/>
                <w:szCs w:val="28"/>
              </w:rPr>
            </w:pPr>
          </w:p>
          <w:p w14:paraId="205EBE69" w14:textId="77777777" w:rsidR="00B45BD7" w:rsidRPr="00B45BD7" w:rsidRDefault="00B45BD7" w:rsidP="00B45BD7">
            <w:pPr>
              <w:rPr>
                <w:sz w:val="28"/>
                <w:szCs w:val="28"/>
              </w:rPr>
            </w:pPr>
          </w:p>
          <w:p w14:paraId="4E93044A" w14:textId="77777777" w:rsidR="00B45BD7" w:rsidRPr="00B45BD7" w:rsidRDefault="00B45BD7" w:rsidP="00B45BD7">
            <w:pPr>
              <w:rPr>
                <w:sz w:val="28"/>
                <w:szCs w:val="28"/>
              </w:rPr>
            </w:pPr>
          </w:p>
          <w:p w14:paraId="3B8034FA" w14:textId="77777777" w:rsidR="00B45BD7" w:rsidRPr="00B45BD7" w:rsidRDefault="00B45BD7" w:rsidP="00B45BD7">
            <w:pPr>
              <w:rPr>
                <w:sz w:val="28"/>
                <w:szCs w:val="28"/>
              </w:rPr>
            </w:pPr>
          </w:p>
          <w:p w14:paraId="1F6DFCA7" w14:textId="77777777" w:rsidR="00B45BD7" w:rsidRPr="00B45BD7" w:rsidRDefault="00B45BD7" w:rsidP="00B45BD7">
            <w:pPr>
              <w:rPr>
                <w:sz w:val="28"/>
                <w:szCs w:val="28"/>
              </w:rPr>
            </w:pPr>
          </w:p>
          <w:p w14:paraId="79AC5E5D" w14:textId="77777777" w:rsidR="00B45BD7" w:rsidRPr="00B45BD7" w:rsidRDefault="00B45BD7" w:rsidP="00B45BD7">
            <w:pPr>
              <w:rPr>
                <w:sz w:val="28"/>
                <w:szCs w:val="28"/>
              </w:rPr>
            </w:pPr>
          </w:p>
          <w:p w14:paraId="5E28E88E" w14:textId="77777777" w:rsidR="00B45BD7" w:rsidRPr="00B45BD7" w:rsidRDefault="00B45BD7" w:rsidP="00B45BD7">
            <w:pPr>
              <w:rPr>
                <w:sz w:val="28"/>
                <w:szCs w:val="28"/>
              </w:rPr>
            </w:pPr>
          </w:p>
          <w:p w14:paraId="20DA0F59" w14:textId="64AD0F18" w:rsidR="00616AA6" w:rsidRPr="00B45BD7" w:rsidRDefault="00616AA6" w:rsidP="00B45BD7">
            <w:pPr>
              <w:rPr>
                <w:sz w:val="28"/>
                <w:szCs w:val="28"/>
              </w:rPr>
            </w:pPr>
          </w:p>
        </w:tc>
        <w:tc>
          <w:tcPr>
            <w:tcW w:w="5998" w:type="dxa"/>
            <w:gridSpan w:val="2"/>
          </w:tcPr>
          <w:p w14:paraId="1EB8B06D" w14:textId="7340CB65" w:rsidR="006B2DC3" w:rsidRDefault="006B2DC3" w:rsidP="006B2DC3">
            <w:pPr>
              <w:pStyle w:val="tv213limenis2"/>
              <w:spacing w:before="0" w:beforeAutospacing="0" w:after="0" w:afterAutospacing="0" w:line="293" w:lineRule="atLeast"/>
              <w:jc w:val="both"/>
              <w:rPr>
                <w:sz w:val="28"/>
                <w:szCs w:val="28"/>
              </w:rPr>
            </w:pPr>
            <w:r>
              <w:rPr>
                <w:sz w:val="28"/>
                <w:szCs w:val="28"/>
              </w:rPr>
              <w:t xml:space="preserve">Šobrīd </w:t>
            </w:r>
            <w:proofErr w:type="spellStart"/>
            <w:r>
              <w:rPr>
                <w:sz w:val="28"/>
                <w:szCs w:val="28"/>
              </w:rPr>
              <w:t>Iekšlietu</w:t>
            </w:r>
            <w:proofErr w:type="spellEnd"/>
            <w:r>
              <w:rPr>
                <w:sz w:val="28"/>
                <w:szCs w:val="28"/>
              </w:rPr>
              <w:t xml:space="preserve"> ministrijas Informācijas centra funkcijas, uzdevumus un pienākumus nosaka un regulē Ministru kabineta 2004.gada 8.jūnija noteikumi Nr.526 “</w:t>
            </w:r>
            <w:proofErr w:type="spellStart"/>
            <w:r>
              <w:rPr>
                <w:sz w:val="28"/>
                <w:szCs w:val="28"/>
              </w:rPr>
              <w:t>Iekšlietu</w:t>
            </w:r>
            <w:proofErr w:type="spellEnd"/>
            <w:r>
              <w:rPr>
                <w:sz w:val="28"/>
                <w:szCs w:val="28"/>
              </w:rPr>
              <w:t xml:space="preserve"> ministrijas Informācijas centra nolikums”. Minēto note</w:t>
            </w:r>
            <w:r w:rsidR="00B47B1F">
              <w:rPr>
                <w:sz w:val="28"/>
                <w:szCs w:val="28"/>
              </w:rPr>
              <w:t>ikumu redakcija satur atsauci uz</w:t>
            </w:r>
            <w:r>
              <w:rPr>
                <w:sz w:val="28"/>
                <w:szCs w:val="28"/>
              </w:rPr>
              <w:t xml:space="preserve"> tādām </w:t>
            </w:r>
            <w:proofErr w:type="spellStart"/>
            <w:r>
              <w:rPr>
                <w:sz w:val="28"/>
                <w:szCs w:val="28"/>
              </w:rPr>
              <w:t>Iekšlietu</w:t>
            </w:r>
            <w:proofErr w:type="spellEnd"/>
            <w:r>
              <w:rPr>
                <w:sz w:val="28"/>
                <w:szCs w:val="28"/>
              </w:rPr>
              <w:t xml:space="preserve"> ministrijas Informācijas centra funkcijām un uzdevumiem, kas redakcionāli un saturiski precizējami.</w:t>
            </w:r>
          </w:p>
          <w:p w14:paraId="04505C5D" w14:textId="31FAB999" w:rsidR="00837DF0" w:rsidRDefault="006B2DC3" w:rsidP="006B2DC3">
            <w:pPr>
              <w:pStyle w:val="tv213limenis2"/>
              <w:spacing w:before="0" w:beforeAutospacing="0" w:after="0" w:afterAutospacing="0" w:line="293" w:lineRule="atLeast"/>
              <w:jc w:val="both"/>
              <w:rPr>
                <w:sz w:val="28"/>
                <w:szCs w:val="28"/>
              </w:rPr>
            </w:pPr>
            <w:r>
              <w:rPr>
                <w:sz w:val="28"/>
                <w:szCs w:val="28"/>
              </w:rPr>
              <w:t xml:space="preserve">Atsevišķu funkciju un uzdevumu izpilde laika periodā </w:t>
            </w:r>
            <w:r w:rsidR="00295365">
              <w:rPr>
                <w:sz w:val="28"/>
                <w:szCs w:val="28"/>
              </w:rPr>
              <w:t>kopš</w:t>
            </w:r>
            <w:r>
              <w:rPr>
                <w:sz w:val="28"/>
                <w:szCs w:val="28"/>
              </w:rPr>
              <w:t xml:space="preserve"> Ministru kabineta 2004.gada 8.jūnija noteikumu Nr.526 “</w:t>
            </w:r>
            <w:proofErr w:type="spellStart"/>
            <w:r>
              <w:rPr>
                <w:sz w:val="28"/>
                <w:szCs w:val="28"/>
              </w:rPr>
              <w:t>Iekšlietu</w:t>
            </w:r>
            <w:proofErr w:type="spellEnd"/>
            <w:r>
              <w:rPr>
                <w:sz w:val="28"/>
                <w:szCs w:val="28"/>
              </w:rPr>
              <w:t xml:space="preserve"> ministrijas Informācijas centra nolikums” pieņemšanas ir</w:t>
            </w:r>
            <w:r w:rsidR="00295365">
              <w:rPr>
                <w:sz w:val="28"/>
                <w:szCs w:val="28"/>
              </w:rPr>
              <w:t xml:space="preserve"> mainījusies un</w:t>
            </w:r>
            <w:r>
              <w:rPr>
                <w:sz w:val="28"/>
                <w:szCs w:val="28"/>
              </w:rPr>
              <w:t xml:space="preserve"> </w:t>
            </w:r>
            <w:proofErr w:type="spellStart"/>
            <w:r>
              <w:rPr>
                <w:sz w:val="28"/>
                <w:szCs w:val="28"/>
              </w:rPr>
              <w:t>Iekšlietu</w:t>
            </w:r>
            <w:proofErr w:type="spellEnd"/>
            <w:r>
              <w:rPr>
                <w:sz w:val="28"/>
                <w:szCs w:val="28"/>
              </w:rPr>
              <w:t xml:space="preserve"> ministrijas Informācijas centram</w:t>
            </w:r>
            <w:r w:rsidR="00295365">
              <w:rPr>
                <w:sz w:val="28"/>
                <w:szCs w:val="28"/>
              </w:rPr>
              <w:t xml:space="preserve"> deleģēta papildus</w:t>
            </w:r>
            <w:r>
              <w:rPr>
                <w:sz w:val="28"/>
                <w:szCs w:val="28"/>
              </w:rPr>
              <w:t>, par k</w:t>
            </w:r>
            <w:r w:rsidR="00052199">
              <w:rPr>
                <w:sz w:val="28"/>
                <w:szCs w:val="28"/>
              </w:rPr>
              <w:t>o ir veikti attiecīgi grozījumi.</w:t>
            </w:r>
          </w:p>
          <w:p w14:paraId="0A0F0A97" w14:textId="77777777" w:rsidR="00C96549" w:rsidRDefault="00C96549" w:rsidP="00C96549">
            <w:pPr>
              <w:pStyle w:val="naislab"/>
              <w:spacing w:before="0" w:after="0"/>
              <w:jc w:val="both"/>
              <w:rPr>
                <w:color w:val="000000"/>
                <w:sz w:val="28"/>
                <w:szCs w:val="28"/>
                <w:shd w:val="clear" w:color="auto" w:fill="FFFFFF"/>
              </w:rPr>
            </w:pPr>
            <w:r>
              <w:rPr>
                <w:color w:val="000000"/>
                <w:sz w:val="28"/>
                <w:szCs w:val="28"/>
                <w:shd w:val="clear" w:color="auto" w:fill="FFFFFF"/>
              </w:rPr>
              <w:t>Ministru kabineta 2004.gada 8.jūnija noteikumos Nr.526</w:t>
            </w:r>
            <w:r w:rsidRPr="009576A9">
              <w:rPr>
                <w:color w:val="000000"/>
                <w:sz w:val="28"/>
                <w:szCs w:val="28"/>
                <w:shd w:val="clear" w:color="auto" w:fill="FFFFFF"/>
              </w:rPr>
              <w:t xml:space="preserve">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centra nolikums</w:t>
            </w:r>
            <w:r w:rsidRPr="009576A9">
              <w:rPr>
                <w:color w:val="000000"/>
                <w:sz w:val="28"/>
                <w:szCs w:val="28"/>
                <w:shd w:val="clear" w:color="auto" w:fill="FFFFFF"/>
              </w:rPr>
              <w:t xml:space="preserve">”, </w:t>
            </w:r>
            <w:r>
              <w:rPr>
                <w:color w:val="000000"/>
                <w:sz w:val="28"/>
                <w:szCs w:val="28"/>
                <w:shd w:val="clear" w:color="auto" w:fill="FFFFFF"/>
              </w:rPr>
              <w:t>kopš tā izdošanas 2004.gadā trīs reizes ir veikti dažāda apjoma grozījumi, tostarp:</w:t>
            </w:r>
          </w:p>
          <w:p w14:paraId="7E15EE89" w14:textId="46C2ECF4" w:rsidR="00C96549" w:rsidRPr="00282281" w:rsidRDefault="00C96549" w:rsidP="00052199">
            <w:pPr>
              <w:pStyle w:val="naislab"/>
              <w:numPr>
                <w:ilvl w:val="0"/>
                <w:numId w:val="13"/>
              </w:numPr>
              <w:spacing w:before="0" w:after="0"/>
              <w:jc w:val="both"/>
              <w:rPr>
                <w:bCs/>
                <w:color w:val="000000"/>
                <w:sz w:val="28"/>
                <w:szCs w:val="28"/>
              </w:rPr>
            </w:pPr>
            <w:r>
              <w:rPr>
                <w:color w:val="000000"/>
                <w:sz w:val="28"/>
                <w:szCs w:val="28"/>
                <w:shd w:val="clear" w:color="auto" w:fill="FFFFFF"/>
              </w:rPr>
              <w:t xml:space="preserve">2009.gadā (Ministru kabineta 2009.gada </w:t>
            </w:r>
            <w:r w:rsidR="00153085">
              <w:rPr>
                <w:color w:val="000000"/>
                <w:sz w:val="28"/>
                <w:szCs w:val="28"/>
                <w:shd w:val="clear" w:color="auto" w:fill="FFFFFF"/>
              </w:rPr>
              <w:t>28.jūlija noteikumi Nr.817 “Grozījumi Ministru kabineta 2004.gada 8.jūnija noteikumos Nr.526 “</w:t>
            </w:r>
            <w:proofErr w:type="spellStart"/>
            <w:r w:rsidR="00153085">
              <w:rPr>
                <w:color w:val="000000"/>
                <w:sz w:val="28"/>
                <w:szCs w:val="28"/>
                <w:shd w:val="clear" w:color="auto" w:fill="FFFFFF"/>
              </w:rPr>
              <w:t>Iekšlietu</w:t>
            </w:r>
            <w:proofErr w:type="spellEnd"/>
            <w:r w:rsidR="00153085">
              <w:rPr>
                <w:color w:val="000000"/>
                <w:sz w:val="28"/>
                <w:szCs w:val="28"/>
                <w:shd w:val="clear" w:color="auto" w:fill="FFFFFF"/>
              </w:rPr>
              <w:t xml:space="preserve"> ministrijas Informācijas centra nolikums””, kas stājās spēkā 2009.gada 1.augustā</w:t>
            </w:r>
            <w:r>
              <w:rPr>
                <w:color w:val="000000"/>
                <w:sz w:val="28"/>
                <w:szCs w:val="28"/>
                <w:shd w:val="clear" w:color="auto" w:fill="FFFFFF"/>
              </w:rPr>
              <w:t xml:space="preserve">) pēc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Sakaru centra reorganizācijas pievienojot to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centram</w:t>
            </w:r>
            <w:r w:rsidR="00153085">
              <w:rPr>
                <w:color w:val="000000"/>
                <w:sz w:val="28"/>
                <w:szCs w:val="28"/>
                <w:shd w:val="clear" w:color="auto" w:fill="FFFFFF"/>
              </w:rPr>
              <w:t xml:space="preserve">, pamatojoties uz Ministru kabineta 2009.gada 6.maija rīkojumu Nr.289 “Par </w:t>
            </w:r>
            <w:proofErr w:type="spellStart"/>
            <w:r w:rsidR="00153085">
              <w:rPr>
                <w:color w:val="000000"/>
                <w:sz w:val="28"/>
                <w:szCs w:val="28"/>
                <w:shd w:val="clear" w:color="auto" w:fill="FFFFFF"/>
              </w:rPr>
              <w:t>Iekšlietu</w:t>
            </w:r>
            <w:proofErr w:type="spellEnd"/>
            <w:r w:rsidR="00153085">
              <w:rPr>
                <w:color w:val="000000"/>
                <w:sz w:val="28"/>
                <w:szCs w:val="28"/>
                <w:shd w:val="clear" w:color="auto" w:fill="FFFFFF"/>
              </w:rPr>
              <w:t xml:space="preserve"> ministrijas Sakaru centra reorganizāciju”. P</w:t>
            </w:r>
            <w:r>
              <w:rPr>
                <w:color w:val="000000"/>
                <w:sz w:val="28"/>
                <w:szCs w:val="28"/>
                <w:shd w:val="clear" w:color="auto" w:fill="FFFFFF"/>
              </w:rPr>
              <w:t xml:space="preserve">ārņemot </w:t>
            </w:r>
            <w:r w:rsidR="00153085">
              <w:rPr>
                <w:color w:val="000000"/>
                <w:sz w:val="28"/>
                <w:szCs w:val="28"/>
                <w:shd w:val="clear" w:color="auto" w:fill="FFFFFF"/>
              </w:rPr>
              <w:t xml:space="preserve">reorganizētā </w:t>
            </w:r>
            <w:proofErr w:type="spellStart"/>
            <w:r w:rsidR="00153085">
              <w:rPr>
                <w:color w:val="000000"/>
                <w:sz w:val="28"/>
                <w:szCs w:val="28"/>
                <w:shd w:val="clear" w:color="auto" w:fill="FFFFFF"/>
              </w:rPr>
              <w:t>Iekšlietu</w:t>
            </w:r>
            <w:proofErr w:type="spellEnd"/>
            <w:r w:rsidR="00153085">
              <w:rPr>
                <w:color w:val="000000"/>
                <w:sz w:val="28"/>
                <w:szCs w:val="28"/>
                <w:shd w:val="clear" w:color="auto" w:fill="FFFFFF"/>
              </w:rPr>
              <w:t xml:space="preserve"> ministrijas Sakaru centra funkcijas un uzdevumus, ar minētajiem grozījumiem tika papildināts </w:t>
            </w:r>
            <w:proofErr w:type="spellStart"/>
            <w:r w:rsidR="00153085">
              <w:rPr>
                <w:color w:val="000000"/>
                <w:sz w:val="28"/>
                <w:szCs w:val="28"/>
                <w:shd w:val="clear" w:color="auto" w:fill="FFFFFF"/>
              </w:rPr>
              <w:t>Iekšlietu</w:t>
            </w:r>
            <w:proofErr w:type="spellEnd"/>
            <w:r w:rsidR="00153085">
              <w:rPr>
                <w:color w:val="000000"/>
                <w:sz w:val="28"/>
                <w:szCs w:val="28"/>
                <w:shd w:val="clear" w:color="auto" w:fill="FFFFFF"/>
              </w:rPr>
              <w:t xml:space="preserve"> ministrijas Informācijas centra </w:t>
            </w:r>
            <w:r w:rsidR="00153085">
              <w:rPr>
                <w:color w:val="000000"/>
                <w:sz w:val="28"/>
                <w:szCs w:val="28"/>
                <w:shd w:val="clear" w:color="auto" w:fill="FFFFFF"/>
              </w:rPr>
              <w:lastRenderedPageBreak/>
              <w:t>darbības mērķis, papildinātas funkcijas un uzdevumi telek</w:t>
            </w:r>
            <w:r w:rsidR="00001743">
              <w:rPr>
                <w:color w:val="000000"/>
                <w:sz w:val="28"/>
                <w:szCs w:val="28"/>
                <w:shd w:val="clear" w:color="auto" w:fill="FFFFFF"/>
              </w:rPr>
              <w:t>o</w:t>
            </w:r>
            <w:r w:rsidR="00893B19">
              <w:rPr>
                <w:color w:val="000000"/>
                <w:sz w:val="28"/>
                <w:szCs w:val="28"/>
                <w:shd w:val="clear" w:color="auto" w:fill="FFFFFF"/>
              </w:rPr>
              <w:t xml:space="preserve">munikāciju un radiosakaru jomā. </w:t>
            </w:r>
            <w:r w:rsidR="00001743">
              <w:rPr>
                <w:color w:val="000000"/>
                <w:sz w:val="28"/>
                <w:szCs w:val="28"/>
                <w:shd w:val="clear" w:color="auto" w:fill="FFFFFF"/>
              </w:rPr>
              <w:t xml:space="preserve">Šobrīd </w:t>
            </w:r>
            <w:proofErr w:type="spellStart"/>
            <w:r w:rsidR="00001743">
              <w:rPr>
                <w:color w:val="000000"/>
                <w:sz w:val="28"/>
                <w:szCs w:val="28"/>
                <w:shd w:val="clear" w:color="auto" w:fill="FFFFFF"/>
              </w:rPr>
              <w:t>Iekšlietu</w:t>
            </w:r>
            <w:proofErr w:type="spellEnd"/>
            <w:r w:rsidR="00001743">
              <w:rPr>
                <w:color w:val="000000"/>
                <w:sz w:val="28"/>
                <w:szCs w:val="28"/>
                <w:shd w:val="clear" w:color="auto" w:fill="FFFFFF"/>
              </w:rPr>
              <w:t xml:space="preserve"> ministrijas Informācijas centrs turpina pildīt pārņemtās funkcijas un uzdevumus, paplašinot to izpildes apjomus un pilnībā nodrošinot </w:t>
            </w:r>
            <w:r w:rsidR="00C45567">
              <w:rPr>
                <w:color w:val="000000"/>
                <w:sz w:val="28"/>
                <w:szCs w:val="28"/>
                <w:shd w:val="clear" w:color="auto" w:fill="FFFFFF"/>
              </w:rPr>
              <w:t>telekomunikāciju un radiosakaru</w:t>
            </w:r>
            <w:r w:rsidR="00001743">
              <w:rPr>
                <w:color w:val="000000"/>
                <w:sz w:val="28"/>
                <w:szCs w:val="28"/>
                <w:shd w:val="clear" w:color="auto" w:fill="FFFFFF"/>
              </w:rPr>
              <w:t xml:space="preserve"> funkcijas </w:t>
            </w:r>
            <w:r w:rsidR="00C45567">
              <w:rPr>
                <w:color w:val="000000"/>
                <w:sz w:val="28"/>
                <w:szCs w:val="28"/>
                <w:shd w:val="clear" w:color="auto" w:fill="FFFFFF"/>
              </w:rPr>
              <w:t>visās</w:t>
            </w:r>
            <w:r w:rsidR="00001743">
              <w:rPr>
                <w:color w:val="000000"/>
                <w:sz w:val="28"/>
                <w:szCs w:val="28"/>
                <w:shd w:val="clear" w:color="auto" w:fill="FFFFFF"/>
              </w:rPr>
              <w:t xml:space="preserve"> </w:t>
            </w:r>
            <w:proofErr w:type="spellStart"/>
            <w:r w:rsidR="00001743">
              <w:rPr>
                <w:color w:val="000000"/>
                <w:sz w:val="28"/>
                <w:szCs w:val="28"/>
                <w:shd w:val="clear" w:color="auto" w:fill="FFFFFF"/>
              </w:rPr>
              <w:t>Iekšlietu</w:t>
            </w:r>
            <w:proofErr w:type="spellEnd"/>
            <w:r w:rsidR="00001743">
              <w:rPr>
                <w:color w:val="000000"/>
                <w:sz w:val="28"/>
                <w:szCs w:val="28"/>
                <w:shd w:val="clear" w:color="auto" w:fill="FFFFFF"/>
              </w:rPr>
              <w:t xml:space="preserve"> ministrijas padotībā esošajās iestādēs.</w:t>
            </w:r>
          </w:p>
          <w:p w14:paraId="17E7AC5E" w14:textId="72F09CE0" w:rsidR="00483379" w:rsidRPr="00483379" w:rsidRDefault="00C96549" w:rsidP="00052199">
            <w:pPr>
              <w:pStyle w:val="naislab"/>
              <w:numPr>
                <w:ilvl w:val="0"/>
                <w:numId w:val="13"/>
              </w:numPr>
              <w:spacing w:before="0" w:after="0"/>
              <w:jc w:val="both"/>
              <w:rPr>
                <w:bCs/>
                <w:color w:val="000000"/>
                <w:sz w:val="28"/>
                <w:szCs w:val="28"/>
              </w:rPr>
            </w:pPr>
            <w:r>
              <w:rPr>
                <w:color w:val="000000"/>
                <w:sz w:val="28"/>
                <w:szCs w:val="28"/>
                <w:shd w:val="clear" w:color="auto" w:fill="FFFFFF"/>
              </w:rPr>
              <w:t xml:space="preserve">2010.gadā pēc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un sakaru departamenta reorganizācijas uz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Informātikas un sakaru nodaļu, </w:t>
            </w:r>
            <w:r w:rsidR="0043319D">
              <w:rPr>
                <w:color w:val="000000"/>
                <w:sz w:val="28"/>
                <w:szCs w:val="28"/>
                <w:shd w:val="clear" w:color="auto" w:fill="FFFFFF"/>
              </w:rPr>
              <w:t xml:space="preserve">daļēji </w:t>
            </w:r>
            <w:r>
              <w:rPr>
                <w:color w:val="000000"/>
                <w:sz w:val="28"/>
                <w:szCs w:val="28"/>
                <w:shd w:val="clear" w:color="auto" w:fill="FFFFFF"/>
              </w:rPr>
              <w:t>pār</w:t>
            </w:r>
            <w:r w:rsidR="00483379">
              <w:rPr>
                <w:color w:val="000000"/>
                <w:sz w:val="28"/>
                <w:szCs w:val="28"/>
                <w:shd w:val="clear" w:color="auto" w:fill="FFFFFF"/>
              </w:rPr>
              <w:t xml:space="preserve">ņemot </w:t>
            </w:r>
            <w:r w:rsidR="0043319D">
              <w:rPr>
                <w:color w:val="000000"/>
                <w:sz w:val="28"/>
                <w:szCs w:val="28"/>
                <w:shd w:val="clear" w:color="auto" w:fill="FFFFFF"/>
              </w:rPr>
              <w:t xml:space="preserve">reorganizētās struktūrvienības </w:t>
            </w:r>
            <w:r w:rsidR="00483379">
              <w:rPr>
                <w:color w:val="000000"/>
                <w:sz w:val="28"/>
                <w:szCs w:val="28"/>
                <w:shd w:val="clear" w:color="auto" w:fill="FFFFFF"/>
              </w:rPr>
              <w:t>funkcijas un uzdevumus. Proti</w:t>
            </w:r>
            <w:r w:rsidR="0043319D">
              <w:rPr>
                <w:color w:val="000000"/>
                <w:sz w:val="28"/>
                <w:szCs w:val="28"/>
                <w:shd w:val="clear" w:color="auto" w:fill="FFFFFF"/>
              </w:rPr>
              <w:t>,</w:t>
            </w:r>
            <w:r w:rsidR="00483379">
              <w:rPr>
                <w:color w:val="000000"/>
                <w:sz w:val="28"/>
                <w:szCs w:val="28"/>
                <w:shd w:val="clear" w:color="auto" w:fill="FFFFFF"/>
              </w:rPr>
              <w:t xml:space="preserve"> </w:t>
            </w:r>
            <w:r w:rsidR="00483379" w:rsidRPr="00483379">
              <w:rPr>
                <w:sz w:val="28"/>
                <w:szCs w:val="28"/>
              </w:rPr>
              <w:t xml:space="preserve">2009.gada 2.jūnija Ministru kabineta sēdē (prot. Nr. 37 38.§) </w:t>
            </w:r>
            <w:r w:rsidR="00483379">
              <w:rPr>
                <w:sz w:val="28"/>
                <w:szCs w:val="28"/>
              </w:rPr>
              <w:t xml:space="preserve">tika </w:t>
            </w:r>
            <w:r w:rsidR="00483379" w:rsidRPr="00483379">
              <w:rPr>
                <w:sz w:val="28"/>
                <w:szCs w:val="28"/>
              </w:rPr>
              <w:t xml:space="preserve">izskatītais informatīvais </w:t>
            </w:r>
            <w:smartTag w:uri="schemas-tilde-lv/tildestengine" w:element="veidnes">
              <w:smartTagPr>
                <w:attr w:name="text" w:val="ziņojums"/>
                <w:attr w:name="baseform" w:val="ziņojums"/>
                <w:attr w:name="id" w:val="-1"/>
              </w:smartTagPr>
              <w:r w:rsidR="00483379" w:rsidRPr="00483379">
                <w:rPr>
                  <w:sz w:val="28"/>
                  <w:szCs w:val="28"/>
                </w:rPr>
                <w:t>ziņojums</w:t>
              </w:r>
            </w:smartTag>
            <w:r w:rsidR="00483379" w:rsidRPr="00483379">
              <w:rPr>
                <w:sz w:val="28"/>
                <w:szCs w:val="28"/>
              </w:rPr>
              <w:t xml:space="preserve"> „Par </w:t>
            </w:r>
            <w:proofErr w:type="spellStart"/>
            <w:r w:rsidR="00483379" w:rsidRPr="00483379">
              <w:rPr>
                <w:sz w:val="28"/>
                <w:szCs w:val="28"/>
              </w:rPr>
              <w:t>iekšlietu</w:t>
            </w:r>
            <w:proofErr w:type="spellEnd"/>
            <w:r w:rsidR="00483379" w:rsidRPr="00483379">
              <w:rPr>
                <w:sz w:val="28"/>
                <w:szCs w:val="28"/>
              </w:rPr>
              <w:t xml:space="preserve"> sistēmas reorganizāciju” un tajā paredzētie pasākumi informācijas un komunikāciju tehnolo</w:t>
            </w:r>
            <w:r w:rsidR="00483379">
              <w:rPr>
                <w:sz w:val="28"/>
                <w:szCs w:val="28"/>
              </w:rPr>
              <w:t xml:space="preserve">ģiju vienotas sistēmas izveidei, </w:t>
            </w:r>
            <w:r w:rsidR="00483379" w:rsidRPr="00483379">
              <w:rPr>
                <w:sz w:val="28"/>
                <w:szCs w:val="28"/>
              </w:rPr>
              <w:t xml:space="preserve">kur tika paredzēti pasākumi informācijas un komunikāciju tehnoloģiju vienotas sistēmas izveidei </w:t>
            </w:r>
            <w:proofErr w:type="spellStart"/>
            <w:r w:rsidR="00483379" w:rsidRPr="00483379">
              <w:rPr>
                <w:sz w:val="28"/>
                <w:szCs w:val="28"/>
              </w:rPr>
              <w:t>Iekšlietu</w:t>
            </w:r>
            <w:proofErr w:type="spellEnd"/>
            <w:r w:rsidR="00483379" w:rsidRPr="00483379">
              <w:rPr>
                <w:sz w:val="28"/>
                <w:szCs w:val="28"/>
              </w:rPr>
              <w:t xml:space="preserve"> ministrijas sistēmā.</w:t>
            </w:r>
            <w:r w:rsidR="00483379">
              <w:rPr>
                <w:sz w:val="28"/>
                <w:szCs w:val="28"/>
              </w:rPr>
              <w:t xml:space="preserve"> </w:t>
            </w:r>
            <w:r w:rsidR="00483379" w:rsidRPr="00483379">
              <w:rPr>
                <w:sz w:val="28"/>
                <w:szCs w:val="28"/>
              </w:rPr>
              <w:t xml:space="preserve">Informācijas un komunikāciju tehnoloģijas  resursu optimizācijas un centralizācijas rezultātā, </w:t>
            </w:r>
            <w:proofErr w:type="spellStart"/>
            <w:r w:rsidR="00483379" w:rsidRPr="00483379">
              <w:rPr>
                <w:sz w:val="28"/>
                <w:szCs w:val="28"/>
              </w:rPr>
              <w:t>Iekšlietu</w:t>
            </w:r>
            <w:proofErr w:type="spellEnd"/>
            <w:r w:rsidR="00483379" w:rsidRPr="00483379">
              <w:rPr>
                <w:sz w:val="28"/>
                <w:szCs w:val="28"/>
              </w:rPr>
              <w:t xml:space="preserve"> ministrijas sistēmas iestāžu veicamās informācijas un komunikāciju tehnoloģijas funkcijas </w:t>
            </w:r>
            <w:r w:rsidR="00483379">
              <w:rPr>
                <w:sz w:val="28"/>
                <w:szCs w:val="28"/>
              </w:rPr>
              <w:t xml:space="preserve">tika </w:t>
            </w:r>
            <w:r w:rsidR="00483379" w:rsidRPr="00483379">
              <w:rPr>
                <w:sz w:val="28"/>
                <w:szCs w:val="28"/>
              </w:rPr>
              <w:t xml:space="preserve">plānots pakāpeniski nodot un centralizēt </w:t>
            </w:r>
            <w:proofErr w:type="spellStart"/>
            <w:r w:rsidR="00483379" w:rsidRPr="00483379">
              <w:rPr>
                <w:sz w:val="28"/>
                <w:szCs w:val="28"/>
              </w:rPr>
              <w:t>Iekšlietu</w:t>
            </w:r>
            <w:proofErr w:type="spellEnd"/>
            <w:r w:rsidR="00483379" w:rsidRPr="00483379">
              <w:rPr>
                <w:sz w:val="28"/>
                <w:szCs w:val="28"/>
              </w:rPr>
              <w:t xml:space="preserve"> m</w:t>
            </w:r>
            <w:r w:rsidR="00483379">
              <w:rPr>
                <w:sz w:val="28"/>
                <w:szCs w:val="28"/>
              </w:rPr>
              <w:t xml:space="preserve">inistrijas Informācijas centrā. </w:t>
            </w:r>
            <w:r w:rsidR="00483379" w:rsidRPr="00483379">
              <w:rPr>
                <w:sz w:val="28"/>
                <w:szCs w:val="28"/>
              </w:rPr>
              <w:t xml:space="preserve">Optimizācijas rezultātā </w:t>
            </w:r>
            <w:r w:rsidR="00483379">
              <w:rPr>
                <w:sz w:val="28"/>
                <w:szCs w:val="28"/>
              </w:rPr>
              <w:t xml:space="preserve">tika </w:t>
            </w:r>
            <w:r w:rsidR="00483379" w:rsidRPr="00483379">
              <w:rPr>
                <w:sz w:val="28"/>
                <w:szCs w:val="28"/>
              </w:rPr>
              <w:t>paredzēts</w:t>
            </w:r>
            <w:r w:rsidR="00483379">
              <w:rPr>
                <w:sz w:val="28"/>
                <w:szCs w:val="28"/>
              </w:rPr>
              <w:t xml:space="preserve"> </w:t>
            </w:r>
            <w:r w:rsidR="00467885">
              <w:rPr>
                <w:sz w:val="28"/>
                <w:szCs w:val="28"/>
              </w:rPr>
              <w:t>pa</w:t>
            </w:r>
            <w:r w:rsidR="00483379">
              <w:rPr>
                <w:sz w:val="28"/>
                <w:szCs w:val="28"/>
              </w:rPr>
              <w:t>augstināt</w:t>
            </w:r>
            <w:r w:rsidR="00483379" w:rsidRPr="00483379">
              <w:rPr>
                <w:sz w:val="28"/>
                <w:szCs w:val="28"/>
              </w:rPr>
              <w:t xml:space="preserve"> </w:t>
            </w:r>
            <w:proofErr w:type="spellStart"/>
            <w:r w:rsidR="00483379" w:rsidRPr="00483379">
              <w:rPr>
                <w:sz w:val="28"/>
                <w:szCs w:val="28"/>
              </w:rPr>
              <w:t>Iekšlietu</w:t>
            </w:r>
            <w:proofErr w:type="spellEnd"/>
            <w:r w:rsidR="00483379" w:rsidRPr="00483379">
              <w:rPr>
                <w:sz w:val="28"/>
                <w:szCs w:val="28"/>
              </w:rPr>
              <w:t xml:space="preserve"> ministrijas informācijas un komunikāciju tehnoloģij</w:t>
            </w:r>
            <w:r w:rsidR="0043319D">
              <w:rPr>
                <w:sz w:val="28"/>
                <w:szCs w:val="28"/>
              </w:rPr>
              <w:t>u jomas pārvaldības efektivitāti</w:t>
            </w:r>
            <w:r w:rsidR="00483379" w:rsidRPr="00483379">
              <w:rPr>
                <w:sz w:val="28"/>
                <w:szCs w:val="28"/>
              </w:rPr>
              <w:t>.</w:t>
            </w:r>
            <w:r w:rsidR="00483379">
              <w:rPr>
                <w:bCs/>
                <w:color w:val="000000"/>
                <w:sz w:val="28"/>
                <w:szCs w:val="28"/>
              </w:rPr>
              <w:t xml:space="preserve"> </w:t>
            </w:r>
            <w:r w:rsidR="00483379" w:rsidRPr="00483379">
              <w:rPr>
                <w:sz w:val="28"/>
                <w:szCs w:val="28"/>
              </w:rPr>
              <w:t>Ņemot vērā</w:t>
            </w:r>
            <w:r w:rsidR="00483379">
              <w:rPr>
                <w:sz w:val="28"/>
                <w:szCs w:val="28"/>
              </w:rPr>
              <w:t xml:space="preserve"> minēto, </w:t>
            </w:r>
            <w:proofErr w:type="spellStart"/>
            <w:r w:rsidR="00483379">
              <w:rPr>
                <w:sz w:val="28"/>
                <w:szCs w:val="28"/>
              </w:rPr>
              <w:t>Iekšlietu</w:t>
            </w:r>
            <w:proofErr w:type="spellEnd"/>
            <w:r w:rsidR="00483379">
              <w:rPr>
                <w:sz w:val="28"/>
                <w:szCs w:val="28"/>
              </w:rPr>
              <w:t xml:space="preserve"> ministrijā tika</w:t>
            </w:r>
            <w:r w:rsidR="00D94231">
              <w:rPr>
                <w:sz w:val="28"/>
                <w:szCs w:val="28"/>
              </w:rPr>
              <w:t xml:space="preserve"> reorganizēts</w:t>
            </w:r>
            <w:r w:rsidR="00483379" w:rsidRPr="00483379">
              <w:rPr>
                <w:sz w:val="28"/>
                <w:szCs w:val="28"/>
              </w:rPr>
              <w:t xml:space="preserve"> Informātikas un sakaru </w:t>
            </w:r>
            <w:r w:rsidR="00D94231">
              <w:rPr>
                <w:sz w:val="28"/>
                <w:szCs w:val="28"/>
              </w:rPr>
              <w:t>departaments, daļa no kura</w:t>
            </w:r>
            <w:r w:rsidR="00483379" w:rsidRPr="00483379">
              <w:rPr>
                <w:sz w:val="28"/>
                <w:szCs w:val="28"/>
              </w:rPr>
              <w:t xml:space="preserve"> funkcijām tiek nodota </w:t>
            </w:r>
            <w:proofErr w:type="spellStart"/>
            <w:r w:rsidR="00483379" w:rsidRPr="00483379">
              <w:rPr>
                <w:sz w:val="28"/>
                <w:szCs w:val="28"/>
              </w:rPr>
              <w:t>Iekšlietu</w:t>
            </w:r>
            <w:proofErr w:type="spellEnd"/>
            <w:r w:rsidR="00483379" w:rsidRPr="00483379">
              <w:rPr>
                <w:sz w:val="28"/>
                <w:szCs w:val="28"/>
              </w:rPr>
              <w:t xml:space="preserve"> m</w:t>
            </w:r>
            <w:r w:rsidR="00483379">
              <w:rPr>
                <w:sz w:val="28"/>
                <w:szCs w:val="28"/>
              </w:rPr>
              <w:t xml:space="preserve">inistrijas Informācijas centram, saskaņā ar </w:t>
            </w:r>
            <w:proofErr w:type="spellStart"/>
            <w:r w:rsidR="00483379" w:rsidRPr="00483379">
              <w:rPr>
                <w:sz w:val="28"/>
                <w:szCs w:val="28"/>
              </w:rPr>
              <w:t>Iekšlietu</w:t>
            </w:r>
            <w:proofErr w:type="spellEnd"/>
            <w:r w:rsidR="00483379" w:rsidRPr="00483379">
              <w:rPr>
                <w:sz w:val="28"/>
                <w:szCs w:val="28"/>
              </w:rPr>
              <w:t xml:space="preserve"> ministrija</w:t>
            </w:r>
            <w:r w:rsidR="00483379">
              <w:rPr>
                <w:sz w:val="28"/>
                <w:szCs w:val="28"/>
              </w:rPr>
              <w:t>s 2009.gada 30.novembra rīkojumu</w:t>
            </w:r>
            <w:r w:rsidR="00483379" w:rsidRPr="00483379">
              <w:rPr>
                <w:sz w:val="28"/>
                <w:szCs w:val="28"/>
              </w:rPr>
              <w:t xml:space="preserve"> Nr.2559 „Par </w:t>
            </w:r>
            <w:proofErr w:type="spellStart"/>
            <w:r w:rsidR="00483379" w:rsidRPr="00483379">
              <w:rPr>
                <w:sz w:val="28"/>
                <w:szCs w:val="28"/>
              </w:rPr>
              <w:t>Iekšlietu</w:t>
            </w:r>
            <w:proofErr w:type="spellEnd"/>
            <w:r w:rsidR="00483379" w:rsidRPr="00483379">
              <w:rPr>
                <w:sz w:val="28"/>
                <w:szCs w:val="28"/>
              </w:rPr>
              <w:t xml:space="preserve"> ministrijas struktūrvienības reorganizāciju un funkciju pārdali”.</w:t>
            </w:r>
            <w:r w:rsidR="0031321F">
              <w:rPr>
                <w:color w:val="000000"/>
                <w:sz w:val="28"/>
                <w:szCs w:val="28"/>
                <w:shd w:val="clear" w:color="auto" w:fill="FFFFFF"/>
              </w:rPr>
              <w:t xml:space="preserve"> Šobrīd </w:t>
            </w:r>
            <w:proofErr w:type="spellStart"/>
            <w:r w:rsidR="0031321F">
              <w:rPr>
                <w:color w:val="000000"/>
                <w:sz w:val="28"/>
                <w:szCs w:val="28"/>
                <w:shd w:val="clear" w:color="auto" w:fill="FFFFFF"/>
              </w:rPr>
              <w:t>Iekšlietu</w:t>
            </w:r>
            <w:proofErr w:type="spellEnd"/>
            <w:r w:rsidR="0031321F">
              <w:rPr>
                <w:color w:val="000000"/>
                <w:sz w:val="28"/>
                <w:szCs w:val="28"/>
                <w:shd w:val="clear" w:color="auto" w:fill="FFFFFF"/>
              </w:rPr>
              <w:t xml:space="preserve"> ministrijas Informācijas centrs turpina pildīt pārņemtās funkcijas un uzdevumus.</w:t>
            </w:r>
          </w:p>
          <w:p w14:paraId="63D21AA8" w14:textId="10BC96CD" w:rsidR="00B55B58" w:rsidRPr="00B55B58" w:rsidRDefault="00B55B58" w:rsidP="00052199">
            <w:pPr>
              <w:pStyle w:val="naislab"/>
              <w:numPr>
                <w:ilvl w:val="0"/>
                <w:numId w:val="13"/>
              </w:numPr>
              <w:spacing w:before="0" w:after="0"/>
              <w:jc w:val="both"/>
              <w:rPr>
                <w:bCs/>
                <w:color w:val="000000"/>
                <w:sz w:val="28"/>
                <w:szCs w:val="28"/>
              </w:rPr>
            </w:pPr>
            <w:r>
              <w:rPr>
                <w:bCs/>
                <w:color w:val="000000"/>
                <w:sz w:val="28"/>
                <w:szCs w:val="28"/>
              </w:rPr>
              <w:lastRenderedPageBreak/>
              <w:t xml:space="preserve">2013.gadā </w:t>
            </w:r>
            <w:r>
              <w:rPr>
                <w:sz w:val="28"/>
                <w:szCs w:val="28"/>
              </w:rPr>
              <w:t>Ministru kabineta 2004.gada 8.jūnija noteikumi Nr.526 “</w:t>
            </w:r>
            <w:proofErr w:type="spellStart"/>
            <w:r>
              <w:rPr>
                <w:sz w:val="28"/>
                <w:szCs w:val="28"/>
              </w:rPr>
              <w:t>Iekšlietu</w:t>
            </w:r>
            <w:proofErr w:type="spellEnd"/>
            <w:r>
              <w:rPr>
                <w:sz w:val="28"/>
                <w:szCs w:val="28"/>
              </w:rPr>
              <w:t xml:space="preserve"> ministrijas Informācijas centra nolikums” </w:t>
            </w:r>
            <w:r w:rsidR="00BD45E6">
              <w:rPr>
                <w:sz w:val="28"/>
                <w:szCs w:val="28"/>
              </w:rPr>
              <w:t>tika grozīti</w:t>
            </w:r>
            <w:r>
              <w:rPr>
                <w:sz w:val="28"/>
                <w:szCs w:val="28"/>
              </w:rPr>
              <w:t>, paplašinot</w:t>
            </w:r>
            <w:r w:rsidR="008818C8">
              <w:rPr>
                <w:sz w:val="28"/>
                <w:szCs w:val="28"/>
              </w:rPr>
              <w:t xml:space="preserve"> </w:t>
            </w:r>
            <w:proofErr w:type="spellStart"/>
            <w:r w:rsidR="008818C8">
              <w:rPr>
                <w:sz w:val="28"/>
                <w:szCs w:val="28"/>
              </w:rPr>
              <w:t>Iekšlietu</w:t>
            </w:r>
            <w:proofErr w:type="spellEnd"/>
            <w:r w:rsidR="008818C8">
              <w:rPr>
                <w:sz w:val="28"/>
                <w:szCs w:val="28"/>
              </w:rPr>
              <w:t xml:space="preserve"> ministrijas Informācijas c</w:t>
            </w:r>
            <w:r>
              <w:rPr>
                <w:sz w:val="28"/>
                <w:szCs w:val="28"/>
              </w:rPr>
              <w:t>entra uzdevumus</w:t>
            </w:r>
            <w:r w:rsidR="00BD45E6">
              <w:rPr>
                <w:sz w:val="28"/>
                <w:szCs w:val="28"/>
              </w:rPr>
              <w:t xml:space="preserve"> un</w:t>
            </w:r>
            <w:r>
              <w:rPr>
                <w:sz w:val="28"/>
                <w:szCs w:val="28"/>
              </w:rPr>
              <w:t xml:space="preserve"> </w:t>
            </w:r>
            <w:r w:rsidRPr="00B55B58">
              <w:rPr>
                <w:sz w:val="28"/>
                <w:szCs w:val="28"/>
              </w:rPr>
              <w:t>papildinot to</w:t>
            </w:r>
            <w:r w:rsidR="00BD45E6">
              <w:rPr>
                <w:sz w:val="28"/>
                <w:szCs w:val="28"/>
              </w:rPr>
              <w:t>s</w:t>
            </w:r>
            <w:r w:rsidRPr="00B55B58">
              <w:rPr>
                <w:sz w:val="28"/>
                <w:szCs w:val="28"/>
              </w:rPr>
              <w:t xml:space="preserve"> ar jaunu uzdevumu</w:t>
            </w:r>
            <w:r w:rsidR="008818C8">
              <w:rPr>
                <w:sz w:val="28"/>
                <w:szCs w:val="28"/>
              </w:rPr>
              <w:t xml:space="preserve">, lai </w:t>
            </w:r>
            <w:proofErr w:type="spellStart"/>
            <w:r w:rsidR="008818C8">
              <w:rPr>
                <w:sz w:val="28"/>
                <w:szCs w:val="28"/>
              </w:rPr>
              <w:t>Iekšlietu</w:t>
            </w:r>
            <w:proofErr w:type="spellEnd"/>
            <w:r w:rsidR="008818C8">
              <w:rPr>
                <w:sz w:val="28"/>
                <w:szCs w:val="28"/>
              </w:rPr>
              <w:t xml:space="preserve"> ministrijas Inform</w:t>
            </w:r>
            <w:r w:rsidR="00BD45E6">
              <w:rPr>
                <w:sz w:val="28"/>
                <w:szCs w:val="28"/>
              </w:rPr>
              <w:t>ācijas centrs</w:t>
            </w:r>
            <w:r w:rsidR="008818C8">
              <w:rPr>
                <w:sz w:val="28"/>
                <w:szCs w:val="28"/>
              </w:rPr>
              <w:t xml:space="preserve"> varētu</w:t>
            </w:r>
            <w:r w:rsidRPr="00B55B58">
              <w:rPr>
                <w:sz w:val="28"/>
                <w:szCs w:val="28"/>
              </w:rPr>
              <w:t xml:space="preserve"> nodrošināt iespēju valsts un pašvaldības iestādēm, kā arī kritiskās infrastruktūras objekt</w:t>
            </w:r>
            <w:r w:rsidR="008F43CF">
              <w:rPr>
                <w:sz w:val="28"/>
                <w:szCs w:val="28"/>
              </w:rPr>
              <w:t>u īpašniekiem un tiesiskajiem valdītājiem</w:t>
            </w:r>
            <w:r w:rsidRPr="00B55B58">
              <w:rPr>
                <w:sz w:val="28"/>
                <w:szCs w:val="28"/>
              </w:rPr>
              <w:t xml:space="preserve"> izmantot </w:t>
            </w:r>
            <w:proofErr w:type="spellStart"/>
            <w:r>
              <w:rPr>
                <w:sz w:val="28"/>
                <w:szCs w:val="28"/>
              </w:rPr>
              <w:t>Iekšlietu</w:t>
            </w:r>
            <w:proofErr w:type="spellEnd"/>
            <w:r>
              <w:rPr>
                <w:sz w:val="28"/>
                <w:szCs w:val="28"/>
              </w:rPr>
              <w:t xml:space="preserve"> </w:t>
            </w:r>
            <w:r w:rsidRPr="00B55B58">
              <w:rPr>
                <w:sz w:val="28"/>
                <w:szCs w:val="28"/>
              </w:rPr>
              <w:t>ministrijas radiosakaru sistēmu valsts drošības un sabiedriskās drošības un kārtības apdraudējuma un ārkārtas situāciju novēršanai</w:t>
            </w:r>
            <w:r>
              <w:rPr>
                <w:sz w:val="28"/>
                <w:szCs w:val="28"/>
              </w:rPr>
              <w:t>.</w:t>
            </w:r>
          </w:p>
          <w:p w14:paraId="31BFB222" w14:textId="03287AD6" w:rsidR="00C96549" w:rsidRPr="00545B29" w:rsidRDefault="00B55B58" w:rsidP="00B55B58">
            <w:pPr>
              <w:pStyle w:val="naislab"/>
              <w:spacing w:before="0" w:after="0"/>
              <w:jc w:val="both"/>
              <w:rPr>
                <w:bCs/>
                <w:color w:val="000000"/>
                <w:sz w:val="28"/>
                <w:szCs w:val="28"/>
              </w:rPr>
            </w:pPr>
            <w:r>
              <w:rPr>
                <w:color w:val="000000"/>
                <w:sz w:val="28"/>
                <w:szCs w:val="28"/>
                <w:shd w:val="clear" w:color="auto" w:fill="FFFFFF"/>
              </w:rPr>
              <w:t>2009</w:t>
            </w:r>
            <w:r w:rsidR="00C96549">
              <w:rPr>
                <w:color w:val="000000"/>
                <w:sz w:val="28"/>
                <w:szCs w:val="28"/>
                <w:shd w:val="clear" w:color="auto" w:fill="FFFFFF"/>
              </w:rPr>
              <w:t xml:space="preserve">.gadā pēc </w:t>
            </w:r>
            <w:proofErr w:type="spellStart"/>
            <w:r w:rsidR="00C96549">
              <w:rPr>
                <w:color w:val="000000"/>
                <w:sz w:val="28"/>
                <w:szCs w:val="28"/>
                <w:shd w:val="clear" w:color="auto" w:fill="FFFFFF"/>
              </w:rPr>
              <w:t>Iekšlietu</w:t>
            </w:r>
            <w:proofErr w:type="spellEnd"/>
            <w:r w:rsidR="00C96549">
              <w:rPr>
                <w:color w:val="000000"/>
                <w:sz w:val="28"/>
                <w:szCs w:val="28"/>
                <w:shd w:val="clear" w:color="auto" w:fill="FFFFFF"/>
              </w:rPr>
              <w:t xml:space="preserve"> ministrijas informācijas un komunikācijas tehnoloģiju centralizācijas pasākum</w:t>
            </w:r>
            <w:r w:rsidR="00EC7BD2">
              <w:rPr>
                <w:color w:val="000000"/>
                <w:sz w:val="28"/>
                <w:szCs w:val="28"/>
                <w:shd w:val="clear" w:color="auto" w:fill="FFFFFF"/>
              </w:rPr>
              <w:t>u uzsākšanas</w:t>
            </w:r>
            <w:r>
              <w:rPr>
                <w:color w:val="000000"/>
                <w:sz w:val="28"/>
                <w:szCs w:val="28"/>
                <w:shd w:val="clear" w:color="auto" w:fill="FFFFFF"/>
              </w:rPr>
              <w:t xml:space="preserve">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ministrijā un tās padotībā esošajās iestādēs, lai nodrošinātu </w:t>
            </w:r>
            <w:r w:rsidRPr="00142CE4">
              <w:rPr>
                <w:sz w:val="28"/>
                <w:szCs w:val="28"/>
              </w:rPr>
              <w:t>vienotu, vienveidīgu un ekonomiski izdevīgāku un efektīvāku</w:t>
            </w:r>
            <w:r>
              <w:rPr>
                <w:sz w:val="28"/>
                <w:szCs w:val="28"/>
              </w:rPr>
              <w:t xml:space="preserve"> informācijas un komunikāciju tehnoloģiju</w:t>
            </w:r>
            <w:r w:rsidRPr="00142CE4">
              <w:rPr>
                <w:sz w:val="28"/>
                <w:szCs w:val="28"/>
              </w:rPr>
              <w:t xml:space="preserve"> uzturēšanu un attīstības plānošanu</w:t>
            </w:r>
            <w:r>
              <w:rPr>
                <w:sz w:val="28"/>
                <w:szCs w:val="28"/>
              </w:rPr>
              <w:t xml:space="preserve">, </w:t>
            </w:r>
            <w:r w:rsidR="00D062ED">
              <w:rPr>
                <w:sz w:val="28"/>
                <w:szCs w:val="28"/>
              </w:rPr>
              <w:t xml:space="preserve">2015.gadā </w:t>
            </w:r>
            <w:r>
              <w:rPr>
                <w:sz w:val="28"/>
                <w:szCs w:val="28"/>
              </w:rPr>
              <w:t xml:space="preserve">ir pabeigti centralizācijas pasākumi </w:t>
            </w:r>
            <w:proofErr w:type="spellStart"/>
            <w:r>
              <w:rPr>
                <w:sz w:val="28"/>
                <w:szCs w:val="28"/>
              </w:rPr>
              <w:t>Iekšlietu</w:t>
            </w:r>
            <w:proofErr w:type="spellEnd"/>
            <w:r>
              <w:rPr>
                <w:sz w:val="28"/>
                <w:szCs w:val="28"/>
              </w:rPr>
              <w:t xml:space="preserve"> ministrijā un tās padotībā esošajās iestādēs</w:t>
            </w:r>
            <w:r w:rsidR="00EC7BD2">
              <w:rPr>
                <w:color w:val="000000"/>
                <w:sz w:val="28"/>
                <w:szCs w:val="28"/>
                <w:shd w:val="clear" w:color="auto" w:fill="FFFFFF"/>
              </w:rPr>
              <w:t xml:space="preserve">. </w:t>
            </w:r>
            <w:r>
              <w:rPr>
                <w:color w:val="000000"/>
                <w:sz w:val="28"/>
                <w:szCs w:val="28"/>
                <w:shd w:val="clear" w:color="auto" w:fill="FFFFFF"/>
              </w:rPr>
              <w:t>Par cik 2009.gadā</w:t>
            </w:r>
            <w:r w:rsidR="00C96549">
              <w:rPr>
                <w:color w:val="000000"/>
                <w:sz w:val="28"/>
                <w:szCs w:val="28"/>
                <w:shd w:val="clear" w:color="auto" w:fill="FFFFFF"/>
              </w:rPr>
              <w:t xml:space="preserve"> </w:t>
            </w:r>
            <w:r w:rsidR="00EC7BD2">
              <w:rPr>
                <w:color w:val="000000"/>
                <w:sz w:val="28"/>
                <w:szCs w:val="28"/>
                <w:shd w:val="clear" w:color="auto" w:fill="FFFFFF"/>
              </w:rPr>
              <w:t>informācijas un komunikācijas tehnoloģiju</w:t>
            </w:r>
            <w:r w:rsidR="00C96549">
              <w:rPr>
                <w:color w:val="000000"/>
                <w:sz w:val="28"/>
                <w:szCs w:val="28"/>
                <w:shd w:val="clear" w:color="auto" w:fill="FFFFFF"/>
              </w:rPr>
              <w:t xml:space="preserve"> centralizācijas pasākumi</w:t>
            </w:r>
            <w:r w:rsidR="00EC7BD2">
              <w:rPr>
                <w:color w:val="000000"/>
                <w:sz w:val="28"/>
                <w:szCs w:val="28"/>
                <w:shd w:val="clear" w:color="auto" w:fill="FFFFFF"/>
              </w:rPr>
              <w:t xml:space="preserve"> vēl nebija faktiski noslēgušies</w:t>
            </w:r>
            <w:r w:rsidR="00D062ED">
              <w:rPr>
                <w:color w:val="000000"/>
                <w:sz w:val="28"/>
                <w:szCs w:val="28"/>
                <w:shd w:val="clear" w:color="auto" w:fill="FFFFFF"/>
              </w:rPr>
              <w:t>, atsevišķ</w:t>
            </w:r>
            <w:r>
              <w:rPr>
                <w:color w:val="000000"/>
                <w:sz w:val="28"/>
                <w:szCs w:val="28"/>
                <w:shd w:val="clear" w:color="auto" w:fill="FFFFFF"/>
              </w:rPr>
              <w:t>i</w:t>
            </w:r>
            <w:r w:rsidR="00C96549">
              <w:rPr>
                <w:color w:val="000000"/>
                <w:sz w:val="28"/>
                <w:szCs w:val="28"/>
                <w:shd w:val="clear" w:color="auto" w:fill="FFFFFF"/>
              </w:rPr>
              <w:t xml:space="preserve"> </w:t>
            </w:r>
            <w:r w:rsidR="00EC7BD2">
              <w:rPr>
                <w:color w:val="000000"/>
                <w:sz w:val="28"/>
                <w:szCs w:val="28"/>
                <w:shd w:val="clear" w:color="auto" w:fill="FFFFFF"/>
              </w:rPr>
              <w:t>pārņemtie uzdevumi</w:t>
            </w:r>
            <w:r w:rsidR="00C96549">
              <w:rPr>
                <w:color w:val="000000"/>
                <w:sz w:val="28"/>
                <w:szCs w:val="28"/>
                <w:shd w:val="clear" w:color="auto" w:fill="FFFFFF"/>
              </w:rPr>
              <w:t xml:space="preserve"> tā arī netika nostiprināt</w:t>
            </w:r>
            <w:r w:rsidR="00EC7BD2">
              <w:rPr>
                <w:color w:val="000000"/>
                <w:sz w:val="28"/>
                <w:szCs w:val="28"/>
                <w:shd w:val="clear" w:color="auto" w:fill="FFFFFF"/>
              </w:rPr>
              <w:t xml:space="preserve">i </w:t>
            </w:r>
            <w:r>
              <w:rPr>
                <w:color w:val="000000"/>
                <w:sz w:val="28"/>
                <w:szCs w:val="28"/>
                <w:shd w:val="clear" w:color="auto" w:fill="FFFFFF"/>
              </w:rPr>
              <w:t>Ministru kabineta</w:t>
            </w:r>
            <w:r w:rsidR="00C96549">
              <w:rPr>
                <w:color w:val="000000"/>
                <w:sz w:val="28"/>
                <w:szCs w:val="28"/>
                <w:shd w:val="clear" w:color="auto" w:fill="FFFFFF"/>
              </w:rPr>
              <w:t xml:space="preserve"> </w:t>
            </w:r>
            <w:r>
              <w:rPr>
                <w:sz w:val="28"/>
                <w:szCs w:val="28"/>
              </w:rPr>
              <w:t>2004.gada 8.jūnija noteikumos</w:t>
            </w:r>
            <w:r w:rsidR="00EC7BD2">
              <w:rPr>
                <w:sz w:val="28"/>
                <w:szCs w:val="28"/>
              </w:rPr>
              <w:t xml:space="preserve"> Nr.526 “</w:t>
            </w:r>
            <w:proofErr w:type="spellStart"/>
            <w:r w:rsidR="00EC7BD2">
              <w:rPr>
                <w:sz w:val="28"/>
                <w:szCs w:val="28"/>
              </w:rPr>
              <w:t>Iekšlietu</w:t>
            </w:r>
            <w:proofErr w:type="spellEnd"/>
            <w:r w:rsidR="00EC7BD2">
              <w:rPr>
                <w:sz w:val="28"/>
                <w:szCs w:val="28"/>
              </w:rPr>
              <w:t xml:space="preserve"> ministrijas Informācijas centra nolikums”</w:t>
            </w:r>
            <w:r w:rsidR="00EC7BD2">
              <w:rPr>
                <w:color w:val="000000"/>
                <w:sz w:val="28"/>
                <w:szCs w:val="28"/>
                <w:shd w:val="clear" w:color="auto" w:fill="FFFFFF"/>
              </w:rPr>
              <w:t>.</w:t>
            </w:r>
            <w:r w:rsidR="00C96549">
              <w:rPr>
                <w:color w:val="000000"/>
                <w:sz w:val="28"/>
                <w:szCs w:val="28"/>
                <w:shd w:val="clear" w:color="auto" w:fill="FFFFFF"/>
              </w:rPr>
              <w:t xml:space="preserve"> </w:t>
            </w:r>
            <w:r w:rsidR="00EC7BD2">
              <w:rPr>
                <w:color w:val="000000"/>
                <w:sz w:val="28"/>
                <w:szCs w:val="28"/>
                <w:shd w:val="clear" w:color="auto" w:fill="FFFFFF"/>
              </w:rPr>
              <w:t>Š</w:t>
            </w:r>
            <w:r w:rsidR="00C96549">
              <w:rPr>
                <w:color w:val="000000"/>
                <w:sz w:val="28"/>
                <w:szCs w:val="28"/>
                <w:shd w:val="clear" w:color="auto" w:fill="FFFFFF"/>
              </w:rPr>
              <w:t xml:space="preserve">obrīd ir nepieciešama </w:t>
            </w:r>
            <w:r w:rsidR="00EC7BD2">
              <w:rPr>
                <w:color w:val="000000"/>
                <w:sz w:val="28"/>
                <w:szCs w:val="28"/>
                <w:shd w:val="clear" w:color="auto" w:fill="FFFFFF"/>
              </w:rPr>
              <w:t>pārņemto informācijas un komunikācijas tehnoloģiju</w:t>
            </w:r>
            <w:r w:rsidR="00D062ED">
              <w:rPr>
                <w:color w:val="000000"/>
                <w:sz w:val="28"/>
                <w:szCs w:val="28"/>
                <w:shd w:val="clear" w:color="auto" w:fill="FFFFFF"/>
              </w:rPr>
              <w:t xml:space="preserve"> uzdevumu</w:t>
            </w:r>
            <w:r w:rsidR="00EC7BD2">
              <w:rPr>
                <w:color w:val="000000"/>
                <w:sz w:val="28"/>
                <w:szCs w:val="28"/>
                <w:shd w:val="clear" w:color="auto" w:fill="FFFFFF"/>
              </w:rPr>
              <w:t xml:space="preserve"> </w:t>
            </w:r>
            <w:r w:rsidR="00C96549">
              <w:rPr>
                <w:color w:val="000000"/>
                <w:sz w:val="28"/>
                <w:szCs w:val="28"/>
                <w:shd w:val="clear" w:color="auto" w:fill="FFFFFF"/>
              </w:rPr>
              <w:t xml:space="preserve">juridiska </w:t>
            </w:r>
            <w:r w:rsidR="00B47B1F">
              <w:rPr>
                <w:color w:val="000000"/>
                <w:sz w:val="28"/>
                <w:szCs w:val="28"/>
                <w:shd w:val="clear" w:color="auto" w:fill="FFFFFF"/>
              </w:rPr>
              <w:t xml:space="preserve">pārskatīšana un </w:t>
            </w:r>
            <w:r w:rsidR="00C96549">
              <w:rPr>
                <w:color w:val="000000"/>
                <w:sz w:val="28"/>
                <w:szCs w:val="28"/>
                <w:shd w:val="clear" w:color="auto" w:fill="FFFFFF"/>
              </w:rPr>
              <w:t>nostiprināšana ārējā normatīvajā aktā, atbilstoši faktiskajām</w:t>
            </w:r>
            <w:r w:rsidR="00EC7BD2">
              <w:rPr>
                <w:color w:val="000000"/>
                <w:sz w:val="28"/>
                <w:szCs w:val="28"/>
                <w:shd w:val="clear" w:color="auto" w:fill="FFFFFF"/>
              </w:rPr>
              <w:t xml:space="preserve"> </w:t>
            </w:r>
            <w:proofErr w:type="spellStart"/>
            <w:r w:rsidR="00EC7BD2">
              <w:rPr>
                <w:color w:val="000000"/>
                <w:sz w:val="28"/>
                <w:szCs w:val="28"/>
                <w:shd w:val="clear" w:color="auto" w:fill="FFFFFF"/>
              </w:rPr>
              <w:t>Iekšlietu</w:t>
            </w:r>
            <w:proofErr w:type="spellEnd"/>
            <w:r w:rsidR="00EC7BD2">
              <w:rPr>
                <w:color w:val="000000"/>
                <w:sz w:val="28"/>
                <w:szCs w:val="28"/>
                <w:shd w:val="clear" w:color="auto" w:fill="FFFFFF"/>
              </w:rPr>
              <w:t xml:space="preserve"> ministrijas Informācijas centra</w:t>
            </w:r>
            <w:r w:rsidR="00B47B1F">
              <w:rPr>
                <w:color w:val="000000"/>
                <w:sz w:val="28"/>
                <w:szCs w:val="28"/>
                <w:shd w:val="clear" w:color="auto" w:fill="FFFFFF"/>
              </w:rPr>
              <w:t xml:space="preserve">m deleģētajām </w:t>
            </w:r>
            <w:r w:rsidR="00C96549">
              <w:rPr>
                <w:color w:val="000000"/>
                <w:sz w:val="28"/>
                <w:szCs w:val="28"/>
                <w:shd w:val="clear" w:color="auto" w:fill="FFFFFF"/>
              </w:rPr>
              <w:t xml:space="preserve">funkcijām un uzdevumiem pēc informācijas un komunikācijas tehnoloģiju jomas centralizācijas </w:t>
            </w:r>
            <w:r>
              <w:rPr>
                <w:color w:val="000000"/>
                <w:sz w:val="28"/>
                <w:szCs w:val="28"/>
                <w:shd w:val="clear" w:color="auto" w:fill="FFFFFF"/>
              </w:rPr>
              <w:t xml:space="preserve">pasākumu </w:t>
            </w:r>
            <w:proofErr w:type="spellStart"/>
            <w:r w:rsidR="00EC7BD2">
              <w:rPr>
                <w:color w:val="000000"/>
                <w:sz w:val="28"/>
                <w:szCs w:val="28"/>
                <w:shd w:val="clear" w:color="auto" w:fill="FFFFFF"/>
              </w:rPr>
              <w:t>Iekšlietu</w:t>
            </w:r>
            <w:proofErr w:type="spellEnd"/>
            <w:r w:rsidR="00EC7BD2">
              <w:rPr>
                <w:color w:val="000000"/>
                <w:sz w:val="28"/>
                <w:szCs w:val="28"/>
                <w:shd w:val="clear" w:color="auto" w:fill="FFFFFF"/>
              </w:rPr>
              <w:t xml:space="preserve"> ministrijas padotībā esošajās iestādēs </w:t>
            </w:r>
            <w:r w:rsidR="00C96549">
              <w:rPr>
                <w:color w:val="000000"/>
                <w:sz w:val="28"/>
                <w:szCs w:val="28"/>
                <w:shd w:val="clear" w:color="auto" w:fill="FFFFFF"/>
              </w:rPr>
              <w:t>pabeigšanas.</w:t>
            </w:r>
          </w:p>
          <w:p w14:paraId="7AAEF214" w14:textId="6610F0D1" w:rsidR="00052199" w:rsidRDefault="009625B2" w:rsidP="009625B2">
            <w:pPr>
              <w:pStyle w:val="tv213limenis2"/>
              <w:spacing w:before="0" w:beforeAutospacing="0" w:after="0" w:afterAutospacing="0" w:line="293" w:lineRule="atLeast"/>
              <w:jc w:val="both"/>
              <w:rPr>
                <w:sz w:val="28"/>
                <w:szCs w:val="28"/>
              </w:rPr>
            </w:pPr>
            <w:r>
              <w:rPr>
                <w:sz w:val="28"/>
                <w:szCs w:val="28"/>
              </w:rPr>
              <w:t>Ministru kabineta noteikumu projekts “</w:t>
            </w:r>
            <w:proofErr w:type="spellStart"/>
            <w:r>
              <w:rPr>
                <w:sz w:val="28"/>
                <w:szCs w:val="28"/>
              </w:rPr>
              <w:t>Iekšlietu</w:t>
            </w:r>
            <w:proofErr w:type="spellEnd"/>
            <w:r>
              <w:rPr>
                <w:sz w:val="28"/>
                <w:szCs w:val="28"/>
              </w:rPr>
              <w:t xml:space="preserve"> ministrijas Informācijas centra nolikums” </w:t>
            </w:r>
            <w:r w:rsidR="00483379">
              <w:rPr>
                <w:sz w:val="28"/>
                <w:szCs w:val="28"/>
              </w:rPr>
              <w:t xml:space="preserve">paredz </w:t>
            </w:r>
            <w:r w:rsidR="002E0305">
              <w:rPr>
                <w:sz w:val="28"/>
                <w:szCs w:val="28"/>
              </w:rPr>
              <w:t xml:space="preserve">gan saglabāt esošās, gan </w:t>
            </w:r>
            <w:r w:rsidR="00483379">
              <w:rPr>
                <w:sz w:val="28"/>
                <w:szCs w:val="28"/>
              </w:rPr>
              <w:t>papildināt</w:t>
            </w:r>
            <w:r>
              <w:rPr>
                <w:sz w:val="28"/>
                <w:szCs w:val="28"/>
              </w:rPr>
              <w:t xml:space="preserve"> </w:t>
            </w:r>
            <w:proofErr w:type="spellStart"/>
            <w:r>
              <w:rPr>
                <w:sz w:val="28"/>
                <w:szCs w:val="28"/>
              </w:rPr>
              <w:t>Iekšlietu</w:t>
            </w:r>
            <w:proofErr w:type="spellEnd"/>
            <w:r>
              <w:rPr>
                <w:sz w:val="28"/>
                <w:szCs w:val="28"/>
              </w:rPr>
              <w:t xml:space="preserve"> ministrijas Informācijas centra funkcijas, nosakot, ka </w:t>
            </w:r>
            <w:proofErr w:type="spellStart"/>
            <w:r>
              <w:rPr>
                <w:sz w:val="28"/>
                <w:szCs w:val="28"/>
              </w:rPr>
              <w:t>Iekšlietu</w:t>
            </w:r>
            <w:proofErr w:type="spellEnd"/>
            <w:r>
              <w:rPr>
                <w:sz w:val="28"/>
                <w:szCs w:val="28"/>
              </w:rPr>
              <w:t xml:space="preserve"> ministrijas Informācijas centrs turpmāk</w:t>
            </w:r>
            <w:r w:rsidR="00483379">
              <w:rPr>
                <w:sz w:val="28"/>
                <w:szCs w:val="28"/>
              </w:rPr>
              <w:t>:</w:t>
            </w:r>
          </w:p>
          <w:p w14:paraId="71573EE0" w14:textId="3DF2ABE6" w:rsidR="002E0305" w:rsidRPr="00867942" w:rsidRDefault="002E0305"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lastRenderedPageBreak/>
              <w:t>organizē un vada</w:t>
            </w:r>
            <w:r w:rsidR="00052199" w:rsidRPr="00867942">
              <w:rPr>
                <w:b w:val="0"/>
                <w:i/>
                <w:sz w:val="28"/>
                <w:szCs w:val="28"/>
              </w:rPr>
              <w:t xml:space="preserve"> centra pārziņā eso</w:t>
            </w:r>
            <w:r w:rsidRPr="00867942">
              <w:rPr>
                <w:b w:val="0"/>
                <w:i/>
                <w:sz w:val="28"/>
                <w:szCs w:val="28"/>
              </w:rPr>
              <w:t xml:space="preserve">šo informācijas sistēmu darbību. </w:t>
            </w:r>
          </w:p>
          <w:p w14:paraId="45E5B6DD" w14:textId="77777777" w:rsidR="007F5CF9" w:rsidRDefault="003776BF" w:rsidP="002E0305">
            <w:pPr>
              <w:pStyle w:val="naisnod"/>
              <w:tabs>
                <w:tab w:val="left" w:pos="296"/>
              </w:tabs>
              <w:suppressAutoHyphens w:val="0"/>
              <w:spacing w:before="0" w:after="0"/>
              <w:ind w:left="13"/>
              <w:jc w:val="both"/>
              <w:rPr>
                <w:b w:val="0"/>
                <w:sz w:val="28"/>
                <w:szCs w:val="28"/>
              </w:rPr>
            </w:pPr>
            <w:r w:rsidRPr="00867942">
              <w:rPr>
                <w:b w:val="0"/>
                <w:sz w:val="28"/>
                <w:szCs w:val="28"/>
              </w:rPr>
              <w:t xml:space="preserve">Minēto funkciju </w:t>
            </w:r>
            <w:proofErr w:type="spellStart"/>
            <w:r w:rsidRPr="00867942">
              <w:rPr>
                <w:b w:val="0"/>
                <w:sz w:val="28"/>
                <w:szCs w:val="28"/>
              </w:rPr>
              <w:t>Iekšlietu</w:t>
            </w:r>
            <w:proofErr w:type="spellEnd"/>
            <w:r w:rsidRPr="00867942">
              <w:rPr>
                <w:b w:val="0"/>
                <w:sz w:val="28"/>
                <w:szCs w:val="28"/>
              </w:rPr>
              <w:t xml:space="preserve"> ministrijas Informācijas centrs realizēs izpildot Ministru kabineta noteikumu projekta “</w:t>
            </w:r>
            <w:proofErr w:type="spellStart"/>
            <w:r w:rsidRPr="00867942">
              <w:rPr>
                <w:b w:val="0"/>
                <w:sz w:val="28"/>
                <w:szCs w:val="28"/>
              </w:rPr>
              <w:t>Iekšlietu</w:t>
            </w:r>
            <w:proofErr w:type="spellEnd"/>
            <w:r w:rsidRPr="00867942">
              <w:rPr>
                <w:b w:val="0"/>
                <w:sz w:val="28"/>
                <w:szCs w:val="28"/>
              </w:rPr>
              <w:t xml:space="preserve"> ministrijas Informācijas centra nolikums” 4.1.,  4.2. un 4.3.apakšpunktā minētos uzdevumus. </w:t>
            </w:r>
            <w:r w:rsidR="002E0305" w:rsidRPr="00867942">
              <w:rPr>
                <w:b w:val="0"/>
                <w:sz w:val="28"/>
                <w:szCs w:val="28"/>
              </w:rPr>
              <w:t>Funkcija ir saglabāta atbilstoši spēkā esošo Ministru kabineta 2004.gada 8.jūnija noteikumu Nr.526 “</w:t>
            </w:r>
            <w:proofErr w:type="spellStart"/>
            <w:r w:rsidR="002E0305" w:rsidRPr="00867942">
              <w:rPr>
                <w:b w:val="0"/>
                <w:sz w:val="28"/>
                <w:szCs w:val="28"/>
              </w:rPr>
              <w:t>Iekšlietu</w:t>
            </w:r>
            <w:proofErr w:type="spellEnd"/>
            <w:r w:rsidR="002E0305" w:rsidRPr="00867942">
              <w:rPr>
                <w:b w:val="0"/>
                <w:sz w:val="28"/>
                <w:szCs w:val="28"/>
              </w:rPr>
              <w:t xml:space="preserve"> ministrijas Informācijas centra nolikums” 3.1.apakšpunktā noteiktaj</w:t>
            </w:r>
            <w:r w:rsidR="00E851F9" w:rsidRPr="00867942">
              <w:rPr>
                <w:b w:val="0"/>
                <w:sz w:val="28"/>
                <w:szCs w:val="28"/>
              </w:rPr>
              <w:t>ai</w:t>
            </w:r>
            <w:r w:rsidR="002E0305" w:rsidRPr="00867942">
              <w:rPr>
                <w:b w:val="0"/>
                <w:sz w:val="28"/>
                <w:szCs w:val="28"/>
              </w:rPr>
              <w:t xml:space="preserve"> redakcij</w:t>
            </w:r>
            <w:r w:rsidR="00E851F9" w:rsidRPr="00867942">
              <w:rPr>
                <w:b w:val="0"/>
                <w:sz w:val="28"/>
                <w:szCs w:val="28"/>
              </w:rPr>
              <w:t>ai</w:t>
            </w:r>
            <w:r w:rsidRPr="00867942">
              <w:rPr>
                <w:b w:val="0"/>
                <w:sz w:val="28"/>
                <w:szCs w:val="28"/>
              </w:rPr>
              <w:t xml:space="preserve">. </w:t>
            </w:r>
          </w:p>
          <w:p w14:paraId="44F06514" w14:textId="3564205E" w:rsidR="002E0305" w:rsidRPr="00867942" w:rsidRDefault="00750F19" w:rsidP="002E0305">
            <w:pPr>
              <w:pStyle w:val="naisnod"/>
              <w:tabs>
                <w:tab w:val="left" w:pos="296"/>
              </w:tabs>
              <w:suppressAutoHyphens w:val="0"/>
              <w:spacing w:before="0" w:after="0"/>
              <w:ind w:left="13"/>
              <w:jc w:val="both"/>
              <w:rPr>
                <w:b w:val="0"/>
                <w:sz w:val="28"/>
                <w:szCs w:val="28"/>
              </w:rPr>
            </w:pPr>
            <w:r w:rsidRPr="00754347">
              <w:rPr>
                <w:b w:val="0"/>
                <w:sz w:val="28"/>
                <w:szCs w:val="28"/>
              </w:rPr>
              <w:t>Ministru kabineta noteikumu projekta “</w:t>
            </w:r>
            <w:proofErr w:type="spellStart"/>
            <w:r w:rsidRPr="00754347">
              <w:rPr>
                <w:b w:val="0"/>
                <w:sz w:val="28"/>
                <w:szCs w:val="28"/>
              </w:rPr>
              <w:t>Iekšlietu</w:t>
            </w:r>
            <w:proofErr w:type="spellEnd"/>
            <w:r w:rsidRPr="00754347">
              <w:rPr>
                <w:b w:val="0"/>
                <w:sz w:val="28"/>
                <w:szCs w:val="28"/>
              </w:rPr>
              <w:t xml:space="preserve"> ministrijas Informācijas centra nolikums” 4.1.apakšpunktā ir </w:t>
            </w:r>
            <w:r w:rsidR="00616C2F" w:rsidRPr="00754347">
              <w:rPr>
                <w:b w:val="0"/>
                <w:sz w:val="28"/>
                <w:szCs w:val="28"/>
              </w:rPr>
              <w:t xml:space="preserve">aizstāts vārds “veido” ar “uztur”, paplašinot </w:t>
            </w:r>
            <w:proofErr w:type="spellStart"/>
            <w:r w:rsidR="00616C2F" w:rsidRPr="00754347">
              <w:rPr>
                <w:b w:val="0"/>
                <w:sz w:val="28"/>
                <w:szCs w:val="28"/>
              </w:rPr>
              <w:t>Iekšlietu</w:t>
            </w:r>
            <w:proofErr w:type="spellEnd"/>
            <w:r w:rsidR="00616C2F" w:rsidRPr="00754347">
              <w:rPr>
                <w:b w:val="0"/>
                <w:sz w:val="28"/>
                <w:szCs w:val="28"/>
              </w:rPr>
              <w:t xml:space="preserve"> ministrijas Informācijas centra veicamā uzdevuma saturu. Proti, </w:t>
            </w:r>
            <w:proofErr w:type="spellStart"/>
            <w:r w:rsidR="00616C2F" w:rsidRPr="00754347">
              <w:rPr>
                <w:b w:val="0"/>
                <w:sz w:val="28"/>
                <w:szCs w:val="28"/>
              </w:rPr>
              <w:t>Iekšlietu</w:t>
            </w:r>
            <w:proofErr w:type="spellEnd"/>
            <w:r w:rsidR="00616C2F" w:rsidRPr="00754347">
              <w:rPr>
                <w:b w:val="0"/>
                <w:sz w:val="28"/>
                <w:szCs w:val="28"/>
              </w:rPr>
              <w:t xml:space="preserve"> ministrijas Informācijas centrā</w:t>
            </w:r>
            <w:r w:rsidR="007F5CF9" w:rsidRPr="00754347">
              <w:rPr>
                <w:b w:val="0"/>
                <w:sz w:val="28"/>
                <w:szCs w:val="28"/>
              </w:rPr>
              <w:t xml:space="preserve"> pēc iestādes struktūras reorganizācijas 2016.gada martā,</w:t>
            </w:r>
            <w:r w:rsidR="00616C2F" w:rsidRPr="00754347">
              <w:rPr>
                <w:b w:val="0"/>
                <w:sz w:val="28"/>
                <w:szCs w:val="28"/>
              </w:rPr>
              <w:t xml:space="preserve"> vairs nav</w:t>
            </w:r>
            <w:r w:rsidR="007F5CF9" w:rsidRPr="00754347">
              <w:rPr>
                <w:b w:val="0"/>
                <w:sz w:val="28"/>
                <w:szCs w:val="28"/>
              </w:rPr>
              <w:t xml:space="preserve"> struktūrvienības, kuras uzdevumos ietilpst šauri tikai </w:t>
            </w:r>
            <w:r w:rsidR="00616C2F" w:rsidRPr="00754347">
              <w:rPr>
                <w:b w:val="0"/>
                <w:sz w:val="28"/>
                <w:szCs w:val="28"/>
              </w:rPr>
              <w:t xml:space="preserve">programmēšanas </w:t>
            </w:r>
            <w:r w:rsidR="007F5CF9" w:rsidRPr="00754347">
              <w:rPr>
                <w:b w:val="0"/>
                <w:sz w:val="28"/>
                <w:szCs w:val="28"/>
              </w:rPr>
              <w:t>uzdevums -</w:t>
            </w:r>
            <w:r w:rsidR="00616C2F" w:rsidRPr="00754347">
              <w:rPr>
                <w:b w:val="0"/>
                <w:sz w:val="28"/>
                <w:szCs w:val="28"/>
              </w:rPr>
              <w:t xml:space="preserve"> veido</w:t>
            </w:r>
            <w:r w:rsidR="007F5CF9" w:rsidRPr="00754347">
              <w:rPr>
                <w:b w:val="0"/>
                <w:sz w:val="28"/>
                <w:szCs w:val="28"/>
              </w:rPr>
              <w:t>t</w:t>
            </w:r>
            <w:r w:rsidR="00616C2F" w:rsidRPr="00754347">
              <w:rPr>
                <w:b w:val="0"/>
                <w:sz w:val="28"/>
                <w:szCs w:val="28"/>
              </w:rPr>
              <w:t xml:space="preserve"> programmnodrošinājumu, bet</w:t>
            </w:r>
            <w:r w:rsidR="007F5CF9" w:rsidRPr="00754347">
              <w:rPr>
                <w:b w:val="0"/>
                <w:sz w:val="28"/>
                <w:szCs w:val="28"/>
              </w:rPr>
              <w:t xml:space="preserve"> šobrīd</w:t>
            </w:r>
            <w:r w:rsidR="00616C2F" w:rsidRPr="00754347">
              <w:rPr>
                <w:b w:val="0"/>
                <w:sz w:val="28"/>
                <w:szCs w:val="28"/>
              </w:rPr>
              <w:t xml:space="preserve"> </w:t>
            </w:r>
            <w:r w:rsidR="007F5CF9" w:rsidRPr="00754347">
              <w:rPr>
                <w:b w:val="0"/>
                <w:sz w:val="28"/>
                <w:szCs w:val="28"/>
              </w:rPr>
              <w:t>struktūrvienība nodrošina arī</w:t>
            </w:r>
            <w:r w:rsidR="00616C2F" w:rsidRPr="00754347">
              <w:rPr>
                <w:b w:val="0"/>
                <w:sz w:val="28"/>
                <w:szCs w:val="28"/>
              </w:rPr>
              <w:t xml:space="preserve"> programmnodrošinājuma uzturēšanu pēc tā iegādes ārpakalpojumā atbilstoši normatīvo aktu prasībām</w:t>
            </w:r>
            <w:r w:rsidR="00D01F83" w:rsidRPr="00754347">
              <w:rPr>
                <w:b w:val="0"/>
                <w:sz w:val="28"/>
                <w:szCs w:val="28"/>
              </w:rPr>
              <w:t>. Gramatiski v</w:t>
            </w:r>
            <w:r w:rsidR="00616C2F" w:rsidRPr="00754347">
              <w:rPr>
                <w:b w:val="0"/>
                <w:sz w:val="28"/>
                <w:szCs w:val="28"/>
              </w:rPr>
              <w:t>ārds “uztur” izvēlēts, jo ietver sevī arī veidošanu, labošanu un citas nepieciešamās darbības, lai nodrošinātu programmnodrošinājumu.</w:t>
            </w:r>
            <w:r w:rsidRPr="00754347">
              <w:rPr>
                <w:b w:val="0"/>
                <w:sz w:val="28"/>
                <w:szCs w:val="28"/>
              </w:rPr>
              <w:t xml:space="preserve"> </w:t>
            </w:r>
          </w:p>
          <w:p w14:paraId="6DB3A1BB" w14:textId="418F2C46" w:rsidR="00052199" w:rsidRPr="00867942" w:rsidRDefault="00121D97"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t>uztur</w:t>
            </w:r>
            <w:r w:rsidR="00052199" w:rsidRPr="00867942">
              <w:rPr>
                <w:b w:val="0"/>
                <w:i/>
                <w:sz w:val="28"/>
                <w:szCs w:val="28"/>
              </w:rPr>
              <w:t xml:space="preserve"> to informācijas sistēmu funkcionalitāti un tehniskos resursus, kuru tehn</w:t>
            </w:r>
            <w:r w:rsidR="002E0305" w:rsidRPr="00867942">
              <w:rPr>
                <w:b w:val="0"/>
                <w:i/>
                <w:sz w:val="28"/>
                <w:szCs w:val="28"/>
              </w:rPr>
              <w:t>isko resursu turētājs ir centrs;</w:t>
            </w:r>
          </w:p>
          <w:p w14:paraId="353622E9" w14:textId="502B49AD" w:rsidR="002E0305" w:rsidRPr="00867942" w:rsidRDefault="003776BF" w:rsidP="002E0305">
            <w:pPr>
              <w:pStyle w:val="naisnod"/>
              <w:tabs>
                <w:tab w:val="left" w:pos="296"/>
              </w:tabs>
              <w:suppressAutoHyphens w:val="0"/>
              <w:spacing w:before="0" w:after="0"/>
              <w:ind w:left="13"/>
              <w:jc w:val="both"/>
              <w:rPr>
                <w:b w:val="0"/>
                <w:sz w:val="28"/>
                <w:szCs w:val="28"/>
              </w:rPr>
            </w:pPr>
            <w:r w:rsidRPr="00867942">
              <w:rPr>
                <w:b w:val="0"/>
                <w:sz w:val="28"/>
                <w:szCs w:val="28"/>
              </w:rPr>
              <w:t>Minēto funkciju</w:t>
            </w:r>
            <w:r w:rsidR="002E0305" w:rsidRPr="00867942">
              <w:rPr>
                <w:b w:val="0"/>
                <w:sz w:val="28"/>
                <w:szCs w:val="28"/>
              </w:rPr>
              <w:t xml:space="preserve"> </w:t>
            </w:r>
            <w:proofErr w:type="spellStart"/>
            <w:r w:rsidR="002E0305" w:rsidRPr="00867942">
              <w:rPr>
                <w:b w:val="0"/>
                <w:sz w:val="28"/>
                <w:szCs w:val="28"/>
              </w:rPr>
              <w:t>Iekšlietu</w:t>
            </w:r>
            <w:proofErr w:type="spellEnd"/>
            <w:r w:rsidR="002E0305" w:rsidRPr="00867942">
              <w:rPr>
                <w:b w:val="0"/>
                <w:sz w:val="28"/>
                <w:szCs w:val="28"/>
              </w:rPr>
              <w:t xml:space="preserve"> ministrijas Informācijas centrs realizēs izpildot Ministru kabineta noteikumu projekta 4.</w:t>
            </w:r>
            <w:r w:rsidR="00EC5FC2" w:rsidRPr="00867942">
              <w:rPr>
                <w:b w:val="0"/>
                <w:sz w:val="28"/>
                <w:szCs w:val="28"/>
              </w:rPr>
              <w:t>4</w:t>
            </w:r>
            <w:r w:rsidR="002E0305" w:rsidRPr="00867942">
              <w:rPr>
                <w:b w:val="0"/>
                <w:sz w:val="28"/>
                <w:szCs w:val="28"/>
              </w:rPr>
              <w:t>., 4.</w:t>
            </w:r>
            <w:r w:rsidR="00EC5FC2" w:rsidRPr="00867942">
              <w:rPr>
                <w:b w:val="0"/>
                <w:sz w:val="28"/>
                <w:szCs w:val="28"/>
              </w:rPr>
              <w:t>5</w:t>
            </w:r>
            <w:r w:rsidR="002E0305" w:rsidRPr="00867942">
              <w:rPr>
                <w:b w:val="0"/>
                <w:sz w:val="28"/>
                <w:szCs w:val="28"/>
              </w:rPr>
              <w:t>.apakšpunktā minētos uzdevumus.</w:t>
            </w:r>
            <w:r w:rsidRPr="00867942">
              <w:rPr>
                <w:b w:val="0"/>
                <w:sz w:val="28"/>
                <w:szCs w:val="28"/>
              </w:rPr>
              <w:t xml:space="preserve"> Funkcija ir saglabāta atbilstoši spēkā esošo Ministru kabineta 2004.gada 8.jūnija noteikumu Nr.526 “</w:t>
            </w:r>
            <w:proofErr w:type="spellStart"/>
            <w:r w:rsidRPr="00867942">
              <w:rPr>
                <w:b w:val="0"/>
                <w:sz w:val="28"/>
                <w:szCs w:val="28"/>
              </w:rPr>
              <w:t>Iekšlietu</w:t>
            </w:r>
            <w:proofErr w:type="spellEnd"/>
            <w:r w:rsidRPr="00867942">
              <w:rPr>
                <w:b w:val="0"/>
                <w:sz w:val="28"/>
                <w:szCs w:val="28"/>
              </w:rPr>
              <w:t xml:space="preserve"> ministrijas Informācijas centra nolikums” 3.2.apakšpunktā noteiktajai redakcijai.</w:t>
            </w:r>
          </w:p>
          <w:p w14:paraId="1F506445" w14:textId="6B1C2754" w:rsidR="00052199" w:rsidRPr="00867942" w:rsidRDefault="00121D97"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t>koordinē</w:t>
            </w:r>
            <w:r w:rsidR="00052199" w:rsidRPr="00867942">
              <w:rPr>
                <w:b w:val="0"/>
                <w:i/>
                <w:sz w:val="28"/>
                <w:szCs w:val="28"/>
              </w:rPr>
              <w:t xml:space="preserve"> ministrijas padotībā esošo iestāžu darbu informācijas un komunikācijas t</w:t>
            </w:r>
            <w:r w:rsidR="002E0305" w:rsidRPr="00867942">
              <w:rPr>
                <w:b w:val="0"/>
                <w:i/>
                <w:sz w:val="28"/>
                <w:szCs w:val="28"/>
              </w:rPr>
              <w:t>ehnoloģiju jomā;</w:t>
            </w:r>
          </w:p>
          <w:p w14:paraId="0CA83D56" w14:textId="5BB154BE" w:rsidR="00EC5FC2" w:rsidRPr="00867942" w:rsidRDefault="00947323" w:rsidP="004E6C7B">
            <w:pPr>
              <w:pStyle w:val="naisnod"/>
              <w:tabs>
                <w:tab w:val="left" w:pos="296"/>
              </w:tabs>
              <w:suppressAutoHyphens w:val="0"/>
              <w:spacing w:before="0" w:after="0"/>
              <w:ind w:left="13"/>
              <w:jc w:val="both"/>
              <w:rPr>
                <w:b w:val="0"/>
                <w:sz w:val="28"/>
                <w:szCs w:val="28"/>
              </w:rPr>
            </w:pPr>
            <w:r w:rsidRPr="00867942">
              <w:rPr>
                <w:b w:val="0"/>
                <w:sz w:val="28"/>
                <w:szCs w:val="28"/>
              </w:rPr>
              <w:t xml:space="preserve">Minēto funkciju </w:t>
            </w:r>
            <w:proofErr w:type="spellStart"/>
            <w:r w:rsidRPr="00867942">
              <w:rPr>
                <w:b w:val="0"/>
                <w:sz w:val="28"/>
                <w:szCs w:val="28"/>
              </w:rPr>
              <w:t>Iekšlietu</w:t>
            </w:r>
            <w:proofErr w:type="spellEnd"/>
            <w:r w:rsidRPr="00867942">
              <w:rPr>
                <w:b w:val="0"/>
                <w:sz w:val="28"/>
                <w:szCs w:val="28"/>
              </w:rPr>
              <w:t xml:space="preserve"> ministrijas Informācijas centrs realizēs izpildot Ministru kabineta noteikumu projekta 4</w:t>
            </w:r>
            <w:r w:rsidR="00B16964" w:rsidRPr="00867942">
              <w:rPr>
                <w:b w:val="0"/>
                <w:sz w:val="28"/>
                <w:szCs w:val="28"/>
              </w:rPr>
              <w:t>.6., 4.7., 4.8. un 4.9</w:t>
            </w:r>
            <w:r w:rsidRPr="00867942">
              <w:rPr>
                <w:b w:val="0"/>
                <w:sz w:val="28"/>
                <w:szCs w:val="28"/>
              </w:rPr>
              <w:t>.apakšpunktā minētos uzdevumus.</w:t>
            </w:r>
            <w:r w:rsidR="004E6C7B" w:rsidRPr="00867942">
              <w:rPr>
                <w:b w:val="0"/>
                <w:sz w:val="28"/>
                <w:szCs w:val="28"/>
              </w:rPr>
              <w:t xml:space="preserve"> </w:t>
            </w:r>
            <w:r w:rsidR="00EC5FC2" w:rsidRPr="00867942">
              <w:rPr>
                <w:b w:val="0"/>
                <w:sz w:val="28"/>
                <w:szCs w:val="28"/>
              </w:rPr>
              <w:t xml:space="preserve">Funkcija ir jauna, nodrošinot </w:t>
            </w:r>
            <w:proofErr w:type="spellStart"/>
            <w:r w:rsidR="00EC5FC2" w:rsidRPr="00867942">
              <w:rPr>
                <w:b w:val="0"/>
                <w:sz w:val="28"/>
                <w:szCs w:val="28"/>
              </w:rPr>
              <w:t>Iekšlietu</w:t>
            </w:r>
            <w:proofErr w:type="spellEnd"/>
            <w:r w:rsidR="00EC5FC2" w:rsidRPr="00867942">
              <w:rPr>
                <w:b w:val="0"/>
                <w:sz w:val="28"/>
                <w:szCs w:val="28"/>
              </w:rPr>
              <w:t xml:space="preserve"> ministrijas informācijas un komunikācijas </w:t>
            </w:r>
            <w:r w:rsidR="00EC5FC2" w:rsidRPr="00867942">
              <w:rPr>
                <w:b w:val="0"/>
                <w:sz w:val="28"/>
                <w:szCs w:val="28"/>
              </w:rPr>
              <w:lastRenderedPageBreak/>
              <w:t>tehnoloģiju centralizācijas rezultātu</w:t>
            </w:r>
            <w:r w:rsidR="004E6C7B" w:rsidRPr="00867942">
              <w:rPr>
                <w:b w:val="0"/>
                <w:sz w:val="28"/>
                <w:szCs w:val="28"/>
              </w:rPr>
              <w:t xml:space="preserve"> nostiprināšanu iestādes pamatdarbības normatīvajā aktā.</w:t>
            </w:r>
          </w:p>
          <w:p w14:paraId="6C9B722A" w14:textId="710BA46D" w:rsidR="00800C7B" w:rsidRPr="00867942" w:rsidRDefault="00121D97"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t>nodrošina</w:t>
            </w:r>
            <w:r w:rsidR="00052199" w:rsidRPr="00867942">
              <w:rPr>
                <w:b w:val="0"/>
                <w:i/>
                <w:sz w:val="28"/>
                <w:szCs w:val="28"/>
              </w:rPr>
              <w:t xml:space="preserve"> centra pārziņā esošo informācijas un komunikācijas tehnoloģiju risinājumu un infrastruktūras pārvaldību, uzturēšanu un attīstību</w:t>
            </w:r>
            <w:r w:rsidR="00800C7B" w:rsidRPr="00867942">
              <w:rPr>
                <w:b w:val="0"/>
                <w:i/>
                <w:sz w:val="28"/>
                <w:szCs w:val="28"/>
              </w:rPr>
              <w:t>;</w:t>
            </w:r>
          </w:p>
          <w:p w14:paraId="514D4423" w14:textId="7AAB284F" w:rsidR="004E6C7B" w:rsidRDefault="004E6C7B" w:rsidP="004E6C7B">
            <w:pPr>
              <w:pStyle w:val="naisnod"/>
              <w:tabs>
                <w:tab w:val="left" w:pos="296"/>
              </w:tabs>
              <w:suppressAutoHyphens w:val="0"/>
              <w:spacing w:before="0" w:after="0"/>
              <w:ind w:left="13"/>
              <w:jc w:val="both"/>
              <w:rPr>
                <w:b w:val="0"/>
                <w:sz w:val="28"/>
                <w:szCs w:val="28"/>
              </w:rPr>
            </w:pPr>
            <w:r w:rsidRPr="00867942">
              <w:rPr>
                <w:b w:val="0"/>
                <w:sz w:val="28"/>
                <w:szCs w:val="28"/>
              </w:rPr>
              <w:t xml:space="preserve">Minēto funkciju </w:t>
            </w:r>
            <w:proofErr w:type="spellStart"/>
            <w:r w:rsidR="00423DD2" w:rsidRPr="00867942">
              <w:rPr>
                <w:b w:val="0"/>
                <w:sz w:val="28"/>
                <w:szCs w:val="28"/>
              </w:rPr>
              <w:t>Iekšlietu</w:t>
            </w:r>
            <w:proofErr w:type="spellEnd"/>
            <w:r w:rsidR="00423DD2" w:rsidRPr="00867942">
              <w:rPr>
                <w:b w:val="0"/>
                <w:sz w:val="28"/>
                <w:szCs w:val="28"/>
              </w:rPr>
              <w:t xml:space="preserve"> ministrijas Informācijas centrs realizēs izpildot Ministru kabineta noteikumu projekta </w:t>
            </w:r>
            <w:r w:rsidR="00B16964" w:rsidRPr="00867942">
              <w:rPr>
                <w:b w:val="0"/>
                <w:sz w:val="28"/>
                <w:szCs w:val="28"/>
              </w:rPr>
              <w:t>4.10., 4.11., 4.12., 4.13., 4.14. un 4.15</w:t>
            </w:r>
            <w:r w:rsidR="00423DD2" w:rsidRPr="00867942">
              <w:rPr>
                <w:b w:val="0"/>
                <w:sz w:val="28"/>
                <w:szCs w:val="28"/>
              </w:rPr>
              <w:t>.apakšpunktā minētos uzdevumus.</w:t>
            </w:r>
            <w:r w:rsidRPr="00867942">
              <w:rPr>
                <w:b w:val="0"/>
                <w:sz w:val="28"/>
                <w:szCs w:val="28"/>
              </w:rPr>
              <w:t xml:space="preserve"> Funkcija ir jauna, nodrošinot </w:t>
            </w:r>
            <w:proofErr w:type="spellStart"/>
            <w:r w:rsidRPr="00867942">
              <w:rPr>
                <w:b w:val="0"/>
                <w:sz w:val="28"/>
                <w:szCs w:val="28"/>
              </w:rPr>
              <w:t>Iekšlietu</w:t>
            </w:r>
            <w:proofErr w:type="spellEnd"/>
            <w:r w:rsidRPr="00867942">
              <w:rPr>
                <w:b w:val="0"/>
                <w:sz w:val="28"/>
                <w:szCs w:val="28"/>
              </w:rPr>
              <w:t xml:space="preserve"> ministrijas informācijas un komunikācijas tehnoloģiju centralizācijas rezultātu nostiprināšanu iestādes pamatdarbības normatīvajā aktā. </w:t>
            </w:r>
          </w:p>
          <w:p w14:paraId="7E96D145" w14:textId="6404282B" w:rsidR="007F5CF9" w:rsidRPr="00867942" w:rsidRDefault="007F5CF9" w:rsidP="007F5CF9">
            <w:pPr>
              <w:pStyle w:val="naisnod"/>
              <w:tabs>
                <w:tab w:val="left" w:pos="296"/>
              </w:tabs>
              <w:suppressAutoHyphens w:val="0"/>
              <w:spacing w:before="0" w:after="0"/>
              <w:ind w:left="13"/>
              <w:jc w:val="both"/>
              <w:rPr>
                <w:b w:val="0"/>
                <w:sz w:val="28"/>
                <w:szCs w:val="28"/>
              </w:rPr>
            </w:pPr>
            <w:r w:rsidRPr="00754347">
              <w:rPr>
                <w:b w:val="0"/>
                <w:sz w:val="28"/>
                <w:szCs w:val="28"/>
              </w:rPr>
              <w:t>Ministru kabineta noteikumu projekta “</w:t>
            </w:r>
            <w:proofErr w:type="spellStart"/>
            <w:r w:rsidRPr="00754347">
              <w:rPr>
                <w:b w:val="0"/>
                <w:sz w:val="28"/>
                <w:szCs w:val="28"/>
              </w:rPr>
              <w:t>Iekšlietu</w:t>
            </w:r>
            <w:proofErr w:type="spellEnd"/>
            <w:r w:rsidRPr="00754347">
              <w:rPr>
                <w:b w:val="0"/>
                <w:sz w:val="28"/>
                <w:szCs w:val="28"/>
              </w:rPr>
              <w:t xml:space="preserve"> ministrijas Informācijas centra nolikums” 4.14.apakšpunktā ir aizstāts vārds “sagatavo” ar “saskaņo”, sašaurinot </w:t>
            </w:r>
            <w:proofErr w:type="spellStart"/>
            <w:r w:rsidRPr="00754347">
              <w:rPr>
                <w:b w:val="0"/>
                <w:sz w:val="28"/>
                <w:szCs w:val="28"/>
              </w:rPr>
              <w:t>Iekšlietu</w:t>
            </w:r>
            <w:proofErr w:type="spellEnd"/>
            <w:r w:rsidRPr="00754347">
              <w:rPr>
                <w:b w:val="0"/>
                <w:sz w:val="28"/>
                <w:szCs w:val="28"/>
              </w:rPr>
              <w:t xml:space="preserve"> ministrijas Informācijas centra veicamā uzdevuma saturu. Proti, </w:t>
            </w:r>
            <w:proofErr w:type="spellStart"/>
            <w:r w:rsidR="004770B8" w:rsidRPr="00754347">
              <w:rPr>
                <w:b w:val="0"/>
                <w:sz w:val="28"/>
                <w:szCs w:val="28"/>
              </w:rPr>
              <w:t>Iekšlietu</w:t>
            </w:r>
            <w:proofErr w:type="spellEnd"/>
            <w:r w:rsidR="004770B8" w:rsidRPr="00754347">
              <w:rPr>
                <w:b w:val="0"/>
                <w:sz w:val="28"/>
                <w:szCs w:val="28"/>
              </w:rPr>
              <w:t xml:space="preserve"> ministrijas iekš</w:t>
            </w:r>
            <w:r w:rsidR="00D6701B" w:rsidRPr="00754347">
              <w:rPr>
                <w:b w:val="0"/>
                <w:sz w:val="28"/>
                <w:szCs w:val="28"/>
              </w:rPr>
              <w:t xml:space="preserve">ējās deleģēto uzdevumu </w:t>
            </w:r>
            <w:r w:rsidR="004770B8" w:rsidRPr="00754347">
              <w:rPr>
                <w:b w:val="0"/>
                <w:sz w:val="28"/>
                <w:szCs w:val="28"/>
              </w:rPr>
              <w:t>p</w:t>
            </w:r>
            <w:r w:rsidR="00D6701B" w:rsidRPr="00754347">
              <w:rPr>
                <w:b w:val="0"/>
                <w:sz w:val="28"/>
                <w:szCs w:val="28"/>
              </w:rPr>
              <w:t>ārdales rezultātā</w:t>
            </w:r>
            <w:r w:rsidR="004770B8" w:rsidRPr="00754347">
              <w:rPr>
                <w:b w:val="0"/>
                <w:sz w:val="28"/>
                <w:szCs w:val="28"/>
              </w:rPr>
              <w:t xml:space="preserve"> starp </w:t>
            </w:r>
            <w:proofErr w:type="spellStart"/>
            <w:r w:rsidR="004770B8" w:rsidRPr="00754347">
              <w:rPr>
                <w:b w:val="0"/>
                <w:sz w:val="28"/>
                <w:szCs w:val="28"/>
              </w:rPr>
              <w:t>Iekšlietu</w:t>
            </w:r>
            <w:proofErr w:type="spellEnd"/>
            <w:r w:rsidR="004770B8" w:rsidRPr="00754347">
              <w:rPr>
                <w:b w:val="0"/>
                <w:sz w:val="28"/>
                <w:szCs w:val="28"/>
              </w:rPr>
              <w:t xml:space="preserve"> ministrijas padotībā esošajām iestād</w:t>
            </w:r>
            <w:r w:rsidR="00D6701B" w:rsidRPr="00754347">
              <w:rPr>
                <w:b w:val="0"/>
                <w:sz w:val="28"/>
                <w:szCs w:val="28"/>
              </w:rPr>
              <w:t>ēm (</w:t>
            </w:r>
            <w:proofErr w:type="spellStart"/>
            <w:r w:rsidR="004770B8" w:rsidRPr="00754347">
              <w:rPr>
                <w:b w:val="0"/>
                <w:sz w:val="28"/>
                <w:szCs w:val="28"/>
              </w:rPr>
              <w:t>Iekšlietu</w:t>
            </w:r>
            <w:proofErr w:type="spellEnd"/>
            <w:r w:rsidR="004770B8" w:rsidRPr="00754347">
              <w:rPr>
                <w:b w:val="0"/>
                <w:sz w:val="28"/>
                <w:szCs w:val="28"/>
              </w:rPr>
              <w:t xml:space="preserve"> ministrijas Informācijas centru un Nodrošinājuma valsts aģentūru)</w:t>
            </w:r>
            <w:r w:rsidR="00D6701B" w:rsidRPr="00754347">
              <w:rPr>
                <w:b w:val="0"/>
                <w:sz w:val="28"/>
                <w:szCs w:val="28"/>
              </w:rPr>
              <w:t xml:space="preserve">, </w:t>
            </w:r>
            <w:proofErr w:type="spellStart"/>
            <w:r w:rsidR="00D6701B" w:rsidRPr="00754347">
              <w:rPr>
                <w:b w:val="0"/>
                <w:sz w:val="28"/>
                <w:szCs w:val="28"/>
              </w:rPr>
              <w:t>Iekšlietu</w:t>
            </w:r>
            <w:proofErr w:type="spellEnd"/>
            <w:r w:rsidR="00D6701B" w:rsidRPr="00754347">
              <w:rPr>
                <w:b w:val="0"/>
                <w:sz w:val="28"/>
                <w:szCs w:val="28"/>
              </w:rPr>
              <w:t xml:space="preserve"> ministrijas Informācijas centrs tikai daļēji uztur vājstrāvas tīklus. Tādējādi turpmāk </w:t>
            </w:r>
            <w:proofErr w:type="spellStart"/>
            <w:r w:rsidR="00D6701B" w:rsidRPr="00754347">
              <w:rPr>
                <w:b w:val="0"/>
                <w:sz w:val="28"/>
                <w:szCs w:val="28"/>
              </w:rPr>
              <w:t>Iekšlietu</w:t>
            </w:r>
            <w:proofErr w:type="spellEnd"/>
            <w:r w:rsidR="00D6701B" w:rsidRPr="00754347">
              <w:rPr>
                <w:b w:val="0"/>
                <w:sz w:val="28"/>
                <w:szCs w:val="28"/>
              </w:rPr>
              <w:t xml:space="preserve"> ministrijas Informācijas centrs tikai skaņo vājstrāvas tīklu projektus, kas skar </w:t>
            </w:r>
            <w:proofErr w:type="spellStart"/>
            <w:r w:rsidR="00D6701B" w:rsidRPr="00754347">
              <w:rPr>
                <w:b w:val="0"/>
                <w:sz w:val="28"/>
                <w:szCs w:val="28"/>
              </w:rPr>
              <w:t>Iekšlietu</w:t>
            </w:r>
            <w:proofErr w:type="spellEnd"/>
            <w:r w:rsidR="00D6701B" w:rsidRPr="00754347">
              <w:rPr>
                <w:b w:val="0"/>
                <w:sz w:val="28"/>
                <w:szCs w:val="28"/>
              </w:rPr>
              <w:t xml:space="preserve"> ministrijas Informācijas centra kompetenci datu pārraides, telefonu sakaru, videonovērošanas un piekļuves kontroles jomā.</w:t>
            </w:r>
          </w:p>
          <w:p w14:paraId="69A9CF45" w14:textId="34ADF33D" w:rsidR="00052199" w:rsidRPr="00867942" w:rsidRDefault="00121D97"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t>izveido, pārvalda</w:t>
            </w:r>
            <w:r w:rsidR="00052199" w:rsidRPr="00867942">
              <w:rPr>
                <w:b w:val="0"/>
                <w:i/>
                <w:sz w:val="28"/>
                <w:szCs w:val="28"/>
              </w:rPr>
              <w:t xml:space="preserve"> un uztu</w:t>
            </w:r>
            <w:r w:rsidRPr="00867942">
              <w:rPr>
                <w:b w:val="0"/>
                <w:i/>
                <w:sz w:val="28"/>
                <w:szCs w:val="28"/>
              </w:rPr>
              <w:t>r</w:t>
            </w:r>
            <w:r w:rsidR="00641854" w:rsidRPr="00867942">
              <w:rPr>
                <w:b w:val="0"/>
                <w:i/>
                <w:sz w:val="28"/>
                <w:szCs w:val="28"/>
              </w:rPr>
              <w:t xml:space="preserve"> ministrijas sakaru sistēmas un nodrošina to</w:t>
            </w:r>
            <w:r w:rsidR="00052199" w:rsidRPr="00867942">
              <w:rPr>
                <w:b w:val="0"/>
                <w:i/>
                <w:sz w:val="28"/>
                <w:szCs w:val="28"/>
              </w:rPr>
              <w:t xml:space="preserve"> nepārtrauktu darbību un funkcionalitāti;</w:t>
            </w:r>
          </w:p>
          <w:p w14:paraId="46DF8CD3" w14:textId="025E2EDD" w:rsidR="004E6C7B" w:rsidRPr="00867942" w:rsidRDefault="004E6C7B" w:rsidP="004E6C7B">
            <w:pPr>
              <w:pStyle w:val="naisnod"/>
              <w:tabs>
                <w:tab w:val="left" w:pos="296"/>
              </w:tabs>
              <w:suppressAutoHyphens w:val="0"/>
              <w:spacing w:before="0" w:after="0"/>
              <w:ind w:left="13"/>
              <w:jc w:val="both"/>
              <w:rPr>
                <w:b w:val="0"/>
                <w:sz w:val="28"/>
                <w:szCs w:val="28"/>
              </w:rPr>
            </w:pPr>
            <w:r w:rsidRPr="00867942">
              <w:rPr>
                <w:b w:val="0"/>
                <w:sz w:val="28"/>
                <w:szCs w:val="28"/>
              </w:rPr>
              <w:t xml:space="preserve">Minēto funkciju </w:t>
            </w:r>
            <w:proofErr w:type="spellStart"/>
            <w:r w:rsidR="00D02C77" w:rsidRPr="00867942">
              <w:rPr>
                <w:b w:val="0"/>
                <w:sz w:val="28"/>
                <w:szCs w:val="28"/>
              </w:rPr>
              <w:t>Iekšlietu</w:t>
            </w:r>
            <w:proofErr w:type="spellEnd"/>
            <w:r w:rsidR="00D02C77" w:rsidRPr="00867942">
              <w:rPr>
                <w:b w:val="0"/>
                <w:sz w:val="28"/>
                <w:szCs w:val="28"/>
              </w:rPr>
              <w:t xml:space="preserve"> ministrijas Informācijas centrs realizēs izpildot Ministru kabineta noteikumu projekta </w:t>
            </w:r>
            <w:r w:rsidR="00B16964" w:rsidRPr="00867942">
              <w:rPr>
                <w:b w:val="0"/>
                <w:sz w:val="28"/>
                <w:szCs w:val="28"/>
              </w:rPr>
              <w:t>4.16., 4.17., 4.18. un 4.19</w:t>
            </w:r>
            <w:r w:rsidR="00D02C77" w:rsidRPr="00867942">
              <w:rPr>
                <w:b w:val="0"/>
                <w:sz w:val="28"/>
                <w:szCs w:val="28"/>
              </w:rPr>
              <w:t>.apakšpunktā minētos uzdevumus.</w:t>
            </w:r>
            <w:r w:rsidR="00A37E82" w:rsidRPr="00867942">
              <w:rPr>
                <w:b w:val="0"/>
                <w:sz w:val="28"/>
                <w:szCs w:val="28"/>
              </w:rPr>
              <w:t xml:space="preserve"> Bez tam jautājumos, kas skar finanšu plānošanu un jomas koordināciju, uzdevumi nav izdalīti atsevišķās normās, bet redakcionāli ir iestrādāti Ministru kabineta noteikumu projekta 4.12. un 4.13.apakšpunktā, tādējādi vienmērīgi un secīgi turpinot uzskaitījumu, kas saistās ar </w:t>
            </w:r>
            <w:r w:rsidRPr="00867942">
              <w:rPr>
                <w:b w:val="0"/>
                <w:sz w:val="28"/>
                <w:szCs w:val="28"/>
              </w:rPr>
              <w:t xml:space="preserve">sakaru sistēmu (Ministru kabineta noteikumu projekta 3.5.apkšpunkts) uzturēšanas </w:t>
            </w:r>
            <w:r w:rsidR="00A37E82" w:rsidRPr="00867942">
              <w:rPr>
                <w:b w:val="0"/>
                <w:sz w:val="28"/>
                <w:szCs w:val="28"/>
              </w:rPr>
              <w:t>funkcijas izpildei realizējamajiem uzdevumiem.</w:t>
            </w:r>
            <w:r w:rsidRPr="00867942">
              <w:rPr>
                <w:b w:val="0"/>
                <w:sz w:val="28"/>
                <w:szCs w:val="28"/>
              </w:rPr>
              <w:t xml:space="preserve"> Funkcija ir saglabāta atbilstoši spēkā esošo Ministru kabineta 2004.gada </w:t>
            </w:r>
            <w:r w:rsidRPr="00867942">
              <w:rPr>
                <w:b w:val="0"/>
                <w:sz w:val="28"/>
                <w:szCs w:val="28"/>
              </w:rPr>
              <w:lastRenderedPageBreak/>
              <w:t>8.jūnija noteikumu Nr.526 “</w:t>
            </w:r>
            <w:proofErr w:type="spellStart"/>
            <w:r w:rsidRPr="00867942">
              <w:rPr>
                <w:b w:val="0"/>
                <w:sz w:val="28"/>
                <w:szCs w:val="28"/>
              </w:rPr>
              <w:t>Iekšlietu</w:t>
            </w:r>
            <w:proofErr w:type="spellEnd"/>
            <w:r w:rsidRPr="00867942">
              <w:rPr>
                <w:b w:val="0"/>
                <w:sz w:val="28"/>
                <w:szCs w:val="28"/>
              </w:rPr>
              <w:t xml:space="preserve"> ministrijas Informācijas centra nolikums” 3.5. un 3.6.apakšpunktā noteiktajai funkcijai, bet attiecīgās funkcijas normas redakcija ir redakcionāli apvienojama vienā normā.</w:t>
            </w:r>
          </w:p>
          <w:p w14:paraId="583364C2" w14:textId="513354AD" w:rsidR="00052199" w:rsidRPr="00867942" w:rsidRDefault="00121D97" w:rsidP="00052199">
            <w:pPr>
              <w:pStyle w:val="naisnod"/>
              <w:numPr>
                <w:ilvl w:val="1"/>
                <w:numId w:val="15"/>
              </w:numPr>
              <w:tabs>
                <w:tab w:val="left" w:pos="296"/>
              </w:tabs>
              <w:suppressAutoHyphens w:val="0"/>
              <w:spacing w:before="0" w:after="0"/>
              <w:ind w:left="13" w:firstLine="0"/>
              <w:jc w:val="both"/>
              <w:rPr>
                <w:b w:val="0"/>
                <w:i/>
                <w:sz w:val="28"/>
                <w:szCs w:val="28"/>
              </w:rPr>
            </w:pPr>
            <w:r w:rsidRPr="00867942">
              <w:rPr>
                <w:b w:val="0"/>
                <w:i/>
                <w:sz w:val="28"/>
                <w:szCs w:val="28"/>
              </w:rPr>
              <w:t>nodrošina</w:t>
            </w:r>
            <w:r w:rsidR="00052199" w:rsidRPr="00867942">
              <w:rPr>
                <w:b w:val="0"/>
                <w:i/>
                <w:sz w:val="28"/>
                <w:szCs w:val="28"/>
              </w:rPr>
              <w:t xml:space="preserve"> ministrijas un tās padotībā esošo iestāžu ilgstoši un pastāvīgi glabājamo lietu (dokumentu un datu) un Ieslodzījuma vietu pārvaldes izbeigto krimināllietu uzkrāšanu, uzskaiti, izmantošanu un saglabāšanu līdz to nodošanai valsts arhīvā.</w:t>
            </w:r>
          </w:p>
          <w:p w14:paraId="07DECAC1" w14:textId="77777777" w:rsidR="00D82A45" w:rsidRDefault="002E0305" w:rsidP="00881399">
            <w:pPr>
              <w:pStyle w:val="tv213limenis2"/>
              <w:spacing w:before="0" w:beforeAutospacing="0" w:after="0" w:afterAutospacing="0" w:line="293" w:lineRule="atLeast"/>
              <w:jc w:val="both"/>
              <w:rPr>
                <w:sz w:val="28"/>
                <w:szCs w:val="28"/>
              </w:rPr>
            </w:pPr>
            <w:r w:rsidRPr="00867942">
              <w:rPr>
                <w:sz w:val="28"/>
                <w:szCs w:val="28"/>
              </w:rPr>
              <w:t>Funkcija ir saglabāta atbilstoši spēkā esošo Ministru kabineta 2004.gada 8.jūnija noteikumu Nr.526 “</w:t>
            </w:r>
            <w:proofErr w:type="spellStart"/>
            <w:r w:rsidRPr="00867942">
              <w:rPr>
                <w:sz w:val="28"/>
                <w:szCs w:val="28"/>
              </w:rPr>
              <w:t>Iekšlietu</w:t>
            </w:r>
            <w:proofErr w:type="spellEnd"/>
            <w:r w:rsidRPr="00867942">
              <w:rPr>
                <w:sz w:val="28"/>
                <w:szCs w:val="28"/>
              </w:rPr>
              <w:t xml:space="preserve"> ministrijas Informācijas centra nolikums” 3.3.apakšpunktā noteiktajai funkcijai, bet attiecīgās funkcijas normas redakcija papildināta ar</w:t>
            </w:r>
            <w:r w:rsidR="00881399" w:rsidRPr="00867942">
              <w:rPr>
                <w:b/>
                <w:sz w:val="28"/>
                <w:szCs w:val="28"/>
              </w:rPr>
              <w:t xml:space="preserve"> </w:t>
            </w:r>
            <w:r w:rsidR="00881399" w:rsidRPr="00867942">
              <w:rPr>
                <w:sz w:val="28"/>
                <w:szCs w:val="28"/>
              </w:rPr>
              <w:t>atsauci uz sadarbību ar Ieslodzījuma vietu pārvaldi</w:t>
            </w:r>
            <w:r w:rsidR="009B2CAE" w:rsidRPr="00867942">
              <w:rPr>
                <w:sz w:val="28"/>
                <w:szCs w:val="28"/>
              </w:rPr>
              <w:t xml:space="preserve">, lai paplašinātu iestādes kompetenci ne tikai uz </w:t>
            </w:r>
            <w:proofErr w:type="spellStart"/>
            <w:r w:rsidR="009B2CAE" w:rsidRPr="00867942">
              <w:rPr>
                <w:sz w:val="28"/>
                <w:szCs w:val="28"/>
              </w:rPr>
              <w:t>Iekšlietu</w:t>
            </w:r>
            <w:proofErr w:type="spellEnd"/>
            <w:r w:rsidR="009B2CAE" w:rsidRPr="00867942">
              <w:rPr>
                <w:sz w:val="28"/>
                <w:szCs w:val="28"/>
              </w:rPr>
              <w:t xml:space="preserve"> ministrijas sistēmas iestādēm, bet arī Ieslodzījuma vietu pārvaldi</w:t>
            </w:r>
            <w:r w:rsidR="00881399" w:rsidRPr="00867942">
              <w:rPr>
                <w:sz w:val="28"/>
                <w:szCs w:val="28"/>
              </w:rPr>
              <w:t>.</w:t>
            </w:r>
            <w:r w:rsidR="008B5CFB">
              <w:rPr>
                <w:sz w:val="28"/>
                <w:szCs w:val="28"/>
              </w:rPr>
              <w:t xml:space="preserve"> </w:t>
            </w:r>
            <w:r w:rsidR="009B2CAE" w:rsidRPr="009F0D6A">
              <w:rPr>
                <w:sz w:val="28"/>
                <w:szCs w:val="28"/>
              </w:rPr>
              <w:t xml:space="preserve">Minētās </w:t>
            </w:r>
            <w:r w:rsidR="008B5CFB" w:rsidRPr="009F0D6A">
              <w:rPr>
                <w:sz w:val="28"/>
                <w:szCs w:val="28"/>
              </w:rPr>
              <w:t xml:space="preserve">funkcijas </w:t>
            </w:r>
            <w:r w:rsidR="009B2CAE" w:rsidRPr="009F0D6A">
              <w:rPr>
                <w:sz w:val="28"/>
                <w:szCs w:val="28"/>
              </w:rPr>
              <w:t xml:space="preserve">izpildei </w:t>
            </w:r>
            <w:r w:rsidR="008B5CFB" w:rsidRPr="009F0D6A">
              <w:rPr>
                <w:sz w:val="28"/>
                <w:szCs w:val="28"/>
              </w:rPr>
              <w:t xml:space="preserve">nav nepieciešams definēt uzdevumus, jo </w:t>
            </w:r>
            <w:r w:rsidR="009B2CAE" w:rsidRPr="009F0D6A">
              <w:rPr>
                <w:sz w:val="28"/>
                <w:szCs w:val="28"/>
              </w:rPr>
              <w:t>funkcijas izpildes</w:t>
            </w:r>
            <w:r w:rsidR="008B5CFB" w:rsidRPr="009F0D6A">
              <w:rPr>
                <w:sz w:val="28"/>
                <w:szCs w:val="28"/>
              </w:rPr>
              <w:t xml:space="preserve"> saturs ir definēts citos normatīvajos aktos</w:t>
            </w:r>
            <w:r w:rsidR="008B5CFB">
              <w:rPr>
                <w:sz w:val="28"/>
                <w:szCs w:val="28"/>
              </w:rPr>
              <w:t xml:space="preserve"> (piemēram, Arhīvu likumā un sasaistošajos Ministru kabineta noteikumos).</w:t>
            </w:r>
            <w:r w:rsidR="00881399" w:rsidRPr="00881399">
              <w:rPr>
                <w:sz w:val="28"/>
                <w:szCs w:val="28"/>
              </w:rPr>
              <w:t xml:space="preserve"> </w:t>
            </w:r>
          </w:p>
          <w:p w14:paraId="0F3A34A3" w14:textId="07A7C940" w:rsidR="00052199" w:rsidRDefault="00881399" w:rsidP="00881399">
            <w:pPr>
              <w:pStyle w:val="tv213limenis2"/>
              <w:spacing w:before="0" w:beforeAutospacing="0" w:after="0" w:afterAutospacing="0" w:line="293" w:lineRule="atLeast"/>
              <w:jc w:val="both"/>
              <w:rPr>
                <w:sz w:val="28"/>
                <w:szCs w:val="28"/>
              </w:rPr>
            </w:pPr>
            <w:r w:rsidRPr="00881399">
              <w:rPr>
                <w:sz w:val="28"/>
                <w:szCs w:val="28"/>
              </w:rPr>
              <w:t xml:space="preserve">Proti, </w:t>
            </w:r>
            <w:proofErr w:type="spellStart"/>
            <w:r w:rsidRPr="00881399">
              <w:rPr>
                <w:sz w:val="28"/>
                <w:szCs w:val="28"/>
              </w:rPr>
              <w:t>Iekšlietu</w:t>
            </w:r>
            <w:proofErr w:type="spellEnd"/>
            <w:r w:rsidRPr="00881399">
              <w:rPr>
                <w:sz w:val="28"/>
                <w:szCs w:val="28"/>
              </w:rPr>
              <w:t xml:space="preserve"> ministrijas Informācijas centrs nodrošina</w:t>
            </w:r>
            <w:r w:rsidRPr="00881399">
              <w:rPr>
                <w:b/>
                <w:sz w:val="28"/>
                <w:szCs w:val="28"/>
              </w:rPr>
              <w:t xml:space="preserve"> </w:t>
            </w:r>
            <w:r w:rsidR="006A3F6C" w:rsidRPr="00881399">
              <w:rPr>
                <w:sz w:val="28"/>
                <w:szCs w:val="28"/>
              </w:rPr>
              <w:t xml:space="preserve">Ieslodzījuma vietu pārvaldes izbeigto krimināllietu uzkrāšanu, uzskaiti, izmantošanu un saglabāšanu līdz to nodošanai valsts arhīvā </w:t>
            </w:r>
            <w:proofErr w:type="spellStart"/>
            <w:r w:rsidR="006A3F6C" w:rsidRPr="00881399">
              <w:rPr>
                <w:sz w:val="28"/>
                <w:szCs w:val="28"/>
              </w:rPr>
              <w:t>Iekšlietu</w:t>
            </w:r>
            <w:proofErr w:type="spellEnd"/>
            <w:r w:rsidR="006A3F6C" w:rsidRPr="00881399">
              <w:rPr>
                <w:sz w:val="28"/>
                <w:szCs w:val="28"/>
              </w:rPr>
              <w:t xml:space="preserve"> ministrijas Informācijas centra arhīva telpās</w:t>
            </w:r>
            <w:r w:rsidRPr="00881399">
              <w:rPr>
                <w:sz w:val="28"/>
                <w:szCs w:val="28"/>
              </w:rPr>
              <w:t xml:space="preserve">. </w:t>
            </w:r>
            <w:proofErr w:type="spellStart"/>
            <w:r w:rsidR="006A3F6C" w:rsidRPr="00881399">
              <w:rPr>
                <w:sz w:val="28"/>
                <w:szCs w:val="28"/>
              </w:rPr>
              <w:t>Iekšlietu</w:t>
            </w:r>
            <w:proofErr w:type="spellEnd"/>
            <w:r w:rsidR="006A3F6C" w:rsidRPr="00881399">
              <w:rPr>
                <w:sz w:val="28"/>
                <w:szCs w:val="28"/>
              </w:rPr>
              <w:t xml:space="preserve"> ministrijas Informācijas centram ir normatīvajiem aktiem atbilstoši aprīkotas arhīva telpas (vidēji viena kalendārā gada ietvaros tiek saņemtas līdz 40 vienībām) līdz ar to arī izbeigto krimināllietu glabāšanu </w:t>
            </w:r>
            <w:proofErr w:type="spellStart"/>
            <w:r w:rsidR="006A3F6C" w:rsidRPr="00881399">
              <w:rPr>
                <w:sz w:val="28"/>
                <w:szCs w:val="28"/>
              </w:rPr>
              <w:t>Iekšlietu</w:t>
            </w:r>
            <w:proofErr w:type="spellEnd"/>
            <w:r w:rsidR="006A3F6C" w:rsidRPr="00881399">
              <w:rPr>
                <w:sz w:val="28"/>
                <w:szCs w:val="28"/>
              </w:rPr>
              <w:t xml:space="preserve"> ministrijas Informācijas centrs minētā apjoma ietvaros arī turpmāk var nodrošināt bez papildus līdzekļu piešķiršanas kā tas jau iepriekš ir izveidojies </w:t>
            </w:r>
            <w:r w:rsidR="006A3F6C" w:rsidRPr="009803D4">
              <w:rPr>
                <w:sz w:val="28"/>
                <w:szCs w:val="28"/>
              </w:rPr>
              <w:t>vēsturiski līdz br</w:t>
            </w:r>
            <w:r w:rsidRPr="009803D4">
              <w:rPr>
                <w:sz w:val="28"/>
                <w:szCs w:val="28"/>
              </w:rPr>
              <w:t>īdim, kad</w:t>
            </w:r>
            <w:r w:rsidR="006A3F6C" w:rsidRPr="009803D4">
              <w:rPr>
                <w:sz w:val="28"/>
                <w:szCs w:val="28"/>
              </w:rPr>
              <w:t xml:space="preserve"> Iesl</w:t>
            </w:r>
            <w:r w:rsidR="009803D4" w:rsidRPr="009803D4">
              <w:rPr>
                <w:sz w:val="28"/>
                <w:szCs w:val="28"/>
              </w:rPr>
              <w:t>odzījuma vietu pārvalde nonāca</w:t>
            </w:r>
            <w:r w:rsidR="006A3F6C" w:rsidRPr="009803D4">
              <w:rPr>
                <w:sz w:val="28"/>
                <w:szCs w:val="28"/>
              </w:rPr>
              <w:t xml:space="preserve"> Tieslietu ministrijas pārraudzībā.</w:t>
            </w:r>
            <w:r w:rsidR="006A3F6C" w:rsidRPr="00881399">
              <w:rPr>
                <w:sz w:val="28"/>
                <w:szCs w:val="28"/>
              </w:rPr>
              <w:t xml:space="preserve"> Lai nodrošinātu situācijas tiesisko reglamentāciju ārējos normatīvajos aktos, ir papildināta </w:t>
            </w:r>
            <w:proofErr w:type="spellStart"/>
            <w:r w:rsidR="006A3F6C" w:rsidRPr="00881399">
              <w:rPr>
                <w:sz w:val="28"/>
                <w:szCs w:val="28"/>
              </w:rPr>
              <w:t>Iekšlietu</w:t>
            </w:r>
            <w:proofErr w:type="spellEnd"/>
            <w:r w:rsidR="006A3F6C" w:rsidRPr="00881399">
              <w:rPr>
                <w:sz w:val="28"/>
                <w:szCs w:val="28"/>
              </w:rPr>
              <w:t xml:space="preserve"> ministrijas Informācijas centra pamatfunkcija dokumentu glabāšanas jomā ar Ieslodzījuma vietu pārvaldes izbeigto krimināllietu glabāšanas funkciju</w:t>
            </w:r>
            <w:r w:rsidR="002E0305" w:rsidRPr="00881399">
              <w:rPr>
                <w:sz w:val="28"/>
                <w:szCs w:val="28"/>
              </w:rPr>
              <w:t xml:space="preserve">. </w:t>
            </w:r>
          </w:p>
          <w:p w14:paraId="7EA73841" w14:textId="4358EB7B" w:rsidR="006B2DC3" w:rsidRDefault="006B2DC3" w:rsidP="006B2DC3">
            <w:pPr>
              <w:pStyle w:val="tv213limenis2"/>
              <w:spacing w:before="0" w:beforeAutospacing="0" w:after="0" w:afterAutospacing="0" w:line="293" w:lineRule="atLeast"/>
              <w:jc w:val="both"/>
              <w:rPr>
                <w:sz w:val="28"/>
                <w:szCs w:val="28"/>
              </w:rPr>
            </w:pPr>
            <w:r>
              <w:rPr>
                <w:sz w:val="28"/>
                <w:szCs w:val="28"/>
              </w:rPr>
              <w:lastRenderedPageBreak/>
              <w:t>Saskaņā ar Ministru kabineta 2009.gada 9.februāra noteikumu Nr.108 “Normatīvo aktu sagatavošanas noteikumi” 140.punktu, ir nepieciešams izdot jaunu normatīvo aktu, ja grozāmo normu apjoms pārsniedz pusi no spēkā esošo noteikumu normu apjoma.</w:t>
            </w:r>
            <w:r w:rsidR="00A35E88">
              <w:rPr>
                <w:sz w:val="28"/>
                <w:szCs w:val="28"/>
              </w:rPr>
              <w:t xml:space="preserve"> </w:t>
            </w:r>
            <w:r w:rsidR="00AC0727" w:rsidRPr="00754347">
              <w:rPr>
                <w:sz w:val="28"/>
                <w:szCs w:val="28"/>
              </w:rPr>
              <w:t>Vienlaikus</w:t>
            </w:r>
            <w:r w:rsidR="00A35E88" w:rsidRPr="00754347">
              <w:rPr>
                <w:sz w:val="28"/>
                <w:szCs w:val="28"/>
              </w:rPr>
              <w:t xml:space="preserve"> ir uzlabota gramatiskā uzdevumu satura izteiksmes forma, kas atbilst jaunākai un precīzākai tiesību aktu projektos izmantotajai literārajai latviešu valodas praksei.</w:t>
            </w:r>
          </w:p>
          <w:p w14:paraId="525346AF" w14:textId="5FC2A4B6" w:rsidR="00E85574" w:rsidRPr="00E85574" w:rsidRDefault="00E85574" w:rsidP="006B2DC3">
            <w:pPr>
              <w:pStyle w:val="tv213limenis2"/>
              <w:spacing w:before="0" w:beforeAutospacing="0" w:after="0" w:afterAutospacing="0" w:line="293" w:lineRule="atLeast"/>
              <w:jc w:val="both"/>
              <w:rPr>
                <w:sz w:val="28"/>
                <w:szCs w:val="28"/>
              </w:rPr>
            </w:pPr>
            <w:r>
              <w:rPr>
                <w:sz w:val="28"/>
                <w:szCs w:val="28"/>
              </w:rPr>
              <w:t xml:space="preserve">Ministru kabineta </w:t>
            </w:r>
            <w:r w:rsidRPr="00E85574">
              <w:rPr>
                <w:sz w:val="28"/>
                <w:szCs w:val="28"/>
              </w:rPr>
              <w:t>noteikumu projekta</w:t>
            </w:r>
            <w:r>
              <w:rPr>
                <w:sz w:val="28"/>
                <w:szCs w:val="28"/>
              </w:rPr>
              <w:t xml:space="preserve"> “</w:t>
            </w:r>
            <w:proofErr w:type="spellStart"/>
            <w:r>
              <w:rPr>
                <w:sz w:val="28"/>
                <w:szCs w:val="28"/>
              </w:rPr>
              <w:t>Iekšlietu</w:t>
            </w:r>
            <w:proofErr w:type="spellEnd"/>
            <w:r>
              <w:rPr>
                <w:sz w:val="28"/>
                <w:szCs w:val="28"/>
              </w:rPr>
              <w:t xml:space="preserve"> ministrijas Informācijas centra nolikums”</w:t>
            </w:r>
            <w:r w:rsidRPr="00E85574">
              <w:rPr>
                <w:sz w:val="28"/>
                <w:szCs w:val="28"/>
              </w:rPr>
              <w:t xml:space="preserve"> īstenošanu </w:t>
            </w:r>
            <w:proofErr w:type="spellStart"/>
            <w:r w:rsidRPr="00E85574">
              <w:rPr>
                <w:sz w:val="28"/>
                <w:szCs w:val="28"/>
              </w:rPr>
              <w:t>Iekšlietu</w:t>
            </w:r>
            <w:proofErr w:type="spellEnd"/>
            <w:r w:rsidRPr="00E85574">
              <w:rPr>
                <w:sz w:val="28"/>
                <w:szCs w:val="28"/>
              </w:rPr>
              <w:t xml:space="preserve"> ministrija</w:t>
            </w:r>
            <w:r>
              <w:rPr>
                <w:sz w:val="28"/>
                <w:szCs w:val="28"/>
              </w:rPr>
              <w:t xml:space="preserve"> (</w:t>
            </w:r>
            <w:proofErr w:type="spellStart"/>
            <w:r>
              <w:rPr>
                <w:sz w:val="28"/>
                <w:szCs w:val="28"/>
              </w:rPr>
              <w:t>Iekšlietu</w:t>
            </w:r>
            <w:proofErr w:type="spellEnd"/>
            <w:r>
              <w:rPr>
                <w:sz w:val="28"/>
                <w:szCs w:val="28"/>
              </w:rPr>
              <w:t xml:space="preserve"> ministrijas Informācijas centrs)</w:t>
            </w:r>
            <w:r w:rsidRPr="00E85574">
              <w:rPr>
                <w:sz w:val="28"/>
                <w:szCs w:val="28"/>
              </w:rPr>
              <w:t xml:space="preserve"> nodrošinās piešķirto valsts budžetu līdzekļu ietvaros.</w:t>
            </w:r>
          </w:p>
        </w:tc>
      </w:tr>
      <w:tr w:rsidR="00616AA6" w:rsidRPr="00BA5E65" w14:paraId="799CDE87" w14:textId="77777777" w:rsidTr="00D11734">
        <w:tc>
          <w:tcPr>
            <w:tcW w:w="426" w:type="dxa"/>
            <w:tcBorders>
              <w:bottom w:val="single" w:sz="4" w:space="0" w:color="auto"/>
            </w:tcBorders>
          </w:tcPr>
          <w:p w14:paraId="20D9A706" w14:textId="5562969E" w:rsidR="00616AA6" w:rsidRPr="00BA5E65" w:rsidRDefault="00616AA6" w:rsidP="00710EAA">
            <w:pPr>
              <w:spacing w:before="60"/>
              <w:rPr>
                <w:sz w:val="28"/>
                <w:szCs w:val="28"/>
              </w:rPr>
            </w:pPr>
            <w:r w:rsidRPr="00BA5E65">
              <w:rPr>
                <w:sz w:val="28"/>
                <w:szCs w:val="28"/>
              </w:rPr>
              <w:lastRenderedPageBreak/>
              <w:t>3.</w:t>
            </w:r>
          </w:p>
        </w:tc>
        <w:tc>
          <w:tcPr>
            <w:tcW w:w="2709" w:type="dxa"/>
            <w:gridSpan w:val="2"/>
            <w:tcBorders>
              <w:bottom w:val="single" w:sz="4" w:space="0" w:color="auto"/>
            </w:tcBorders>
          </w:tcPr>
          <w:p w14:paraId="58E94375" w14:textId="77777777" w:rsidR="00616AA6" w:rsidRPr="00BA5E65" w:rsidRDefault="008C47BE" w:rsidP="00710EAA">
            <w:pPr>
              <w:spacing w:before="60" w:after="60"/>
              <w:rPr>
                <w:sz w:val="28"/>
                <w:szCs w:val="28"/>
              </w:rPr>
            </w:pPr>
            <w:r w:rsidRPr="00BA5E65">
              <w:rPr>
                <w:sz w:val="28"/>
                <w:szCs w:val="28"/>
              </w:rPr>
              <w:t>Projekta izstrādē iesaistītās institūcijas</w:t>
            </w:r>
          </w:p>
        </w:tc>
        <w:tc>
          <w:tcPr>
            <w:tcW w:w="5998" w:type="dxa"/>
            <w:gridSpan w:val="2"/>
            <w:tcBorders>
              <w:bottom w:val="single" w:sz="4" w:space="0" w:color="auto"/>
            </w:tcBorders>
          </w:tcPr>
          <w:p w14:paraId="07CDB4C7" w14:textId="451C6C54" w:rsidR="00616AA6" w:rsidRPr="00BA5E65" w:rsidRDefault="007157AB" w:rsidP="008B49AF">
            <w:pPr>
              <w:autoSpaceDE w:val="0"/>
              <w:autoSpaceDN w:val="0"/>
              <w:adjustRightInd w:val="0"/>
              <w:spacing w:before="60" w:after="60"/>
              <w:jc w:val="both"/>
              <w:rPr>
                <w:sz w:val="28"/>
                <w:szCs w:val="28"/>
              </w:rPr>
            </w:pPr>
            <w:r>
              <w:rPr>
                <w:sz w:val="28"/>
                <w:szCs w:val="28"/>
              </w:rPr>
              <w:t>Projekts šo jomu neskar.</w:t>
            </w:r>
          </w:p>
        </w:tc>
      </w:tr>
      <w:tr w:rsidR="00616AA6" w:rsidRPr="00BA5E65" w14:paraId="3C5F3A2E" w14:textId="77777777" w:rsidTr="00D11734">
        <w:tc>
          <w:tcPr>
            <w:tcW w:w="426" w:type="dxa"/>
            <w:tcBorders>
              <w:bottom w:val="single" w:sz="4" w:space="0" w:color="auto"/>
            </w:tcBorders>
          </w:tcPr>
          <w:p w14:paraId="1211CFA4" w14:textId="77777777" w:rsidR="00616AA6" w:rsidRPr="00BA5E65" w:rsidRDefault="00616AA6" w:rsidP="00710EAA">
            <w:pPr>
              <w:spacing w:before="60"/>
              <w:rPr>
                <w:sz w:val="28"/>
                <w:szCs w:val="28"/>
              </w:rPr>
            </w:pPr>
            <w:r w:rsidRPr="00BA5E65">
              <w:rPr>
                <w:sz w:val="28"/>
                <w:szCs w:val="28"/>
              </w:rPr>
              <w:t>4.</w:t>
            </w:r>
          </w:p>
        </w:tc>
        <w:tc>
          <w:tcPr>
            <w:tcW w:w="2709" w:type="dxa"/>
            <w:gridSpan w:val="2"/>
            <w:tcBorders>
              <w:bottom w:val="single" w:sz="4" w:space="0" w:color="auto"/>
            </w:tcBorders>
          </w:tcPr>
          <w:p w14:paraId="50577DF3" w14:textId="77777777" w:rsidR="00616AA6" w:rsidRPr="00BA5E65" w:rsidRDefault="008C47BE" w:rsidP="00710EAA">
            <w:pPr>
              <w:spacing w:before="60" w:after="60"/>
              <w:rPr>
                <w:sz w:val="28"/>
                <w:szCs w:val="28"/>
              </w:rPr>
            </w:pPr>
            <w:r w:rsidRPr="00BA5E65">
              <w:rPr>
                <w:sz w:val="28"/>
                <w:szCs w:val="28"/>
              </w:rPr>
              <w:t xml:space="preserve">Cita informācija </w:t>
            </w:r>
          </w:p>
        </w:tc>
        <w:tc>
          <w:tcPr>
            <w:tcW w:w="5998" w:type="dxa"/>
            <w:gridSpan w:val="2"/>
            <w:tcBorders>
              <w:bottom w:val="single" w:sz="4" w:space="0" w:color="auto"/>
            </w:tcBorders>
          </w:tcPr>
          <w:p w14:paraId="4787B608" w14:textId="5A1900B2" w:rsidR="00E06CCE" w:rsidRPr="005651F4" w:rsidRDefault="004371FF" w:rsidP="00710EAA">
            <w:pPr>
              <w:spacing w:before="60" w:after="60"/>
              <w:jc w:val="both"/>
              <w:rPr>
                <w:sz w:val="28"/>
                <w:szCs w:val="28"/>
              </w:rPr>
            </w:pPr>
            <w:r>
              <w:rPr>
                <w:sz w:val="28"/>
                <w:szCs w:val="28"/>
              </w:rPr>
              <w:t>Nav.</w:t>
            </w:r>
          </w:p>
        </w:tc>
      </w:tr>
      <w:tr w:rsidR="00E86D2D" w:rsidRPr="00BA5E65" w14:paraId="5B465550" w14:textId="77777777" w:rsidTr="00D11734">
        <w:tc>
          <w:tcPr>
            <w:tcW w:w="9133" w:type="dxa"/>
            <w:gridSpan w:val="5"/>
            <w:tcBorders>
              <w:top w:val="single" w:sz="4" w:space="0" w:color="auto"/>
            </w:tcBorders>
          </w:tcPr>
          <w:p w14:paraId="2C47D86B" w14:textId="77777777" w:rsidR="00E86D2D" w:rsidRDefault="00E86D2D" w:rsidP="00710EAA">
            <w:pPr>
              <w:spacing w:before="60" w:after="60"/>
              <w:jc w:val="center"/>
              <w:rPr>
                <w:sz w:val="28"/>
                <w:szCs w:val="28"/>
              </w:rPr>
            </w:pPr>
            <w:r w:rsidRPr="00E86D2D">
              <w:rPr>
                <w:b/>
                <w:sz w:val="28"/>
                <w:szCs w:val="28"/>
              </w:rPr>
              <w:t>II. Tiesību akta projekta ietekme uz sabiedrību, tautsaimniecības attīstību un administratīvo slogu</w:t>
            </w:r>
          </w:p>
        </w:tc>
      </w:tr>
      <w:tr w:rsidR="00E86D2D" w:rsidRPr="00BA5E65" w14:paraId="57C704B7" w14:textId="77777777" w:rsidTr="00953A72">
        <w:tc>
          <w:tcPr>
            <w:tcW w:w="426" w:type="dxa"/>
          </w:tcPr>
          <w:p w14:paraId="3443D31A" w14:textId="77777777" w:rsidR="00E86D2D" w:rsidRPr="00BA5E65" w:rsidRDefault="00E86D2D" w:rsidP="00953A72">
            <w:pPr>
              <w:rPr>
                <w:sz w:val="28"/>
                <w:szCs w:val="28"/>
              </w:rPr>
            </w:pPr>
            <w:r>
              <w:rPr>
                <w:sz w:val="28"/>
                <w:szCs w:val="28"/>
              </w:rPr>
              <w:t xml:space="preserve">1. </w:t>
            </w:r>
          </w:p>
        </w:tc>
        <w:tc>
          <w:tcPr>
            <w:tcW w:w="2709" w:type="dxa"/>
            <w:gridSpan w:val="2"/>
          </w:tcPr>
          <w:p w14:paraId="29065BA5" w14:textId="77777777" w:rsidR="00E86D2D" w:rsidRPr="00BA5E65" w:rsidRDefault="00E86D2D" w:rsidP="00710EAA">
            <w:pPr>
              <w:spacing w:before="60" w:after="60"/>
              <w:rPr>
                <w:sz w:val="28"/>
                <w:szCs w:val="28"/>
              </w:rPr>
            </w:pPr>
            <w:r w:rsidRPr="00F31085">
              <w:rPr>
                <w:sz w:val="28"/>
                <w:szCs w:val="28"/>
              </w:rPr>
              <w:t xml:space="preserve">Sabiedrības </w:t>
            </w:r>
            <w:proofErr w:type="spellStart"/>
            <w:r w:rsidRPr="00F31085">
              <w:rPr>
                <w:sz w:val="28"/>
                <w:szCs w:val="28"/>
              </w:rPr>
              <w:t>mērķgrupas</w:t>
            </w:r>
            <w:proofErr w:type="spellEnd"/>
            <w:r w:rsidRPr="00F31085">
              <w:rPr>
                <w:sz w:val="28"/>
                <w:szCs w:val="28"/>
              </w:rPr>
              <w:t>, kuras tiesiskais regulējums ietekmē vai varētu ietekmēt</w:t>
            </w:r>
          </w:p>
        </w:tc>
        <w:tc>
          <w:tcPr>
            <w:tcW w:w="5998" w:type="dxa"/>
            <w:gridSpan w:val="2"/>
          </w:tcPr>
          <w:p w14:paraId="6D25AD35" w14:textId="50FA6352" w:rsidR="00381C39" w:rsidRDefault="00AC11F6" w:rsidP="00AC11F6">
            <w:pPr>
              <w:jc w:val="both"/>
              <w:rPr>
                <w:rFonts w:eastAsiaTheme="minorHAnsi" w:cstheme="minorBidi"/>
                <w:sz w:val="28"/>
                <w:szCs w:val="28"/>
                <w:lang w:eastAsia="lv-LV"/>
              </w:rPr>
            </w:pPr>
            <w:r w:rsidRPr="00AC11F6">
              <w:rPr>
                <w:rFonts w:eastAsiaTheme="minorHAnsi" w:cstheme="minorBidi"/>
                <w:sz w:val="28"/>
                <w:szCs w:val="28"/>
                <w:lang w:eastAsia="lv-LV"/>
              </w:rPr>
              <w:t>Jebkura fiziska persona</w:t>
            </w:r>
            <w:r w:rsidR="00FC1525">
              <w:rPr>
                <w:rFonts w:eastAsiaTheme="minorHAnsi" w:cstheme="minorBidi"/>
                <w:sz w:val="28"/>
                <w:szCs w:val="28"/>
                <w:lang w:eastAsia="lv-LV"/>
              </w:rPr>
              <w:t xml:space="preserve"> </w:t>
            </w:r>
            <w:r w:rsidR="007157AB">
              <w:rPr>
                <w:rFonts w:eastAsiaTheme="minorHAnsi" w:cstheme="minorBidi"/>
                <w:sz w:val="28"/>
                <w:szCs w:val="28"/>
                <w:lang w:eastAsia="lv-LV"/>
              </w:rPr>
              <w:t>vai juridiska persona, pašvaldību vai valsts tiešās pārvaldes iestāde,</w:t>
            </w:r>
            <w:r w:rsidR="00FC1525">
              <w:rPr>
                <w:rFonts w:eastAsiaTheme="minorHAnsi" w:cstheme="minorBidi"/>
                <w:sz w:val="28"/>
                <w:szCs w:val="28"/>
                <w:lang w:eastAsia="lv-LV"/>
              </w:rPr>
              <w:t xml:space="preserve"> kura izmanto </w:t>
            </w:r>
            <w:proofErr w:type="spellStart"/>
            <w:r w:rsidR="00FC1525">
              <w:rPr>
                <w:rFonts w:eastAsiaTheme="minorHAnsi" w:cstheme="minorBidi"/>
                <w:sz w:val="28"/>
                <w:szCs w:val="28"/>
                <w:lang w:eastAsia="lv-LV"/>
              </w:rPr>
              <w:t>Iekšlietu</w:t>
            </w:r>
            <w:proofErr w:type="spellEnd"/>
            <w:r w:rsidR="00FC1525">
              <w:rPr>
                <w:rFonts w:eastAsiaTheme="minorHAnsi" w:cstheme="minorBidi"/>
                <w:sz w:val="28"/>
                <w:szCs w:val="28"/>
                <w:lang w:eastAsia="lv-LV"/>
              </w:rPr>
              <w:t xml:space="preserve"> ministrijas Informācijas centra sniegtos pakalpojumus vai</w:t>
            </w:r>
            <w:r w:rsidR="007157AB">
              <w:rPr>
                <w:rFonts w:eastAsiaTheme="minorHAnsi" w:cstheme="minorBidi"/>
                <w:sz w:val="28"/>
                <w:szCs w:val="28"/>
                <w:lang w:eastAsia="lv-LV"/>
              </w:rPr>
              <w:t xml:space="preserve"> </w:t>
            </w:r>
            <w:r w:rsidR="00FC1525">
              <w:rPr>
                <w:rFonts w:eastAsiaTheme="minorHAnsi" w:cstheme="minorBidi"/>
                <w:sz w:val="28"/>
                <w:szCs w:val="28"/>
                <w:lang w:eastAsia="lv-LV"/>
              </w:rPr>
              <w:t xml:space="preserve">pildot valsts deleģētās funkcijas un uzdevumus </w:t>
            </w:r>
            <w:r w:rsidR="007157AB">
              <w:rPr>
                <w:rFonts w:eastAsiaTheme="minorHAnsi" w:cstheme="minorBidi"/>
                <w:sz w:val="28"/>
                <w:szCs w:val="28"/>
                <w:lang w:eastAsia="lv-LV"/>
              </w:rPr>
              <w:t>sadarboj</w:t>
            </w:r>
            <w:r w:rsidR="00FC1525">
              <w:rPr>
                <w:rFonts w:eastAsiaTheme="minorHAnsi" w:cstheme="minorBidi"/>
                <w:sz w:val="28"/>
                <w:szCs w:val="28"/>
                <w:lang w:eastAsia="lv-LV"/>
              </w:rPr>
              <w:t>as</w:t>
            </w:r>
            <w:r w:rsidR="007157AB">
              <w:rPr>
                <w:rFonts w:eastAsiaTheme="minorHAnsi" w:cstheme="minorBidi"/>
                <w:sz w:val="28"/>
                <w:szCs w:val="28"/>
                <w:lang w:eastAsia="lv-LV"/>
              </w:rPr>
              <w:t xml:space="preserve"> ar </w:t>
            </w:r>
            <w:proofErr w:type="spellStart"/>
            <w:r w:rsidR="007157AB">
              <w:rPr>
                <w:rFonts w:eastAsiaTheme="minorHAnsi" w:cstheme="minorBidi"/>
                <w:sz w:val="28"/>
                <w:szCs w:val="28"/>
                <w:lang w:eastAsia="lv-LV"/>
              </w:rPr>
              <w:t>Iekšlietu</w:t>
            </w:r>
            <w:proofErr w:type="spellEnd"/>
            <w:r w:rsidR="007157AB">
              <w:rPr>
                <w:rFonts w:eastAsiaTheme="minorHAnsi" w:cstheme="minorBidi"/>
                <w:sz w:val="28"/>
                <w:szCs w:val="28"/>
                <w:lang w:eastAsia="lv-LV"/>
              </w:rPr>
              <w:t xml:space="preserve"> ministrijas Informācijas centru.</w:t>
            </w:r>
            <w:r w:rsidRPr="00AC11F6">
              <w:rPr>
                <w:rFonts w:eastAsiaTheme="minorHAnsi" w:cstheme="minorBidi"/>
                <w:sz w:val="28"/>
                <w:szCs w:val="28"/>
                <w:lang w:eastAsia="lv-LV"/>
              </w:rPr>
              <w:t xml:space="preserve"> </w:t>
            </w:r>
          </w:p>
          <w:p w14:paraId="30C12100" w14:textId="676A7128" w:rsidR="009A361B" w:rsidRDefault="000A0068" w:rsidP="000A0068">
            <w:pPr>
              <w:jc w:val="both"/>
              <w:rPr>
                <w:rFonts w:eastAsiaTheme="minorHAnsi" w:cstheme="minorBidi"/>
                <w:sz w:val="28"/>
                <w:szCs w:val="28"/>
                <w:lang w:eastAsia="lv-LV"/>
              </w:rPr>
            </w:pPr>
            <w:r>
              <w:rPr>
                <w:rFonts w:eastAsiaTheme="minorHAnsi" w:cstheme="minorBidi"/>
                <w:sz w:val="28"/>
                <w:szCs w:val="28"/>
                <w:lang w:eastAsia="lv-LV"/>
              </w:rPr>
              <w:t>Pēc Pilsonības un migrācijas lietu pārvaldes rīcībā esošajām ziņām, uz 2016.gada 1.janvāri Latvijā ir reģistr</w:t>
            </w:r>
            <w:r w:rsidR="00381C39">
              <w:rPr>
                <w:rFonts w:eastAsiaTheme="minorHAnsi" w:cstheme="minorBidi"/>
                <w:sz w:val="28"/>
                <w:szCs w:val="28"/>
                <w:lang w:eastAsia="lv-LV"/>
              </w:rPr>
              <w:t>ēta</w:t>
            </w:r>
            <w:r w:rsidR="00613179">
              <w:rPr>
                <w:rFonts w:eastAsiaTheme="minorHAnsi" w:cstheme="minorBidi"/>
                <w:sz w:val="28"/>
                <w:szCs w:val="28"/>
                <w:lang w:eastAsia="lv-LV"/>
              </w:rPr>
              <w:t>s</w:t>
            </w:r>
            <w:r>
              <w:rPr>
                <w:rFonts w:eastAsiaTheme="minorHAnsi" w:cstheme="minorBidi"/>
                <w:sz w:val="28"/>
                <w:szCs w:val="28"/>
                <w:lang w:eastAsia="lv-LV"/>
              </w:rPr>
              <w:t xml:space="preserve"> </w:t>
            </w:r>
            <w:r w:rsidR="00306879">
              <w:rPr>
                <w:rFonts w:eastAsiaTheme="minorHAnsi" w:cstheme="minorBidi"/>
                <w:sz w:val="28"/>
                <w:szCs w:val="28"/>
                <w:lang w:eastAsia="lv-LV"/>
              </w:rPr>
              <w:t>2</w:t>
            </w:r>
            <w:r>
              <w:rPr>
                <w:rFonts w:eastAsiaTheme="minorHAnsi" w:cstheme="minorBidi"/>
                <w:sz w:val="28"/>
                <w:szCs w:val="28"/>
                <w:lang w:eastAsia="lv-LV"/>
              </w:rPr>
              <w:t> </w:t>
            </w:r>
            <w:r w:rsidR="00306879">
              <w:rPr>
                <w:rFonts w:eastAsiaTheme="minorHAnsi" w:cstheme="minorBidi"/>
                <w:sz w:val="28"/>
                <w:szCs w:val="28"/>
                <w:lang w:eastAsia="lv-LV"/>
              </w:rPr>
              <w:t>14</w:t>
            </w:r>
            <w:r>
              <w:rPr>
                <w:rFonts w:eastAsiaTheme="minorHAnsi" w:cstheme="minorBidi"/>
                <w:sz w:val="28"/>
                <w:szCs w:val="28"/>
                <w:lang w:eastAsia="lv-LV"/>
              </w:rPr>
              <w:t>4 </w:t>
            </w:r>
            <w:r w:rsidR="00306879">
              <w:rPr>
                <w:rFonts w:eastAsiaTheme="minorHAnsi" w:cstheme="minorBidi"/>
                <w:sz w:val="28"/>
                <w:szCs w:val="28"/>
                <w:lang w:eastAsia="lv-LV"/>
              </w:rPr>
              <w:t>763</w:t>
            </w:r>
            <w:r>
              <w:rPr>
                <w:rFonts w:eastAsiaTheme="minorHAnsi" w:cstheme="minorBidi"/>
                <w:sz w:val="28"/>
                <w:szCs w:val="28"/>
                <w:lang w:eastAsia="lv-LV"/>
              </w:rPr>
              <w:t xml:space="preserve"> fiziskas personas un jebkura no tām, ja </w:t>
            </w:r>
            <w:r w:rsidR="00381C39">
              <w:rPr>
                <w:rFonts w:eastAsiaTheme="minorHAnsi" w:cstheme="minorBidi"/>
                <w:sz w:val="28"/>
                <w:szCs w:val="28"/>
                <w:lang w:eastAsia="lv-LV"/>
              </w:rPr>
              <w:t>izpilda</w:t>
            </w:r>
            <w:r>
              <w:rPr>
                <w:rFonts w:eastAsiaTheme="minorHAnsi" w:cstheme="minorBidi"/>
                <w:sz w:val="28"/>
                <w:szCs w:val="28"/>
                <w:lang w:eastAsia="lv-LV"/>
              </w:rPr>
              <w:t xml:space="preserve"> normatīvo aktu prasīb</w:t>
            </w:r>
            <w:r w:rsidR="00613179">
              <w:rPr>
                <w:rFonts w:eastAsiaTheme="minorHAnsi" w:cstheme="minorBidi"/>
                <w:sz w:val="28"/>
                <w:szCs w:val="28"/>
                <w:lang w:eastAsia="lv-LV"/>
              </w:rPr>
              <w:t>as</w:t>
            </w:r>
            <w:r>
              <w:rPr>
                <w:rFonts w:eastAsiaTheme="minorHAnsi" w:cstheme="minorBidi"/>
                <w:sz w:val="28"/>
                <w:szCs w:val="28"/>
                <w:lang w:eastAsia="lv-LV"/>
              </w:rPr>
              <w:t xml:space="preserve">, var saņemt </w:t>
            </w:r>
            <w:proofErr w:type="spellStart"/>
            <w:r w:rsidR="00FC1525">
              <w:rPr>
                <w:rFonts w:eastAsiaTheme="minorHAnsi" w:cstheme="minorBidi"/>
                <w:sz w:val="28"/>
                <w:szCs w:val="28"/>
                <w:lang w:eastAsia="lv-LV"/>
              </w:rPr>
              <w:t>Iekšlietu</w:t>
            </w:r>
            <w:proofErr w:type="spellEnd"/>
            <w:r w:rsidR="00FC1525">
              <w:rPr>
                <w:rFonts w:eastAsiaTheme="minorHAnsi" w:cstheme="minorBidi"/>
                <w:sz w:val="28"/>
                <w:szCs w:val="28"/>
                <w:lang w:eastAsia="lv-LV"/>
              </w:rPr>
              <w:t xml:space="preserve"> ministrijas Informācijas centra sniegtos pakalpojumus</w:t>
            </w:r>
            <w:r>
              <w:rPr>
                <w:rFonts w:eastAsiaTheme="minorHAnsi" w:cstheme="minorBidi"/>
                <w:sz w:val="28"/>
                <w:szCs w:val="28"/>
                <w:lang w:eastAsia="lv-LV"/>
              </w:rPr>
              <w:t xml:space="preserve">. </w:t>
            </w:r>
          </w:p>
          <w:p w14:paraId="42B3E42A" w14:textId="70543A65" w:rsidR="00FC1525" w:rsidRDefault="00FC1525" w:rsidP="000A0068">
            <w:pPr>
              <w:jc w:val="both"/>
              <w:rPr>
                <w:rFonts w:eastAsiaTheme="minorHAnsi" w:cstheme="minorBidi"/>
                <w:sz w:val="28"/>
                <w:szCs w:val="28"/>
                <w:lang w:eastAsia="lv-LV"/>
              </w:rPr>
            </w:pPr>
            <w:r>
              <w:rPr>
                <w:rFonts w:eastAsiaTheme="minorHAnsi" w:cstheme="minorBidi"/>
                <w:sz w:val="28"/>
                <w:szCs w:val="28"/>
                <w:lang w:eastAsia="lv-LV"/>
              </w:rPr>
              <w:t>Pēc Latvijas Republikas Uzņēmumu reģistra rīcīb</w:t>
            </w:r>
            <w:r w:rsidR="003667C1">
              <w:rPr>
                <w:rFonts w:eastAsiaTheme="minorHAnsi" w:cstheme="minorBidi"/>
                <w:sz w:val="28"/>
                <w:szCs w:val="28"/>
                <w:lang w:eastAsia="lv-LV"/>
              </w:rPr>
              <w:t>ā esošajām ziņām, uz 2016.gada 19</w:t>
            </w:r>
            <w:r>
              <w:rPr>
                <w:rFonts w:eastAsiaTheme="minorHAnsi" w:cstheme="minorBidi"/>
                <w:sz w:val="28"/>
                <w:szCs w:val="28"/>
                <w:lang w:eastAsia="lv-LV"/>
              </w:rPr>
              <w:t>.</w:t>
            </w:r>
            <w:r w:rsidR="003667C1">
              <w:rPr>
                <w:rFonts w:eastAsiaTheme="minorHAnsi" w:cstheme="minorBidi"/>
                <w:sz w:val="28"/>
                <w:szCs w:val="28"/>
                <w:lang w:eastAsia="lv-LV"/>
              </w:rPr>
              <w:t>februāri</w:t>
            </w:r>
            <w:r>
              <w:rPr>
                <w:rFonts w:eastAsiaTheme="minorHAnsi" w:cstheme="minorBidi"/>
                <w:sz w:val="28"/>
                <w:szCs w:val="28"/>
                <w:lang w:eastAsia="lv-LV"/>
              </w:rPr>
              <w:t xml:space="preserve"> Latvijā ir reģistrētas </w:t>
            </w:r>
            <w:r w:rsidR="003667C1">
              <w:rPr>
                <w:rFonts w:eastAsiaTheme="minorHAnsi" w:cstheme="minorBidi"/>
                <w:sz w:val="28"/>
                <w:szCs w:val="28"/>
                <w:lang w:eastAsia="lv-LV"/>
              </w:rPr>
              <w:t xml:space="preserve">aktīvas 207 769 </w:t>
            </w:r>
            <w:r>
              <w:rPr>
                <w:rFonts w:eastAsiaTheme="minorHAnsi" w:cstheme="minorBidi"/>
                <w:sz w:val="28"/>
                <w:szCs w:val="28"/>
                <w:lang w:eastAsia="lv-LV"/>
              </w:rPr>
              <w:t xml:space="preserve">juridiskās personas un jebkura no tām, ja izpilda normatīvo aktu prasības, var saņemt </w:t>
            </w:r>
            <w:proofErr w:type="spellStart"/>
            <w:r>
              <w:rPr>
                <w:rFonts w:eastAsiaTheme="minorHAnsi" w:cstheme="minorBidi"/>
                <w:sz w:val="28"/>
                <w:szCs w:val="28"/>
                <w:lang w:eastAsia="lv-LV"/>
              </w:rPr>
              <w:t>Iekšlietu</w:t>
            </w:r>
            <w:proofErr w:type="spellEnd"/>
            <w:r>
              <w:rPr>
                <w:rFonts w:eastAsiaTheme="minorHAnsi" w:cstheme="minorBidi"/>
                <w:sz w:val="28"/>
                <w:szCs w:val="28"/>
                <w:lang w:eastAsia="lv-LV"/>
              </w:rPr>
              <w:t xml:space="preserve"> ministrijas Informācijas centra sniegtos pakalpojumus.</w:t>
            </w:r>
          </w:p>
          <w:p w14:paraId="18124F4B" w14:textId="2E828764" w:rsidR="00FC1525" w:rsidRDefault="00FC1525" w:rsidP="003667C1">
            <w:pPr>
              <w:jc w:val="both"/>
              <w:rPr>
                <w:rFonts w:eastAsiaTheme="minorHAnsi" w:cstheme="minorBidi"/>
                <w:sz w:val="28"/>
                <w:szCs w:val="28"/>
                <w:lang w:eastAsia="lv-LV"/>
              </w:rPr>
            </w:pPr>
            <w:r>
              <w:rPr>
                <w:rFonts w:eastAsiaTheme="minorHAnsi" w:cstheme="minorBidi"/>
                <w:sz w:val="28"/>
                <w:szCs w:val="28"/>
                <w:lang w:eastAsia="lv-LV"/>
              </w:rPr>
              <w:t xml:space="preserve">Saskaņā ar </w:t>
            </w:r>
            <w:r w:rsidR="003667C1">
              <w:rPr>
                <w:rFonts w:eastAsiaTheme="minorHAnsi" w:cstheme="minorBidi"/>
                <w:sz w:val="28"/>
                <w:szCs w:val="28"/>
                <w:lang w:eastAsia="lv-LV"/>
              </w:rPr>
              <w:t>Administratīvo teritoriju un apdzīvoto vietu likumu</w:t>
            </w:r>
            <w:r>
              <w:rPr>
                <w:rFonts w:eastAsiaTheme="minorHAnsi" w:cstheme="minorBidi"/>
                <w:sz w:val="28"/>
                <w:szCs w:val="28"/>
                <w:lang w:eastAsia="lv-LV"/>
              </w:rPr>
              <w:t xml:space="preserve"> kopumā Latvijā ir 11</w:t>
            </w:r>
            <w:r w:rsidR="003667C1">
              <w:rPr>
                <w:rFonts w:eastAsiaTheme="minorHAnsi" w:cstheme="minorBidi"/>
                <w:sz w:val="28"/>
                <w:szCs w:val="28"/>
                <w:lang w:eastAsia="lv-LV"/>
              </w:rPr>
              <w:t xml:space="preserve">0 novadi un 9 republikas pilsētas, kuras var sadarboties ar </w:t>
            </w:r>
            <w:proofErr w:type="spellStart"/>
            <w:r w:rsidR="003667C1">
              <w:rPr>
                <w:rFonts w:eastAsiaTheme="minorHAnsi" w:cstheme="minorBidi"/>
                <w:sz w:val="28"/>
                <w:szCs w:val="28"/>
                <w:lang w:eastAsia="lv-LV"/>
              </w:rPr>
              <w:t>Iekšlietu</w:t>
            </w:r>
            <w:proofErr w:type="spellEnd"/>
            <w:r w:rsidR="003667C1">
              <w:rPr>
                <w:rFonts w:eastAsiaTheme="minorHAnsi" w:cstheme="minorBidi"/>
                <w:sz w:val="28"/>
                <w:szCs w:val="28"/>
                <w:lang w:eastAsia="lv-LV"/>
              </w:rPr>
              <w:t xml:space="preserve"> ministrijas Informācijas centru, pildot valsts deleģētās funkcijas un uzdevumus.</w:t>
            </w:r>
          </w:p>
          <w:p w14:paraId="73F6A28E" w14:textId="369E07ED" w:rsidR="003667C1" w:rsidRPr="00016A13" w:rsidRDefault="003667C1" w:rsidP="003667C1">
            <w:pPr>
              <w:jc w:val="both"/>
              <w:rPr>
                <w:rFonts w:eastAsiaTheme="minorHAnsi" w:cstheme="minorBidi"/>
                <w:sz w:val="28"/>
                <w:szCs w:val="28"/>
                <w:lang w:eastAsia="lv-LV"/>
              </w:rPr>
            </w:pPr>
            <w:r>
              <w:rPr>
                <w:rFonts w:eastAsiaTheme="minorHAnsi" w:cstheme="minorBidi"/>
                <w:sz w:val="28"/>
                <w:szCs w:val="28"/>
                <w:lang w:eastAsia="lv-LV"/>
              </w:rPr>
              <w:lastRenderedPageBreak/>
              <w:t xml:space="preserve">Latvijā kopumā ir 165 valsts tiešās pārvaldes iestādes, kuras var sadarboties ar </w:t>
            </w:r>
            <w:proofErr w:type="spellStart"/>
            <w:r>
              <w:rPr>
                <w:rFonts w:eastAsiaTheme="minorHAnsi" w:cstheme="minorBidi"/>
                <w:sz w:val="28"/>
                <w:szCs w:val="28"/>
                <w:lang w:eastAsia="lv-LV"/>
              </w:rPr>
              <w:t>Iekšlietu</w:t>
            </w:r>
            <w:proofErr w:type="spellEnd"/>
            <w:r>
              <w:rPr>
                <w:rFonts w:eastAsiaTheme="minorHAnsi" w:cstheme="minorBidi"/>
                <w:sz w:val="28"/>
                <w:szCs w:val="28"/>
                <w:lang w:eastAsia="lv-LV"/>
              </w:rPr>
              <w:t xml:space="preserve"> ministrijas Informācijas centru, pildot valsts deleģētās funkcijas un uzdevumus.</w:t>
            </w:r>
          </w:p>
        </w:tc>
      </w:tr>
      <w:tr w:rsidR="00E86D2D" w:rsidRPr="00BA5E65" w14:paraId="6E450FA4" w14:textId="77777777" w:rsidTr="00953A72">
        <w:tc>
          <w:tcPr>
            <w:tcW w:w="426" w:type="dxa"/>
          </w:tcPr>
          <w:p w14:paraId="090CC650" w14:textId="1DEA2794" w:rsidR="00E86D2D" w:rsidRDefault="00E86D2D" w:rsidP="00953A72">
            <w:pPr>
              <w:rPr>
                <w:sz w:val="28"/>
                <w:szCs w:val="28"/>
              </w:rPr>
            </w:pPr>
            <w:r>
              <w:rPr>
                <w:sz w:val="28"/>
                <w:szCs w:val="28"/>
              </w:rPr>
              <w:lastRenderedPageBreak/>
              <w:t>2.</w:t>
            </w:r>
          </w:p>
        </w:tc>
        <w:tc>
          <w:tcPr>
            <w:tcW w:w="2709" w:type="dxa"/>
            <w:gridSpan w:val="2"/>
          </w:tcPr>
          <w:p w14:paraId="4A2098C5" w14:textId="77777777" w:rsidR="00E86D2D" w:rsidRPr="00F31085" w:rsidRDefault="00E86D2D" w:rsidP="00710EAA">
            <w:pPr>
              <w:spacing w:before="60" w:after="60"/>
              <w:rPr>
                <w:sz w:val="28"/>
                <w:szCs w:val="28"/>
              </w:rPr>
            </w:pPr>
            <w:r w:rsidRPr="00D65D1A">
              <w:rPr>
                <w:sz w:val="28"/>
                <w:szCs w:val="28"/>
              </w:rPr>
              <w:t>Tiesiskā regulējuma ietekme uz tautsaimniecību un administratīvo slogu</w:t>
            </w:r>
          </w:p>
        </w:tc>
        <w:tc>
          <w:tcPr>
            <w:tcW w:w="5998" w:type="dxa"/>
            <w:gridSpan w:val="2"/>
          </w:tcPr>
          <w:p w14:paraId="5F918FC3" w14:textId="6A5CFC33" w:rsidR="00E86D2D" w:rsidRPr="00F31085" w:rsidRDefault="00CC0C15" w:rsidP="00CC0C15">
            <w:pPr>
              <w:spacing w:before="60" w:after="60"/>
              <w:jc w:val="both"/>
              <w:rPr>
                <w:sz w:val="28"/>
                <w:szCs w:val="28"/>
              </w:rPr>
            </w:pPr>
            <w:r>
              <w:rPr>
                <w:sz w:val="28"/>
                <w:szCs w:val="28"/>
              </w:rPr>
              <w:t xml:space="preserve">Fiziskajām un </w:t>
            </w:r>
            <w:r w:rsidR="00370BEA">
              <w:rPr>
                <w:sz w:val="28"/>
                <w:szCs w:val="28"/>
              </w:rPr>
              <w:t xml:space="preserve"> juridiskajām personām administratīvais slogs nemainās un projekta tiesiskais regulējums nemaina to tiesības, pienākumus un veicamās darbības</w:t>
            </w:r>
            <w:r w:rsidR="005B2CAE" w:rsidRPr="00F31085">
              <w:rPr>
                <w:sz w:val="28"/>
                <w:szCs w:val="28"/>
              </w:rPr>
              <w:t>.</w:t>
            </w:r>
          </w:p>
        </w:tc>
      </w:tr>
      <w:tr w:rsidR="00E86D2D" w:rsidRPr="00BA5E65" w14:paraId="288D41B9" w14:textId="77777777" w:rsidTr="00953A72">
        <w:tc>
          <w:tcPr>
            <w:tcW w:w="426" w:type="dxa"/>
          </w:tcPr>
          <w:p w14:paraId="6A7604AE" w14:textId="77777777" w:rsidR="00E86D2D" w:rsidRPr="00BA5E65" w:rsidRDefault="00E86D2D" w:rsidP="00953A72">
            <w:pPr>
              <w:rPr>
                <w:sz w:val="28"/>
                <w:szCs w:val="28"/>
              </w:rPr>
            </w:pPr>
            <w:r>
              <w:rPr>
                <w:sz w:val="28"/>
                <w:szCs w:val="28"/>
              </w:rPr>
              <w:t>3.</w:t>
            </w:r>
          </w:p>
        </w:tc>
        <w:tc>
          <w:tcPr>
            <w:tcW w:w="2709" w:type="dxa"/>
            <w:gridSpan w:val="2"/>
          </w:tcPr>
          <w:p w14:paraId="4C9E7C06" w14:textId="77777777" w:rsidR="00E86D2D" w:rsidRPr="00BA5E65" w:rsidRDefault="00E86D2D" w:rsidP="00710EAA">
            <w:pPr>
              <w:spacing w:before="60" w:after="60"/>
              <w:rPr>
                <w:sz w:val="28"/>
                <w:szCs w:val="28"/>
              </w:rPr>
            </w:pPr>
            <w:r w:rsidRPr="003B10C2">
              <w:rPr>
                <w:sz w:val="28"/>
                <w:szCs w:val="28"/>
              </w:rPr>
              <w:t>Administratīvo izmaksu monetārs novērtējums</w:t>
            </w:r>
          </w:p>
        </w:tc>
        <w:tc>
          <w:tcPr>
            <w:tcW w:w="5998" w:type="dxa"/>
            <w:gridSpan w:val="2"/>
          </w:tcPr>
          <w:p w14:paraId="7708D2D6" w14:textId="27B8F011" w:rsidR="00F85D52" w:rsidRPr="00EB4E3C" w:rsidRDefault="00B40D09" w:rsidP="009554A1">
            <w:pPr>
              <w:jc w:val="both"/>
              <w:rPr>
                <w:color w:val="000000"/>
                <w:sz w:val="28"/>
                <w:szCs w:val="28"/>
                <w:shd w:val="clear" w:color="auto" w:fill="FFFFFF"/>
              </w:rPr>
            </w:pPr>
            <w:r>
              <w:rPr>
                <w:color w:val="000000"/>
                <w:sz w:val="28"/>
                <w:szCs w:val="28"/>
                <w:shd w:val="clear" w:color="auto" w:fill="FFFFFF"/>
              </w:rPr>
              <w:t>Projekts šo jomu neskar.</w:t>
            </w:r>
          </w:p>
        </w:tc>
      </w:tr>
      <w:tr w:rsidR="00E86D2D" w:rsidRPr="00BA5E65" w14:paraId="36609A53" w14:textId="77777777" w:rsidTr="00953A72">
        <w:tc>
          <w:tcPr>
            <w:tcW w:w="426" w:type="dxa"/>
          </w:tcPr>
          <w:p w14:paraId="4E1F11ED" w14:textId="49FAE332" w:rsidR="00E86D2D" w:rsidRPr="00BA5E65" w:rsidRDefault="00E86D2D" w:rsidP="00953A72">
            <w:pPr>
              <w:rPr>
                <w:sz w:val="28"/>
                <w:szCs w:val="28"/>
              </w:rPr>
            </w:pPr>
            <w:r>
              <w:rPr>
                <w:sz w:val="28"/>
                <w:szCs w:val="28"/>
              </w:rPr>
              <w:t>4.</w:t>
            </w:r>
          </w:p>
        </w:tc>
        <w:tc>
          <w:tcPr>
            <w:tcW w:w="2709" w:type="dxa"/>
            <w:gridSpan w:val="2"/>
          </w:tcPr>
          <w:p w14:paraId="18FF8206" w14:textId="77777777" w:rsidR="00E86D2D" w:rsidRPr="00BA5E65" w:rsidRDefault="00E86D2D" w:rsidP="00710EAA">
            <w:pPr>
              <w:spacing w:before="60" w:after="60"/>
              <w:rPr>
                <w:sz w:val="28"/>
                <w:szCs w:val="28"/>
              </w:rPr>
            </w:pPr>
            <w:r w:rsidRPr="00D65D1A">
              <w:rPr>
                <w:sz w:val="28"/>
                <w:szCs w:val="28"/>
              </w:rPr>
              <w:t>Cita informācija</w:t>
            </w:r>
          </w:p>
        </w:tc>
        <w:tc>
          <w:tcPr>
            <w:tcW w:w="5998" w:type="dxa"/>
            <w:gridSpan w:val="2"/>
          </w:tcPr>
          <w:p w14:paraId="1D2BDA40" w14:textId="77777777" w:rsidR="00E86D2D" w:rsidRDefault="00E86D2D" w:rsidP="00710EAA">
            <w:pPr>
              <w:spacing w:before="60" w:after="60"/>
              <w:jc w:val="both"/>
              <w:rPr>
                <w:sz w:val="28"/>
                <w:szCs w:val="28"/>
              </w:rPr>
            </w:pPr>
            <w:r w:rsidRPr="00D65D1A">
              <w:rPr>
                <w:sz w:val="28"/>
                <w:szCs w:val="28"/>
              </w:rPr>
              <w:t>Nav</w:t>
            </w:r>
            <w:r>
              <w:rPr>
                <w:sz w:val="28"/>
                <w:szCs w:val="28"/>
              </w:rPr>
              <w:t>.</w:t>
            </w:r>
          </w:p>
        </w:tc>
      </w:tr>
      <w:tr w:rsidR="0085260E" w14:paraId="286566A2" w14:textId="77777777" w:rsidTr="00DF41DE">
        <w:tc>
          <w:tcPr>
            <w:tcW w:w="9133" w:type="dxa"/>
            <w:gridSpan w:val="5"/>
          </w:tcPr>
          <w:p w14:paraId="2A981B8B" w14:textId="2643ABDE" w:rsidR="0085260E" w:rsidRPr="00ED6A06" w:rsidRDefault="0085260E" w:rsidP="00CE6824">
            <w:pPr>
              <w:spacing w:before="60" w:after="60"/>
              <w:jc w:val="center"/>
              <w:rPr>
                <w:sz w:val="28"/>
                <w:szCs w:val="28"/>
              </w:rPr>
            </w:pPr>
            <w:r>
              <w:rPr>
                <w:b/>
                <w:sz w:val="28"/>
              </w:rPr>
              <w:t>VI.</w:t>
            </w:r>
            <w:r w:rsidRPr="00F03184">
              <w:rPr>
                <w:b/>
                <w:sz w:val="28"/>
              </w:rPr>
              <w:t xml:space="preserve"> </w:t>
            </w:r>
            <w:r w:rsidR="00CE6824">
              <w:rPr>
                <w:b/>
                <w:sz w:val="28"/>
              </w:rPr>
              <w:t>Sabiedrības līdzdalība un komunikācijas aktivitātes</w:t>
            </w:r>
          </w:p>
        </w:tc>
      </w:tr>
      <w:tr w:rsidR="0085260E" w14:paraId="0E46CA16" w14:textId="77777777" w:rsidTr="008A4EEF">
        <w:tc>
          <w:tcPr>
            <w:tcW w:w="534" w:type="dxa"/>
            <w:gridSpan w:val="2"/>
          </w:tcPr>
          <w:p w14:paraId="76A29E60" w14:textId="566A109D" w:rsidR="0085260E" w:rsidRDefault="0085260E" w:rsidP="0085260E">
            <w:pPr>
              <w:jc w:val="center"/>
              <w:rPr>
                <w:iCs/>
                <w:sz w:val="28"/>
                <w:szCs w:val="28"/>
                <w:lang w:eastAsia="lv-LV"/>
              </w:rPr>
            </w:pPr>
            <w:r>
              <w:rPr>
                <w:iCs/>
                <w:sz w:val="28"/>
                <w:szCs w:val="28"/>
                <w:lang w:eastAsia="lv-LV"/>
              </w:rPr>
              <w:t>1.</w:t>
            </w:r>
          </w:p>
        </w:tc>
        <w:tc>
          <w:tcPr>
            <w:tcW w:w="4536" w:type="dxa"/>
            <w:gridSpan w:val="2"/>
          </w:tcPr>
          <w:p w14:paraId="57A2B42C" w14:textId="4C742796" w:rsidR="0085260E" w:rsidRDefault="00CE6824" w:rsidP="00C6045F">
            <w:pPr>
              <w:spacing w:before="60" w:after="60"/>
              <w:rPr>
                <w:iCs/>
                <w:sz w:val="28"/>
                <w:szCs w:val="28"/>
                <w:lang w:eastAsia="lv-LV"/>
              </w:rPr>
            </w:pPr>
            <w:r>
              <w:rPr>
                <w:iCs/>
                <w:sz w:val="28"/>
                <w:szCs w:val="28"/>
                <w:lang w:eastAsia="lv-LV"/>
              </w:rPr>
              <w:t>Plānotās sabiedrības līdzdalības un komunikācijas aktivitātes saistībā ar projektu</w:t>
            </w:r>
          </w:p>
        </w:tc>
        <w:tc>
          <w:tcPr>
            <w:tcW w:w="4063" w:type="dxa"/>
            <w:vAlign w:val="center"/>
          </w:tcPr>
          <w:p w14:paraId="17E6DA06" w14:textId="30D39BF3" w:rsidR="0085260E" w:rsidRPr="00ED6A06" w:rsidRDefault="00CE6824" w:rsidP="00CE6824">
            <w:pPr>
              <w:spacing w:before="60" w:after="60"/>
              <w:jc w:val="both"/>
              <w:rPr>
                <w:sz w:val="28"/>
                <w:szCs w:val="28"/>
              </w:rPr>
            </w:pPr>
            <w:r>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85260E" w14:paraId="532835C1" w14:textId="77777777" w:rsidTr="008A4EEF">
        <w:tc>
          <w:tcPr>
            <w:tcW w:w="534" w:type="dxa"/>
            <w:gridSpan w:val="2"/>
          </w:tcPr>
          <w:p w14:paraId="6D441157" w14:textId="3E0C4601" w:rsidR="0085260E" w:rsidRDefault="0085260E" w:rsidP="0085260E">
            <w:pPr>
              <w:jc w:val="center"/>
              <w:rPr>
                <w:iCs/>
                <w:sz w:val="28"/>
                <w:szCs w:val="28"/>
                <w:lang w:eastAsia="lv-LV"/>
              </w:rPr>
            </w:pPr>
            <w:r>
              <w:rPr>
                <w:iCs/>
                <w:sz w:val="28"/>
                <w:szCs w:val="28"/>
                <w:lang w:eastAsia="lv-LV"/>
              </w:rPr>
              <w:t>2.</w:t>
            </w:r>
          </w:p>
        </w:tc>
        <w:tc>
          <w:tcPr>
            <w:tcW w:w="4536" w:type="dxa"/>
            <w:gridSpan w:val="2"/>
          </w:tcPr>
          <w:p w14:paraId="675A17A3" w14:textId="4B0A291E" w:rsidR="0085260E" w:rsidRDefault="00CE6824" w:rsidP="00C6045F">
            <w:pPr>
              <w:spacing w:before="60" w:after="60"/>
              <w:rPr>
                <w:iCs/>
                <w:sz w:val="28"/>
                <w:szCs w:val="28"/>
                <w:lang w:eastAsia="lv-LV"/>
              </w:rPr>
            </w:pPr>
            <w:r>
              <w:rPr>
                <w:iCs/>
                <w:sz w:val="28"/>
                <w:szCs w:val="28"/>
                <w:lang w:eastAsia="lv-LV"/>
              </w:rPr>
              <w:t>Sabiedrības līdzdalība projekta izstrādē</w:t>
            </w:r>
          </w:p>
        </w:tc>
        <w:tc>
          <w:tcPr>
            <w:tcW w:w="4063" w:type="dxa"/>
            <w:vAlign w:val="center"/>
          </w:tcPr>
          <w:p w14:paraId="0649AAC0" w14:textId="0BDCC1AD" w:rsidR="00300948" w:rsidRPr="00ED6A06" w:rsidRDefault="003C3447" w:rsidP="00356DE0">
            <w:pPr>
              <w:spacing w:before="60" w:after="60"/>
              <w:jc w:val="both"/>
              <w:rPr>
                <w:sz w:val="28"/>
                <w:szCs w:val="28"/>
              </w:rPr>
            </w:pPr>
            <w:r>
              <w:rPr>
                <w:sz w:val="28"/>
                <w:szCs w:val="28"/>
              </w:rPr>
              <w:t>Noteikumu p</w:t>
            </w:r>
            <w:r w:rsidR="00CE6824">
              <w:rPr>
                <w:sz w:val="28"/>
                <w:szCs w:val="28"/>
              </w:rPr>
              <w:t>rojekts kopā ar sākotnējās ietekmes novērtējuma ziņojumu (anotāciju) 201</w:t>
            </w:r>
            <w:r w:rsidR="005B6812">
              <w:rPr>
                <w:sz w:val="28"/>
                <w:szCs w:val="28"/>
              </w:rPr>
              <w:t xml:space="preserve">6.gada </w:t>
            </w:r>
            <w:r w:rsidR="00356DE0">
              <w:rPr>
                <w:sz w:val="28"/>
                <w:szCs w:val="28"/>
              </w:rPr>
              <w:t>14</w:t>
            </w:r>
            <w:r w:rsidR="00CE6824">
              <w:rPr>
                <w:sz w:val="28"/>
                <w:szCs w:val="28"/>
              </w:rPr>
              <w:t>.</w:t>
            </w:r>
            <w:r w:rsidR="00356DE0">
              <w:rPr>
                <w:sz w:val="28"/>
                <w:szCs w:val="28"/>
              </w:rPr>
              <w:t>martā</w:t>
            </w:r>
            <w:r w:rsidR="00CE6824">
              <w:rPr>
                <w:sz w:val="28"/>
                <w:szCs w:val="28"/>
              </w:rPr>
              <w:t xml:space="preserve"> ievietots </w:t>
            </w:r>
            <w:proofErr w:type="spellStart"/>
            <w:r w:rsidR="00CE6824">
              <w:rPr>
                <w:sz w:val="28"/>
                <w:szCs w:val="28"/>
              </w:rPr>
              <w:t>Iekšlietu</w:t>
            </w:r>
            <w:proofErr w:type="spellEnd"/>
            <w:r w:rsidR="00CE6824">
              <w:rPr>
                <w:sz w:val="28"/>
                <w:szCs w:val="28"/>
              </w:rPr>
              <w:t xml:space="preserve"> ministrijas mājas lapā internetā </w:t>
            </w:r>
            <w:r w:rsidR="00CE6824" w:rsidRPr="00CE6824">
              <w:rPr>
                <w:sz w:val="28"/>
                <w:szCs w:val="28"/>
              </w:rPr>
              <w:t>www.iem.gov.lv</w:t>
            </w:r>
            <w:r w:rsidR="00CE6824">
              <w:rPr>
                <w:sz w:val="28"/>
                <w:szCs w:val="28"/>
              </w:rPr>
              <w:t xml:space="preserve"> sadaļā “</w:t>
            </w:r>
            <w:r w:rsidR="00193911">
              <w:rPr>
                <w:sz w:val="28"/>
                <w:szCs w:val="28"/>
              </w:rPr>
              <w:t>Sabiedrības līdzdalība</w:t>
            </w:r>
            <w:r w:rsidR="00CE6824">
              <w:rPr>
                <w:sz w:val="28"/>
                <w:szCs w:val="28"/>
              </w:rPr>
              <w:t>”</w:t>
            </w:r>
            <w:r w:rsidR="004433A3">
              <w:rPr>
                <w:sz w:val="28"/>
                <w:szCs w:val="28"/>
              </w:rPr>
              <w:t xml:space="preserve">, aicinot sabiedrību </w:t>
            </w:r>
            <w:proofErr w:type="spellStart"/>
            <w:r w:rsidR="004433A3">
              <w:rPr>
                <w:sz w:val="28"/>
                <w:szCs w:val="28"/>
              </w:rPr>
              <w:t>rakstveidā</w:t>
            </w:r>
            <w:proofErr w:type="spellEnd"/>
            <w:r w:rsidR="004433A3">
              <w:rPr>
                <w:sz w:val="28"/>
                <w:szCs w:val="28"/>
              </w:rPr>
              <w:t xml:space="preserve"> izteikt savu viedokli par </w:t>
            </w:r>
            <w:r>
              <w:rPr>
                <w:sz w:val="28"/>
                <w:szCs w:val="28"/>
              </w:rPr>
              <w:t xml:space="preserve">Noteikumu </w:t>
            </w:r>
            <w:r w:rsidR="004433A3">
              <w:rPr>
                <w:sz w:val="28"/>
                <w:szCs w:val="28"/>
              </w:rPr>
              <w:t>projektu līdz 201</w:t>
            </w:r>
            <w:r w:rsidR="005B6812">
              <w:rPr>
                <w:sz w:val="28"/>
                <w:szCs w:val="28"/>
              </w:rPr>
              <w:t xml:space="preserve">6.gada </w:t>
            </w:r>
            <w:r w:rsidR="00356DE0">
              <w:rPr>
                <w:sz w:val="28"/>
                <w:szCs w:val="28"/>
              </w:rPr>
              <w:t>31</w:t>
            </w:r>
            <w:r w:rsidR="004433A3">
              <w:rPr>
                <w:sz w:val="28"/>
                <w:szCs w:val="28"/>
              </w:rPr>
              <w:t>.</w:t>
            </w:r>
            <w:r w:rsidR="00A3196D">
              <w:rPr>
                <w:sz w:val="28"/>
                <w:szCs w:val="28"/>
              </w:rPr>
              <w:t>martam</w:t>
            </w:r>
            <w:r w:rsidR="004433A3">
              <w:rPr>
                <w:sz w:val="28"/>
                <w:szCs w:val="28"/>
              </w:rPr>
              <w:t>.</w:t>
            </w:r>
          </w:p>
        </w:tc>
      </w:tr>
      <w:tr w:rsidR="0085260E" w14:paraId="7298738E" w14:textId="77777777" w:rsidTr="008A4EEF">
        <w:tc>
          <w:tcPr>
            <w:tcW w:w="534" w:type="dxa"/>
            <w:gridSpan w:val="2"/>
          </w:tcPr>
          <w:p w14:paraId="4463951D" w14:textId="77E66E93" w:rsidR="0085260E" w:rsidRDefault="0085260E" w:rsidP="0085260E">
            <w:pPr>
              <w:jc w:val="center"/>
              <w:rPr>
                <w:iCs/>
                <w:sz w:val="28"/>
                <w:szCs w:val="28"/>
                <w:lang w:eastAsia="lv-LV"/>
              </w:rPr>
            </w:pPr>
            <w:r>
              <w:rPr>
                <w:iCs/>
                <w:sz w:val="28"/>
                <w:szCs w:val="28"/>
                <w:lang w:eastAsia="lv-LV"/>
              </w:rPr>
              <w:t>3.</w:t>
            </w:r>
          </w:p>
        </w:tc>
        <w:tc>
          <w:tcPr>
            <w:tcW w:w="4536" w:type="dxa"/>
            <w:gridSpan w:val="2"/>
          </w:tcPr>
          <w:p w14:paraId="3B5C4DAE" w14:textId="6984E972" w:rsidR="0085260E" w:rsidRDefault="00CE6824" w:rsidP="00CE6824">
            <w:pPr>
              <w:spacing w:before="60" w:after="60"/>
              <w:rPr>
                <w:iCs/>
                <w:sz w:val="28"/>
                <w:szCs w:val="28"/>
                <w:lang w:eastAsia="lv-LV"/>
              </w:rPr>
            </w:pPr>
            <w:r>
              <w:rPr>
                <w:iCs/>
                <w:sz w:val="28"/>
                <w:szCs w:val="28"/>
                <w:lang w:eastAsia="lv-LV"/>
              </w:rPr>
              <w:t>Sabiedrības līdzdalības rezultāti</w:t>
            </w:r>
          </w:p>
        </w:tc>
        <w:tc>
          <w:tcPr>
            <w:tcW w:w="4063" w:type="dxa"/>
            <w:vAlign w:val="center"/>
          </w:tcPr>
          <w:p w14:paraId="5F1CE560" w14:textId="59D54347" w:rsidR="0085260E" w:rsidRPr="00053B09" w:rsidRDefault="00053B09" w:rsidP="00CD1876">
            <w:pPr>
              <w:spacing w:before="60" w:after="60"/>
              <w:jc w:val="both"/>
              <w:rPr>
                <w:i/>
                <w:sz w:val="28"/>
                <w:szCs w:val="28"/>
              </w:rPr>
            </w:pPr>
            <w:r w:rsidRPr="00053B09">
              <w:rPr>
                <w:sz w:val="28"/>
                <w:szCs w:val="28"/>
              </w:rPr>
              <w:t>Iebildumi vai priekšlikumi par noteikumu projektu netika saņemti.</w:t>
            </w:r>
          </w:p>
        </w:tc>
      </w:tr>
      <w:tr w:rsidR="0085260E" w14:paraId="5393567E" w14:textId="77777777" w:rsidTr="008A4EEF">
        <w:tc>
          <w:tcPr>
            <w:tcW w:w="534" w:type="dxa"/>
            <w:gridSpan w:val="2"/>
          </w:tcPr>
          <w:p w14:paraId="424C20E2" w14:textId="5E2CF1EA" w:rsidR="0085260E" w:rsidRDefault="0085260E" w:rsidP="0085260E">
            <w:pPr>
              <w:jc w:val="center"/>
              <w:rPr>
                <w:iCs/>
                <w:sz w:val="28"/>
                <w:szCs w:val="28"/>
                <w:lang w:eastAsia="lv-LV"/>
              </w:rPr>
            </w:pPr>
            <w:r>
              <w:rPr>
                <w:iCs/>
                <w:sz w:val="28"/>
                <w:szCs w:val="28"/>
                <w:lang w:eastAsia="lv-LV"/>
              </w:rPr>
              <w:t>4.</w:t>
            </w:r>
          </w:p>
        </w:tc>
        <w:tc>
          <w:tcPr>
            <w:tcW w:w="4536" w:type="dxa"/>
            <w:gridSpan w:val="2"/>
          </w:tcPr>
          <w:p w14:paraId="7D964E1F" w14:textId="7420025C" w:rsidR="0085260E" w:rsidRDefault="00CE6824" w:rsidP="00C6045F">
            <w:pPr>
              <w:spacing w:before="60" w:after="60"/>
              <w:rPr>
                <w:iCs/>
                <w:sz w:val="28"/>
                <w:szCs w:val="28"/>
                <w:lang w:eastAsia="lv-LV"/>
              </w:rPr>
            </w:pPr>
            <w:r>
              <w:rPr>
                <w:iCs/>
                <w:sz w:val="28"/>
                <w:szCs w:val="28"/>
                <w:lang w:eastAsia="lv-LV"/>
              </w:rPr>
              <w:t>Cita informācija</w:t>
            </w:r>
          </w:p>
        </w:tc>
        <w:tc>
          <w:tcPr>
            <w:tcW w:w="4063" w:type="dxa"/>
            <w:vAlign w:val="center"/>
          </w:tcPr>
          <w:p w14:paraId="0A3FFB2B" w14:textId="0B077BC3" w:rsidR="0085260E" w:rsidRPr="00ED6A06" w:rsidRDefault="00CE6824" w:rsidP="00C6045F">
            <w:pPr>
              <w:spacing w:before="60" w:after="60"/>
              <w:rPr>
                <w:sz w:val="28"/>
                <w:szCs w:val="28"/>
              </w:rPr>
            </w:pPr>
            <w:r>
              <w:rPr>
                <w:sz w:val="28"/>
                <w:szCs w:val="28"/>
              </w:rPr>
              <w:t>Nav.</w:t>
            </w:r>
          </w:p>
        </w:tc>
      </w:tr>
      <w:tr w:rsidR="00C6045F" w:rsidRPr="00F03184" w14:paraId="530DC64E" w14:textId="77777777" w:rsidTr="00DB3A0C">
        <w:tc>
          <w:tcPr>
            <w:tcW w:w="9133" w:type="dxa"/>
            <w:gridSpan w:val="5"/>
          </w:tcPr>
          <w:p w14:paraId="6A8A3485" w14:textId="77777777" w:rsidR="00C6045F" w:rsidRPr="00F03184" w:rsidRDefault="00C6045F" w:rsidP="00C6045F">
            <w:pPr>
              <w:pStyle w:val="naisf"/>
              <w:spacing w:before="60" w:after="60"/>
              <w:ind w:firstLine="357"/>
              <w:jc w:val="center"/>
              <w:rPr>
                <w:b/>
                <w:color w:val="000000" w:themeColor="text1"/>
                <w:sz w:val="28"/>
                <w:szCs w:val="26"/>
              </w:rPr>
            </w:pPr>
            <w:r w:rsidRPr="00F03184">
              <w:rPr>
                <w:b/>
                <w:sz w:val="28"/>
              </w:rPr>
              <w:t>VII</w:t>
            </w:r>
            <w:r>
              <w:rPr>
                <w:b/>
                <w:sz w:val="28"/>
              </w:rPr>
              <w:t>.</w:t>
            </w:r>
            <w:r w:rsidRPr="00F03184">
              <w:rPr>
                <w:b/>
                <w:sz w:val="28"/>
              </w:rPr>
              <w:t xml:space="preserve"> Tiesību akta projekta izpildes nodrošināšana un tās ietekme uz institūcijām</w:t>
            </w:r>
          </w:p>
        </w:tc>
      </w:tr>
      <w:tr w:rsidR="00C6045F" w14:paraId="51078F22" w14:textId="77777777" w:rsidTr="00DB3A0C">
        <w:tc>
          <w:tcPr>
            <w:tcW w:w="534" w:type="dxa"/>
            <w:gridSpan w:val="2"/>
          </w:tcPr>
          <w:p w14:paraId="527D7F11" w14:textId="77777777" w:rsidR="00C6045F" w:rsidRDefault="00C6045F" w:rsidP="00C6045F">
            <w:pPr>
              <w:rPr>
                <w:iCs/>
                <w:sz w:val="28"/>
                <w:szCs w:val="28"/>
                <w:lang w:eastAsia="lv-LV"/>
              </w:rPr>
            </w:pPr>
            <w:r>
              <w:rPr>
                <w:iCs/>
                <w:sz w:val="28"/>
                <w:szCs w:val="28"/>
                <w:lang w:eastAsia="lv-LV"/>
              </w:rPr>
              <w:t>1.</w:t>
            </w:r>
          </w:p>
        </w:tc>
        <w:tc>
          <w:tcPr>
            <w:tcW w:w="4536" w:type="dxa"/>
            <w:gridSpan w:val="2"/>
          </w:tcPr>
          <w:p w14:paraId="33809C1F" w14:textId="77777777" w:rsidR="00C6045F" w:rsidRDefault="00C6045F" w:rsidP="00C6045F">
            <w:pPr>
              <w:spacing w:before="60" w:after="60"/>
              <w:rPr>
                <w:iCs/>
                <w:sz w:val="28"/>
                <w:szCs w:val="28"/>
                <w:lang w:eastAsia="lv-LV"/>
              </w:rPr>
            </w:pPr>
            <w:r w:rsidRPr="00ED6A06">
              <w:rPr>
                <w:sz w:val="28"/>
                <w:szCs w:val="28"/>
              </w:rPr>
              <w:t>Projekta izpildē iesaistītās institūcijas</w:t>
            </w:r>
          </w:p>
        </w:tc>
        <w:tc>
          <w:tcPr>
            <w:tcW w:w="4063" w:type="dxa"/>
            <w:vAlign w:val="center"/>
          </w:tcPr>
          <w:p w14:paraId="67F22F25" w14:textId="44D7A0FB" w:rsidR="00C6045F" w:rsidRDefault="0008144F" w:rsidP="00A3196D">
            <w:pPr>
              <w:spacing w:before="60" w:after="60"/>
              <w:jc w:val="both"/>
              <w:rPr>
                <w:iCs/>
                <w:sz w:val="28"/>
                <w:szCs w:val="28"/>
                <w:lang w:eastAsia="lv-LV"/>
              </w:rPr>
            </w:pPr>
            <w:proofErr w:type="spellStart"/>
            <w:r>
              <w:rPr>
                <w:iCs/>
                <w:sz w:val="28"/>
                <w:szCs w:val="28"/>
                <w:lang w:eastAsia="lv-LV"/>
              </w:rPr>
              <w:t>Iekšlietu</w:t>
            </w:r>
            <w:proofErr w:type="spellEnd"/>
            <w:r>
              <w:rPr>
                <w:iCs/>
                <w:sz w:val="28"/>
                <w:szCs w:val="28"/>
                <w:lang w:eastAsia="lv-LV"/>
              </w:rPr>
              <w:t xml:space="preserve"> </w:t>
            </w:r>
            <w:r w:rsidR="00A3196D">
              <w:rPr>
                <w:iCs/>
                <w:sz w:val="28"/>
                <w:szCs w:val="28"/>
                <w:lang w:eastAsia="lv-LV"/>
              </w:rPr>
              <w:t>ministrijas Informācijas centrs</w:t>
            </w:r>
            <w:r>
              <w:rPr>
                <w:iCs/>
                <w:sz w:val="28"/>
                <w:szCs w:val="28"/>
                <w:lang w:eastAsia="lv-LV"/>
              </w:rPr>
              <w:t>.</w:t>
            </w:r>
          </w:p>
        </w:tc>
      </w:tr>
      <w:tr w:rsidR="00C6045F" w14:paraId="1B731107" w14:textId="77777777" w:rsidTr="00DB3A0C">
        <w:tc>
          <w:tcPr>
            <w:tcW w:w="534" w:type="dxa"/>
            <w:gridSpan w:val="2"/>
          </w:tcPr>
          <w:p w14:paraId="2A0AEC63" w14:textId="77777777" w:rsidR="00C6045F" w:rsidRDefault="00C6045F" w:rsidP="00C6045F">
            <w:pPr>
              <w:rPr>
                <w:iCs/>
                <w:sz w:val="28"/>
                <w:szCs w:val="28"/>
                <w:lang w:eastAsia="lv-LV"/>
              </w:rPr>
            </w:pPr>
            <w:r>
              <w:rPr>
                <w:iCs/>
                <w:sz w:val="28"/>
                <w:szCs w:val="28"/>
                <w:lang w:eastAsia="lv-LV"/>
              </w:rPr>
              <w:lastRenderedPageBreak/>
              <w:t>2.</w:t>
            </w:r>
          </w:p>
        </w:tc>
        <w:tc>
          <w:tcPr>
            <w:tcW w:w="4536" w:type="dxa"/>
            <w:gridSpan w:val="2"/>
          </w:tcPr>
          <w:p w14:paraId="001B4E10" w14:textId="77777777" w:rsidR="00C6045F" w:rsidRDefault="00C6045F" w:rsidP="00C6045F">
            <w:pPr>
              <w:spacing w:before="60" w:after="60"/>
              <w:rPr>
                <w:iCs/>
                <w:sz w:val="28"/>
                <w:szCs w:val="28"/>
                <w:lang w:eastAsia="lv-LV"/>
              </w:rPr>
            </w:pPr>
            <w:r w:rsidRPr="00ED6A06">
              <w:rPr>
                <w:sz w:val="28"/>
                <w:szCs w:val="28"/>
              </w:rPr>
              <w:t>Projekta izpildes ietekme uz pārvaldes funkcijām un institucionālo struktūru. Jaunu institūciju izveide, esošu institūciju likvidācija vai reorganizācija, to ietekme uz institūcijas cilvēkresursiem</w:t>
            </w:r>
          </w:p>
        </w:tc>
        <w:tc>
          <w:tcPr>
            <w:tcW w:w="4063" w:type="dxa"/>
          </w:tcPr>
          <w:p w14:paraId="702B2F38" w14:textId="008786EF" w:rsidR="00C6045F" w:rsidRDefault="00C6045F" w:rsidP="00C6045F">
            <w:pPr>
              <w:spacing w:before="60"/>
              <w:jc w:val="both"/>
              <w:rPr>
                <w:sz w:val="28"/>
                <w:szCs w:val="28"/>
              </w:rPr>
            </w:pPr>
            <w:r w:rsidRPr="00ED6A06">
              <w:rPr>
                <w:sz w:val="28"/>
                <w:szCs w:val="28"/>
              </w:rPr>
              <w:t xml:space="preserve">Saistībā ar </w:t>
            </w:r>
            <w:r w:rsidR="003C3447">
              <w:rPr>
                <w:sz w:val="28"/>
                <w:szCs w:val="28"/>
              </w:rPr>
              <w:t xml:space="preserve">Noteikumu </w:t>
            </w:r>
            <w:r w:rsidRPr="00ED6A06">
              <w:rPr>
                <w:sz w:val="28"/>
                <w:szCs w:val="28"/>
              </w:rPr>
              <w:t>projekta izpildi nav nepieciešams veidot jaunas institūcijas, likvidēt vai reorganizēt esošās.</w:t>
            </w:r>
          </w:p>
          <w:p w14:paraId="542EE7BA" w14:textId="77777777" w:rsidR="00706CD0" w:rsidRDefault="00881428" w:rsidP="00300948">
            <w:pPr>
              <w:spacing w:before="60"/>
              <w:jc w:val="both"/>
              <w:rPr>
                <w:sz w:val="28"/>
                <w:szCs w:val="28"/>
              </w:rPr>
            </w:pPr>
            <w:proofErr w:type="spellStart"/>
            <w:r>
              <w:rPr>
                <w:sz w:val="28"/>
                <w:szCs w:val="28"/>
              </w:rPr>
              <w:t>I</w:t>
            </w:r>
            <w:r w:rsidR="00300948">
              <w:rPr>
                <w:sz w:val="28"/>
                <w:szCs w:val="28"/>
              </w:rPr>
              <w:t>ekšlietu</w:t>
            </w:r>
            <w:proofErr w:type="spellEnd"/>
            <w:r w:rsidR="00300948">
              <w:rPr>
                <w:sz w:val="28"/>
                <w:szCs w:val="28"/>
              </w:rPr>
              <w:t xml:space="preserve"> ministrijas I</w:t>
            </w:r>
            <w:r>
              <w:rPr>
                <w:sz w:val="28"/>
                <w:szCs w:val="28"/>
              </w:rPr>
              <w:t xml:space="preserve">nformācijas centram izmaiņas cilvēkresursu </w:t>
            </w:r>
            <w:r w:rsidR="005A15C1">
              <w:rPr>
                <w:sz w:val="28"/>
                <w:szCs w:val="28"/>
              </w:rPr>
              <w:t>noslodzes skaita ziņā</w:t>
            </w:r>
            <w:r>
              <w:rPr>
                <w:sz w:val="28"/>
                <w:szCs w:val="28"/>
              </w:rPr>
              <w:t xml:space="preserve"> </w:t>
            </w:r>
            <w:r w:rsidR="0008144F">
              <w:rPr>
                <w:sz w:val="28"/>
                <w:szCs w:val="28"/>
              </w:rPr>
              <w:t>nekas nemainīsies</w:t>
            </w:r>
            <w:r w:rsidR="00706CD0">
              <w:rPr>
                <w:sz w:val="28"/>
                <w:szCs w:val="28"/>
              </w:rPr>
              <w:t>.</w:t>
            </w:r>
          </w:p>
          <w:p w14:paraId="4B67BE1F" w14:textId="43D45552" w:rsidR="0072059F" w:rsidRDefault="0058580E" w:rsidP="00300948">
            <w:pPr>
              <w:spacing w:before="60"/>
              <w:jc w:val="both"/>
              <w:rPr>
                <w:sz w:val="28"/>
                <w:szCs w:val="28"/>
              </w:rPr>
            </w:pPr>
            <w:r>
              <w:rPr>
                <w:sz w:val="28"/>
                <w:szCs w:val="28"/>
              </w:rPr>
              <w:t>Definēto j</w:t>
            </w:r>
            <w:r w:rsidR="00706CD0">
              <w:rPr>
                <w:sz w:val="28"/>
                <w:szCs w:val="28"/>
              </w:rPr>
              <w:t xml:space="preserve">auno funkciju izpildei nepieciešamie cilvēkresursi </w:t>
            </w:r>
            <w:proofErr w:type="spellStart"/>
            <w:r w:rsidR="00706CD0">
              <w:rPr>
                <w:sz w:val="28"/>
                <w:szCs w:val="28"/>
              </w:rPr>
              <w:t>Iekšlietu</w:t>
            </w:r>
            <w:proofErr w:type="spellEnd"/>
            <w:r w:rsidR="00706CD0">
              <w:rPr>
                <w:sz w:val="28"/>
                <w:szCs w:val="28"/>
              </w:rPr>
              <w:t xml:space="preserve"> ministrijas un tās padotībā esošo iestāžu informācijas un komunikācijas tehnoloģiju centralizācijas rezultātā šobrīd jau ir nodarbināti </w:t>
            </w:r>
            <w:proofErr w:type="spellStart"/>
            <w:r w:rsidR="00706CD0">
              <w:rPr>
                <w:sz w:val="28"/>
                <w:szCs w:val="28"/>
              </w:rPr>
              <w:t>Iekšlietu</w:t>
            </w:r>
            <w:proofErr w:type="spellEnd"/>
            <w:r w:rsidR="00706CD0">
              <w:rPr>
                <w:sz w:val="28"/>
                <w:szCs w:val="28"/>
              </w:rPr>
              <w:t xml:space="preserve"> ministrijas Informācijas centrā</w:t>
            </w:r>
            <w:r w:rsidR="0008144F">
              <w:rPr>
                <w:sz w:val="28"/>
                <w:szCs w:val="28"/>
              </w:rPr>
              <w:t>.</w:t>
            </w:r>
          </w:p>
          <w:p w14:paraId="510604D9" w14:textId="77777777" w:rsidR="00146A29" w:rsidRPr="00146A29" w:rsidRDefault="00146A29" w:rsidP="00146A29">
            <w:pPr>
              <w:pStyle w:val="naisnod"/>
              <w:suppressAutoHyphens w:val="0"/>
              <w:spacing w:before="0" w:after="0"/>
              <w:jc w:val="both"/>
              <w:rPr>
                <w:b w:val="0"/>
                <w:sz w:val="28"/>
                <w:szCs w:val="28"/>
              </w:rPr>
            </w:pPr>
            <w:r w:rsidRPr="00146A29">
              <w:rPr>
                <w:b w:val="0"/>
                <w:sz w:val="28"/>
                <w:szCs w:val="28"/>
              </w:rPr>
              <w:t xml:space="preserve">Pēc Ministru kabineta noteikumu projekta spēkā stāšanās, </w:t>
            </w:r>
            <w:proofErr w:type="spellStart"/>
            <w:r w:rsidRPr="00146A29">
              <w:rPr>
                <w:b w:val="0"/>
                <w:sz w:val="28"/>
                <w:szCs w:val="28"/>
              </w:rPr>
              <w:t>Iekšlietu</w:t>
            </w:r>
            <w:proofErr w:type="spellEnd"/>
            <w:r w:rsidRPr="00146A29">
              <w:rPr>
                <w:b w:val="0"/>
                <w:sz w:val="28"/>
                <w:szCs w:val="28"/>
              </w:rPr>
              <w:t xml:space="preserve"> ministrijas Informācijas centram būs divas jaunas funkcijas:</w:t>
            </w:r>
          </w:p>
          <w:p w14:paraId="5DACC785" w14:textId="174ACDC3" w:rsidR="00146A29" w:rsidRPr="00146A29" w:rsidRDefault="00146A29" w:rsidP="00146A29">
            <w:pPr>
              <w:pStyle w:val="naisnod"/>
              <w:suppressAutoHyphens w:val="0"/>
              <w:spacing w:before="0" w:after="0"/>
              <w:jc w:val="both"/>
              <w:rPr>
                <w:b w:val="0"/>
                <w:sz w:val="28"/>
                <w:szCs w:val="28"/>
              </w:rPr>
            </w:pPr>
            <w:r w:rsidRPr="00146A29">
              <w:rPr>
                <w:b w:val="0"/>
                <w:sz w:val="28"/>
                <w:szCs w:val="28"/>
              </w:rPr>
              <w:t xml:space="preserve"> - koordinēt ministrijas padotībā esošo iestāžu darbu informācijas un komunikācijas tehnoloģiju jomā;</w:t>
            </w:r>
          </w:p>
          <w:p w14:paraId="4CA977F1" w14:textId="2BC47234" w:rsidR="00146A29" w:rsidRDefault="00146A29" w:rsidP="00146A29">
            <w:pPr>
              <w:pStyle w:val="naisnod"/>
              <w:suppressAutoHyphens w:val="0"/>
              <w:spacing w:before="0" w:after="0"/>
              <w:jc w:val="both"/>
              <w:rPr>
                <w:b w:val="0"/>
                <w:sz w:val="28"/>
                <w:szCs w:val="28"/>
              </w:rPr>
            </w:pPr>
            <w:r w:rsidRPr="00146A29">
              <w:rPr>
                <w:b w:val="0"/>
                <w:sz w:val="28"/>
                <w:szCs w:val="28"/>
              </w:rPr>
              <w:t xml:space="preserve">- nodrošināt centra pārziņā esošo informācijas un komunikācijas tehnoloģiju risinājumu un infrastruktūras pārvaldību, uzturēšanu </w:t>
            </w:r>
            <w:r>
              <w:rPr>
                <w:b w:val="0"/>
                <w:sz w:val="28"/>
                <w:szCs w:val="28"/>
              </w:rPr>
              <w:t xml:space="preserve">un attīstību. </w:t>
            </w:r>
          </w:p>
          <w:p w14:paraId="2A5E0FDB" w14:textId="392A61B8" w:rsidR="00146A29" w:rsidRDefault="00E470F5" w:rsidP="00146A29">
            <w:pPr>
              <w:pStyle w:val="naisnod"/>
              <w:suppressAutoHyphens w:val="0"/>
              <w:spacing w:before="0" w:after="0"/>
              <w:jc w:val="both"/>
              <w:rPr>
                <w:b w:val="0"/>
                <w:sz w:val="28"/>
                <w:szCs w:val="28"/>
              </w:rPr>
            </w:pPr>
            <w:r>
              <w:rPr>
                <w:b w:val="0"/>
                <w:sz w:val="28"/>
                <w:szCs w:val="28"/>
              </w:rPr>
              <w:t xml:space="preserve">Vienlaicīgi </w:t>
            </w:r>
            <w:proofErr w:type="spellStart"/>
            <w:r w:rsidR="00783487">
              <w:rPr>
                <w:b w:val="0"/>
                <w:sz w:val="28"/>
                <w:szCs w:val="28"/>
              </w:rPr>
              <w:t>Iekšlietu</w:t>
            </w:r>
            <w:proofErr w:type="spellEnd"/>
            <w:r w:rsidR="00783487">
              <w:rPr>
                <w:b w:val="0"/>
                <w:sz w:val="28"/>
                <w:szCs w:val="28"/>
              </w:rPr>
              <w:t xml:space="preserve"> ministrijas Informācijas centram tiek saglabātas </w:t>
            </w:r>
            <w:r>
              <w:rPr>
                <w:b w:val="0"/>
                <w:sz w:val="28"/>
                <w:szCs w:val="28"/>
              </w:rPr>
              <w:t>jau Ministru kabineta 2004.gada 8.j</w:t>
            </w:r>
            <w:r w:rsidR="00483592">
              <w:rPr>
                <w:b w:val="0"/>
                <w:sz w:val="28"/>
                <w:szCs w:val="28"/>
              </w:rPr>
              <w:t>ūnija noteikumu</w:t>
            </w:r>
            <w:r>
              <w:rPr>
                <w:b w:val="0"/>
                <w:sz w:val="28"/>
                <w:szCs w:val="28"/>
              </w:rPr>
              <w:t xml:space="preserve"> Nr.526 “</w:t>
            </w:r>
            <w:proofErr w:type="spellStart"/>
            <w:r>
              <w:rPr>
                <w:b w:val="0"/>
                <w:sz w:val="28"/>
                <w:szCs w:val="28"/>
              </w:rPr>
              <w:t>Iekšlietu</w:t>
            </w:r>
            <w:proofErr w:type="spellEnd"/>
            <w:r>
              <w:rPr>
                <w:b w:val="0"/>
                <w:sz w:val="28"/>
                <w:szCs w:val="28"/>
              </w:rPr>
              <w:t xml:space="preserve"> ministrijas Informācijas centra nolikums”</w:t>
            </w:r>
            <w:r w:rsidR="00483592">
              <w:rPr>
                <w:b w:val="0"/>
                <w:sz w:val="28"/>
                <w:szCs w:val="28"/>
              </w:rPr>
              <w:t xml:space="preserve"> 3.1. un 3.2.apakšpunktos definētās</w:t>
            </w:r>
            <w:r>
              <w:rPr>
                <w:b w:val="0"/>
                <w:sz w:val="28"/>
                <w:szCs w:val="28"/>
              </w:rPr>
              <w:t xml:space="preserve"> funkcijas:</w:t>
            </w:r>
          </w:p>
          <w:p w14:paraId="38783376" w14:textId="77777777" w:rsidR="00DC3BA7" w:rsidRPr="00DC3BA7" w:rsidRDefault="00DC3BA7" w:rsidP="00DC3BA7">
            <w:pPr>
              <w:pStyle w:val="naisnod"/>
              <w:numPr>
                <w:ilvl w:val="0"/>
                <w:numId w:val="15"/>
              </w:numPr>
              <w:suppressAutoHyphens w:val="0"/>
              <w:spacing w:before="0" w:after="0"/>
              <w:jc w:val="both"/>
              <w:rPr>
                <w:b w:val="0"/>
                <w:sz w:val="28"/>
                <w:szCs w:val="28"/>
              </w:rPr>
            </w:pPr>
            <w:r w:rsidRPr="00DC3BA7">
              <w:rPr>
                <w:b w:val="0"/>
                <w:sz w:val="28"/>
                <w:szCs w:val="28"/>
              </w:rPr>
              <w:t>organizēt un vadīt centra pārziņā esošo informācijas sistēmu darbību;</w:t>
            </w:r>
          </w:p>
          <w:p w14:paraId="02B7E243" w14:textId="5741EB53" w:rsidR="00DC3BA7" w:rsidRDefault="00DC3BA7" w:rsidP="00DC3BA7">
            <w:pPr>
              <w:pStyle w:val="naisnod"/>
              <w:numPr>
                <w:ilvl w:val="0"/>
                <w:numId w:val="15"/>
              </w:numPr>
              <w:suppressAutoHyphens w:val="0"/>
              <w:spacing w:before="0" w:after="0"/>
              <w:jc w:val="both"/>
              <w:rPr>
                <w:b w:val="0"/>
                <w:sz w:val="28"/>
                <w:szCs w:val="28"/>
              </w:rPr>
            </w:pPr>
            <w:r w:rsidRPr="00DC3BA7">
              <w:rPr>
                <w:b w:val="0"/>
                <w:sz w:val="28"/>
                <w:szCs w:val="28"/>
              </w:rPr>
              <w:t xml:space="preserve">uzturēt to informācijas sistēmu funkcionalitāti un tehniskos resursus, kuru </w:t>
            </w:r>
            <w:r w:rsidRPr="00DC3BA7">
              <w:rPr>
                <w:b w:val="0"/>
                <w:sz w:val="28"/>
                <w:szCs w:val="28"/>
              </w:rPr>
              <w:lastRenderedPageBreak/>
              <w:t>tehn</w:t>
            </w:r>
            <w:r>
              <w:rPr>
                <w:b w:val="0"/>
                <w:sz w:val="28"/>
                <w:szCs w:val="28"/>
              </w:rPr>
              <w:t>isko resursu turētājs ir centrs.</w:t>
            </w:r>
          </w:p>
          <w:p w14:paraId="34CB299F" w14:textId="6BB0EADC" w:rsidR="00E470F5" w:rsidRDefault="00DC3BA7" w:rsidP="00DC3BA7">
            <w:pPr>
              <w:pStyle w:val="naisnod"/>
              <w:suppressAutoHyphens w:val="0"/>
              <w:spacing w:before="0" w:after="0"/>
              <w:jc w:val="both"/>
              <w:rPr>
                <w:b w:val="0"/>
                <w:sz w:val="28"/>
                <w:szCs w:val="28"/>
              </w:rPr>
            </w:pPr>
            <w:r>
              <w:rPr>
                <w:b w:val="0"/>
                <w:sz w:val="28"/>
                <w:szCs w:val="28"/>
              </w:rPr>
              <w:t xml:space="preserve">Tāpat </w:t>
            </w:r>
            <w:proofErr w:type="spellStart"/>
            <w:r>
              <w:rPr>
                <w:b w:val="0"/>
                <w:sz w:val="28"/>
                <w:szCs w:val="28"/>
              </w:rPr>
              <w:t>Iekšlietu</w:t>
            </w:r>
            <w:proofErr w:type="spellEnd"/>
            <w:r>
              <w:rPr>
                <w:b w:val="0"/>
                <w:sz w:val="28"/>
                <w:szCs w:val="28"/>
              </w:rPr>
              <w:t xml:space="preserve"> ministrijas Informācijas centrs saglabā, Ministru kabineta 2004.gada 8.jūnija noteikum</w:t>
            </w:r>
            <w:r w:rsidR="00D24B41">
              <w:rPr>
                <w:b w:val="0"/>
                <w:sz w:val="28"/>
                <w:szCs w:val="28"/>
              </w:rPr>
              <w:t xml:space="preserve">u </w:t>
            </w:r>
            <w:r>
              <w:rPr>
                <w:b w:val="0"/>
                <w:sz w:val="28"/>
                <w:szCs w:val="28"/>
              </w:rPr>
              <w:t>Nr.526 “</w:t>
            </w:r>
            <w:proofErr w:type="spellStart"/>
            <w:r>
              <w:rPr>
                <w:b w:val="0"/>
                <w:sz w:val="28"/>
                <w:szCs w:val="28"/>
              </w:rPr>
              <w:t>Iekšlietu</w:t>
            </w:r>
            <w:proofErr w:type="spellEnd"/>
            <w:r>
              <w:rPr>
                <w:b w:val="0"/>
                <w:sz w:val="28"/>
                <w:szCs w:val="28"/>
              </w:rPr>
              <w:t xml:space="preserve"> ministrijas Informācijas centra nolikums” </w:t>
            </w:r>
            <w:r w:rsidR="00D24B41">
              <w:rPr>
                <w:b w:val="0"/>
                <w:sz w:val="28"/>
                <w:szCs w:val="28"/>
              </w:rPr>
              <w:t xml:space="preserve">3.3.apakšpunktā </w:t>
            </w:r>
            <w:r>
              <w:rPr>
                <w:b w:val="0"/>
                <w:sz w:val="28"/>
                <w:szCs w:val="28"/>
              </w:rPr>
              <w:t xml:space="preserve">noteikto funkciju </w:t>
            </w:r>
            <w:r w:rsidRPr="00DC3BA7">
              <w:rPr>
                <w:b w:val="0"/>
                <w:sz w:val="28"/>
                <w:szCs w:val="28"/>
              </w:rPr>
              <w:t>nodrošināt ministrijas un tās padotībā esošo iestāžu ilgstoši un pastāvīgi glabājamo lietu (dokumentu un datu) izbeigto krimināllietu uzkrāšanu, uzskaiti, izmantošanu un saglabāšanu līdz to nodošanai valsts</w:t>
            </w:r>
            <w:r>
              <w:rPr>
                <w:b w:val="0"/>
                <w:sz w:val="28"/>
                <w:szCs w:val="28"/>
              </w:rPr>
              <w:t xml:space="preserve"> arhīvā, vien turpmāk paplašinot tās darbību arī uz Ieslodzījuma vietu pārvaldi. </w:t>
            </w:r>
          </w:p>
          <w:p w14:paraId="44CE5934" w14:textId="44627368" w:rsidR="00483592" w:rsidRDefault="00483592" w:rsidP="00DC3BA7">
            <w:pPr>
              <w:pStyle w:val="naisnod"/>
              <w:suppressAutoHyphens w:val="0"/>
              <w:spacing w:before="0" w:after="0"/>
              <w:jc w:val="both"/>
              <w:rPr>
                <w:b w:val="0"/>
                <w:sz w:val="28"/>
                <w:szCs w:val="28"/>
              </w:rPr>
            </w:pPr>
            <w:r>
              <w:rPr>
                <w:b w:val="0"/>
                <w:sz w:val="28"/>
                <w:szCs w:val="28"/>
              </w:rPr>
              <w:t>Ministru kabineta 2004.gada 8.jūnija noteikumu Nr.526 “</w:t>
            </w:r>
            <w:proofErr w:type="spellStart"/>
            <w:r>
              <w:rPr>
                <w:b w:val="0"/>
                <w:sz w:val="28"/>
                <w:szCs w:val="28"/>
              </w:rPr>
              <w:t>Iekšlietu</w:t>
            </w:r>
            <w:proofErr w:type="spellEnd"/>
            <w:r>
              <w:rPr>
                <w:b w:val="0"/>
                <w:sz w:val="28"/>
                <w:szCs w:val="28"/>
              </w:rPr>
              <w:t xml:space="preserve"> ministrijas Informācijas centra nolikums” 3.4.apakšpunktā</w:t>
            </w:r>
          </w:p>
          <w:p w14:paraId="3743DCD2" w14:textId="05632124" w:rsidR="00483592" w:rsidRDefault="00483592" w:rsidP="00DC3BA7">
            <w:pPr>
              <w:pStyle w:val="naisnod"/>
              <w:suppressAutoHyphens w:val="0"/>
              <w:spacing w:before="0" w:after="0"/>
              <w:jc w:val="both"/>
              <w:rPr>
                <w:b w:val="0"/>
                <w:sz w:val="28"/>
                <w:szCs w:val="28"/>
              </w:rPr>
            </w:pPr>
            <w:r>
              <w:rPr>
                <w:b w:val="0"/>
                <w:sz w:val="28"/>
                <w:szCs w:val="28"/>
              </w:rPr>
              <w:t xml:space="preserve">noteiktā funkcija (nodrošināt informācijas sistēmās iekļauto ziņu sniegšanu normatīvajos aktos noteiktajā kārtībā) tiek svītrota, jo pienākums izsniegt ziņas saskaņā ar normatīvajos aktos noteikto kārtību, apjomu un kompetenci </w:t>
            </w:r>
            <w:r w:rsidR="00A73CDB">
              <w:rPr>
                <w:b w:val="0"/>
                <w:sz w:val="28"/>
                <w:szCs w:val="28"/>
              </w:rPr>
              <w:t xml:space="preserve">jau </w:t>
            </w:r>
            <w:r>
              <w:rPr>
                <w:b w:val="0"/>
                <w:sz w:val="28"/>
                <w:szCs w:val="28"/>
              </w:rPr>
              <w:t>izriet no valsts informācijas sistēmu un fizisko personu datu apstrādi regulējošo normatīvo aktu prasībām (piemēram, Valsts informācijas sist</w:t>
            </w:r>
            <w:r w:rsidR="00A73CDB">
              <w:rPr>
                <w:b w:val="0"/>
                <w:sz w:val="28"/>
                <w:szCs w:val="28"/>
              </w:rPr>
              <w:t>ēmu likuma</w:t>
            </w:r>
            <w:r>
              <w:rPr>
                <w:b w:val="0"/>
                <w:sz w:val="28"/>
                <w:szCs w:val="28"/>
              </w:rPr>
              <w:t>, Fizisko personu datu aizsardz</w:t>
            </w:r>
            <w:r w:rsidR="00A73CDB">
              <w:rPr>
                <w:b w:val="0"/>
                <w:sz w:val="28"/>
                <w:szCs w:val="28"/>
              </w:rPr>
              <w:t>ības likuma, u.c.</w:t>
            </w:r>
            <w:r>
              <w:rPr>
                <w:b w:val="0"/>
                <w:sz w:val="28"/>
                <w:szCs w:val="28"/>
              </w:rPr>
              <w:t xml:space="preserve">). Līdz ar to </w:t>
            </w:r>
            <w:r w:rsidRPr="00483592">
              <w:rPr>
                <w:b w:val="0"/>
                <w:sz w:val="28"/>
                <w:szCs w:val="28"/>
              </w:rPr>
              <w:t xml:space="preserve">norma dublē likumos </w:t>
            </w:r>
            <w:proofErr w:type="spellStart"/>
            <w:r w:rsidR="00731BA6">
              <w:rPr>
                <w:b w:val="0"/>
                <w:sz w:val="28"/>
                <w:szCs w:val="28"/>
              </w:rPr>
              <w:t>Iekšlietu</w:t>
            </w:r>
            <w:proofErr w:type="spellEnd"/>
            <w:r w:rsidR="00731BA6">
              <w:rPr>
                <w:b w:val="0"/>
                <w:sz w:val="28"/>
                <w:szCs w:val="28"/>
              </w:rPr>
              <w:t xml:space="preserve"> ministrijas Informācijas centram</w:t>
            </w:r>
            <w:r w:rsidRPr="00483592">
              <w:rPr>
                <w:b w:val="0"/>
                <w:sz w:val="28"/>
                <w:szCs w:val="28"/>
              </w:rPr>
              <w:t xml:space="preserve"> noteiktos pienākumus un saskaņā ar Ministru kabineta 2009.gada 3.debruāra noteikumu Nr.108 “Normatīvo aktu projektu sagatavošanas noteikumi” 3.2.apakšpunkta prasībām, normatīvajos aktos nedublē </w:t>
            </w:r>
            <w:r w:rsidRPr="00483592">
              <w:rPr>
                <w:b w:val="0"/>
                <w:sz w:val="28"/>
                <w:szCs w:val="28"/>
              </w:rPr>
              <w:lastRenderedPageBreak/>
              <w:t>augstāka normatīvā akta tiesību normās ietverto normatīvo regulējumu.</w:t>
            </w:r>
          </w:p>
          <w:p w14:paraId="328E62DA" w14:textId="350DFDCA" w:rsidR="00146A29" w:rsidRPr="00483592" w:rsidRDefault="00137304" w:rsidP="00483592">
            <w:pPr>
              <w:pStyle w:val="naisnod"/>
              <w:suppressAutoHyphens w:val="0"/>
              <w:spacing w:before="0" w:after="0"/>
              <w:jc w:val="both"/>
              <w:rPr>
                <w:b w:val="0"/>
                <w:sz w:val="28"/>
                <w:szCs w:val="28"/>
              </w:rPr>
            </w:pPr>
            <w:proofErr w:type="spellStart"/>
            <w:r>
              <w:rPr>
                <w:b w:val="0"/>
                <w:sz w:val="28"/>
                <w:szCs w:val="28"/>
              </w:rPr>
              <w:t>Iekšlietu</w:t>
            </w:r>
            <w:proofErr w:type="spellEnd"/>
            <w:r>
              <w:rPr>
                <w:b w:val="0"/>
                <w:sz w:val="28"/>
                <w:szCs w:val="28"/>
              </w:rPr>
              <w:t xml:space="preserve"> ministrijas Informācijas centrs saglabā arī Ministru kabineta 2004.gada 8.jūnija noteikumu Nr.526 “</w:t>
            </w:r>
            <w:proofErr w:type="spellStart"/>
            <w:r>
              <w:rPr>
                <w:b w:val="0"/>
                <w:sz w:val="28"/>
                <w:szCs w:val="28"/>
              </w:rPr>
              <w:t>Iekšlietu</w:t>
            </w:r>
            <w:proofErr w:type="spellEnd"/>
            <w:r>
              <w:rPr>
                <w:b w:val="0"/>
                <w:sz w:val="28"/>
                <w:szCs w:val="28"/>
              </w:rPr>
              <w:t xml:space="preserve"> ministrijas Informācijas centra nolikums” 3.5. un 3.6.apakšpunktā noteiktās funkcijas attiecībā uz </w:t>
            </w:r>
            <w:proofErr w:type="spellStart"/>
            <w:r>
              <w:rPr>
                <w:b w:val="0"/>
                <w:sz w:val="28"/>
                <w:szCs w:val="28"/>
              </w:rPr>
              <w:t>Iekšlietu</w:t>
            </w:r>
            <w:proofErr w:type="spellEnd"/>
            <w:r>
              <w:rPr>
                <w:b w:val="0"/>
                <w:sz w:val="28"/>
                <w:szCs w:val="28"/>
              </w:rPr>
              <w:t xml:space="preserve"> ministrijas sakaru sistēmu izveidošanu, pārvaldīšanu, uzturēšanu un nepārtrauktas darbības un funkcionalitātes nodrošināšanu, vien apvienojot abas funkcijas redakcionāli vienā normā un izsakot to šādā redakcijā - </w:t>
            </w:r>
            <w:r w:rsidRPr="00137304">
              <w:rPr>
                <w:b w:val="0"/>
                <w:sz w:val="28"/>
                <w:szCs w:val="28"/>
              </w:rPr>
              <w:t>izveidot, pārvaldīt un uzturēt ministrijas sakaru sistēmas un nodrošina to nepārtra</w:t>
            </w:r>
            <w:r>
              <w:rPr>
                <w:b w:val="0"/>
                <w:sz w:val="28"/>
                <w:szCs w:val="28"/>
              </w:rPr>
              <w:t>uktu darbību un funkcionalitāti</w:t>
            </w:r>
            <w:r w:rsidRPr="00137304">
              <w:rPr>
                <w:b w:val="0"/>
                <w:sz w:val="28"/>
                <w:szCs w:val="28"/>
              </w:rPr>
              <w:t>.</w:t>
            </w:r>
          </w:p>
        </w:tc>
      </w:tr>
      <w:tr w:rsidR="00C6045F" w14:paraId="3A2C18FA" w14:textId="77777777" w:rsidTr="00DB3A0C">
        <w:tc>
          <w:tcPr>
            <w:tcW w:w="534" w:type="dxa"/>
            <w:gridSpan w:val="2"/>
          </w:tcPr>
          <w:p w14:paraId="2860F483" w14:textId="417B28EC" w:rsidR="00C6045F" w:rsidRDefault="00C6045F" w:rsidP="00C6045F">
            <w:pPr>
              <w:rPr>
                <w:iCs/>
                <w:sz w:val="28"/>
                <w:szCs w:val="28"/>
                <w:lang w:eastAsia="lv-LV"/>
              </w:rPr>
            </w:pPr>
            <w:r>
              <w:rPr>
                <w:iCs/>
                <w:sz w:val="28"/>
                <w:szCs w:val="28"/>
                <w:lang w:eastAsia="lv-LV"/>
              </w:rPr>
              <w:lastRenderedPageBreak/>
              <w:t>3.</w:t>
            </w:r>
          </w:p>
        </w:tc>
        <w:tc>
          <w:tcPr>
            <w:tcW w:w="4536" w:type="dxa"/>
            <w:gridSpan w:val="2"/>
          </w:tcPr>
          <w:p w14:paraId="2A911D8F" w14:textId="77777777" w:rsidR="00C6045F" w:rsidRDefault="00C6045F" w:rsidP="00C6045F">
            <w:pPr>
              <w:spacing w:before="60" w:after="60"/>
              <w:rPr>
                <w:iCs/>
                <w:sz w:val="28"/>
                <w:szCs w:val="28"/>
                <w:lang w:eastAsia="lv-LV"/>
              </w:rPr>
            </w:pPr>
            <w:r>
              <w:rPr>
                <w:iCs/>
                <w:sz w:val="28"/>
                <w:szCs w:val="28"/>
                <w:lang w:eastAsia="lv-LV"/>
              </w:rPr>
              <w:t>Cita informācija</w:t>
            </w:r>
          </w:p>
        </w:tc>
        <w:tc>
          <w:tcPr>
            <w:tcW w:w="4063" w:type="dxa"/>
            <w:vAlign w:val="center"/>
          </w:tcPr>
          <w:p w14:paraId="1C27B3DE" w14:textId="77777777" w:rsidR="00C6045F" w:rsidRDefault="00C6045F" w:rsidP="00C6045F">
            <w:pPr>
              <w:spacing w:before="60" w:after="60"/>
              <w:rPr>
                <w:iCs/>
                <w:sz w:val="28"/>
                <w:szCs w:val="28"/>
                <w:lang w:eastAsia="lv-LV"/>
              </w:rPr>
            </w:pPr>
            <w:r w:rsidRPr="00ED6A06">
              <w:rPr>
                <w:sz w:val="28"/>
                <w:szCs w:val="28"/>
              </w:rPr>
              <w:t>Nav</w:t>
            </w:r>
            <w:r>
              <w:rPr>
                <w:sz w:val="28"/>
                <w:szCs w:val="28"/>
              </w:rPr>
              <w:t>.</w:t>
            </w:r>
          </w:p>
        </w:tc>
      </w:tr>
    </w:tbl>
    <w:p w14:paraId="5FC97E79" w14:textId="77777777" w:rsidR="00ED6A06" w:rsidRDefault="00ED6A06" w:rsidP="0007077C">
      <w:pPr>
        <w:rPr>
          <w:iCs/>
          <w:sz w:val="28"/>
          <w:szCs w:val="28"/>
          <w:lang w:eastAsia="lv-LV"/>
        </w:rPr>
      </w:pPr>
    </w:p>
    <w:p w14:paraId="5005D74D" w14:textId="5ABEB487" w:rsidR="0007077C" w:rsidRPr="00A63E6C" w:rsidRDefault="008D5F20" w:rsidP="0007077C">
      <w:pPr>
        <w:rPr>
          <w:sz w:val="28"/>
          <w:szCs w:val="28"/>
          <w:lang w:eastAsia="lv-LV"/>
        </w:rPr>
      </w:pPr>
      <w:r>
        <w:rPr>
          <w:iCs/>
          <w:sz w:val="28"/>
          <w:szCs w:val="28"/>
          <w:lang w:eastAsia="lv-LV"/>
        </w:rPr>
        <w:t xml:space="preserve">Anotācijas </w:t>
      </w:r>
      <w:r w:rsidR="0085260E">
        <w:rPr>
          <w:iCs/>
          <w:sz w:val="28"/>
          <w:szCs w:val="28"/>
          <w:lang w:eastAsia="lv-LV"/>
        </w:rPr>
        <w:t>III</w:t>
      </w:r>
      <w:r w:rsidR="00136A05">
        <w:rPr>
          <w:iCs/>
          <w:sz w:val="28"/>
          <w:szCs w:val="28"/>
          <w:lang w:eastAsia="lv-LV"/>
        </w:rPr>
        <w:t>, IV</w:t>
      </w:r>
      <w:r w:rsidR="0085260E">
        <w:rPr>
          <w:iCs/>
          <w:sz w:val="28"/>
          <w:szCs w:val="28"/>
          <w:lang w:eastAsia="lv-LV"/>
        </w:rPr>
        <w:t xml:space="preserve"> un </w:t>
      </w:r>
      <w:r w:rsidR="0007077C" w:rsidRPr="00A63E6C">
        <w:rPr>
          <w:iCs/>
          <w:sz w:val="28"/>
          <w:szCs w:val="28"/>
          <w:lang w:eastAsia="lv-LV"/>
        </w:rPr>
        <w:t>V</w:t>
      </w:r>
      <w:r w:rsidR="00AF1B96">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14:paraId="0B217BAB" w14:textId="77777777" w:rsidR="00AF1B96" w:rsidRDefault="00AF1B96" w:rsidP="00C338A6">
      <w:pPr>
        <w:jc w:val="both"/>
        <w:rPr>
          <w:sz w:val="28"/>
          <w:szCs w:val="28"/>
          <w:lang w:val="de-DE"/>
        </w:rPr>
      </w:pPr>
    </w:p>
    <w:p w14:paraId="1E9208AB" w14:textId="77777777" w:rsidR="00AF1B96" w:rsidRDefault="00AF1B96" w:rsidP="00C338A6">
      <w:pPr>
        <w:jc w:val="both"/>
        <w:rPr>
          <w:sz w:val="28"/>
          <w:szCs w:val="28"/>
          <w:lang w:val="de-DE"/>
        </w:rPr>
      </w:pPr>
    </w:p>
    <w:p w14:paraId="63634EC7" w14:textId="462D57E5"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00D94EA3">
        <w:rPr>
          <w:sz w:val="28"/>
          <w:szCs w:val="28"/>
          <w:lang w:val="de-DE"/>
        </w:rPr>
        <w:t xml:space="preserve">                </w:t>
      </w:r>
      <w:r w:rsidR="00A217E7" w:rsidRPr="00D1252E">
        <w:rPr>
          <w:sz w:val="28"/>
          <w:szCs w:val="28"/>
          <w:lang w:val="de-DE"/>
        </w:rPr>
        <w:t xml:space="preserve"> </w:t>
      </w:r>
      <w:r w:rsidR="00C53722">
        <w:rPr>
          <w:sz w:val="28"/>
          <w:szCs w:val="28"/>
          <w:lang w:val="de-DE"/>
        </w:rPr>
        <w:t xml:space="preserve">      </w:t>
      </w:r>
      <w:r w:rsidR="00681A0A">
        <w:rPr>
          <w:sz w:val="28"/>
          <w:szCs w:val="28"/>
          <w:lang w:val="de-DE"/>
        </w:rPr>
        <w:t>R.</w:t>
      </w:r>
      <w:r w:rsidRPr="00D1252E">
        <w:rPr>
          <w:sz w:val="28"/>
          <w:szCs w:val="28"/>
          <w:lang w:val="de-DE"/>
        </w:rPr>
        <w:t>Kozlovskis</w:t>
      </w:r>
    </w:p>
    <w:p w14:paraId="60B7E2C7" w14:textId="77777777" w:rsidR="0008347A" w:rsidRPr="00D1252E" w:rsidRDefault="0008347A" w:rsidP="00C338A6">
      <w:pPr>
        <w:jc w:val="both"/>
        <w:rPr>
          <w:sz w:val="28"/>
          <w:szCs w:val="28"/>
        </w:rPr>
      </w:pPr>
    </w:p>
    <w:p w14:paraId="73D20D25" w14:textId="5491BC10"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00D94EA3">
        <w:rPr>
          <w:sz w:val="28"/>
          <w:szCs w:val="28"/>
        </w:rPr>
        <w:t xml:space="preserve">               </w:t>
      </w:r>
      <w:r w:rsidR="00C53722">
        <w:rPr>
          <w:sz w:val="28"/>
          <w:szCs w:val="28"/>
        </w:rPr>
        <w:t xml:space="preserve">      </w:t>
      </w:r>
      <w:proofErr w:type="spellStart"/>
      <w:r w:rsidRPr="00D1252E">
        <w:rPr>
          <w:sz w:val="28"/>
          <w:szCs w:val="28"/>
        </w:rPr>
        <w:t>I.Pētersone</w:t>
      </w:r>
      <w:proofErr w:type="spellEnd"/>
      <w:r w:rsidR="00B74BDF" w:rsidRPr="00D1252E">
        <w:rPr>
          <w:sz w:val="28"/>
          <w:szCs w:val="28"/>
        </w:rPr>
        <w:t>–</w:t>
      </w:r>
      <w:r w:rsidRPr="00D1252E">
        <w:rPr>
          <w:sz w:val="28"/>
          <w:szCs w:val="28"/>
        </w:rPr>
        <w:t>Godmane</w:t>
      </w:r>
    </w:p>
    <w:p w14:paraId="5C4F3103" w14:textId="77777777" w:rsidR="00AF1B96" w:rsidRDefault="00AF1B96" w:rsidP="00D539DB">
      <w:pPr>
        <w:rPr>
          <w:color w:val="000000"/>
          <w:sz w:val="20"/>
          <w:szCs w:val="20"/>
        </w:rPr>
      </w:pPr>
    </w:p>
    <w:p w14:paraId="4AD0ED63" w14:textId="77777777" w:rsidR="009A5601" w:rsidRDefault="009A5601" w:rsidP="00D539DB">
      <w:pPr>
        <w:rPr>
          <w:color w:val="000000"/>
          <w:sz w:val="20"/>
          <w:szCs w:val="20"/>
        </w:rPr>
      </w:pPr>
    </w:p>
    <w:p w14:paraId="391BF856" w14:textId="77777777" w:rsidR="00CE1008" w:rsidRDefault="00CE1008" w:rsidP="00D539DB">
      <w:pPr>
        <w:rPr>
          <w:color w:val="000000"/>
          <w:sz w:val="20"/>
          <w:szCs w:val="20"/>
        </w:rPr>
      </w:pPr>
    </w:p>
    <w:p w14:paraId="0112C56D" w14:textId="77777777" w:rsidR="00CE1008" w:rsidRDefault="00CE1008" w:rsidP="00D539DB">
      <w:pPr>
        <w:rPr>
          <w:color w:val="000000"/>
          <w:sz w:val="20"/>
          <w:szCs w:val="20"/>
        </w:rPr>
      </w:pPr>
    </w:p>
    <w:p w14:paraId="482C9354" w14:textId="77777777" w:rsidR="00CE1008" w:rsidRDefault="00CE1008" w:rsidP="00D539DB">
      <w:pPr>
        <w:rPr>
          <w:color w:val="000000"/>
          <w:sz w:val="20"/>
          <w:szCs w:val="20"/>
        </w:rPr>
      </w:pPr>
    </w:p>
    <w:p w14:paraId="028C2FC7" w14:textId="77777777" w:rsidR="00CE1008" w:rsidRDefault="00CE1008" w:rsidP="00D539DB">
      <w:pPr>
        <w:rPr>
          <w:color w:val="000000"/>
          <w:sz w:val="20"/>
          <w:szCs w:val="20"/>
        </w:rPr>
      </w:pPr>
    </w:p>
    <w:p w14:paraId="5711A5F4" w14:textId="77777777" w:rsidR="00CE1008" w:rsidRDefault="00CE1008" w:rsidP="00D539DB">
      <w:pPr>
        <w:rPr>
          <w:color w:val="000000"/>
          <w:sz w:val="20"/>
          <w:szCs w:val="20"/>
        </w:rPr>
      </w:pPr>
    </w:p>
    <w:p w14:paraId="54D2D44F" w14:textId="77777777" w:rsidR="00CE1008" w:rsidRDefault="00CE1008" w:rsidP="00D539DB">
      <w:pPr>
        <w:rPr>
          <w:color w:val="000000"/>
          <w:sz w:val="20"/>
          <w:szCs w:val="20"/>
        </w:rPr>
      </w:pPr>
    </w:p>
    <w:p w14:paraId="4800F8E0" w14:textId="77777777" w:rsidR="00393CDB" w:rsidRDefault="00393CDB" w:rsidP="00D539DB">
      <w:pPr>
        <w:rPr>
          <w:color w:val="000000"/>
          <w:sz w:val="20"/>
          <w:szCs w:val="20"/>
        </w:rPr>
      </w:pPr>
    </w:p>
    <w:p w14:paraId="4AE0624F" w14:textId="77777777" w:rsidR="009803D4" w:rsidRDefault="009803D4" w:rsidP="00D539DB">
      <w:pPr>
        <w:rPr>
          <w:color w:val="000000"/>
          <w:sz w:val="20"/>
          <w:szCs w:val="20"/>
        </w:rPr>
      </w:pPr>
    </w:p>
    <w:p w14:paraId="1D28442C" w14:textId="77777777" w:rsidR="009803D4" w:rsidRDefault="009803D4" w:rsidP="00D539DB">
      <w:pPr>
        <w:rPr>
          <w:color w:val="000000"/>
          <w:sz w:val="20"/>
          <w:szCs w:val="20"/>
        </w:rPr>
      </w:pPr>
    </w:p>
    <w:p w14:paraId="2CCC0CCD" w14:textId="77777777" w:rsidR="009803D4" w:rsidRDefault="009803D4" w:rsidP="00D539DB">
      <w:pPr>
        <w:rPr>
          <w:color w:val="000000"/>
          <w:sz w:val="20"/>
          <w:szCs w:val="20"/>
        </w:rPr>
      </w:pPr>
    </w:p>
    <w:p w14:paraId="2B13CC85" w14:textId="77777777" w:rsidR="009803D4" w:rsidRDefault="009803D4" w:rsidP="00D539DB">
      <w:pPr>
        <w:rPr>
          <w:color w:val="000000"/>
          <w:sz w:val="20"/>
          <w:szCs w:val="20"/>
        </w:rPr>
      </w:pPr>
      <w:bookmarkStart w:id="0" w:name="_GoBack"/>
      <w:bookmarkEnd w:id="0"/>
    </w:p>
    <w:p w14:paraId="3199DF10" w14:textId="77777777" w:rsidR="009803D4" w:rsidRDefault="009803D4" w:rsidP="00D539DB">
      <w:pPr>
        <w:rPr>
          <w:color w:val="000000"/>
          <w:sz w:val="20"/>
          <w:szCs w:val="20"/>
        </w:rPr>
      </w:pPr>
    </w:p>
    <w:p w14:paraId="1BFB3CCF" w14:textId="6C5DE364" w:rsidR="00B66458" w:rsidRDefault="009A768A" w:rsidP="00AC0A6D">
      <w:pPr>
        <w:pStyle w:val="naisf"/>
        <w:spacing w:before="0" w:after="0"/>
        <w:ind w:firstLine="0"/>
        <w:rPr>
          <w:sz w:val="20"/>
          <w:szCs w:val="20"/>
        </w:rPr>
      </w:pPr>
      <w:r>
        <w:rPr>
          <w:sz w:val="20"/>
          <w:szCs w:val="20"/>
        </w:rPr>
        <w:t>20</w:t>
      </w:r>
      <w:r w:rsidR="00BC18BF">
        <w:rPr>
          <w:sz w:val="20"/>
          <w:szCs w:val="20"/>
        </w:rPr>
        <w:t>.07</w:t>
      </w:r>
      <w:r w:rsidR="00B66458">
        <w:rPr>
          <w:sz w:val="20"/>
          <w:szCs w:val="20"/>
        </w:rPr>
        <w:t>.2016. 8:01</w:t>
      </w:r>
    </w:p>
    <w:p w14:paraId="2A0B38FF" w14:textId="200D5623" w:rsidR="00CE417F" w:rsidRPr="00AC0A6D" w:rsidRDefault="009803D4" w:rsidP="00AC0A6D">
      <w:pPr>
        <w:pStyle w:val="naisf"/>
        <w:spacing w:before="0" w:after="0"/>
        <w:ind w:firstLine="0"/>
        <w:rPr>
          <w:sz w:val="20"/>
          <w:szCs w:val="20"/>
        </w:rPr>
      </w:pPr>
      <w:r>
        <w:rPr>
          <w:sz w:val="20"/>
          <w:szCs w:val="20"/>
        </w:rPr>
        <w:t>2175</w:t>
      </w:r>
    </w:p>
    <w:p w14:paraId="1BC03D98" w14:textId="15A95578" w:rsidR="00D1252E" w:rsidRDefault="00D94EA3" w:rsidP="00527A75">
      <w:pPr>
        <w:pStyle w:val="BodyText"/>
        <w:jc w:val="left"/>
        <w:rPr>
          <w:b w:val="0"/>
          <w:sz w:val="20"/>
        </w:rPr>
      </w:pPr>
      <w:proofErr w:type="spellStart"/>
      <w:r>
        <w:rPr>
          <w:b w:val="0"/>
          <w:sz w:val="20"/>
        </w:rPr>
        <w:t>S.Koritko</w:t>
      </w:r>
      <w:proofErr w:type="spellEnd"/>
    </w:p>
    <w:p w14:paraId="61A54440" w14:textId="0F30B987" w:rsidR="00300948" w:rsidRPr="00527A75" w:rsidRDefault="00D1252E" w:rsidP="00527A75">
      <w:pPr>
        <w:pStyle w:val="BodyText"/>
        <w:jc w:val="left"/>
        <w:rPr>
          <w:b w:val="0"/>
          <w:sz w:val="20"/>
        </w:rPr>
      </w:pPr>
      <w:r>
        <w:rPr>
          <w:b w:val="0"/>
          <w:sz w:val="20"/>
        </w:rPr>
        <w:t>672</w:t>
      </w:r>
      <w:r w:rsidR="00D94EA3">
        <w:rPr>
          <w:b w:val="0"/>
          <w:sz w:val="20"/>
        </w:rPr>
        <w:t xml:space="preserve">08742, </w:t>
      </w:r>
      <w:hyperlink r:id="rId8" w:history="1">
        <w:r w:rsidR="00D94EA3" w:rsidRPr="001E5F76">
          <w:rPr>
            <w:rStyle w:val="Hyperlink"/>
            <w:b w:val="0"/>
            <w:sz w:val="20"/>
          </w:rPr>
          <w:t>signe.koritko@ic.iem.gov.lv</w:t>
        </w:r>
      </w:hyperlink>
      <w:r w:rsidR="00D94EA3">
        <w:rPr>
          <w:b w:val="0"/>
          <w:sz w:val="20"/>
        </w:rPr>
        <w:t xml:space="preserve"> </w:t>
      </w:r>
      <w:r>
        <w:rPr>
          <w:b w:val="0"/>
          <w:sz w:val="20"/>
        </w:rPr>
        <w:t xml:space="preserve"> </w:t>
      </w:r>
    </w:p>
    <w:sectPr w:rsidR="00300948" w:rsidRPr="00527A75" w:rsidSect="00C5372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37882" w14:textId="77777777" w:rsidR="00271601" w:rsidRDefault="00271601" w:rsidP="00616AA6">
      <w:r>
        <w:separator/>
      </w:r>
    </w:p>
  </w:endnote>
  <w:endnote w:type="continuationSeparator" w:id="0">
    <w:p w14:paraId="47E6CEE7" w14:textId="77777777" w:rsidR="00271601" w:rsidRDefault="00271601"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B2AB" w14:textId="6EAFF114" w:rsidR="00FA3806" w:rsidRPr="000B1FA2" w:rsidRDefault="000B1FA2" w:rsidP="000B1FA2">
    <w:pPr>
      <w:jc w:val="both"/>
      <w:rPr>
        <w:sz w:val="20"/>
        <w:szCs w:val="20"/>
      </w:rPr>
    </w:pPr>
    <w:r w:rsidRPr="00732FE0">
      <w:rPr>
        <w:sz w:val="20"/>
        <w:szCs w:val="20"/>
      </w:rPr>
      <w:t>IEMAnot_</w:t>
    </w:r>
    <w:r w:rsidR="009A768A">
      <w:rPr>
        <w:sz w:val="20"/>
        <w:szCs w:val="20"/>
      </w:rPr>
      <w:t>20</w:t>
    </w:r>
    <w:r w:rsidR="00BC18BF">
      <w:rPr>
        <w:sz w:val="20"/>
        <w:szCs w:val="20"/>
      </w:rPr>
      <w:t>07</w:t>
    </w:r>
    <w:r w:rsidRPr="00732FE0">
      <w:rPr>
        <w:sz w:val="20"/>
        <w:szCs w:val="20"/>
      </w:rPr>
      <w:t>1</w:t>
    </w:r>
    <w:r>
      <w:rPr>
        <w:sz w:val="20"/>
        <w:szCs w:val="20"/>
      </w:rPr>
      <w:t>6</w:t>
    </w:r>
    <w:r w:rsidRPr="00732FE0">
      <w:rPr>
        <w:sz w:val="20"/>
        <w:szCs w:val="20"/>
      </w:rPr>
      <w:t>_</w:t>
    </w:r>
    <w:r>
      <w:rPr>
        <w:sz w:val="20"/>
        <w:szCs w:val="20"/>
      </w:rPr>
      <w:t>MK_526</w:t>
    </w:r>
    <w:r w:rsidRPr="00732FE0">
      <w:rPr>
        <w:sz w:val="20"/>
        <w:szCs w:val="20"/>
      </w:rPr>
      <w:t xml:space="preserve">; Ministru kabineta </w:t>
    </w:r>
    <w:r>
      <w:rPr>
        <w:sz w:val="20"/>
        <w:szCs w:val="20"/>
      </w:rPr>
      <w:t>noteikumu</w:t>
    </w:r>
    <w:r w:rsidRPr="00732FE0">
      <w:rPr>
        <w:sz w:val="20"/>
        <w:szCs w:val="20"/>
      </w:rPr>
      <w:t xml:space="preserve"> projekta “</w:t>
    </w:r>
    <w:proofErr w:type="spellStart"/>
    <w:r>
      <w:rPr>
        <w:sz w:val="20"/>
        <w:szCs w:val="20"/>
      </w:rPr>
      <w:t>Iekšlietu</w:t>
    </w:r>
    <w:proofErr w:type="spellEnd"/>
    <w:r>
      <w:rPr>
        <w:sz w:val="20"/>
        <w:szCs w:val="20"/>
      </w:rPr>
      <w:t xml:space="preserve"> ministrijas Informācijas centra nolikums</w:t>
    </w:r>
    <w:r w:rsidRPr="00732FE0">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EE7" w14:textId="069F4AE3" w:rsidR="00732FE0" w:rsidRPr="00732FE0" w:rsidRDefault="00732FE0" w:rsidP="00732FE0">
    <w:pPr>
      <w:jc w:val="both"/>
      <w:rPr>
        <w:sz w:val="20"/>
        <w:szCs w:val="20"/>
      </w:rPr>
    </w:pPr>
    <w:r w:rsidRPr="00732FE0">
      <w:rPr>
        <w:sz w:val="20"/>
        <w:szCs w:val="20"/>
      </w:rPr>
      <w:t>IEMAnot_</w:t>
    </w:r>
    <w:r w:rsidR="009A768A">
      <w:rPr>
        <w:sz w:val="20"/>
        <w:szCs w:val="20"/>
      </w:rPr>
      <w:t>20</w:t>
    </w:r>
    <w:r w:rsidR="00BC18BF">
      <w:rPr>
        <w:sz w:val="20"/>
        <w:szCs w:val="20"/>
      </w:rPr>
      <w:t>07</w:t>
    </w:r>
    <w:r w:rsidRPr="00732FE0">
      <w:rPr>
        <w:sz w:val="20"/>
        <w:szCs w:val="20"/>
      </w:rPr>
      <w:t>1</w:t>
    </w:r>
    <w:r w:rsidR="00A740F4">
      <w:rPr>
        <w:sz w:val="20"/>
        <w:szCs w:val="20"/>
      </w:rPr>
      <w:t>6</w:t>
    </w:r>
    <w:r w:rsidRPr="00732FE0">
      <w:rPr>
        <w:sz w:val="20"/>
        <w:szCs w:val="20"/>
      </w:rPr>
      <w:t>_</w:t>
    </w:r>
    <w:r w:rsidR="000B1FA2">
      <w:rPr>
        <w:sz w:val="20"/>
        <w:szCs w:val="20"/>
      </w:rPr>
      <w:t>MK_526</w:t>
    </w:r>
    <w:r w:rsidRPr="00732FE0">
      <w:rPr>
        <w:sz w:val="20"/>
        <w:szCs w:val="20"/>
      </w:rPr>
      <w:t xml:space="preserve">; Ministru kabineta </w:t>
    </w:r>
    <w:r w:rsidR="00D94EA3">
      <w:rPr>
        <w:sz w:val="20"/>
        <w:szCs w:val="20"/>
      </w:rPr>
      <w:t>noteikumu</w:t>
    </w:r>
    <w:r w:rsidRPr="00732FE0">
      <w:rPr>
        <w:sz w:val="20"/>
        <w:szCs w:val="20"/>
      </w:rPr>
      <w:t xml:space="preserve"> projekta “</w:t>
    </w:r>
    <w:proofErr w:type="spellStart"/>
    <w:r w:rsidR="000B1FA2">
      <w:rPr>
        <w:sz w:val="20"/>
        <w:szCs w:val="20"/>
      </w:rPr>
      <w:t>Iekšlietu</w:t>
    </w:r>
    <w:proofErr w:type="spellEnd"/>
    <w:r w:rsidR="000B1FA2">
      <w:rPr>
        <w:sz w:val="20"/>
        <w:szCs w:val="20"/>
      </w:rPr>
      <w:t xml:space="preserve"> ministrijas Informācijas centra nolikums</w:t>
    </w:r>
    <w:r w:rsidRPr="00732FE0">
      <w:rPr>
        <w:sz w:val="20"/>
        <w:szCs w:val="20"/>
      </w:rPr>
      <w:t>” sākotnējās ietekmes novērtējuma ziņojums (anotācija)</w:t>
    </w:r>
  </w:p>
  <w:p w14:paraId="3E4690EF" w14:textId="77777777" w:rsidR="00732FE0" w:rsidRPr="00732FE0" w:rsidRDefault="00732FE0" w:rsidP="0073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56A7" w14:textId="77777777" w:rsidR="00271601" w:rsidRDefault="00271601" w:rsidP="00616AA6">
      <w:r>
        <w:separator/>
      </w:r>
    </w:p>
  </w:footnote>
  <w:footnote w:type="continuationSeparator" w:id="0">
    <w:p w14:paraId="3EFB976D" w14:textId="77777777" w:rsidR="00271601" w:rsidRDefault="00271601"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68A">
      <w:rPr>
        <w:rStyle w:val="PageNumber"/>
        <w:noProof/>
      </w:rPr>
      <w:t>10</w:t>
    </w:r>
    <w:r>
      <w:rPr>
        <w:rStyle w:val="PageNumber"/>
      </w:rPr>
      <w:fldChar w:fldCharType="end"/>
    </w:r>
  </w:p>
  <w:p w14:paraId="2FCBC276" w14:textId="77777777"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C1E55"/>
    <w:multiLevelType w:val="hybridMultilevel"/>
    <w:tmpl w:val="7F464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76EE1"/>
    <w:multiLevelType w:val="hybridMultilevel"/>
    <w:tmpl w:val="A3F20AEA"/>
    <w:lvl w:ilvl="0" w:tplc="5CE2DF8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F69EC"/>
    <w:multiLevelType w:val="multilevel"/>
    <w:tmpl w:val="77EE5EF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113A70"/>
    <w:multiLevelType w:val="multilevel"/>
    <w:tmpl w:val="39FCD21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7"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943F24"/>
    <w:multiLevelType w:val="hybridMultilevel"/>
    <w:tmpl w:val="6E3A30A8"/>
    <w:lvl w:ilvl="0" w:tplc="5CE2DF8C">
      <w:start w:val="2"/>
      <w:numFmt w:val="bullet"/>
      <w:lvlText w:val="-"/>
      <w:lvlJc w:val="left"/>
      <w:pPr>
        <w:ind w:left="720" w:hanging="360"/>
      </w:pPr>
      <w:rPr>
        <w:rFonts w:ascii="Times New Roman" w:eastAsia="Times New Roman" w:hAnsi="Times New Roman" w:cs="Times New Roman" w:hint="default"/>
      </w:rPr>
    </w:lvl>
    <w:lvl w:ilvl="1" w:tplc="19CE797E">
      <w:start w:val="1"/>
      <w:numFmt w:val="decimal"/>
      <w:lvlText w:val="%2."/>
      <w:lvlJc w:val="left"/>
      <w:pPr>
        <w:ind w:left="1440" w:hanging="360"/>
      </w:pPr>
      <w:rPr>
        <w:rFonts w:ascii="Times New Roman" w:eastAsia="Times New Roman"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4"/>
  </w:num>
  <w:num w:numId="2">
    <w:abstractNumId w:val="13"/>
  </w:num>
  <w:num w:numId="3">
    <w:abstractNumId w:val="7"/>
  </w:num>
  <w:num w:numId="4">
    <w:abstractNumId w:val="0"/>
  </w:num>
  <w:num w:numId="5">
    <w:abstractNumId w:val="9"/>
  </w:num>
  <w:num w:numId="6">
    <w:abstractNumId w:val="6"/>
  </w:num>
  <w:num w:numId="7">
    <w:abstractNumId w:val="11"/>
  </w:num>
  <w:num w:numId="8">
    <w:abstractNumId w:val="10"/>
  </w:num>
  <w:num w:numId="9">
    <w:abstractNumId w:val="4"/>
  </w:num>
  <w:num w:numId="10">
    <w:abstractNumId w:val="12"/>
  </w:num>
  <w:num w:numId="11">
    <w:abstractNumId w:val="5"/>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01743"/>
    <w:rsid w:val="00004C44"/>
    <w:rsid w:val="00010981"/>
    <w:rsid w:val="000120F8"/>
    <w:rsid w:val="00016A13"/>
    <w:rsid w:val="0002334F"/>
    <w:rsid w:val="00027BDC"/>
    <w:rsid w:val="00027C37"/>
    <w:rsid w:val="000307BA"/>
    <w:rsid w:val="000433D1"/>
    <w:rsid w:val="00047EDA"/>
    <w:rsid w:val="00051AAA"/>
    <w:rsid w:val="00052199"/>
    <w:rsid w:val="00053B09"/>
    <w:rsid w:val="00056443"/>
    <w:rsid w:val="00057968"/>
    <w:rsid w:val="00061D6A"/>
    <w:rsid w:val="00062A6A"/>
    <w:rsid w:val="0007077C"/>
    <w:rsid w:val="00070AA3"/>
    <w:rsid w:val="000757EC"/>
    <w:rsid w:val="00080BAA"/>
    <w:rsid w:val="00080E08"/>
    <w:rsid w:val="0008144F"/>
    <w:rsid w:val="0008347A"/>
    <w:rsid w:val="00086D92"/>
    <w:rsid w:val="00087376"/>
    <w:rsid w:val="00092B05"/>
    <w:rsid w:val="00094725"/>
    <w:rsid w:val="000A0068"/>
    <w:rsid w:val="000A06FD"/>
    <w:rsid w:val="000A650A"/>
    <w:rsid w:val="000A695D"/>
    <w:rsid w:val="000A7F51"/>
    <w:rsid w:val="000B013D"/>
    <w:rsid w:val="000B1FA2"/>
    <w:rsid w:val="000B528F"/>
    <w:rsid w:val="000F1582"/>
    <w:rsid w:val="000F1729"/>
    <w:rsid w:val="000F264E"/>
    <w:rsid w:val="000F2A4A"/>
    <w:rsid w:val="000F2F91"/>
    <w:rsid w:val="00100E76"/>
    <w:rsid w:val="00104D50"/>
    <w:rsid w:val="001144F2"/>
    <w:rsid w:val="00116D23"/>
    <w:rsid w:val="00121D97"/>
    <w:rsid w:val="00127E4B"/>
    <w:rsid w:val="0013129B"/>
    <w:rsid w:val="00132192"/>
    <w:rsid w:val="00132DF0"/>
    <w:rsid w:val="00136A05"/>
    <w:rsid w:val="00137304"/>
    <w:rsid w:val="001403DC"/>
    <w:rsid w:val="00144CAD"/>
    <w:rsid w:val="00145836"/>
    <w:rsid w:val="00146A29"/>
    <w:rsid w:val="00153085"/>
    <w:rsid w:val="0015500E"/>
    <w:rsid w:val="0015557D"/>
    <w:rsid w:val="00160B9B"/>
    <w:rsid w:val="00166FDD"/>
    <w:rsid w:val="00172FAF"/>
    <w:rsid w:val="00174DE1"/>
    <w:rsid w:val="0017581A"/>
    <w:rsid w:val="00176F7E"/>
    <w:rsid w:val="00184611"/>
    <w:rsid w:val="0018504A"/>
    <w:rsid w:val="00186EFA"/>
    <w:rsid w:val="00193911"/>
    <w:rsid w:val="00193A8B"/>
    <w:rsid w:val="00197C43"/>
    <w:rsid w:val="001A4AE4"/>
    <w:rsid w:val="001B30CD"/>
    <w:rsid w:val="001B3EBE"/>
    <w:rsid w:val="001D1D40"/>
    <w:rsid w:val="001D23EC"/>
    <w:rsid w:val="001D3192"/>
    <w:rsid w:val="001D349F"/>
    <w:rsid w:val="001E3E86"/>
    <w:rsid w:val="001F3F6A"/>
    <w:rsid w:val="001F4C14"/>
    <w:rsid w:val="001F4C83"/>
    <w:rsid w:val="001F692A"/>
    <w:rsid w:val="00201BD9"/>
    <w:rsid w:val="002055CE"/>
    <w:rsid w:val="00207BFE"/>
    <w:rsid w:val="00215C89"/>
    <w:rsid w:val="00215D9C"/>
    <w:rsid w:val="00221979"/>
    <w:rsid w:val="00221D5F"/>
    <w:rsid w:val="00223E3D"/>
    <w:rsid w:val="00237C20"/>
    <w:rsid w:val="00240A84"/>
    <w:rsid w:val="002447E8"/>
    <w:rsid w:val="00246FDC"/>
    <w:rsid w:val="002554BA"/>
    <w:rsid w:val="00257716"/>
    <w:rsid w:val="00263764"/>
    <w:rsid w:val="002645DA"/>
    <w:rsid w:val="00267391"/>
    <w:rsid w:val="00270572"/>
    <w:rsid w:val="00270B28"/>
    <w:rsid w:val="00271601"/>
    <w:rsid w:val="002720A2"/>
    <w:rsid w:val="00273A9F"/>
    <w:rsid w:val="00275C6D"/>
    <w:rsid w:val="00283342"/>
    <w:rsid w:val="0029110D"/>
    <w:rsid w:val="002926D3"/>
    <w:rsid w:val="002940CD"/>
    <w:rsid w:val="00295365"/>
    <w:rsid w:val="002960EA"/>
    <w:rsid w:val="00297FEE"/>
    <w:rsid w:val="002A6197"/>
    <w:rsid w:val="002A7573"/>
    <w:rsid w:val="002B10A1"/>
    <w:rsid w:val="002B149F"/>
    <w:rsid w:val="002B21C0"/>
    <w:rsid w:val="002B373D"/>
    <w:rsid w:val="002B4610"/>
    <w:rsid w:val="002B5B67"/>
    <w:rsid w:val="002C6009"/>
    <w:rsid w:val="002C7006"/>
    <w:rsid w:val="002C781B"/>
    <w:rsid w:val="002C7EAA"/>
    <w:rsid w:val="002D1149"/>
    <w:rsid w:val="002D1635"/>
    <w:rsid w:val="002D66F8"/>
    <w:rsid w:val="002D6EBD"/>
    <w:rsid w:val="002E0305"/>
    <w:rsid w:val="002E56B4"/>
    <w:rsid w:val="002E5EF8"/>
    <w:rsid w:val="002E6C12"/>
    <w:rsid w:val="002F29F4"/>
    <w:rsid w:val="002F5F80"/>
    <w:rsid w:val="002F67E4"/>
    <w:rsid w:val="00300439"/>
    <w:rsid w:val="003005B6"/>
    <w:rsid w:val="00300948"/>
    <w:rsid w:val="003019EE"/>
    <w:rsid w:val="0030306E"/>
    <w:rsid w:val="00306879"/>
    <w:rsid w:val="00311674"/>
    <w:rsid w:val="003126D5"/>
    <w:rsid w:val="0031321F"/>
    <w:rsid w:val="003166FB"/>
    <w:rsid w:val="003175AC"/>
    <w:rsid w:val="003201B2"/>
    <w:rsid w:val="0032481E"/>
    <w:rsid w:val="00333E8B"/>
    <w:rsid w:val="003423C2"/>
    <w:rsid w:val="0034364F"/>
    <w:rsid w:val="00344B8D"/>
    <w:rsid w:val="0035487B"/>
    <w:rsid w:val="0035496B"/>
    <w:rsid w:val="00356DE0"/>
    <w:rsid w:val="00361411"/>
    <w:rsid w:val="0036409B"/>
    <w:rsid w:val="00364270"/>
    <w:rsid w:val="00364798"/>
    <w:rsid w:val="003665C6"/>
    <w:rsid w:val="003667C1"/>
    <w:rsid w:val="00370BEA"/>
    <w:rsid w:val="00373890"/>
    <w:rsid w:val="00374F27"/>
    <w:rsid w:val="0037540D"/>
    <w:rsid w:val="00375FAB"/>
    <w:rsid w:val="003776BF"/>
    <w:rsid w:val="00380D9F"/>
    <w:rsid w:val="00381C39"/>
    <w:rsid w:val="00382850"/>
    <w:rsid w:val="00383A15"/>
    <w:rsid w:val="003936D8"/>
    <w:rsid w:val="00393CDB"/>
    <w:rsid w:val="0039425B"/>
    <w:rsid w:val="003A013D"/>
    <w:rsid w:val="003B10C2"/>
    <w:rsid w:val="003C24C3"/>
    <w:rsid w:val="003C3447"/>
    <w:rsid w:val="003C5BC9"/>
    <w:rsid w:val="003C6387"/>
    <w:rsid w:val="003D1339"/>
    <w:rsid w:val="003D1A40"/>
    <w:rsid w:val="003E6E1E"/>
    <w:rsid w:val="003E7E5A"/>
    <w:rsid w:val="003F20E1"/>
    <w:rsid w:val="003F6F12"/>
    <w:rsid w:val="0040304C"/>
    <w:rsid w:val="00403411"/>
    <w:rsid w:val="004034E0"/>
    <w:rsid w:val="0040660F"/>
    <w:rsid w:val="004071FC"/>
    <w:rsid w:val="00410DE6"/>
    <w:rsid w:val="004130AE"/>
    <w:rsid w:val="004139D6"/>
    <w:rsid w:val="004175B1"/>
    <w:rsid w:val="00423DD2"/>
    <w:rsid w:val="00424ADD"/>
    <w:rsid w:val="004262C0"/>
    <w:rsid w:val="00430403"/>
    <w:rsid w:val="004327F8"/>
    <w:rsid w:val="0043319D"/>
    <w:rsid w:val="004371FF"/>
    <w:rsid w:val="00437542"/>
    <w:rsid w:val="00442C6B"/>
    <w:rsid w:val="004430F1"/>
    <w:rsid w:val="004433A3"/>
    <w:rsid w:val="004504C9"/>
    <w:rsid w:val="004519E2"/>
    <w:rsid w:val="004529EF"/>
    <w:rsid w:val="00453324"/>
    <w:rsid w:val="004545E7"/>
    <w:rsid w:val="004653A2"/>
    <w:rsid w:val="004676D7"/>
    <w:rsid w:val="00467885"/>
    <w:rsid w:val="004705F1"/>
    <w:rsid w:val="00476021"/>
    <w:rsid w:val="004767AF"/>
    <w:rsid w:val="004770B8"/>
    <w:rsid w:val="004806A9"/>
    <w:rsid w:val="00483379"/>
    <w:rsid w:val="00483592"/>
    <w:rsid w:val="004854D4"/>
    <w:rsid w:val="00486BEB"/>
    <w:rsid w:val="004A11F7"/>
    <w:rsid w:val="004A1B27"/>
    <w:rsid w:val="004A4FA5"/>
    <w:rsid w:val="004B32B3"/>
    <w:rsid w:val="004B3E87"/>
    <w:rsid w:val="004B4D39"/>
    <w:rsid w:val="004B66C0"/>
    <w:rsid w:val="004B7687"/>
    <w:rsid w:val="004C1772"/>
    <w:rsid w:val="004C51BE"/>
    <w:rsid w:val="004C669F"/>
    <w:rsid w:val="004D002A"/>
    <w:rsid w:val="004D1FCD"/>
    <w:rsid w:val="004D4483"/>
    <w:rsid w:val="004E0FAD"/>
    <w:rsid w:val="004E1E03"/>
    <w:rsid w:val="004E5C07"/>
    <w:rsid w:val="004E6C7B"/>
    <w:rsid w:val="004F3F5D"/>
    <w:rsid w:val="00500381"/>
    <w:rsid w:val="00502E7D"/>
    <w:rsid w:val="00504DDF"/>
    <w:rsid w:val="0051217B"/>
    <w:rsid w:val="005126CA"/>
    <w:rsid w:val="00522A9D"/>
    <w:rsid w:val="00525597"/>
    <w:rsid w:val="00527A75"/>
    <w:rsid w:val="00527E3D"/>
    <w:rsid w:val="0053087D"/>
    <w:rsid w:val="00542E31"/>
    <w:rsid w:val="00545E70"/>
    <w:rsid w:val="005466CE"/>
    <w:rsid w:val="0055181B"/>
    <w:rsid w:val="005614ED"/>
    <w:rsid w:val="005651F4"/>
    <w:rsid w:val="00577B09"/>
    <w:rsid w:val="00577F4F"/>
    <w:rsid w:val="00581CD9"/>
    <w:rsid w:val="00583BB5"/>
    <w:rsid w:val="0058580E"/>
    <w:rsid w:val="00592ACF"/>
    <w:rsid w:val="00593AC8"/>
    <w:rsid w:val="00594834"/>
    <w:rsid w:val="005A15C1"/>
    <w:rsid w:val="005A1B50"/>
    <w:rsid w:val="005B2CAE"/>
    <w:rsid w:val="005B2CE7"/>
    <w:rsid w:val="005B6812"/>
    <w:rsid w:val="005C235E"/>
    <w:rsid w:val="005C3D9C"/>
    <w:rsid w:val="005D5C3C"/>
    <w:rsid w:val="005D6BAC"/>
    <w:rsid w:val="005D7925"/>
    <w:rsid w:val="005E5C58"/>
    <w:rsid w:val="005F1FE1"/>
    <w:rsid w:val="005F63A5"/>
    <w:rsid w:val="0060510E"/>
    <w:rsid w:val="00612741"/>
    <w:rsid w:val="00612D7E"/>
    <w:rsid w:val="00613179"/>
    <w:rsid w:val="00615C3B"/>
    <w:rsid w:val="00616AA6"/>
    <w:rsid w:val="00616C2F"/>
    <w:rsid w:val="00617104"/>
    <w:rsid w:val="00617913"/>
    <w:rsid w:val="00623908"/>
    <w:rsid w:val="00627CE9"/>
    <w:rsid w:val="006329F8"/>
    <w:rsid w:val="0063362C"/>
    <w:rsid w:val="00633D6B"/>
    <w:rsid w:val="00641854"/>
    <w:rsid w:val="0064344D"/>
    <w:rsid w:val="00646185"/>
    <w:rsid w:val="00655C91"/>
    <w:rsid w:val="0066025A"/>
    <w:rsid w:val="006610FF"/>
    <w:rsid w:val="006617E1"/>
    <w:rsid w:val="00664FC6"/>
    <w:rsid w:val="00680236"/>
    <w:rsid w:val="00681A0A"/>
    <w:rsid w:val="00683FB6"/>
    <w:rsid w:val="006A0DA7"/>
    <w:rsid w:val="006A3F6C"/>
    <w:rsid w:val="006A443C"/>
    <w:rsid w:val="006B039B"/>
    <w:rsid w:val="006B251F"/>
    <w:rsid w:val="006B2DC3"/>
    <w:rsid w:val="006C24C4"/>
    <w:rsid w:val="006C55ED"/>
    <w:rsid w:val="006C5D61"/>
    <w:rsid w:val="006E3688"/>
    <w:rsid w:val="006E4580"/>
    <w:rsid w:val="006E480C"/>
    <w:rsid w:val="006E54AA"/>
    <w:rsid w:val="006E54B1"/>
    <w:rsid w:val="006E76B7"/>
    <w:rsid w:val="006F0B68"/>
    <w:rsid w:val="006F5009"/>
    <w:rsid w:val="006F5FFD"/>
    <w:rsid w:val="006F73BC"/>
    <w:rsid w:val="0070343E"/>
    <w:rsid w:val="00706CD0"/>
    <w:rsid w:val="00710EAA"/>
    <w:rsid w:val="00711E40"/>
    <w:rsid w:val="007157AB"/>
    <w:rsid w:val="00717B91"/>
    <w:rsid w:val="0072059F"/>
    <w:rsid w:val="00725865"/>
    <w:rsid w:val="00730E41"/>
    <w:rsid w:val="0073199E"/>
    <w:rsid w:val="00731BA6"/>
    <w:rsid w:val="007328F5"/>
    <w:rsid w:val="00732C68"/>
    <w:rsid w:val="00732FE0"/>
    <w:rsid w:val="00736938"/>
    <w:rsid w:val="00747C51"/>
    <w:rsid w:val="00750932"/>
    <w:rsid w:val="00750F19"/>
    <w:rsid w:val="007528E2"/>
    <w:rsid w:val="0075309A"/>
    <w:rsid w:val="00753535"/>
    <w:rsid w:val="00754347"/>
    <w:rsid w:val="00754887"/>
    <w:rsid w:val="00755684"/>
    <w:rsid w:val="00756F22"/>
    <w:rsid w:val="007610E4"/>
    <w:rsid w:val="00761AB5"/>
    <w:rsid w:val="00762F26"/>
    <w:rsid w:val="00765A92"/>
    <w:rsid w:val="00766011"/>
    <w:rsid w:val="0077070F"/>
    <w:rsid w:val="00772A46"/>
    <w:rsid w:val="00777C69"/>
    <w:rsid w:val="00782644"/>
    <w:rsid w:val="00783487"/>
    <w:rsid w:val="00784102"/>
    <w:rsid w:val="00791C04"/>
    <w:rsid w:val="00794E6B"/>
    <w:rsid w:val="00795FF1"/>
    <w:rsid w:val="0079708F"/>
    <w:rsid w:val="007A462B"/>
    <w:rsid w:val="007A4953"/>
    <w:rsid w:val="007B0C0C"/>
    <w:rsid w:val="007B347A"/>
    <w:rsid w:val="007B5718"/>
    <w:rsid w:val="007C54EB"/>
    <w:rsid w:val="007D3FD0"/>
    <w:rsid w:val="007D4808"/>
    <w:rsid w:val="007D4C86"/>
    <w:rsid w:val="007D783D"/>
    <w:rsid w:val="007E11F5"/>
    <w:rsid w:val="007E5425"/>
    <w:rsid w:val="007E7062"/>
    <w:rsid w:val="007F4918"/>
    <w:rsid w:val="007F5CF9"/>
    <w:rsid w:val="00800C7B"/>
    <w:rsid w:val="00804973"/>
    <w:rsid w:val="00805D9E"/>
    <w:rsid w:val="0080751B"/>
    <w:rsid w:val="00816363"/>
    <w:rsid w:val="008167ED"/>
    <w:rsid w:val="008265F1"/>
    <w:rsid w:val="008336D6"/>
    <w:rsid w:val="00834506"/>
    <w:rsid w:val="00834ED9"/>
    <w:rsid w:val="008372E7"/>
    <w:rsid w:val="00837BD6"/>
    <w:rsid w:val="00837DF0"/>
    <w:rsid w:val="00843334"/>
    <w:rsid w:val="00850054"/>
    <w:rsid w:val="00851BC0"/>
    <w:rsid w:val="0085260E"/>
    <w:rsid w:val="00853131"/>
    <w:rsid w:val="00857B39"/>
    <w:rsid w:val="008605D0"/>
    <w:rsid w:val="00863995"/>
    <w:rsid w:val="00863DB5"/>
    <w:rsid w:val="00866E6B"/>
    <w:rsid w:val="00867942"/>
    <w:rsid w:val="00870368"/>
    <w:rsid w:val="00871B81"/>
    <w:rsid w:val="00874E35"/>
    <w:rsid w:val="00881399"/>
    <w:rsid w:val="00881428"/>
    <w:rsid w:val="008818C8"/>
    <w:rsid w:val="00881F9B"/>
    <w:rsid w:val="008936BC"/>
    <w:rsid w:val="00893B19"/>
    <w:rsid w:val="00893BAA"/>
    <w:rsid w:val="008A023A"/>
    <w:rsid w:val="008A4EEF"/>
    <w:rsid w:val="008A7989"/>
    <w:rsid w:val="008B49AF"/>
    <w:rsid w:val="008B5CFB"/>
    <w:rsid w:val="008C2585"/>
    <w:rsid w:val="008C2B20"/>
    <w:rsid w:val="008C2D66"/>
    <w:rsid w:val="008C421D"/>
    <w:rsid w:val="008C47BE"/>
    <w:rsid w:val="008C5B33"/>
    <w:rsid w:val="008C6FC8"/>
    <w:rsid w:val="008D39F4"/>
    <w:rsid w:val="008D51F4"/>
    <w:rsid w:val="008D5F20"/>
    <w:rsid w:val="008F2ACB"/>
    <w:rsid w:val="008F43CF"/>
    <w:rsid w:val="008F4455"/>
    <w:rsid w:val="0090153F"/>
    <w:rsid w:val="009114A0"/>
    <w:rsid w:val="00912298"/>
    <w:rsid w:val="00921B1A"/>
    <w:rsid w:val="00927C25"/>
    <w:rsid w:val="009304C8"/>
    <w:rsid w:val="00940120"/>
    <w:rsid w:val="00942BC7"/>
    <w:rsid w:val="00947323"/>
    <w:rsid w:val="00947830"/>
    <w:rsid w:val="00953A72"/>
    <w:rsid w:val="009554A1"/>
    <w:rsid w:val="0096051F"/>
    <w:rsid w:val="009625B2"/>
    <w:rsid w:val="00963119"/>
    <w:rsid w:val="00964DD3"/>
    <w:rsid w:val="009652EF"/>
    <w:rsid w:val="00966273"/>
    <w:rsid w:val="00973642"/>
    <w:rsid w:val="0097734E"/>
    <w:rsid w:val="00977B2E"/>
    <w:rsid w:val="009803D4"/>
    <w:rsid w:val="0098089E"/>
    <w:rsid w:val="0098181D"/>
    <w:rsid w:val="009860CC"/>
    <w:rsid w:val="009860E6"/>
    <w:rsid w:val="00986786"/>
    <w:rsid w:val="0099042F"/>
    <w:rsid w:val="00990B02"/>
    <w:rsid w:val="00991ED2"/>
    <w:rsid w:val="009945BB"/>
    <w:rsid w:val="00997FA9"/>
    <w:rsid w:val="009A1968"/>
    <w:rsid w:val="009A1D77"/>
    <w:rsid w:val="009A361B"/>
    <w:rsid w:val="009A4C0B"/>
    <w:rsid w:val="009A5325"/>
    <w:rsid w:val="009A5601"/>
    <w:rsid w:val="009A5EB7"/>
    <w:rsid w:val="009A64DE"/>
    <w:rsid w:val="009A6FC2"/>
    <w:rsid w:val="009A768A"/>
    <w:rsid w:val="009B1BDE"/>
    <w:rsid w:val="009B2CAE"/>
    <w:rsid w:val="009B56A3"/>
    <w:rsid w:val="009B5908"/>
    <w:rsid w:val="009B6C9D"/>
    <w:rsid w:val="009B7E5E"/>
    <w:rsid w:val="009C1E21"/>
    <w:rsid w:val="009C3026"/>
    <w:rsid w:val="009C58B7"/>
    <w:rsid w:val="009D1066"/>
    <w:rsid w:val="009D310E"/>
    <w:rsid w:val="009D62F6"/>
    <w:rsid w:val="009E0671"/>
    <w:rsid w:val="009E4FD6"/>
    <w:rsid w:val="009E7AB4"/>
    <w:rsid w:val="009F0229"/>
    <w:rsid w:val="009F0D6A"/>
    <w:rsid w:val="00A002A4"/>
    <w:rsid w:val="00A03CBF"/>
    <w:rsid w:val="00A042F7"/>
    <w:rsid w:val="00A06384"/>
    <w:rsid w:val="00A074A5"/>
    <w:rsid w:val="00A07F4E"/>
    <w:rsid w:val="00A102C0"/>
    <w:rsid w:val="00A105D7"/>
    <w:rsid w:val="00A162FE"/>
    <w:rsid w:val="00A217E7"/>
    <w:rsid w:val="00A23F29"/>
    <w:rsid w:val="00A3196D"/>
    <w:rsid w:val="00A329B2"/>
    <w:rsid w:val="00A35E88"/>
    <w:rsid w:val="00A37E82"/>
    <w:rsid w:val="00A55FEA"/>
    <w:rsid w:val="00A63E6C"/>
    <w:rsid w:val="00A6421B"/>
    <w:rsid w:val="00A73CDB"/>
    <w:rsid w:val="00A740F4"/>
    <w:rsid w:val="00A80801"/>
    <w:rsid w:val="00A81223"/>
    <w:rsid w:val="00A84C26"/>
    <w:rsid w:val="00A91B2A"/>
    <w:rsid w:val="00A9333D"/>
    <w:rsid w:val="00A94C0B"/>
    <w:rsid w:val="00A959EC"/>
    <w:rsid w:val="00A965F1"/>
    <w:rsid w:val="00AA6669"/>
    <w:rsid w:val="00AB0063"/>
    <w:rsid w:val="00AB0C04"/>
    <w:rsid w:val="00AB1199"/>
    <w:rsid w:val="00AB3C41"/>
    <w:rsid w:val="00AB5B45"/>
    <w:rsid w:val="00AC0727"/>
    <w:rsid w:val="00AC0A6D"/>
    <w:rsid w:val="00AC1081"/>
    <w:rsid w:val="00AC11F6"/>
    <w:rsid w:val="00AC1E3B"/>
    <w:rsid w:val="00AD6C51"/>
    <w:rsid w:val="00AE108D"/>
    <w:rsid w:val="00AE4367"/>
    <w:rsid w:val="00AE608F"/>
    <w:rsid w:val="00AE70EE"/>
    <w:rsid w:val="00AF000F"/>
    <w:rsid w:val="00AF1B96"/>
    <w:rsid w:val="00AF352B"/>
    <w:rsid w:val="00AF666E"/>
    <w:rsid w:val="00AF6AED"/>
    <w:rsid w:val="00B01423"/>
    <w:rsid w:val="00B0227E"/>
    <w:rsid w:val="00B0298E"/>
    <w:rsid w:val="00B03005"/>
    <w:rsid w:val="00B05EBC"/>
    <w:rsid w:val="00B06732"/>
    <w:rsid w:val="00B069C2"/>
    <w:rsid w:val="00B06A93"/>
    <w:rsid w:val="00B07821"/>
    <w:rsid w:val="00B07B3C"/>
    <w:rsid w:val="00B14E57"/>
    <w:rsid w:val="00B16964"/>
    <w:rsid w:val="00B16F7F"/>
    <w:rsid w:val="00B17F2D"/>
    <w:rsid w:val="00B25820"/>
    <w:rsid w:val="00B27D0C"/>
    <w:rsid w:val="00B313A5"/>
    <w:rsid w:val="00B31A7F"/>
    <w:rsid w:val="00B40D09"/>
    <w:rsid w:val="00B45BD7"/>
    <w:rsid w:val="00B47B1F"/>
    <w:rsid w:val="00B54CDC"/>
    <w:rsid w:val="00B5561A"/>
    <w:rsid w:val="00B5561B"/>
    <w:rsid w:val="00B55B58"/>
    <w:rsid w:val="00B55E0D"/>
    <w:rsid w:val="00B6426D"/>
    <w:rsid w:val="00B66458"/>
    <w:rsid w:val="00B66FCB"/>
    <w:rsid w:val="00B67703"/>
    <w:rsid w:val="00B70B4A"/>
    <w:rsid w:val="00B73EF6"/>
    <w:rsid w:val="00B74BDF"/>
    <w:rsid w:val="00B76EAA"/>
    <w:rsid w:val="00B773C9"/>
    <w:rsid w:val="00B77AB6"/>
    <w:rsid w:val="00B81CE4"/>
    <w:rsid w:val="00B8301F"/>
    <w:rsid w:val="00B84837"/>
    <w:rsid w:val="00B8615D"/>
    <w:rsid w:val="00B9098B"/>
    <w:rsid w:val="00B910DE"/>
    <w:rsid w:val="00B93F08"/>
    <w:rsid w:val="00B945D8"/>
    <w:rsid w:val="00BA682D"/>
    <w:rsid w:val="00BB3042"/>
    <w:rsid w:val="00BC18BF"/>
    <w:rsid w:val="00BC1C4E"/>
    <w:rsid w:val="00BC534F"/>
    <w:rsid w:val="00BC643A"/>
    <w:rsid w:val="00BD45E6"/>
    <w:rsid w:val="00BD6300"/>
    <w:rsid w:val="00BE2989"/>
    <w:rsid w:val="00BE31A9"/>
    <w:rsid w:val="00BE4109"/>
    <w:rsid w:val="00BF2B82"/>
    <w:rsid w:val="00BF31C7"/>
    <w:rsid w:val="00C075DF"/>
    <w:rsid w:val="00C10320"/>
    <w:rsid w:val="00C17FE2"/>
    <w:rsid w:val="00C213E9"/>
    <w:rsid w:val="00C2149D"/>
    <w:rsid w:val="00C215E5"/>
    <w:rsid w:val="00C21897"/>
    <w:rsid w:val="00C221F1"/>
    <w:rsid w:val="00C22226"/>
    <w:rsid w:val="00C22E09"/>
    <w:rsid w:val="00C338A6"/>
    <w:rsid w:val="00C409BA"/>
    <w:rsid w:val="00C40B1A"/>
    <w:rsid w:val="00C435E9"/>
    <w:rsid w:val="00C45567"/>
    <w:rsid w:val="00C47791"/>
    <w:rsid w:val="00C477D5"/>
    <w:rsid w:val="00C50297"/>
    <w:rsid w:val="00C5044F"/>
    <w:rsid w:val="00C51712"/>
    <w:rsid w:val="00C51910"/>
    <w:rsid w:val="00C52D99"/>
    <w:rsid w:val="00C53722"/>
    <w:rsid w:val="00C555E0"/>
    <w:rsid w:val="00C56A76"/>
    <w:rsid w:val="00C6045F"/>
    <w:rsid w:val="00C60BB0"/>
    <w:rsid w:val="00C61DFC"/>
    <w:rsid w:val="00C642A7"/>
    <w:rsid w:val="00C64847"/>
    <w:rsid w:val="00C657C0"/>
    <w:rsid w:val="00C66F33"/>
    <w:rsid w:val="00C67515"/>
    <w:rsid w:val="00C67B32"/>
    <w:rsid w:val="00C76ABC"/>
    <w:rsid w:val="00C772F4"/>
    <w:rsid w:val="00C82AE8"/>
    <w:rsid w:val="00C82F00"/>
    <w:rsid w:val="00C86AC7"/>
    <w:rsid w:val="00C94802"/>
    <w:rsid w:val="00C95F96"/>
    <w:rsid w:val="00C96549"/>
    <w:rsid w:val="00C971D2"/>
    <w:rsid w:val="00CA5A7B"/>
    <w:rsid w:val="00CA784E"/>
    <w:rsid w:val="00CB4634"/>
    <w:rsid w:val="00CC0C15"/>
    <w:rsid w:val="00CC35CF"/>
    <w:rsid w:val="00CC4638"/>
    <w:rsid w:val="00CC496E"/>
    <w:rsid w:val="00CD1876"/>
    <w:rsid w:val="00CD2E41"/>
    <w:rsid w:val="00CD4F8E"/>
    <w:rsid w:val="00CD54B5"/>
    <w:rsid w:val="00CD628B"/>
    <w:rsid w:val="00CD676A"/>
    <w:rsid w:val="00CE1008"/>
    <w:rsid w:val="00CE1102"/>
    <w:rsid w:val="00CE2447"/>
    <w:rsid w:val="00CE3660"/>
    <w:rsid w:val="00CE36C0"/>
    <w:rsid w:val="00CE417F"/>
    <w:rsid w:val="00CE6824"/>
    <w:rsid w:val="00CF0904"/>
    <w:rsid w:val="00D01F6B"/>
    <w:rsid w:val="00D01F83"/>
    <w:rsid w:val="00D02C77"/>
    <w:rsid w:val="00D03188"/>
    <w:rsid w:val="00D062ED"/>
    <w:rsid w:val="00D10854"/>
    <w:rsid w:val="00D108AA"/>
    <w:rsid w:val="00D11734"/>
    <w:rsid w:val="00D1252E"/>
    <w:rsid w:val="00D12B8D"/>
    <w:rsid w:val="00D20893"/>
    <w:rsid w:val="00D215BE"/>
    <w:rsid w:val="00D22685"/>
    <w:rsid w:val="00D23903"/>
    <w:rsid w:val="00D24B41"/>
    <w:rsid w:val="00D27291"/>
    <w:rsid w:val="00D34670"/>
    <w:rsid w:val="00D346C9"/>
    <w:rsid w:val="00D4062C"/>
    <w:rsid w:val="00D42BC2"/>
    <w:rsid w:val="00D430F0"/>
    <w:rsid w:val="00D45A48"/>
    <w:rsid w:val="00D47A7B"/>
    <w:rsid w:val="00D539DB"/>
    <w:rsid w:val="00D556A2"/>
    <w:rsid w:val="00D5707B"/>
    <w:rsid w:val="00D63888"/>
    <w:rsid w:val="00D65488"/>
    <w:rsid w:val="00D65D1A"/>
    <w:rsid w:val="00D663BE"/>
    <w:rsid w:val="00D6701B"/>
    <w:rsid w:val="00D71FE1"/>
    <w:rsid w:val="00D80288"/>
    <w:rsid w:val="00D80896"/>
    <w:rsid w:val="00D8120A"/>
    <w:rsid w:val="00D82A45"/>
    <w:rsid w:val="00D9056E"/>
    <w:rsid w:val="00D90FA7"/>
    <w:rsid w:val="00D915CC"/>
    <w:rsid w:val="00D92626"/>
    <w:rsid w:val="00D94231"/>
    <w:rsid w:val="00D94C4E"/>
    <w:rsid w:val="00D94EA3"/>
    <w:rsid w:val="00DA3EC5"/>
    <w:rsid w:val="00DA4FEB"/>
    <w:rsid w:val="00DA7911"/>
    <w:rsid w:val="00DB0616"/>
    <w:rsid w:val="00DB1D89"/>
    <w:rsid w:val="00DB2C83"/>
    <w:rsid w:val="00DB313F"/>
    <w:rsid w:val="00DB3BC6"/>
    <w:rsid w:val="00DC1244"/>
    <w:rsid w:val="00DC152F"/>
    <w:rsid w:val="00DC1543"/>
    <w:rsid w:val="00DC287F"/>
    <w:rsid w:val="00DC3BA7"/>
    <w:rsid w:val="00DC5725"/>
    <w:rsid w:val="00DD02FF"/>
    <w:rsid w:val="00DD380F"/>
    <w:rsid w:val="00DD4810"/>
    <w:rsid w:val="00DE03B5"/>
    <w:rsid w:val="00DE0EDD"/>
    <w:rsid w:val="00DE5E38"/>
    <w:rsid w:val="00DF2B43"/>
    <w:rsid w:val="00DF45E9"/>
    <w:rsid w:val="00E06CCE"/>
    <w:rsid w:val="00E07EB8"/>
    <w:rsid w:val="00E150BC"/>
    <w:rsid w:val="00E16CDE"/>
    <w:rsid w:val="00E22931"/>
    <w:rsid w:val="00E249A5"/>
    <w:rsid w:val="00E24FFE"/>
    <w:rsid w:val="00E2542A"/>
    <w:rsid w:val="00E26598"/>
    <w:rsid w:val="00E27051"/>
    <w:rsid w:val="00E307A9"/>
    <w:rsid w:val="00E34BD0"/>
    <w:rsid w:val="00E3781D"/>
    <w:rsid w:val="00E40EE3"/>
    <w:rsid w:val="00E470F5"/>
    <w:rsid w:val="00E50AD4"/>
    <w:rsid w:val="00E568D4"/>
    <w:rsid w:val="00E646C2"/>
    <w:rsid w:val="00E7262B"/>
    <w:rsid w:val="00E75E5B"/>
    <w:rsid w:val="00E803D6"/>
    <w:rsid w:val="00E80593"/>
    <w:rsid w:val="00E807C4"/>
    <w:rsid w:val="00E827ED"/>
    <w:rsid w:val="00E851F9"/>
    <w:rsid w:val="00E85574"/>
    <w:rsid w:val="00E86D2D"/>
    <w:rsid w:val="00E87841"/>
    <w:rsid w:val="00E9479A"/>
    <w:rsid w:val="00EA3691"/>
    <w:rsid w:val="00EA4874"/>
    <w:rsid w:val="00EA526B"/>
    <w:rsid w:val="00EA54C2"/>
    <w:rsid w:val="00EA55BE"/>
    <w:rsid w:val="00EA57F0"/>
    <w:rsid w:val="00EA7D81"/>
    <w:rsid w:val="00EB2636"/>
    <w:rsid w:val="00EB4CB3"/>
    <w:rsid w:val="00EB4E3C"/>
    <w:rsid w:val="00EB7BE0"/>
    <w:rsid w:val="00EC1FB6"/>
    <w:rsid w:val="00EC4578"/>
    <w:rsid w:val="00EC51E6"/>
    <w:rsid w:val="00EC5ED5"/>
    <w:rsid w:val="00EC5FC2"/>
    <w:rsid w:val="00EC7BD2"/>
    <w:rsid w:val="00ED2217"/>
    <w:rsid w:val="00ED34D7"/>
    <w:rsid w:val="00ED47F4"/>
    <w:rsid w:val="00ED6A06"/>
    <w:rsid w:val="00ED7568"/>
    <w:rsid w:val="00EE0C0F"/>
    <w:rsid w:val="00EE4A6F"/>
    <w:rsid w:val="00EE501B"/>
    <w:rsid w:val="00EE55CF"/>
    <w:rsid w:val="00EE7B62"/>
    <w:rsid w:val="00EF30AD"/>
    <w:rsid w:val="00EF4AAB"/>
    <w:rsid w:val="00EF75F9"/>
    <w:rsid w:val="00F029AF"/>
    <w:rsid w:val="00F02DB5"/>
    <w:rsid w:val="00F03184"/>
    <w:rsid w:val="00F0386C"/>
    <w:rsid w:val="00F0543C"/>
    <w:rsid w:val="00F05AB6"/>
    <w:rsid w:val="00F07A1D"/>
    <w:rsid w:val="00F11BBB"/>
    <w:rsid w:val="00F129F4"/>
    <w:rsid w:val="00F13B40"/>
    <w:rsid w:val="00F13B7D"/>
    <w:rsid w:val="00F153B3"/>
    <w:rsid w:val="00F16489"/>
    <w:rsid w:val="00F17318"/>
    <w:rsid w:val="00F22CE0"/>
    <w:rsid w:val="00F23834"/>
    <w:rsid w:val="00F31085"/>
    <w:rsid w:val="00F36722"/>
    <w:rsid w:val="00F44595"/>
    <w:rsid w:val="00F45C90"/>
    <w:rsid w:val="00F506A2"/>
    <w:rsid w:val="00F50D7F"/>
    <w:rsid w:val="00F50DC1"/>
    <w:rsid w:val="00F602CC"/>
    <w:rsid w:val="00F66B7E"/>
    <w:rsid w:val="00F74104"/>
    <w:rsid w:val="00F85D52"/>
    <w:rsid w:val="00F865A2"/>
    <w:rsid w:val="00F91CB1"/>
    <w:rsid w:val="00F9365C"/>
    <w:rsid w:val="00F97240"/>
    <w:rsid w:val="00FA0150"/>
    <w:rsid w:val="00FA3806"/>
    <w:rsid w:val="00FA6074"/>
    <w:rsid w:val="00FB0D6A"/>
    <w:rsid w:val="00FB1F54"/>
    <w:rsid w:val="00FC116E"/>
    <w:rsid w:val="00FC1525"/>
    <w:rsid w:val="00FC26F8"/>
    <w:rsid w:val="00FC2F9C"/>
    <w:rsid w:val="00FC420D"/>
    <w:rsid w:val="00FC46DD"/>
    <w:rsid w:val="00FC538E"/>
    <w:rsid w:val="00FD1BF2"/>
    <w:rsid w:val="00FD2175"/>
    <w:rsid w:val="00FD2840"/>
    <w:rsid w:val="00FD5FE7"/>
    <w:rsid w:val="00FE110A"/>
    <w:rsid w:val="00FE1D31"/>
    <w:rsid w:val="00FE77F0"/>
    <w:rsid w:val="00FF085C"/>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 w:type="paragraph" w:customStyle="1" w:styleId="tv213limenis2">
    <w:name w:val="tv213 limenis2"/>
    <w:basedOn w:val="Normal"/>
    <w:rsid w:val="00A002A4"/>
    <w:pPr>
      <w:spacing w:before="100" w:beforeAutospacing="1" w:after="100" w:afterAutospacing="1"/>
    </w:pPr>
    <w:rPr>
      <w:lang w:eastAsia="lv-LV"/>
    </w:rPr>
  </w:style>
  <w:style w:type="paragraph" w:customStyle="1" w:styleId="naislab">
    <w:name w:val="naislab"/>
    <w:basedOn w:val="Normal"/>
    <w:rsid w:val="00C96549"/>
    <w:pPr>
      <w:spacing w:before="75" w:after="75"/>
      <w:jc w:val="righ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5228-B03A-4645-A191-B053154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signe.koritko@ic.iem.gov.lv</dc:creator>
  <cp:lastModifiedBy>Signe Koritko</cp:lastModifiedBy>
  <cp:revision>195</cp:revision>
  <cp:lastPrinted>2014-08-22T09:12:00Z</cp:lastPrinted>
  <dcterms:created xsi:type="dcterms:W3CDTF">2015-12-04T07:29:00Z</dcterms:created>
  <dcterms:modified xsi:type="dcterms:W3CDTF">2016-07-13T07:18:00Z</dcterms:modified>
</cp:coreProperties>
</file>