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64" w:rsidRPr="00347817" w:rsidRDefault="00573664" w:rsidP="00573664">
      <w:pPr>
        <w:jc w:val="center"/>
        <w:rPr>
          <w:b/>
        </w:rPr>
      </w:pPr>
      <w:r w:rsidRPr="00347817">
        <w:rPr>
          <w:b/>
          <w:bCs/>
        </w:rPr>
        <w:t xml:space="preserve">Ministru kabineta noteikumu projekta „Eiropas Globalizācijas pielāgošanās fonda finansējuma saņemšanas un izlietošanas nosacījumi aktīvo nodarbinātības un preventīvo bezdarba samazināšanas pasākumu īstenošanai” </w:t>
      </w:r>
      <w:r w:rsidRPr="00347817">
        <w:rPr>
          <w:b/>
        </w:rPr>
        <w:t>sākotnējās ietekmes novērtējuma ziņojums (anotācija)</w:t>
      </w:r>
    </w:p>
    <w:p w:rsidR="00573664" w:rsidRPr="00347817" w:rsidRDefault="00573664" w:rsidP="00573664">
      <w:pPr>
        <w:jc w:val="center"/>
        <w:rPr>
          <w:b/>
        </w:rPr>
      </w:pPr>
    </w:p>
    <w:p w:rsidR="00573664" w:rsidRPr="00347817" w:rsidRDefault="00573664" w:rsidP="00573664">
      <w:pPr>
        <w:jc w:val="cente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A858DB">
            <w:pPr>
              <w:jc w:val="both"/>
            </w:pPr>
            <w:r w:rsidRPr="00347817">
              <w:t xml:space="preserve">Ministru kabineta noteikumu projekts </w:t>
            </w:r>
            <w:r w:rsidRPr="00347817">
              <w:rPr>
                <w:bCs/>
              </w:rPr>
              <w:t>„Eiropas Globalizācijas pielāgošanās fonda finansējuma saņemšanas un izlietošanas nosacījumi aktīvo nodarbinātības un preventīvo bezdarba samazināšanas pasākumu īstenošanai”</w:t>
            </w:r>
            <w:r w:rsidRPr="00347817">
              <w:t xml:space="preserve"> (turpmāk – Noteikumu projekts) ir izstrādāts atbilstoši Bezdarbnieku un darba meklētāju atbalsta likuma (turpmāk – BDMAL) pārejas noteikumu 20.punktā Ministru kabinetam dotam uzdevumam un pamatojoties uz Ministru prezidenta 2016.</w:t>
            </w:r>
            <w:r w:rsidR="00A858DB" w:rsidRPr="00347817">
              <w:t> </w:t>
            </w:r>
            <w:r w:rsidRPr="00347817">
              <w:t>gada 5.</w:t>
            </w:r>
            <w:r w:rsidR="00A858DB" w:rsidRPr="00347817">
              <w:t> </w:t>
            </w:r>
            <w:r w:rsidRPr="00347817">
              <w:t>janvāra rezolūciju Nr.12/2015-JUR-222, ar kuru Labklājības ministrijai uzdots sagatavot un iesniegt Ministru kabinetā BDMAL 4.</w:t>
            </w:r>
            <w:r w:rsidR="00A858DB" w:rsidRPr="00347817">
              <w:t> </w:t>
            </w:r>
            <w:r w:rsidRPr="00347817">
              <w:t>panta desmitajā daļā minēto noteikumu projektu, lai noteiktu Eiropas Globalizācijas pielāgošanās fonda finansējuma saņemšanas un izlietošanas nosacījumus aktīvo nodarbinātības un preventīvo bezdarba samazināšanas pasākumu īstenošanai atbilstoši Eiropas Parlamenta un Padomes 2013.</w:t>
            </w:r>
            <w:r w:rsidR="00A858DB" w:rsidRPr="00347817">
              <w:t> </w:t>
            </w:r>
            <w:r w:rsidRPr="00347817">
              <w:t>gada 17.</w:t>
            </w:r>
            <w:r w:rsidR="00A858DB" w:rsidRPr="00347817">
              <w:t> decembra Regulai (ES) Nr. </w:t>
            </w:r>
            <w:r w:rsidRPr="00347817">
              <w:t>1309/2013 par Eiropas Globalizācijas pielāgošanās fondu (2014-2020) un ar ko atceļ Regulu (EK) Nr.</w:t>
            </w:r>
            <w:r w:rsidR="00A858DB" w:rsidRPr="00347817">
              <w:t> </w:t>
            </w:r>
            <w:r w:rsidRPr="00347817">
              <w:t>1927/2006 (turpmāk – Padomes regula Nr.</w:t>
            </w:r>
            <w:r w:rsidR="00A858DB" w:rsidRPr="00347817">
              <w:t> </w:t>
            </w:r>
            <w:r w:rsidRPr="00347817">
              <w:t>1309/2013).</w:t>
            </w: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C15FD" w:rsidRPr="00347817" w:rsidRDefault="00BF69E3" w:rsidP="00BF69E3">
            <w:pPr>
              <w:jc w:val="both"/>
              <w:rPr>
                <w:shd w:val="clear" w:color="auto" w:fill="FFFFFF"/>
              </w:rPr>
            </w:pPr>
            <w:r w:rsidRPr="00347817">
              <w:rPr>
                <w:shd w:val="clear" w:color="auto" w:fill="FFFFFF"/>
              </w:rPr>
              <w:t>Ar Eiropas Parlamenta un Padomes 2006.</w:t>
            </w:r>
            <w:r w:rsidR="0034135A" w:rsidRPr="00347817">
              <w:rPr>
                <w:shd w:val="clear" w:color="auto" w:fill="FFFFFF"/>
              </w:rPr>
              <w:t> </w:t>
            </w:r>
            <w:r w:rsidRPr="00347817">
              <w:rPr>
                <w:shd w:val="clear" w:color="auto" w:fill="FFFFFF"/>
              </w:rPr>
              <w:t>gada 20.</w:t>
            </w:r>
            <w:r w:rsidR="0034135A" w:rsidRPr="00347817">
              <w:rPr>
                <w:shd w:val="clear" w:color="auto" w:fill="FFFFFF"/>
              </w:rPr>
              <w:t> </w:t>
            </w:r>
            <w:r w:rsidRPr="00347817">
              <w:rPr>
                <w:shd w:val="clear" w:color="auto" w:fill="FFFFFF"/>
              </w:rPr>
              <w:t>decembra regulu (EK) Nr.</w:t>
            </w:r>
            <w:r w:rsidR="0034135A" w:rsidRPr="00347817">
              <w:rPr>
                <w:shd w:val="clear" w:color="auto" w:fill="FFFFFF"/>
              </w:rPr>
              <w:t> </w:t>
            </w:r>
            <w:r w:rsidRPr="00347817">
              <w:rPr>
                <w:shd w:val="clear" w:color="auto" w:fill="FFFFFF"/>
              </w:rPr>
              <w:t>1927/2006 par Eiropas Globalizācijas pielāgošanas fonda izveidi (turpmāk – Padomes regula Nr.</w:t>
            </w:r>
            <w:r w:rsidR="0034135A" w:rsidRPr="00347817">
              <w:rPr>
                <w:shd w:val="clear" w:color="auto" w:fill="FFFFFF"/>
              </w:rPr>
              <w:t> </w:t>
            </w:r>
            <w:r w:rsidRPr="00347817">
              <w:rPr>
                <w:shd w:val="clear" w:color="auto" w:fill="FFFFFF"/>
              </w:rPr>
              <w:t>1927/2006) tika izveidots Eiropas Globalizācijas pielāgošanās fonds (turpmāk – EGF), lai sniegtu finansiālu atbalstu darba ņēmēj</w:t>
            </w:r>
            <w:r w:rsidR="0034135A" w:rsidRPr="00347817">
              <w:rPr>
                <w:shd w:val="clear" w:color="auto" w:fill="FFFFFF"/>
              </w:rPr>
              <w:t xml:space="preserve">iem, kuri atlaisti no darba </w:t>
            </w:r>
            <w:r w:rsidRPr="00347817">
              <w:rPr>
                <w:shd w:val="clear" w:color="auto" w:fill="FFFFFF"/>
              </w:rPr>
              <w:t xml:space="preserve">globalizācijas radīto lielu strukturālo izmaiņu rezultātā pasaules tirdzniecības modeļos, kas </w:t>
            </w:r>
            <w:r w:rsidRPr="00347817">
              <w:t>attiecas uz lielām pārmaiņām pasaules tirdzniecības modeļos, kas ietekmē nodarbinātību šādu faktoru dēļ:  ievērojams preču un/vai pakalpojumu importa apjoma pieaugums Eiropas Savienībā (turpmāk – ES) no valstīm un reģioniem, kas var ražot preces un pakalpojumus par zemākām izmaksām; strauja ES, dalībvalsts vai reģiona tirgus daļas samazināšanas kādā nozarē; ražošanas vai pakalpojumu sniegšanas (un tādējādi arī darbvietu) pārvietošana uz valstīm ārpus ES.</w:t>
            </w:r>
            <w:r w:rsidR="0020318D" w:rsidRPr="00347817">
              <w:t xml:space="preserve"> </w:t>
            </w:r>
            <w:r w:rsidRPr="00347817">
              <w:rPr>
                <w:shd w:val="clear" w:color="auto" w:fill="FFFFFF"/>
              </w:rPr>
              <w:t>Padomes regulu Nr.</w:t>
            </w:r>
            <w:r w:rsidR="0034135A" w:rsidRPr="00347817">
              <w:rPr>
                <w:shd w:val="clear" w:color="auto" w:fill="FFFFFF"/>
              </w:rPr>
              <w:t> </w:t>
            </w:r>
            <w:r w:rsidRPr="00347817">
              <w:rPr>
                <w:shd w:val="clear" w:color="auto" w:fill="FFFFFF"/>
              </w:rPr>
              <w:t>1927/2006 piemēroja laikposmā no 2007.</w:t>
            </w:r>
            <w:r w:rsidR="0034135A" w:rsidRPr="00347817">
              <w:rPr>
                <w:shd w:val="clear" w:color="auto" w:fill="FFFFFF"/>
              </w:rPr>
              <w:t> </w:t>
            </w:r>
            <w:r w:rsidRPr="00347817">
              <w:rPr>
                <w:shd w:val="clear" w:color="auto" w:fill="FFFFFF"/>
              </w:rPr>
              <w:t>gada 1.</w:t>
            </w:r>
            <w:r w:rsidR="0034135A" w:rsidRPr="00347817">
              <w:rPr>
                <w:shd w:val="clear" w:color="auto" w:fill="FFFFFF"/>
              </w:rPr>
              <w:t> </w:t>
            </w:r>
            <w:r w:rsidRPr="00347817">
              <w:rPr>
                <w:shd w:val="clear" w:color="auto" w:fill="FFFFFF"/>
              </w:rPr>
              <w:t>janvāra līdz 2013.</w:t>
            </w:r>
            <w:r w:rsidR="0034135A" w:rsidRPr="00347817">
              <w:rPr>
                <w:shd w:val="clear" w:color="auto" w:fill="FFFFFF"/>
              </w:rPr>
              <w:t> </w:t>
            </w:r>
            <w:r w:rsidRPr="00347817">
              <w:rPr>
                <w:shd w:val="clear" w:color="auto" w:fill="FFFFFF"/>
              </w:rPr>
              <w:t>gada 31.</w:t>
            </w:r>
            <w:r w:rsidR="0034135A" w:rsidRPr="00347817">
              <w:rPr>
                <w:shd w:val="clear" w:color="auto" w:fill="FFFFFF"/>
              </w:rPr>
              <w:t> </w:t>
            </w:r>
            <w:r w:rsidRPr="00347817">
              <w:rPr>
                <w:shd w:val="clear" w:color="auto" w:fill="FFFFFF"/>
              </w:rPr>
              <w:t>decembrim. Šajā laikposmā Padomes regulas</w:t>
            </w:r>
            <w:r w:rsidR="0034135A" w:rsidRPr="00347817">
              <w:rPr>
                <w:shd w:val="clear" w:color="auto" w:fill="FFFFFF"/>
              </w:rPr>
              <w:t> </w:t>
            </w:r>
            <w:r w:rsidRPr="00347817">
              <w:rPr>
                <w:shd w:val="clear" w:color="auto" w:fill="FFFFFF"/>
              </w:rPr>
              <w:t xml:space="preserve"> Nr.</w:t>
            </w:r>
            <w:r w:rsidR="0034135A" w:rsidRPr="00347817">
              <w:rPr>
                <w:shd w:val="clear" w:color="auto" w:fill="FFFFFF"/>
              </w:rPr>
              <w:t> </w:t>
            </w:r>
            <w:r w:rsidRPr="00347817">
              <w:rPr>
                <w:shd w:val="clear" w:color="auto" w:fill="FFFFFF"/>
              </w:rPr>
              <w:t xml:space="preserve">1927/2006 prasības Latvijā bija ieviestas ar </w:t>
            </w:r>
            <w:r w:rsidRPr="00347817">
              <w:rPr>
                <w:shd w:val="clear" w:color="auto" w:fill="FFFFFF"/>
              </w:rPr>
              <w:lastRenderedPageBreak/>
              <w:t>Ministru kabineta 2010.</w:t>
            </w:r>
            <w:r w:rsidR="0034135A" w:rsidRPr="00347817">
              <w:rPr>
                <w:shd w:val="clear" w:color="auto" w:fill="FFFFFF"/>
              </w:rPr>
              <w:t> </w:t>
            </w:r>
            <w:r w:rsidRPr="00347817">
              <w:rPr>
                <w:shd w:val="clear" w:color="auto" w:fill="FFFFFF"/>
              </w:rPr>
              <w:t>gada 10.</w:t>
            </w:r>
            <w:r w:rsidR="0034135A" w:rsidRPr="00347817">
              <w:rPr>
                <w:shd w:val="clear" w:color="auto" w:fill="FFFFFF"/>
              </w:rPr>
              <w:t> </w:t>
            </w:r>
            <w:r w:rsidRPr="00347817">
              <w:rPr>
                <w:shd w:val="clear" w:color="auto" w:fill="FFFFFF"/>
              </w:rPr>
              <w:t>augusta noteikumiem Nr.</w:t>
            </w:r>
            <w:r w:rsidR="0034135A" w:rsidRPr="00347817">
              <w:rPr>
                <w:shd w:val="clear" w:color="auto" w:fill="FFFFFF"/>
              </w:rPr>
              <w:t> </w:t>
            </w:r>
            <w:r w:rsidRPr="00347817">
              <w:rPr>
                <w:shd w:val="clear" w:color="auto" w:fill="FFFFFF"/>
              </w:rPr>
              <w:t>762 „Eiropas Globalizācijas pielāgošanās fonda finansējuma saņemšanas un izlietošanas nosacījumi aktīvo nodarbinātības un preventīvo bezdarba sama</w:t>
            </w:r>
            <w:r w:rsidR="00C85949" w:rsidRPr="00347817">
              <w:rPr>
                <w:shd w:val="clear" w:color="auto" w:fill="FFFFFF"/>
              </w:rPr>
              <w:t>zināšanas pasākumu īstenošanai.” (turpmāk – MK noteikumi Nr.</w:t>
            </w:r>
            <w:r w:rsidR="0034135A" w:rsidRPr="00347817">
              <w:rPr>
                <w:shd w:val="clear" w:color="auto" w:fill="FFFFFF"/>
              </w:rPr>
              <w:t> </w:t>
            </w:r>
            <w:r w:rsidR="00C85949" w:rsidRPr="00347817">
              <w:rPr>
                <w:shd w:val="clear" w:color="auto" w:fill="FFFFFF"/>
              </w:rPr>
              <w:t>762). Laikposmā no 2007.</w:t>
            </w:r>
            <w:r w:rsidR="0034135A" w:rsidRPr="00347817">
              <w:rPr>
                <w:shd w:val="clear" w:color="auto" w:fill="FFFFFF"/>
              </w:rPr>
              <w:t> </w:t>
            </w:r>
            <w:r w:rsidR="00C85949" w:rsidRPr="00347817">
              <w:rPr>
                <w:shd w:val="clear" w:color="auto" w:fill="FFFFFF"/>
              </w:rPr>
              <w:t>gada 1.</w:t>
            </w:r>
            <w:r w:rsidR="0034135A" w:rsidRPr="00347817">
              <w:rPr>
                <w:shd w:val="clear" w:color="auto" w:fill="FFFFFF"/>
              </w:rPr>
              <w:t> </w:t>
            </w:r>
            <w:r w:rsidR="00C85949" w:rsidRPr="00347817">
              <w:rPr>
                <w:shd w:val="clear" w:color="auto" w:fill="FFFFFF"/>
              </w:rPr>
              <w:t>janvāra līdz 2013.</w:t>
            </w:r>
            <w:r w:rsidR="0034135A" w:rsidRPr="00347817">
              <w:rPr>
                <w:shd w:val="clear" w:color="auto" w:fill="FFFFFF"/>
              </w:rPr>
              <w:t> </w:t>
            </w:r>
            <w:r w:rsidR="00C85949" w:rsidRPr="00347817">
              <w:rPr>
                <w:shd w:val="clear" w:color="auto" w:fill="FFFFFF"/>
              </w:rPr>
              <w:t>gada 31.</w:t>
            </w:r>
            <w:r w:rsidR="0034135A" w:rsidRPr="00347817">
              <w:rPr>
                <w:shd w:val="clear" w:color="auto" w:fill="FFFFFF"/>
              </w:rPr>
              <w:t> decembrim MK noteikumi Nr. </w:t>
            </w:r>
            <w:r w:rsidR="00C85949" w:rsidRPr="00347817">
              <w:rPr>
                <w:shd w:val="clear" w:color="auto" w:fill="FFFFFF"/>
              </w:rPr>
              <w:t xml:space="preserve">762 netika piemēroti, jo </w:t>
            </w:r>
            <w:r w:rsidR="00FD5C81" w:rsidRPr="00347817">
              <w:rPr>
                <w:shd w:val="clear" w:color="auto" w:fill="FFFFFF"/>
              </w:rPr>
              <w:t>kolektīvās atlaišanas gadījumos bezdarbnieku iesaiste Nodarbinātības valsts aģentūras (turpmāk – NVA) aktīvos nodarbinātības un preventīvos bezdarba samazināšanas pasākumos nodrošin</w:t>
            </w:r>
            <w:r w:rsidR="00141746" w:rsidRPr="00347817">
              <w:rPr>
                <w:shd w:val="clear" w:color="auto" w:fill="FFFFFF"/>
              </w:rPr>
              <w:t>āja</w:t>
            </w:r>
            <w:r w:rsidR="00FD5C81" w:rsidRPr="00347817">
              <w:rPr>
                <w:shd w:val="clear" w:color="auto" w:fill="FFFFFF"/>
              </w:rPr>
              <w:t xml:space="preserve"> piesaistot Eiropas Sociālā fonda finansējumu (turpmāk – ESF), </w:t>
            </w:r>
            <w:r w:rsidR="00141746" w:rsidRPr="00347817">
              <w:rPr>
                <w:shd w:val="clear" w:color="auto" w:fill="FFFFFF"/>
              </w:rPr>
              <w:t>jo, izmantojot ESF finansējumu, Latvijai bija jāmaksā zemāks valsts līdzfinansējums – 15%</w:t>
            </w:r>
            <w:r w:rsidR="00CC15FD" w:rsidRPr="00347817">
              <w:rPr>
                <w:shd w:val="clear" w:color="auto" w:fill="FFFFFF"/>
              </w:rPr>
              <w:t xml:space="preserve"> un bija operatīvāk pieejami līdzekļi seku mazināšanai kolektīvās atlaišanas gadījumā, </w:t>
            </w:r>
            <w:r w:rsidR="00CC15FD" w:rsidRPr="00347817">
              <w:t xml:space="preserve">turklāt EGF finansējuma pieteikuma iesniegšana un finansējuma saņemšana ilgtu aptuveni pusotru gadu, bet kolektīvās atlaišanas gadījumā ir nepieciešams nekavējoties sniegt atbalstu </w:t>
            </w:r>
            <w:r w:rsidR="00D85BE5" w:rsidRPr="00347817">
              <w:t>bez darba palikušām personām.</w:t>
            </w:r>
            <w:r w:rsidR="0020318D" w:rsidRPr="00347817">
              <w:t xml:space="preserve"> Jau šobrīd ESF ietvaros bezdarbniekiem un darba meklētājiem, kā arī bezdarba riskam pakļautām personām ir iespēja piedalīties dažādos NVA organizētajos aktīvās nodarbinātības un preventīvos bezdarba samazināšanas pasākumos, savukārt Padomes regula Nr.</w:t>
            </w:r>
            <w:r w:rsidR="0034135A" w:rsidRPr="00347817">
              <w:t> </w:t>
            </w:r>
            <w:r w:rsidR="0020318D" w:rsidRPr="00347817">
              <w:t>1309/2013 neparedz iespēju saņemt finansiālu atbalstu cita veida pasākumiem.</w:t>
            </w:r>
          </w:p>
          <w:p w:rsidR="00CC15FD" w:rsidRPr="00347817" w:rsidRDefault="00CC15FD" w:rsidP="00BF69E3">
            <w:pPr>
              <w:jc w:val="both"/>
              <w:rPr>
                <w:shd w:val="clear" w:color="auto" w:fill="FFFFFF"/>
              </w:rPr>
            </w:pPr>
          </w:p>
          <w:p w:rsidR="00573664" w:rsidRPr="00347817" w:rsidRDefault="00BF69E3" w:rsidP="00166387">
            <w:pPr>
              <w:jc w:val="both"/>
            </w:pPr>
            <w:r w:rsidRPr="00347817">
              <w:rPr>
                <w:shd w:val="clear" w:color="auto" w:fill="FFFFFF"/>
              </w:rPr>
              <w:t>2014.</w:t>
            </w:r>
            <w:r w:rsidR="0034135A" w:rsidRPr="00347817">
              <w:rPr>
                <w:shd w:val="clear" w:color="auto" w:fill="FFFFFF"/>
              </w:rPr>
              <w:t> </w:t>
            </w:r>
            <w:r w:rsidRPr="00347817">
              <w:rPr>
                <w:shd w:val="clear" w:color="auto" w:fill="FFFFFF"/>
              </w:rPr>
              <w:t>gada 1.</w:t>
            </w:r>
            <w:r w:rsidR="0034135A" w:rsidRPr="00347817">
              <w:rPr>
                <w:shd w:val="clear" w:color="auto" w:fill="FFFFFF"/>
              </w:rPr>
              <w:t> </w:t>
            </w:r>
            <w:r w:rsidRPr="00347817">
              <w:rPr>
                <w:shd w:val="clear" w:color="auto" w:fill="FFFFFF"/>
              </w:rPr>
              <w:t>janvārī stājās spēkā jauna Padomes regula Nr.</w:t>
            </w:r>
            <w:r w:rsidR="0034135A" w:rsidRPr="00347817">
              <w:rPr>
                <w:shd w:val="clear" w:color="auto" w:fill="FFFFFF"/>
              </w:rPr>
              <w:t> </w:t>
            </w:r>
            <w:r w:rsidRPr="00347817">
              <w:rPr>
                <w:shd w:val="clear" w:color="auto" w:fill="FFFFFF"/>
              </w:rPr>
              <w:t>1309/2013, kuru piemēro dalībvalstu pieteikumiem EGF atbalsta saņemšanai līdz 2020.</w:t>
            </w:r>
            <w:r w:rsidR="0034135A" w:rsidRPr="00347817">
              <w:rPr>
                <w:shd w:val="clear" w:color="auto" w:fill="FFFFFF"/>
              </w:rPr>
              <w:t> </w:t>
            </w:r>
            <w:r w:rsidRPr="00347817">
              <w:rPr>
                <w:shd w:val="clear" w:color="auto" w:fill="FFFFFF"/>
              </w:rPr>
              <w:t>gada 31.</w:t>
            </w:r>
            <w:r w:rsidR="0034135A" w:rsidRPr="00347817">
              <w:rPr>
                <w:shd w:val="clear" w:color="auto" w:fill="FFFFFF"/>
              </w:rPr>
              <w:t> </w:t>
            </w:r>
            <w:r w:rsidRPr="00347817">
              <w:rPr>
                <w:shd w:val="clear" w:color="auto" w:fill="FFFFFF"/>
              </w:rPr>
              <w:t xml:space="preserve">decembrim. </w:t>
            </w:r>
            <w:r w:rsidR="00573664" w:rsidRPr="00347817">
              <w:t xml:space="preserve">Noteikumu projekts ir izstrādāts, lai ieviestu jaunās </w:t>
            </w:r>
            <w:r w:rsidR="00573664" w:rsidRPr="00347817">
              <w:rPr>
                <w:shd w:val="clear" w:color="auto" w:fill="FFFFFF"/>
              </w:rPr>
              <w:t>Padomes regulas Nr.</w:t>
            </w:r>
            <w:r w:rsidR="0034135A" w:rsidRPr="00347817">
              <w:rPr>
                <w:shd w:val="clear" w:color="auto" w:fill="FFFFFF"/>
              </w:rPr>
              <w:t> </w:t>
            </w:r>
            <w:r w:rsidR="00573664" w:rsidRPr="00347817">
              <w:rPr>
                <w:shd w:val="clear" w:color="auto" w:fill="FFFFFF"/>
              </w:rPr>
              <w:t xml:space="preserve">1309/2013 prasības, </w:t>
            </w:r>
            <w:r w:rsidR="00573664" w:rsidRPr="00347817">
              <w:t xml:space="preserve">paredzot kārtību </w:t>
            </w:r>
            <w:r w:rsidR="002D5586" w:rsidRPr="00347817">
              <w:rPr>
                <w:bCs/>
              </w:rPr>
              <w:t>EGF</w:t>
            </w:r>
            <w:r w:rsidR="00573664" w:rsidRPr="00347817">
              <w:rPr>
                <w:bCs/>
              </w:rPr>
              <w:t xml:space="preserve"> finansējuma pieprasīšanai, saņemšanai un izlietošanai aktīviem nodarbinātības un preventīviem bezdarba samazināšanas pasākumiem, lai kolektīvās atlaišanas gadījumā Latvijā atbilstoši </w:t>
            </w:r>
            <w:r w:rsidR="00573664" w:rsidRPr="00347817">
              <w:t>Padomes regulai Nr.</w:t>
            </w:r>
            <w:r w:rsidR="0034135A" w:rsidRPr="00347817">
              <w:t> </w:t>
            </w:r>
            <w:r w:rsidR="00573664" w:rsidRPr="00347817">
              <w:t>1309/2013</w:t>
            </w:r>
            <w:r w:rsidR="00573664" w:rsidRPr="00347817">
              <w:rPr>
                <w:bCs/>
              </w:rPr>
              <w:t xml:space="preserve">, kad </w:t>
            </w:r>
            <w:r w:rsidR="00573664" w:rsidRPr="00347817">
              <w:t xml:space="preserve">lielu strukturālu pārmaiņu rezultātā, kas pasaules tirdzniecības modeļos notikušas globalizācijas dēļ vai saistībā ar ilgstošu vai jaunu globālo finanšu un ekonomikas krīzi, </w:t>
            </w:r>
            <w:r w:rsidR="002D5586" w:rsidRPr="00347817">
              <w:t xml:space="preserve">nepieciešamības gadījumā varētu izmantot EGF finansējumu, lai </w:t>
            </w:r>
            <w:r w:rsidR="00573664" w:rsidRPr="00347817">
              <w:t xml:space="preserve">veicinātu ātrāku bez darba palikušo cilvēku </w:t>
            </w:r>
            <w:r w:rsidR="002C1196" w:rsidRPr="00347817">
              <w:t>iekļaušanos</w:t>
            </w:r>
            <w:r w:rsidR="009C2B5A" w:rsidRPr="00347817">
              <w:t xml:space="preserve"> darba tirgū un ilgtermiņā uzlabojot bezdarba situāciju valstī.</w:t>
            </w:r>
          </w:p>
          <w:p w:rsidR="00231A99" w:rsidRPr="00347817" w:rsidRDefault="00231A99" w:rsidP="00166387">
            <w:pPr>
              <w:jc w:val="both"/>
            </w:pPr>
          </w:p>
          <w:p w:rsidR="00573664" w:rsidRPr="00347817" w:rsidRDefault="00573664" w:rsidP="00166387">
            <w:pPr>
              <w:pStyle w:val="NormalWeb"/>
              <w:shd w:val="clear" w:color="auto" w:fill="FFFFFF"/>
              <w:spacing w:before="0" w:after="0" w:line="297" w:lineRule="atLeast"/>
              <w:jc w:val="both"/>
            </w:pPr>
            <w:r w:rsidRPr="00347817">
              <w:t xml:space="preserve">Dalībvalstis EGF var izmantot tikai tad, ja vienā un tajā pašā uzņēmumā bez darba paliek vairāk nekā 500 cilvēki vai ja atlaiž daudz darbinieku kādā nozarē vienā reģionā vai vairākos </w:t>
            </w:r>
            <w:proofErr w:type="spellStart"/>
            <w:r w:rsidRPr="00347817">
              <w:t>kaimiņreģionos</w:t>
            </w:r>
            <w:proofErr w:type="spellEnd"/>
            <w:r w:rsidR="0001045B" w:rsidRPr="00347817">
              <w:t xml:space="preserve"> </w:t>
            </w:r>
            <w:proofErr w:type="gramStart"/>
            <w:r w:rsidR="0001045B" w:rsidRPr="00347817">
              <w:t>(</w:t>
            </w:r>
            <w:proofErr w:type="gramEnd"/>
            <w:r w:rsidR="0001045B" w:rsidRPr="00347817">
              <w:t xml:space="preserve">izņēmuma gadījumos EGF atbalstam var pieteikties arī, ja bez darba paliek mazāk nekā </w:t>
            </w:r>
            <w:r w:rsidR="0001045B" w:rsidRPr="00347817">
              <w:lastRenderedPageBreak/>
              <w:t>500</w:t>
            </w:r>
            <w:r w:rsidR="0034135A" w:rsidRPr="00347817">
              <w:t xml:space="preserve"> cilvēku</w:t>
            </w:r>
            <w:r w:rsidR="0001045B" w:rsidRPr="00347817">
              <w:t>, ja ir iespējams pierādīt, ka darba ņēmēju atlaišanai ir būtiska negatīva ietekme uz nodarbinātību un vietējo, reģionālo vai valsts ekonomiku</w:t>
            </w:r>
            <w:r w:rsidRPr="00347817">
              <w:t xml:space="preserve">. EGF atbalstītos projektus vada un īsteno valsts iestādes. </w:t>
            </w:r>
          </w:p>
          <w:p w:rsidR="00573664" w:rsidRPr="00347817" w:rsidRDefault="00573664" w:rsidP="00166387">
            <w:pPr>
              <w:pStyle w:val="NormalWeb"/>
              <w:shd w:val="clear" w:color="auto" w:fill="FFFFFF"/>
              <w:spacing w:before="0" w:after="0" w:line="297" w:lineRule="atLeast"/>
              <w:jc w:val="both"/>
            </w:pPr>
          </w:p>
          <w:p w:rsidR="00081E5D" w:rsidRPr="00347817" w:rsidRDefault="00573664" w:rsidP="00081E5D">
            <w:pPr>
              <w:pStyle w:val="NormalWeb"/>
              <w:shd w:val="clear" w:color="auto" w:fill="FFFFFF"/>
              <w:spacing w:before="0" w:after="0" w:line="297" w:lineRule="atLeast"/>
              <w:jc w:val="both"/>
              <w:rPr>
                <w:shd w:val="clear" w:color="auto" w:fill="FFFFFF"/>
              </w:rPr>
            </w:pPr>
            <w:r w:rsidRPr="00347817">
              <w:rPr>
                <w:shd w:val="clear" w:color="auto" w:fill="FFFFFF"/>
              </w:rPr>
              <w:t>EGF maksimālais budžets laikposmā no 2014. līdz 2020. gadam ir 150 miljoni eiro</w:t>
            </w:r>
            <w:r w:rsidR="00E86ABB" w:rsidRPr="00347817">
              <w:rPr>
                <w:shd w:val="clear" w:color="auto" w:fill="FFFFFF"/>
              </w:rPr>
              <w:t xml:space="preserve"> gadā</w:t>
            </w:r>
            <w:r w:rsidR="00081E5D" w:rsidRPr="00347817">
              <w:rPr>
                <w:shd w:val="clear" w:color="auto" w:fill="FFFFFF"/>
              </w:rPr>
              <w:t xml:space="preserve"> </w:t>
            </w:r>
            <w:proofErr w:type="gramStart"/>
            <w:r w:rsidR="00081E5D" w:rsidRPr="00347817">
              <w:rPr>
                <w:shd w:val="clear" w:color="auto" w:fill="FFFFFF"/>
              </w:rPr>
              <w:t>(</w:t>
            </w:r>
            <w:proofErr w:type="gramEnd"/>
            <w:r w:rsidR="00081E5D" w:rsidRPr="00347817">
              <w:t>Padomes 2013.</w:t>
            </w:r>
            <w:r w:rsidR="0034135A" w:rsidRPr="00347817">
              <w:t> </w:t>
            </w:r>
            <w:r w:rsidR="00081E5D" w:rsidRPr="00347817">
              <w:t>gada 2.</w:t>
            </w:r>
            <w:r w:rsidR="0034135A" w:rsidRPr="00347817">
              <w:t> </w:t>
            </w:r>
            <w:r w:rsidR="00081E5D" w:rsidRPr="00347817">
              <w:t>dece</w:t>
            </w:r>
            <w:r w:rsidR="0034135A" w:rsidRPr="00347817">
              <w:t>mbra regula (ES, EURATOM) Nr. 1</w:t>
            </w:r>
            <w:r w:rsidR="00081E5D" w:rsidRPr="00347817">
              <w:t>311/2013 ar ko nosaka daudzgadu finanšu shēmu 2014.-2020. gadam 12.</w:t>
            </w:r>
            <w:r w:rsidR="0034135A" w:rsidRPr="00347817">
              <w:t> </w:t>
            </w:r>
            <w:r w:rsidR="00081E5D" w:rsidRPr="00347817">
              <w:t>panta 1.</w:t>
            </w:r>
            <w:r w:rsidR="0034135A" w:rsidRPr="00347817">
              <w:t> </w:t>
            </w:r>
            <w:r w:rsidR="00081E5D" w:rsidRPr="00347817">
              <w:t>punkts nosaka, ka Eiropas Globalizācijas pielāgošanās fonds (..) nepārsnied</w:t>
            </w:r>
            <w:r w:rsidR="0034135A" w:rsidRPr="00347817">
              <w:t>z maksimālo gada apjomu EUR 150 </w:t>
            </w:r>
            <w:r w:rsidR="00081E5D" w:rsidRPr="00347817">
              <w:t>miljonu apmērā (2011.gada cenās).</w:t>
            </w:r>
            <w:r w:rsidR="00E86ABB" w:rsidRPr="00347817">
              <w:rPr>
                <w:shd w:val="clear" w:color="auto" w:fill="FFFFFF"/>
              </w:rPr>
              <w:t xml:space="preserve"> </w:t>
            </w:r>
            <w:r w:rsidRPr="00347817">
              <w:rPr>
                <w:shd w:val="clear" w:color="auto" w:fill="FFFFFF"/>
              </w:rPr>
              <w:t>EGF var finansēt līdz 60 % izmaksu, ja projektu mērķis ir bez darba palikušajiem palīdzēt atrast darbu vai izveidot pašiem savu uzņēmumu, līdz ar to, lai EGF dalībvalstis, tostarp Latvija varētu izmantot EGF atbalstu, ir nepieciešams valsts līdzfinansējums 40</w:t>
            </w:r>
            <w:r w:rsidR="0034135A" w:rsidRPr="00347817">
              <w:rPr>
                <w:shd w:val="clear" w:color="auto" w:fill="FFFFFF"/>
              </w:rPr>
              <w:t> </w:t>
            </w:r>
            <w:r w:rsidRPr="00347817">
              <w:rPr>
                <w:shd w:val="clear" w:color="auto" w:fill="FFFFFF"/>
              </w:rPr>
              <w:t xml:space="preserve">%. </w:t>
            </w:r>
            <w:r w:rsidR="00081E5D" w:rsidRPr="00347817">
              <w:rPr>
                <w:shd w:val="clear" w:color="auto" w:fill="FFFFFF"/>
              </w:rPr>
              <w:t>Dalībvalsts EGF pieteikumā var budžetā paredzēt gan saskaņotu individualizēto pakalpojumu paketi, gan darbības šīs paketes īstenošanai (t.sk., sagatavošanas, vadības, informācijas, publicitātes un kontroles darbības), nepārsniedzot 4</w:t>
            </w:r>
            <w:r w:rsidR="0034135A" w:rsidRPr="00347817">
              <w:rPr>
                <w:shd w:val="clear" w:color="auto" w:fill="FFFFFF"/>
              </w:rPr>
              <w:t> </w:t>
            </w:r>
            <w:r w:rsidR="00081E5D" w:rsidRPr="00347817">
              <w:rPr>
                <w:shd w:val="clear" w:color="auto" w:fill="FFFFFF"/>
              </w:rPr>
              <w:t>% no kopējā budžeta.</w:t>
            </w:r>
          </w:p>
          <w:p w:rsidR="00081E5D" w:rsidRPr="00347817" w:rsidRDefault="00081E5D" w:rsidP="00166387">
            <w:pPr>
              <w:pStyle w:val="NormalWeb"/>
              <w:shd w:val="clear" w:color="auto" w:fill="FFFFFF"/>
              <w:spacing w:before="0" w:after="0" w:line="297" w:lineRule="atLeast"/>
              <w:jc w:val="both"/>
              <w:rPr>
                <w:shd w:val="clear" w:color="auto" w:fill="FFFFFF"/>
              </w:rPr>
            </w:pPr>
          </w:p>
          <w:p w:rsidR="00FF787D" w:rsidRPr="00347817" w:rsidRDefault="00573664" w:rsidP="00166387">
            <w:pPr>
              <w:pStyle w:val="NormalWeb"/>
              <w:shd w:val="clear" w:color="auto" w:fill="FFFFFF"/>
              <w:spacing w:before="0" w:after="0" w:line="297" w:lineRule="atLeast"/>
              <w:jc w:val="both"/>
              <w:rPr>
                <w:shd w:val="clear" w:color="auto" w:fill="FFFFFF"/>
              </w:rPr>
            </w:pPr>
            <w:r w:rsidRPr="00347817">
              <w:rPr>
                <w:iCs/>
                <w:lang w:eastAsia="en-US"/>
              </w:rPr>
              <w:t>Šobrīd aktīvās darba tirgus politikas pasākumu finansēšana notiek no valsts budžeta un Eiropas Savienības struktūrfondu līdzekļiem, bet Eiropas Savienībā pastāv arī citi finanšu instrumenti darba tirgus situācijas uzlabošanai, piemēram, EGF, tādēļ nepieciešamības gadījumā Latvijai kā EGF dalībvalstij ir tiesības piesaistīt arī papildu finansējumu aktīvās darba tirgus politikas pasākumiem.</w:t>
            </w:r>
            <w:r w:rsidR="006D0D0F" w:rsidRPr="00347817" w:rsidDel="006D0D0F">
              <w:rPr>
                <w:iCs/>
                <w:lang w:eastAsia="en-US"/>
              </w:rPr>
              <w:t xml:space="preserve"> </w:t>
            </w:r>
          </w:p>
          <w:p w:rsidR="006D0D0F" w:rsidRPr="00347817" w:rsidRDefault="00573664" w:rsidP="00166387">
            <w:pPr>
              <w:pStyle w:val="Default"/>
              <w:jc w:val="both"/>
              <w:rPr>
                <w:color w:val="auto"/>
              </w:rPr>
            </w:pPr>
            <w:r w:rsidRPr="00347817">
              <w:rPr>
                <w:color w:val="auto"/>
              </w:rPr>
              <w:t>Noteikumu projektā ir noteikta kārtība, kādos gadījumos un kādā veidā Latvija piesakās atbalsta saņemšanai no EGF līdze</w:t>
            </w:r>
            <w:r w:rsidR="0034135A" w:rsidRPr="00347817">
              <w:rPr>
                <w:color w:val="auto"/>
              </w:rPr>
              <w:t>kļiem, kā sagatavo un aizpilda p</w:t>
            </w:r>
            <w:r w:rsidRPr="00347817">
              <w:rPr>
                <w:color w:val="auto"/>
              </w:rPr>
              <w:t>ieteikumu atbalsta saņemšanai un iesniedz to Eiropas Komisijai izskatīšanai, kādas institūcijas ir iesaistītas EGF finansējuma saņemšanā un izlietošanā.</w:t>
            </w:r>
          </w:p>
          <w:p w:rsidR="006D0D0F" w:rsidRPr="00347817" w:rsidRDefault="006D0D0F" w:rsidP="00166387">
            <w:pPr>
              <w:pStyle w:val="Default"/>
              <w:jc w:val="both"/>
              <w:rPr>
                <w:color w:val="auto"/>
              </w:rPr>
            </w:pPr>
          </w:p>
          <w:p w:rsidR="001A77C0" w:rsidRPr="00347817" w:rsidRDefault="001A77C0" w:rsidP="001A77C0">
            <w:pPr>
              <w:pStyle w:val="Default"/>
              <w:jc w:val="both"/>
              <w:rPr>
                <w:color w:val="auto"/>
              </w:rPr>
            </w:pPr>
            <w:r w:rsidRPr="00347817">
              <w:rPr>
                <w:color w:val="auto"/>
              </w:rPr>
              <w:t>Kolektīvās atlaišanas gadījumā pamats situācijas izvērtēšanai, pieteikuma sagatavošanai un EGF atbalsta piepr</w:t>
            </w:r>
            <w:r w:rsidR="0034135A" w:rsidRPr="00347817">
              <w:rPr>
                <w:color w:val="auto"/>
              </w:rPr>
              <w:t>asīšanai ir Padomes regulas Nr. </w:t>
            </w:r>
            <w:r w:rsidRPr="00347817">
              <w:rPr>
                <w:color w:val="auto"/>
              </w:rPr>
              <w:t>1309/2013 2.</w:t>
            </w:r>
            <w:r w:rsidR="0034135A" w:rsidRPr="00347817">
              <w:rPr>
                <w:color w:val="auto"/>
              </w:rPr>
              <w:t> </w:t>
            </w:r>
            <w:r w:rsidRPr="00347817">
              <w:rPr>
                <w:color w:val="auto"/>
              </w:rPr>
              <w:t>pantā minēto atlaišanas gadījumu iestāšanās</w:t>
            </w:r>
            <w:r w:rsidR="00273904" w:rsidRPr="00347817">
              <w:rPr>
                <w:color w:val="auto"/>
              </w:rPr>
              <w:t>, kas</w:t>
            </w:r>
            <w:r w:rsidRPr="00347817">
              <w:rPr>
                <w:color w:val="auto"/>
              </w:rPr>
              <w:t xml:space="preserve"> attiecas uz:</w:t>
            </w:r>
          </w:p>
          <w:p w:rsidR="00395AC1" w:rsidRPr="00347817" w:rsidRDefault="00395AC1" w:rsidP="00395AC1">
            <w:pPr>
              <w:pStyle w:val="Default"/>
              <w:jc w:val="both"/>
              <w:rPr>
                <w:color w:val="auto"/>
              </w:rPr>
            </w:pPr>
          </w:p>
          <w:p w:rsidR="001A77C0" w:rsidRPr="00347817" w:rsidRDefault="00395AC1" w:rsidP="00395AC1">
            <w:pPr>
              <w:pStyle w:val="Default"/>
              <w:jc w:val="both"/>
              <w:rPr>
                <w:color w:val="auto"/>
              </w:rPr>
            </w:pPr>
            <w:r w:rsidRPr="00347817">
              <w:t>1) </w:t>
            </w:r>
            <w:r w:rsidR="001A77C0" w:rsidRPr="00347817">
              <w:rPr>
                <w:color w:val="auto"/>
              </w:rPr>
              <w:t xml:space="preserve">darba ņēmējiem, kuri atlaisti, un pašnodarbinātām personām, kuru darbība ir beigusies tādu lielu strukturālu pārmaiņu rezultātā, kas pasaules tirdzniecības modeļos notikušas globalizācijas dēļ, par ko īpaši liecina būtisks importa pieaugums Eiropas Savienībā, būtiskas izmaiņas </w:t>
            </w:r>
            <w:r w:rsidR="001A77C0" w:rsidRPr="00347817">
              <w:rPr>
                <w:color w:val="auto"/>
              </w:rPr>
              <w:lastRenderedPageBreak/>
              <w:t>Eiropas Savienības preču vai pakalpojumu tirdzniecībā, strauja Eiropas Savienības tirgus daļas samazināšanās kādā</w:t>
            </w:r>
            <w:r w:rsidR="00273904" w:rsidRPr="00347817">
              <w:rPr>
                <w:color w:val="auto"/>
              </w:rPr>
              <w:t xml:space="preserve"> nozarē vai darbības pārvietošana uz </w:t>
            </w:r>
            <w:proofErr w:type="spellStart"/>
            <w:r w:rsidR="00273904" w:rsidRPr="00347817">
              <w:rPr>
                <w:color w:val="auto"/>
              </w:rPr>
              <w:t>trešām</w:t>
            </w:r>
            <w:proofErr w:type="spellEnd"/>
            <w:r w:rsidR="00273904" w:rsidRPr="00347817">
              <w:rPr>
                <w:color w:val="auto"/>
              </w:rPr>
              <w:t xml:space="preserve"> valstīm, ar noteikumu, ka minētajai darba ņēmēju atlaišanai ir būtiska negatīva ietekme uz vietējo, reģionālo vai valsts ekonomiku;</w:t>
            </w:r>
          </w:p>
          <w:p w:rsidR="00395AC1" w:rsidRPr="00347817" w:rsidRDefault="00395AC1" w:rsidP="00395AC1">
            <w:pPr>
              <w:pStyle w:val="Default"/>
              <w:jc w:val="both"/>
              <w:rPr>
                <w:color w:val="auto"/>
              </w:rPr>
            </w:pPr>
          </w:p>
          <w:p w:rsidR="00216FDD" w:rsidRPr="00347817" w:rsidRDefault="00395AC1" w:rsidP="00395AC1">
            <w:pPr>
              <w:pStyle w:val="Default"/>
              <w:jc w:val="both"/>
              <w:rPr>
                <w:color w:val="auto"/>
              </w:rPr>
            </w:pPr>
            <w:r w:rsidRPr="00347817">
              <w:rPr>
                <w:color w:val="auto"/>
              </w:rPr>
              <w:t>2) </w:t>
            </w:r>
            <w:r w:rsidR="00216FDD" w:rsidRPr="00347817">
              <w:rPr>
                <w:color w:val="auto"/>
              </w:rPr>
              <w:t>darba ņēmējiem, kuri atlaisti, un pašnodarbinātām personām, kuru darbība ir beigusies saistībā ar ilgstošu globālo finanšu un ekonomisko krīzi, kam pievēršas Eiropas Parlamenta un Padomes 2009.</w:t>
            </w:r>
            <w:r w:rsidR="0034135A" w:rsidRPr="00347817">
              <w:rPr>
                <w:color w:val="auto"/>
              </w:rPr>
              <w:t> </w:t>
            </w:r>
            <w:r w:rsidR="00216FDD" w:rsidRPr="00347817">
              <w:rPr>
                <w:color w:val="auto"/>
              </w:rPr>
              <w:t>gada 18.</w:t>
            </w:r>
            <w:r w:rsidR="0034135A" w:rsidRPr="00347817">
              <w:rPr>
                <w:color w:val="auto"/>
              </w:rPr>
              <w:t> </w:t>
            </w:r>
            <w:r w:rsidR="00216FDD" w:rsidRPr="00347817">
              <w:rPr>
                <w:color w:val="auto"/>
              </w:rPr>
              <w:t>jūnija regula (</w:t>
            </w:r>
            <w:r w:rsidR="0034135A" w:rsidRPr="00347817">
              <w:rPr>
                <w:color w:val="auto"/>
              </w:rPr>
              <w:t>EK) Nr. </w:t>
            </w:r>
            <w:r w:rsidR="00216FDD" w:rsidRPr="00347817">
              <w:rPr>
                <w:color w:val="auto"/>
              </w:rPr>
              <w:t xml:space="preserve">546/2009 </w:t>
            </w:r>
            <w:r w:rsidR="00216FDD" w:rsidRPr="00347817">
              <w:t>ar kuru groza Regulu (EK) Nr.  1927/2006 par Eiropas Globalizācijas pielāgošanas fonda izveidi, vai saistībā ar jaunu globālo finanšu un ekonomisko krīzi.</w:t>
            </w:r>
          </w:p>
          <w:p w:rsidR="00B24E3E" w:rsidRPr="00347817" w:rsidRDefault="00B24E3E" w:rsidP="00B24E3E">
            <w:pPr>
              <w:pStyle w:val="Default"/>
              <w:ind w:left="750"/>
              <w:jc w:val="both"/>
              <w:rPr>
                <w:color w:val="auto"/>
              </w:rPr>
            </w:pPr>
          </w:p>
          <w:p w:rsidR="00B24E3E" w:rsidRPr="00347817" w:rsidRDefault="00B24E3E" w:rsidP="00B24E3E">
            <w:pPr>
              <w:pStyle w:val="Default"/>
              <w:jc w:val="both"/>
            </w:pPr>
            <w:r w:rsidRPr="00347817">
              <w:t>EGF atbalsta mērķa grupa ir Padomes regulas</w:t>
            </w:r>
            <w:r w:rsidR="00221238" w:rsidRPr="00347817">
              <w:t> </w:t>
            </w:r>
            <w:r w:rsidRPr="00347817">
              <w:t xml:space="preserve"> Nr.</w:t>
            </w:r>
            <w:r w:rsidR="00221238" w:rsidRPr="00347817">
              <w:t> </w:t>
            </w:r>
            <w:r w:rsidRPr="00347817">
              <w:t>1309/2013 3.</w:t>
            </w:r>
            <w:r w:rsidR="00221238" w:rsidRPr="00347817">
              <w:t> </w:t>
            </w:r>
            <w:r w:rsidRPr="00347817">
              <w:t>pantā minētās personas</w:t>
            </w:r>
            <w:r w:rsidR="00757AE0" w:rsidRPr="00347817">
              <w:t xml:space="preserve"> (darba ņēmēji un pašnodarbinātas personas)</w:t>
            </w:r>
            <w:r w:rsidRPr="00347817">
              <w:t>, kas NVA ir ieguvušas bezdarbnieka statusu</w:t>
            </w:r>
            <w:r w:rsidR="00757AE0" w:rsidRPr="00347817">
              <w:t xml:space="preserve"> un uz kurām attiecas šādi nosacījumi</w:t>
            </w:r>
            <w:r w:rsidRPr="00347817">
              <w:t>:</w:t>
            </w:r>
          </w:p>
          <w:p w:rsidR="00395AC1" w:rsidRPr="00347817" w:rsidRDefault="00395AC1" w:rsidP="00395AC1">
            <w:pPr>
              <w:pStyle w:val="Default"/>
              <w:jc w:val="both"/>
            </w:pPr>
          </w:p>
          <w:p w:rsidR="00B24E3E" w:rsidRPr="00347817" w:rsidRDefault="00395AC1" w:rsidP="00395AC1">
            <w:pPr>
              <w:pStyle w:val="Default"/>
              <w:jc w:val="both"/>
            </w:pPr>
            <w:r w:rsidRPr="00347817">
              <w:t>1) </w:t>
            </w:r>
            <w:r w:rsidR="000B4C49" w:rsidRPr="00347817">
              <w:t>darba ņēmējs, kura attiecības tiek pārtrauktas pirms laika, viņu atlaižot, vai kura darba attiecības beidzas</w:t>
            </w:r>
            <w:proofErr w:type="gramStart"/>
            <w:r w:rsidR="000B4C49" w:rsidRPr="00347817">
              <w:t xml:space="preserve">  </w:t>
            </w:r>
            <w:proofErr w:type="gramEnd"/>
            <w:r w:rsidR="00757AE0" w:rsidRPr="00347817">
              <w:t>4 mēnešu atskaites periodā</w:t>
            </w:r>
            <w:r w:rsidR="000B4C49" w:rsidRPr="00347817">
              <w:t>, kurā</w:t>
            </w:r>
            <w:r w:rsidR="00CE43FE" w:rsidRPr="00347817">
              <w:t xml:space="preserve"> vismaz 500 </w:t>
            </w:r>
            <w:r w:rsidR="00757AE0" w:rsidRPr="00347817">
              <w:t xml:space="preserve">darba ņēmēji ir atlaisti vai pašnodarbinātu personu </w:t>
            </w:r>
            <w:r w:rsidR="000B4C49" w:rsidRPr="00347817">
              <w:t>(kura nodarbināja ne vairāk kā 10 darba ņēmējus, kas atlaisti atbilstīgi šīs regulas darbības jomai, un kuras darbība ir beigusies, ar noteikumu, ka darbība bija uzskatāmi atkarīga  no attiecīgā uzņēmuma) darbība</w:t>
            </w:r>
            <w:r w:rsidR="00757AE0" w:rsidRPr="00347817">
              <w:t xml:space="preserve"> ir beigusies kādā dalībvalsts uzņēmumā, ieskaitot darba ņēmēju atlaišanu un pašnodarbinātu personu darbības beigšanos uzņēmuma piegādes uzņēmumos vai pakārtotās ražošanas uzņēmumos;</w:t>
            </w:r>
          </w:p>
          <w:p w:rsidR="000B4C49" w:rsidRPr="00347817" w:rsidRDefault="000B4C49" w:rsidP="00395AC1">
            <w:pPr>
              <w:pStyle w:val="Default"/>
              <w:jc w:val="both"/>
            </w:pPr>
            <w:r w:rsidRPr="00347817">
              <w:t>vai</w:t>
            </w:r>
          </w:p>
          <w:p w:rsidR="00757AE0" w:rsidRPr="00347817" w:rsidRDefault="00395AC1" w:rsidP="00395AC1">
            <w:pPr>
              <w:pStyle w:val="Default"/>
              <w:jc w:val="both"/>
              <w:rPr>
                <w:color w:val="auto"/>
              </w:rPr>
            </w:pPr>
            <w:r w:rsidRPr="00347817">
              <w:t>2) </w:t>
            </w:r>
            <w:r w:rsidR="000B4C49" w:rsidRPr="00347817">
              <w:t>darba ņēmējs, kura attiecības tiek pārtrauktas pirms laika, viņu atlaižot, vai</w:t>
            </w:r>
            <w:r w:rsidR="00CE43FE" w:rsidRPr="00347817">
              <w:t xml:space="preserve"> kura darba attiecības beidzas </w:t>
            </w:r>
            <w:r w:rsidR="00AC74D7" w:rsidRPr="00347817">
              <w:rPr>
                <w:color w:val="auto"/>
              </w:rPr>
              <w:t>9</w:t>
            </w:r>
            <w:r w:rsidR="00CE43FE" w:rsidRPr="00347817">
              <w:rPr>
                <w:color w:val="auto"/>
              </w:rPr>
              <w:t> </w:t>
            </w:r>
            <w:r w:rsidR="00AC74D7" w:rsidRPr="00347817">
              <w:rPr>
                <w:color w:val="auto"/>
              </w:rPr>
              <w:t xml:space="preserve"> mēnešu atskaites period</w:t>
            </w:r>
            <w:r w:rsidR="000B4C49" w:rsidRPr="00347817">
              <w:rPr>
                <w:color w:val="auto"/>
              </w:rPr>
              <w:t xml:space="preserve">ā, kurā </w:t>
            </w:r>
            <w:r w:rsidR="00CE43FE" w:rsidRPr="00347817">
              <w:rPr>
                <w:color w:val="auto"/>
              </w:rPr>
              <w:t>vismaz 500 </w:t>
            </w:r>
            <w:r w:rsidR="00AC74D7" w:rsidRPr="00347817">
              <w:rPr>
                <w:color w:val="auto"/>
              </w:rPr>
              <w:t>darba ņēmēji atlaisti vai pašnodarbinātu personu</w:t>
            </w:r>
            <w:r w:rsidR="000B4C49" w:rsidRPr="00347817">
              <w:rPr>
                <w:color w:val="auto"/>
              </w:rPr>
              <w:t xml:space="preserve"> </w:t>
            </w:r>
            <w:r w:rsidR="000B4C49" w:rsidRPr="00347817">
              <w:t>(k</w:t>
            </w:r>
            <w:r w:rsidR="00CE43FE" w:rsidRPr="00347817">
              <w:t>ura nodarbināja ne vairāk kā 10 </w:t>
            </w:r>
            <w:r w:rsidR="000B4C49" w:rsidRPr="00347817">
              <w:t>darba ņēmējus, kas atlaisti atbilstīgi šīs regulas darbības jomai, un kuras darbība ir beigusies, ar noteikumu, ka darbība bija uzskatāmi atkarīga</w:t>
            </w:r>
            <w:proofErr w:type="gramStart"/>
            <w:r w:rsidR="000B4C49" w:rsidRPr="00347817">
              <w:t xml:space="preserve">  </w:t>
            </w:r>
            <w:proofErr w:type="gramEnd"/>
            <w:r w:rsidR="000B4C49" w:rsidRPr="00347817">
              <w:t>no attiecīgā uzņēmuma)</w:t>
            </w:r>
            <w:r w:rsidR="00AC74D7" w:rsidRPr="00347817">
              <w:rPr>
                <w:color w:val="auto"/>
              </w:rPr>
              <w:t xml:space="preserve"> darbība beigusies, īpaši mazos un vidējos uzņēmumos, kuri visi darbojas vienā un tajā pašā ekonomikas nozarē</w:t>
            </w:r>
            <w:r w:rsidR="00D57B24" w:rsidRPr="00347817">
              <w:rPr>
                <w:color w:val="auto"/>
              </w:rPr>
              <w:t>, kas definēta NACE 2.</w:t>
            </w:r>
            <w:r w:rsidR="00CE43FE" w:rsidRPr="00347817">
              <w:rPr>
                <w:color w:val="auto"/>
              </w:rPr>
              <w:t> </w:t>
            </w:r>
            <w:r w:rsidR="00D57B24" w:rsidRPr="00347817">
              <w:rPr>
                <w:color w:val="auto"/>
              </w:rPr>
              <w:t>redakcijas nodaļas līmenī, un kuri atrodas vienā vai divos kaimiņ</w:t>
            </w:r>
            <w:r w:rsidR="00CE43FE" w:rsidRPr="00347817">
              <w:rPr>
                <w:color w:val="auto"/>
              </w:rPr>
              <w:t>u reģionos, kas definēti NUTS 2 </w:t>
            </w:r>
            <w:r w:rsidR="00D57B24" w:rsidRPr="00347817">
              <w:rPr>
                <w:color w:val="auto"/>
              </w:rPr>
              <w:t>līmenī, ja divos reģionos kopā skarti vairāk kā 500</w:t>
            </w:r>
            <w:r w:rsidR="00CE43FE" w:rsidRPr="00347817">
              <w:rPr>
                <w:color w:val="auto"/>
              </w:rPr>
              <w:t> </w:t>
            </w:r>
            <w:r w:rsidR="00D57B24" w:rsidRPr="00347817">
              <w:rPr>
                <w:color w:val="auto"/>
              </w:rPr>
              <w:t>darba ņēmēji vai pašnodarbinātas personas.</w:t>
            </w:r>
          </w:p>
          <w:p w:rsidR="00757AE0" w:rsidRPr="00347817" w:rsidRDefault="00757AE0" w:rsidP="00166387">
            <w:pPr>
              <w:pStyle w:val="Default"/>
              <w:jc w:val="both"/>
              <w:rPr>
                <w:color w:val="auto"/>
              </w:rPr>
            </w:pPr>
          </w:p>
          <w:p w:rsidR="00804992" w:rsidRPr="00347817" w:rsidRDefault="00804992" w:rsidP="00166387">
            <w:pPr>
              <w:pStyle w:val="Default"/>
              <w:jc w:val="both"/>
              <w:rPr>
                <w:i/>
                <w:color w:val="auto"/>
              </w:rPr>
            </w:pPr>
            <w:r w:rsidRPr="00347817">
              <w:rPr>
                <w:i/>
                <w:color w:val="auto"/>
              </w:rPr>
              <w:t xml:space="preserve">Kārtība, kādā Latvija piesakās atbalsta saņemšanai no </w:t>
            </w:r>
            <w:r w:rsidRPr="00347817">
              <w:rPr>
                <w:i/>
                <w:color w:val="auto"/>
              </w:rPr>
              <w:lastRenderedPageBreak/>
              <w:t>EGF līdzek</w:t>
            </w:r>
            <w:r w:rsidR="002A496A" w:rsidRPr="00347817">
              <w:rPr>
                <w:i/>
                <w:color w:val="auto"/>
              </w:rPr>
              <w:t>ļiem.</w:t>
            </w:r>
          </w:p>
          <w:p w:rsidR="00C643EE" w:rsidRPr="00347817" w:rsidRDefault="00C643EE" w:rsidP="00C643EE">
            <w:pPr>
              <w:jc w:val="both"/>
            </w:pPr>
            <w:r w:rsidRPr="00347817">
              <w:t>1.</w:t>
            </w:r>
            <w:r w:rsidR="00CE43FE" w:rsidRPr="00347817">
              <w:t> </w:t>
            </w:r>
            <w:r w:rsidRPr="00347817">
              <w:t xml:space="preserve">Informāciju par kolektīvās atlaišanas gadījumiem Labklājības ministrija iegūs no nozaru asociāciju iesniegtās informācijas par izmaiņām nozares komersantu darbībā, no </w:t>
            </w:r>
            <w:r w:rsidR="00F25060" w:rsidRPr="00347817">
              <w:t>NVA</w:t>
            </w:r>
            <w:r w:rsidRPr="00347817">
              <w:t xml:space="preserve"> iesniegtajiem darba devēju rakstiskajiem paziņojumiem par kolektīvās atlaišanas uzsākšanu un komersantu paziņojumiem, kā arī no citiem avotiem. </w:t>
            </w:r>
          </w:p>
          <w:p w:rsidR="00C643EE" w:rsidRPr="00347817" w:rsidRDefault="00C643EE" w:rsidP="00C643EE">
            <w:pPr>
              <w:ind w:left="360"/>
              <w:jc w:val="both"/>
            </w:pPr>
          </w:p>
          <w:p w:rsidR="00C643EE" w:rsidRPr="00347817" w:rsidRDefault="00C643EE" w:rsidP="00C643EE">
            <w:pPr>
              <w:pStyle w:val="ListParagraph"/>
              <w:spacing w:after="0"/>
              <w:ind w:left="0"/>
              <w:jc w:val="both"/>
              <w:rPr>
                <w:rFonts w:ascii="Times New Roman" w:hAnsi="Times New Roman"/>
                <w:sz w:val="24"/>
                <w:szCs w:val="24"/>
              </w:rPr>
            </w:pPr>
            <w:r w:rsidRPr="00347817">
              <w:rPr>
                <w:rFonts w:ascii="Times New Roman" w:hAnsi="Times New Roman"/>
                <w:sz w:val="24"/>
                <w:szCs w:val="24"/>
              </w:rPr>
              <w:t>2.</w:t>
            </w:r>
            <w:r w:rsidR="00CE43FE" w:rsidRPr="00347817">
              <w:rPr>
                <w:rFonts w:ascii="Times New Roman" w:hAnsi="Times New Roman"/>
                <w:sz w:val="24"/>
                <w:szCs w:val="24"/>
              </w:rPr>
              <w:t> </w:t>
            </w:r>
            <w:r w:rsidRPr="00347817">
              <w:rPr>
                <w:rFonts w:ascii="Times New Roman" w:hAnsi="Times New Roman"/>
                <w:sz w:val="24"/>
                <w:szCs w:val="24"/>
              </w:rPr>
              <w:t xml:space="preserve">Labklājības ministrija piecu darbdienu laikā no ziņu saņemšanas par pirmreizējiem atlaišanas gadījumiem sasauks komisijas sēdi, kurā izvērtēs saņemto informāciju, identificēs atlaižamo darbinieku skaitu un laikposmu, kurā ir notikušas atlaišanas, iespējamo atbalstāmo darbinieku skaitu un atbalsta pasākumus, vidējās izmaksas un administrēšanas izdevumus pasākumu īstenošanai, komisija nolems par nākamo komisijas sēžu sasaukšanas nepieciešamību un papildu informācijas pieprasīšanu no </w:t>
            </w:r>
            <w:r w:rsidR="00F25060" w:rsidRPr="00347817">
              <w:rPr>
                <w:rFonts w:ascii="Times New Roman" w:hAnsi="Times New Roman"/>
                <w:sz w:val="24"/>
                <w:szCs w:val="24"/>
              </w:rPr>
              <w:t>NVA</w:t>
            </w:r>
            <w:r w:rsidRPr="00347817">
              <w:rPr>
                <w:rFonts w:ascii="Times New Roman" w:hAnsi="Times New Roman"/>
                <w:sz w:val="24"/>
                <w:szCs w:val="24"/>
              </w:rPr>
              <w:t>, komersantiem, kas samazina darbinieku skaitu, un nozaru asociācijām. Atbilstoši izvērtēšanas rezultātiem komisija pieņems lēmumu par pieteikšanos fonda atbalstam vai lēmumu par nepieteikšanos fonda atbalstam.</w:t>
            </w:r>
          </w:p>
          <w:p w:rsidR="003A3EAA" w:rsidRPr="00347817" w:rsidRDefault="003A3EAA" w:rsidP="00C643EE">
            <w:pPr>
              <w:pStyle w:val="ListParagraph"/>
              <w:spacing w:after="0"/>
              <w:ind w:left="0"/>
              <w:jc w:val="both"/>
              <w:rPr>
                <w:rFonts w:ascii="Times New Roman" w:hAnsi="Times New Roman"/>
                <w:sz w:val="24"/>
                <w:szCs w:val="24"/>
              </w:rPr>
            </w:pPr>
          </w:p>
          <w:p w:rsidR="00804992" w:rsidRPr="00347817" w:rsidRDefault="003A3EAA" w:rsidP="00804992">
            <w:pPr>
              <w:pStyle w:val="ListParagraph"/>
              <w:spacing w:after="0"/>
              <w:ind w:left="0"/>
              <w:jc w:val="both"/>
              <w:rPr>
                <w:rFonts w:ascii="Times New Roman" w:hAnsi="Times New Roman"/>
                <w:sz w:val="24"/>
                <w:szCs w:val="24"/>
                <w:lang w:eastAsia="lv-LV"/>
              </w:rPr>
            </w:pPr>
            <w:r w:rsidRPr="00347817">
              <w:rPr>
                <w:rFonts w:ascii="Times New Roman" w:hAnsi="Times New Roman"/>
                <w:sz w:val="24"/>
                <w:szCs w:val="24"/>
              </w:rPr>
              <w:t>3.</w:t>
            </w:r>
            <w:r w:rsidR="00CE43FE" w:rsidRPr="00347817">
              <w:rPr>
                <w:rFonts w:ascii="Times New Roman" w:hAnsi="Times New Roman"/>
                <w:sz w:val="24"/>
                <w:szCs w:val="24"/>
              </w:rPr>
              <w:t> </w:t>
            </w:r>
            <w:r w:rsidR="001B2708" w:rsidRPr="00347817">
              <w:rPr>
                <w:rFonts w:ascii="Times New Roman" w:hAnsi="Times New Roman"/>
                <w:sz w:val="24"/>
                <w:szCs w:val="24"/>
              </w:rPr>
              <w:t>Trīs mēnešu laikā no brīža, kad Labklājības ministrija ieg</w:t>
            </w:r>
            <w:r w:rsidR="00804992" w:rsidRPr="00347817">
              <w:rPr>
                <w:rFonts w:ascii="Times New Roman" w:hAnsi="Times New Roman"/>
                <w:sz w:val="24"/>
                <w:szCs w:val="24"/>
              </w:rPr>
              <w:t>ūs</w:t>
            </w:r>
            <w:r w:rsidR="001B2708" w:rsidRPr="00347817">
              <w:rPr>
                <w:rFonts w:ascii="Times New Roman" w:hAnsi="Times New Roman"/>
                <w:sz w:val="24"/>
                <w:szCs w:val="24"/>
              </w:rPr>
              <w:t xml:space="preserve"> informāciju par izmaiņām nozares komersantu darbībā, no </w:t>
            </w:r>
            <w:r w:rsidR="00F25060" w:rsidRPr="00347817">
              <w:rPr>
                <w:rFonts w:ascii="Times New Roman" w:hAnsi="Times New Roman"/>
                <w:sz w:val="24"/>
                <w:szCs w:val="24"/>
              </w:rPr>
              <w:t>NVA</w:t>
            </w:r>
            <w:r w:rsidR="001B2708" w:rsidRPr="00347817">
              <w:rPr>
                <w:rFonts w:ascii="Times New Roman" w:hAnsi="Times New Roman"/>
                <w:sz w:val="24"/>
                <w:szCs w:val="24"/>
              </w:rPr>
              <w:t xml:space="preserve"> iesniegtajiem darba devēju rakstiskajiem paziņojumiem par kolektīvās atlaišanas uzsākšanu un komersantu paziņoju</w:t>
            </w:r>
            <w:r w:rsidR="00804992" w:rsidRPr="00347817">
              <w:rPr>
                <w:rFonts w:ascii="Times New Roman" w:hAnsi="Times New Roman"/>
                <w:sz w:val="24"/>
                <w:szCs w:val="24"/>
              </w:rPr>
              <w:t>miem, kā arī no citiem avotiem, ja starpinstitūciju komisija būs pieņēmusi lēmumu par pieteikšanos fonda atbalstam, tad labklājības ministrs noteiktā kārtībā izskatīšanai Ministru kabinetā iesniegs lēmuma par pieteikšanos fonda atbalstam projektu</w:t>
            </w:r>
            <w:r w:rsidR="00804992" w:rsidRPr="00347817">
              <w:rPr>
                <w:rFonts w:ascii="Times New Roman" w:hAnsi="Times New Roman"/>
                <w:color w:val="FF0000"/>
                <w:sz w:val="24"/>
                <w:szCs w:val="24"/>
              </w:rPr>
              <w:t xml:space="preserve"> </w:t>
            </w:r>
            <w:r w:rsidR="00804992" w:rsidRPr="00347817">
              <w:rPr>
                <w:rFonts w:ascii="Times New Roman" w:hAnsi="Times New Roman"/>
                <w:sz w:val="24"/>
                <w:szCs w:val="24"/>
              </w:rPr>
              <w:t xml:space="preserve">- Ministru kabineta sēdes </w:t>
            </w:r>
            <w:proofErr w:type="spellStart"/>
            <w:r w:rsidR="00804992" w:rsidRPr="00347817">
              <w:rPr>
                <w:rFonts w:ascii="Times New Roman" w:hAnsi="Times New Roman"/>
                <w:sz w:val="24"/>
                <w:szCs w:val="24"/>
              </w:rPr>
              <w:t>protokollēmumu</w:t>
            </w:r>
            <w:proofErr w:type="spellEnd"/>
            <w:r w:rsidR="00804992" w:rsidRPr="00347817">
              <w:rPr>
                <w:rFonts w:ascii="Times New Roman" w:hAnsi="Times New Roman"/>
                <w:sz w:val="24"/>
                <w:szCs w:val="24"/>
              </w:rPr>
              <w:t xml:space="preserve"> un informatīvo ziņojumu „Par Eiropas Globalizācijas pielāgošanās </w:t>
            </w:r>
            <w:r w:rsidR="00804992" w:rsidRPr="00347817">
              <w:rPr>
                <w:rFonts w:ascii="Times New Roman" w:hAnsi="Times New Roman"/>
                <w:bCs/>
                <w:sz w:val="24"/>
                <w:szCs w:val="24"/>
              </w:rPr>
              <w:t>fonda pārvaldības un kontroles sistēmu un ieviešanu Latvijā līdz 2020.</w:t>
            </w:r>
            <w:r w:rsidR="00CE43FE" w:rsidRPr="00347817">
              <w:rPr>
                <w:rFonts w:ascii="Times New Roman" w:hAnsi="Times New Roman"/>
                <w:bCs/>
                <w:sz w:val="24"/>
                <w:szCs w:val="24"/>
              </w:rPr>
              <w:t> </w:t>
            </w:r>
            <w:r w:rsidR="00804992" w:rsidRPr="00347817">
              <w:rPr>
                <w:rFonts w:ascii="Times New Roman" w:hAnsi="Times New Roman"/>
                <w:bCs/>
                <w:sz w:val="24"/>
                <w:szCs w:val="24"/>
              </w:rPr>
              <w:t xml:space="preserve">gada plānošanas periodam” (turpmāk – informatīvais ziņojums). Informatīvais ziņojums ietvers kopsavilkuma informāciju par EGF izveidi un plānoto ieviešanu Latvijā, galvenos EGF pārvaldības un kontroles sistēmas elementus, kā arī veicamos uzdevumus, plānotos termiņus un nepieciešamos resursus EGF ieviešanas sagatavošanai. </w:t>
            </w:r>
            <w:r w:rsidR="00804992" w:rsidRPr="00347817">
              <w:rPr>
                <w:rFonts w:ascii="Times New Roman" w:hAnsi="Times New Roman"/>
                <w:sz w:val="24"/>
                <w:szCs w:val="24"/>
              </w:rPr>
              <w:t xml:space="preserve">Pēc lēmuma par pieteikšanos fonda atbalstam projekta un informatīvā ziņojuma pieņemšanas Ministru kabinetā, </w:t>
            </w:r>
            <w:r w:rsidR="001B2708" w:rsidRPr="00347817">
              <w:rPr>
                <w:rFonts w:ascii="Times New Roman" w:hAnsi="Times New Roman"/>
                <w:sz w:val="24"/>
                <w:szCs w:val="24"/>
              </w:rPr>
              <w:t>Labklājības ministrija iesnie</w:t>
            </w:r>
            <w:r w:rsidR="00804992" w:rsidRPr="00347817">
              <w:rPr>
                <w:rFonts w:ascii="Times New Roman" w:hAnsi="Times New Roman"/>
                <w:sz w:val="24"/>
                <w:szCs w:val="24"/>
              </w:rPr>
              <w:t>gs</w:t>
            </w:r>
            <w:r w:rsidR="001B2708" w:rsidRPr="00347817">
              <w:rPr>
                <w:rFonts w:ascii="Times New Roman" w:hAnsi="Times New Roman"/>
                <w:sz w:val="24"/>
                <w:szCs w:val="24"/>
              </w:rPr>
              <w:t xml:space="preserve"> Finanšu ministrijā valsts </w:t>
            </w:r>
            <w:r w:rsidR="001B2708" w:rsidRPr="00347817">
              <w:rPr>
                <w:rFonts w:ascii="Times New Roman" w:hAnsi="Times New Roman"/>
                <w:sz w:val="24"/>
                <w:szCs w:val="24"/>
              </w:rPr>
              <w:lastRenderedPageBreak/>
              <w:t xml:space="preserve">budžeta līdzekļu pieprasījumu </w:t>
            </w:r>
            <w:r w:rsidR="001B2708" w:rsidRPr="00347817">
              <w:rPr>
                <w:rFonts w:ascii="Times New Roman" w:hAnsi="Times New Roman"/>
                <w:sz w:val="24"/>
                <w:szCs w:val="24"/>
                <w:lang w:eastAsia="lv-LV"/>
              </w:rPr>
              <w:t>no 74.</w:t>
            </w:r>
            <w:r w:rsidR="00CE43FE" w:rsidRPr="00347817">
              <w:rPr>
                <w:rFonts w:ascii="Times New Roman" w:hAnsi="Times New Roman"/>
                <w:sz w:val="24"/>
                <w:szCs w:val="24"/>
                <w:lang w:eastAsia="lv-LV"/>
              </w:rPr>
              <w:t> </w:t>
            </w:r>
            <w:r w:rsidR="001B2708" w:rsidRPr="00347817">
              <w:rPr>
                <w:rFonts w:ascii="Times New Roman" w:hAnsi="Times New Roman"/>
                <w:sz w:val="24"/>
                <w:szCs w:val="24"/>
                <w:lang w:eastAsia="lv-LV"/>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804992" w:rsidRPr="00347817">
              <w:rPr>
                <w:rFonts w:ascii="Times New Roman" w:hAnsi="Times New Roman"/>
                <w:sz w:val="24"/>
                <w:szCs w:val="24"/>
                <w:lang w:eastAsia="lv-LV"/>
              </w:rPr>
              <w:t>;</w:t>
            </w:r>
          </w:p>
          <w:p w:rsidR="00804992" w:rsidRPr="00347817" w:rsidRDefault="00804992" w:rsidP="00804992">
            <w:pPr>
              <w:pStyle w:val="ListParagraph"/>
              <w:spacing w:after="0"/>
              <w:ind w:left="0"/>
              <w:jc w:val="both"/>
              <w:rPr>
                <w:rFonts w:ascii="Times New Roman" w:hAnsi="Times New Roman"/>
                <w:sz w:val="24"/>
                <w:szCs w:val="24"/>
                <w:lang w:eastAsia="lv-LV"/>
              </w:rPr>
            </w:pPr>
          </w:p>
          <w:p w:rsidR="001B2708" w:rsidRPr="00347817" w:rsidRDefault="00804992" w:rsidP="004A4C7A">
            <w:pPr>
              <w:pStyle w:val="ListParagraph"/>
              <w:spacing w:after="0"/>
              <w:ind w:left="0"/>
              <w:jc w:val="both"/>
              <w:rPr>
                <w:rFonts w:ascii="Times New Roman" w:hAnsi="Times New Roman"/>
                <w:sz w:val="24"/>
                <w:szCs w:val="24"/>
              </w:rPr>
            </w:pPr>
            <w:r w:rsidRPr="00347817">
              <w:rPr>
                <w:rFonts w:ascii="Times New Roman" w:hAnsi="Times New Roman"/>
                <w:sz w:val="24"/>
                <w:szCs w:val="24"/>
                <w:lang w:eastAsia="lv-LV"/>
              </w:rPr>
              <w:t>4.</w:t>
            </w:r>
            <w:r w:rsidR="00CE43FE" w:rsidRPr="00347817">
              <w:rPr>
                <w:rFonts w:ascii="Times New Roman" w:hAnsi="Times New Roman"/>
                <w:sz w:val="24"/>
                <w:szCs w:val="24"/>
                <w:lang w:eastAsia="lv-LV"/>
              </w:rPr>
              <w:t> </w:t>
            </w:r>
            <w:r w:rsidRPr="00347817">
              <w:rPr>
                <w:rFonts w:ascii="Times New Roman" w:hAnsi="Times New Roman"/>
                <w:sz w:val="24"/>
                <w:szCs w:val="24"/>
                <w:lang w:eastAsia="lv-LV"/>
              </w:rPr>
              <w:t xml:space="preserve">Pēc </w:t>
            </w:r>
            <w:r w:rsidR="004A4C7A" w:rsidRPr="00347817">
              <w:rPr>
                <w:rFonts w:ascii="Times New Roman" w:hAnsi="Times New Roman"/>
                <w:color w:val="000000"/>
                <w:sz w:val="24"/>
                <w:szCs w:val="24"/>
              </w:rPr>
              <w:t xml:space="preserve">Ministru kabineta lēmuma projekta par pieteikšanos fonda atbalsta saņemšanai un informatīvā ziņojuma pieņemšanas Ministru kabinetā un pēc tam, kad Labklājības ministrija būs iesniegusi </w:t>
            </w:r>
            <w:r w:rsidR="004A4C7A" w:rsidRPr="00347817">
              <w:rPr>
                <w:rFonts w:ascii="Times New Roman" w:hAnsi="Times New Roman"/>
                <w:sz w:val="24"/>
                <w:szCs w:val="24"/>
              </w:rPr>
              <w:t xml:space="preserve">Finanšu ministrijā valsts budžeta līdzekļu pieprasījumu </w:t>
            </w:r>
            <w:r w:rsidR="004A4C7A" w:rsidRPr="00347817">
              <w:rPr>
                <w:rFonts w:ascii="Times New Roman" w:hAnsi="Times New Roman"/>
                <w:sz w:val="24"/>
                <w:szCs w:val="24"/>
                <w:lang w:eastAsia="lv-LV"/>
              </w:rPr>
              <w:t>no 74.</w:t>
            </w:r>
            <w:r w:rsidR="00CE43FE" w:rsidRPr="00347817">
              <w:rPr>
                <w:rFonts w:ascii="Times New Roman" w:hAnsi="Times New Roman"/>
                <w:sz w:val="24"/>
                <w:szCs w:val="24"/>
                <w:lang w:eastAsia="lv-LV"/>
              </w:rPr>
              <w:t> </w:t>
            </w:r>
            <w:r w:rsidR="004A4C7A" w:rsidRPr="00347817">
              <w:rPr>
                <w:rFonts w:ascii="Times New Roman" w:hAnsi="Times New Roman"/>
                <w:sz w:val="24"/>
                <w:szCs w:val="24"/>
                <w:lang w:eastAsia="lv-LV"/>
              </w:rPr>
              <w:t>resora “Gadskārtējā valsts budžeta izpildes procesā pārdalāmais finansējums” 80.00.00</w:t>
            </w:r>
            <w:r w:rsidR="00CE43FE" w:rsidRPr="00347817">
              <w:rPr>
                <w:rFonts w:ascii="Times New Roman" w:hAnsi="Times New Roman"/>
                <w:sz w:val="24"/>
                <w:szCs w:val="24"/>
                <w:lang w:eastAsia="lv-LV"/>
              </w:rPr>
              <w:t> </w:t>
            </w:r>
            <w:r w:rsidR="004A4C7A" w:rsidRPr="00347817">
              <w:rPr>
                <w:rFonts w:ascii="Times New Roman" w:hAnsi="Times New Roman"/>
                <w:sz w:val="24"/>
                <w:szCs w:val="24"/>
                <w:lang w:eastAsia="lv-LV"/>
              </w:rPr>
              <w:t>programmas “Nesadalītais finansējums Eiropas Savienības politiku instrumentu un pārējās ārvalstu finanšu palīdzības līdzfinansēto projektu un pasākumu īstenošanai” izpildes,</w:t>
            </w:r>
            <w:r w:rsidR="004A4C7A" w:rsidRPr="00347817">
              <w:rPr>
                <w:rFonts w:ascii="Times New Roman" w:hAnsi="Times New Roman"/>
                <w:color w:val="000000"/>
                <w:sz w:val="24"/>
                <w:szCs w:val="24"/>
              </w:rPr>
              <w:t xml:space="preserve"> Labklājības ministrija kā fonda vadošā iestāde </w:t>
            </w:r>
            <w:r w:rsidR="00CE43FE" w:rsidRPr="00347817">
              <w:rPr>
                <w:rFonts w:ascii="Times New Roman" w:hAnsi="Times New Roman"/>
                <w:sz w:val="24"/>
                <w:szCs w:val="24"/>
              </w:rPr>
              <w:t>ne vēlāk kā 12 </w:t>
            </w:r>
            <w:r w:rsidR="004A4C7A" w:rsidRPr="00347817">
              <w:rPr>
                <w:rFonts w:ascii="Times New Roman" w:hAnsi="Times New Roman"/>
                <w:sz w:val="24"/>
                <w:szCs w:val="24"/>
              </w:rPr>
              <w:t xml:space="preserve">nedēļās no dienas, kad ir izpildīti intervences </w:t>
            </w:r>
            <w:proofErr w:type="gramStart"/>
            <w:r w:rsidR="004A4C7A" w:rsidRPr="00347817">
              <w:rPr>
                <w:rFonts w:ascii="Times New Roman" w:hAnsi="Times New Roman"/>
                <w:sz w:val="24"/>
                <w:szCs w:val="24"/>
              </w:rPr>
              <w:t>kritēriji</w:t>
            </w:r>
            <w:proofErr w:type="gramEnd"/>
            <w:r w:rsidR="00CE43FE" w:rsidRPr="00347817">
              <w:rPr>
                <w:rFonts w:ascii="Times New Roman" w:hAnsi="Times New Roman"/>
                <w:sz w:val="24"/>
                <w:szCs w:val="24"/>
              </w:rPr>
              <w:t xml:space="preserve"> atbilstoši Padomes regulas Nr. </w:t>
            </w:r>
            <w:r w:rsidR="004A4C7A" w:rsidRPr="00347817">
              <w:rPr>
                <w:rFonts w:ascii="Times New Roman" w:hAnsi="Times New Roman"/>
                <w:sz w:val="24"/>
                <w:szCs w:val="24"/>
              </w:rPr>
              <w:t>1309/2013 4.</w:t>
            </w:r>
            <w:r w:rsidR="00CE43FE" w:rsidRPr="00347817">
              <w:rPr>
                <w:rFonts w:ascii="Times New Roman" w:hAnsi="Times New Roman"/>
                <w:sz w:val="24"/>
                <w:szCs w:val="24"/>
              </w:rPr>
              <w:t> </w:t>
            </w:r>
            <w:r w:rsidR="004A4C7A" w:rsidRPr="00347817">
              <w:rPr>
                <w:rFonts w:ascii="Times New Roman" w:hAnsi="Times New Roman"/>
                <w:sz w:val="24"/>
                <w:szCs w:val="24"/>
              </w:rPr>
              <w:t>panta 1. vai 2.</w:t>
            </w:r>
            <w:r w:rsidR="00CE43FE" w:rsidRPr="00347817">
              <w:rPr>
                <w:rFonts w:ascii="Times New Roman" w:hAnsi="Times New Roman"/>
                <w:sz w:val="24"/>
                <w:szCs w:val="24"/>
              </w:rPr>
              <w:t> </w:t>
            </w:r>
            <w:r w:rsidR="004A4C7A" w:rsidRPr="00347817">
              <w:rPr>
                <w:rFonts w:ascii="Times New Roman" w:hAnsi="Times New Roman"/>
                <w:sz w:val="24"/>
                <w:szCs w:val="24"/>
              </w:rPr>
              <w:t>punktā noteiktajam,</w:t>
            </w:r>
            <w:r w:rsidR="001B2708" w:rsidRPr="00347817">
              <w:rPr>
                <w:rFonts w:ascii="Times New Roman" w:hAnsi="Times New Roman"/>
                <w:sz w:val="24"/>
                <w:szCs w:val="24"/>
              </w:rPr>
              <w:t xml:space="preserve"> </w:t>
            </w:r>
            <w:r w:rsidR="004A4C7A" w:rsidRPr="00347817">
              <w:rPr>
                <w:rFonts w:ascii="Times New Roman" w:hAnsi="Times New Roman"/>
                <w:sz w:val="24"/>
                <w:szCs w:val="24"/>
              </w:rPr>
              <w:t xml:space="preserve">pieteikumu </w:t>
            </w:r>
            <w:r w:rsidR="001B2708" w:rsidRPr="00347817">
              <w:rPr>
                <w:rFonts w:ascii="Times New Roman" w:hAnsi="Times New Roman"/>
                <w:sz w:val="24"/>
                <w:szCs w:val="24"/>
              </w:rPr>
              <w:t>iesnie</w:t>
            </w:r>
            <w:r w:rsidR="004A4C7A" w:rsidRPr="00347817">
              <w:rPr>
                <w:rFonts w:ascii="Times New Roman" w:hAnsi="Times New Roman"/>
                <w:sz w:val="24"/>
                <w:szCs w:val="24"/>
              </w:rPr>
              <w:t>gs</w:t>
            </w:r>
            <w:r w:rsidR="001B2708" w:rsidRPr="00347817">
              <w:rPr>
                <w:rFonts w:ascii="Times New Roman" w:hAnsi="Times New Roman"/>
                <w:sz w:val="24"/>
                <w:szCs w:val="24"/>
              </w:rPr>
              <w:t xml:space="preserve"> Eiropas Komisijā.</w:t>
            </w:r>
          </w:p>
          <w:p w:rsidR="003C36F4" w:rsidRPr="00347817" w:rsidRDefault="003C36F4" w:rsidP="004A4C7A">
            <w:pPr>
              <w:pStyle w:val="ListParagraph"/>
              <w:spacing w:after="0"/>
              <w:ind w:left="0"/>
              <w:jc w:val="both"/>
              <w:rPr>
                <w:rFonts w:ascii="Times New Roman" w:hAnsi="Times New Roman"/>
                <w:sz w:val="24"/>
                <w:szCs w:val="24"/>
              </w:rPr>
            </w:pPr>
          </w:p>
          <w:p w:rsidR="003C36F4" w:rsidRPr="00347817" w:rsidRDefault="00CE43FE" w:rsidP="003C36F4">
            <w:pPr>
              <w:pStyle w:val="NormalWeb"/>
              <w:shd w:val="clear" w:color="auto" w:fill="FFFFFF"/>
              <w:spacing w:before="0" w:after="0" w:line="297" w:lineRule="atLeast"/>
              <w:jc w:val="both"/>
              <w:rPr>
                <w:shd w:val="clear" w:color="auto" w:fill="FFFFFF"/>
              </w:rPr>
            </w:pPr>
            <w:r w:rsidRPr="00347817">
              <w:rPr>
                <w:shd w:val="clear" w:color="auto" w:fill="FFFFFF"/>
              </w:rPr>
              <w:t>(12 </w:t>
            </w:r>
            <w:r w:rsidR="003C36F4" w:rsidRPr="00347817">
              <w:rPr>
                <w:shd w:val="clear" w:color="auto" w:fill="FFFFFF"/>
              </w:rPr>
              <w:t>nedēļu periods pieteikuma sagatavošana</w:t>
            </w:r>
            <w:r w:rsidRPr="00347817">
              <w:rPr>
                <w:shd w:val="clear" w:color="auto" w:fill="FFFFFF"/>
              </w:rPr>
              <w:t>i un iesniegšanai sākas 4 vai 9 </w:t>
            </w:r>
            <w:r w:rsidR="003C36F4" w:rsidRPr="00347817">
              <w:rPr>
                <w:shd w:val="clear" w:color="auto" w:fill="FFFFFF"/>
              </w:rPr>
              <w:t>mēnešu atskaites per</w:t>
            </w:r>
            <w:r w:rsidRPr="00347817">
              <w:rPr>
                <w:shd w:val="clear" w:color="auto" w:fill="FFFFFF"/>
              </w:rPr>
              <w:t>ioda pēdējā dienā un beidzas 12 </w:t>
            </w:r>
            <w:r w:rsidR="003C36F4" w:rsidRPr="00347817">
              <w:rPr>
                <w:shd w:val="clear" w:color="auto" w:fill="FFFFFF"/>
              </w:rPr>
              <w:t>nedēļas vēlāk tajā pašā nedēļas dienā. Piemērs, ja atskaites perioda pēdējā diena ir ceturtdiena 06.10.2016., tad pieteikuma iesniegšanas pēdējā diena ir 29.12.2016.</w:t>
            </w:r>
          </w:p>
          <w:p w:rsidR="003C36F4" w:rsidRPr="00347817" w:rsidRDefault="003C36F4" w:rsidP="003C36F4">
            <w:pPr>
              <w:pStyle w:val="NormalWeb"/>
              <w:shd w:val="clear" w:color="auto" w:fill="FFFFFF"/>
              <w:spacing w:before="0" w:after="0" w:line="297" w:lineRule="atLeast"/>
              <w:jc w:val="both"/>
              <w:rPr>
                <w:shd w:val="clear" w:color="auto" w:fill="FFFFFF"/>
              </w:rPr>
            </w:pPr>
          </w:p>
          <w:p w:rsidR="003C36F4" w:rsidRPr="00347817" w:rsidRDefault="00CE43FE" w:rsidP="003C36F4">
            <w:pPr>
              <w:pStyle w:val="NormalWeb"/>
              <w:shd w:val="clear" w:color="auto" w:fill="FFFFFF"/>
              <w:spacing w:before="0" w:after="0" w:line="297" w:lineRule="atLeast"/>
              <w:jc w:val="both"/>
              <w:rPr>
                <w:shd w:val="clear" w:color="auto" w:fill="FFFFFF"/>
              </w:rPr>
            </w:pPr>
            <w:r w:rsidRPr="00347817">
              <w:rPr>
                <w:shd w:val="clear" w:color="auto" w:fill="FFFFFF"/>
              </w:rPr>
              <w:t>4 vai 9 </w:t>
            </w:r>
            <w:r w:rsidR="003C36F4" w:rsidRPr="00347817">
              <w:rPr>
                <w:shd w:val="clear" w:color="auto" w:fill="FFFFFF"/>
              </w:rPr>
              <w:t>mēnešu periodu aprēķina no datuma līdz datumam. Piemērs, 06.06.2016. līdz 06.10.2016.)*</w:t>
            </w:r>
          </w:p>
          <w:p w:rsidR="003C36F4" w:rsidRPr="00347817" w:rsidRDefault="003C36F4" w:rsidP="003C36F4">
            <w:pPr>
              <w:pStyle w:val="NormalWeb"/>
              <w:shd w:val="clear" w:color="auto" w:fill="FFFFFF"/>
              <w:spacing w:before="0" w:after="0" w:line="297" w:lineRule="atLeast"/>
              <w:jc w:val="both"/>
              <w:rPr>
                <w:shd w:val="clear" w:color="auto" w:fill="FFFFFF"/>
              </w:rPr>
            </w:pPr>
          </w:p>
          <w:p w:rsidR="003C36F4" w:rsidRPr="00347817" w:rsidRDefault="003C36F4" w:rsidP="003C36F4">
            <w:pPr>
              <w:pStyle w:val="NormalWeb"/>
              <w:shd w:val="clear" w:color="auto" w:fill="FFFFFF"/>
              <w:spacing w:before="0" w:after="0" w:line="297" w:lineRule="atLeast"/>
              <w:jc w:val="both"/>
              <w:rPr>
                <w:shd w:val="clear" w:color="auto" w:fill="FFFFFF"/>
              </w:rPr>
            </w:pPr>
            <w:r w:rsidRPr="00347817">
              <w:rPr>
                <w:shd w:val="clear" w:color="auto" w:fill="FFFFFF"/>
              </w:rPr>
              <w:t>* Iepriekš minētā pieeja, kā aprēķināt mēnešus un nedēļas ir ietverta Padomes 1</w:t>
            </w:r>
            <w:r w:rsidR="00CE43FE" w:rsidRPr="00347817">
              <w:rPr>
                <w:shd w:val="clear" w:color="auto" w:fill="FFFFFF"/>
              </w:rPr>
              <w:t>971. </w:t>
            </w:r>
            <w:r w:rsidRPr="00347817">
              <w:rPr>
                <w:shd w:val="clear" w:color="auto" w:fill="FFFFFF"/>
              </w:rPr>
              <w:t>gada 3.</w:t>
            </w:r>
            <w:r w:rsidR="00CE43FE" w:rsidRPr="00347817">
              <w:rPr>
                <w:shd w:val="clear" w:color="auto" w:fill="FFFFFF"/>
              </w:rPr>
              <w:t> </w:t>
            </w:r>
            <w:r w:rsidRPr="00347817">
              <w:rPr>
                <w:shd w:val="clear" w:color="auto" w:fill="FFFFFF"/>
              </w:rPr>
              <w:t>j</w:t>
            </w:r>
            <w:r w:rsidR="00CE43FE" w:rsidRPr="00347817">
              <w:rPr>
                <w:shd w:val="clear" w:color="auto" w:fill="FFFFFF"/>
              </w:rPr>
              <w:t xml:space="preserve">ūnija Regulā (EEK, </w:t>
            </w:r>
            <w:proofErr w:type="spellStart"/>
            <w:r w:rsidR="00CE43FE" w:rsidRPr="00347817">
              <w:rPr>
                <w:shd w:val="clear" w:color="auto" w:fill="FFFFFF"/>
              </w:rPr>
              <w:t>Euratom</w:t>
            </w:r>
            <w:proofErr w:type="spellEnd"/>
            <w:r w:rsidR="00CE43FE" w:rsidRPr="00347817">
              <w:rPr>
                <w:shd w:val="clear" w:color="auto" w:fill="FFFFFF"/>
              </w:rPr>
              <w:t>) Nr. </w:t>
            </w:r>
            <w:r w:rsidRPr="00347817">
              <w:rPr>
                <w:shd w:val="clear" w:color="auto" w:fill="FFFFFF"/>
              </w:rPr>
              <w:t>1182/71 ar ko nosaka laikposmiem, datumiem un termiņiem piemērojamus noteikumus.</w:t>
            </w:r>
          </w:p>
          <w:p w:rsidR="00BC62F1" w:rsidRPr="00347817" w:rsidRDefault="00BC62F1" w:rsidP="003C36F4">
            <w:pPr>
              <w:pStyle w:val="NormalWeb"/>
              <w:shd w:val="clear" w:color="auto" w:fill="FFFFFF"/>
              <w:spacing w:before="0" w:after="0" w:line="297" w:lineRule="atLeast"/>
              <w:jc w:val="both"/>
              <w:rPr>
                <w:shd w:val="clear" w:color="auto" w:fill="FFFFFF"/>
              </w:rPr>
            </w:pPr>
          </w:p>
          <w:p w:rsidR="004C3B75" w:rsidRPr="00347817" w:rsidRDefault="004C3B75" w:rsidP="003C36F4">
            <w:pPr>
              <w:pStyle w:val="NormalWeb"/>
              <w:shd w:val="clear" w:color="auto" w:fill="FFFFFF"/>
              <w:spacing w:before="0" w:after="0" w:line="297" w:lineRule="atLeast"/>
              <w:jc w:val="both"/>
              <w:rPr>
                <w:shd w:val="clear" w:color="auto" w:fill="FFFFFF"/>
              </w:rPr>
            </w:pPr>
          </w:p>
          <w:p w:rsidR="00514DA7" w:rsidRPr="00347817" w:rsidRDefault="00F15BB2" w:rsidP="003C36F4">
            <w:pPr>
              <w:pStyle w:val="NormalWeb"/>
              <w:shd w:val="clear" w:color="auto" w:fill="FFFFFF"/>
              <w:spacing w:before="0" w:after="0" w:line="297" w:lineRule="atLeast"/>
              <w:jc w:val="both"/>
              <w:rPr>
                <w:shd w:val="clear" w:color="auto" w:fill="FFFFFF"/>
              </w:rPr>
            </w:pPr>
            <w:r w:rsidRPr="00347817">
              <w:rPr>
                <w:i/>
                <w:shd w:val="clear" w:color="auto" w:fill="FFFFFF"/>
              </w:rPr>
              <w:t>EGF finans</w:t>
            </w:r>
            <w:r w:rsidR="000B4C49" w:rsidRPr="00347817">
              <w:rPr>
                <w:i/>
                <w:shd w:val="clear" w:color="auto" w:fill="FFFFFF"/>
              </w:rPr>
              <w:t>ējuma saņemšanā un izlietošanā iesaistītās institūcijas</w:t>
            </w:r>
            <w:r w:rsidR="00077C76" w:rsidRPr="00347817">
              <w:rPr>
                <w:i/>
                <w:shd w:val="clear" w:color="auto" w:fill="FFFFFF"/>
              </w:rPr>
              <w:t>.</w:t>
            </w:r>
            <w:r w:rsidR="00514DA7" w:rsidRPr="00347817">
              <w:rPr>
                <w:i/>
                <w:shd w:val="clear" w:color="auto" w:fill="FFFFFF"/>
              </w:rPr>
              <w:t xml:space="preserve"> </w:t>
            </w:r>
          </w:p>
          <w:p w:rsidR="00514DA7" w:rsidRPr="00347817" w:rsidRDefault="00AE7388" w:rsidP="003C36F4">
            <w:pPr>
              <w:pStyle w:val="NormalWeb"/>
              <w:shd w:val="clear" w:color="auto" w:fill="FFFFFF"/>
              <w:spacing w:before="0" w:after="0" w:line="297" w:lineRule="atLeast"/>
              <w:jc w:val="both"/>
              <w:rPr>
                <w:shd w:val="clear" w:color="auto" w:fill="FFFFFF"/>
              </w:rPr>
            </w:pPr>
            <w:r w:rsidRPr="00347817">
              <w:rPr>
                <w:shd w:val="clear" w:color="auto" w:fill="FFFFFF"/>
              </w:rPr>
              <w:t>Padomes regulas Nr. </w:t>
            </w:r>
            <w:r w:rsidR="00514DA7" w:rsidRPr="00347817">
              <w:rPr>
                <w:shd w:val="clear" w:color="auto" w:fill="FFFFFF"/>
              </w:rPr>
              <w:t>1309/2013 21.</w:t>
            </w:r>
            <w:r w:rsidRPr="00347817">
              <w:rPr>
                <w:shd w:val="clear" w:color="auto" w:fill="FFFFFF"/>
              </w:rPr>
              <w:t> </w:t>
            </w:r>
            <w:r w:rsidR="00514DA7" w:rsidRPr="00347817">
              <w:rPr>
                <w:shd w:val="clear" w:color="auto" w:fill="FFFFFF"/>
              </w:rPr>
              <w:t>panta 2.</w:t>
            </w:r>
            <w:r w:rsidRPr="00347817">
              <w:rPr>
                <w:shd w:val="clear" w:color="auto" w:fill="FFFFFF"/>
              </w:rPr>
              <w:t> </w:t>
            </w:r>
            <w:r w:rsidR="00514DA7" w:rsidRPr="00347817">
              <w:rPr>
                <w:shd w:val="clear" w:color="auto" w:fill="FFFFFF"/>
              </w:rPr>
              <w:t xml:space="preserve">punkts nosaka, ka dalībvalsts izraugās struktūras, kas ir atbildīgas par EGF atbalstīto darbību pareizu pārvaldību un kontroli saskaņā </w:t>
            </w:r>
            <w:proofErr w:type="gramStart"/>
            <w:r w:rsidR="00514DA7" w:rsidRPr="00347817">
              <w:rPr>
                <w:shd w:val="clear" w:color="auto" w:fill="FFFFFF"/>
              </w:rPr>
              <w:t>ar Eiropas Parlamenta un Padomes</w:t>
            </w:r>
            <w:proofErr w:type="gramEnd"/>
            <w:r w:rsidR="00514DA7" w:rsidRPr="00347817">
              <w:rPr>
                <w:shd w:val="clear" w:color="auto" w:fill="FFFFFF"/>
              </w:rPr>
              <w:t xml:space="preserve"> 2012.</w:t>
            </w:r>
            <w:r w:rsidRPr="00347817">
              <w:rPr>
                <w:shd w:val="clear" w:color="auto" w:fill="FFFFFF"/>
              </w:rPr>
              <w:t> </w:t>
            </w:r>
            <w:r w:rsidR="00514DA7" w:rsidRPr="00347817">
              <w:rPr>
                <w:shd w:val="clear" w:color="auto" w:fill="FFFFFF"/>
              </w:rPr>
              <w:t>gada 25.</w:t>
            </w:r>
            <w:r w:rsidRPr="00347817">
              <w:rPr>
                <w:shd w:val="clear" w:color="auto" w:fill="FFFFFF"/>
              </w:rPr>
              <w:t> </w:t>
            </w:r>
            <w:r w:rsidR="00514DA7" w:rsidRPr="00347817">
              <w:rPr>
                <w:shd w:val="clear" w:color="auto" w:fill="FFFFFF"/>
              </w:rPr>
              <w:t xml:space="preserve">oktobra </w:t>
            </w:r>
            <w:r w:rsidR="00514DA7" w:rsidRPr="00347817">
              <w:rPr>
                <w:shd w:val="clear" w:color="auto" w:fill="FFFFFF"/>
              </w:rPr>
              <w:lastRenderedPageBreak/>
              <w:t>regulas (ES, EURATOM) Nr.</w:t>
            </w:r>
            <w:r w:rsidRPr="00347817">
              <w:rPr>
                <w:shd w:val="clear" w:color="auto" w:fill="FFFFFF"/>
              </w:rPr>
              <w:t> </w:t>
            </w:r>
            <w:r w:rsidR="00514DA7" w:rsidRPr="00347817">
              <w:rPr>
                <w:shd w:val="clear" w:color="auto" w:fill="FFFFFF"/>
              </w:rPr>
              <w:t xml:space="preserve">966/2012 par finanšu noteikumiem, ko piemēro Savienības vispārējam budžetam, un par Padomes Regulas (EK, </w:t>
            </w:r>
            <w:proofErr w:type="spellStart"/>
            <w:r w:rsidR="00514DA7" w:rsidRPr="00347817">
              <w:rPr>
                <w:shd w:val="clear" w:color="auto" w:fill="FFFFFF"/>
              </w:rPr>
              <w:t>Euratom</w:t>
            </w:r>
            <w:proofErr w:type="spellEnd"/>
            <w:r w:rsidR="00514DA7" w:rsidRPr="00347817">
              <w:rPr>
                <w:shd w:val="clear" w:color="auto" w:fill="FFFFFF"/>
              </w:rPr>
              <w:t>) Nr.</w:t>
            </w:r>
            <w:r w:rsidRPr="00347817">
              <w:rPr>
                <w:shd w:val="clear" w:color="auto" w:fill="FFFFFF"/>
              </w:rPr>
              <w:t> </w:t>
            </w:r>
            <w:r w:rsidR="00514DA7" w:rsidRPr="00347817">
              <w:rPr>
                <w:shd w:val="clear" w:color="auto" w:fill="FFFFFF"/>
              </w:rPr>
              <w:t>1605/2002 atcelšanu (turpmāk – Finanšu regula) 59.</w:t>
            </w:r>
            <w:r w:rsidRPr="00347817">
              <w:rPr>
                <w:shd w:val="clear" w:color="auto" w:fill="FFFFFF"/>
              </w:rPr>
              <w:t> </w:t>
            </w:r>
            <w:r w:rsidR="00514DA7" w:rsidRPr="00347817">
              <w:rPr>
                <w:shd w:val="clear" w:color="auto" w:fill="FFFFFF"/>
              </w:rPr>
              <w:t>pantu un ar kritērijiem un procedūrām, kas noteiktas Eiropas Parlamenta un Padomes 2013.</w:t>
            </w:r>
            <w:r w:rsidRPr="00347817">
              <w:rPr>
                <w:shd w:val="clear" w:color="auto" w:fill="FFFFFF"/>
              </w:rPr>
              <w:t> </w:t>
            </w:r>
            <w:r w:rsidR="00514DA7" w:rsidRPr="00347817">
              <w:rPr>
                <w:shd w:val="clear" w:color="auto" w:fill="FFFFFF"/>
              </w:rPr>
              <w:t>gada 17.</w:t>
            </w:r>
            <w:r w:rsidRPr="00347817">
              <w:rPr>
                <w:shd w:val="clear" w:color="auto" w:fill="FFFFFF"/>
              </w:rPr>
              <w:t> </w:t>
            </w:r>
            <w:r w:rsidR="00514DA7" w:rsidRPr="00347817">
              <w:rPr>
                <w:shd w:val="clear" w:color="auto" w:fill="FFFFFF"/>
              </w:rPr>
              <w:t>decembra regulā (ES) Nr.</w:t>
            </w:r>
            <w:r w:rsidRPr="00347817">
              <w:rPr>
                <w:shd w:val="clear" w:color="auto" w:fill="FFFFFF"/>
              </w:rPr>
              <w:t> </w:t>
            </w:r>
            <w:r w:rsidR="00514DA7" w:rsidRPr="00347817">
              <w:rPr>
                <w:shd w:val="clear" w:color="auto" w:fill="FFFFFF"/>
              </w:rPr>
              <w:t xml:space="preserve">1303/2013 </w:t>
            </w:r>
            <w:r w:rsidR="00BD6740" w:rsidRPr="00347817">
              <w:rPr>
                <w:shd w:val="clear" w:color="auto" w:fill="FFFFF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Pr="00347817">
              <w:rPr>
                <w:shd w:val="clear" w:color="auto" w:fill="FFFFFF"/>
              </w:rPr>
              <w:t> </w:t>
            </w:r>
            <w:r w:rsidR="00BD6740" w:rsidRPr="00347817">
              <w:rPr>
                <w:shd w:val="clear" w:color="auto" w:fill="FFFFFF"/>
              </w:rPr>
              <w:t>1083/2006 (turpmāk – Padomes regula</w:t>
            </w:r>
            <w:r w:rsidRPr="00347817">
              <w:rPr>
                <w:shd w:val="clear" w:color="auto" w:fill="FFFFFF"/>
              </w:rPr>
              <w:t> </w:t>
            </w:r>
            <w:r w:rsidR="00BD6740" w:rsidRPr="00347817">
              <w:rPr>
                <w:shd w:val="clear" w:color="auto" w:fill="FFFFFF"/>
              </w:rPr>
              <w:t xml:space="preserve"> Nr.</w:t>
            </w:r>
            <w:r w:rsidRPr="00347817">
              <w:rPr>
                <w:shd w:val="clear" w:color="auto" w:fill="FFFFFF"/>
              </w:rPr>
              <w:t> </w:t>
            </w:r>
            <w:r w:rsidR="00BD6740" w:rsidRPr="00347817">
              <w:rPr>
                <w:shd w:val="clear" w:color="auto" w:fill="FFFFFF"/>
              </w:rPr>
              <w:t xml:space="preserve"> 1303/2013)</w:t>
            </w:r>
            <w:r w:rsidR="002C4659" w:rsidRPr="00347817">
              <w:rPr>
                <w:shd w:val="clear" w:color="auto" w:fill="FFFFFF"/>
              </w:rPr>
              <w:t xml:space="preserve">. </w:t>
            </w:r>
          </w:p>
          <w:p w:rsidR="00077C76" w:rsidRPr="00347817" w:rsidRDefault="00077C76" w:rsidP="003C36F4">
            <w:pPr>
              <w:pStyle w:val="NormalWeb"/>
              <w:shd w:val="clear" w:color="auto" w:fill="FFFFFF"/>
              <w:spacing w:before="0" w:after="0" w:line="297" w:lineRule="atLeast"/>
              <w:jc w:val="both"/>
              <w:rPr>
                <w:shd w:val="clear" w:color="auto" w:fill="FFFFFF"/>
              </w:rPr>
            </w:pPr>
          </w:p>
          <w:p w:rsidR="00077C76" w:rsidRPr="00347817" w:rsidRDefault="00077C76" w:rsidP="00077C76">
            <w:pPr>
              <w:pStyle w:val="NormalWeb"/>
              <w:shd w:val="clear" w:color="auto" w:fill="FFFFFF"/>
              <w:spacing w:before="0" w:after="0" w:line="297" w:lineRule="atLeast"/>
              <w:jc w:val="both"/>
              <w:rPr>
                <w:shd w:val="clear" w:color="auto" w:fill="FFFFFF"/>
              </w:rPr>
            </w:pPr>
            <w:r w:rsidRPr="00347817">
              <w:rPr>
                <w:shd w:val="clear" w:color="auto" w:fill="FFFFFF"/>
              </w:rPr>
              <w:t xml:space="preserve">EGF finansējuma saņemšanā un izlietošanā iesaistītās institūcijas ir Labklājības ministrija (vadošā iestāde un sertifikācijas iestāde); Finanšu ministrija (revīzijas iestāde), </w:t>
            </w:r>
            <w:r w:rsidR="009C501B" w:rsidRPr="00347817">
              <w:rPr>
                <w:shd w:val="clear" w:color="auto" w:fill="FFFFFF"/>
              </w:rPr>
              <w:t>NVA</w:t>
            </w:r>
            <w:r w:rsidRPr="00347817">
              <w:rPr>
                <w:shd w:val="clear" w:color="auto" w:fill="FFFFFF"/>
              </w:rPr>
              <w:t xml:space="preserve"> (finansējuma saņēmējs). Vadošās iestādes tiesības un pienākumi ir noteikti Noteikumu projekta 19. un 20.</w:t>
            </w:r>
            <w:r w:rsidR="006B619D" w:rsidRPr="00347817">
              <w:rPr>
                <w:shd w:val="clear" w:color="auto" w:fill="FFFFFF"/>
              </w:rPr>
              <w:t> </w:t>
            </w:r>
            <w:r w:rsidRPr="00347817">
              <w:rPr>
                <w:shd w:val="clear" w:color="auto" w:fill="FFFFFF"/>
              </w:rPr>
              <w:t>punktā; revīzijas iestādes tiesības un pienākumi ir noteikti Noteikumu projekta 26.</w:t>
            </w:r>
            <w:r w:rsidR="006B619D" w:rsidRPr="00347817">
              <w:rPr>
                <w:shd w:val="clear" w:color="auto" w:fill="FFFFFF"/>
              </w:rPr>
              <w:t> </w:t>
            </w:r>
            <w:r w:rsidRPr="00347817">
              <w:rPr>
                <w:shd w:val="clear" w:color="auto" w:fill="FFFFFF"/>
              </w:rPr>
              <w:t>punktā; sertifikācijas iestādes tiesības un pienākumi ir noteikti Noteikumu projekta 28.</w:t>
            </w:r>
            <w:r w:rsidR="006B619D" w:rsidRPr="00347817">
              <w:rPr>
                <w:shd w:val="clear" w:color="auto" w:fill="FFFFFF"/>
              </w:rPr>
              <w:t> </w:t>
            </w:r>
            <w:r w:rsidRPr="00347817">
              <w:rPr>
                <w:shd w:val="clear" w:color="auto" w:fill="FFFFFF"/>
              </w:rPr>
              <w:t>punktā un finansējuma saņēmēja tiesības un pienākumi ir noteikti Noteikumu projekta 22. un 24.</w:t>
            </w:r>
            <w:r w:rsidR="006B619D" w:rsidRPr="00347817">
              <w:rPr>
                <w:shd w:val="clear" w:color="auto" w:fill="FFFFFF"/>
              </w:rPr>
              <w:t> </w:t>
            </w:r>
            <w:r w:rsidRPr="00347817">
              <w:rPr>
                <w:shd w:val="clear" w:color="auto" w:fill="FFFFFF"/>
              </w:rPr>
              <w:t>punktā.</w:t>
            </w:r>
          </w:p>
          <w:p w:rsidR="00077C76" w:rsidRPr="00347817" w:rsidRDefault="00077C76" w:rsidP="00077C76">
            <w:pPr>
              <w:pStyle w:val="NormalWeb"/>
              <w:shd w:val="clear" w:color="auto" w:fill="FFFFFF"/>
              <w:spacing w:before="0" w:after="0" w:line="297" w:lineRule="atLeast"/>
              <w:jc w:val="both"/>
              <w:rPr>
                <w:shd w:val="clear" w:color="auto" w:fill="FFFFFF"/>
              </w:rPr>
            </w:pPr>
          </w:p>
          <w:p w:rsidR="00077C76" w:rsidRPr="00347817" w:rsidRDefault="002C4659" w:rsidP="002C4659">
            <w:pPr>
              <w:pStyle w:val="tv213"/>
              <w:spacing w:before="0" w:beforeAutospacing="0" w:after="0" w:afterAutospacing="0" w:line="293" w:lineRule="atLeast"/>
              <w:jc w:val="both"/>
            </w:pPr>
            <w:r w:rsidRPr="00347817">
              <w:rPr>
                <w:shd w:val="clear" w:color="auto" w:fill="FFFFFF"/>
              </w:rPr>
              <w:t>Noteikumu projekts paredz, ka vadošās iestādes un sertifikācijas iestādes izraudzīšanās procedūra notiks</w:t>
            </w:r>
            <w:r w:rsidR="006B619D" w:rsidRPr="00347817">
              <w:rPr>
                <w:shd w:val="clear" w:color="auto" w:fill="FFFFFF"/>
              </w:rPr>
              <w:t xml:space="preserve"> atbilstoši Padomes regulas Nr. </w:t>
            </w:r>
            <w:r w:rsidRPr="00347817">
              <w:rPr>
                <w:shd w:val="clear" w:color="auto" w:fill="FFFFFF"/>
              </w:rPr>
              <w:t>1303/2013 124.</w:t>
            </w:r>
            <w:r w:rsidR="006B619D" w:rsidRPr="00347817">
              <w:rPr>
                <w:shd w:val="clear" w:color="auto" w:fill="FFFFFF"/>
              </w:rPr>
              <w:t> </w:t>
            </w:r>
            <w:r w:rsidRPr="00347817">
              <w:rPr>
                <w:shd w:val="clear" w:color="auto" w:fill="FFFFFF"/>
              </w:rPr>
              <w:t>panta 1.</w:t>
            </w:r>
            <w:r w:rsidR="006B619D" w:rsidRPr="00347817">
              <w:rPr>
                <w:shd w:val="clear" w:color="auto" w:fill="FFFFFF"/>
              </w:rPr>
              <w:t> </w:t>
            </w:r>
            <w:r w:rsidRPr="00347817">
              <w:rPr>
                <w:shd w:val="clear" w:color="auto" w:fill="FFFFFF"/>
              </w:rPr>
              <w:t xml:space="preserve">punktam. Labklājības ministrs informēs Eiropas Komisiju pirms maksājuma pieteikuma iesniegšanas Eiropas Komisijai par vadošās iestādes un sertifikācijas iestādes atbilstību Padomes regulas Nr. 1303/2013 XIII pielikumā iekļautajiem kritērijiem, </w:t>
            </w:r>
            <w:r w:rsidRPr="00347817">
              <w:t xml:space="preserve">kas saistīti ar iekšējās kontroles vidi, riska pārvaldību, pārvaldības un kontroles pasākumiem, kā arī pārraudzību un izpildi, pamatojoties uz Finanšu ministrijas iesniegto vadošās iestādes un sertifikācijas iestādes sākotnējo atbilstības novērtējuma ziņojumu un atzinumu. </w:t>
            </w:r>
          </w:p>
          <w:p w:rsidR="00077C76" w:rsidRPr="00347817" w:rsidRDefault="00077C76" w:rsidP="002C4659">
            <w:pPr>
              <w:pStyle w:val="tv213"/>
              <w:spacing w:before="0" w:beforeAutospacing="0" w:after="0" w:afterAutospacing="0" w:line="293" w:lineRule="atLeast"/>
              <w:jc w:val="both"/>
            </w:pPr>
          </w:p>
          <w:p w:rsidR="00A50211" w:rsidRPr="00347817" w:rsidRDefault="002C4659" w:rsidP="00077C76">
            <w:pPr>
              <w:pStyle w:val="tv213"/>
              <w:spacing w:before="0" w:beforeAutospacing="0" w:after="0" w:afterAutospacing="0" w:line="293" w:lineRule="atLeast"/>
              <w:jc w:val="both"/>
              <w:rPr>
                <w:color w:val="000000"/>
              </w:rPr>
            </w:pPr>
            <w:r w:rsidRPr="00347817">
              <w:rPr>
                <w:color w:val="000000"/>
              </w:rPr>
              <w:t xml:space="preserve">Vadības un kontroles sistēmas aprakstu (vadošās iestādes un sertifikācijas iestādes pastāvošo funkciju un procedūru apraksts) izstrādās gadījumā, ja tiks pieņemts lēmums par </w:t>
            </w:r>
            <w:r w:rsidRPr="00347817">
              <w:rPr>
                <w:color w:val="000000"/>
              </w:rPr>
              <w:lastRenderedPageBreak/>
              <w:t>nepieciešamību pieteikties EGF atbalstam un vienlaicīgi ar informatīvā ziņojuma izstrādi.</w:t>
            </w:r>
          </w:p>
          <w:p w:rsidR="009C501B" w:rsidRPr="00347817" w:rsidRDefault="009C501B" w:rsidP="00077C76">
            <w:pPr>
              <w:pStyle w:val="tv213"/>
              <w:spacing w:before="0" w:beforeAutospacing="0" w:after="0" w:afterAutospacing="0" w:line="293" w:lineRule="atLeast"/>
              <w:jc w:val="both"/>
              <w:rPr>
                <w:bCs/>
              </w:rPr>
            </w:pPr>
          </w:p>
          <w:p w:rsidR="00142C33" w:rsidRPr="00347817" w:rsidRDefault="006B619D" w:rsidP="00077C76">
            <w:pPr>
              <w:pStyle w:val="tv213"/>
              <w:spacing w:before="0" w:beforeAutospacing="0" w:after="0" w:afterAutospacing="0" w:line="293" w:lineRule="atLeast"/>
              <w:jc w:val="both"/>
              <w:rPr>
                <w:bCs/>
              </w:rPr>
            </w:pPr>
            <w:r w:rsidRPr="00347817">
              <w:rPr>
                <w:bCs/>
              </w:rPr>
              <w:t>Padomes regulas Nr. </w:t>
            </w:r>
            <w:r w:rsidR="00142C33" w:rsidRPr="00347817">
              <w:rPr>
                <w:bCs/>
              </w:rPr>
              <w:t>1309/2013 16.</w:t>
            </w:r>
            <w:r w:rsidRPr="00347817">
              <w:rPr>
                <w:bCs/>
              </w:rPr>
              <w:t> </w:t>
            </w:r>
            <w:r w:rsidR="00142C33" w:rsidRPr="00347817">
              <w:rPr>
                <w:bCs/>
              </w:rPr>
              <w:t>panta 4.</w:t>
            </w:r>
            <w:r w:rsidRPr="00347817">
              <w:rPr>
                <w:bCs/>
              </w:rPr>
              <w:t> </w:t>
            </w:r>
            <w:r w:rsidR="00142C33" w:rsidRPr="00347817">
              <w:rPr>
                <w:bCs/>
              </w:rPr>
              <w:t xml:space="preserve">punkta paredz pēc iespējas drīz un ne vēlāk </w:t>
            </w:r>
            <w:r w:rsidRPr="00347817">
              <w:t>kā 24 </w:t>
            </w:r>
            <w:r w:rsidR="00142C33" w:rsidRPr="00347817">
              <w:t>mēnešus pēc pieteikuma iesniegšanas dienas saskaņā ar Padomes regulas Nr.</w:t>
            </w:r>
            <w:r w:rsidRPr="00347817">
              <w:t> </w:t>
            </w:r>
            <w:r w:rsidR="00142C33" w:rsidRPr="00347817">
              <w:t>1309/2013 8.</w:t>
            </w:r>
            <w:r w:rsidRPr="00347817">
              <w:t> </w:t>
            </w:r>
            <w:r w:rsidR="00142C33" w:rsidRPr="00347817">
              <w:t>panta 1.</w:t>
            </w:r>
            <w:r w:rsidRPr="00347817">
              <w:t> </w:t>
            </w:r>
            <w:r w:rsidR="00142C33" w:rsidRPr="00347817">
              <w:t>punktu, bezdarbniekus iesaistīt aktīvās nodarbinātības un preventīvos bezdarba samazināšanas pasākumos.</w:t>
            </w:r>
          </w:p>
          <w:p w:rsidR="00142C33" w:rsidRPr="00347817" w:rsidRDefault="006B619D" w:rsidP="00142C33">
            <w:pPr>
              <w:pStyle w:val="NormalWeb"/>
              <w:shd w:val="clear" w:color="auto" w:fill="FFFFFF"/>
              <w:spacing w:before="0" w:after="0" w:line="297" w:lineRule="atLeast"/>
              <w:jc w:val="both"/>
              <w:rPr>
                <w:bCs/>
              </w:rPr>
            </w:pPr>
            <w:r w:rsidRPr="00347817">
              <w:rPr>
                <w:shd w:val="clear" w:color="auto" w:fill="FFFFFF"/>
              </w:rPr>
              <w:t>24 </w:t>
            </w:r>
            <w:r w:rsidR="00142C33" w:rsidRPr="00347817">
              <w:rPr>
                <w:shd w:val="clear" w:color="auto" w:fill="FFFFFF"/>
              </w:rPr>
              <w:t xml:space="preserve">mēnešu īstenošanas periodu no pieteikuma iesniegšanas dienas aprēķina saskaņā ar „mēneša noteikumu”. Piemērs: pieteikuma datums: 29.12.2016. – 29.12.2018. īstenošanas perioda pēdējā diena.* </w:t>
            </w:r>
          </w:p>
          <w:p w:rsidR="00142C33" w:rsidRPr="00347817" w:rsidRDefault="00142C33" w:rsidP="00077C76">
            <w:pPr>
              <w:pStyle w:val="tv213"/>
              <w:spacing w:before="0" w:beforeAutospacing="0" w:after="0" w:afterAutospacing="0" w:line="293" w:lineRule="atLeast"/>
              <w:jc w:val="both"/>
              <w:rPr>
                <w:bCs/>
              </w:rPr>
            </w:pPr>
          </w:p>
          <w:p w:rsidR="00B6168E" w:rsidRPr="00347817" w:rsidRDefault="00142C33" w:rsidP="00077C76">
            <w:pPr>
              <w:pStyle w:val="tv213"/>
              <w:spacing w:before="0" w:beforeAutospacing="0" w:after="0" w:afterAutospacing="0" w:line="293" w:lineRule="atLeast"/>
              <w:jc w:val="both"/>
            </w:pPr>
            <w:r w:rsidRPr="00347817">
              <w:t>Savukārt</w:t>
            </w:r>
            <w:r w:rsidR="006B619D" w:rsidRPr="00347817">
              <w:t xml:space="preserve"> atbilstoši Padomes regulas Nr. </w:t>
            </w:r>
            <w:r w:rsidRPr="00347817">
              <w:t>1309/2013 18.</w:t>
            </w:r>
            <w:r w:rsidR="006B619D" w:rsidRPr="00347817">
              <w:t> </w:t>
            </w:r>
            <w:r w:rsidRPr="00347817">
              <w:t>panta 1.</w:t>
            </w:r>
            <w:r w:rsidR="006B619D" w:rsidRPr="00347817">
              <w:t> </w:t>
            </w:r>
            <w:r w:rsidRPr="00347817">
              <w:t>punktam, n</w:t>
            </w:r>
            <w:r w:rsidR="00B6168E" w:rsidRPr="00347817">
              <w:t>obeiguma ziņojums dalībvalstij jānosūta Eiropas Komisijai ne vēlāk kā sešus mēnešus pēc īstenošanas p</w:t>
            </w:r>
            <w:r w:rsidR="006B619D" w:rsidRPr="00347817">
              <w:t>erioda beigām (parasti t.i., 30 </w:t>
            </w:r>
            <w:r w:rsidR="00B6168E" w:rsidRPr="00347817">
              <w:t>mēneši pēc pieteikuma iesniegšanas dienas). Nobeiguma ziņojuma iesniegšanas termiņš ir noteikts Eiropas Komisijas finansēšanas lēmumā.</w:t>
            </w:r>
          </w:p>
          <w:p w:rsidR="00B6168E" w:rsidRPr="00347817" w:rsidRDefault="006B619D" w:rsidP="00B6168E">
            <w:pPr>
              <w:pStyle w:val="NormalWeb"/>
              <w:shd w:val="clear" w:color="auto" w:fill="FFFFFF"/>
              <w:spacing w:before="0" w:after="0" w:line="297" w:lineRule="atLeast"/>
              <w:jc w:val="both"/>
              <w:rPr>
                <w:shd w:val="clear" w:color="auto" w:fill="FFFFFF"/>
              </w:rPr>
            </w:pPr>
            <w:r w:rsidRPr="00347817">
              <w:rPr>
                <w:shd w:val="clear" w:color="auto" w:fill="FFFFFF"/>
              </w:rPr>
              <w:t>6 </w:t>
            </w:r>
            <w:r w:rsidR="00B6168E" w:rsidRPr="00347817">
              <w:rPr>
                <w:shd w:val="clear" w:color="auto" w:fill="FFFFFF"/>
              </w:rPr>
              <w:t>mēnešu īstenošanas periodu, kuru laikā dalībvalstīm ir jāiesniedz nobeiguma īstenošanas ziņojumi, dienas aprēķina saskaņā ar „mēneša noteikumu”.  Piemērs: īstenošanas perioda pēdējā diena 29.12.2018. nozīmē, ka ziņojuma iesniegšanas pēdējā diena ir 29.03.2019.*</w:t>
            </w:r>
          </w:p>
          <w:p w:rsidR="00B6168E" w:rsidRPr="00347817" w:rsidRDefault="00B6168E" w:rsidP="006B619D">
            <w:pPr>
              <w:pStyle w:val="NormalWeb"/>
              <w:shd w:val="clear" w:color="auto" w:fill="FFFFFF"/>
              <w:spacing w:before="0" w:after="0" w:line="297" w:lineRule="atLeast"/>
              <w:jc w:val="both"/>
              <w:rPr>
                <w:bCs/>
              </w:rPr>
            </w:pPr>
            <w:r w:rsidRPr="00347817">
              <w:rPr>
                <w:shd w:val="clear" w:color="auto" w:fill="FFFFFF"/>
              </w:rPr>
              <w:t>*Iepriekš minētā pieeja, kā aprēķināt mēnešus un nedēļas ir ie</w:t>
            </w:r>
            <w:r w:rsidR="006B619D" w:rsidRPr="00347817">
              <w:rPr>
                <w:shd w:val="clear" w:color="auto" w:fill="FFFFFF"/>
              </w:rPr>
              <w:t>tverta Padomes 1971. </w:t>
            </w:r>
            <w:r w:rsidRPr="00347817">
              <w:rPr>
                <w:shd w:val="clear" w:color="auto" w:fill="FFFFFF"/>
              </w:rPr>
              <w:t>gada 3.</w:t>
            </w:r>
            <w:r w:rsidR="006B619D" w:rsidRPr="00347817">
              <w:rPr>
                <w:shd w:val="clear" w:color="auto" w:fill="FFFFFF"/>
              </w:rPr>
              <w:t> </w:t>
            </w:r>
            <w:r w:rsidRPr="00347817">
              <w:rPr>
                <w:shd w:val="clear" w:color="auto" w:fill="FFFFFF"/>
              </w:rPr>
              <w:t>j</w:t>
            </w:r>
            <w:r w:rsidR="006B619D" w:rsidRPr="00347817">
              <w:rPr>
                <w:shd w:val="clear" w:color="auto" w:fill="FFFFFF"/>
              </w:rPr>
              <w:t xml:space="preserve">ūnija Regulā (EEK, </w:t>
            </w:r>
            <w:proofErr w:type="spellStart"/>
            <w:r w:rsidR="006B619D" w:rsidRPr="00347817">
              <w:rPr>
                <w:shd w:val="clear" w:color="auto" w:fill="FFFFFF"/>
              </w:rPr>
              <w:t>Euratom</w:t>
            </w:r>
            <w:proofErr w:type="spellEnd"/>
            <w:r w:rsidR="006B619D" w:rsidRPr="00347817">
              <w:rPr>
                <w:shd w:val="clear" w:color="auto" w:fill="FFFFFF"/>
              </w:rPr>
              <w:t>) Nr. </w:t>
            </w:r>
            <w:r w:rsidRPr="00347817">
              <w:rPr>
                <w:shd w:val="clear" w:color="auto" w:fill="FFFFFF"/>
              </w:rPr>
              <w:t>1182/71 ar ko nosaka laikposmiem, datumiem un termiņiem piemērojamus noteikumus.</w:t>
            </w: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Nodarbinātības valsts aģentūra (turpmāk – NVA)</w:t>
            </w:r>
          </w:p>
          <w:p w:rsidR="009C501B" w:rsidRPr="00347817" w:rsidRDefault="009C501B" w:rsidP="00166387"/>
        </w:tc>
      </w:tr>
      <w:tr w:rsidR="00081E5D" w:rsidRPr="00347817" w:rsidTr="00166387">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43C2F" w:rsidRPr="00347817" w:rsidRDefault="00573664" w:rsidP="0085127E">
            <w:r w:rsidRPr="00347817">
              <w:t>Nav.</w:t>
            </w:r>
          </w:p>
        </w:tc>
      </w:tr>
    </w:tbl>
    <w:p w:rsidR="00573664" w:rsidRPr="00347817" w:rsidRDefault="00573664" w:rsidP="00233C3E">
      <w:pPr>
        <w:shd w:val="clear" w:color="auto" w:fill="FFFFFF"/>
        <w:spacing w:before="100" w:beforeAutospacing="1"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rsidR="00166387" w:rsidRPr="00347817" w:rsidRDefault="00573664" w:rsidP="00166387">
            <w:pPr>
              <w:jc w:val="both"/>
            </w:pPr>
            <w:r w:rsidRPr="00347817">
              <w:t>Noteikumu projekts attiecas uz</w:t>
            </w:r>
            <w:r w:rsidR="00166387" w:rsidRPr="00347817">
              <w:t>:</w:t>
            </w:r>
          </w:p>
          <w:p w:rsidR="00573664" w:rsidRPr="00347817" w:rsidRDefault="00166387" w:rsidP="00166387">
            <w:pPr>
              <w:jc w:val="both"/>
            </w:pPr>
            <w:r w:rsidRPr="00347817">
              <w:t>1. </w:t>
            </w:r>
            <w:r w:rsidR="00573664" w:rsidRPr="00347817">
              <w:t>NVA reģistrētajiem un bezdarbnieka statusu ieguvušajiem atlaistajiem darba ņēmējiem, darba devējiem, pašnodarbinātām personām, kuru darbība ir beigusies:</w:t>
            </w:r>
          </w:p>
          <w:p w:rsidR="00573664" w:rsidRPr="00347817" w:rsidRDefault="00573664" w:rsidP="00166387">
            <w:pPr>
              <w:jc w:val="both"/>
            </w:pPr>
            <w:r w:rsidRPr="00347817">
              <w:t>1)</w:t>
            </w:r>
            <w:r w:rsidR="00EF5116" w:rsidRPr="00347817">
              <w:t> </w:t>
            </w:r>
            <w:r w:rsidRPr="00347817">
              <w:t xml:space="preserve">tādu lielu strukturālu pārmaiņu rezultātā, kas pasaules tirdzniecības modeļos notikušas globalizācijas dēļ, par ko īpaši liecina būtisks importa pieaugums Savienībā, būtiskas </w:t>
            </w:r>
            <w:r w:rsidRPr="00347817">
              <w:lastRenderedPageBreak/>
              <w:t xml:space="preserve">izmaiņas Savienības preču vai pakalpojumu tirdzniecībā, strauja Savienības tirgus daļas samazināšanās kādā nozarē vai darbības pārvietošana uz </w:t>
            </w:r>
            <w:proofErr w:type="spellStart"/>
            <w:r w:rsidRPr="00347817">
              <w:t>trešām</w:t>
            </w:r>
            <w:proofErr w:type="spellEnd"/>
            <w:r w:rsidRPr="00347817">
              <w:t xml:space="preserve"> valstīm, ar noteikumu, ka minētajai darba ņēmēju atlaišanai ir būtiska negatīva ietekme uz vietējo, reģionālo vai valsts ekonomiku;</w:t>
            </w:r>
          </w:p>
          <w:p w:rsidR="00573664" w:rsidRPr="00347817" w:rsidRDefault="00573664" w:rsidP="00166387">
            <w:r w:rsidRPr="00347817">
              <w:t>2)</w:t>
            </w:r>
            <w:r w:rsidR="00EF5116" w:rsidRPr="00347817">
              <w:t> </w:t>
            </w:r>
            <w:r w:rsidRPr="00347817">
              <w:t>saistībā ar ilgstošu vai jaunu globālo finanšu un ekonomikas krīzi.</w:t>
            </w:r>
          </w:p>
          <w:p w:rsidR="00166387" w:rsidRPr="00347817" w:rsidRDefault="00166387" w:rsidP="00166387">
            <w:r w:rsidRPr="00347817">
              <w:t>2.</w:t>
            </w:r>
            <w:r w:rsidR="00EF5116" w:rsidRPr="00347817">
              <w:t> </w:t>
            </w:r>
            <w:r w:rsidRPr="00347817">
              <w:t>Noteikumu projekta 9.</w:t>
            </w:r>
            <w:r w:rsidR="00EF5116" w:rsidRPr="00347817">
              <w:t> </w:t>
            </w:r>
            <w:r w:rsidRPr="00347817">
              <w:t>punktā minēto institūciju nodarbinātie.</w:t>
            </w:r>
          </w:p>
        </w:tc>
      </w:tr>
      <w:tr w:rsidR="00081E5D" w:rsidRPr="0034781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2.</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rsidR="00126924" w:rsidRPr="00347817" w:rsidRDefault="004E118F" w:rsidP="00EE0364">
            <w:pPr>
              <w:pStyle w:val="ListParagraph"/>
              <w:spacing w:after="0"/>
              <w:ind w:left="0"/>
              <w:jc w:val="both"/>
              <w:rPr>
                <w:rFonts w:ascii="Times New Roman" w:hAnsi="Times New Roman"/>
                <w:sz w:val="24"/>
                <w:szCs w:val="24"/>
              </w:rPr>
            </w:pPr>
            <w:r w:rsidRPr="00347817">
              <w:rPr>
                <w:rFonts w:ascii="Times New Roman" w:hAnsi="Times New Roman"/>
                <w:sz w:val="24"/>
                <w:szCs w:val="24"/>
              </w:rPr>
              <w:t>Noteikumu projekta 10.</w:t>
            </w:r>
            <w:r w:rsidR="00EF5116" w:rsidRPr="00347817">
              <w:rPr>
                <w:rFonts w:ascii="Times New Roman" w:hAnsi="Times New Roman"/>
                <w:sz w:val="24"/>
                <w:szCs w:val="24"/>
              </w:rPr>
              <w:t> </w:t>
            </w:r>
            <w:r w:rsidRPr="00347817">
              <w:rPr>
                <w:rFonts w:ascii="Times New Roman" w:hAnsi="Times New Roman"/>
                <w:sz w:val="24"/>
                <w:szCs w:val="24"/>
              </w:rPr>
              <w:t xml:space="preserve">punkts, </w:t>
            </w:r>
            <w:r w:rsidR="00EE0364" w:rsidRPr="00347817">
              <w:rPr>
                <w:rFonts w:ascii="Times New Roman" w:hAnsi="Times New Roman"/>
                <w:sz w:val="24"/>
                <w:szCs w:val="24"/>
              </w:rPr>
              <w:t>20</w:t>
            </w:r>
            <w:r w:rsidRPr="00347817">
              <w:rPr>
                <w:rFonts w:ascii="Times New Roman" w:hAnsi="Times New Roman"/>
                <w:sz w:val="24"/>
                <w:szCs w:val="24"/>
              </w:rPr>
              <w:t xml:space="preserve">.2., </w:t>
            </w:r>
            <w:r w:rsidR="00EE0364" w:rsidRPr="00347817">
              <w:rPr>
                <w:rFonts w:ascii="Times New Roman" w:hAnsi="Times New Roman"/>
                <w:sz w:val="24"/>
                <w:szCs w:val="24"/>
              </w:rPr>
              <w:t>20</w:t>
            </w:r>
            <w:r w:rsidRPr="00347817">
              <w:rPr>
                <w:rFonts w:ascii="Times New Roman" w:hAnsi="Times New Roman"/>
                <w:sz w:val="24"/>
                <w:szCs w:val="24"/>
              </w:rPr>
              <w:t>.3. un 2</w:t>
            </w:r>
            <w:r w:rsidR="00EE0364" w:rsidRPr="00347817">
              <w:rPr>
                <w:rFonts w:ascii="Times New Roman" w:hAnsi="Times New Roman"/>
                <w:sz w:val="24"/>
                <w:szCs w:val="24"/>
              </w:rPr>
              <w:t>4</w:t>
            </w:r>
            <w:r w:rsidRPr="00347817">
              <w:rPr>
                <w:rFonts w:ascii="Times New Roman" w:hAnsi="Times New Roman"/>
                <w:sz w:val="24"/>
                <w:szCs w:val="24"/>
              </w:rPr>
              <w:t>.</w:t>
            </w:r>
            <w:r w:rsidR="00EE0364" w:rsidRPr="00347817">
              <w:rPr>
                <w:rFonts w:ascii="Times New Roman" w:hAnsi="Times New Roman"/>
                <w:sz w:val="24"/>
                <w:szCs w:val="24"/>
              </w:rPr>
              <w:t>4</w:t>
            </w:r>
            <w:r w:rsidRPr="00347817">
              <w:rPr>
                <w:rFonts w:ascii="Times New Roman" w:hAnsi="Times New Roman"/>
                <w:sz w:val="24"/>
                <w:szCs w:val="24"/>
              </w:rPr>
              <w:t>.</w:t>
            </w:r>
            <w:r w:rsidR="00EF5116" w:rsidRPr="00347817">
              <w:rPr>
                <w:rFonts w:ascii="Times New Roman" w:hAnsi="Times New Roman"/>
                <w:sz w:val="24"/>
                <w:szCs w:val="24"/>
              </w:rPr>
              <w:t> </w:t>
            </w:r>
            <w:r w:rsidRPr="00347817">
              <w:rPr>
                <w:rFonts w:ascii="Times New Roman" w:hAnsi="Times New Roman"/>
                <w:sz w:val="24"/>
                <w:szCs w:val="24"/>
              </w:rPr>
              <w:t>apakšpunkts</w:t>
            </w:r>
            <w:r w:rsidR="00EE0364" w:rsidRPr="00347817">
              <w:rPr>
                <w:rFonts w:ascii="Times New Roman" w:hAnsi="Times New Roman"/>
                <w:sz w:val="24"/>
                <w:szCs w:val="24"/>
              </w:rPr>
              <w:t xml:space="preserve"> palielina administratīvo slogu NVA</w:t>
            </w:r>
            <w:r w:rsidRPr="00347817">
              <w:rPr>
                <w:rFonts w:ascii="Times New Roman" w:hAnsi="Times New Roman"/>
                <w:sz w:val="24"/>
                <w:szCs w:val="24"/>
              </w:rPr>
              <w:t>, vadošajai iestādei un finansējuma saņēmējam saistībā ar pienākumu uzskaitīt</w:t>
            </w:r>
            <w:r w:rsidR="00741939" w:rsidRPr="00347817">
              <w:rPr>
                <w:rFonts w:ascii="Times New Roman" w:hAnsi="Times New Roman"/>
                <w:sz w:val="24"/>
                <w:szCs w:val="24"/>
              </w:rPr>
              <w:t xml:space="preserve"> un ziņot par</w:t>
            </w:r>
            <w:r w:rsidRPr="00347817">
              <w:rPr>
                <w:rFonts w:ascii="Times New Roman" w:hAnsi="Times New Roman"/>
                <w:sz w:val="24"/>
                <w:szCs w:val="24"/>
              </w:rPr>
              <w:t xml:space="preserve"> kolektīvās atlaišanas gad</w:t>
            </w:r>
            <w:r w:rsidR="00741939" w:rsidRPr="00347817">
              <w:rPr>
                <w:rFonts w:ascii="Times New Roman" w:hAnsi="Times New Roman"/>
                <w:sz w:val="24"/>
                <w:szCs w:val="24"/>
              </w:rPr>
              <w:t xml:space="preserve">ījumiem, sagatavot un iesniegt Eiropas Komisijā noslēguma ziņojumu, sniegt sabiedrībai informāciju un nodrošināt to jautājumu publicitāti, kas saistīti ar fonda līdzfinansēto pasākumu īstenošanu, kā arī iesniegt vadošajā iestādē pārskatu par fonda līdzfinansēto pasākumu īstenošanas gaitu un pārskatu par finansējuma izlietojumu, t.sk. priekšfinansējumu, nacionālo līdzfinansējumu un fonda finansējumu. </w:t>
            </w:r>
          </w:p>
          <w:p w:rsidR="00126924" w:rsidRPr="00347817" w:rsidRDefault="00126924" w:rsidP="00EE0364">
            <w:pPr>
              <w:pStyle w:val="ListParagraph"/>
              <w:spacing w:after="0"/>
              <w:ind w:left="0"/>
              <w:jc w:val="both"/>
              <w:rPr>
                <w:rFonts w:ascii="Times New Roman" w:hAnsi="Times New Roman"/>
                <w:sz w:val="24"/>
                <w:szCs w:val="24"/>
              </w:rPr>
            </w:pPr>
          </w:p>
          <w:p w:rsidR="00126924" w:rsidRPr="00347817" w:rsidRDefault="00126924" w:rsidP="00EE0364">
            <w:pPr>
              <w:pStyle w:val="ListParagraph"/>
              <w:spacing w:after="0"/>
              <w:ind w:left="0"/>
              <w:jc w:val="both"/>
              <w:rPr>
                <w:rFonts w:ascii="Times New Roman" w:hAnsi="Times New Roman"/>
                <w:color w:val="000000"/>
                <w:sz w:val="24"/>
                <w:szCs w:val="24"/>
              </w:rPr>
            </w:pPr>
            <w:r w:rsidRPr="00347817">
              <w:rPr>
                <w:rFonts w:ascii="Times New Roman" w:hAnsi="Times New Roman"/>
                <w:sz w:val="24"/>
                <w:szCs w:val="24"/>
              </w:rPr>
              <w:t>Noteikumu projekta 26.2, 26.3. un 26.4.</w:t>
            </w:r>
            <w:r w:rsidR="00EF5116" w:rsidRPr="00347817">
              <w:rPr>
                <w:rFonts w:ascii="Times New Roman" w:hAnsi="Times New Roman"/>
                <w:sz w:val="24"/>
                <w:szCs w:val="24"/>
              </w:rPr>
              <w:t> </w:t>
            </w:r>
            <w:r w:rsidRPr="00347817">
              <w:rPr>
                <w:rFonts w:ascii="Times New Roman" w:hAnsi="Times New Roman"/>
                <w:sz w:val="24"/>
                <w:szCs w:val="24"/>
              </w:rPr>
              <w:t xml:space="preserve">apakšpunkts palielina administratīvo slogu revīzijas iestādei saistībā ar pienākumu </w:t>
            </w:r>
            <w:r w:rsidRPr="00347817">
              <w:rPr>
                <w:rFonts w:ascii="Times New Roman" w:hAnsi="Times New Roman"/>
                <w:color w:val="000000"/>
                <w:sz w:val="24"/>
                <w:szCs w:val="24"/>
              </w:rPr>
              <w:t>veikt vadošās iestādes un sertifikācijas iestādes sākotnējo atbilstības novērtējumu</w:t>
            </w:r>
            <w:r w:rsidR="00EF5116" w:rsidRPr="00347817">
              <w:rPr>
                <w:rFonts w:ascii="Times New Roman" w:hAnsi="Times New Roman"/>
                <w:color w:val="000000"/>
                <w:sz w:val="24"/>
                <w:szCs w:val="24"/>
              </w:rPr>
              <w:t xml:space="preserve"> atbilstoši Padomes regulas Nr. </w:t>
            </w:r>
            <w:r w:rsidRPr="00347817">
              <w:rPr>
                <w:rFonts w:ascii="Times New Roman" w:hAnsi="Times New Roman"/>
                <w:color w:val="000000"/>
                <w:sz w:val="24"/>
                <w:szCs w:val="24"/>
              </w:rPr>
              <w:t>1303/2016 124.</w:t>
            </w:r>
            <w:r w:rsidR="00EF5116" w:rsidRPr="00347817">
              <w:rPr>
                <w:rFonts w:ascii="Times New Roman" w:hAnsi="Times New Roman"/>
                <w:color w:val="000000"/>
                <w:sz w:val="24"/>
                <w:szCs w:val="24"/>
              </w:rPr>
              <w:t> </w:t>
            </w:r>
            <w:r w:rsidRPr="00347817">
              <w:rPr>
                <w:rFonts w:ascii="Times New Roman" w:hAnsi="Times New Roman"/>
                <w:color w:val="000000"/>
                <w:sz w:val="24"/>
                <w:szCs w:val="24"/>
              </w:rPr>
              <w:t>panta 2.</w:t>
            </w:r>
            <w:r w:rsidR="00EF5116" w:rsidRPr="00347817">
              <w:rPr>
                <w:rFonts w:ascii="Times New Roman" w:hAnsi="Times New Roman"/>
                <w:color w:val="000000"/>
                <w:sz w:val="24"/>
                <w:szCs w:val="24"/>
              </w:rPr>
              <w:t> punktam un XIII </w:t>
            </w:r>
            <w:r w:rsidRPr="00347817">
              <w:rPr>
                <w:rFonts w:ascii="Times New Roman" w:hAnsi="Times New Roman"/>
                <w:color w:val="000000"/>
                <w:sz w:val="24"/>
                <w:szCs w:val="24"/>
              </w:rPr>
              <w:t xml:space="preserve">pielikumā iekļautajiem kritērijiem un iesniegt labklājības ministram vadošās iestādes un sertifikācijas iestādes sākotnējo atbilstības novērtējuma ziņojumu un atzinumu, kā arī </w:t>
            </w:r>
            <w:r w:rsidR="00475E03" w:rsidRPr="00347817">
              <w:rPr>
                <w:rFonts w:ascii="Times New Roman" w:hAnsi="Times New Roman"/>
                <w:color w:val="000000"/>
                <w:sz w:val="24"/>
                <w:szCs w:val="24"/>
              </w:rPr>
              <w:t>pienākumu veikt Finanšu regulas 59.</w:t>
            </w:r>
            <w:r w:rsidR="00EF5116" w:rsidRPr="00347817">
              <w:rPr>
                <w:rFonts w:ascii="Times New Roman" w:hAnsi="Times New Roman"/>
                <w:color w:val="000000"/>
                <w:sz w:val="24"/>
                <w:szCs w:val="24"/>
              </w:rPr>
              <w:t> </w:t>
            </w:r>
            <w:r w:rsidR="00475E03" w:rsidRPr="00347817">
              <w:rPr>
                <w:rFonts w:ascii="Times New Roman" w:hAnsi="Times New Roman"/>
                <w:color w:val="000000"/>
                <w:sz w:val="24"/>
                <w:szCs w:val="24"/>
              </w:rPr>
              <w:t>panta 5.</w:t>
            </w:r>
            <w:r w:rsidR="00EF5116" w:rsidRPr="00347817">
              <w:rPr>
                <w:rFonts w:ascii="Times New Roman" w:hAnsi="Times New Roman"/>
                <w:color w:val="000000"/>
                <w:sz w:val="24"/>
                <w:szCs w:val="24"/>
              </w:rPr>
              <w:t> punkta a) un b) </w:t>
            </w:r>
            <w:r w:rsidR="00475E03" w:rsidRPr="00347817">
              <w:rPr>
                <w:rFonts w:ascii="Times New Roman" w:hAnsi="Times New Roman"/>
                <w:color w:val="000000"/>
                <w:sz w:val="24"/>
                <w:szCs w:val="24"/>
              </w:rPr>
              <w:t>apakšpunktā noteikto pārskatu revīziju.</w:t>
            </w:r>
          </w:p>
          <w:p w:rsidR="00475E03" w:rsidRPr="00347817" w:rsidRDefault="00475E03" w:rsidP="00EE0364">
            <w:pPr>
              <w:pStyle w:val="ListParagraph"/>
              <w:spacing w:after="0"/>
              <w:ind w:left="0"/>
              <w:jc w:val="both"/>
              <w:rPr>
                <w:rFonts w:ascii="Times New Roman" w:hAnsi="Times New Roman"/>
                <w:color w:val="000000"/>
                <w:sz w:val="24"/>
                <w:szCs w:val="24"/>
              </w:rPr>
            </w:pPr>
          </w:p>
          <w:p w:rsidR="00126924" w:rsidRPr="00347817" w:rsidRDefault="00475E03" w:rsidP="00EE0364">
            <w:pPr>
              <w:pStyle w:val="ListParagraph"/>
              <w:spacing w:after="0"/>
              <w:ind w:left="0"/>
              <w:jc w:val="both"/>
              <w:rPr>
                <w:rFonts w:ascii="Times New Roman" w:hAnsi="Times New Roman"/>
                <w:sz w:val="24"/>
                <w:szCs w:val="24"/>
              </w:rPr>
            </w:pPr>
            <w:r w:rsidRPr="00347817">
              <w:rPr>
                <w:rFonts w:ascii="Times New Roman" w:hAnsi="Times New Roman"/>
                <w:sz w:val="24"/>
                <w:szCs w:val="24"/>
              </w:rPr>
              <w:t>Noteikumu projekta 28.2., 28.3., 28.4., 28.5., 28.6., 28.7.</w:t>
            </w:r>
            <w:r w:rsidR="00EF5116" w:rsidRPr="00347817">
              <w:rPr>
                <w:rFonts w:ascii="Times New Roman" w:hAnsi="Times New Roman"/>
                <w:sz w:val="24"/>
                <w:szCs w:val="24"/>
              </w:rPr>
              <w:t> </w:t>
            </w:r>
            <w:r w:rsidRPr="00347817">
              <w:rPr>
                <w:rFonts w:ascii="Times New Roman" w:hAnsi="Times New Roman"/>
                <w:sz w:val="24"/>
                <w:szCs w:val="24"/>
              </w:rPr>
              <w:t>apakšpunkts palielina administratīvo slogu sertifikācijas iestādei</w:t>
            </w:r>
            <w:r w:rsidR="004B4B1A" w:rsidRPr="00347817">
              <w:rPr>
                <w:rFonts w:ascii="Times New Roman" w:hAnsi="Times New Roman"/>
                <w:sz w:val="24"/>
                <w:szCs w:val="24"/>
              </w:rPr>
              <w:t xml:space="preserve"> saistībā ar pienākumu </w:t>
            </w:r>
            <w:r w:rsidR="004B4B1A" w:rsidRPr="00347817">
              <w:rPr>
                <w:rFonts w:ascii="Times New Roman" w:hAnsi="Times New Roman"/>
                <w:color w:val="000000"/>
                <w:sz w:val="24"/>
                <w:szCs w:val="24"/>
              </w:rPr>
              <w:t xml:space="preserve">veikt </w:t>
            </w:r>
            <w:r w:rsidR="004B4B1A" w:rsidRPr="00347817">
              <w:rPr>
                <w:rFonts w:ascii="Times New Roman" w:hAnsi="Times New Roman"/>
                <w:sz w:val="24"/>
                <w:szCs w:val="24"/>
                <w:shd w:val="clear" w:color="auto" w:fill="FFFFFF"/>
              </w:rPr>
              <w:t xml:space="preserve">izdevumus sertificēt un apliecināt, ka izdevumi ir pārbaudīti un tie ir atbilstoši piemērojamiem tiesību aktiem, sagatavojot maksājuma pieteikumu iesniegšanai Eiropas Komisijā, </w:t>
            </w:r>
            <w:r w:rsidR="004B4B1A" w:rsidRPr="00347817">
              <w:rPr>
                <w:rFonts w:ascii="Times New Roman" w:hAnsi="Times New Roman"/>
                <w:sz w:val="24"/>
                <w:szCs w:val="24"/>
              </w:rPr>
              <w:t xml:space="preserve">elektroniski </w:t>
            </w:r>
            <w:r w:rsidR="004B4B1A" w:rsidRPr="00347817">
              <w:rPr>
                <w:rFonts w:ascii="Times New Roman" w:hAnsi="Times New Roman"/>
                <w:sz w:val="24"/>
                <w:szCs w:val="24"/>
                <w:shd w:val="clear" w:color="auto" w:fill="FFFFFF"/>
              </w:rPr>
              <w:t>iesniegt Eiropas Komisijai maksājuma pieteikumu, kā arī sagatavot Eiropas Komisijā Finanšu regulas 59.</w:t>
            </w:r>
            <w:r w:rsidR="00EF5116" w:rsidRPr="00347817">
              <w:rPr>
                <w:rFonts w:ascii="Times New Roman" w:hAnsi="Times New Roman"/>
                <w:sz w:val="24"/>
                <w:szCs w:val="24"/>
                <w:shd w:val="clear" w:color="auto" w:fill="FFFFFF"/>
              </w:rPr>
              <w:t> </w:t>
            </w:r>
            <w:r w:rsidR="004B4B1A" w:rsidRPr="00347817">
              <w:rPr>
                <w:rFonts w:ascii="Times New Roman" w:hAnsi="Times New Roman"/>
                <w:sz w:val="24"/>
                <w:szCs w:val="24"/>
                <w:shd w:val="clear" w:color="auto" w:fill="FFFFFF"/>
              </w:rPr>
              <w:t>panta 5.</w:t>
            </w:r>
            <w:r w:rsidR="00EF5116" w:rsidRPr="00347817">
              <w:rPr>
                <w:rFonts w:ascii="Times New Roman" w:hAnsi="Times New Roman"/>
                <w:sz w:val="24"/>
                <w:szCs w:val="24"/>
                <w:shd w:val="clear" w:color="auto" w:fill="FFFFFF"/>
              </w:rPr>
              <w:t> punkta pirmās daļas a) </w:t>
            </w:r>
            <w:r w:rsidR="004B4B1A" w:rsidRPr="00347817">
              <w:rPr>
                <w:rFonts w:ascii="Times New Roman" w:hAnsi="Times New Roman"/>
                <w:sz w:val="24"/>
                <w:szCs w:val="24"/>
                <w:shd w:val="clear" w:color="auto" w:fill="FFFFFF"/>
              </w:rPr>
              <w:t xml:space="preserve">apakšpunktā minētos pārskatus, vest uzskaiti par atgūstamajām summām </w:t>
            </w:r>
            <w:r w:rsidR="004B4B1A" w:rsidRPr="00347817">
              <w:rPr>
                <w:rFonts w:ascii="Times New Roman" w:hAnsi="Times New Roman"/>
                <w:sz w:val="24"/>
                <w:szCs w:val="24"/>
                <w:shd w:val="clear" w:color="auto" w:fill="FFFFFF"/>
              </w:rPr>
              <w:lastRenderedPageBreak/>
              <w:t>un summām, kas atsauktas pēc visa piešķirtā ieguldījuma vai tā daļas atcelšanas un veikt fonda atbalsta ieviešanas pārbaudes, kas nepieciešamas Eiropas Komisijai iesniedzamo pārskatu apstiprināšanai.</w:t>
            </w:r>
          </w:p>
          <w:p w:rsidR="00126924" w:rsidRPr="00347817" w:rsidRDefault="00126924" w:rsidP="00EE0364">
            <w:pPr>
              <w:pStyle w:val="ListParagraph"/>
              <w:spacing w:after="0"/>
              <w:ind w:left="0"/>
              <w:jc w:val="both"/>
              <w:rPr>
                <w:rFonts w:ascii="Times New Roman" w:hAnsi="Times New Roman"/>
                <w:sz w:val="24"/>
                <w:szCs w:val="24"/>
              </w:rPr>
            </w:pPr>
          </w:p>
          <w:p w:rsidR="00573664" w:rsidRPr="00347817" w:rsidRDefault="00BF2347" w:rsidP="00EE0364">
            <w:pPr>
              <w:pStyle w:val="ListParagraph"/>
              <w:spacing w:after="0"/>
              <w:ind w:left="0"/>
              <w:jc w:val="both"/>
              <w:rPr>
                <w:rFonts w:ascii="Times New Roman" w:hAnsi="Times New Roman"/>
                <w:sz w:val="24"/>
                <w:szCs w:val="24"/>
              </w:rPr>
            </w:pPr>
            <w:r w:rsidRPr="00347817">
              <w:rPr>
                <w:rFonts w:ascii="Times New Roman" w:hAnsi="Times New Roman"/>
                <w:sz w:val="24"/>
                <w:szCs w:val="24"/>
              </w:rPr>
              <w:t>Attiecībā uz citām sabiedrības grupām un institūcijām Noteikumu projekta tiesiskais regulējums nemaina tiesības un pienākumus, kā arī veicamās darbības.</w:t>
            </w:r>
          </w:p>
        </w:tc>
      </w:tr>
      <w:tr w:rsidR="00081E5D" w:rsidRPr="0034781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rsidR="00470BB7" w:rsidRPr="00347817" w:rsidRDefault="00470BB7" w:rsidP="00470BB7">
            <w:pPr>
              <w:jc w:val="both"/>
            </w:pPr>
            <w:r w:rsidRPr="00347817">
              <w:t>1. Vidējais administratīvā sloga palielinājums, kas saistīts ar Aģentūras pienākumu uzskaitīt Padomes regulas Nr. 1309/2013 4.</w:t>
            </w:r>
            <w:r w:rsidR="00EF5116" w:rsidRPr="00347817">
              <w:t> </w:t>
            </w:r>
            <w:r w:rsidRPr="00347817">
              <w:t>pantā minētos atlaišanas gadījumus atbilstoši Padomes regulas Nr.</w:t>
            </w:r>
            <w:r w:rsidR="00DE2683" w:rsidRPr="00347817">
              <w:t> </w:t>
            </w:r>
            <w:r w:rsidRPr="00347817">
              <w:t>1309/2016 5.</w:t>
            </w:r>
            <w:r w:rsidR="00DE2683" w:rsidRPr="00347817">
              <w:t> </w:t>
            </w:r>
            <w:r w:rsidRPr="00347817">
              <w:t>panta 2.</w:t>
            </w:r>
            <w:r w:rsidR="00DE2683" w:rsidRPr="00347817">
              <w:t> </w:t>
            </w:r>
            <w:r w:rsidRPr="00347817">
              <w:t>punktā noteiktajam, pamatojoties uz Eiropas Komisijas, Labklājības ministrijas kā nozares ministrijas informācijas pieprasījumu vai kad aģentūras rīcībā ir informācija par kolektīvās atlaišanas gadījumiem konkrētā nozarē ir šāds:</w:t>
            </w:r>
          </w:p>
          <w:p w:rsidR="00470BB7" w:rsidRPr="00347817" w:rsidRDefault="00470BB7" w:rsidP="00B92D2C">
            <w:pPr>
              <w:pStyle w:val="ListParagraph"/>
              <w:ind w:left="0"/>
              <w:jc w:val="both"/>
              <w:rPr>
                <w:rFonts w:ascii="Times New Roman" w:hAnsi="Times New Roman"/>
                <w:sz w:val="24"/>
                <w:szCs w:val="24"/>
              </w:rPr>
            </w:pPr>
          </w:p>
          <w:p w:rsidR="00B92D2C" w:rsidRPr="00347817" w:rsidRDefault="00B92D2C" w:rsidP="00B92D2C">
            <w:pPr>
              <w:pStyle w:val="ListParagraph"/>
              <w:ind w:left="0"/>
              <w:jc w:val="both"/>
              <w:rPr>
                <w:rFonts w:ascii="Times New Roman" w:hAnsi="Times New Roman"/>
                <w:sz w:val="24"/>
                <w:szCs w:val="24"/>
              </w:rPr>
            </w:pPr>
            <w:r w:rsidRPr="00347817">
              <w:rPr>
                <w:rFonts w:ascii="Times New Roman" w:hAnsi="Times New Roman"/>
                <w:sz w:val="24"/>
                <w:szCs w:val="24"/>
              </w:rPr>
              <w:t xml:space="preserve">(500 x 45/60) x 8, 83 x 1 = </w:t>
            </w:r>
            <w:r w:rsidRPr="00347817">
              <w:rPr>
                <w:rFonts w:ascii="Times New Roman" w:hAnsi="Times New Roman"/>
                <w:b/>
                <w:sz w:val="24"/>
                <w:szCs w:val="24"/>
              </w:rPr>
              <w:t>3311,</w:t>
            </w:r>
            <w:r w:rsidR="00DE2683" w:rsidRPr="00347817">
              <w:rPr>
                <w:rFonts w:ascii="Times New Roman" w:hAnsi="Times New Roman"/>
                <w:b/>
                <w:sz w:val="24"/>
                <w:szCs w:val="24"/>
              </w:rPr>
              <w:t> 25 </w:t>
            </w:r>
            <w:proofErr w:type="spellStart"/>
            <w:r w:rsidRPr="00347817">
              <w:rPr>
                <w:rFonts w:ascii="Times New Roman" w:hAnsi="Times New Roman"/>
                <w:b/>
                <w:sz w:val="24"/>
                <w:szCs w:val="24"/>
              </w:rPr>
              <w:t>eur</w:t>
            </w:r>
            <w:proofErr w:type="spellEnd"/>
          </w:p>
          <w:p w:rsidR="00EC7D4F" w:rsidRPr="00347817" w:rsidRDefault="00EC7D4F" w:rsidP="00803111">
            <w:pPr>
              <w:pStyle w:val="ListParagraph"/>
              <w:ind w:left="0"/>
              <w:jc w:val="both"/>
              <w:rPr>
                <w:rFonts w:ascii="Times New Roman" w:hAnsi="Times New Roman"/>
                <w:sz w:val="24"/>
                <w:szCs w:val="24"/>
              </w:rPr>
            </w:pPr>
          </w:p>
          <w:p w:rsidR="00C02B67" w:rsidRPr="00347817" w:rsidRDefault="00C02B67" w:rsidP="00803111">
            <w:pPr>
              <w:pStyle w:val="ListParagraph"/>
              <w:ind w:left="0"/>
              <w:jc w:val="both"/>
              <w:rPr>
                <w:rFonts w:ascii="Times New Roman" w:hAnsi="Times New Roman"/>
                <w:sz w:val="24"/>
                <w:szCs w:val="24"/>
              </w:rPr>
            </w:pPr>
            <w:r w:rsidRPr="00347817">
              <w:rPr>
                <w:rFonts w:ascii="Times New Roman" w:hAnsi="Times New Roman"/>
                <w:sz w:val="24"/>
                <w:szCs w:val="24"/>
              </w:rPr>
              <w:t>500 - subjektu skaits, uz ko attiecas projektā paredzētās informācijas sniegšanas prasības;</w:t>
            </w:r>
          </w:p>
          <w:p w:rsidR="003B4FBA" w:rsidRPr="00347817" w:rsidRDefault="00DE2683" w:rsidP="00803111">
            <w:pPr>
              <w:pStyle w:val="ListParagraph"/>
              <w:ind w:left="0"/>
              <w:jc w:val="both"/>
              <w:rPr>
                <w:rFonts w:ascii="Times New Roman" w:hAnsi="Times New Roman"/>
                <w:sz w:val="24"/>
                <w:szCs w:val="24"/>
              </w:rPr>
            </w:pPr>
            <w:r w:rsidRPr="00347817">
              <w:rPr>
                <w:rFonts w:ascii="Times New Roman" w:hAnsi="Times New Roman"/>
                <w:sz w:val="24"/>
                <w:szCs w:val="24"/>
              </w:rPr>
              <w:t>45 min jeb 0, </w:t>
            </w:r>
            <w:r w:rsidR="003B4FBA" w:rsidRPr="00347817">
              <w:rPr>
                <w:rFonts w:ascii="Times New Roman" w:hAnsi="Times New Roman"/>
                <w:sz w:val="24"/>
                <w:szCs w:val="24"/>
              </w:rPr>
              <w:t>75h – Aģentūrai nepieciešamais laiks, lai uzskaitītu Padomes regulas Nr. 1309/2013 4.</w:t>
            </w:r>
            <w:r w:rsidRPr="00347817">
              <w:rPr>
                <w:rFonts w:ascii="Times New Roman" w:hAnsi="Times New Roman"/>
                <w:sz w:val="24"/>
                <w:szCs w:val="24"/>
              </w:rPr>
              <w:t> </w:t>
            </w:r>
            <w:r w:rsidR="003B4FBA" w:rsidRPr="00347817">
              <w:rPr>
                <w:rFonts w:ascii="Times New Roman" w:hAnsi="Times New Roman"/>
                <w:sz w:val="24"/>
                <w:szCs w:val="24"/>
              </w:rPr>
              <w:t>pantā minētos atlaišanas gadījumus;</w:t>
            </w:r>
          </w:p>
          <w:p w:rsidR="00EC7D4F" w:rsidRPr="00347817" w:rsidRDefault="003B4FBA" w:rsidP="00EC7D4F">
            <w:pPr>
              <w:pStyle w:val="ListParagraph"/>
              <w:ind w:left="0"/>
              <w:jc w:val="both"/>
              <w:rPr>
                <w:rFonts w:ascii="Times New Roman" w:hAnsi="Times New Roman"/>
                <w:sz w:val="24"/>
                <w:szCs w:val="24"/>
              </w:rPr>
            </w:pPr>
            <w:r w:rsidRPr="00347817">
              <w:rPr>
                <w:rFonts w:ascii="Times New Roman" w:hAnsi="Times New Roman"/>
                <w:sz w:val="24"/>
                <w:szCs w:val="24"/>
              </w:rPr>
              <w:t xml:space="preserve">8,83 </w:t>
            </w:r>
            <w:r w:rsidR="00EC7D4F" w:rsidRPr="00347817">
              <w:rPr>
                <w:rFonts w:ascii="Times New Roman" w:hAnsi="Times New Roman"/>
                <w:sz w:val="24"/>
                <w:szCs w:val="24"/>
              </w:rPr>
              <w:t>–</w:t>
            </w:r>
            <w:r w:rsidRPr="00347817">
              <w:rPr>
                <w:rFonts w:ascii="Times New Roman" w:hAnsi="Times New Roman"/>
                <w:sz w:val="24"/>
                <w:szCs w:val="24"/>
              </w:rPr>
              <w:t xml:space="preserve"> </w:t>
            </w:r>
            <w:r w:rsidR="00EC7D4F" w:rsidRPr="00347817">
              <w:rPr>
                <w:rFonts w:ascii="Times New Roman" w:hAnsi="Times New Roman"/>
                <w:sz w:val="24"/>
                <w:szCs w:val="24"/>
              </w:rPr>
              <w:t>stundas tarifa likme valsts sektorā nodarbinātajiem</w:t>
            </w:r>
            <w:r w:rsidR="00F12733" w:rsidRPr="00347817">
              <w:rPr>
                <w:rFonts w:ascii="Times New Roman" w:hAnsi="Times New Roman"/>
                <w:sz w:val="24"/>
                <w:szCs w:val="24"/>
              </w:rPr>
              <w:t xml:space="preserve"> pēc Centrālās statistikas pārvaldes datiem 2016.</w:t>
            </w:r>
            <w:r w:rsidR="00DE2683" w:rsidRPr="00347817">
              <w:rPr>
                <w:rFonts w:ascii="Times New Roman" w:hAnsi="Times New Roman"/>
                <w:sz w:val="24"/>
                <w:szCs w:val="24"/>
              </w:rPr>
              <w:t> </w:t>
            </w:r>
            <w:r w:rsidR="00F12733" w:rsidRPr="00347817">
              <w:rPr>
                <w:rFonts w:ascii="Times New Roman" w:hAnsi="Times New Roman"/>
                <w:sz w:val="24"/>
                <w:szCs w:val="24"/>
              </w:rPr>
              <w:t>gada 1.</w:t>
            </w:r>
            <w:r w:rsidR="00DE2683" w:rsidRPr="00347817">
              <w:rPr>
                <w:rFonts w:ascii="Times New Roman" w:hAnsi="Times New Roman"/>
                <w:sz w:val="24"/>
                <w:szCs w:val="24"/>
              </w:rPr>
              <w:t> </w:t>
            </w:r>
            <w:r w:rsidR="00F12733" w:rsidRPr="00347817">
              <w:rPr>
                <w:rFonts w:ascii="Times New Roman" w:hAnsi="Times New Roman"/>
                <w:sz w:val="24"/>
                <w:szCs w:val="24"/>
              </w:rPr>
              <w:t>ceturksnī</w:t>
            </w:r>
            <w:r w:rsidR="00EC7D4F" w:rsidRPr="00347817">
              <w:rPr>
                <w:rFonts w:ascii="Times New Roman" w:hAnsi="Times New Roman"/>
                <w:sz w:val="24"/>
                <w:szCs w:val="24"/>
              </w:rPr>
              <w:t>;</w:t>
            </w:r>
          </w:p>
          <w:p w:rsidR="00EC7D4F" w:rsidRPr="00347817" w:rsidRDefault="00EC7D4F" w:rsidP="00EC7D4F">
            <w:pPr>
              <w:pStyle w:val="ListParagraph"/>
              <w:ind w:left="0"/>
              <w:jc w:val="both"/>
              <w:rPr>
                <w:rFonts w:ascii="Times New Roman" w:hAnsi="Times New Roman"/>
                <w:sz w:val="24"/>
                <w:szCs w:val="24"/>
              </w:rPr>
            </w:pPr>
            <w:r w:rsidRPr="00347817">
              <w:rPr>
                <w:rFonts w:ascii="Times New Roman" w:hAnsi="Times New Roman"/>
                <w:sz w:val="24"/>
                <w:szCs w:val="24"/>
              </w:rPr>
              <w:t>1 – informācijas sniegšanas biežums gada laikā</w:t>
            </w:r>
            <w:r w:rsidR="0052019A" w:rsidRPr="00347817">
              <w:rPr>
                <w:rFonts w:ascii="Times New Roman" w:hAnsi="Times New Roman"/>
                <w:sz w:val="24"/>
                <w:szCs w:val="24"/>
              </w:rPr>
              <w:t xml:space="preserve"> būs viena reize</w:t>
            </w:r>
            <w:r w:rsidRPr="00347817">
              <w:rPr>
                <w:rFonts w:ascii="Times New Roman" w:hAnsi="Times New Roman"/>
                <w:sz w:val="24"/>
                <w:szCs w:val="24"/>
              </w:rPr>
              <w:t>.</w:t>
            </w:r>
          </w:p>
          <w:p w:rsidR="00B92D2C" w:rsidRPr="00347817" w:rsidRDefault="00B92D2C" w:rsidP="00EC7D4F">
            <w:pPr>
              <w:pStyle w:val="ListParagraph"/>
              <w:ind w:left="0"/>
              <w:jc w:val="both"/>
              <w:rPr>
                <w:rFonts w:ascii="Times New Roman" w:hAnsi="Times New Roman"/>
                <w:sz w:val="24"/>
                <w:szCs w:val="24"/>
              </w:rPr>
            </w:pPr>
          </w:p>
          <w:p w:rsidR="00470BB7" w:rsidRPr="00347817" w:rsidRDefault="00470BB7" w:rsidP="00470BB7">
            <w:pPr>
              <w:jc w:val="both"/>
            </w:pPr>
            <w:r w:rsidRPr="00347817">
              <w:t>2. Vidējais administratīvā sloga palielinājums, kas saistīts ar Aģentūras pienākumu nekavējoties ziņot Labklājības ministrijai par Padomes regulas Nr. 1309/2013 4.</w:t>
            </w:r>
            <w:r w:rsidR="00DE2683" w:rsidRPr="00347817">
              <w:t> </w:t>
            </w:r>
            <w:r w:rsidRPr="00347817">
              <w:t>pantā minētajiem atlaišanas gadījumiem atbilstoši Padomes regulas Nr.</w:t>
            </w:r>
            <w:r w:rsidR="00DE2683" w:rsidRPr="00347817">
              <w:t> </w:t>
            </w:r>
            <w:r w:rsidRPr="00347817">
              <w:t>1309/2016 5.</w:t>
            </w:r>
            <w:r w:rsidR="00DE2683" w:rsidRPr="00347817">
              <w:t> </w:t>
            </w:r>
            <w:r w:rsidRPr="00347817">
              <w:t>panta 2.</w:t>
            </w:r>
            <w:r w:rsidR="00DE2683" w:rsidRPr="00347817">
              <w:t> </w:t>
            </w:r>
            <w:r w:rsidRPr="00347817">
              <w:t>punktā noteiktajam, pamatojoties uz Eiropas Komisijas, Labklājības ministrijas kā nozares ministrijas informācijas pieprasījumu vai kad aģentūras rīcībā ir informācija par kolektīvās atlaišanas gadījumiem konkrētā nozarē ir šāds:</w:t>
            </w:r>
          </w:p>
          <w:p w:rsidR="00470BB7" w:rsidRPr="00347817" w:rsidRDefault="00470BB7" w:rsidP="00EC7D4F">
            <w:pPr>
              <w:pStyle w:val="ListParagraph"/>
              <w:ind w:left="0"/>
              <w:jc w:val="both"/>
              <w:rPr>
                <w:rFonts w:ascii="Times New Roman" w:hAnsi="Times New Roman"/>
                <w:sz w:val="24"/>
                <w:szCs w:val="24"/>
              </w:rPr>
            </w:pPr>
          </w:p>
          <w:p w:rsidR="00B92D2C" w:rsidRPr="00347817" w:rsidRDefault="00B92D2C" w:rsidP="00B92D2C">
            <w:pPr>
              <w:pStyle w:val="ListParagraph"/>
              <w:ind w:left="0"/>
              <w:jc w:val="both"/>
              <w:rPr>
                <w:rFonts w:ascii="Times New Roman" w:hAnsi="Times New Roman"/>
                <w:sz w:val="24"/>
                <w:szCs w:val="24"/>
              </w:rPr>
            </w:pPr>
            <w:r w:rsidRPr="00347817">
              <w:rPr>
                <w:rFonts w:ascii="Times New Roman" w:hAnsi="Times New Roman"/>
                <w:sz w:val="24"/>
                <w:szCs w:val="24"/>
              </w:rPr>
              <w:t xml:space="preserve">(1 x 120/60) x 8,83 x 1 = </w:t>
            </w:r>
            <w:r w:rsidR="00DE2683" w:rsidRPr="00347817">
              <w:rPr>
                <w:rFonts w:ascii="Times New Roman" w:hAnsi="Times New Roman"/>
                <w:b/>
                <w:sz w:val="24"/>
                <w:szCs w:val="24"/>
              </w:rPr>
              <w:t>17, 66 </w:t>
            </w:r>
            <w:proofErr w:type="spellStart"/>
            <w:r w:rsidRPr="00347817">
              <w:rPr>
                <w:rFonts w:ascii="Times New Roman" w:hAnsi="Times New Roman"/>
                <w:b/>
                <w:sz w:val="24"/>
                <w:szCs w:val="24"/>
              </w:rPr>
              <w:t>eur</w:t>
            </w:r>
            <w:proofErr w:type="spellEnd"/>
          </w:p>
          <w:p w:rsidR="00B92D2C" w:rsidRPr="00347817" w:rsidRDefault="00B92D2C" w:rsidP="00EC7D4F">
            <w:pPr>
              <w:pStyle w:val="ListParagraph"/>
              <w:ind w:left="0"/>
              <w:jc w:val="both"/>
              <w:rPr>
                <w:rFonts w:ascii="Times New Roman" w:hAnsi="Times New Roman"/>
                <w:sz w:val="24"/>
                <w:szCs w:val="24"/>
              </w:rPr>
            </w:pPr>
          </w:p>
          <w:p w:rsidR="00B92D2C" w:rsidRPr="00347817" w:rsidRDefault="00B92D2C" w:rsidP="00EC7D4F">
            <w:pPr>
              <w:pStyle w:val="ListParagraph"/>
              <w:ind w:left="0"/>
              <w:jc w:val="both"/>
              <w:rPr>
                <w:rFonts w:ascii="Times New Roman" w:hAnsi="Times New Roman"/>
                <w:sz w:val="24"/>
                <w:szCs w:val="24"/>
              </w:rPr>
            </w:pPr>
            <w:r w:rsidRPr="00347817">
              <w:rPr>
                <w:rFonts w:ascii="Times New Roman" w:hAnsi="Times New Roman"/>
                <w:sz w:val="24"/>
                <w:szCs w:val="24"/>
              </w:rPr>
              <w:t xml:space="preserve">1 - subjektu skaits, uz ko attiecas projektā paredzētās </w:t>
            </w:r>
            <w:r w:rsidRPr="00347817">
              <w:rPr>
                <w:rFonts w:ascii="Times New Roman" w:hAnsi="Times New Roman"/>
                <w:sz w:val="24"/>
                <w:szCs w:val="24"/>
              </w:rPr>
              <w:lastRenderedPageBreak/>
              <w:t>informācijas sniegšanas prasības;</w:t>
            </w:r>
          </w:p>
          <w:p w:rsidR="00B92D2C" w:rsidRPr="00347817" w:rsidRDefault="00DE2683" w:rsidP="00B92D2C">
            <w:pPr>
              <w:pStyle w:val="ListParagraph"/>
              <w:ind w:left="0"/>
              <w:jc w:val="both"/>
              <w:rPr>
                <w:rFonts w:ascii="Times New Roman" w:hAnsi="Times New Roman"/>
                <w:sz w:val="24"/>
                <w:szCs w:val="24"/>
              </w:rPr>
            </w:pPr>
            <w:r w:rsidRPr="00347817">
              <w:rPr>
                <w:rFonts w:ascii="Times New Roman" w:hAnsi="Times New Roman"/>
                <w:sz w:val="24"/>
                <w:szCs w:val="24"/>
              </w:rPr>
              <w:t>120 min jeb 2 </w:t>
            </w:r>
            <w:r w:rsidR="00B92D2C" w:rsidRPr="00347817">
              <w:rPr>
                <w:rFonts w:ascii="Times New Roman" w:hAnsi="Times New Roman"/>
                <w:sz w:val="24"/>
                <w:szCs w:val="24"/>
              </w:rPr>
              <w:t>h – Aģentūrai nepieciešamais laiks paziņojuma nosūtīšanai Labklājības ministrijai, izmantojot</w:t>
            </w:r>
            <w:proofErr w:type="gramStart"/>
            <w:r w:rsidR="00B92D2C" w:rsidRPr="00347817">
              <w:rPr>
                <w:rFonts w:ascii="Times New Roman" w:hAnsi="Times New Roman"/>
                <w:sz w:val="24"/>
                <w:szCs w:val="24"/>
              </w:rPr>
              <w:t xml:space="preserve">  </w:t>
            </w:r>
            <w:proofErr w:type="gramEnd"/>
            <w:r w:rsidR="00B92D2C" w:rsidRPr="00347817">
              <w:rPr>
                <w:rFonts w:ascii="Times New Roman" w:hAnsi="Times New Roman"/>
                <w:sz w:val="24"/>
                <w:szCs w:val="24"/>
              </w:rPr>
              <w:t>e-parakstu;</w:t>
            </w:r>
          </w:p>
          <w:p w:rsidR="00B92D2C" w:rsidRPr="00347817" w:rsidRDefault="00B92D2C" w:rsidP="00B92D2C">
            <w:pPr>
              <w:pStyle w:val="ListParagraph"/>
              <w:ind w:left="0"/>
              <w:jc w:val="both"/>
              <w:rPr>
                <w:rFonts w:ascii="Times New Roman" w:hAnsi="Times New Roman"/>
                <w:sz w:val="24"/>
                <w:szCs w:val="24"/>
              </w:rPr>
            </w:pPr>
            <w:r w:rsidRPr="00347817">
              <w:rPr>
                <w:rFonts w:ascii="Times New Roman" w:hAnsi="Times New Roman"/>
                <w:sz w:val="24"/>
                <w:szCs w:val="24"/>
              </w:rPr>
              <w:t>8,83 – stundas tarifa likme valsts sektorā nodarbinātajiem pēc Centrālās statistikas pārvaldes datiem 2016.gada 1.ceturksnī;</w:t>
            </w:r>
          </w:p>
          <w:p w:rsidR="00B92D2C" w:rsidRPr="00347817" w:rsidRDefault="00B92D2C" w:rsidP="00B92D2C">
            <w:pPr>
              <w:pStyle w:val="ListParagraph"/>
              <w:ind w:left="0"/>
              <w:jc w:val="both"/>
              <w:rPr>
                <w:rFonts w:ascii="Times New Roman" w:hAnsi="Times New Roman"/>
                <w:sz w:val="24"/>
                <w:szCs w:val="24"/>
              </w:rPr>
            </w:pPr>
            <w:r w:rsidRPr="00347817">
              <w:rPr>
                <w:rFonts w:ascii="Times New Roman" w:hAnsi="Times New Roman"/>
                <w:sz w:val="24"/>
                <w:szCs w:val="24"/>
              </w:rPr>
              <w:t>1 – informācijas sniegšanas biežums gada laikā būs viena reize.</w:t>
            </w:r>
          </w:p>
          <w:p w:rsidR="00EC7D4F" w:rsidRPr="00347817" w:rsidRDefault="00EC7D4F" w:rsidP="00EC7D4F">
            <w:pPr>
              <w:pStyle w:val="ListParagraph"/>
              <w:ind w:left="0"/>
              <w:jc w:val="both"/>
              <w:rPr>
                <w:rFonts w:ascii="Times New Roman" w:hAnsi="Times New Roman"/>
                <w:sz w:val="24"/>
                <w:szCs w:val="24"/>
              </w:rPr>
            </w:pPr>
          </w:p>
          <w:p w:rsidR="002F6608" w:rsidRPr="00347817" w:rsidRDefault="00470BB7" w:rsidP="00803111">
            <w:pPr>
              <w:pStyle w:val="ListParagraph"/>
              <w:ind w:left="0"/>
              <w:jc w:val="both"/>
              <w:rPr>
                <w:rFonts w:ascii="Times New Roman" w:hAnsi="Times New Roman"/>
                <w:sz w:val="24"/>
                <w:szCs w:val="24"/>
              </w:rPr>
            </w:pPr>
            <w:r w:rsidRPr="00347817">
              <w:rPr>
                <w:rFonts w:ascii="Times New Roman" w:hAnsi="Times New Roman"/>
                <w:sz w:val="24"/>
                <w:szCs w:val="24"/>
              </w:rPr>
              <w:t>3</w:t>
            </w:r>
            <w:r w:rsidR="00B941C2" w:rsidRPr="00347817">
              <w:rPr>
                <w:rFonts w:ascii="Times New Roman" w:hAnsi="Times New Roman"/>
                <w:sz w:val="24"/>
                <w:szCs w:val="24"/>
              </w:rPr>
              <w:t>. </w:t>
            </w:r>
            <w:r w:rsidR="0052019A" w:rsidRPr="00347817">
              <w:rPr>
                <w:rFonts w:ascii="Times New Roman" w:hAnsi="Times New Roman"/>
                <w:sz w:val="24"/>
                <w:szCs w:val="24"/>
              </w:rPr>
              <w:t xml:space="preserve">Vidējais administratīvā sloga palielinājums, kas saistīts ar vadošās iestādes pienākumu </w:t>
            </w:r>
            <w:r w:rsidR="001835DA" w:rsidRPr="00347817">
              <w:rPr>
                <w:rFonts w:ascii="Times New Roman" w:hAnsi="Times New Roman"/>
                <w:sz w:val="24"/>
                <w:szCs w:val="24"/>
              </w:rPr>
              <w:t>Padomes regulas Nr.</w:t>
            </w:r>
            <w:r w:rsidR="001835DA" w:rsidRPr="00347817">
              <w:rPr>
                <w:rStyle w:val="apple-converted-space"/>
                <w:rFonts w:ascii="Times New Roman" w:hAnsi="Times New Roman"/>
                <w:sz w:val="24"/>
                <w:szCs w:val="24"/>
              </w:rPr>
              <w:t> </w:t>
            </w:r>
            <w:r w:rsidR="001835DA" w:rsidRPr="00347817">
              <w:rPr>
                <w:rFonts w:ascii="Times New Roman" w:hAnsi="Times New Roman"/>
                <w:sz w:val="24"/>
                <w:szCs w:val="24"/>
              </w:rPr>
              <w:t>1309/2013</w:t>
            </w:r>
            <w:r w:rsidR="001835DA" w:rsidRPr="00347817">
              <w:rPr>
                <w:rStyle w:val="apple-converted-space"/>
                <w:rFonts w:ascii="Times New Roman" w:hAnsi="Times New Roman"/>
                <w:sz w:val="24"/>
                <w:szCs w:val="24"/>
              </w:rPr>
              <w:t> </w:t>
            </w:r>
            <w:r w:rsidR="001835DA" w:rsidRPr="00347817">
              <w:rPr>
                <w:rFonts w:ascii="Times New Roman" w:hAnsi="Times New Roman"/>
                <w:sz w:val="24"/>
                <w:szCs w:val="24"/>
              </w:rPr>
              <w:t>18.</w:t>
            </w:r>
            <w:r w:rsidR="00DE2683" w:rsidRPr="00347817">
              <w:rPr>
                <w:rFonts w:ascii="Times New Roman" w:hAnsi="Times New Roman"/>
                <w:sz w:val="24"/>
                <w:szCs w:val="24"/>
              </w:rPr>
              <w:t> </w:t>
            </w:r>
            <w:r w:rsidR="001835DA" w:rsidRPr="00347817">
              <w:rPr>
                <w:rFonts w:ascii="Times New Roman" w:hAnsi="Times New Roman"/>
                <w:sz w:val="24"/>
                <w:szCs w:val="24"/>
              </w:rPr>
              <w:t>panta 1.</w:t>
            </w:r>
            <w:r w:rsidR="00DE2683" w:rsidRPr="00347817">
              <w:rPr>
                <w:rFonts w:ascii="Times New Roman" w:hAnsi="Times New Roman"/>
                <w:sz w:val="24"/>
                <w:szCs w:val="24"/>
              </w:rPr>
              <w:t> </w:t>
            </w:r>
            <w:r w:rsidR="001835DA" w:rsidRPr="00347817">
              <w:rPr>
                <w:rFonts w:ascii="Times New Roman" w:hAnsi="Times New Roman"/>
                <w:sz w:val="24"/>
                <w:szCs w:val="24"/>
              </w:rPr>
              <w:t>punktā noteiktajā termiņā</w:t>
            </w:r>
            <w:r w:rsidR="008A1FE7">
              <w:rPr>
                <w:rFonts w:ascii="Times New Roman" w:hAnsi="Times New Roman"/>
                <w:sz w:val="24"/>
                <w:szCs w:val="24"/>
              </w:rPr>
              <w:t xml:space="preserve"> sagatavot iesniegšanai</w:t>
            </w:r>
            <w:proofErr w:type="gramStart"/>
            <w:r w:rsidR="008A1FE7">
              <w:rPr>
                <w:rFonts w:ascii="Times New Roman" w:hAnsi="Times New Roman"/>
                <w:sz w:val="24"/>
                <w:szCs w:val="24"/>
              </w:rPr>
              <w:t xml:space="preserve"> </w:t>
            </w:r>
            <w:r w:rsidR="001835DA" w:rsidRPr="00347817">
              <w:rPr>
                <w:rFonts w:ascii="Times New Roman" w:hAnsi="Times New Roman"/>
                <w:sz w:val="24"/>
                <w:szCs w:val="24"/>
              </w:rPr>
              <w:t xml:space="preserve"> </w:t>
            </w:r>
            <w:proofErr w:type="gramEnd"/>
            <w:r w:rsidR="001835DA" w:rsidRPr="00347817">
              <w:rPr>
                <w:rFonts w:ascii="Times New Roman" w:hAnsi="Times New Roman"/>
                <w:sz w:val="24"/>
                <w:szCs w:val="24"/>
              </w:rPr>
              <w:t>Eiro</w:t>
            </w:r>
            <w:r w:rsidR="0052019A" w:rsidRPr="00347817">
              <w:rPr>
                <w:rFonts w:ascii="Times New Roman" w:hAnsi="Times New Roman"/>
                <w:sz w:val="24"/>
                <w:szCs w:val="24"/>
              </w:rPr>
              <w:t>pas Komisijā noslēguma ziņojumu, ir šāds:</w:t>
            </w:r>
          </w:p>
          <w:p w:rsidR="0052019A" w:rsidRPr="00347817" w:rsidRDefault="0052019A" w:rsidP="00803111">
            <w:pPr>
              <w:pStyle w:val="ListParagraph"/>
              <w:ind w:left="0"/>
              <w:jc w:val="both"/>
              <w:rPr>
                <w:rFonts w:ascii="Times New Roman" w:hAnsi="Times New Roman"/>
                <w:sz w:val="24"/>
                <w:szCs w:val="24"/>
              </w:rPr>
            </w:pPr>
          </w:p>
          <w:p w:rsidR="0052019A" w:rsidRPr="00347817" w:rsidRDefault="00A51488" w:rsidP="00803111">
            <w:pPr>
              <w:pStyle w:val="ListParagraph"/>
              <w:ind w:left="0"/>
              <w:jc w:val="both"/>
              <w:rPr>
                <w:rFonts w:ascii="Times New Roman" w:hAnsi="Times New Roman"/>
                <w:b/>
                <w:sz w:val="24"/>
                <w:szCs w:val="24"/>
              </w:rPr>
            </w:pPr>
            <w:r w:rsidRPr="00347817">
              <w:rPr>
                <w:rFonts w:ascii="Times New Roman" w:hAnsi="Times New Roman"/>
                <w:sz w:val="24"/>
                <w:szCs w:val="24"/>
              </w:rPr>
              <w:t>(</w:t>
            </w:r>
            <w:r w:rsidR="0052019A" w:rsidRPr="00347817">
              <w:rPr>
                <w:rFonts w:ascii="Times New Roman" w:hAnsi="Times New Roman"/>
                <w:sz w:val="24"/>
                <w:szCs w:val="24"/>
              </w:rPr>
              <w:t>840 x 8,83</w:t>
            </w:r>
            <w:r w:rsidRPr="00347817">
              <w:rPr>
                <w:rFonts w:ascii="Times New Roman" w:hAnsi="Times New Roman"/>
                <w:sz w:val="24"/>
                <w:szCs w:val="24"/>
              </w:rPr>
              <w:t>)</w:t>
            </w:r>
            <w:r w:rsidR="0052019A" w:rsidRPr="00347817">
              <w:rPr>
                <w:rFonts w:ascii="Times New Roman" w:hAnsi="Times New Roman"/>
                <w:sz w:val="24"/>
                <w:szCs w:val="24"/>
              </w:rPr>
              <w:t xml:space="preserve"> </w:t>
            </w:r>
            <w:r w:rsidRPr="00347817">
              <w:rPr>
                <w:rFonts w:ascii="Times New Roman" w:hAnsi="Times New Roman"/>
                <w:sz w:val="24"/>
                <w:szCs w:val="24"/>
              </w:rPr>
              <w:t xml:space="preserve">x (1 x 1) = </w:t>
            </w:r>
            <w:r w:rsidR="00DE2683" w:rsidRPr="00347817">
              <w:rPr>
                <w:rFonts w:ascii="Times New Roman" w:hAnsi="Times New Roman"/>
                <w:b/>
                <w:sz w:val="24"/>
                <w:szCs w:val="24"/>
              </w:rPr>
              <w:t>7417, </w:t>
            </w:r>
            <w:r w:rsidRPr="00347817">
              <w:rPr>
                <w:rFonts w:ascii="Times New Roman" w:hAnsi="Times New Roman"/>
                <w:b/>
                <w:sz w:val="24"/>
                <w:szCs w:val="24"/>
              </w:rPr>
              <w:t>2</w:t>
            </w:r>
            <w:r w:rsidR="00DE2683" w:rsidRPr="00347817">
              <w:rPr>
                <w:rFonts w:ascii="Times New Roman" w:hAnsi="Times New Roman"/>
                <w:b/>
                <w:sz w:val="24"/>
                <w:szCs w:val="24"/>
              </w:rPr>
              <w:t> </w:t>
            </w:r>
            <w:proofErr w:type="spellStart"/>
            <w:r w:rsidRPr="00347817">
              <w:rPr>
                <w:rFonts w:ascii="Times New Roman" w:hAnsi="Times New Roman"/>
                <w:b/>
                <w:sz w:val="24"/>
                <w:szCs w:val="24"/>
              </w:rPr>
              <w:t>eur</w:t>
            </w:r>
            <w:proofErr w:type="spellEnd"/>
          </w:p>
          <w:p w:rsidR="00A51488" w:rsidRPr="00347817" w:rsidRDefault="00A51488" w:rsidP="00803111">
            <w:pPr>
              <w:pStyle w:val="ListParagraph"/>
              <w:ind w:left="0"/>
              <w:jc w:val="both"/>
              <w:rPr>
                <w:rFonts w:ascii="Times New Roman" w:hAnsi="Times New Roman"/>
                <w:b/>
                <w:sz w:val="24"/>
                <w:szCs w:val="24"/>
              </w:rPr>
            </w:pPr>
          </w:p>
          <w:p w:rsidR="002F6608" w:rsidRPr="00347817" w:rsidRDefault="00DE2683" w:rsidP="00803111">
            <w:pPr>
              <w:pStyle w:val="ListParagraph"/>
              <w:ind w:left="0"/>
              <w:jc w:val="both"/>
              <w:rPr>
                <w:rFonts w:ascii="Times New Roman" w:hAnsi="Times New Roman"/>
                <w:sz w:val="24"/>
                <w:szCs w:val="24"/>
              </w:rPr>
            </w:pPr>
            <w:r w:rsidRPr="00347817">
              <w:rPr>
                <w:rFonts w:ascii="Times New Roman" w:hAnsi="Times New Roman"/>
                <w:sz w:val="24"/>
                <w:szCs w:val="24"/>
              </w:rPr>
              <w:t>840 h = (21 </w:t>
            </w:r>
            <w:r w:rsidR="00A51488" w:rsidRPr="00347817">
              <w:rPr>
                <w:rFonts w:ascii="Times New Roman" w:hAnsi="Times New Roman"/>
                <w:sz w:val="24"/>
                <w:szCs w:val="24"/>
              </w:rPr>
              <w:t>darbdiena/mēnesī x 8</w:t>
            </w:r>
            <w:r w:rsidRPr="00347817">
              <w:rPr>
                <w:rFonts w:ascii="Times New Roman" w:hAnsi="Times New Roman"/>
                <w:sz w:val="24"/>
                <w:szCs w:val="24"/>
              </w:rPr>
              <w:t> h/dienā) x 5 </w:t>
            </w:r>
            <w:r w:rsidR="00A51488" w:rsidRPr="00347817">
              <w:rPr>
                <w:rFonts w:ascii="Times New Roman" w:hAnsi="Times New Roman"/>
                <w:sz w:val="24"/>
                <w:szCs w:val="24"/>
              </w:rPr>
              <w:t>mēneši – vadošās iestādes darbiniekam nepieciešamais laiks sagatavot un iesniegt Eiropas Komisijā noslēguma ziņojumu</w:t>
            </w:r>
            <w:r w:rsidRPr="00347817">
              <w:rPr>
                <w:rFonts w:ascii="Times New Roman" w:hAnsi="Times New Roman"/>
                <w:sz w:val="24"/>
                <w:szCs w:val="24"/>
              </w:rPr>
              <w:t xml:space="preserve"> atbilstoši Padomes regulas Nr. </w:t>
            </w:r>
            <w:r w:rsidR="00A51488" w:rsidRPr="00347817">
              <w:rPr>
                <w:rFonts w:ascii="Times New Roman" w:hAnsi="Times New Roman"/>
                <w:sz w:val="24"/>
                <w:szCs w:val="24"/>
              </w:rPr>
              <w:t>1309/2013 18.</w:t>
            </w:r>
            <w:r w:rsidRPr="00347817">
              <w:rPr>
                <w:rFonts w:ascii="Times New Roman" w:hAnsi="Times New Roman"/>
                <w:sz w:val="24"/>
                <w:szCs w:val="24"/>
              </w:rPr>
              <w:t> </w:t>
            </w:r>
            <w:r w:rsidR="00A51488" w:rsidRPr="00347817">
              <w:rPr>
                <w:rFonts w:ascii="Times New Roman" w:hAnsi="Times New Roman"/>
                <w:sz w:val="24"/>
                <w:szCs w:val="24"/>
              </w:rPr>
              <w:t>panta 1.</w:t>
            </w:r>
            <w:r w:rsidRPr="00347817">
              <w:rPr>
                <w:rFonts w:ascii="Times New Roman" w:hAnsi="Times New Roman"/>
                <w:sz w:val="24"/>
                <w:szCs w:val="24"/>
              </w:rPr>
              <w:t> </w:t>
            </w:r>
            <w:r w:rsidR="00A51488" w:rsidRPr="00347817">
              <w:rPr>
                <w:rFonts w:ascii="Times New Roman" w:hAnsi="Times New Roman"/>
                <w:sz w:val="24"/>
                <w:szCs w:val="24"/>
              </w:rPr>
              <w:t xml:space="preserve">punktam noteiktajam termiņam </w:t>
            </w:r>
            <w:r w:rsidRPr="00347817">
              <w:rPr>
                <w:rFonts w:ascii="Times New Roman" w:hAnsi="Times New Roman"/>
                <w:sz w:val="24"/>
                <w:szCs w:val="24"/>
              </w:rPr>
              <w:t>(līdz 6 </w:t>
            </w:r>
            <w:r w:rsidR="00B941C2" w:rsidRPr="00347817">
              <w:rPr>
                <w:rFonts w:ascii="Times New Roman" w:hAnsi="Times New Roman"/>
                <w:sz w:val="24"/>
                <w:szCs w:val="24"/>
              </w:rPr>
              <w:t>mēnešiem);</w:t>
            </w:r>
          </w:p>
          <w:p w:rsidR="00B941C2" w:rsidRPr="00347817" w:rsidRDefault="00B941C2" w:rsidP="00B941C2">
            <w:pPr>
              <w:pStyle w:val="ListParagraph"/>
              <w:ind w:left="0"/>
              <w:jc w:val="both"/>
              <w:rPr>
                <w:rFonts w:ascii="Times New Roman" w:hAnsi="Times New Roman"/>
                <w:sz w:val="24"/>
                <w:szCs w:val="24"/>
              </w:rPr>
            </w:pPr>
            <w:r w:rsidRPr="00347817">
              <w:rPr>
                <w:rFonts w:ascii="Times New Roman" w:hAnsi="Times New Roman"/>
                <w:sz w:val="24"/>
                <w:szCs w:val="24"/>
              </w:rPr>
              <w:t>8,83 – stundas tarifa likme valsts sektorā nodarbinātajiem pēc Centrālās statistikas pārvaldes datiem 2016.</w:t>
            </w:r>
            <w:r w:rsidR="00DE2683" w:rsidRPr="00347817">
              <w:rPr>
                <w:rFonts w:ascii="Times New Roman" w:hAnsi="Times New Roman"/>
                <w:sz w:val="24"/>
                <w:szCs w:val="24"/>
              </w:rPr>
              <w:t> </w:t>
            </w:r>
            <w:r w:rsidRPr="00347817">
              <w:rPr>
                <w:rFonts w:ascii="Times New Roman" w:hAnsi="Times New Roman"/>
                <w:sz w:val="24"/>
                <w:szCs w:val="24"/>
              </w:rPr>
              <w:t>gada 1.</w:t>
            </w:r>
            <w:r w:rsidR="00DE2683" w:rsidRPr="00347817">
              <w:rPr>
                <w:rFonts w:ascii="Times New Roman" w:hAnsi="Times New Roman"/>
                <w:sz w:val="24"/>
                <w:szCs w:val="24"/>
              </w:rPr>
              <w:t> </w:t>
            </w:r>
            <w:r w:rsidRPr="00347817">
              <w:rPr>
                <w:rFonts w:ascii="Times New Roman" w:hAnsi="Times New Roman"/>
                <w:sz w:val="24"/>
                <w:szCs w:val="24"/>
              </w:rPr>
              <w:t>ceturksnī;</w:t>
            </w:r>
          </w:p>
          <w:p w:rsidR="00B941C2" w:rsidRPr="00347817" w:rsidRDefault="00B941C2" w:rsidP="00803111">
            <w:pPr>
              <w:pStyle w:val="ListParagraph"/>
              <w:ind w:left="0"/>
              <w:jc w:val="both"/>
              <w:rPr>
                <w:rFonts w:ascii="Times New Roman" w:hAnsi="Times New Roman"/>
                <w:sz w:val="24"/>
                <w:szCs w:val="24"/>
              </w:rPr>
            </w:pPr>
            <w:r w:rsidRPr="00347817">
              <w:rPr>
                <w:rFonts w:ascii="Times New Roman" w:hAnsi="Times New Roman"/>
                <w:sz w:val="24"/>
                <w:szCs w:val="24"/>
              </w:rPr>
              <w:t>1 – subjektu skaits, uz ko attiecas projektā paredzētās informācijas sniegšanas prasības;</w:t>
            </w:r>
          </w:p>
          <w:p w:rsidR="00B941C2" w:rsidRPr="00347817" w:rsidRDefault="00B941C2" w:rsidP="00B941C2">
            <w:pPr>
              <w:pStyle w:val="ListParagraph"/>
              <w:ind w:left="0"/>
              <w:jc w:val="both"/>
              <w:rPr>
                <w:rFonts w:ascii="Times New Roman" w:hAnsi="Times New Roman"/>
                <w:sz w:val="24"/>
                <w:szCs w:val="24"/>
              </w:rPr>
            </w:pPr>
            <w:r w:rsidRPr="00347817">
              <w:rPr>
                <w:rFonts w:ascii="Times New Roman" w:hAnsi="Times New Roman"/>
                <w:sz w:val="24"/>
                <w:szCs w:val="24"/>
              </w:rPr>
              <w:t>1 – informācijas sniegšanas biežums gada laikā būs viena reize.</w:t>
            </w:r>
          </w:p>
          <w:p w:rsidR="00B941C2" w:rsidRPr="00347817" w:rsidRDefault="00B941C2" w:rsidP="00803111">
            <w:pPr>
              <w:pStyle w:val="ListParagraph"/>
              <w:ind w:left="0"/>
              <w:jc w:val="both"/>
              <w:rPr>
                <w:rFonts w:ascii="Times New Roman" w:hAnsi="Times New Roman"/>
                <w:sz w:val="24"/>
                <w:szCs w:val="24"/>
              </w:rPr>
            </w:pPr>
          </w:p>
          <w:p w:rsidR="00B941C2" w:rsidRPr="00347817" w:rsidRDefault="00470BB7" w:rsidP="00B941C2">
            <w:pPr>
              <w:pStyle w:val="ListParagraph"/>
              <w:ind w:left="0"/>
              <w:jc w:val="both"/>
              <w:rPr>
                <w:rFonts w:ascii="Times New Roman" w:hAnsi="Times New Roman"/>
                <w:sz w:val="24"/>
                <w:szCs w:val="24"/>
              </w:rPr>
            </w:pPr>
            <w:r w:rsidRPr="00347817">
              <w:rPr>
                <w:rFonts w:ascii="Times New Roman" w:hAnsi="Times New Roman"/>
                <w:sz w:val="24"/>
                <w:szCs w:val="24"/>
              </w:rPr>
              <w:t>4</w:t>
            </w:r>
            <w:r w:rsidR="00DE2683" w:rsidRPr="00347817">
              <w:rPr>
                <w:rFonts w:ascii="Times New Roman" w:hAnsi="Times New Roman"/>
                <w:sz w:val="24"/>
                <w:szCs w:val="24"/>
              </w:rPr>
              <w:t>. </w:t>
            </w:r>
            <w:r w:rsidR="00B941C2" w:rsidRPr="00347817">
              <w:rPr>
                <w:rFonts w:ascii="Times New Roman" w:hAnsi="Times New Roman"/>
                <w:sz w:val="24"/>
                <w:szCs w:val="24"/>
              </w:rPr>
              <w:t>Vidējais administratīvā sloga palielinājums, kas saistīts ar vadošās iestādes pienākumu sniegt sabiedrībai informāciju un nodrošināt to jautājumu publicitāti, kas saistīti ar fonda līdzfinansēto pasākumu īstenošanu atbilstoši vadošās iestādes finanšu resursiem no Labklājības ministrijas pamatbudžeta vai</w:t>
            </w:r>
            <w:r w:rsidR="00DE2683" w:rsidRPr="00347817">
              <w:rPr>
                <w:rFonts w:ascii="Times New Roman" w:hAnsi="Times New Roman"/>
                <w:sz w:val="24"/>
                <w:szCs w:val="24"/>
              </w:rPr>
              <w:t xml:space="preserve"> atbilstoši Padomes regulas Nr. </w:t>
            </w:r>
            <w:r w:rsidR="00B941C2" w:rsidRPr="00347817">
              <w:rPr>
                <w:rFonts w:ascii="Times New Roman" w:hAnsi="Times New Roman"/>
                <w:sz w:val="24"/>
                <w:szCs w:val="24"/>
              </w:rPr>
              <w:t>1309/2013 12.</w:t>
            </w:r>
            <w:r w:rsidR="00DE2683" w:rsidRPr="00347817">
              <w:rPr>
                <w:rFonts w:ascii="Times New Roman" w:hAnsi="Times New Roman"/>
                <w:sz w:val="24"/>
                <w:szCs w:val="24"/>
              </w:rPr>
              <w:t> </w:t>
            </w:r>
            <w:r w:rsidR="00B941C2" w:rsidRPr="00347817">
              <w:rPr>
                <w:rFonts w:ascii="Times New Roman" w:hAnsi="Times New Roman"/>
                <w:sz w:val="24"/>
                <w:szCs w:val="24"/>
              </w:rPr>
              <w:t>panta 4.</w:t>
            </w:r>
            <w:r w:rsidR="00DE2683" w:rsidRPr="00347817">
              <w:rPr>
                <w:rFonts w:ascii="Times New Roman" w:hAnsi="Times New Roman"/>
                <w:sz w:val="24"/>
                <w:szCs w:val="24"/>
              </w:rPr>
              <w:t> </w:t>
            </w:r>
            <w:r w:rsidR="00B941C2" w:rsidRPr="00347817">
              <w:rPr>
                <w:rFonts w:ascii="Times New Roman" w:hAnsi="Times New Roman"/>
                <w:sz w:val="24"/>
                <w:szCs w:val="24"/>
              </w:rPr>
              <w:t>punktam, ir šāds:</w:t>
            </w:r>
          </w:p>
          <w:p w:rsidR="00B941C2" w:rsidRPr="00347817" w:rsidRDefault="00B941C2" w:rsidP="00B941C2">
            <w:pPr>
              <w:pStyle w:val="ListParagraph"/>
              <w:ind w:left="0"/>
              <w:jc w:val="both"/>
              <w:rPr>
                <w:rFonts w:ascii="Times New Roman" w:hAnsi="Times New Roman"/>
                <w:sz w:val="24"/>
                <w:szCs w:val="24"/>
              </w:rPr>
            </w:pPr>
          </w:p>
          <w:p w:rsidR="00B941C2" w:rsidRPr="00347817" w:rsidRDefault="00B941C2" w:rsidP="00B941C2">
            <w:pPr>
              <w:pStyle w:val="ListParagraph"/>
              <w:ind w:left="0"/>
              <w:jc w:val="both"/>
              <w:rPr>
                <w:rFonts w:ascii="Times New Roman" w:hAnsi="Times New Roman"/>
                <w:b/>
                <w:sz w:val="24"/>
                <w:szCs w:val="24"/>
              </w:rPr>
            </w:pPr>
            <w:r w:rsidRPr="00347817">
              <w:rPr>
                <w:rFonts w:ascii="Times New Roman" w:hAnsi="Times New Roman"/>
                <w:sz w:val="24"/>
                <w:szCs w:val="24"/>
              </w:rPr>
              <w:t xml:space="preserve">(8 x 8,83) x (1 x 1) = </w:t>
            </w:r>
            <w:r w:rsidR="00DE2683" w:rsidRPr="00347817">
              <w:rPr>
                <w:rFonts w:ascii="Times New Roman" w:hAnsi="Times New Roman"/>
                <w:b/>
                <w:sz w:val="24"/>
                <w:szCs w:val="24"/>
              </w:rPr>
              <w:t>70, 64 </w:t>
            </w:r>
            <w:proofErr w:type="spellStart"/>
            <w:r w:rsidR="00C0668F" w:rsidRPr="00347817">
              <w:rPr>
                <w:rFonts w:ascii="Times New Roman" w:hAnsi="Times New Roman"/>
                <w:b/>
                <w:sz w:val="24"/>
                <w:szCs w:val="24"/>
              </w:rPr>
              <w:t>eur</w:t>
            </w:r>
            <w:proofErr w:type="spellEnd"/>
          </w:p>
          <w:p w:rsidR="00C0668F" w:rsidRPr="00347817" w:rsidRDefault="00C0668F" w:rsidP="00B941C2">
            <w:pPr>
              <w:pStyle w:val="ListParagraph"/>
              <w:ind w:left="0"/>
              <w:jc w:val="both"/>
              <w:rPr>
                <w:rFonts w:ascii="Times New Roman" w:hAnsi="Times New Roman"/>
                <w:b/>
                <w:sz w:val="24"/>
                <w:szCs w:val="24"/>
              </w:rPr>
            </w:pPr>
          </w:p>
          <w:p w:rsidR="00C0668F" w:rsidRPr="00347817" w:rsidRDefault="00C0668F" w:rsidP="00B941C2">
            <w:pPr>
              <w:pStyle w:val="ListParagraph"/>
              <w:ind w:left="0"/>
              <w:jc w:val="both"/>
              <w:rPr>
                <w:rFonts w:ascii="Times New Roman" w:hAnsi="Times New Roman"/>
                <w:sz w:val="24"/>
                <w:szCs w:val="24"/>
              </w:rPr>
            </w:pPr>
            <w:r w:rsidRPr="00347817">
              <w:rPr>
                <w:rFonts w:ascii="Times New Roman" w:hAnsi="Times New Roman"/>
                <w:sz w:val="24"/>
                <w:szCs w:val="24"/>
              </w:rPr>
              <w:t xml:space="preserve">8 h – vadošās iestādes darbiniekam nepieciešamais laiks </w:t>
            </w:r>
            <w:r w:rsidRPr="00347817">
              <w:rPr>
                <w:rFonts w:ascii="Times New Roman" w:hAnsi="Times New Roman"/>
                <w:sz w:val="24"/>
                <w:szCs w:val="24"/>
              </w:rPr>
              <w:lastRenderedPageBreak/>
              <w:t>preses relīzes sagatavošanai, saskaņošanai un nosūtīšanai un izplatīšanai plašsaziņas līdzekļiem;</w:t>
            </w:r>
          </w:p>
          <w:p w:rsidR="00C0668F" w:rsidRPr="00347817" w:rsidRDefault="00C0668F" w:rsidP="00C0668F">
            <w:pPr>
              <w:pStyle w:val="ListParagraph"/>
              <w:ind w:left="0"/>
              <w:jc w:val="both"/>
              <w:rPr>
                <w:rFonts w:ascii="Times New Roman" w:hAnsi="Times New Roman"/>
                <w:sz w:val="24"/>
                <w:szCs w:val="24"/>
              </w:rPr>
            </w:pPr>
            <w:r w:rsidRPr="00347817">
              <w:rPr>
                <w:rFonts w:ascii="Times New Roman" w:hAnsi="Times New Roman"/>
                <w:sz w:val="24"/>
                <w:szCs w:val="24"/>
              </w:rPr>
              <w:t>8,83 – stundas tarifa likme valsts sektorā nodarbinātajiem pēc Centrālās statistikas pārvaldes datiem 2016.gada 1.ceturksnī;</w:t>
            </w:r>
          </w:p>
          <w:p w:rsidR="00C0668F" w:rsidRPr="00347817" w:rsidRDefault="00C0668F" w:rsidP="00C0668F">
            <w:pPr>
              <w:pStyle w:val="ListParagraph"/>
              <w:ind w:left="0"/>
              <w:jc w:val="both"/>
              <w:rPr>
                <w:rFonts w:ascii="Times New Roman" w:hAnsi="Times New Roman"/>
                <w:sz w:val="24"/>
                <w:szCs w:val="24"/>
              </w:rPr>
            </w:pPr>
            <w:r w:rsidRPr="00347817">
              <w:rPr>
                <w:rFonts w:ascii="Times New Roman" w:hAnsi="Times New Roman"/>
                <w:sz w:val="24"/>
                <w:szCs w:val="24"/>
              </w:rPr>
              <w:t>1 – subjektu skaits, uz ko attiecas projektā paredzētās informācijas sniegšanas prasības;</w:t>
            </w:r>
          </w:p>
          <w:p w:rsidR="00C0668F" w:rsidRPr="00347817" w:rsidRDefault="00C0668F" w:rsidP="00C0668F">
            <w:pPr>
              <w:pStyle w:val="ListParagraph"/>
              <w:ind w:left="0"/>
              <w:jc w:val="both"/>
              <w:rPr>
                <w:rFonts w:ascii="Times New Roman" w:hAnsi="Times New Roman"/>
                <w:sz w:val="24"/>
                <w:szCs w:val="24"/>
              </w:rPr>
            </w:pPr>
            <w:r w:rsidRPr="00347817">
              <w:rPr>
                <w:rFonts w:ascii="Times New Roman" w:hAnsi="Times New Roman"/>
                <w:sz w:val="24"/>
                <w:szCs w:val="24"/>
              </w:rPr>
              <w:t>1 – informācijas sniegšanas biežums gada laikā būs viena reize.</w:t>
            </w:r>
          </w:p>
          <w:p w:rsidR="006D36B9" w:rsidRPr="00347817" w:rsidRDefault="006D36B9" w:rsidP="00C0668F">
            <w:pPr>
              <w:pStyle w:val="ListParagraph"/>
              <w:ind w:left="0"/>
              <w:jc w:val="both"/>
              <w:rPr>
                <w:rFonts w:ascii="Times New Roman" w:hAnsi="Times New Roman"/>
                <w:sz w:val="24"/>
                <w:szCs w:val="24"/>
              </w:rPr>
            </w:pPr>
          </w:p>
          <w:p w:rsidR="006D36B9" w:rsidRPr="00347817" w:rsidRDefault="00470BB7" w:rsidP="006D36B9">
            <w:pPr>
              <w:pStyle w:val="ListParagraph"/>
              <w:ind w:left="0"/>
              <w:jc w:val="both"/>
              <w:rPr>
                <w:rFonts w:ascii="Times New Roman" w:hAnsi="Times New Roman"/>
                <w:sz w:val="24"/>
                <w:szCs w:val="24"/>
              </w:rPr>
            </w:pPr>
            <w:r w:rsidRPr="00347817">
              <w:rPr>
                <w:rFonts w:ascii="Times New Roman" w:hAnsi="Times New Roman"/>
                <w:sz w:val="24"/>
                <w:szCs w:val="24"/>
              </w:rPr>
              <w:t>5</w:t>
            </w:r>
            <w:r w:rsidR="006D36B9" w:rsidRPr="00347817">
              <w:rPr>
                <w:rFonts w:ascii="Times New Roman" w:hAnsi="Times New Roman"/>
                <w:sz w:val="24"/>
                <w:szCs w:val="24"/>
              </w:rPr>
              <w:t>. Vidējais administratīvā sloga palielinājums, kas saistīts ar Finansējuma saņēmēja pienākumu iesniegt vadošajā iestādē pārskatu par fonda līdzfinansēto pasākumu īstenošanas gaitu un pārskatu par finansējuma izlietojumu, t.sk. priekšfinansējumu, nacionālo līdzfinansējumu un fonda finansējumu, ir šāds:</w:t>
            </w:r>
          </w:p>
          <w:p w:rsidR="006D36B9" w:rsidRPr="00347817" w:rsidRDefault="006D36B9" w:rsidP="006D36B9">
            <w:pPr>
              <w:pStyle w:val="ListParagraph"/>
              <w:ind w:left="0"/>
              <w:jc w:val="both"/>
              <w:rPr>
                <w:rFonts w:ascii="Times New Roman" w:hAnsi="Times New Roman"/>
                <w:sz w:val="24"/>
                <w:szCs w:val="24"/>
              </w:rPr>
            </w:pPr>
          </w:p>
          <w:p w:rsidR="006D36B9" w:rsidRPr="00347817" w:rsidRDefault="006D36B9" w:rsidP="006D36B9">
            <w:pPr>
              <w:pStyle w:val="ListParagraph"/>
              <w:ind w:left="0"/>
              <w:jc w:val="both"/>
              <w:rPr>
                <w:rFonts w:ascii="Times New Roman" w:hAnsi="Times New Roman"/>
                <w:sz w:val="24"/>
                <w:szCs w:val="24"/>
              </w:rPr>
            </w:pPr>
            <w:r w:rsidRPr="00347817">
              <w:rPr>
                <w:rFonts w:ascii="Times New Roman" w:hAnsi="Times New Roman"/>
                <w:sz w:val="24"/>
                <w:szCs w:val="24"/>
              </w:rPr>
              <w:t xml:space="preserve">(513,75 x 8,83) x (1 x 1) = </w:t>
            </w:r>
            <w:r w:rsidR="00DE2683" w:rsidRPr="00347817">
              <w:rPr>
                <w:rFonts w:ascii="Times New Roman" w:hAnsi="Times New Roman"/>
                <w:b/>
                <w:sz w:val="24"/>
                <w:szCs w:val="24"/>
              </w:rPr>
              <w:t>4536, 41 </w:t>
            </w:r>
            <w:proofErr w:type="spellStart"/>
            <w:r w:rsidRPr="00347817">
              <w:rPr>
                <w:rFonts w:ascii="Times New Roman" w:hAnsi="Times New Roman"/>
                <w:b/>
                <w:sz w:val="24"/>
                <w:szCs w:val="24"/>
              </w:rPr>
              <w:t>eur</w:t>
            </w:r>
            <w:proofErr w:type="spellEnd"/>
          </w:p>
          <w:p w:rsidR="006D36B9" w:rsidRPr="00347817" w:rsidRDefault="006D36B9" w:rsidP="006D36B9">
            <w:pPr>
              <w:pStyle w:val="ListParagraph"/>
              <w:ind w:left="0"/>
              <w:jc w:val="both"/>
              <w:rPr>
                <w:rFonts w:ascii="Times New Roman" w:hAnsi="Times New Roman"/>
                <w:sz w:val="24"/>
                <w:szCs w:val="24"/>
              </w:rPr>
            </w:pPr>
          </w:p>
          <w:p w:rsidR="006D36B9" w:rsidRPr="00347817" w:rsidRDefault="006D36B9" w:rsidP="006D36B9">
            <w:pPr>
              <w:pStyle w:val="ListParagraph"/>
              <w:ind w:left="0"/>
              <w:jc w:val="both"/>
              <w:rPr>
                <w:rFonts w:ascii="Times New Roman" w:hAnsi="Times New Roman"/>
                <w:sz w:val="24"/>
                <w:szCs w:val="24"/>
              </w:rPr>
            </w:pPr>
            <w:r w:rsidRPr="00347817">
              <w:rPr>
                <w:rFonts w:ascii="Times New Roman" w:hAnsi="Times New Roman"/>
                <w:sz w:val="24"/>
                <w:szCs w:val="24"/>
              </w:rPr>
              <w:t>513,75</w:t>
            </w:r>
            <w:r w:rsidR="00DE2683" w:rsidRPr="00347817">
              <w:rPr>
                <w:rFonts w:ascii="Times New Roman" w:hAnsi="Times New Roman"/>
                <w:sz w:val="24"/>
                <w:szCs w:val="24"/>
              </w:rPr>
              <w:t> </w:t>
            </w:r>
            <w:r w:rsidRPr="00347817">
              <w:rPr>
                <w:rFonts w:ascii="Times New Roman" w:hAnsi="Times New Roman"/>
                <w:sz w:val="24"/>
                <w:szCs w:val="24"/>
              </w:rPr>
              <w:t>h – Finansējuma saņēmējam nepieciešamais laiks sagatavotu un iesniegtu vadošajā iestādē pārskatu par fonda līdzfinansēto pasākumu īstenošanas gaitu un pārskatu par finansējuma izlietojumu, t.sk. priekšfinansējumu, nacionālo līdzfinansējumu un fonda finansējumu;</w:t>
            </w:r>
          </w:p>
          <w:p w:rsidR="006D36B9" w:rsidRPr="00347817" w:rsidRDefault="006D36B9" w:rsidP="006D36B9">
            <w:pPr>
              <w:pStyle w:val="ListParagraph"/>
              <w:ind w:left="0"/>
              <w:jc w:val="both"/>
              <w:rPr>
                <w:rFonts w:ascii="Times New Roman" w:hAnsi="Times New Roman"/>
                <w:sz w:val="24"/>
                <w:szCs w:val="24"/>
              </w:rPr>
            </w:pPr>
            <w:r w:rsidRPr="00347817">
              <w:rPr>
                <w:rFonts w:ascii="Times New Roman" w:hAnsi="Times New Roman"/>
                <w:sz w:val="24"/>
                <w:szCs w:val="24"/>
              </w:rPr>
              <w:t>8,83 – stundas tarifa likme valsts sektorā nodarbinātajiem pēc Centrālās statistikas pārvaldes datiem 2016.</w:t>
            </w:r>
            <w:r w:rsidR="00DE2683" w:rsidRPr="00347817">
              <w:rPr>
                <w:rFonts w:ascii="Times New Roman" w:hAnsi="Times New Roman"/>
                <w:sz w:val="24"/>
                <w:szCs w:val="24"/>
              </w:rPr>
              <w:t> </w:t>
            </w:r>
            <w:r w:rsidRPr="00347817">
              <w:rPr>
                <w:rFonts w:ascii="Times New Roman" w:hAnsi="Times New Roman"/>
                <w:sz w:val="24"/>
                <w:szCs w:val="24"/>
              </w:rPr>
              <w:t>gada 1.</w:t>
            </w:r>
            <w:r w:rsidR="00DE2683" w:rsidRPr="00347817">
              <w:rPr>
                <w:rFonts w:ascii="Times New Roman" w:hAnsi="Times New Roman"/>
                <w:sz w:val="24"/>
                <w:szCs w:val="24"/>
              </w:rPr>
              <w:t> </w:t>
            </w:r>
            <w:r w:rsidRPr="00347817">
              <w:rPr>
                <w:rFonts w:ascii="Times New Roman" w:hAnsi="Times New Roman"/>
                <w:sz w:val="24"/>
                <w:szCs w:val="24"/>
              </w:rPr>
              <w:t>ceturksnī;</w:t>
            </w:r>
          </w:p>
          <w:p w:rsidR="006D36B9" w:rsidRPr="00347817" w:rsidRDefault="006D36B9" w:rsidP="006D36B9">
            <w:pPr>
              <w:pStyle w:val="ListParagraph"/>
              <w:ind w:left="0"/>
              <w:jc w:val="both"/>
              <w:rPr>
                <w:rFonts w:ascii="Times New Roman" w:hAnsi="Times New Roman"/>
                <w:sz w:val="24"/>
                <w:szCs w:val="24"/>
              </w:rPr>
            </w:pPr>
            <w:r w:rsidRPr="00347817">
              <w:rPr>
                <w:rFonts w:ascii="Times New Roman" w:hAnsi="Times New Roman"/>
                <w:sz w:val="24"/>
                <w:szCs w:val="24"/>
              </w:rPr>
              <w:t>1 – subjektu skaits, uz ko attiecas projektā paredzētās informācijas sniegšanas prasības;</w:t>
            </w:r>
          </w:p>
          <w:p w:rsidR="00803111" w:rsidRPr="00347817" w:rsidRDefault="006D36B9" w:rsidP="006D36B9">
            <w:pPr>
              <w:pStyle w:val="ListParagraph"/>
              <w:ind w:left="0"/>
              <w:jc w:val="both"/>
              <w:rPr>
                <w:rFonts w:ascii="Times New Roman" w:hAnsi="Times New Roman"/>
                <w:sz w:val="24"/>
                <w:szCs w:val="24"/>
              </w:rPr>
            </w:pPr>
            <w:r w:rsidRPr="00347817">
              <w:rPr>
                <w:rFonts w:ascii="Times New Roman" w:hAnsi="Times New Roman"/>
                <w:sz w:val="24"/>
                <w:szCs w:val="24"/>
              </w:rPr>
              <w:t>1 – informācijas sniegšanas biežums gada laikā būs viena reize.</w:t>
            </w:r>
          </w:p>
          <w:p w:rsidR="00EE0364" w:rsidRPr="00347817" w:rsidRDefault="00EE0364" w:rsidP="006D36B9">
            <w:pPr>
              <w:pStyle w:val="ListParagraph"/>
              <w:ind w:left="0"/>
              <w:jc w:val="both"/>
              <w:rPr>
                <w:rFonts w:ascii="Times New Roman" w:hAnsi="Times New Roman"/>
                <w:sz w:val="24"/>
                <w:szCs w:val="24"/>
              </w:rPr>
            </w:pPr>
          </w:p>
          <w:p w:rsidR="00EE0364" w:rsidRPr="00347817" w:rsidRDefault="00EE0364" w:rsidP="008A1FE7">
            <w:pPr>
              <w:pStyle w:val="tv213"/>
              <w:spacing w:before="0" w:beforeAutospacing="0" w:after="0" w:afterAutospacing="0" w:line="293" w:lineRule="atLeast"/>
              <w:jc w:val="both"/>
            </w:pPr>
            <w:r w:rsidRPr="00347817">
              <w:t>6.</w:t>
            </w:r>
            <w:r w:rsidR="00DE2683" w:rsidRPr="00347817">
              <w:rPr>
                <w:color w:val="000000"/>
              </w:rPr>
              <w:t> </w:t>
            </w:r>
            <w:r w:rsidRPr="00347817">
              <w:rPr>
                <w:color w:val="000000"/>
              </w:rPr>
              <w:t>Vidējais administratīvā sloga palielinājums, kas saistīts ar revīzijas iestādes pienākumu veikt vadošās iestādes un sertifikācijas iestādes sākotnējo atbilstības novērtējumu</w:t>
            </w:r>
            <w:r w:rsidR="00DE2683" w:rsidRPr="00347817">
              <w:rPr>
                <w:color w:val="000000"/>
              </w:rPr>
              <w:t xml:space="preserve"> atbilstoši Padomes regulas Nr. </w:t>
            </w:r>
            <w:r w:rsidRPr="00347817">
              <w:rPr>
                <w:color w:val="000000"/>
              </w:rPr>
              <w:t>1303/2016 124.</w:t>
            </w:r>
            <w:r w:rsidR="00DE2683" w:rsidRPr="00347817">
              <w:rPr>
                <w:color w:val="000000"/>
              </w:rPr>
              <w:t> </w:t>
            </w:r>
            <w:r w:rsidRPr="00347817">
              <w:rPr>
                <w:color w:val="000000"/>
              </w:rPr>
              <w:t>panta 2.</w:t>
            </w:r>
            <w:r w:rsidR="00DE2683" w:rsidRPr="00347817">
              <w:rPr>
                <w:color w:val="000000"/>
              </w:rPr>
              <w:t> punktam un XIII </w:t>
            </w:r>
            <w:r w:rsidRPr="00347817">
              <w:rPr>
                <w:color w:val="000000"/>
              </w:rPr>
              <w:t xml:space="preserve">pielikumā iekļautajiem kritērijiem </w:t>
            </w:r>
            <w:r w:rsidR="008A1FE7">
              <w:rPr>
                <w:color w:val="000000"/>
              </w:rPr>
              <w:t xml:space="preserve">un </w:t>
            </w:r>
            <w:r w:rsidR="008A1FE7" w:rsidRPr="00E7434C">
              <w:t>sagatavot sākotnējo atbilstības novērtējuma ziņojumu un atzinumu par vadošās iestādes un sertifikācijas iestādes atbilstību Padomes regula Nr. 1303/2013 124. panta 2. punktam un XIII pielikumā iekļautajiem kritērijiem un ies</w:t>
            </w:r>
            <w:r w:rsidR="008A1FE7">
              <w:t>niegt tos labklājības ministram</w:t>
            </w:r>
            <w:r w:rsidRPr="00347817">
              <w:rPr>
                <w:color w:val="000000"/>
              </w:rPr>
              <w:t xml:space="preserve"> ir šāds:</w:t>
            </w:r>
          </w:p>
          <w:p w:rsidR="00EE0364" w:rsidRPr="00347817" w:rsidRDefault="00EE0364" w:rsidP="006D36B9">
            <w:pPr>
              <w:pStyle w:val="ListParagraph"/>
              <w:ind w:left="0"/>
              <w:jc w:val="both"/>
              <w:rPr>
                <w:rFonts w:ascii="Times New Roman" w:hAnsi="Times New Roman"/>
                <w:sz w:val="24"/>
                <w:szCs w:val="24"/>
              </w:rPr>
            </w:pPr>
          </w:p>
          <w:p w:rsidR="00DE2683" w:rsidRPr="00347817" w:rsidRDefault="0012692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w:t>
            </w:r>
            <w:r w:rsidR="00EE0364" w:rsidRPr="00347817">
              <w:rPr>
                <w:rFonts w:ascii="Times New Roman" w:hAnsi="Times New Roman"/>
                <w:color w:val="000000"/>
                <w:sz w:val="24"/>
                <w:szCs w:val="24"/>
              </w:rPr>
              <w:t xml:space="preserve">10,15 x (21 x 8)) x (1,5 x 1) = </w:t>
            </w:r>
            <w:r w:rsidR="00EE0364" w:rsidRPr="00347817">
              <w:rPr>
                <w:rFonts w:ascii="Times New Roman" w:hAnsi="Times New Roman"/>
                <w:b/>
                <w:color w:val="000000"/>
                <w:sz w:val="24"/>
                <w:szCs w:val="24"/>
              </w:rPr>
              <w:t>2557,</w:t>
            </w:r>
            <w:r w:rsidR="00DE2683" w:rsidRPr="00347817">
              <w:rPr>
                <w:rFonts w:ascii="Times New Roman" w:hAnsi="Times New Roman"/>
                <w:b/>
                <w:color w:val="000000"/>
                <w:sz w:val="24"/>
                <w:szCs w:val="24"/>
              </w:rPr>
              <w:t> </w:t>
            </w:r>
            <w:r w:rsidR="00EE0364" w:rsidRPr="00347817">
              <w:rPr>
                <w:rFonts w:ascii="Times New Roman" w:hAnsi="Times New Roman"/>
                <w:b/>
                <w:color w:val="000000"/>
                <w:sz w:val="24"/>
                <w:szCs w:val="24"/>
              </w:rPr>
              <w:t>8</w:t>
            </w:r>
            <w:r w:rsidR="00DE2683" w:rsidRPr="00347817">
              <w:rPr>
                <w:rFonts w:ascii="Times New Roman" w:hAnsi="Times New Roman"/>
                <w:b/>
                <w:color w:val="000000"/>
                <w:sz w:val="24"/>
                <w:szCs w:val="24"/>
              </w:rPr>
              <w:t> </w:t>
            </w:r>
            <w:proofErr w:type="spellStart"/>
            <w:r w:rsidR="00EE0364" w:rsidRPr="00347817">
              <w:rPr>
                <w:rFonts w:ascii="Times New Roman" w:hAnsi="Times New Roman"/>
                <w:b/>
                <w:color w:val="000000"/>
                <w:sz w:val="24"/>
                <w:szCs w:val="24"/>
              </w:rPr>
              <w:t>eur</w:t>
            </w:r>
            <w:proofErr w:type="spellEnd"/>
            <w:r w:rsidR="00DE2683" w:rsidRPr="00347817">
              <w:rPr>
                <w:rFonts w:ascii="Times New Roman" w:hAnsi="Times New Roman"/>
                <w:color w:val="000000"/>
                <w:sz w:val="24"/>
                <w:szCs w:val="24"/>
              </w:rPr>
              <w:br/>
            </w:r>
          </w:p>
          <w:p w:rsidR="00126924" w:rsidRPr="00347817" w:rsidRDefault="0012692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1,</w:t>
            </w:r>
            <w:r w:rsidR="00EE0364" w:rsidRPr="00347817">
              <w:rPr>
                <w:rFonts w:ascii="Times New Roman" w:hAnsi="Times New Roman"/>
                <w:color w:val="000000"/>
                <w:sz w:val="24"/>
                <w:szCs w:val="24"/>
              </w:rPr>
              <w:t>5</w:t>
            </w:r>
            <w:r w:rsidRPr="00347817">
              <w:rPr>
                <w:rFonts w:ascii="Times New Roman" w:hAnsi="Times New Roman"/>
                <w:color w:val="000000"/>
                <w:sz w:val="24"/>
                <w:szCs w:val="24"/>
              </w:rPr>
              <w:t xml:space="preserve"> - subjektu</w:t>
            </w:r>
            <w:r w:rsidR="00DE2683" w:rsidRPr="00347817">
              <w:rPr>
                <w:rFonts w:ascii="Times New Roman" w:hAnsi="Times New Roman"/>
                <w:color w:val="000000"/>
                <w:sz w:val="24"/>
                <w:szCs w:val="24"/>
              </w:rPr>
              <w:t xml:space="preserve"> skaits, uz </w:t>
            </w:r>
            <w:r w:rsidR="00EE0364" w:rsidRPr="00347817">
              <w:rPr>
                <w:rFonts w:ascii="Times New Roman" w:hAnsi="Times New Roman"/>
                <w:color w:val="000000"/>
                <w:sz w:val="24"/>
                <w:szCs w:val="24"/>
              </w:rPr>
              <w:t>ko attiecas projektā paredzētās informācijas sniegšanas prasības;</w:t>
            </w:r>
            <w:r w:rsidR="00EE0364" w:rsidRPr="00347817">
              <w:rPr>
                <w:rFonts w:ascii="Times New Roman" w:hAnsi="Times New Roman"/>
                <w:color w:val="000000"/>
                <w:sz w:val="24"/>
                <w:szCs w:val="24"/>
              </w:rPr>
              <w:br/>
            </w:r>
            <w:r w:rsidR="00DE2683" w:rsidRPr="00347817">
              <w:rPr>
                <w:rFonts w:ascii="Times New Roman" w:hAnsi="Times New Roman"/>
                <w:color w:val="000000"/>
                <w:sz w:val="24"/>
                <w:szCs w:val="24"/>
              </w:rPr>
              <w:t>(21 diena/mēnesī x 8h/dienā) x 1 </w:t>
            </w:r>
            <w:r w:rsidRPr="00347817">
              <w:rPr>
                <w:rFonts w:ascii="Times New Roman" w:hAnsi="Times New Roman"/>
                <w:color w:val="000000"/>
                <w:sz w:val="24"/>
                <w:szCs w:val="24"/>
              </w:rPr>
              <w:t>mēnesis – r</w:t>
            </w:r>
            <w:r w:rsidR="00EE0364" w:rsidRPr="00347817">
              <w:rPr>
                <w:rFonts w:ascii="Times New Roman" w:hAnsi="Times New Roman"/>
                <w:color w:val="000000"/>
                <w:sz w:val="24"/>
                <w:szCs w:val="24"/>
              </w:rPr>
              <w:t>evīzijas iestādei nepiecieša</w:t>
            </w:r>
            <w:r w:rsidR="00DE2683" w:rsidRPr="00347817">
              <w:rPr>
                <w:rFonts w:ascii="Times New Roman" w:hAnsi="Times New Roman"/>
                <w:color w:val="000000"/>
                <w:sz w:val="24"/>
                <w:szCs w:val="24"/>
              </w:rPr>
              <w:t xml:space="preserve">mais laiks, lai veiktu vadošās iestādes </w:t>
            </w:r>
            <w:r w:rsidR="00EE0364" w:rsidRPr="00347817">
              <w:rPr>
                <w:rFonts w:ascii="Times New Roman" w:hAnsi="Times New Roman"/>
                <w:color w:val="000000"/>
                <w:sz w:val="24"/>
                <w:szCs w:val="24"/>
              </w:rPr>
              <w:t>un sertifikācijas iestādes sākotnējo atbilstības novērtējumu</w:t>
            </w:r>
            <w:r w:rsidR="00DE2683" w:rsidRPr="00347817">
              <w:rPr>
                <w:rFonts w:ascii="Times New Roman" w:hAnsi="Times New Roman"/>
                <w:color w:val="000000"/>
                <w:sz w:val="24"/>
                <w:szCs w:val="24"/>
              </w:rPr>
              <w:t xml:space="preserve"> atbilstoši Padomes regulas Nr. </w:t>
            </w:r>
            <w:r w:rsidR="00EE0364" w:rsidRPr="00347817">
              <w:rPr>
                <w:rFonts w:ascii="Times New Roman" w:hAnsi="Times New Roman"/>
                <w:color w:val="000000"/>
                <w:sz w:val="24"/>
                <w:szCs w:val="24"/>
              </w:rPr>
              <w:t>1303/2016 124.</w:t>
            </w:r>
            <w:r w:rsidR="00DE2683" w:rsidRPr="00347817">
              <w:rPr>
                <w:rFonts w:ascii="Times New Roman" w:hAnsi="Times New Roman"/>
                <w:color w:val="000000"/>
                <w:sz w:val="24"/>
                <w:szCs w:val="24"/>
              </w:rPr>
              <w:t> </w:t>
            </w:r>
            <w:r w:rsidR="00EE0364" w:rsidRPr="00347817">
              <w:rPr>
                <w:rFonts w:ascii="Times New Roman" w:hAnsi="Times New Roman"/>
                <w:color w:val="000000"/>
                <w:sz w:val="24"/>
                <w:szCs w:val="24"/>
              </w:rPr>
              <w:t>panta 2.</w:t>
            </w:r>
            <w:r w:rsidR="00DE2683" w:rsidRPr="00347817">
              <w:rPr>
                <w:rFonts w:ascii="Times New Roman" w:hAnsi="Times New Roman"/>
                <w:color w:val="000000"/>
                <w:sz w:val="24"/>
                <w:szCs w:val="24"/>
              </w:rPr>
              <w:t> </w:t>
            </w:r>
            <w:r w:rsidR="00EE0364" w:rsidRPr="00347817">
              <w:rPr>
                <w:rFonts w:ascii="Times New Roman" w:hAnsi="Times New Roman"/>
                <w:color w:val="000000"/>
                <w:sz w:val="24"/>
                <w:szCs w:val="24"/>
              </w:rPr>
              <w:t>punktam un XI</w:t>
            </w:r>
            <w:r w:rsidR="00DE2683" w:rsidRPr="00347817">
              <w:rPr>
                <w:rFonts w:ascii="Times New Roman" w:hAnsi="Times New Roman"/>
                <w:color w:val="000000"/>
                <w:sz w:val="24"/>
                <w:szCs w:val="24"/>
              </w:rPr>
              <w:t xml:space="preserve">II </w:t>
            </w:r>
            <w:r w:rsidR="00EE0364" w:rsidRPr="00347817">
              <w:rPr>
                <w:rFonts w:ascii="Times New Roman" w:hAnsi="Times New Roman"/>
                <w:color w:val="000000"/>
                <w:sz w:val="24"/>
                <w:szCs w:val="24"/>
              </w:rPr>
              <w:t xml:space="preserve">pielikumā </w:t>
            </w:r>
            <w:r w:rsidR="00DE2683" w:rsidRPr="00347817">
              <w:rPr>
                <w:rFonts w:ascii="Times New Roman" w:hAnsi="Times New Roman"/>
                <w:color w:val="000000"/>
                <w:sz w:val="24"/>
                <w:szCs w:val="24"/>
              </w:rPr>
              <w:t xml:space="preserve">iekļautajiem kritērijiem </w:t>
            </w:r>
            <w:r w:rsidR="00EE0364" w:rsidRPr="00347817">
              <w:rPr>
                <w:rFonts w:ascii="Times New Roman" w:hAnsi="Times New Roman"/>
                <w:color w:val="000000"/>
                <w:sz w:val="24"/>
                <w:szCs w:val="24"/>
              </w:rPr>
              <w:t>un iesniegt labklājības ministram vadošās iestādes un sertifikācijas iestādes sākotnējo atbilstības novērtējuma ziņojumu</w:t>
            </w:r>
            <w:r w:rsidRPr="00347817">
              <w:rPr>
                <w:rFonts w:ascii="Times New Roman" w:hAnsi="Times New Roman"/>
                <w:color w:val="000000"/>
                <w:sz w:val="24"/>
                <w:szCs w:val="24"/>
              </w:rPr>
              <w:t xml:space="preserve"> un atzinumu;</w:t>
            </w:r>
          </w:p>
          <w:p w:rsidR="00302EE6" w:rsidRPr="00347817" w:rsidRDefault="00EE036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1</w:t>
            </w:r>
            <w:r w:rsidR="00302EE6" w:rsidRPr="00347817">
              <w:rPr>
                <w:rFonts w:ascii="Times New Roman" w:hAnsi="Times New Roman"/>
                <w:color w:val="000000"/>
                <w:sz w:val="24"/>
                <w:szCs w:val="24"/>
              </w:rPr>
              <w:t xml:space="preserve">0,15 </w:t>
            </w:r>
            <w:r w:rsidR="00126924" w:rsidRPr="00347817">
              <w:rPr>
                <w:rFonts w:ascii="Times New Roman" w:hAnsi="Times New Roman"/>
                <w:color w:val="000000"/>
                <w:sz w:val="24"/>
                <w:szCs w:val="24"/>
              </w:rPr>
              <w:t>– stundas tarifa likme r</w:t>
            </w:r>
            <w:r w:rsidRPr="00347817">
              <w:rPr>
                <w:rFonts w:ascii="Times New Roman" w:hAnsi="Times New Roman"/>
                <w:color w:val="000000"/>
                <w:sz w:val="24"/>
                <w:szCs w:val="24"/>
              </w:rPr>
              <w:t>evīzijas iestādes vecākajam auditoram;</w:t>
            </w:r>
          </w:p>
          <w:p w:rsidR="00EE0364" w:rsidRPr="00347817" w:rsidRDefault="00EE036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1 – informācijas sniegšanas biežums gada laikā būs viena reize.</w:t>
            </w:r>
          </w:p>
          <w:p w:rsidR="00126924" w:rsidRPr="00347817" w:rsidRDefault="00126924" w:rsidP="006D36B9">
            <w:pPr>
              <w:pStyle w:val="ListParagraph"/>
              <w:ind w:left="0"/>
              <w:jc w:val="both"/>
              <w:rPr>
                <w:rFonts w:ascii="Times New Roman" w:hAnsi="Times New Roman"/>
                <w:color w:val="000000"/>
                <w:sz w:val="24"/>
                <w:szCs w:val="24"/>
              </w:rPr>
            </w:pPr>
          </w:p>
          <w:p w:rsidR="00126924" w:rsidRPr="00347817" w:rsidRDefault="00302EE6"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7. </w:t>
            </w:r>
            <w:r w:rsidR="00126924" w:rsidRPr="00347817">
              <w:rPr>
                <w:rFonts w:ascii="Times New Roman" w:hAnsi="Times New Roman"/>
                <w:color w:val="000000"/>
                <w:sz w:val="24"/>
                <w:szCs w:val="24"/>
              </w:rPr>
              <w:t xml:space="preserve">Vidējais administratīvā sloga </w:t>
            </w:r>
            <w:r w:rsidR="00475E03" w:rsidRPr="00347817">
              <w:rPr>
                <w:rFonts w:ascii="Times New Roman" w:hAnsi="Times New Roman"/>
                <w:color w:val="000000"/>
                <w:sz w:val="24"/>
                <w:szCs w:val="24"/>
              </w:rPr>
              <w:t>palielinājums, kas saistīts ar r</w:t>
            </w:r>
            <w:r w:rsidR="00126924" w:rsidRPr="00347817">
              <w:rPr>
                <w:rFonts w:ascii="Times New Roman" w:hAnsi="Times New Roman"/>
                <w:color w:val="000000"/>
                <w:sz w:val="24"/>
                <w:szCs w:val="24"/>
              </w:rPr>
              <w:t>evīzijas iestādes pienākumu veikt Finanšu regulas 59.</w:t>
            </w:r>
            <w:r w:rsidRPr="00347817">
              <w:rPr>
                <w:rFonts w:ascii="Times New Roman" w:hAnsi="Times New Roman"/>
                <w:color w:val="000000"/>
                <w:sz w:val="24"/>
                <w:szCs w:val="24"/>
              </w:rPr>
              <w:t> </w:t>
            </w:r>
            <w:r w:rsidR="00126924" w:rsidRPr="00347817">
              <w:rPr>
                <w:rFonts w:ascii="Times New Roman" w:hAnsi="Times New Roman"/>
                <w:color w:val="000000"/>
                <w:sz w:val="24"/>
                <w:szCs w:val="24"/>
              </w:rPr>
              <w:t>panta 5.</w:t>
            </w:r>
            <w:r w:rsidRPr="00347817">
              <w:rPr>
                <w:rFonts w:ascii="Times New Roman" w:hAnsi="Times New Roman"/>
                <w:color w:val="000000"/>
                <w:sz w:val="24"/>
                <w:szCs w:val="24"/>
              </w:rPr>
              <w:t> punkta a) un b) </w:t>
            </w:r>
            <w:r w:rsidR="00126924" w:rsidRPr="00347817">
              <w:rPr>
                <w:rFonts w:ascii="Times New Roman" w:hAnsi="Times New Roman"/>
                <w:color w:val="000000"/>
                <w:sz w:val="24"/>
                <w:szCs w:val="24"/>
              </w:rPr>
              <w:t>apakšpunktā noteikto pārskatu revīziju, ir šāds:</w:t>
            </w:r>
          </w:p>
          <w:p w:rsidR="00126924" w:rsidRPr="00347817" w:rsidRDefault="00126924" w:rsidP="006D36B9">
            <w:pPr>
              <w:pStyle w:val="ListParagraph"/>
              <w:ind w:left="0"/>
              <w:jc w:val="both"/>
              <w:rPr>
                <w:rFonts w:ascii="Times New Roman" w:hAnsi="Times New Roman"/>
                <w:color w:val="000000"/>
                <w:sz w:val="24"/>
                <w:szCs w:val="24"/>
              </w:rPr>
            </w:pPr>
          </w:p>
          <w:p w:rsidR="00302EE6" w:rsidRPr="00347817" w:rsidRDefault="0012692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10,15 x (21 x8</w:t>
            </w:r>
            <w:r w:rsidR="004B4B1A" w:rsidRPr="00347817">
              <w:rPr>
                <w:rFonts w:ascii="Times New Roman" w:hAnsi="Times New Roman"/>
                <w:color w:val="000000"/>
                <w:sz w:val="24"/>
                <w:szCs w:val="24"/>
              </w:rPr>
              <w:t>) x 2)) x 1,5 x 1</w:t>
            </w:r>
            <w:r w:rsidRPr="00347817">
              <w:rPr>
                <w:rFonts w:ascii="Times New Roman" w:hAnsi="Times New Roman"/>
                <w:color w:val="000000"/>
                <w:sz w:val="24"/>
                <w:szCs w:val="24"/>
              </w:rPr>
              <w:t xml:space="preserve">) = </w:t>
            </w:r>
            <w:r w:rsidRPr="00347817">
              <w:rPr>
                <w:rFonts w:ascii="Times New Roman" w:hAnsi="Times New Roman"/>
                <w:b/>
                <w:color w:val="000000"/>
                <w:sz w:val="24"/>
                <w:szCs w:val="24"/>
              </w:rPr>
              <w:t>5515,</w:t>
            </w:r>
            <w:r w:rsidR="00302EE6" w:rsidRPr="00347817">
              <w:rPr>
                <w:rFonts w:ascii="Times New Roman" w:hAnsi="Times New Roman"/>
                <w:b/>
                <w:color w:val="000000"/>
                <w:sz w:val="24"/>
                <w:szCs w:val="24"/>
              </w:rPr>
              <w:t> 6 </w:t>
            </w:r>
            <w:proofErr w:type="spellStart"/>
            <w:r w:rsidRPr="00347817">
              <w:rPr>
                <w:rFonts w:ascii="Times New Roman" w:hAnsi="Times New Roman"/>
                <w:b/>
                <w:color w:val="000000"/>
                <w:sz w:val="24"/>
                <w:szCs w:val="24"/>
              </w:rPr>
              <w:t>eur</w:t>
            </w:r>
            <w:proofErr w:type="spellEnd"/>
          </w:p>
          <w:p w:rsidR="009B0344" w:rsidRPr="00347817" w:rsidRDefault="004B4B1A"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br/>
              <w:t>1,</w:t>
            </w:r>
            <w:r w:rsidR="00302EE6" w:rsidRPr="00347817">
              <w:rPr>
                <w:rFonts w:ascii="Times New Roman" w:hAnsi="Times New Roman"/>
                <w:color w:val="000000"/>
                <w:sz w:val="24"/>
                <w:szCs w:val="24"/>
              </w:rPr>
              <w:t xml:space="preserve">5 - </w:t>
            </w:r>
            <w:r w:rsidR="00126924" w:rsidRPr="00347817">
              <w:rPr>
                <w:rFonts w:ascii="Times New Roman" w:hAnsi="Times New Roman"/>
                <w:color w:val="000000"/>
                <w:sz w:val="24"/>
                <w:szCs w:val="24"/>
              </w:rPr>
              <w:t>subjektu skaits, uz ko attiecas projektā paredzētās informācijas sniegšanas prasības;</w:t>
            </w:r>
            <w:r w:rsidR="00126924" w:rsidRPr="00347817">
              <w:rPr>
                <w:rFonts w:ascii="Times New Roman" w:hAnsi="Times New Roman"/>
                <w:color w:val="000000"/>
                <w:sz w:val="24"/>
                <w:szCs w:val="24"/>
              </w:rPr>
              <w:br/>
            </w:r>
            <w:r w:rsidRPr="00347817">
              <w:rPr>
                <w:rFonts w:ascii="Times New Roman" w:hAnsi="Times New Roman"/>
                <w:color w:val="000000"/>
                <w:sz w:val="24"/>
                <w:szCs w:val="24"/>
              </w:rPr>
              <w:t>(</w:t>
            </w:r>
            <w:r w:rsidR="009B0344" w:rsidRPr="00347817">
              <w:rPr>
                <w:rFonts w:ascii="Times New Roman" w:hAnsi="Times New Roman"/>
                <w:color w:val="000000"/>
                <w:sz w:val="24"/>
                <w:szCs w:val="24"/>
              </w:rPr>
              <w:t>21 diena/mēnesī x 8h/dienā) x 2 </w:t>
            </w:r>
            <w:r w:rsidR="00126924" w:rsidRPr="00347817">
              <w:rPr>
                <w:rFonts w:ascii="Times New Roman" w:hAnsi="Times New Roman"/>
                <w:color w:val="000000"/>
                <w:sz w:val="24"/>
                <w:szCs w:val="24"/>
              </w:rPr>
              <w:t>mēneši – revīzijas iestādei nepieciešamais</w:t>
            </w:r>
            <w:r w:rsidR="009B0344" w:rsidRPr="00347817">
              <w:rPr>
                <w:rFonts w:ascii="Times New Roman" w:hAnsi="Times New Roman"/>
                <w:color w:val="000000"/>
                <w:sz w:val="24"/>
                <w:szCs w:val="24"/>
              </w:rPr>
              <w:t xml:space="preserve"> laiks, lai</w:t>
            </w:r>
            <w:r w:rsidR="00126924" w:rsidRPr="00347817">
              <w:rPr>
                <w:rFonts w:ascii="Times New Roman" w:hAnsi="Times New Roman"/>
                <w:color w:val="000000"/>
                <w:sz w:val="24"/>
                <w:szCs w:val="24"/>
              </w:rPr>
              <w:t xml:space="preserve"> veiktu Finanšu regulas 59.</w:t>
            </w:r>
            <w:r w:rsidR="009B0344" w:rsidRPr="00347817">
              <w:rPr>
                <w:rFonts w:ascii="Times New Roman" w:hAnsi="Times New Roman"/>
                <w:color w:val="000000"/>
                <w:sz w:val="24"/>
                <w:szCs w:val="24"/>
              </w:rPr>
              <w:t> </w:t>
            </w:r>
            <w:r w:rsidR="00126924" w:rsidRPr="00347817">
              <w:rPr>
                <w:rFonts w:ascii="Times New Roman" w:hAnsi="Times New Roman"/>
                <w:color w:val="000000"/>
                <w:sz w:val="24"/>
                <w:szCs w:val="24"/>
              </w:rPr>
              <w:t>panta 5.</w:t>
            </w:r>
            <w:r w:rsidR="009B0344" w:rsidRPr="00347817">
              <w:rPr>
                <w:rFonts w:ascii="Times New Roman" w:hAnsi="Times New Roman"/>
                <w:color w:val="000000"/>
                <w:sz w:val="24"/>
                <w:szCs w:val="24"/>
              </w:rPr>
              <w:t> punkta a) un b) </w:t>
            </w:r>
            <w:r w:rsidR="00126924" w:rsidRPr="00347817">
              <w:rPr>
                <w:rFonts w:ascii="Times New Roman" w:hAnsi="Times New Roman"/>
                <w:color w:val="000000"/>
                <w:sz w:val="24"/>
                <w:szCs w:val="24"/>
              </w:rPr>
              <w:t>apakšpunktā not</w:t>
            </w:r>
            <w:r w:rsidR="009B0344" w:rsidRPr="00347817">
              <w:rPr>
                <w:rFonts w:ascii="Times New Roman" w:hAnsi="Times New Roman"/>
                <w:color w:val="000000"/>
                <w:sz w:val="24"/>
                <w:szCs w:val="24"/>
              </w:rPr>
              <w:t>eikto pārskatu revīziju;</w:t>
            </w:r>
            <w:r w:rsidR="009B0344" w:rsidRPr="00347817">
              <w:rPr>
                <w:rFonts w:ascii="Times New Roman" w:hAnsi="Times New Roman"/>
                <w:color w:val="000000"/>
                <w:sz w:val="24"/>
                <w:szCs w:val="24"/>
              </w:rPr>
              <w:br/>
              <w:t xml:space="preserve">10,15 – stundas </w:t>
            </w:r>
            <w:r w:rsidRPr="00347817">
              <w:rPr>
                <w:rFonts w:ascii="Times New Roman" w:hAnsi="Times New Roman"/>
                <w:color w:val="000000"/>
                <w:sz w:val="24"/>
                <w:szCs w:val="24"/>
              </w:rPr>
              <w:t>tarifa likme r</w:t>
            </w:r>
            <w:r w:rsidR="00126924" w:rsidRPr="00347817">
              <w:rPr>
                <w:rFonts w:ascii="Times New Roman" w:hAnsi="Times New Roman"/>
                <w:color w:val="000000"/>
                <w:sz w:val="24"/>
                <w:szCs w:val="24"/>
              </w:rPr>
              <w:t>evīzijas iestādes vecākajam auditoram;</w:t>
            </w:r>
          </w:p>
          <w:p w:rsidR="00126924" w:rsidRPr="00347817" w:rsidRDefault="00126924" w:rsidP="006D36B9">
            <w:pPr>
              <w:pStyle w:val="ListParagraph"/>
              <w:ind w:left="0"/>
              <w:jc w:val="both"/>
              <w:rPr>
                <w:rFonts w:ascii="Times New Roman" w:hAnsi="Times New Roman"/>
                <w:color w:val="000000"/>
                <w:sz w:val="24"/>
                <w:szCs w:val="24"/>
              </w:rPr>
            </w:pPr>
            <w:r w:rsidRPr="00347817">
              <w:rPr>
                <w:rFonts w:ascii="Times New Roman" w:hAnsi="Times New Roman"/>
                <w:color w:val="000000"/>
                <w:sz w:val="24"/>
                <w:szCs w:val="24"/>
              </w:rPr>
              <w:t>1 – informācijas sniegšanas biežums gada laikā būs viena reize.</w:t>
            </w:r>
          </w:p>
          <w:p w:rsidR="00F44EB8" w:rsidRPr="00347817" w:rsidRDefault="00F44EB8" w:rsidP="006D36B9">
            <w:pPr>
              <w:pStyle w:val="ListParagraph"/>
              <w:ind w:left="0"/>
              <w:jc w:val="both"/>
              <w:rPr>
                <w:rFonts w:ascii="Times New Roman" w:hAnsi="Times New Roman"/>
                <w:sz w:val="24"/>
                <w:szCs w:val="24"/>
              </w:rPr>
            </w:pPr>
          </w:p>
          <w:p w:rsidR="00F44EB8" w:rsidRPr="00347817" w:rsidRDefault="00475E03" w:rsidP="00F44EB8">
            <w:pPr>
              <w:jc w:val="both"/>
            </w:pPr>
            <w:r w:rsidRPr="00347817">
              <w:t>8</w:t>
            </w:r>
            <w:r w:rsidR="009B0344" w:rsidRPr="00347817">
              <w:t>. </w:t>
            </w:r>
            <w:r w:rsidR="00F44EB8" w:rsidRPr="00347817">
              <w:t xml:space="preserve">Vidējais administratīvā sloga </w:t>
            </w:r>
            <w:r w:rsidR="007E2470" w:rsidRPr="00347817">
              <w:t>palielinājums, kas saistīts ar s</w:t>
            </w:r>
            <w:r w:rsidR="00F44EB8" w:rsidRPr="00347817">
              <w:t xml:space="preserve">ertifikācijas iestādes pienākumu </w:t>
            </w:r>
            <w:r w:rsidR="00F44EB8" w:rsidRPr="00347817">
              <w:rPr>
                <w:shd w:val="clear" w:color="auto" w:fill="FFFFFF"/>
              </w:rPr>
              <w:t xml:space="preserve">izdevumus sertificēt un apliecināt, ka izdevumi ir pārbaudīti un tie ir atbilstoši piemērojamiem tiesību aktiem, sagatavojot maksājuma pieteikumu iesniegšanai Eiropas Komisijā </w:t>
            </w:r>
            <w:r w:rsidR="00F44EB8" w:rsidRPr="00347817">
              <w:t>ir šāds:</w:t>
            </w:r>
          </w:p>
          <w:p w:rsidR="00F44EB8" w:rsidRPr="00347817" w:rsidRDefault="00F44EB8" w:rsidP="00F44EB8">
            <w:pPr>
              <w:jc w:val="both"/>
            </w:pPr>
          </w:p>
          <w:p w:rsidR="00F44EB8" w:rsidRPr="00347817" w:rsidRDefault="00F44EB8" w:rsidP="00F44EB8">
            <w:pPr>
              <w:jc w:val="both"/>
              <w:rPr>
                <w:b/>
              </w:rPr>
            </w:pPr>
            <w:r w:rsidRPr="00347817">
              <w:t>(</w:t>
            </w:r>
            <w:r w:rsidR="00397DA3" w:rsidRPr="00347817">
              <w:t xml:space="preserve">(21 x 8) x 3)) </w:t>
            </w:r>
            <w:r w:rsidRPr="00347817">
              <w:t xml:space="preserve">x 8,83) x 1 x1 = </w:t>
            </w:r>
            <w:r w:rsidRPr="00347817">
              <w:rPr>
                <w:b/>
              </w:rPr>
              <w:t>4450,</w:t>
            </w:r>
            <w:r w:rsidR="009B0344" w:rsidRPr="00347817">
              <w:rPr>
                <w:b/>
              </w:rPr>
              <w:t> </w:t>
            </w:r>
            <w:r w:rsidRPr="00347817">
              <w:rPr>
                <w:b/>
              </w:rPr>
              <w:t>32</w:t>
            </w:r>
            <w:r w:rsidR="009B0344" w:rsidRPr="00347817">
              <w:rPr>
                <w:b/>
              </w:rPr>
              <w:t> </w:t>
            </w:r>
            <w:proofErr w:type="spellStart"/>
            <w:r w:rsidRPr="00347817">
              <w:rPr>
                <w:b/>
              </w:rPr>
              <w:t>eur</w:t>
            </w:r>
            <w:proofErr w:type="spellEnd"/>
          </w:p>
          <w:p w:rsidR="004B4B1A" w:rsidRPr="00347817" w:rsidRDefault="004B4B1A" w:rsidP="00F44EB8">
            <w:pPr>
              <w:jc w:val="both"/>
              <w:rPr>
                <w:b/>
              </w:rPr>
            </w:pPr>
          </w:p>
          <w:p w:rsidR="00397DA3" w:rsidRPr="00347817" w:rsidRDefault="004B4B1A" w:rsidP="00F44EB8">
            <w:pPr>
              <w:jc w:val="both"/>
              <w:rPr>
                <w:color w:val="000000"/>
              </w:rPr>
            </w:pPr>
            <w:r w:rsidRPr="00347817">
              <w:rPr>
                <w:color w:val="000000"/>
              </w:rPr>
              <w:t xml:space="preserve">1 </w:t>
            </w:r>
            <w:r w:rsidR="00397DA3" w:rsidRPr="00347817">
              <w:rPr>
                <w:color w:val="000000"/>
              </w:rPr>
              <w:t xml:space="preserve">– </w:t>
            </w:r>
            <w:r w:rsidR="009B0344" w:rsidRPr="00347817">
              <w:rPr>
                <w:color w:val="000000"/>
              </w:rPr>
              <w:t xml:space="preserve">subjektu skaits, uz </w:t>
            </w:r>
            <w:r w:rsidRPr="00347817">
              <w:rPr>
                <w:color w:val="000000"/>
              </w:rPr>
              <w:t>ko attiecas projektā paredzētās informā</w:t>
            </w:r>
            <w:r w:rsidR="009B0344" w:rsidRPr="00347817">
              <w:rPr>
                <w:color w:val="000000"/>
              </w:rPr>
              <w:t>cijas sniegšanas prasības;</w:t>
            </w:r>
            <w:r w:rsidR="009B0344" w:rsidRPr="00347817">
              <w:rPr>
                <w:color w:val="000000"/>
              </w:rPr>
              <w:br/>
              <w:t>(21 </w:t>
            </w:r>
            <w:r w:rsidRPr="00347817">
              <w:rPr>
                <w:color w:val="000000"/>
              </w:rPr>
              <w:t xml:space="preserve">diena/mēnesī x 8h/dienā) x </w:t>
            </w:r>
            <w:r w:rsidR="00397DA3" w:rsidRPr="00347817">
              <w:rPr>
                <w:color w:val="000000"/>
              </w:rPr>
              <w:t>3</w:t>
            </w:r>
            <w:r w:rsidR="009B0344" w:rsidRPr="00347817">
              <w:rPr>
                <w:color w:val="000000"/>
              </w:rPr>
              <w:t> </w:t>
            </w:r>
            <w:r w:rsidRPr="00347817">
              <w:rPr>
                <w:color w:val="000000"/>
              </w:rPr>
              <w:t xml:space="preserve">mēneši – sertifikācijas </w:t>
            </w:r>
            <w:r w:rsidR="009B0344" w:rsidRPr="00347817">
              <w:rPr>
                <w:color w:val="000000"/>
              </w:rPr>
              <w:t xml:space="preserve">iestādei nepieciešamais laiks, </w:t>
            </w:r>
            <w:r w:rsidRPr="00347817">
              <w:rPr>
                <w:color w:val="000000"/>
              </w:rPr>
              <w:t xml:space="preserve">lai </w:t>
            </w:r>
            <w:r w:rsidR="00397DA3" w:rsidRPr="00347817">
              <w:rPr>
                <w:shd w:val="clear" w:color="auto" w:fill="FFFFFF"/>
              </w:rPr>
              <w:t>sertificētu un apliecinātu, ka izdevumi ir pārbaudīti un tie ir atbilstoši piemērojamiem tiesību aktiem, sagatavojot maksājuma pieteikumu iesniegšanai Eiropas Komisijā;</w:t>
            </w:r>
          </w:p>
          <w:p w:rsidR="004B4B1A" w:rsidRPr="00347817" w:rsidRDefault="009B0344" w:rsidP="00F44EB8">
            <w:pPr>
              <w:jc w:val="both"/>
              <w:rPr>
                <w:b/>
              </w:rPr>
            </w:pPr>
            <w:r w:rsidRPr="00347817">
              <w:rPr>
                <w:color w:val="000000"/>
              </w:rPr>
              <w:t xml:space="preserve">8,83 </w:t>
            </w:r>
            <w:r w:rsidR="004B4B1A" w:rsidRPr="00347817">
              <w:rPr>
                <w:color w:val="000000"/>
              </w:rPr>
              <w:t xml:space="preserve">– </w:t>
            </w:r>
            <w:r w:rsidR="004B4B1A" w:rsidRPr="00347817">
              <w:t>stundas tarifa likme valsts sektorā nodarbinātajiem pēc Centrālās statistikas pārvaldes datiem 2016.</w:t>
            </w:r>
            <w:r w:rsidRPr="00347817">
              <w:t> </w:t>
            </w:r>
            <w:r w:rsidR="004B4B1A" w:rsidRPr="00347817">
              <w:t>gada 1.</w:t>
            </w:r>
            <w:r w:rsidRPr="00347817">
              <w:t> </w:t>
            </w:r>
            <w:r w:rsidR="004B4B1A" w:rsidRPr="00347817">
              <w:t>ceturksnī;</w:t>
            </w:r>
            <w:r w:rsidR="004B4B1A" w:rsidRPr="00347817">
              <w:rPr>
                <w:color w:val="000000"/>
              </w:rPr>
              <w:br/>
              <w:t>1 – informācijas sniegšanas biežums gada laikā būs viena reize.</w:t>
            </w:r>
          </w:p>
          <w:p w:rsidR="00F44EB8" w:rsidRPr="00347817" w:rsidRDefault="00F44EB8" w:rsidP="00F44EB8">
            <w:pPr>
              <w:jc w:val="both"/>
            </w:pPr>
          </w:p>
          <w:p w:rsidR="00F44EB8" w:rsidRPr="00347817" w:rsidRDefault="00F44EB8" w:rsidP="00F44EB8">
            <w:pPr>
              <w:jc w:val="both"/>
              <w:rPr>
                <w:shd w:val="clear" w:color="auto" w:fill="FFFFFF"/>
              </w:rPr>
            </w:pPr>
            <w:r w:rsidRPr="00347817">
              <w:t>Vidējais administratīvā sloga palielinājums, kas saistīt</w:t>
            </w:r>
            <w:r w:rsidR="007E2470" w:rsidRPr="00347817">
              <w:t>s ar s</w:t>
            </w:r>
            <w:r w:rsidRPr="00347817">
              <w:t xml:space="preserve">ertifikācijas iestādes pienākumu elektroniski </w:t>
            </w:r>
            <w:r w:rsidRPr="00347817">
              <w:rPr>
                <w:shd w:val="clear" w:color="auto" w:fill="FFFFFF"/>
              </w:rPr>
              <w:t>iesniegt Eiropas Komisijai maksājuma pieteikumu ir šāds:</w:t>
            </w:r>
          </w:p>
          <w:p w:rsidR="00F44EB8" w:rsidRPr="00347817" w:rsidRDefault="00F44EB8" w:rsidP="00F44EB8">
            <w:pPr>
              <w:jc w:val="both"/>
              <w:rPr>
                <w:shd w:val="clear" w:color="auto" w:fill="FFFFFF"/>
              </w:rPr>
            </w:pPr>
          </w:p>
          <w:p w:rsidR="00F44EB8" w:rsidRPr="00347817" w:rsidRDefault="00F44EB8" w:rsidP="00F44EB8">
            <w:pPr>
              <w:jc w:val="both"/>
              <w:rPr>
                <w:b/>
                <w:shd w:val="clear" w:color="auto" w:fill="FFFFFF"/>
              </w:rPr>
            </w:pPr>
            <w:r w:rsidRPr="00347817">
              <w:rPr>
                <w:shd w:val="clear" w:color="auto" w:fill="FFFFFF"/>
              </w:rPr>
              <w:t xml:space="preserve">(8 x 8,83) x 1 x1 = </w:t>
            </w:r>
            <w:r w:rsidR="009B0344" w:rsidRPr="00347817">
              <w:rPr>
                <w:b/>
                <w:shd w:val="clear" w:color="auto" w:fill="FFFFFF"/>
              </w:rPr>
              <w:t>70, </w:t>
            </w:r>
            <w:r w:rsidRPr="00347817">
              <w:rPr>
                <w:b/>
                <w:shd w:val="clear" w:color="auto" w:fill="FFFFFF"/>
              </w:rPr>
              <w:t>64</w:t>
            </w:r>
            <w:r w:rsidR="009B0344" w:rsidRPr="00347817">
              <w:rPr>
                <w:b/>
                <w:shd w:val="clear" w:color="auto" w:fill="FFFFFF"/>
              </w:rPr>
              <w:t> </w:t>
            </w:r>
            <w:proofErr w:type="spellStart"/>
            <w:r w:rsidRPr="00347817">
              <w:rPr>
                <w:b/>
                <w:shd w:val="clear" w:color="auto" w:fill="FFFFFF"/>
              </w:rPr>
              <w:t>eur</w:t>
            </w:r>
            <w:proofErr w:type="spellEnd"/>
          </w:p>
          <w:p w:rsidR="00397DA3" w:rsidRPr="00347817" w:rsidRDefault="00397DA3" w:rsidP="00F44EB8">
            <w:pPr>
              <w:jc w:val="both"/>
              <w:rPr>
                <w:b/>
                <w:shd w:val="clear" w:color="auto" w:fill="FFFFFF"/>
              </w:rPr>
            </w:pPr>
          </w:p>
          <w:p w:rsidR="00397DA3" w:rsidRPr="00347817" w:rsidRDefault="00397DA3" w:rsidP="00397DA3">
            <w:pPr>
              <w:jc w:val="both"/>
              <w:rPr>
                <w:shd w:val="clear" w:color="auto" w:fill="FFFFFF"/>
              </w:rPr>
            </w:pPr>
            <w:r w:rsidRPr="00347817">
              <w:rPr>
                <w:color w:val="000000"/>
              </w:rPr>
              <w:t>1 – subjektu skaits, uz ko attiecas projektā paredzētās info</w:t>
            </w:r>
            <w:r w:rsidR="009B0344" w:rsidRPr="00347817">
              <w:rPr>
                <w:color w:val="000000"/>
              </w:rPr>
              <w:t>rmācijas sniegšanas prasības;</w:t>
            </w:r>
            <w:r w:rsidR="009B0344" w:rsidRPr="00347817">
              <w:rPr>
                <w:color w:val="000000"/>
              </w:rPr>
              <w:br/>
              <w:t>8 </w:t>
            </w:r>
            <w:r w:rsidRPr="00347817">
              <w:rPr>
                <w:color w:val="000000"/>
              </w:rPr>
              <w:t>stundas – sertifikācijas iestādei nepieciešamais laiks,</w:t>
            </w:r>
            <w:proofErr w:type="gramStart"/>
            <w:r w:rsidRPr="00347817">
              <w:rPr>
                <w:color w:val="000000"/>
              </w:rPr>
              <w:t xml:space="preserve">  </w:t>
            </w:r>
            <w:proofErr w:type="gramEnd"/>
            <w:r w:rsidRPr="00347817">
              <w:rPr>
                <w:color w:val="000000"/>
              </w:rPr>
              <w:t>lai</w:t>
            </w:r>
            <w:r w:rsidRPr="00347817">
              <w:t xml:space="preserve"> elektroniski </w:t>
            </w:r>
            <w:r w:rsidRPr="00347817">
              <w:rPr>
                <w:shd w:val="clear" w:color="auto" w:fill="FFFFFF"/>
              </w:rPr>
              <w:t>iesniegtu Eiropas Komisijai maksājuma pieteikumu;</w:t>
            </w:r>
            <w:r w:rsidRPr="00347817">
              <w:rPr>
                <w:color w:val="000000"/>
              </w:rPr>
              <w:t xml:space="preserve"> </w:t>
            </w:r>
          </w:p>
          <w:p w:rsidR="00397DA3" w:rsidRPr="00347817" w:rsidRDefault="009B0344" w:rsidP="00397DA3">
            <w:pPr>
              <w:jc w:val="both"/>
              <w:rPr>
                <w:b/>
              </w:rPr>
            </w:pPr>
            <w:r w:rsidRPr="00347817">
              <w:rPr>
                <w:color w:val="000000"/>
              </w:rPr>
              <w:t>8,83</w:t>
            </w:r>
            <w:r w:rsidR="00397DA3" w:rsidRPr="00347817">
              <w:rPr>
                <w:color w:val="000000"/>
              </w:rPr>
              <w:t xml:space="preserve"> – </w:t>
            </w:r>
            <w:r w:rsidR="00397DA3" w:rsidRPr="00347817">
              <w:t>stundas tarifa likme valsts sektorā nodarbinātajiem pēc Centrālās statistikas pārvaldes datiem 2016.</w:t>
            </w:r>
            <w:r w:rsidRPr="00347817">
              <w:t> </w:t>
            </w:r>
            <w:r w:rsidR="00397DA3" w:rsidRPr="00347817">
              <w:t>gada 1.</w:t>
            </w:r>
            <w:r w:rsidRPr="00347817">
              <w:t> </w:t>
            </w:r>
            <w:r w:rsidR="00397DA3" w:rsidRPr="00347817">
              <w:t>ceturksnī;</w:t>
            </w:r>
            <w:r w:rsidR="00397DA3" w:rsidRPr="00347817">
              <w:rPr>
                <w:color w:val="000000"/>
              </w:rPr>
              <w:br/>
              <w:t>1 – informācijas sniegšanas biežums gada laikā būs viena reize.</w:t>
            </w:r>
          </w:p>
          <w:p w:rsidR="008729FD" w:rsidRPr="00347817" w:rsidRDefault="008729FD" w:rsidP="00F44EB8">
            <w:pPr>
              <w:jc w:val="both"/>
              <w:rPr>
                <w:shd w:val="clear" w:color="auto" w:fill="FFFFFF"/>
              </w:rPr>
            </w:pPr>
          </w:p>
          <w:p w:rsidR="004B4B1A" w:rsidRPr="00347817" w:rsidRDefault="00475E03" w:rsidP="004B4B1A">
            <w:pPr>
              <w:jc w:val="both"/>
            </w:pPr>
            <w:r w:rsidRPr="00347817">
              <w:rPr>
                <w:shd w:val="clear" w:color="auto" w:fill="FFFFFF"/>
              </w:rPr>
              <w:t>9</w:t>
            </w:r>
            <w:r w:rsidR="008729FD" w:rsidRPr="00347817">
              <w:rPr>
                <w:shd w:val="clear" w:color="auto" w:fill="FFFFFF"/>
              </w:rPr>
              <w:t>.</w:t>
            </w:r>
            <w:r w:rsidR="009B0344" w:rsidRPr="00347817">
              <w:t> </w:t>
            </w:r>
            <w:r w:rsidR="008729FD" w:rsidRPr="00347817">
              <w:t xml:space="preserve">Vidējais administratīvā sloga </w:t>
            </w:r>
            <w:r w:rsidR="007E2470" w:rsidRPr="00347817">
              <w:t>palielinājums, kas saistīts ar s</w:t>
            </w:r>
            <w:r w:rsidR="008729FD" w:rsidRPr="00347817">
              <w:t>ertifikācijas iestādes pienākumu</w:t>
            </w:r>
            <w:r w:rsidR="004B4B1A" w:rsidRPr="00347817">
              <w:t xml:space="preserve"> </w:t>
            </w:r>
            <w:r w:rsidR="004B4B1A" w:rsidRPr="00347817">
              <w:rPr>
                <w:shd w:val="clear" w:color="auto" w:fill="FFFFFF"/>
              </w:rPr>
              <w:t xml:space="preserve">sagatavot </w:t>
            </w:r>
            <w:r w:rsidR="008A1FE7">
              <w:rPr>
                <w:shd w:val="clear" w:color="auto" w:fill="FFFFFF"/>
              </w:rPr>
              <w:t xml:space="preserve">iesniegšanai </w:t>
            </w:r>
            <w:r w:rsidR="004B4B1A" w:rsidRPr="00347817">
              <w:rPr>
                <w:shd w:val="clear" w:color="auto" w:fill="FFFFFF"/>
              </w:rPr>
              <w:t>Eiropas Komisijā Finanšu regulas 59.</w:t>
            </w:r>
            <w:r w:rsidR="009B0344" w:rsidRPr="00347817">
              <w:rPr>
                <w:shd w:val="clear" w:color="auto" w:fill="FFFFFF"/>
              </w:rPr>
              <w:t> </w:t>
            </w:r>
            <w:r w:rsidR="004B4B1A" w:rsidRPr="00347817">
              <w:rPr>
                <w:shd w:val="clear" w:color="auto" w:fill="FFFFFF"/>
              </w:rPr>
              <w:t>panta 5.</w:t>
            </w:r>
            <w:r w:rsidR="009B0344" w:rsidRPr="00347817">
              <w:rPr>
                <w:shd w:val="clear" w:color="auto" w:fill="FFFFFF"/>
              </w:rPr>
              <w:t> </w:t>
            </w:r>
            <w:r w:rsidR="004B4B1A" w:rsidRPr="00347817">
              <w:rPr>
                <w:shd w:val="clear" w:color="auto" w:fill="FFFFFF"/>
              </w:rPr>
              <w:t>punkta pirmās daļas a)</w:t>
            </w:r>
            <w:r w:rsidR="009B0344" w:rsidRPr="00347817">
              <w:rPr>
                <w:shd w:val="clear" w:color="auto" w:fill="FFFFFF"/>
              </w:rPr>
              <w:t> </w:t>
            </w:r>
            <w:r w:rsidR="004B4B1A" w:rsidRPr="00347817">
              <w:rPr>
                <w:shd w:val="clear" w:color="auto" w:fill="FFFFFF"/>
              </w:rPr>
              <w:t>apakšpunktā minētos pārskatus, vest uzskaiti par atgūstamajām summām un summām, kas atsauktas pēc visa piešķirtā ieguldījuma vai tā daļas atcelšanas un veikt fonda atbalsta ieviešanas pārbaudes, kas nepieciešamas Eiropas Komisijai iesniedzamo pārskatu apstiprināšanai, ir šādas:</w:t>
            </w:r>
          </w:p>
          <w:p w:rsidR="004B4B1A" w:rsidRPr="00347817" w:rsidRDefault="004B4B1A" w:rsidP="004B4B1A">
            <w:pPr>
              <w:pStyle w:val="CommentText"/>
              <w:jc w:val="both"/>
              <w:rPr>
                <w:sz w:val="24"/>
                <w:szCs w:val="24"/>
                <w:shd w:val="clear" w:color="auto" w:fill="FFFFFF"/>
              </w:rPr>
            </w:pPr>
          </w:p>
          <w:p w:rsidR="00F44EB8" w:rsidRPr="00347817" w:rsidRDefault="004B4B1A" w:rsidP="004B4B1A">
            <w:pPr>
              <w:pStyle w:val="CommentText"/>
              <w:jc w:val="both"/>
              <w:rPr>
                <w:b/>
                <w:sz w:val="24"/>
                <w:szCs w:val="24"/>
                <w:shd w:val="clear" w:color="auto" w:fill="FFFFFF"/>
              </w:rPr>
            </w:pPr>
            <w:r w:rsidRPr="00347817">
              <w:rPr>
                <w:sz w:val="24"/>
                <w:szCs w:val="24"/>
                <w:shd w:val="clear" w:color="auto" w:fill="FFFFFF"/>
              </w:rPr>
              <w:t xml:space="preserve">((21 x 8) x 6)) x 8,83) x 1 x 1 = </w:t>
            </w:r>
            <w:r w:rsidRPr="00347817">
              <w:rPr>
                <w:b/>
                <w:sz w:val="24"/>
                <w:szCs w:val="24"/>
                <w:shd w:val="clear" w:color="auto" w:fill="FFFFFF"/>
              </w:rPr>
              <w:t>8900,</w:t>
            </w:r>
            <w:r w:rsidR="009B0344" w:rsidRPr="00347817">
              <w:rPr>
                <w:b/>
                <w:sz w:val="24"/>
                <w:szCs w:val="24"/>
                <w:shd w:val="clear" w:color="auto" w:fill="FFFFFF"/>
              </w:rPr>
              <w:t> 64 </w:t>
            </w:r>
            <w:proofErr w:type="spellStart"/>
            <w:r w:rsidRPr="00347817">
              <w:rPr>
                <w:b/>
                <w:sz w:val="24"/>
                <w:szCs w:val="24"/>
                <w:shd w:val="clear" w:color="auto" w:fill="FFFFFF"/>
              </w:rPr>
              <w:t>eur</w:t>
            </w:r>
            <w:proofErr w:type="spellEnd"/>
          </w:p>
          <w:p w:rsidR="00397DA3" w:rsidRPr="00347817" w:rsidRDefault="00397DA3" w:rsidP="004B4B1A">
            <w:pPr>
              <w:pStyle w:val="CommentText"/>
              <w:jc w:val="both"/>
              <w:rPr>
                <w:b/>
                <w:sz w:val="24"/>
                <w:szCs w:val="24"/>
                <w:shd w:val="clear" w:color="auto" w:fill="FFFFFF"/>
              </w:rPr>
            </w:pPr>
          </w:p>
          <w:p w:rsidR="00397DA3" w:rsidRPr="00347817" w:rsidRDefault="009B0344" w:rsidP="00397DA3">
            <w:pPr>
              <w:jc w:val="both"/>
              <w:rPr>
                <w:shd w:val="clear" w:color="auto" w:fill="FFFFFF"/>
              </w:rPr>
            </w:pPr>
            <w:r w:rsidRPr="00347817">
              <w:rPr>
                <w:color w:val="000000"/>
              </w:rPr>
              <w:t xml:space="preserve">1 – subjektu skaits, </w:t>
            </w:r>
            <w:r w:rsidR="00397DA3" w:rsidRPr="00347817">
              <w:rPr>
                <w:color w:val="000000"/>
              </w:rPr>
              <w:t>uz ko attiecas projektā paredzētās informācijas sniegšanas prasības;</w:t>
            </w:r>
            <w:r w:rsidR="00397DA3" w:rsidRPr="00347817">
              <w:rPr>
                <w:color w:val="000000"/>
              </w:rPr>
              <w:br/>
            </w:r>
            <w:r w:rsidRPr="00347817">
              <w:rPr>
                <w:shd w:val="clear" w:color="auto" w:fill="FFFFFF"/>
              </w:rPr>
              <w:t>(21 </w:t>
            </w:r>
            <w:r w:rsidR="00397DA3" w:rsidRPr="00347817">
              <w:rPr>
                <w:shd w:val="clear" w:color="auto" w:fill="FFFFFF"/>
              </w:rPr>
              <w:t xml:space="preserve">diena/mēnesī x </w:t>
            </w:r>
            <w:r w:rsidRPr="00347817">
              <w:rPr>
                <w:shd w:val="clear" w:color="auto" w:fill="FFFFFF"/>
              </w:rPr>
              <w:t>8 stundas/dienā) x 6 </w:t>
            </w:r>
            <w:r w:rsidR="00397DA3" w:rsidRPr="00347817">
              <w:rPr>
                <w:shd w:val="clear" w:color="auto" w:fill="FFFFFF"/>
              </w:rPr>
              <w:t xml:space="preserve">mēneši </w:t>
            </w:r>
            <w:r w:rsidR="00397DA3" w:rsidRPr="00347817">
              <w:rPr>
                <w:color w:val="000000"/>
              </w:rPr>
              <w:t xml:space="preserve">– sertifikācijas </w:t>
            </w:r>
            <w:r w:rsidRPr="00347817">
              <w:rPr>
                <w:color w:val="000000"/>
              </w:rPr>
              <w:t xml:space="preserve">iestādei nepieciešamais laiks, </w:t>
            </w:r>
            <w:r w:rsidR="00397DA3" w:rsidRPr="00347817">
              <w:rPr>
                <w:color w:val="000000"/>
              </w:rPr>
              <w:t>lai</w:t>
            </w:r>
            <w:r w:rsidR="00397DA3" w:rsidRPr="00347817">
              <w:t xml:space="preserve"> elektroniski </w:t>
            </w:r>
            <w:r w:rsidR="00397DA3" w:rsidRPr="00347817">
              <w:rPr>
                <w:shd w:val="clear" w:color="auto" w:fill="FFFFFF"/>
              </w:rPr>
              <w:t>iesniegtu Eiropas Komisijai maksājuma pieteikumu;</w:t>
            </w:r>
            <w:r w:rsidR="00397DA3" w:rsidRPr="00347817">
              <w:rPr>
                <w:color w:val="000000"/>
              </w:rPr>
              <w:t xml:space="preserve"> </w:t>
            </w:r>
          </w:p>
          <w:p w:rsidR="004B4B1A" w:rsidRPr="00347817" w:rsidRDefault="009B0344" w:rsidP="00397DA3">
            <w:pPr>
              <w:jc w:val="both"/>
              <w:rPr>
                <w:color w:val="000000"/>
              </w:rPr>
            </w:pPr>
            <w:r w:rsidRPr="00347817">
              <w:rPr>
                <w:color w:val="000000"/>
              </w:rPr>
              <w:t>8,83</w:t>
            </w:r>
            <w:r w:rsidR="00397DA3" w:rsidRPr="00347817">
              <w:rPr>
                <w:color w:val="000000"/>
              </w:rPr>
              <w:t xml:space="preserve"> – </w:t>
            </w:r>
            <w:r w:rsidR="00397DA3" w:rsidRPr="00347817">
              <w:t xml:space="preserve">stundas tarifa likme valsts sektorā nodarbinātajiem </w:t>
            </w:r>
            <w:r w:rsidR="00397DA3" w:rsidRPr="00347817">
              <w:lastRenderedPageBreak/>
              <w:t>pēc Centrālās statistikas pārvaldes datiem 2016.</w:t>
            </w:r>
            <w:r w:rsidRPr="00347817">
              <w:t> </w:t>
            </w:r>
            <w:r w:rsidR="00397DA3" w:rsidRPr="00347817">
              <w:t>gada 1.</w:t>
            </w:r>
            <w:r w:rsidRPr="00347817">
              <w:t> </w:t>
            </w:r>
            <w:r w:rsidR="00397DA3" w:rsidRPr="00347817">
              <w:t>ceturksnī;</w:t>
            </w:r>
            <w:r w:rsidR="00397DA3" w:rsidRPr="00347817">
              <w:rPr>
                <w:color w:val="000000"/>
              </w:rPr>
              <w:br/>
              <w:t>1 – informācijas sniegšanas biežums gada laikā būs viena reize.</w:t>
            </w:r>
          </w:p>
          <w:p w:rsidR="00A17ADD" w:rsidRPr="00347817" w:rsidRDefault="00A17ADD" w:rsidP="00A17ADD">
            <w:pPr>
              <w:jc w:val="both"/>
            </w:pPr>
            <w:r w:rsidRPr="00347817">
              <w:t>Administratīvās izmaksas tiks nodrošinātas no EGF finansējuma (administrēšanas izmaksu ietvaros).</w:t>
            </w:r>
          </w:p>
        </w:tc>
      </w:tr>
      <w:tr w:rsidR="00081E5D" w:rsidRPr="0034781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4.</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73664" w:rsidRPr="00347817" w:rsidRDefault="00573664" w:rsidP="00573664">
      <w:pPr>
        <w:shd w:val="clear" w:color="auto" w:fill="FFFFFF"/>
        <w:spacing w:before="100" w:beforeAutospacing="1" w:after="100" w:afterAutospacing="1" w:line="293" w:lineRule="atLeast"/>
        <w:ind w:firstLine="300"/>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081E5D" w:rsidRPr="00347817" w:rsidTr="00166387">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III. Tiesību akta projekta ietekme uz valsts budžetu un pašvaldību budžetiem</w:t>
            </w:r>
          </w:p>
        </w:tc>
      </w:tr>
      <w:tr w:rsidR="00081E5D" w:rsidRPr="00347817" w:rsidTr="00F93284">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Turpmākie trīs gadi (</w:t>
            </w:r>
            <w:proofErr w:type="spellStart"/>
            <w:r w:rsidRPr="00347817">
              <w:rPr>
                <w:i/>
                <w:iCs/>
              </w:rPr>
              <w:t>euro</w:t>
            </w:r>
            <w:proofErr w:type="spellEnd"/>
            <w:r w:rsidRPr="00347817">
              <w:t>)</w:t>
            </w:r>
          </w:p>
        </w:tc>
      </w:tr>
      <w:tr w:rsidR="00081E5D" w:rsidRPr="00347817" w:rsidTr="00F9328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rPr>
                <w:b/>
                <w:bC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n+3</w:t>
            </w:r>
          </w:p>
        </w:tc>
      </w:tr>
      <w:tr w:rsidR="00081E5D" w:rsidRPr="00347817" w:rsidTr="00F9328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rPr>
                <w:b/>
                <w:bC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izmaiņas, salīdzinot ar kārtējo (n) gadu</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pPr>
            <w:r w:rsidRPr="00347817">
              <w:t>6</w:t>
            </w:r>
          </w:p>
        </w:tc>
      </w:tr>
      <w:tr w:rsidR="00081E5D" w:rsidRPr="00347817" w:rsidTr="00F93284">
        <w:trPr>
          <w:trHeight w:val="270"/>
          <w:jc w:val="center"/>
        </w:trPr>
        <w:tc>
          <w:tcPr>
            <w:tcW w:w="1700" w:type="pct"/>
            <w:tcBorders>
              <w:top w:val="outset" w:sz="6" w:space="0" w:color="414142"/>
              <w:left w:val="outset" w:sz="6" w:space="0" w:color="414142"/>
              <w:bottom w:val="outset" w:sz="6" w:space="0" w:color="414142"/>
              <w:right w:val="outset" w:sz="6" w:space="0" w:color="414142"/>
            </w:tcBorders>
            <w:hideMark/>
          </w:tcPr>
          <w:p w:rsidR="00F93284" w:rsidRPr="00347817" w:rsidRDefault="00F93284" w:rsidP="00166387">
            <w:r w:rsidRPr="00347817">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F93284" w:rsidRPr="00347817" w:rsidRDefault="00F93284" w:rsidP="00166387">
            <w:r w:rsidRPr="00347817">
              <w:t> Nav precīzi aprēķināms.</w:t>
            </w:r>
          </w:p>
          <w:p w:rsidR="00F93284" w:rsidRPr="00347817" w:rsidRDefault="00F93284" w:rsidP="00F15FB6">
            <w:r w:rsidRPr="00347817">
              <w:t>  </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F93284" w:rsidP="00166387">
            <w:r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F93284" w:rsidP="00166387">
            <w:r w:rsidRPr="00347817">
              <w:t>0</w:t>
            </w:r>
            <w:r w:rsidR="00573664" w:rsidRPr="00347817">
              <w:t> </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F93284" w:rsidP="00166387">
            <w:r w:rsidRPr="00347817">
              <w:t xml:space="preserve"> 0</w:t>
            </w:r>
            <w:r w:rsidR="00573664" w:rsidRPr="00347817">
              <w:t> </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X</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X</w:t>
            </w:r>
          </w:p>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F9328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c>
          <w:tcPr>
            <w:tcW w:w="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6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c>
          <w:tcPr>
            <w:tcW w:w="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w:t>
            </w:r>
            <w:r w:rsidR="00F93284" w:rsidRPr="00347817">
              <w:t>0</w:t>
            </w:r>
          </w:p>
        </w:tc>
      </w:tr>
      <w:tr w:rsidR="00081E5D" w:rsidRPr="00347817" w:rsidTr="0016638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F93284" w:rsidP="00166387">
            <w:r w:rsidRPr="00347817">
              <w:t>0</w:t>
            </w:r>
          </w:p>
        </w:tc>
      </w:tr>
      <w:tr w:rsidR="00081E5D" w:rsidRPr="00347817" w:rsidTr="0016638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r>
      <w:tr w:rsidR="00081E5D" w:rsidRPr="00347817" w:rsidTr="00166387">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tc>
      </w:tr>
      <w:tr w:rsidR="00081E5D" w:rsidRPr="00347817" w:rsidTr="00166387">
        <w:trPr>
          <w:trHeight w:val="555"/>
          <w:jc w:val="center"/>
        </w:trPr>
        <w:tc>
          <w:tcPr>
            <w:tcW w:w="17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41AFA" w:rsidRPr="00347817" w:rsidRDefault="00DC3E55" w:rsidP="00DC3E55">
            <w:pPr>
              <w:tabs>
                <w:tab w:val="num" w:pos="993"/>
              </w:tabs>
              <w:jc w:val="both"/>
              <w:rPr>
                <w:color w:val="000000"/>
              </w:rPr>
            </w:pPr>
            <w:r w:rsidRPr="00347817">
              <w:rPr>
                <w:color w:val="000000"/>
              </w:rPr>
              <w:t xml:space="preserve">Ministru kabineta sēdes </w:t>
            </w:r>
            <w:proofErr w:type="spellStart"/>
            <w:r w:rsidRPr="00347817">
              <w:rPr>
                <w:color w:val="000000"/>
              </w:rPr>
              <w:t>protokollēmuma</w:t>
            </w:r>
            <w:proofErr w:type="spellEnd"/>
            <w:r w:rsidRPr="00347817">
              <w:rPr>
                <w:color w:val="000000"/>
              </w:rPr>
              <w:t xml:space="preserve"> projekta 2.</w:t>
            </w:r>
            <w:r w:rsidR="00F15FB6" w:rsidRPr="00347817">
              <w:rPr>
                <w:color w:val="000000"/>
              </w:rPr>
              <w:t> </w:t>
            </w:r>
            <w:r w:rsidRPr="00347817">
              <w:rPr>
                <w:color w:val="000000"/>
              </w:rPr>
              <w:t>punkts paredz Labklājības ministrijai sagatavot un iesniegt Ministru kabinetā informatīvo ziņojumu ar situācijas aprakstu</w:t>
            </w:r>
            <w:proofErr w:type="gramStart"/>
            <w:r w:rsidRPr="00347817">
              <w:rPr>
                <w:color w:val="000000"/>
              </w:rPr>
              <w:t xml:space="preserve"> un</w:t>
            </w:r>
            <w:proofErr w:type="gramEnd"/>
            <w:r w:rsidRPr="00347817">
              <w:rPr>
                <w:color w:val="000000"/>
              </w:rPr>
              <w:t xml:space="preserve"> detalizētu finansiālo ietekmi lēmuma pieņemšanai par finansējuma pārdali no 74.</w:t>
            </w:r>
            <w:r w:rsidR="00F15FB6" w:rsidRPr="00347817">
              <w:rPr>
                <w:color w:val="000000"/>
              </w:rPr>
              <w:t> </w:t>
            </w:r>
            <w:r w:rsidRPr="00347817">
              <w:rPr>
                <w:color w:val="000000"/>
              </w:rPr>
              <w:t>resora “Gadskārtējā valsts budžeta izpildes procesā pārdalāmais finansējums” 80.00.00</w:t>
            </w:r>
            <w:r w:rsidR="00F15FB6" w:rsidRPr="00347817">
              <w:rPr>
                <w:color w:val="000000"/>
              </w:rPr>
              <w:t> </w:t>
            </w:r>
            <w:r w:rsidRPr="00347817">
              <w:rPr>
                <w:color w:val="000000"/>
              </w:rPr>
              <w:t>programmas “Nesadalītais finansējums Eiropas Savienības politiku instrumentu un pārējās ārvalstu finanšu palīdzības līdzfinansēto projektu un pasākumu īstenošanai” pirms projekta iesnieguma apstiprināšanas, ja kolektīvās atlaišanas gadījumā Latvijā atbilstoši Padomes regulai Nr.</w:t>
            </w:r>
            <w:r w:rsidR="00F15FB6" w:rsidRPr="00347817">
              <w:t> </w:t>
            </w:r>
            <w:r w:rsidRPr="00347817">
              <w:rPr>
                <w:color w:val="000000"/>
              </w:rPr>
              <w:t>1309/2013, kad lielu strukturālu pārmaiņu rezultātā, kas pasaules tirdzniecības modeļos notikušas globalizācijas dēļ vai saistībā ar ilgstošu vai jaunu globālo finanšu un ekonomikas krīzi, būs nepieciešams izmantot Eiropas Globalizācijas pielāgošanās fonda finansējumu, lai veicinātu ātrāku bez darba palikušo cilvēku atgriešanu darba tirgū.</w:t>
            </w:r>
          </w:p>
          <w:p w:rsidR="00D70938" w:rsidRPr="00347817" w:rsidRDefault="00D70938" w:rsidP="00DC3E55">
            <w:pPr>
              <w:tabs>
                <w:tab w:val="num" w:pos="993"/>
              </w:tabs>
              <w:jc w:val="both"/>
            </w:pPr>
            <w:r w:rsidRPr="00347817">
              <w:rPr>
                <w:shd w:val="clear" w:color="auto" w:fill="FFFFFF"/>
              </w:rPr>
              <w:t>Pēc gala maksājuma saņemšanas no Eiropas Komisijas Valsts kase nodrošinās Eiropas Komisijas piešķirtā finansējuma ieskaitīšanu valsts pamatbudžeta ieņēmumos.</w:t>
            </w:r>
          </w:p>
        </w:tc>
      </w:tr>
    </w:tbl>
    <w:p w:rsidR="00573664" w:rsidRPr="00347817" w:rsidRDefault="00573664" w:rsidP="00573664">
      <w:pPr>
        <w:shd w:val="clear" w:color="auto" w:fill="FFFFFF"/>
        <w:spacing w:before="100" w:beforeAutospacing="1" w:after="100" w:afterAutospacing="1" w:line="293" w:lineRule="atLeast"/>
        <w:ind w:firstLine="300"/>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166387">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081E5D" w:rsidP="00166387">
            <w:pPr>
              <w:jc w:val="both"/>
            </w:pPr>
            <w:r w:rsidRPr="00347817">
              <w:t>Nav.</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105CBE" w:rsidP="00166387">
            <w:r w:rsidRPr="00347817">
              <w:rPr>
                <w:i/>
              </w:rPr>
              <w:t>Projekts šo jomu neskar</w:t>
            </w:r>
          </w:p>
        </w:tc>
      </w:tr>
      <w:tr w:rsidR="00081E5D" w:rsidRPr="00347817" w:rsidTr="00166387">
        <w:trPr>
          <w:trHeight w:val="506"/>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pPr>
            <w:r w:rsidRPr="00347817">
              <w:t>Nav.</w:t>
            </w:r>
          </w:p>
        </w:tc>
      </w:tr>
    </w:tbl>
    <w:p w:rsidR="00E25433" w:rsidRPr="00347817" w:rsidRDefault="00573664" w:rsidP="00573664">
      <w:pPr>
        <w:shd w:val="clear" w:color="auto" w:fill="FFFFFF"/>
        <w:spacing w:before="100" w:beforeAutospacing="1" w:after="100" w:afterAutospacing="1" w:line="293" w:lineRule="atLeast"/>
        <w:ind w:firstLine="300"/>
      </w:pPr>
      <w:r w:rsidRPr="00347817">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E2543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5433" w:rsidRPr="00347817" w:rsidRDefault="00E25433">
            <w:pPr>
              <w:pStyle w:val="tvhtml"/>
              <w:spacing w:line="293" w:lineRule="atLeast"/>
              <w:jc w:val="center"/>
              <w:rPr>
                <w:b/>
                <w:bCs/>
              </w:rPr>
            </w:pPr>
            <w:r w:rsidRPr="00347817">
              <w:rPr>
                <w:b/>
                <w:bCs/>
              </w:rPr>
              <w:t>V. Tiesību akta projekta atbilstība Latvijas Republikas starptautiskajām saistībām</w:t>
            </w: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7E546D" w:rsidP="000822A1">
            <w:pPr>
              <w:jc w:val="both"/>
            </w:pPr>
            <w:r w:rsidRPr="00347817">
              <w:t>Eiropas Parlamenta un Padomes 2013.</w:t>
            </w:r>
            <w:r w:rsidR="00F15FB6" w:rsidRPr="00347817">
              <w:t> </w:t>
            </w:r>
            <w:r w:rsidRPr="00347817">
              <w:t>gada 17.</w:t>
            </w:r>
            <w:r w:rsidR="00F15FB6" w:rsidRPr="00347817">
              <w:t> </w:t>
            </w:r>
            <w:r w:rsidRPr="00347817">
              <w:t>decembra Regula (ES) Nr. 1309/2013 par Eiropas Globalizācijas pielāgošanās fondu (2014-2020) un ar ko atceļ Regulu (EK)</w:t>
            </w:r>
            <w:r w:rsidR="00F15FB6" w:rsidRPr="00347817">
              <w:t xml:space="preserve"> Nr. 1927/2006. Padomes regula Nr. </w:t>
            </w:r>
            <w:r w:rsidRPr="00347817">
              <w:t>1309/2013 ir saistoša visiem tiesību subjektiem un tā ir tieši piemērojama no 2014.</w:t>
            </w:r>
            <w:r w:rsidR="00F15FB6" w:rsidRPr="00347817">
              <w:t> </w:t>
            </w:r>
            <w:r w:rsidRPr="00347817">
              <w:t>gada 1.</w:t>
            </w:r>
            <w:r w:rsidR="00F15FB6" w:rsidRPr="00347817">
              <w:t> </w:t>
            </w:r>
            <w:r w:rsidRPr="00347817">
              <w:t>janvāra līdz 2020.</w:t>
            </w:r>
            <w:r w:rsidR="00F15FB6" w:rsidRPr="00347817">
              <w:t> </w:t>
            </w:r>
            <w:r w:rsidRPr="00347817">
              <w:t>gada 31.</w:t>
            </w:r>
            <w:r w:rsidR="00F15FB6" w:rsidRPr="00347817">
              <w:t> </w:t>
            </w:r>
            <w:r w:rsidRPr="00347817">
              <w:t>decembrim.</w:t>
            </w: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7E546D">
            <w:r w:rsidRPr="00347817">
              <w:rPr>
                <w:i/>
              </w:rPr>
              <w:t>Projekts šo jomu neskar</w:t>
            </w:r>
          </w:p>
        </w:tc>
      </w:tr>
      <w:tr w:rsidR="00081E5D" w:rsidRPr="00347817" w:rsidTr="007E546D">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7E546D">
            <w:pPr>
              <w:pStyle w:val="tvhtml"/>
              <w:spacing w:line="293" w:lineRule="atLeast"/>
            </w:pPr>
            <w:r w:rsidRPr="00347817">
              <w:t>Nav.</w:t>
            </w:r>
          </w:p>
        </w:tc>
      </w:tr>
    </w:tbl>
    <w:p w:rsidR="00E25433" w:rsidRPr="00347817" w:rsidRDefault="00E25433" w:rsidP="00E25433">
      <w:pPr>
        <w:pStyle w:val="tvhtml"/>
        <w:shd w:val="clear" w:color="auto" w:fill="FFFFFF"/>
        <w:spacing w:line="293" w:lineRule="atLeast"/>
        <w:ind w:firstLine="300"/>
      </w:pPr>
      <w:r w:rsidRPr="00347817">
        <w:t> </w:t>
      </w:r>
    </w:p>
    <w:tbl>
      <w:tblPr>
        <w:tblW w:w="504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00"/>
        <w:gridCol w:w="2089"/>
        <w:gridCol w:w="2557"/>
        <w:gridCol w:w="2465"/>
      </w:tblGrid>
      <w:tr w:rsidR="00081E5D" w:rsidRPr="00347817" w:rsidTr="00843D78">
        <w:trPr>
          <w:jc w:val="center"/>
        </w:trPr>
        <w:tc>
          <w:tcPr>
            <w:tcW w:w="9211" w:type="dxa"/>
            <w:gridSpan w:val="4"/>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rPr>
                <w:b/>
                <w:bCs/>
              </w:rPr>
            </w:pPr>
            <w:r w:rsidRPr="00347817">
              <w:rPr>
                <w:b/>
                <w:bCs/>
              </w:rPr>
              <w:t>1.tabula</w:t>
            </w:r>
            <w:r w:rsidRPr="00347817">
              <w:rPr>
                <w:b/>
                <w:bCs/>
              </w:rPr>
              <w:br/>
              <w:t>Tiesību akta projekta atbilstība ES tiesību aktiem</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datums, numurs un nosaukums</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E25433" w:rsidRPr="00347817" w:rsidRDefault="000822A1" w:rsidP="00F15FB6">
            <w:r w:rsidRPr="00347817">
              <w:t>Eiropas Parlamenta un Padomes 2013.</w:t>
            </w:r>
            <w:r w:rsidR="00F15FB6" w:rsidRPr="00347817">
              <w:t> </w:t>
            </w:r>
            <w:r w:rsidRPr="00347817">
              <w:t>gada 17.</w:t>
            </w:r>
            <w:r w:rsidR="00F15FB6" w:rsidRPr="00347817">
              <w:t> </w:t>
            </w:r>
            <w:r w:rsidRPr="00347817">
              <w:t>decembra Regula (ES) Nr. 1309/2013 par Eiropas Globalizācijas pielāgošanās fondu (2014-2020) un ar ko atceļ Regulu (EK) Nr.</w:t>
            </w:r>
            <w:r w:rsidR="00F15FB6" w:rsidRPr="00347817">
              <w:t> </w:t>
            </w:r>
            <w:r w:rsidRPr="00347817">
              <w:t>1927/200</w:t>
            </w:r>
            <w:r w:rsidR="00F15FB6" w:rsidRPr="00347817">
              <w:t>6 (turpmāk – Padomes regula Nr. </w:t>
            </w:r>
            <w:r w:rsidRPr="00347817">
              <w:t>1309/2013).</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A</w:t>
            </w:r>
          </w:p>
        </w:tc>
        <w:tc>
          <w:tcPr>
            <w:tcW w:w="2089"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B</w:t>
            </w:r>
          </w:p>
        </w:tc>
        <w:tc>
          <w:tcPr>
            <w:tcW w:w="2557"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C</w:t>
            </w:r>
          </w:p>
        </w:tc>
        <w:tc>
          <w:tcPr>
            <w:tcW w:w="2465"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D</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panta numurs (uzskaitot katru tiesību akta vienību – pantu, daļu, punktu, apakšpunktu)</w:t>
            </w:r>
          </w:p>
        </w:tc>
        <w:tc>
          <w:tcPr>
            <w:tcW w:w="2089"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Projekta vienība, kas pārņem vai ievieš katru šīs tabulas A ailē minēto ES tiesību akta vienību, vai tiesību akts, kur attiecīgā ES tiesību akta vienība pārņemta vai ieviesta</w:t>
            </w:r>
          </w:p>
        </w:tc>
        <w:tc>
          <w:tcPr>
            <w:tcW w:w="2557"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Informācija par to, vai šīs tabulas A ailē minētās ES tiesību akta vienības tiek pārņemtas vai ieviestas pilnībā vai daļēji.</w:t>
            </w:r>
          </w:p>
          <w:p w:rsidR="00E25433" w:rsidRPr="00347817" w:rsidRDefault="00E25433">
            <w:pPr>
              <w:pStyle w:val="tvhtml"/>
              <w:spacing w:line="293" w:lineRule="atLeast"/>
            </w:pPr>
            <w:r w:rsidRPr="00347817">
              <w:t>Ja attiecīgā ES tiesību akta vienība tiek pārņemta vai ieviesta daļēji, sniedz attiecīgu skaidrojumu, kā arī precīzi norāda, kad un kādā veidā ES tiesību akta vienība tiks pārņemta vai ieviesta pilnībā.</w:t>
            </w:r>
          </w:p>
          <w:p w:rsidR="00E25433" w:rsidRPr="00347817" w:rsidRDefault="00E25433">
            <w:pPr>
              <w:pStyle w:val="tvhtml"/>
              <w:spacing w:line="293" w:lineRule="atLeast"/>
            </w:pPr>
            <w:r w:rsidRPr="00347817">
              <w:t>Norāda institūciju, kas ir atbildīga par šo saistību izpildi pilnībā</w:t>
            </w:r>
          </w:p>
        </w:tc>
        <w:tc>
          <w:tcPr>
            <w:tcW w:w="2465"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Informācija par to, vai šīs tabulas B ailē minētās projekta vienības paredz stingrākas prasības nekā šīs tabulas A ailē minētās ES tiesību akta vienības.</w:t>
            </w:r>
          </w:p>
          <w:p w:rsidR="00E25433" w:rsidRPr="00347817" w:rsidRDefault="00E25433">
            <w:pPr>
              <w:pStyle w:val="tvhtml"/>
              <w:spacing w:line="293" w:lineRule="atLeast"/>
            </w:pPr>
            <w:r w:rsidRPr="00347817">
              <w:t>Ja projekts satur stingrākas prasības nekā attiecīgais ES tiesību akts, norāda pamatojumu un samērīgumu.</w:t>
            </w:r>
          </w:p>
          <w:p w:rsidR="00E25433" w:rsidRPr="00347817" w:rsidRDefault="00E25433">
            <w:pPr>
              <w:pStyle w:val="tvhtml"/>
              <w:spacing w:line="293" w:lineRule="atLeast"/>
            </w:pPr>
            <w:r w:rsidRPr="00347817">
              <w:t xml:space="preserve">Norāda iespējamās alternatīvas (t.sk. alternatīvas, kas neparedz tiesiskā regulējuma izstrādi) – kādos gadījumos būtu iespējams izvairīties no </w:t>
            </w:r>
            <w:r w:rsidRPr="00347817">
              <w:lastRenderedPageBreak/>
              <w:t>stingrāku prasību noteikšanas, nekā paredzēts attiecīgajos ES tiesību aktos</w:t>
            </w:r>
          </w:p>
        </w:tc>
      </w:tr>
      <w:tr w:rsidR="005566C2"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5566C2" w:rsidRPr="00347817" w:rsidRDefault="005566C2" w:rsidP="005566C2">
            <w:r w:rsidRPr="00347817">
              <w:lastRenderedPageBreak/>
              <w:t>Padomes regulas Nr. 1309/2013 2.</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projekta</w:t>
            </w:r>
          </w:p>
          <w:p w:rsidR="0072239E" w:rsidRPr="00347817" w:rsidRDefault="00232ACF">
            <w:r w:rsidRPr="00347817">
              <w:t>8.</w:t>
            </w:r>
            <w:r w:rsidR="0072239E" w:rsidRPr="00347817">
              <w:t>; 10.</w:t>
            </w:r>
            <w:r w:rsidR="00F15FB6" w:rsidRPr="00347817">
              <w:t> </w:t>
            </w:r>
            <w:r w:rsidR="0072239E"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projekts neparedz stingrākas prasības</w:t>
            </w:r>
          </w:p>
        </w:tc>
      </w:tr>
      <w:tr w:rsidR="000822A1"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0822A1" w:rsidRPr="00347817" w:rsidRDefault="00CF38BE" w:rsidP="00CF38BE">
            <w:r w:rsidRPr="00347817">
              <w:t>Padomes regulas Nr. 1309/2013 3.</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4D7C00" w:rsidRPr="00347817" w:rsidRDefault="00CF38BE" w:rsidP="004D7C00">
            <w:r w:rsidRPr="00347817">
              <w:t>Noteikumu projekta 3.</w:t>
            </w:r>
            <w:r w:rsidR="000122DC" w:rsidRPr="00347817">
              <w:t xml:space="preserve">; </w:t>
            </w:r>
            <w:r w:rsidR="004D7C00" w:rsidRPr="00347817">
              <w:t>7.; 33.punkts un</w:t>
            </w:r>
          </w:p>
          <w:p w:rsidR="000822A1" w:rsidRPr="00347817" w:rsidRDefault="000122DC" w:rsidP="004D7C00">
            <w:r w:rsidRPr="00347817">
              <w:t>5.1.;</w:t>
            </w:r>
            <w:r w:rsidR="004D7C00" w:rsidRPr="00347817">
              <w:t xml:space="preserve"> </w:t>
            </w:r>
            <w:r w:rsidR="006B7319" w:rsidRPr="00347817">
              <w:t>24.1.</w:t>
            </w:r>
            <w:r w:rsidR="00F15FB6" w:rsidRPr="00347817">
              <w:t> </w:t>
            </w:r>
            <w:r w:rsidR="006B7319"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0822A1" w:rsidRPr="00347817" w:rsidRDefault="00CF38BE">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0822A1" w:rsidRPr="00347817" w:rsidRDefault="00CF38BE">
            <w:r w:rsidRPr="00347817">
              <w:t>Noteikumu projekts neparedz stingrākas prasības</w:t>
            </w:r>
          </w:p>
        </w:tc>
      </w:tr>
      <w:tr w:rsidR="00D52D4E"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D52D4E" w:rsidRPr="00347817" w:rsidRDefault="00D52D4E" w:rsidP="00174E56">
            <w:r w:rsidRPr="00347817">
              <w:t>Padomes regulas Nr. 1309/2013 4.</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D52D4E" w:rsidRPr="00347817" w:rsidRDefault="00D52D4E">
            <w:r w:rsidRPr="00347817">
              <w:t>Noteikumu projekta</w:t>
            </w:r>
          </w:p>
          <w:p w:rsidR="00D52D4E" w:rsidRPr="00347817" w:rsidRDefault="00680B1B" w:rsidP="00E65CEF">
            <w:r w:rsidRPr="00347817">
              <w:t>9.; 10.;</w:t>
            </w:r>
            <w:r w:rsidR="008E7D9E" w:rsidRPr="00347817">
              <w:t xml:space="preserve"> 11.; 12.</w:t>
            </w:r>
            <w:r w:rsidR="00F15FB6" w:rsidRPr="00347817">
              <w:t> </w:t>
            </w:r>
            <w:r w:rsidR="00E65CEF" w:rsidRPr="00347817">
              <w:t>punkts un</w:t>
            </w:r>
            <w:r w:rsidR="00D52D4E" w:rsidRPr="00347817">
              <w:t>1</w:t>
            </w:r>
            <w:r w:rsidR="008E7D9E" w:rsidRPr="00347817">
              <w:t>9</w:t>
            </w:r>
            <w:r w:rsidR="00D52D4E" w:rsidRPr="00347817">
              <w:t>.2., 2</w:t>
            </w:r>
            <w:r w:rsidR="00D3210D" w:rsidRPr="00347817">
              <w:t>4</w:t>
            </w:r>
            <w:r w:rsidR="00D52D4E" w:rsidRPr="00347817">
              <w:t>.</w:t>
            </w:r>
            <w:r w:rsidR="00D3210D" w:rsidRPr="00347817">
              <w:t>8</w:t>
            </w:r>
            <w:r w:rsidR="00D52D4E" w:rsidRPr="00347817">
              <w:t>.</w:t>
            </w:r>
            <w:r w:rsidR="00F15FB6" w:rsidRPr="00347817">
              <w:t> </w:t>
            </w:r>
            <w:r w:rsidR="00D52D4E" w:rsidRPr="00347817">
              <w:t>apakšpunkt</w:t>
            </w:r>
            <w:r w:rsidR="00E12BAC" w:rsidRPr="00347817">
              <w:t>s</w:t>
            </w:r>
          </w:p>
        </w:tc>
        <w:tc>
          <w:tcPr>
            <w:tcW w:w="2557"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Noteikumu projekts neparedz stingrākas prasības</w:t>
            </w:r>
          </w:p>
        </w:tc>
      </w:tr>
      <w:tr w:rsidR="00174E56"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74E56" w:rsidRPr="00347817" w:rsidRDefault="00174E56" w:rsidP="005566C2">
            <w:r w:rsidRPr="00347817">
              <w:t>Padomes regulas Nr. 1309/2013 4.</w:t>
            </w:r>
            <w:r w:rsidR="00F15FB6" w:rsidRPr="00347817">
              <w:t> </w:t>
            </w:r>
            <w:r w:rsidRPr="00347817">
              <w:t>panta 2.</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174E56" w:rsidRPr="00347817" w:rsidRDefault="00174E56" w:rsidP="00174E56">
            <w:r w:rsidRPr="00347817">
              <w:t>Noteikumu projekta</w:t>
            </w:r>
          </w:p>
          <w:p w:rsidR="00174E56" w:rsidRPr="00347817" w:rsidRDefault="00174E56">
            <w:r w:rsidRPr="00347817">
              <w:t>4.</w:t>
            </w:r>
            <w:r w:rsidR="00F15FB6"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Noteikumu projekts neparedz stingrākas prasības</w:t>
            </w:r>
          </w:p>
        </w:tc>
      </w:tr>
      <w:tr w:rsidR="00174E56"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74E56" w:rsidRPr="00347817" w:rsidRDefault="00174E56" w:rsidP="00174E56">
            <w:r w:rsidRPr="00347817">
              <w:t>Padomes regulas Nr. 1309/2013 5.</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174E56" w:rsidRPr="00347817" w:rsidRDefault="00174E56" w:rsidP="00E12BAC">
            <w:r w:rsidRPr="00347817">
              <w:t>Noteikumu projekta</w:t>
            </w:r>
          </w:p>
          <w:p w:rsidR="00174E56" w:rsidRPr="00347817" w:rsidRDefault="00174E56" w:rsidP="00D3210D">
            <w:r w:rsidRPr="00347817">
              <w:t>24.6.</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Noteikumu projekts neparedz stingrākas prasības</w:t>
            </w:r>
          </w:p>
        </w:tc>
      </w:tr>
      <w:tr w:rsidR="0044593B"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44593B" w:rsidRPr="00347817" w:rsidRDefault="0044593B" w:rsidP="006E4005">
            <w:r w:rsidRPr="00347817">
              <w:t>Padomes regulas Nr. 1309/2013 5.</w:t>
            </w:r>
            <w:r w:rsidR="00F15FB6" w:rsidRPr="00347817">
              <w:t> </w:t>
            </w:r>
            <w:r w:rsidRPr="00347817">
              <w:t>panta 2.</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44593B" w:rsidRPr="00347817" w:rsidRDefault="0044593B" w:rsidP="00E12BAC">
            <w:r w:rsidRPr="00347817">
              <w:t>Noteikumu projekta 10.</w:t>
            </w:r>
            <w:r w:rsidR="00F15FB6" w:rsidRPr="00347817">
              <w:t> </w:t>
            </w:r>
            <w:r w:rsidRPr="00347817">
              <w:t>punkts un 24.6.</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Noteikumu projekts neparedz stingrākas prasības</w:t>
            </w:r>
          </w:p>
        </w:tc>
      </w:tr>
      <w:tr w:rsidR="0044593B"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44593B" w:rsidRPr="00347817" w:rsidRDefault="0044593B" w:rsidP="005566C2">
            <w:r w:rsidRPr="00347817">
              <w:t>Padomes regulas Nr. 1309/2013 6.</w:t>
            </w:r>
            <w:r w:rsidR="00F15FB6" w:rsidRPr="00347817">
              <w:t> </w:t>
            </w:r>
            <w:r w:rsidRPr="00347817">
              <w:t>panta 2.</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44593B" w:rsidRPr="00347817" w:rsidRDefault="0044593B" w:rsidP="003E1194">
            <w:r w:rsidRPr="00347817">
              <w:t>Noteikumu projekta</w:t>
            </w:r>
          </w:p>
          <w:p w:rsidR="0044593B" w:rsidRPr="00347817" w:rsidRDefault="0044593B">
            <w:r w:rsidRPr="00347817">
              <w:t>5.3.</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C5EA0" w:rsidP="001C5EA0">
            <w:r w:rsidRPr="00347817">
              <w:t>Padomes regulas Nr. 1309/2013 7.</w:t>
            </w:r>
            <w:r w:rsidR="00F15FB6" w:rsidRPr="00347817">
              <w:t> </w:t>
            </w:r>
            <w:r w:rsidRPr="00347817">
              <w:t xml:space="preserve">pants </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1C5EA0" w:rsidP="00F43E68">
            <w:r w:rsidRPr="00347817">
              <w:t>24.2.</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C5EA0" w:rsidP="008D4549">
            <w:r w:rsidRPr="00347817">
              <w:t>Padomes regulas Nr. 1309/2013 7.</w:t>
            </w:r>
            <w:r w:rsidR="00F15FB6" w:rsidRPr="00347817">
              <w:t> panta 1.punkta b) </w:t>
            </w:r>
            <w:r w:rsidRPr="00347817">
              <w:t>apakšpunkts</w:t>
            </w:r>
          </w:p>
          <w:p w:rsidR="001C5EA0" w:rsidRPr="00347817" w:rsidRDefault="001C5EA0" w:rsidP="008D4549"/>
          <w:p w:rsidR="001C5EA0" w:rsidRPr="00347817" w:rsidRDefault="001C5EA0" w:rsidP="005566C2"/>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AA4F6B">
            <w:r w:rsidRPr="00347817">
              <w:t>Noteikumu projekta</w:t>
            </w:r>
          </w:p>
          <w:p w:rsidR="001C5EA0" w:rsidRPr="00347817" w:rsidRDefault="001C5EA0" w:rsidP="00AA4F6B">
            <w:r w:rsidRPr="00347817">
              <w:t>4.</w:t>
            </w:r>
            <w:r w:rsidR="00F15FB6" w:rsidRPr="00347817">
              <w:t> </w:t>
            </w:r>
            <w:r w:rsidRPr="00347817">
              <w:t>punkts</w:t>
            </w:r>
          </w:p>
          <w:p w:rsidR="001C5EA0" w:rsidRPr="00347817" w:rsidRDefault="001C5EA0" w:rsidP="008D4549"/>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Padomes regulas Nr. 1309/2013 7.panta 1.punkts</w:t>
            </w:r>
          </w:p>
          <w:p w:rsidR="001C5EA0" w:rsidRPr="00347817" w:rsidRDefault="001C5EA0" w:rsidP="00F43E68"/>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8D4549">
            <w:r w:rsidRPr="00347817">
              <w:t>Noteikumu projekta</w:t>
            </w:r>
          </w:p>
          <w:p w:rsidR="001C5EA0" w:rsidRPr="00347817" w:rsidRDefault="001C5EA0" w:rsidP="008D4549">
            <w:r w:rsidRPr="00347817">
              <w:t>4.punkts</w:t>
            </w:r>
          </w:p>
          <w:p w:rsidR="001C5EA0" w:rsidRPr="00347817" w:rsidRDefault="001C5EA0" w:rsidP="00AA4F6B"/>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Padomes regulas Nr. 1309/2013 7.</w:t>
            </w:r>
            <w:r w:rsidR="00F15FB6" w:rsidRPr="00347817">
              <w:t> </w:t>
            </w:r>
            <w:r w:rsidRPr="00347817">
              <w:t>panta 4.</w:t>
            </w:r>
            <w:r w:rsidR="00F15FB6" w:rsidRPr="00347817">
              <w:t> </w:t>
            </w:r>
            <w:r w:rsidRPr="00347817">
              <w:t>punkts</w:t>
            </w:r>
          </w:p>
          <w:p w:rsidR="001C5EA0" w:rsidRPr="00347817" w:rsidRDefault="001C5EA0" w:rsidP="00F43E68"/>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F15FB6" w:rsidP="00F43E68">
            <w:r w:rsidRPr="00347817">
              <w:t>5.2.; 22.2. apakš</w:t>
            </w:r>
            <w:r w:rsidR="001C5EA0" w:rsidRPr="00347817">
              <w:t>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C5EA0" w:rsidP="00C74FD9">
            <w:r w:rsidRPr="00347817">
              <w:t xml:space="preserve">Padomes regulas </w:t>
            </w:r>
            <w:r w:rsidRPr="00347817">
              <w:lastRenderedPageBreak/>
              <w:t>Nr. 1309/2013 7.</w:t>
            </w:r>
            <w:r w:rsidR="00F15FB6" w:rsidRPr="00347817">
              <w:t> </w:t>
            </w:r>
            <w:r w:rsidRPr="00347817">
              <w:t>panta 1. un 4.</w:t>
            </w:r>
            <w:r w:rsidR="00F15FB6" w:rsidRPr="00347817">
              <w:t> </w:t>
            </w:r>
            <w:r w:rsidRPr="00347817">
              <w:t>punkts</w:t>
            </w:r>
          </w:p>
          <w:p w:rsidR="001C5EA0" w:rsidRPr="00347817" w:rsidRDefault="001C5EA0" w:rsidP="00F43E68"/>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lastRenderedPageBreak/>
              <w:t>Noteikumu projekta</w:t>
            </w:r>
          </w:p>
          <w:p w:rsidR="001C5EA0" w:rsidRPr="00347817" w:rsidRDefault="001C5EA0" w:rsidP="00F43E68">
            <w:r w:rsidRPr="00347817">
              <w:lastRenderedPageBreak/>
              <w:t>7.</w:t>
            </w:r>
            <w:r w:rsidR="00F15FB6" w:rsidRPr="00347817">
              <w:t> </w:t>
            </w:r>
            <w:r w:rsidRPr="00347817">
              <w:t>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lastRenderedPageBreak/>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 xml:space="preserve">Noteikumu projekts </w:t>
            </w:r>
            <w:r w:rsidRPr="00347817">
              <w:lastRenderedPageBreak/>
              <w:t>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lastRenderedPageBreak/>
              <w:t>Padomes regulas Nr. 1309/2013 8.</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3463D3">
            <w:r w:rsidRPr="00347817">
              <w:t>Noteikumu projekta 15.</w:t>
            </w:r>
            <w:r w:rsidR="00F15FB6" w:rsidRPr="00347817">
              <w:t> </w:t>
            </w:r>
            <w:r w:rsidRPr="00347817">
              <w:t>punkts;</w:t>
            </w:r>
          </w:p>
          <w:p w:rsidR="003463D3" w:rsidRPr="00347817" w:rsidRDefault="003463D3" w:rsidP="00617764">
            <w:r w:rsidRPr="00347817">
              <w:t>19.2.</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8.</w:t>
            </w:r>
            <w:r w:rsidR="00F15FB6" w:rsidRPr="00347817">
              <w:t> </w:t>
            </w:r>
            <w:r w:rsidRPr="00347817">
              <w:t>panta 1.</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3463D3">
            <w:r w:rsidRPr="00347817">
              <w:t>Noteikumu projekta</w:t>
            </w:r>
          </w:p>
          <w:p w:rsidR="003463D3" w:rsidRPr="00347817" w:rsidRDefault="003463D3" w:rsidP="003463D3">
            <w:r w:rsidRPr="00347817">
              <w:t>24.2.</w:t>
            </w:r>
            <w:r w:rsidR="00F15FB6" w:rsidRPr="00347817">
              <w:t> </w:t>
            </w:r>
            <w:r w:rsidRPr="00347817">
              <w:t>apakšpunkts</w:t>
            </w:r>
          </w:p>
          <w:p w:rsidR="003463D3" w:rsidRPr="00347817" w:rsidRDefault="003463D3" w:rsidP="00617764"/>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3463D3">
            <w:r w:rsidRPr="00347817">
              <w:t>Padomes regulas Nr. 1309/2013 8.</w:t>
            </w:r>
            <w:r w:rsidR="00F15FB6" w:rsidRPr="00347817">
              <w:t> </w:t>
            </w:r>
            <w:r w:rsidRPr="00347817">
              <w:t>panta 5.</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3463D3">
            <w:r w:rsidRPr="00347817">
              <w:t>Noteikumu projekta</w:t>
            </w:r>
          </w:p>
          <w:p w:rsidR="003463D3" w:rsidRPr="00347817" w:rsidRDefault="003463D3" w:rsidP="00617764">
            <w:r w:rsidRPr="00347817">
              <w:t>13.1.</w:t>
            </w:r>
            <w:r w:rsidR="00F15FB6" w:rsidRPr="00347817">
              <w:t> </w:t>
            </w:r>
            <w:r w:rsidRPr="00347817">
              <w:t>apakšpunkts; 14.</w:t>
            </w:r>
            <w:r w:rsidR="00F15FB6"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9.</w:t>
            </w:r>
            <w:r w:rsidR="00F15FB6" w:rsidRPr="00347817">
              <w:t> </w:t>
            </w:r>
            <w:r w:rsidRPr="00347817">
              <w:t>panta 5.</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 w:rsidRPr="00347817">
              <w:t>Noteikumu projekta 33.</w:t>
            </w:r>
            <w:r w:rsidR="00F15FB6"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10.</w:t>
            </w:r>
            <w:r w:rsidR="00F15FB6" w:rsidRPr="00347817">
              <w:t> </w:t>
            </w:r>
            <w:r w:rsidRPr="00347817">
              <w:t>pants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8F4468">
            <w:r w:rsidRPr="00347817">
              <w:t>Noteikumu projekta</w:t>
            </w:r>
          </w:p>
          <w:p w:rsidR="003463D3" w:rsidRPr="00347817" w:rsidRDefault="003463D3" w:rsidP="006B7319">
            <w:r w:rsidRPr="00347817">
              <w:t>24.1.</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8E7D9E">
            <w:r w:rsidRPr="00347817">
              <w:t>Padomes regulas Nr. 1309/2013 12.</w:t>
            </w:r>
            <w:r w:rsidR="00F15FB6" w:rsidRPr="00347817">
              <w:t> </w:t>
            </w:r>
            <w:r w:rsidRPr="00347817">
              <w:t>panta 4.</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projekta</w:t>
            </w:r>
          </w:p>
          <w:p w:rsidR="003463D3" w:rsidRPr="00347817" w:rsidRDefault="003463D3" w:rsidP="008F4468">
            <w:r w:rsidRPr="00347817">
              <w:t>20.3.</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13.</w:t>
            </w:r>
            <w:r w:rsidR="00F15FB6" w:rsidRPr="00347817">
              <w:t> </w:t>
            </w:r>
            <w:r w:rsidRPr="00347817">
              <w:t>panta 1.</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 w:rsidRPr="00347817">
              <w:t>Noteikumu projekta 4.</w:t>
            </w:r>
            <w:r w:rsidR="00F15FB6"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14.</w:t>
            </w:r>
            <w:r w:rsidR="00F15FB6" w:rsidRPr="00347817">
              <w:t> </w:t>
            </w:r>
            <w:r w:rsidRPr="00347817">
              <w:t>panta 1.</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8C162D">
            <w:r w:rsidRPr="00347817">
              <w:t>Noteikumu projekta</w:t>
            </w:r>
          </w:p>
          <w:p w:rsidR="003463D3" w:rsidRPr="00347817" w:rsidRDefault="003463D3" w:rsidP="008C162D">
            <w:r w:rsidRPr="00347817">
              <w:t>7.</w:t>
            </w:r>
            <w:r w:rsidR="00F15FB6"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970DCD">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16.</w:t>
            </w:r>
            <w:r w:rsidR="00F15FB6" w:rsidRPr="00347817">
              <w:t> </w:t>
            </w:r>
            <w:r w:rsidRPr="00347817">
              <w:t>panta 4.</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365F29">
            <w:r w:rsidRPr="00347817">
              <w:t>Noteikumu projekta 24.1.</w:t>
            </w:r>
            <w:r w:rsidR="00F15FB6" w:rsidRPr="00347817">
              <w:t> </w:t>
            </w:r>
            <w:r w:rsidRPr="00347817">
              <w:t>apakšpunkts</w:t>
            </w:r>
          </w:p>
          <w:p w:rsidR="003463D3" w:rsidRPr="00347817" w:rsidRDefault="003463D3"/>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365F29">
            <w:r w:rsidRPr="00347817">
              <w:t>Padomes regulas Nr. 1309/2013 16.</w:t>
            </w:r>
            <w:r w:rsidR="00F15FB6" w:rsidRPr="00347817">
              <w:t> </w:t>
            </w:r>
            <w:r w:rsidRPr="00347817">
              <w:t>panta 6.</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Noteikumu projekta 7.</w:t>
            </w:r>
            <w:r w:rsidR="00F15FB6" w:rsidRPr="00347817">
              <w:t> </w:t>
            </w:r>
            <w:r w:rsidRPr="00347817">
              <w:t>punkts</w:t>
            </w:r>
          </w:p>
          <w:p w:rsidR="003463D3" w:rsidRPr="00347817" w:rsidRDefault="003463D3" w:rsidP="00B04C42"/>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3463D3" w:rsidP="005566C2">
            <w:r w:rsidRPr="00347817">
              <w:t>Padomes regulas Nr. 1309/2013 18.</w:t>
            </w:r>
            <w:r w:rsidR="00F15FB6" w:rsidRPr="00347817">
              <w:t> </w:t>
            </w:r>
            <w:r w:rsidRPr="00347817">
              <w:t>panta 1.</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 w:rsidRPr="00347817">
              <w:t>Noteikumu projekta</w:t>
            </w:r>
          </w:p>
          <w:p w:rsidR="003463D3" w:rsidRPr="00347817" w:rsidRDefault="003463D3" w:rsidP="00F43E68">
            <w:r w:rsidRPr="00347817">
              <w:t xml:space="preserve">7.; </w:t>
            </w:r>
            <w:r w:rsidR="00F43E68" w:rsidRPr="00347817">
              <w:t>30.</w:t>
            </w:r>
            <w:r w:rsidR="00F15FB6" w:rsidRPr="00347817">
              <w:t> </w:t>
            </w:r>
            <w:r w:rsidR="00F43E68" w:rsidRPr="00347817">
              <w:t xml:space="preserve">punkts un </w:t>
            </w:r>
            <w:r w:rsidRPr="00347817">
              <w:t>20.2.</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B04C42">
            <w:r w:rsidRPr="00347817">
              <w:t>Noteikumu projekts neparedz stingrākas prasības</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F43E68" w:rsidRPr="00347817" w:rsidRDefault="00F43E68" w:rsidP="005566C2">
            <w:r w:rsidRPr="00347817">
              <w:t>Padomes regulas Nr. 1309/2013 21.</w:t>
            </w:r>
            <w:r w:rsidR="00F15FB6" w:rsidRPr="00347817">
              <w:t> </w:t>
            </w:r>
            <w:r w:rsidRPr="00347817">
              <w:t>panta 1.</w:t>
            </w:r>
            <w:r w:rsidR="00F15FB6"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Noteikumu projekta</w:t>
            </w:r>
          </w:p>
          <w:p w:rsidR="00F43E68" w:rsidRPr="00347817" w:rsidRDefault="00F43E68">
            <w:r w:rsidRPr="00347817">
              <w:t>20.7.</w:t>
            </w:r>
            <w:r w:rsidR="00F15FB6" w:rsidRPr="00347817">
              <w:t> </w:t>
            </w:r>
            <w:r w:rsidRPr="00347817">
              <w:t>apakšpunkts</w:t>
            </w:r>
          </w:p>
        </w:tc>
        <w:tc>
          <w:tcPr>
            <w:tcW w:w="2557"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Noteikumu projekts neparedz stingrākas prasības</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Padomes regulas Nr. 1309/2013 21.</w:t>
            </w:r>
            <w:r w:rsidR="008E11EB" w:rsidRPr="00347817">
              <w:t> </w:t>
            </w:r>
            <w:r w:rsidRPr="00347817">
              <w:t>panta 2.</w:t>
            </w:r>
            <w:r w:rsidR="008E11EB" w:rsidRPr="00347817">
              <w:t> </w:t>
            </w:r>
            <w:r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Noteikumu projekta 20.8.; 26.4.</w:t>
            </w:r>
            <w:r w:rsidR="005C4E95" w:rsidRPr="00347817">
              <w:t>; 28.5.</w:t>
            </w:r>
            <w:r w:rsidR="008E11EB" w:rsidRPr="00347817">
              <w:t> </w:t>
            </w:r>
            <w:r w:rsidR="005C4E95" w:rsidRPr="00347817">
              <w:t>apakšpunkts un</w:t>
            </w:r>
          </w:p>
          <w:p w:rsidR="00F43E68" w:rsidRPr="00347817" w:rsidRDefault="00F43E68">
            <w:r w:rsidRPr="00347817">
              <w:t>29.</w:t>
            </w:r>
            <w:r w:rsidR="008E11EB" w:rsidRPr="00347817">
              <w:t> </w:t>
            </w:r>
            <w:r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F43E68" w:rsidRPr="00347817" w:rsidRDefault="00F43E68" w:rsidP="00F43E68">
            <w:r w:rsidRPr="00347817">
              <w:t>Noteikumu projekts neparedz stingrākas prasības</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lastRenderedPageBreak/>
              <w:t>Kā ir izmantota ES tiesību aktā paredzētā rīcības brīvība dalībvalstij pārņemt vai ieviest noteiktas ES tiesību akta normas?</w:t>
            </w:r>
            <w:r w:rsidRPr="00347817">
              <w:br/>
              <w:t>Kādēļ?</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8E11EB" w:rsidP="00081E5D">
            <w:pPr>
              <w:jc w:val="both"/>
            </w:pPr>
            <w:r w:rsidRPr="00347817">
              <w:t>Ir izmantota Padomes regulā Nr. </w:t>
            </w:r>
            <w:r w:rsidR="00F43E68" w:rsidRPr="00347817">
              <w:t>1309/2013 noteiktā rīcības brīvība, nosakot valsts iekšējo kārtību, kādā Latvijas Republika īsteno Padomes regulā</w:t>
            </w:r>
            <w:r w:rsidRPr="00347817">
              <w:t xml:space="preserve"> Nr. </w:t>
            </w:r>
            <w:r w:rsidR="00F43E68" w:rsidRPr="00347817">
              <w:t>1309/2013 paredzēto tiesību pieteikties EGF atbalstam.</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8E11EB" w:rsidP="00C15123">
            <w:pPr>
              <w:jc w:val="both"/>
            </w:pPr>
            <w:r w:rsidRPr="00347817">
              <w:t>Padomes regulas Nr. </w:t>
            </w:r>
            <w:r w:rsidR="00F43E68" w:rsidRPr="00347817">
              <w:t>1309/2013 18.</w:t>
            </w:r>
            <w:r w:rsidRPr="00347817">
              <w:t> </w:t>
            </w:r>
            <w:r w:rsidR="00F43E68" w:rsidRPr="00347817">
              <w:t xml:space="preserve">pants nosaka, ka ne vēlāk kā sešus </w:t>
            </w:r>
            <w:r w:rsidRPr="00347817">
              <w:t>mēnešus pēc Padomes regulas Nr. </w:t>
            </w:r>
            <w:r w:rsidR="00F43E68" w:rsidRPr="00347817">
              <w:t>1309/2013 16.</w:t>
            </w:r>
            <w:r w:rsidRPr="00347817">
              <w:t> </w:t>
            </w:r>
            <w:r w:rsidR="00F43E68" w:rsidRPr="00347817">
              <w:t>panta 4.</w:t>
            </w:r>
            <w:r w:rsidRPr="00347817">
              <w:t> </w:t>
            </w:r>
            <w:r w:rsidR="00F43E68" w:rsidRPr="00347817">
              <w:t>punktā minētā laikposma beigām dalībvalsts iesniedz Eiropas Komisijai noslēguma ziņojumu par finansiālā ieguldījuma īstenošan</w:t>
            </w:r>
            <w:r w:rsidRPr="00347817">
              <w:t>u, tostarp šādu informāciju: a) </w:t>
            </w:r>
            <w:r w:rsidR="00F43E68" w:rsidRPr="00347817">
              <w:t>darbības</w:t>
            </w:r>
            <w:r w:rsidRPr="00347817">
              <w:t xml:space="preserve"> veids un galvenie iznākumi; b) </w:t>
            </w:r>
            <w:r w:rsidR="00F43E68" w:rsidRPr="00347817">
              <w:t>to struktūru nosaukumi, kuras dalībva</w:t>
            </w:r>
            <w:r w:rsidRPr="00347817">
              <w:t>lstī īsteno pasākumu kopumu; c) </w:t>
            </w:r>
            <w:r w:rsidR="00F43E68" w:rsidRPr="00347817">
              <w:t>paredzēto atbalsta saņēmēju un viņu nodarbinātības statusa raksturojums; d)</w:t>
            </w:r>
            <w:r w:rsidRPr="00347817">
              <w:t> </w:t>
            </w:r>
            <w:r w:rsidR="00F43E68" w:rsidRPr="00347817">
              <w:t>par to, vai uzņēmums, izņemot mikrouzņēmumus un mazos un vidējos uzņēmumus, iepriekšējos piecos gados ir saņēmis valsts atbalstu vai iepriekšēju finansējumu no Eiropas Savienības ko</w:t>
            </w:r>
            <w:r w:rsidRPr="00347817">
              <w:t>hēzijas vai struktūrfondiem; e) </w:t>
            </w:r>
            <w:r w:rsidR="00F43E68" w:rsidRPr="00347817">
              <w:t>paziņojums, kurā iekļauts izdevumu pamatojums un, ja iespējams, norādīts uz darbību papildināmību ar darbībām, ko finansē no Eiropas Sociālā fonda.</w:t>
            </w:r>
          </w:p>
          <w:p w:rsidR="00F43E68" w:rsidRPr="00347817" w:rsidRDefault="00F43E68" w:rsidP="00C15123">
            <w:pPr>
              <w:jc w:val="both"/>
            </w:pPr>
          </w:p>
          <w:p w:rsidR="00F43E68" w:rsidRPr="00347817" w:rsidRDefault="008E11EB" w:rsidP="00C15123">
            <w:pPr>
              <w:jc w:val="both"/>
            </w:pPr>
            <w:r w:rsidRPr="00347817">
              <w:t>Padomes regulas Nr. </w:t>
            </w:r>
            <w:r w:rsidR="00F43E68" w:rsidRPr="00347817">
              <w:t>1309/2013 21.</w:t>
            </w:r>
            <w:r w:rsidRPr="00347817">
              <w:t> </w:t>
            </w:r>
            <w:r w:rsidR="00F43E68" w:rsidRPr="00347817">
              <w:t>panta 1.</w:t>
            </w:r>
            <w:r w:rsidRPr="00347817">
              <w:t> punkta d) </w:t>
            </w:r>
            <w:r w:rsidR="00F43E68" w:rsidRPr="00347817">
              <w:t>apakšpunkts</w:t>
            </w:r>
          </w:p>
          <w:p w:rsidR="00F43E68" w:rsidRPr="00347817" w:rsidRDefault="008E11EB" w:rsidP="00081E5D">
            <w:pPr>
              <w:jc w:val="both"/>
            </w:pPr>
            <w:r w:rsidRPr="00347817">
              <w:t>Padomes regulas Nr. </w:t>
            </w:r>
            <w:r w:rsidR="00F43E68" w:rsidRPr="00347817">
              <w:t>1309/2016 21.</w:t>
            </w:r>
            <w:r w:rsidRPr="00347817">
              <w:t> </w:t>
            </w:r>
            <w:r w:rsidR="00F43E68" w:rsidRPr="00347817">
              <w:t>panta 2.</w:t>
            </w:r>
            <w:r w:rsidRPr="00347817">
              <w:t> </w:t>
            </w:r>
            <w:r w:rsidR="00F43E68" w:rsidRPr="00347817">
              <w:t>punkts.</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Cita informācija</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F43E68">
            <w:pPr>
              <w:pStyle w:val="tvhtml"/>
              <w:spacing w:line="293" w:lineRule="atLeast"/>
            </w:pPr>
            <w:r w:rsidRPr="00347817">
              <w:t>Nav.</w:t>
            </w:r>
          </w:p>
        </w:tc>
      </w:tr>
      <w:tr w:rsidR="00F43E68" w:rsidRPr="00347817" w:rsidTr="00843D78">
        <w:trPr>
          <w:jc w:val="center"/>
        </w:trPr>
        <w:tc>
          <w:tcPr>
            <w:tcW w:w="9211" w:type="dxa"/>
            <w:gridSpan w:val="4"/>
            <w:tcBorders>
              <w:top w:val="outset" w:sz="6" w:space="0" w:color="414142"/>
              <w:left w:val="outset" w:sz="6" w:space="0" w:color="414142"/>
              <w:bottom w:val="outset" w:sz="6" w:space="0" w:color="414142"/>
              <w:right w:val="outset" w:sz="6" w:space="0" w:color="414142"/>
            </w:tcBorders>
            <w:vAlign w:val="center"/>
            <w:hideMark/>
          </w:tcPr>
          <w:p w:rsidR="00F43E68" w:rsidRPr="00347817" w:rsidRDefault="00F43E68">
            <w:pPr>
              <w:pStyle w:val="tvhtml"/>
              <w:spacing w:line="293" w:lineRule="atLeast"/>
              <w:jc w:val="center"/>
              <w:rPr>
                <w:b/>
                <w:bCs/>
              </w:rPr>
            </w:pPr>
            <w:r w:rsidRPr="00347817">
              <w:rPr>
                <w:b/>
                <w:bCs/>
              </w:rPr>
              <w:t>2.tabula</w:t>
            </w:r>
            <w:r w:rsidRPr="00347817">
              <w:rPr>
                <w:b/>
                <w:bCs/>
              </w:rPr>
              <w:br/>
              <w:t>Ar tiesību akta projektu izpildītās vai uzņemtās saistības, kas izriet no starptautiskajiem tiesību aktiem vai starptautiskas institūcijas vai organizācijas dokumentiem.</w:t>
            </w:r>
            <w:r w:rsidRPr="00347817">
              <w:rPr>
                <w:b/>
                <w:bCs/>
              </w:rPr>
              <w:br/>
              <w:t>Pasākumi šo saistību izpildei</w:t>
            </w:r>
          </w:p>
        </w:tc>
      </w:tr>
      <w:tr w:rsidR="00F43E68" w:rsidRPr="00347817" w:rsidTr="00843D78">
        <w:trPr>
          <w:trHeight w:val="369"/>
          <w:jc w:val="center"/>
        </w:trPr>
        <w:tc>
          <w:tcPr>
            <w:tcW w:w="9211" w:type="dxa"/>
            <w:gridSpan w:val="4"/>
            <w:tcBorders>
              <w:top w:val="outset" w:sz="6" w:space="0" w:color="414142"/>
              <w:left w:val="outset" w:sz="6" w:space="0" w:color="414142"/>
              <w:right w:val="outset" w:sz="6" w:space="0" w:color="414142"/>
            </w:tcBorders>
            <w:vAlign w:val="center"/>
          </w:tcPr>
          <w:p w:rsidR="00F43E68" w:rsidRPr="00347817" w:rsidRDefault="00F43E68">
            <w:pPr>
              <w:rPr>
                <w:i/>
              </w:rPr>
            </w:pPr>
            <w:r w:rsidRPr="00347817">
              <w:rPr>
                <w:i/>
              </w:rPr>
              <w:t>Projekts šo jomu neskar</w:t>
            </w:r>
          </w:p>
        </w:tc>
      </w:tr>
    </w:tbl>
    <w:p w:rsidR="00573664" w:rsidRPr="00347817" w:rsidRDefault="00573664" w:rsidP="00573664">
      <w:pPr>
        <w:shd w:val="clear" w:color="auto" w:fill="FFFFFF"/>
        <w:spacing w:before="100" w:beforeAutospacing="1" w:after="100" w:afterAutospacing="1" w:line="293" w:lineRule="atLeast"/>
        <w:ind w:firstLine="30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3C378A">
            <w:pPr>
              <w:jc w:val="both"/>
            </w:pPr>
            <w:r w:rsidRPr="00347817">
              <w:t xml:space="preserve">Sabiedrības līdzdalība Noteikumu projekta izstrādē tika nodrošināta, ievietojot Noteikumu projektu Labklājības ministrijas tīmekļa vietnē </w:t>
            </w:r>
            <w:hyperlink r:id="rId9" w:history="1">
              <w:r w:rsidRPr="00347817">
                <w:rPr>
                  <w:rStyle w:val="Hyperlink"/>
                  <w:color w:val="auto"/>
                </w:rPr>
                <w:t>www.lm.gov.lv</w:t>
              </w:r>
            </w:hyperlink>
            <w:r w:rsidRPr="00347817">
              <w:t xml:space="preserve"> un aicinot sabiedrības pārstāvjus sniegt viedokli.</w:t>
            </w:r>
          </w:p>
        </w:tc>
      </w:tr>
      <w:tr w:rsidR="00081E5D" w:rsidRPr="0034781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Iebildumi/komentāri netika saņemti.</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73664" w:rsidRPr="00347817" w:rsidRDefault="00573664" w:rsidP="00573664">
      <w:pPr>
        <w:shd w:val="clear" w:color="auto" w:fill="FFFFFF"/>
        <w:tabs>
          <w:tab w:val="left" w:pos="3630"/>
        </w:tabs>
        <w:spacing w:before="100" w:beforeAutospacing="1" w:after="100" w:afterAutospacing="1" w:line="293" w:lineRule="atLeast"/>
        <w:ind w:firstLine="300"/>
      </w:pPr>
      <w:r w:rsidRPr="00347817">
        <w:lastRenderedPageBreak/>
        <w:t> </w:t>
      </w:r>
      <w:r w:rsidRPr="00347817">
        <w:tab/>
      </w: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6E509B">
            <w:pPr>
              <w:jc w:val="both"/>
            </w:pPr>
            <w:r w:rsidRPr="00347817">
              <w:t xml:space="preserve">Noteikumu projekta izpildi nodrošinās </w:t>
            </w:r>
            <w:r w:rsidR="006E509B" w:rsidRPr="00347817">
              <w:t>Ekonomikas ministrija, Finanšu ministrija, Labklājības ministrija, Latvijas Brīvo arodbiedrību savienība, Latvijas Darba devēju konfederācija, Latvijas Pašvaldību savienība un NVA.</w:t>
            </w:r>
          </w:p>
        </w:tc>
      </w:tr>
      <w:tr w:rsidR="00081E5D" w:rsidRPr="0034781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izpildes ietekme uz pārvaldes funkcijām un institucionālo struktūru.</w:t>
            </w:r>
          </w:p>
          <w:p w:rsidR="00573664" w:rsidRPr="00347817" w:rsidRDefault="00573664" w:rsidP="00166387">
            <w:pPr>
              <w:spacing w:before="100" w:beforeAutospacing="1" w:after="100" w:afterAutospacing="1" w:line="293" w:lineRule="atLeast"/>
            </w:pP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081E5D">
            <w:pPr>
              <w:jc w:val="both"/>
            </w:pPr>
            <w:r w:rsidRPr="00347817">
              <w:t>Noteikumu projekts neparedz</w:t>
            </w:r>
            <w:r w:rsidR="006E509B" w:rsidRPr="00347817">
              <w:t xml:space="preserve"> Ekonomikas ministrijas, Finanšu ministrijas, Labklājības ministrijas, Latvijas Brīvo arodbiedrību savienības, Latvijas Darba devēju konfederācijas, Latvijas Pašvaldību savienības un NVA</w:t>
            </w:r>
            <w:r w:rsidRPr="00347817">
              <w:t xml:space="preserve"> funkciju paplašināšanu vai sašaurināšanu, kā arī neietekmē pieejamos cilvēkresursus.</w:t>
            </w:r>
            <w:r w:rsidR="009E773A" w:rsidRPr="00347817">
              <w:t xml:space="preserve"> Minētās instit</w:t>
            </w:r>
            <w:r w:rsidR="008E11EB" w:rsidRPr="00347817">
              <w:t>ūcijas Padomes regulas Nr. </w:t>
            </w:r>
            <w:r w:rsidR="00805D14" w:rsidRPr="00347817">
              <w:t xml:space="preserve">1309/2013 nosacījumus </w:t>
            </w:r>
            <w:r w:rsidR="0066298B" w:rsidRPr="00347817">
              <w:t xml:space="preserve">pildīs </w:t>
            </w:r>
            <w:r w:rsidR="00805D14" w:rsidRPr="00347817">
              <w:t>esošo funkciju ietvaros.</w:t>
            </w:r>
            <w:r w:rsidR="0066298B" w:rsidRPr="00347817">
              <w:t xml:space="preserve"> </w:t>
            </w:r>
          </w:p>
        </w:tc>
      </w:tr>
      <w:tr w:rsidR="00573664" w:rsidRPr="0034781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73664">
      <w:pPr>
        <w:jc w:val="center"/>
        <w:rPr>
          <w:i/>
        </w:rPr>
      </w:pPr>
    </w:p>
    <w:p w:rsidR="0099128E" w:rsidRPr="00347817" w:rsidRDefault="00573664" w:rsidP="00F15BB2">
      <w:pPr>
        <w:ind w:firstLine="720"/>
        <w:rPr>
          <w:lang w:eastAsia="ar-SA"/>
        </w:rPr>
      </w:pPr>
      <w:r w:rsidRPr="00347817">
        <w:t>Labklājības ministrs</w:t>
      </w:r>
      <w:r w:rsidRPr="00347817">
        <w:tab/>
      </w:r>
      <w:r w:rsidRPr="00347817">
        <w:tab/>
      </w:r>
      <w:r w:rsidRPr="00347817">
        <w:tab/>
      </w:r>
      <w:r w:rsidRPr="00347817">
        <w:tab/>
      </w:r>
      <w:r w:rsidRPr="00347817">
        <w:tab/>
      </w:r>
      <w:r w:rsidRPr="00347817">
        <w:tab/>
      </w:r>
      <w:r w:rsidR="0099128E" w:rsidRPr="00347817">
        <w:tab/>
      </w:r>
      <w:r w:rsidR="0099128E" w:rsidRPr="00347817">
        <w:tab/>
      </w:r>
      <w:r w:rsidRPr="00347817">
        <w:t>J.Reirs</w:t>
      </w:r>
      <w:r w:rsidR="00F15BB2" w:rsidRPr="00347817">
        <w:tab/>
      </w:r>
      <w:r w:rsidR="00F15BB2" w:rsidRPr="00347817">
        <w:tab/>
      </w:r>
      <w:proofErr w:type="gramStart"/>
      <w:r w:rsidR="00F15BB2" w:rsidRPr="00347817">
        <w:t xml:space="preserve">  </w:t>
      </w:r>
      <w:proofErr w:type="gramEnd"/>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99128E" w:rsidRPr="00347817" w:rsidRDefault="0099128E" w:rsidP="00573664">
      <w:pPr>
        <w:tabs>
          <w:tab w:val="center" w:pos="4535"/>
        </w:tabs>
        <w:suppressAutoHyphens/>
        <w:rPr>
          <w:lang w:eastAsia="ar-SA"/>
        </w:rPr>
      </w:pPr>
    </w:p>
    <w:p w:rsidR="00347817" w:rsidRDefault="00347817" w:rsidP="00573664">
      <w:pPr>
        <w:tabs>
          <w:tab w:val="center" w:pos="4535"/>
        </w:tabs>
        <w:suppressAutoHyphens/>
        <w:rPr>
          <w:lang w:eastAsia="ar-SA"/>
        </w:rPr>
      </w:pPr>
    </w:p>
    <w:p w:rsidR="00347817" w:rsidRDefault="00347817" w:rsidP="00573664">
      <w:pPr>
        <w:tabs>
          <w:tab w:val="center" w:pos="4535"/>
        </w:tabs>
        <w:suppressAutoHyphens/>
        <w:rPr>
          <w:lang w:eastAsia="ar-SA"/>
        </w:rPr>
      </w:pPr>
    </w:p>
    <w:p w:rsidR="00347817" w:rsidRDefault="00347817" w:rsidP="00573664">
      <w:pPr>
        <w:tabs>
          <w:tab w:val="center" w:pos="4535"/>
        </w:tabs>
        <w:suppressAutoHyphens/>
        <w:rPr>
          <w:lang w:eastAsia="ar-SA"/>
        </w:rPr>
      </w:pPr>
    </w:p>
    <w:p w:rsidR="002B5724" w:rsidRDefault="002B5724" w:rsidP="00470359">
      <w:pPr>
        <w:tabs>
          <w:tab w:val="left" w:pos="3686"/>
          <w:tab w:val="center" w:pos="4535"/>
        </w:tabs>
        <w:suppressAutoHyphens/>
        <w:rPr>
          <w:sz w:val="20"/>
          <w:szCs w:val="20"/>
          <w:lang w:eastAsia="ar-SA"/>
        </w:rPr>
      </w:pPr>
    </w:p>
    <w:p w:rsidR="002B5724" w:rsidRDefault="002B5724" w:rsidP="00470359">
      <w:pPr>
        <w:tabs>
          <w:tab w:val="left" w:pos="3686"/>
          <w:tab w:val="center" w:pos="4535"/>
        </w:tabs>
        <w:suppressAutoHyphens/>
        <w:rPr>
          <w:sz w:val="20"/>
          <w:szCs w:val="20"/>
          <w:lang w:eastAsia="ar-SA"/>
        </w:rPr>
      </w:pPr>
    </w:p>
    <w:p w:rsidR="002B5724" w:rsidRDefault="002B5724" w:rsidP="00470359">
      <w:pPr>
        <w:tabs>
          <w:tab w:val="left" w:pos="3686"/>
          <w:tab w:val="center" w:pos="4535"/>
        </w:tabs>
        <w:suppressAutoHyphens/>
        <w:rPr>
          <w:sz w:val="20"/>
          <w:szCs w:val="20"/>
          <w:lang w:eastAsia="ar-SA"/>
        </w:rPr>
      </w:pPr>
    </w:p>
    <w:p w:rsidR="002B5724" w:rsidRDefault="002B5724" w:rsidP="00470359">
      <w:pPr>
        <w:tabs>
          <w:tab w:val="left" w:pos="3686"/>
          <w:tab w:val="center" w:pos="4535"/>
        </w:tabs>
        <w:suppressAutoHyphens/>
        <w:rPr>
          <w:sz w:val="20"/>
          <w:szCs w:val="20"/>
          <w:lang w:eastAsia="ar-SA"/>
        </w:rPr>
      </w:pPr>
    </w:p>
    <w:p w:rsidR="002B5724" w:rsidRDefault="002B5724" w:rsidP="00470359">
      <w:pPr>
        <w:tabs>
          <w:tab w:val="left" w:pos="3686"/>
          <w:tab w:val="center" w:pos="4535"/>
        </w:tabs>
        <w:suppressAutoHyphens/>
        <w:rPr>
          <w:sz w:val="20"/>
          <w:szCs w:val="20"/>
          <w:lang w:eastAsia="ar-SA"/>
        </w:rPr>
      </w:pPr>
    </w:p>
    <w:p w:rsidR="002B5724" w:rsidRDefault="002B5724" w:rsidP="00470359">
      <w:pPr>
        <w:tabs>
          <w:tab w:val="left" w:pos="3686"/>
          <w:tab w:val="center" w:pos="4535"/>
        </w:tabs>
        <w:suppressAutoHyphens/>
        <w:rPr>
          <w:sz w:val="20"/>
          <w:szCs w:val="20"/>
          <w:lang w:eastAsia="ar-SA"/>
        </w:rPr>
      </w:pPr>
    </w:p>
    <w:p w:rsidR="00573664" w:rsidRPr="002B5724" w:rsidRDefault="005D6E79" w:rsidP="00470359">
      <w:pPr>
        <w:tabs>
          <w:tab w:val="left" w:pos="3686"/>
          <w:tab w:val="center" w:pos="4535"/>
        </w:tabs>
        <w:suppressAutoHyphens/>
        <w:rPr>
          <w:sz w:val="20"/>
          <w:szCs w:val="20"/>
          <w:lang w:eastAsia="ar-SA"/>
        </w:rPr>
      </w:pPr>
      <w:r w:rsidRPr="002B5724">
        <w:rPr>
          <w:sz w:val="20"/>
          <w:szCs w:val="20"/>
          <w:lang w:eastAsia="ar-SA"/>
        </w:rPr>
        <w:t>2</w:t>
      </w:r>
      <w:r w:rsidR="00470359" w:rsidRPr="002B5724">
        <w:rPr>
          <w:sz w:val="20"/>
          <w:szCs w:val="20"/>
          <w:lang w:eastAsia="ar-SA"/>
        </w:rPr>
        <w:t>3</w:t>
      </w:r>
      <w:r w:rsidR="00573664" w:rsidRPr="002B5724">
        <w:rPr>
          <w:sz w:val="20"/>
          <w:szCs w:val="20"/>
          <w:lang w:eastAsia="ar-SA"/>
        </w:rPr>
        <w:t>.</w:t>
      </w:r>
      <w:r w:rsidR="00365C8E" w:rsidRPr="002B5724">
        <w:rPr>
          <w:sz w:val="20"/>
          <w:szCs w:val="20"/>
          <w:lang w:eastAsia="ar-SA"/>
        </w:rPr>
        <w:t>0</w:t>
      </w:r>
      <w:r w:rsidR="00B56126" w:rsidRPr="002B5724">
        <w:rPr>
          <w:sz w:val="20"/>
          <w:szCs w:val="20"/>
          <w:lang w:eastAsia="ar-SA"/>
        </w:rPr>
        <w:t>9</w:t>
      </w:r>
      <w:r w:rsidR="00573664" w:rsidRPr="002B5724">
        <w:rPr>
          <w:sz w:val="20"/>
          <w:szCs w:val="20"/>
          <w:lang w:eastAsia="ar-SA"/>
        </w:rPr>
        <w:t xml:space="preserve">.2016. </w:t>
      </w:r>
      <w:r w:rsidR="00470359" w:rsidRPr="002B5724">
        <w:rPr>
          <w:sz w:val="20"/>
          <w:szCs w:val="20"/>
          <w:lang w:eastAsia="ar-SA"/>
        </w:rPr>
        <w:t>08</w:t>
      </w:r>
      <w:r w:rsidR="00573664" w:rsidRPr="002B5724">
        <w:rPr>
          <w:sz w:val="20"/>
          <w:szCs w:val="20"/>
          <w:lang w:eastAsia="ar-SA"/>
        </w:rPr>
        <w:t>:</w:t>
      </w:r>
      <w:r w:rsidR="00470359" w:rsidRPr="002B5724">
        <w:rPr>
          <w:sz w:val="20"/>
          <w:szCs w:val="20"/>
          <w:lang w:eastAsia="ar-SA"/>
        </w:rPr>
        <w:t>47</w:t>
      </w:r>
      <w:r w:rsidR="00573664" w:rsidRPr="002B5724">
        <w:rPr>
          <w:sz w:val="20"/>
          <w:szCs w:val="20"/>
          <w:lang w:eastAsia="ar-SA"/>
        </w:rPr>
        <w:tab/>
      </w:r>
    </w:p>
    <w:p w:rsidR="00573664" w:rsidRPr="002B5724" w:rsidRDefault="00521B95" w:rsidP="00573664">
      <w:pPr>
        <w:suppressAutoHyphens/>
        <w:textAlignment w:val="baseline"/>
        <w:rPr>
          <w:rFonts w:eastAsia="Arial"/>
          <w:kern w:val="1"/>
          <w:sz w:val="20"/>
          <w:szCs w:val="20"/>
          <w:lang w:eastAsia="ar-SA"/>
        </w:rPr>
      </w:pPr>
      <w:r w:rsidRPr="002B5724">
        <w:rPr>
          <w:rFonts w:eastAsia="Arial"/>
          <w:kern w:val="1"/>
          <w:sz w:val="20"/>
          <w:szCs w:val="20"/>
          <w:lang w:eastAsia="ar-SA"/>
        </w:rPr>
        <w:t>5</w:t>
      </w:r>
      <w:r w:rsidR="00347817" w:rsidRPr="002B5724">
        <w:rPr>
          <w:rFonts w:eastAsia="Arial"/>
          <w:kern w:val="1"/>
          <w:sz w:val="20"/>
          <w:szCs w:val="20"/>
          <w:lang w:eastAsia="ar-SA"/>
        </w:rPr>
        <w:t>3</w:t>
      </w:r>
      <w:r w:rsidR="008A1FE7" w:rsidRPr="002B5724">
        <w:rPr>
          <w:rFonts w:eastAsia="Arial"/>
          <w:kern w:val="1"/>
          <w:sz w:val="20"/>
          <w:szCs w:val="20"/>
          <w:lang w:eastAsia="ar-SA"/>
        </w:rPr>
        <w:t>8</w:t>
      </w:r>
      <w:r w:rsidR="002B5724" w:rsidRPr="002B5724">
        <w:rPr>
          <w:rFonts w:eastAsia="Arial"/>
          <w:kern w:val="1"/>
          <w:sz w:val="20"/>
          <w:szCs w:val="20"/>
          <w:lang w:eastAsia="ar-SA"/>
        </w:rPr>
        <w:t>0</w:t>
      </w:r>
    </w:p>
    <w:p w:rsidR="00573664" w:rsidRPr="002B5724" w:rsidRDefault="00573664" w:rsidP="00573664">
      <w:pPr>
        <w:suppressAutoHyphens/>
        <w:textAlignment w:val="baseline"/>
        <w:rPr>
          <w:rFonts w:eastAsia="Arial"/>
          <w:kern w:val="1"/>
          <w:sz w:val="20"/>
          <w:szCs w:val="20"/>
          <w:lang w:eastAsia="ar-SA"/>
        </w:rPr>
      </w:pPr>
      <w:proofErr w:type="spellStart"/>
      <w:r w:rsidRPr="002B5724">
        <w:rPr>
          <w:rFonts w:eastAsia="Arial"/>
          <w:kern w:val="1"/>
          <w:sz w:val="20"/>
          <w:szCs w:val="20"/>
          <w:lang w:eastAsia="ar-SA"/>
        </w:rPr>
        <w:t>E.Heidere</w:t>
      </w:r>
      <w:proofErr w:type="spellEnd"/>
    </w:p>
    <w:p w:rsidR="000C29B0" w:rsidRPr="00347817" w:rsidRDefault="002949C4" w:rsidP="002B5724">
      <w:pPr>
        <w:suppressAutoHyphens/>
        <w:autoSpaceDE w:val="0"/>
        <w:textAlignment w:val="baseline"/>
      </w:pPr>
      <w:r w:rsidRPr="002B5724">
        <w:rPr>
          <w:rFonts w:eastAsia="Arial"/>
          <w:kern w:val="1"/>
          <w:sz w:val="20"/>
          <w:szCs w:val="20"/>
          <w:lang w:eastAsia="ar-SA"/>
        </w:rPr>
        <w:t>t. </w:t>
      </w:r>
      <w:r w:rsidR="00573664" w:rsidRPr="002B5724">
        <w:rPr>
          <w:rFonts w:eastAsia="Arial"/>
          <w:kern w:val="1"/>
          <w:sz w:val="20"/>
          <w:szCs w:val="20"/>
          <w:lang w:eastAsia="ar-SA"/>
        </w:rPr>
        <w:t>67021690</w:t>
      </w:r>
      <w:r w:rsidRPr="002B5724">
        <w:rPr>
          <w:rFonts w:eastAsia="Arial"/>
          <w:kern w:val="1"/>
          <w:sz w:val="20"/>
          <w:szCs w:val="20"/>
          <w:lang w:eastAsia="ar-SA"/>
        </w:rPr>
        <w:t>,</w:t>
      </w:r>
      <w:r w:rsidR="00573664" w:rsidRPr="002B5724">
        <w:rPr>
          <w:sz w:val="20"/>
          <w:szCs w:val="20"/>
          <w:lang w:eastAsia="ar-SA"/>
        </w:rPr>
        <w:t xml:space="preserve"> </w:t>
      </w:r>
      <w:hyperlink r:id="rId10" w:history="1">
        <w:r w:rsidR="00573664" w:rsidRPr="002B5724">
          <w:rPr>
            <w:rStyle w:val="Hyperlink"/>
            <w:color w:val="auto"/>
            <w:sz w:val="20"/>
            <w:szCs w:val="20"/>
          </w:rPr>
          <w:t>Elina.</w:t>
        </w:r>
        <w:r w:rsidR="00573664" w:rsidRPr="002B5724">
          <w:rPr>
            <w:rStyle w:val="Hyperlink"/>
            <w:color w:val="auto"/>
            <w:sz w:val="20"/>
            <w:szCs w:val="20"/>
            <w:lang w:eastAsia="ar-SA"/>
          </w:rPr>
          <w:t>Heidere@lm.gov.lv</w:t>
        </w:r>
      </w:hyperlink>
      <w:r w:rsidR="00573664" w:rsidRPr="002B5724">
        <w:rPr>
          <w:sz w:val="20"/>
          <w:szCs w:val="20"/>
          <w:u w:val="single"/>
          <w:lang w:eastAsia="ar-SA"/>
        </w:rPr>
        <w:t xml:space="preserve"> </w:t>
      </w:r>
      <w:bookmarkStart w:id="0" w:name="_GoBack"/>
      <w:bookmarkEnd w:id="0"/>
      <w:r w:rsidR="00E62370" w:rsidRPr="00347817">
        <w:t xml:space="preserve"> </w:t>
      </w:r>
    </w:p>
    <w:sectPr w:rsidR="000C29B0" w:rsidRPr="00347817" w:rsidSect="00470359">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6F" w:rsidRDefault="00AE406F">
      <w:r>
        <w:separator/>
      </w:r>
    </w:p>
  </w:endnote>
  <w:endnote w:type="continuationSeparator" w:id="0">
    <w:p w:rsidR="00AE406F" w:rsidRDefault="00A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5A" w:rsidRPr="00573664" w:rsidRDefault="0034135A" w:rsidP="00597657">
    <w:pPr>
      <w:jc w:val="both"/>
      <w:rPr>
        <w:sz w:val="20"/>
        <w:szCs w:val="20"/>
      </w:rPr>
    </w:pPr>
    <w:r w:rsidRPr="00573664">
      <w:rPr>
        <w:sz w:val="20"/>
        <w:szCs w:val="20"/>
      </w:rPr>
      <w:t>LMAnot_</w:t>
    </w:r>
    <w:r>
      <w:rPr>
        <w:sz w:val="20"/>
        <w:szCs w:val="20"/>
      </w:rPr>
      <w:t>2</w:t>
    </w:r>
    <w:r w:rsidR="00470359">
      <w:rPr>
        <w:sz w:val="20"/>
        <w:szCs w:val="20"/>
      </w:rPr>
      <w:t>3</w:t>
    </w:r>
    <w:r w:rsidRPr="00573664">
      <w:rPr>
        <w:sz w:val="20"/>
        <w:szCs w:val="20"/>
      </w:rPr>
      <w:t>0</w:t>
    </w:r>
    <w:r>
      <w:rPr>
        <w:sz w:val="20"/>
        <w:szCs w:val="20"/>
      </w:rPr>
      <w:t>9</w:t>
    </w:r>
    <w:r w:rsidRPr="00573664">
      <w:rPr>
        <w:sz w:val="20"/>
        <w:szCs w:val="20"/>
      </w:rPr>
      <w:t xml:space="preserve">16_EGF; </w:t>
    </w:r>
    <w:r w:rsidRPr="00573664">
      <w:rPr>
        <w:bCs/>
        <w:sz w:val="20"/>
        <w:szCs w:val="20"/>
      </w:rPr>
      <w:t xml:space="preserve">Ministru kabineta noteikumu projekta „Eiropas Globalizācijas pielāgošanās fonda finansējuma saņemšanas un izlietošanas nosacījumi aktīvo nodarbinātības un preventīvo bezdarba samazināšanas pasākumu īstenošanai” </w:t>
    </w:r>
    <w:r w:rsidRPr="00573664">
      <w:rPr>
        <w:sz w:val="20"/>
        <w:szCs w:val="20"/>
      </w:rPr>
      <w:t>sākotnējās ietekmes novērtējuma ziņojums (anotācija)</w:t>
    </w:r>
  </w:p>
  <w:p w:rsidR="0034135A" w:rsidRPr="00C0201F" w:rsidRDefault="0034135A" w:rsidP="00F2273E">
    <w:pPr>
      <w:pStyle w:val="NormalWeb"/>
      <w:spacing w:before="0" w:after="0"/>
      <w:jc w:val="both"/>
      <w:rPr>
        <w:sz w:val="20"/>
        <w:szCs w:val="20"/>
      </w:rPr>
    </w:pPr>
  </w:p>
  <w:p w:rsidR="0034135A" w:rsidRPr="00F2273E" w:rsidRDefault="0034135A"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5A" w:rsidRPr="00573664" w:rsidRDefault="0034135A" w:rsidP="00573664">
    <w:pPr>
      <w:jc w:val="both"/>
      <w:rPr>
        <w:sz w:val="20"/>
        <w:szCs w:val="20"/>
      </w:rPr>
    </w:pPr>
    <w:r w:rsidRPr="00573664">
      <w:rPr>
        <w:sz w:val="20"/>
        <w:szCs w:val="20"/>
      </w:rPr>
      <w:t>LMAnot_</w:t>
    </w:r>
    <w:r>
      <w:rPr>
        <w:sz w:val="20"/>
        <w:szCs w:val="20"/>
      </w:rPr>
      <w:t>2</w:t>
    </w:r>
    <w:r w:rsidR="00470359">
      <w:rPr>
        <w:sz w:val="20"/>
        <w:szCs w:val="20"/>
      </w:rPr>
      <w:t>3</w:t>
    </w:r>
    <w:r w:rsidRPr="00573664">
      <w:rPr>
        <w:sz w:val="20"/>
        <w:szCs w:val="20"/>
      </w:rPr>
      <w:t>0</w:t>
    </w:r>
    <w:r>
      <w:rPr>
        <w:sz w:val="20"/>
        <w:szCs w:val="20"/>
      </w:rPr>
      <w:t>9</w:t>
    </w:r>
    <w:r w:rsidRPr="00573664">
      <w:rPr>
        <w:sz w:val="20"/>
        <w:szCs w:val="20"/>
      </w:rPr>
      <w:t xml:space="preserve">16_EGF; </w:t>
    </w:r>
    <w:r w:rsidRPr="00573664">
      <w:rPr>
        <w:bCs/>
        <w:sz w:val="20"/>
        <w:szCs w:val="20"/>
      </w:rPr>
      <w:t xml:space="preserve">Ministru kabineta noteikumu projekta „Eiropas Globalizācijas pielāgošanās fonda finansējuma saņemšanas un izlietošanas nosacījumi aktīvo nodarbinātības un preventīvo bezdarba samazināšanas pasākumu īstenošanai” </w:t>
    </w:r>
    <w:r w:rsidRPr="00573664">
      <w:rPr>
        <w:sz w:val="20"/>
        <w:szCs w:val="20"/>
      </w:rPr>
      <w:t>sākotnējās ietekmes novērtējuma ziņojums (anotācija)</w:t>
    </w:r>
  </w:p>
  <w:p w:rsidR="0034135A" w:rsidRPr="00C0201F" w:rsidRDefault="0034135A" w:rsidP="00F2273E">
    <w:pPr>
      <w:pStyle w:val="NormalWeb"/>
      <w:spacing w:before="0" w:after="0"/>
      <w:jc w:val="both"/>
      <w:rPr>
        <w:sz w:val="20"/>
        <w:szCs w:val="20"/>
      </w:rPr>
    </w:pPr>
  </w:p>
  <w:p w:rsidR="0034135A" w:rsidRPr="00F2273E" w:rsidRDefault="0034135A"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6F" w:rsidRDefault="00AE406F">
      <w:r>
        <w:separator/>
      </w:r>
    </w:p>
  </w:footnote>
  <w:footnote w:type="continuationSeparator" w:id="0">
    <w:p w:rsidR="00AE406F" w:rsidRDefault="00AE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5A" w:rsidRDefault="0034135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35A" w:rsidRDefault="00341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5A" w:rsidRDefault="0034135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724">
      <w:rPr>
        <w:rStyle w:val="PageNumber"/>
        <w:noProof/>
      </w:rPr>
      <w:t>21</w:t>
    </w:r>
    <w:r>
      <w:rPr>
        <w:rStyle w:val="PageNumber"/>
      </w:rPr>
      <w:fldChar w:fldCharType="end"/>
    </w:r>
  </w:p>
  <w:p w:rsidR="0034135A" w:rsidRDefault="00341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9">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2">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4">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5"/>
  </w:num>
  <w:num w:numId="5">
    <w:abstractNumId w:val="11"/>
  </w:num>
  <w:num w:numId="6">
    <w:abstractNumId w:val="5"/>
  </w:num>
  <w:num w:numId="7">
    <w:abstractNumId w:val="19"/>
  </w:num>
  <w:num w:numId="8">
    <w:abstractNumId w:val="6"/>
  </w:num>
  <w:num w:numId="9">
    <w:abstractNumId w:val="27"/>
  </w:num>
  <w:num w:numId="10">
    <w:abstractNumId w:val="18"/>
  </w:num>
  <w:num w:numId="11">
    <w:abstractNumId w:val="25"/>
  </w:num>
  <w:num w:numId="12">
    <w:abstractNumId w:val="4"/>
  </w:num>
  <w:num w:numId="13">
    <w:abstractNumId w:val="8"/>
  </w:num>
  <w:num w:numId="14">
    <w:abstractNumId w:val="7"/>
  </w:num>
  <w:num w:numId="15">
    <w:abstractNumId w:val="2"/>
  </w:num>
  <w:num w:numId="16">
    <w:abstractNumId w:val="0"/>
  </w:num>
  <w:num w:numId="17">
    <w:abstractNumId w:val="20"/>
  </w:num>
  <w:num w:numId="18">
    <w:abstractNumId w:val="16"/>
  </w:num>
  <w:num w:numId="19">
    <w:abstractNumId w:val="12"/>
  </w:num>
  <w:num w:numId="20">
    <w:abstractNumId w:val="22"/>
  </w:num>
  <w:num w:numId="21">
    <w:abstractNumId w:val="3"/>
  </w:num>
  <w:num w:numId="22">
    <w:abstractNumId w:val="24"/>
  </w:num>
  <w:num w:numId="23">
    <w:abstractNumId w:val="13"/>
  </w:num>
  <w:num w:numId="24">
    <w:abstractNumId w:val="10"/>
  </w:num>
  <w:num w:numId="25">
    <w:abstractNumId w:val="1"/>
  </w:num>
  <w:num w:numId="26">
    <w:abstractNumId w:val="26"/>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2FCA"/>
    <w:rsid w:val="000344C0"/>
    <w:rsid w:val="00034970"/>
    <w:rsid w:val="00036245"/>
    <w:rsid w:val="00036804"/>
    <w:rsid w:val="00037BB3"/>
    <w:rsid w:val="00042A52"/>
    <w:rsid w:val="00043389"/>
    <w:rsid w:val="000450B6"/>
    <w:rsid w:val="000463FF"/>
    <w:rsid w:val="00046760"/>
    <w:rsid w:val="000476FC"/>
    <w:rsid w:val="00047C29"/>
    <w:rsid w:val="000509A8"/>
    <w:rsid w:val="00056345"/>
    <w:rsid w:val="00057176"/>
    <w:rsid w:val="0006002A"/>
    <w:rsid w:val="0006076A"/>
    <w:rsid w:val="00060968"/>
    <w:rsid w:val="00061004"/>
    <w:rsid w:val="00065FDF"/>
    <w:rsid w:val="00067067"/>
    <w:rsid w:val="0007050B"/>
    <w:rsid w:val="0007081C"/>
    <w:rsid w:val="000713E1"/>
    <w:rsid w:val="000736E1"/>
    <w:rsid w:val="00076D11"/>
    <w:rsid w:val="00077C76"/>
    <w:rsid w:val="00080296"/>
    <w:rsid w:val="00081E5D"/>
    <w:rsid w:val="000822A1"/>
    <w:rsid w:val="000829C1"/>
    <w:rsid w:val="0008362C"/>
    <w:rsid w:val="00084CB0"/>
    <w:rsid w:val="0008524A"/>
    <w:rsid w:val="000902BF"/>
    <w:rsid w:val="00093744"/>
    <w:rsid w:val="0009450F"/>
    <w:rsid w:val="00095D94"/>
    <w:rsid w:val="0009784B"/>
    <w:rsid w:val="000A1D01"/>
    <w:rsid w:val="000A35D2"/>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4D05"/>
    <w:rsid w:val="000D0DA0"/>
    <w:rsid w:val="000D0EC0"/>
    <w:rsid w:val="000D1449"/>
    <w:rsid w:val="000D2ABE"/>
    <w:rsid w:val="000D740B"/>
    <w:rsid w:val="000D7C1A"/>
    <w:rsid w:val="000D7FB6"/>
    <w:rsid w:val="000E0C7D"/>
    <w:rsid w:val="000E1D5C"/>
    <w:rsid w:val="000E1F9F"/>
    <w:rsid w:val="000E384F"/>
    <w:rsid w:val="000E421B"/>
    <w:rsid w:val="000E678C"/>
    <w:rsid w:val="000F2C0D"/>
    <w:rsid w:val="000F305C"/>
    <w:rsid w:val="000F3932"/>
    <w:rsid w:val="000F3B58"/>
    <w:rsid w:val="000F40BD"/>
    <w:rsid w:val="000F5F6B"/>
    <w:rsid w:val="000F6E91"/>
    <w:rsid w:val="000F7C90"/>
    <w:rsid w:val="00102682"/>
    <w:rsid w:val="00104A39"/>
    <w:rsid w:val="00105CBE"/>
    <w:rsid w:val="0010720E"/>
    <w:rsid w:val="00111137"/>
    <w:rsid w:val="00111F3D"/>
    <w:rsid w:val="001121F2"/>
    <w:rsid w:val="00112E92"/>
    <w:rsid w:val="001141FC"/>
    <w:rsid w:val="001149F8"/>
    <w:rsid w:val="00115437"/>
    <w:rsid w:val="00116098"/>
    <w:rsid w:val="00121477"/>
    <w:rsid w:val="0012151E"/>
    <w:rsid w:val="00122460"/>
    <w:rsid w:val="00122F3D"/>
    <w:rsid w:val="00124853"/>
    <w:rsid w:val="00125B86"/>
    <w:rsid w:val="00126924"/>
    <w:rsid w:val="00126C64"/>
    <w:rsid w:val="001272CE"/>
    <w:rsid w:val="00130C31"/>
    <w:rsid w:val="0013127F"/>
    <w:rsid w:val="00131478"/>
    <w:rsid w:val="0013206C"/>
    <w:rsid w:val="00133BF5"/>
    <w:rsid w:val="00134B34"/>
    <w:rsid w:val="001350F4"/>
    <w:rsid w:val="001401BD"/>
    <w:rsid w:val="00141746"/>
    <w:rsid w:val="00142C33"/>
    <w:rsid w:val="00143584"/>
    <w:rsid w:val="001435A8"/>
    <w:rsid w:val="001443DF"/>
    <w:rsid w:val="00144C2C"/>
    <w:rsid w:val="001459B9"/>
    <w:rsid w:val="00147461"/>
    <w:rsid w:val="00147E93"/>
    <w:rsid w:val="00152425"/>
    <w:rsid w:val="00152E95"/>
    <w:rsid w:val="00153E80"/>
    <w:rsid w:val="00160A29"/>
    <w:rsid w:val="00164046"/>
    <w:rsid w:val="00166387"/>
    <w:rsid w:val="0016640D"/>
    <w:rsid w:val="00167021"/>
    <w:rsid w:val="00167401"/>
    <w:rsid w:val="00170E63"/>
    <w:rsid w:val="00174A87"/>
    <w:rsid w:val="00174E56"/>
    <w:rsid w:val="0018200B"/>
    <w:rsid w:val="00182DCE"/>
    <w:rsid w:val="001835DA"/>
    <w:rsid w:val="00184B14"/>
    <w:rsid w:val="00185E65"/>
    <w:rsid w:val="001869A8"/>
    <w:rsid w:val="00191899"/>
    <w:rsid w:val="00191E0E"/>
    <w:rsid w:val="00192A57"/>
    <w:rsid w:val="0019304E"/>
    <w:rsid w:val="00194614"/>
    <w:rsid w:val="00196EF2"/>
    <w:rsid w:val="001A354E"/>
    <w:rsid w:val="001A360B"/>
    <w:rsid w:val="001A51E6"/>
    <w:rsid w:val="001A77C0"/>
    <w:rsid w:val="001B1E0A"/>
    <w:rsid w:val="001B2708"/>
    <w:rsid w:val="001B7328"/>
    <w:rsid w:val="001B7681"/>
    <w:rsid w:val="001C0089"/>
    <w:rsid w:val="001C0D90"/>
    <w:rsid w:val="001C509E"/>
    <w:rsid w:val="001C5EA0"/>
    <w:rsid w:val="001C67A6"/>
    <w:rsid w:val="001D0050"/>
    <w:rsid w:val="001D0AEA"/>
    <w:rsid w:val="001D1950"/>
    <w:rsid w:val="001D1C3C"/>
    <w:rsid w:val="001D247E"/>
    <w:rsid w:val="001D3BDF"/>
    <w:rsid w:val="001D42CD"/>
    <w:rsid w:val="001D76B1"/>
    <w:rsid w:val="001D7806"/>
    <w:rsid w:val="001D7AD1"/>
    <w:rsid w:val="001E1307"/>
    <w:rsid w:val="001E184A"/>
    <w:rsid w:val="001E19A9"/>
    <w:rsid w:val="001E5C57"/>
    <w:rsid w:val="001F2274"/>
    <w:rsid w:val="001F3077"/>
    <w:rsid w:val="001F40FF"/>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21238"/>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4DF"/>
    <w:rsid w:val="00237649"/>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162B"/>
    <w:rsid w:val="00284191"/>
    <w:rsid w:val="00284950"/>
    <w:rsid w:val="00290E44"/>
    <w:rsid w:val="00291E19"/>
    <w:rsid w:val="00294074"/>
    <w:rsid w:val="002949C4"/>
    <w:rsid w:val="00294E7C"/>
    <w:rsid w:val="00294E82"/>
    <w:rsid w:val="00296A90"/>
    <w:rsid w:val="00296D17"/>
    <w:rsid w:val="002A1B5B"/>
    <w:rsid w:val="002A2493"/>
    <w:rsid w:val="002A2700"/>
    <w:rsid w:val="002A496A"/>
    <w:rsid w:val="002B264A"/>
    <w:rsid w:val="002B4ECF"/>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7AB"/>
    <w:rsid w:val="002D529C"/>
    <w:rsid w:val="002D5363"/>
    <w:rsid w:val="002D5586"/>
    <w:rsid w:val="002E11C5"/>
    <w:rsid w:val="002E224D"/>
    <w:rsid w:val="002E36F6"/>
    <w:rsid w:val="002E3B40"/>
    <w:rsid w:val="002E5400"/>
    <w:rsid w:val="002E721A"/>
    <w:rsid w:val="002F062E"/>
    <w:rsid w:val="002F2FD3"/>
    <w:rsid w:val="002F42A2"/>
    <w:rsid w:val="002F6608"/>
    <w:rsid w:val="00302138"/>
    <w:rsid w:val="003023A0"/>
    <w:rsid w:val="003027C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F5C"/>
    <w:rsid w:val="003819E0"/>
    <w:rsid w:val="003841FF"/>
    <w:rsid w:val="003853D0"/>
    <w:rsid w:val="0038568D"/>
    <w:rsid w:val="003857EF"/>
    <w:rsid w:val="00385EC9"/>
    <w:rsid w:val="0038652B"/>
    <w:rsid w:val="00386C06"/>
    <w:rsid w:val="00386CC2"/>
    <w:rsid w:val="00387A3F"/>
    <w:rsid w:val="00391C74"/>
    <w:rsid w:val="00391E36"/>
    <w:rsid w:val="003948D6"/>
    <w:rsid w:val="00395AC1"/>
    <w:rsid w:val="003962C4"/>
    <w:rsid w:val="00397DA3"/>
    <w:rsid w:val="003A2F9D"/>
    <w:rsid w:val="003A3A3A"/>
    <w:rsid w:val="003A3EAA"/>
    <w:rsid w:val="003A6E33"/>
    <w:rsid w:val="003A774C"/>
    <w:rsid w:val="003A7CD2"/>
    <w:rsid w:val="003B212C"/>
    <w:rsid w:val="003B2EEC"/>
    <w:rsid w:val="003B306A"/>
    <w:rsid w:val="003B4106"/>
    <w:rsid w:val="003B4FBA"/>
    <w:rsid w:val="003B5452"/>
    <w:rsid w:val="003B59A0"/>
    <w:rsid w:val="003B5ADB"/>
    <w:rsid w:val="003B5D70"/>
    <w:rsid w:val="003B629D"/>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3120"/>
    <w:rsid w:val="004041F2"/>
    <w:rsid w:val="00404BBC"/>
    <w:rsid w:val="00405F0D"/>
    <w:rsid w:val="0040663A"/>
    <w:rsid w:val="004111DD"/>
    <w:rsid w:val="0041151B"/>
    <w:rsid w:val="00412B60"/>
    <w:rsid w:val="00413919"/>
    <w:rsid w:val="0041662A"/>
    <w:rsid w:val="00420520"/>
    <w:rsid w:val="00420F19"/>
    <w:rsid w:val="00421529"/>
    <w:rsid w:val="00422841"/>
    <w:rsid w:val="00425AAF"/>
    <w:rsid w:val="00425DFD"/>
    <w:rsid w:val="004302F9"/>
    <w:rsid w:val="00433352"/>
    <w:rsid w:val="004373E9"/>
    <w:rsid w:val="00440A1F"/>
    <w:rsid w:val="00441361"/>
    <w:rsid w:val="00443853"/>
    <w:rsid w:val="00443E52"/>
    <w:rsid w:val="0044593B"/>
    <w:rsid w:val="00447FA7"/>
    <w:rsid w:val="00451C1E"/>
    <w:rsid w:val="004551D6"/>
    <w:rsid w:val="0045648D"/>
    <w:rsid w:val="004570AE"/>
    <w:rsid w:val="00461B31"/>
    <w:rsid w:val="004638EB"/>
    <w:rsid w:val="004651D5"/>
    <w:rsid w:val="00466487"/>
    <w:rsid w:val="00466776"/>
    <w:rsid w:val="004669C0"/>
    <w:rsid w:val="00467E20"/>
    <w:rsid w:val="00470359"/>
    <w:rsid w:val="00470BB7"/>
    <w:rsid w:val="004726DC"/>
    <w:rsid w:val="004735DC"/>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2D92"/>
    <w:rsid w:val="004D4815"/>
    <w:rsid w:val="004D5BC4"/>
    <w:rsid w:val="004D6A07"/>
    <w:rsid w:val="004D7C00"/>
    <w:rsid w:val="004E0FE8"/>
    <w:rsid w:val="004E118F"/>
    <w:rsid w:val="004E1C7C"/>
    <w:rsid w:val="004E24B8"/>
    <w:rsid w:val="004E3377"/>
    <w:rsid w:val="004E3D80"/>
    <w:rsid w:val="004E3EF8"/>
    <w:rsid w:val="004E404B"/>
    <w:rsid w:val="004E79C3"/>
    <w:rsid w:val="004F3030"/>
    <w:rsid w:val="004F42E2"/>
    <w:rsid w:val="004F4524"/>
    <w:rsid w:val="004F4F50"/>
    <w:rsid w:val="00500860"/>
    <w:rsid w:val="00501D80"/>
    <w:rsid w:val="00502F62"/>
    <w:rsid w:val="00510F83"/>
    <w:rsid w:val="0051235A"/>
    <w:rsid w:val="005131D9"/>
    <w:rsid w:val="005145C6"/>
    <w:rsid w:val="00514DA7"/>
    <w:rsid w:val="00516399"/>
    <w:rsid w:val="0052019A"/>
    <w:rsid w:val="0052064B"/>
    <w:rsid w:val="00521B95"/>
    <w:rsid w:val="00524303"/>
    <w:rsid w:val="00524443"/>
    <w:rsid w:val="005269A3"/>
    <w:rsid w:val="00526DD0"/>
    <w:rsid w:val="00530882"/>
    <w:rsid w:val="0053295A"/>
    <w:rsid w:val="0053299C"/>
    <w:rsid w:val="00537432"/>
    <w:rsid w:val="00542C64"/>
    <w:rsid w:val="005438FE"/>
    <w:rsid w:val="005439E6"/>
    <w:rsid w:val="00544231"/>
    <w:rsid w:val="00546425"/>
    <w:rsid w:val="0054664E"/>
    <w:rsid w:val="00551014"/>
    <w:rsid w:val="00551888"/>
    <w:rsid w:val="00552B24"/>
    <w:rsid w:val="0055440B"/>
    <w:rsid w:val="00555E7F"/>
    <w:rsid w:val="00555F29"/>
    <w:rsid w:val="00556139"/>
    <w:rsid w:val="005566C2"/>
    <w:rsid w:val="00557795"/>
    <w:rsid w:val="00562A7D"/>
    <w:rsid w:val="0056713F"/>
    <w:rsid w:val="0057031B"/>
    <w:rsid w:val="0057033A"/>
    <w:rsid w:val="0057037E"/>
    <w:rsid w:val="00572343"/>
    <w:rsid w:val="005727D7"/>
    <w:rsid w:val="00572F13"/>
    <w:rsid w:val="00573664"/>
    <w:rsid w:val="00577FF5"/>
    <w:rsid w:val="005805BC"/>
    <w:rsid w:val="005816D7"/>
    <w:rsid w:val="00582B65"/>
    <w:rsid w:val="00585B84"/>
    <w:rsid w:val="00587020"/>
    <w:rsid w:val="005919CE"/>
    <w:rsid w:val="00592A5F"/>
    <w:rsid w:val="005944DF"/>
    <w:rsid w:val="00596450"/>
    <w:rsid w:val="00596AB6"/>
    <w:rsid w:val="00597657"/>
    <w:rsid w:val="0059781B"/>
    <w:rsid w:val="005A193A"/>
    <w:rsid w:val="005A2892"/>
    <w:rsid w:val="005A4C43"/>
    <w:rsid w:val="005A5741"/>
    <w:rsid w:val="005A7D98"/>
    <w:rsid w:val="005B2BB0"/>
    <w:rsid w:val="005B3D35"/>
    <w:rsid w:val="005B7E07"/>
    <w:rsid w:val="005C01A9"/>
    <w:rsid w:val="005C12AD"/>
    <w:rsid w:val="005C20E5"/>
    <w:rsid w:val="005C3A67"/>
    <w:rsid w:val="005C4E95"/>
    <w:rsid w:val="005C56C0"/>
    <w:rsid w:val="005C7D74"/>
    <w:rsid w:val="005D1A6A"/>
    <w:rsid w:val="005D2D54"/>
    <w:rsid w:val="005D6371"/>
    <w:rsid w:val="005D6E79"/>
    <w:rsid w:val="005D721F"/>
    <w:rsid w:val="005E2963"/>
    <w:rsid w:val="005E3305"/>
    <w:rsid w:val="005E49EB"/>
    <w:rsid w:val="005F23F9"/>
    <w:rsid w:val="005F2445"/>
    <w:rsid w:val="005F3ABB"/>
    <w:rsid w:val="005F6E36"/>
    <w:rsid w:val="005F703D"/>
    <w:rsid w:val="0060234C"/>
    <w:rsid w:val="00605089"/>
    <w:rsid w:val="00606F3D"/>
    <w:rsid w:val="00607560"/>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C59"/>
    <w:rsid w:val="00634A1B"/>
    <w:rsid w:val="00634DB9"/>
    <w:rsid w:val="0063566C"/>
    <w:rsid w:val="0063621D"/>
    <w:rsid w:val="00641621"/>
    <w:rsid w:val="006437E9"/>
    <w:rsid w:val="00646EEF"/>
    <w:rsid w:val="006516A2"/>
    <w:rsid w:val="00652EBD"/>
    <w:rsid w:val="006539B1"/>
    <w:rsid w:val="00653B3B"/>
    <w:rsid w:val="0065474E"/>
    <w:rsid w:val="00655A75"/>
    <w:rsid w:val="00656E7D"/>
    <w:rsid w:val="006577ED"/>
    <w:rsid w:val="0066298B"/>
    <w:rsid w:val="00665040"/>
    <w:rsid w:val="00665429"/>
    <w:rsid w:val="00665E6D"/>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9030A"/>
    <w:rsid w:val="00692E1D"/>
    <w:rsid w:val="00694DC1"/>
    <w:rsid w:val="00695209"/>
    <w:rsid w:val="00695242"/>
    <w:rsid w:val="006978FC"/>
    <w:rsid w:val="006A0299"/>
    <w:rsid w:val="006A0595"/>
    <w:rsid w:val="006A0C6E"/>
    <w:rsid w:val="006A1718"/>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D0D0F"/>
    <w:rsid w:val="006D1046"/>
    <w:rsid w:val="006D36B9"/>
    <w:rsid w:val="006D3874"/>
    <w:rsid w:val="006D63FA"/>
    <w:rsid w:val="006D6455"/>
    <w:rsid w:val="006D7ACC"/>
    <w:rsid w:val="006E23BC"/>
    <w:rsid w:val="006E258A"/>
    <w:rsid w:val="006E3120"/>
    <w:rsid w:val="006E3312"/>
    <w:rsid w:val="006E3369"/>
    <w:rsid w:val="006E4005"/>
    <w:rsid w:val="006E4BC8"/>
    <w:rsid w:val="006E509B"/>
    <w:rsid w:val="006E5E4C"/>
    <w:rsid w:val="006F0111"/>
    <w:rsid w:val="006F40D5"/>
    <w:rsid w:val="006F4B62"/>
    <w:rsid w:val="006F76E1"/>
    <w:rsid w:val="00700EAF"/>
    <w:rsid w:val="00703FD6"/>
    <w:rsid w:val="00704395"/>
    <w:rsid w:val="00704C57"/>
    <w:rsid w:val="007109E7"/>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37A1"/>
    <w:rsid w:val="00734A90"/>
    <w:rsid w:val="00735B9C"/>
    <w:rsid w:val="0073684E"/>
    <w:rsid w:val="00737143"/>
    <w:rsid w:val="0074072C"/>
    <w:rsid w:val="00741939"/>
    <w:rsid w:val="00741AC9"/>
    <w:rsid w:val="00742310"/>
    <w:rsid w:val="0074308C"/>
    <w:rsid w:val="00743C4D"/>
    <w:rsid w:val="007450F9"/>
    <w:rsid w:val="007500F0"/>
    <w:rsid w:val="00750273"/>
    <w:rsid w:val="007513BD"/>
    <w:rsid w:val="007522E3"/>
    <w:rsid w:val="007529BA"/>
    <w:rsid w:val="00755242"/>
    <w:rsid w:val="007554A7"/>
    <w:rsid w:val="00757AE0"/>
    <w:rsid w:val="0076105D"/>
    <w:rsid w:val="007622CB"/>
    <w:rsid w:val="00762A81"/>
    <w:rsid w:val="0076425F"/>
    <w:rsid w:val="00765DBC"/>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90C04"/>
    <w:rsid w:val="00792B1A"/>
    <w:rsid w:val="007947B8"/>
    <w:rsid w:val="007954AB"/>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3181"/>
    <w:rsid w:val="007D49B2"/>
    <w:rsid w:val="007D59CD"/>
    <w:rsid w:val="007D5CD5"/>
    <w:rsid w:val="007D69C2"/>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D6"/>
    <w:rsid w:val="00800F76"/>
    <w:rsid w:val="008011D6"/>
    <w:rsid w:val="008013C7"/>
    <w:rsid w:val="008028B0"/>
    <w:rsid w:val="00803111"/>
    <w:rsid w:val="00804992"/>
    <w:rsid w:val="00804BFE"/>
    <w:rsid w:val="00805592"/>
    <w:rsid w:val="00805D14"/>
    <w:rsid w:val="00807340"/>
    <w:rsid w:val="00811C7B"/>
    <w:rsid w:val="008160D1"/>
    <w:rsid w:val="008163BB"/>
    <w:rsid w:val="00820049"/>
    <w:rsid w:val="00821AAF"/>
    <w:rsid w:val="00821CC2"/>
    <w:rsid w:val="008237F8"/>
    <w:rsid w:val="00825D03"/>
    <w:rsid w:val="008277D6"/>
    <w:rsid w:val="00827930"/>
    <w:rsid w:val="00830A59"/>
    <w:rsid w:val="00831A8F"/>
    <w:rsid w:val="00832AD8"/>
    <w:rsid w:val="00835255"/>
    <w:rsid w:val="008373F3"/>
    <w:rsid w:val="00837455"/>
    <w:rsid w:val="00837CC7"/>
    <w:rsid w:val="00840698"/>
    <w:rsid w:val="00841AFA"/>
    <w:rsid w:val="00842C13"/>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1E55"/>
    <w:rsid w:val="00883A3C"/>
    <w:rsid w:val="00884BE0"/>
    <w:rsid w:val="0088548E"/>
    <w:rsid w:val="00885D44"/>
    <w:rsid w:val="008877FE"/>
    <w:rsid w:val="00887BC2"/>
    <w:rsid w:val="00890003"/>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7291"/>
    <w:rsid w:val="008D2234"/>
    <w:rsid w:val="008D3A8A"/>
    <w:rsid w:val="008D4549"/>
    <w:rsid w:val="008E11EB"/>
    <w:rsid w:val="008E1C68"/>
    <w:rsid w:val="008E2146"/>
    <w:rsid w:val="008E3C78"/>
    <w:rsid w:val="008E4C40"/>
    <w:rsid w:val="008E6359"/>
    <w:rsid w:val="008E69EF"/>
    <w:rsid w:val="008E6F07"/>
    <w:rsid w:val="008E7D9E"/>
    <w:rsid w:val="008F1097"/>
    <w:rsid w:val="008F10A1"/>
    <w:rsid w:val="008F1CB6"/>
    <w:rsid w:val="008F2779"/>
    <w:rsid w:val="008F4468"/>
    <w:rsid w:val="008F594F"/>
    <w:rsid w:val="009019EB"/>
    <w:rsid w:val="0090292B"/>
    <w:rsid w:val="00905103"/>
    <w:rsid w:val="00906323"/>
    <w:rsid w:val="00912D37"/>
    <w:rsid w:val="00912FC6"/>
    <w:rsid w:val="0091307D"/>
    <w:rsid w:val="0091403B"/>
    <w:rsid w:val="009159E6"/>
    <w:rsid w:val="00917B30"/>
    <w:rsid w:val="009212A0"/>
    <w:rsid w:val="00923C70"/>
    <w:rsid w:val="009244C2"/>
    <w:rsid w:val="0092460F"/>
    <w:rsid w:val="009250EC"/>
    <w:rsid w:val="00926AD4"/>
    <w:rsid w:val="00930793"/>
    <w:rsid w:val="00932D58"/>
    <w:rsid w:val="009333B3"/>
    <w:rsid w:val="00935337"/>
    <w:rsid w:val="009367D8"/>
    <w:rsid w:val="009368EA"/>
    <w:rsid w:val="00936AC0"/>
    <w:rsid w:val="00940587"/>
    <w:rsid w:val="00941405"/>
    <w:rsid w:val="009417C4"/>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2A09"/>
    <w:rsid w:val="009E2B68"/>
    <w:rsid w:val="009E2C0B"/>
    <w:rsid w:val="009E514D"/>
    <w:rsid w:val="009E6F6B"/>
    <w:rsid w:val="009E773A"/>
    <w:rsid w:val="009F2E2C"/>
    <w:rsid w:val="009F5B90"/>
    <w:rsid w:val="009F5F90"/>
    <w:rsid w:val="009F6952"/>
    <w:rsid w:val="00A01E6F"/>
    <w:rsid w:val="00A043C7"/>
    <w:rsid w:val="00A05C39"/>
    <w:rsid w:val="00A07DA0"/>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26D3"/>
    <w:rsid w:val="00A63D50"/>
    <w:rsid w:val="00A70EE6"/>
    <w:rsid w:val="00A71BED"/>
    <w:rsid w:val="00A74ABE"/>
    <w:rsid w:val="00A75348"/>
    <w:rsid w:val="00A75613"/>
    <w:rsid w:val="00A75A87"/>
    <w:rsid w:val="00A76865"/>
    <w:rsid w:val="00A80097"/>
    <w:rsid w:val="00A81499"/>
    <w:rsid w:val="00A84460"/>
    <w:rsid w:val="00A84932"/>
    <w:rsid w:val="00A8517D"/>
    <w:rsid w:val="00A85778"/>
    <w:rsid w:val="00A858DB"/>
    <w:rsid w:val="00A862E3"/>
    <w:rsid w:val="00A86740"/>
    <w:rsid w:val="00A86889"/>
    <w:rsid w:val="00A8697F"/>
    <w:rsid w:val="00A872CC"/>
    <w:rsid w:val="00A96D6E"/>
    <w:rsid w:val="00AA1C53"/>
    <w:rsid w:val="00AA393B"/>
    <w:rsid w:val="00AA4F6B"/>
    <w:rsid w:val="00AA63A5"/>
    <w:rsid w:val="00AA6B1E"/>
    <w:rsid w:val="00AB1E26"/>
    <w:rsid w:val="00AB2740"/>
    <w:rsid w:val="00AB378C"/>
    <w:rsid w:val="00AB3821"/>
    <w:rsid w:val="00AB49FA"/>
    <w:rsid w:val="00AB4F5B"/>
    <w:rsid w:val="00AB7A33"/>
    <w:rsid w:val="00AB7A8F"/>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3C36"/>
    <w:rsid w:val="00AE406F"/>
    <w:rsid w:val="00AE7213"/>
    <w:rsid w:val="00AE7388"/>
    <w:rsid w:val="00AE768A"/>
    <w:rsid w:val="00AF2AA3"/>
    <w:rsid w:val="00AF2B6B"/>
    <w:rsid w:val="00AF4AB2"/>
    <w:rsid w:val="00AF4E96"/>
    <w:rsid w:val="00B007D7"/>
    <w:rsid w:val="00B00D42"/>
    <w:rsid w:val="00B00EB5"/>
    <w:rsid w:val="00B037D5"/>
    <w:rsid w:val="00B04C42"/>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3C2F"/>
    <w:rsid w:val="00B445F0"/>
    <w:rsid w:val="00B502EE"/>
    <w:rsid w:val="00B53295"/>
    <w:rsid w:val="00B53D7D"/>
    <w:rsid w:val="00B5405A"/>
    <w:rsid w:val="00B54170"/>
    <w:rsid w:val="00B544BE"/>
    <w:rsid w:val="00B54D14"/>
    <w:rsid w:val="00B555D9"/>
    <w:rsid w:val="00B56126"/>
    <w:rsid w:val="00B61470"/>
    <w:rsid w:val="00B6168E"/>
    <w:rsid w:val="00B61D11"/>
    <w:rsid w:val="00B6462C"/>
    <w:rsid w:val="00B67995"/>
    <w:rsid w:val="00B702A6"/>
    <w:rsid w:val="00B70D19"/>
    <w:rsid w:val="00B726DA"/>
    <w:rsid w:val="00B75B3B"/>
    <w:rsid w:val="00B76D85"/>
    <w:rsid w:val="00B80CA1"/>
    <w:rsid w:val="00B81B48"/>
    <w:rsid w:val="00B8295E"/>
    <w:rsid w:val="00B86491"/>
    <w:rsid w:val="00B86F9E"/>
    <w:rsid w:val="00B9114A"/>
    <w:rsid w:val="00B92D2C"/>
    <w:rsid w:val="00B9306B"/>
    <w:rsid w:val="00B931B0"/>
    <w:rsid w:val="00B941C2"/>
    <w:rsid w:val="00B96328"/>
    <w:rsid w:val="00B97923"/>
    <w:rsid w:val="00B97C72"/>
    <w:rsid w:val="00BA772B"/>
    <w:rsid w:val="00BA7BC8"/>
    <w:rsid w:val="00BB0E5B"/>
    <w:rsid w:val="00BB0FDF"/>
    <w:rsid w:val="00BB50B2"/>
    <w:rsid w:val="00BC3091"/>
    <w:rsid w:val="00BC34DF"/>
    <w:rsid w:val="00BC4041"/>
    <w:rsid w:val="00BC597F"/>
    <w:rsid w:val="00BC62F1"/>
    <w:rsid w:val="00BC6902"/>
    <w:rsid w:val="00BC7920"/>
    <w:rsid w:val="00BD0940"/>
    <w:rsid w:val="00BD2E0D"/>
    <w:rsid w:val="00BD2EB6"/>
    <w:rsid w:val="00BD34A9"/>
    <w:rsid w:val="00BD392F"/>
    <w:rsid w:val="00BD6740"/>
    <w:rsid w:val="00BD6FF3"/>
    <w:rsid w:val="00BD75C4"/>
    <w:rsid w:val="00BE0677"/>
    <w:rsid w:val="00BE3466"/>
    <w:rsid w:val="00BE52B1"/>
    <w:rsid w:val="00BE56AC"/>
    <w:rsid w:val="00BE710B"/>
    <w:rsid w:val="00BE7750"/>
    <w:rsid w:val="00BF0154"/>
    <w:rsid w:val="00BF1A20"/>
    <w:rsid w:val="00BF22D0"/>
    <w:rsid w:val="00BF2347"/>
    <w:rsid w:val="00BF43E1"/>
    <w:rsid w:val="00BF69E3"/>
    <w:rsid w:val="00C0059A"/>
    <w:rsid w:val="00C01716"/>
    <w:rsid w:val="00C02B67"/>
    <w:rsid w:val="00C039A8"/>
    <w:rsid w:val="00C04D04"/>
    <w:rsid w:val="00C0668F"/>
    <w:rsid w:val="00C067BE"/>
    <w:rsid w:val="00C07711"/>
    <w:rsid w:val="00C103F1"/>
    <w:rsid w:val="00C11CD2"/>
    <w:rsid w:val="00C15123"/>
    <w:rsid w:val="00C17418"/>
    <w:rsid w:val="00C17795"/>
    <w:rsid w:val="00C17EFB"/>
    <w:rsid w:val="00C219E4"/>
    <w:rsid w:val="00C263CC"/>
    <w:rsid w:val="00C322DC"/>
    <w:rsid w:val="00C324C0"/>
    <w:rsid w:val="00C40B5B"/>
    <w:rsid w:val="00C42786"/>
    <w:rsid w:val="00C46D1C"/>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6BD4"/>
    <w:rsid w:val="00C71966"/>
    <w:rsid w:val="00C72522"/>
    <w:rsid w:val="00C7462C"/>
    <w:rsid w:val="00C74FD9"/>
    <w:rsid w:val="00C75B7E"/>
    <w:rsid w:val="00C76E86"/>
    <w:rsid w:val="00C775F1"/>
    <w:rsid w:val="00C813D6"/>
    <w:rsid w:val="00C81D43"/>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F0C4F"/>
    <w:rsid w:val="00CF1DC1"/>
    <w:rsid w:val="00CF38BE"/>
    <w:rsid w:val="00CF47D9"/>
    <w:rsid w:val="00CF4EB2"/>
    <w:rsid w:val="00CF4F20"/>
    <w:rsid w:val="00CF5FB7"/>
    <w:rsid w:val="00CF6F3B"/>
    <w:rsid w:val="00D00B60"/>
    <w:rsid w:val="00D0203A"/>
    <w:rsid w:val="00D031C3"/>
    <w:rsid w:val="00D03785"/>
    <w:rsid w:val="00D057C9"/>
    <w:rsid w:val="00D06247"/>
    <w:rsid w:val="00D06287"/>
    <w:rsid w:val="00D0665B"/>
    <w:rsid w:val="00D0766C"/>
    <w:rsid w:val="00D077A1"/>
    <w:rsid w:val="00D10773"/>
    <w:rsid w:val="00D11F1B"/>
    <w:rsid w:val="00D12C2E"/>
    <w:rsid w:val="00D12F7B"/>
    <w:rsid w:val="00D161E1"/>
    <w:rsid w:val="00D174AE"/>
    <w:rsid w:val="00D2119B"/>
    <w:rsid w:val="00D22CD3"/>
    <w:rsid w:val="00D24B0F"/>
    <w:rsid w:val="00D25CD8"/>
    <w:rsid w:val="00D25D1F"/>
    <w:rsid w:val="00D266F6"/>
    <w:rsid w:val="00D26856"/>
    <w:rsid w:val="00D30404"/>
    <w:rsid w:val="00D30B48"/>
    <w:rsid w:val="00D30EA3"/>
    <w:rsid w:val="00D3210D"/>
    <w:rsid w:val="00D323E0"/>
    <w:rsid w:val="00D32A28"/>
    <w:rsid w:val="00D335CE"/>
    <w:rsid w:val="00D338F6"/>
    <w:rsid w:val="00D40670"/>
    <w:rsid w:val="00D42001"/>
    <w:rsid w:val="00D422CD"/>
    <w:rsid w:val="00D42C66"/>
    <w:rsid w:val="00D43B25"/>
    <w:rsid w:val="00D4440C"/>
    <w:rsid w:val="00D46A70"/>
    <w:rsid w:val="00D46A7D"/>
    <w:rsid w:val="00D46E38"/>
    <w:rsid w:val="00D508CB"/>
    <w:rsid w:val="00D51C49"/>
    <w:rsid w:val="00D52D4E"/>
    <w:rsid w:val="00D5358F"/>
    <w:rsid w:val="00D5430A"/>
    <w:rsid w:val="00D54B5C"/>
    <w:rsid w:val="00D55C5F"/>
    <w:rsid w:val="00D56ADF"/>
    <w:rsid w:val="00D57B24"/>
    <w:rsid w:val="00D6613B"/>
    <w:rsid w:val="00D67089"/>
    <w:rsid w:val="00D70938"/>
    <w:rsid w:val="00D73391"/>
    <w:rsid w:val="00D771F5"/>
    <w:rsid w:val="00D776F9"/>
    <w:rsid w:val="00D80CFB"/>
    <w:rsid w:val="00D82864"/>
    <w:rsid w:val="00D832C0"/>
    <w:rsid w:val="00D8563A"/>
    <w:rsid w:val="00D85BE5"/>
    <w:rsid w:val="00D87023"/>
    <w:rsid w:val="00D9094B"/>
    <w:rsid w:val="00D92A9E"/>
    <w:rsid w:val="00D94595"/>
    <w:rsid w:val="00D94917"/>
    <w:rsid w:val="00D94C88"/>
    <w:rsid w:val="00D95119"/>
    <w:rsid w:val="00D95D54"/>
    <w:rsid w:val="00DA33F7"/>
    <w:rsid w:val="00DA47D2"/>
    <w:rsid w:val="00DA4B05"/>
    <w:rsid w:val="00DB10A6"/>
    <w:rsid w:val="00DB3435"/>
    <w:rsid w:val="00DB4594"/>
    <w:rsid w:val="00DB4DD4"/>
    <w:rsid w:val="00DB59AB"/>
    <w:rsid w:val="00DB67EF"/>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D5C"/>
    <w:rsid w:val="00DF67D6"/>
    <w:rsid w:val="00DF6A0A"/>
    <w:rsid w:val="00DF6BE2"/>
    <w:rsid w:val="00E00B04"/>
    <w:rsid w:val="00E054C0"/>
    <w:rsid w:val="00E0677F"/>
    <w:rsid w:val="00E100EE"/>
    <w:rsid w:val="00E1013D"/>
    <w:rsid w:val="00E1162E"/>
    <w:rsid w:val="00E12BAC"/>
    <w:rsid w:val="00E12C49"/>
    <w:rsid w:val="00E13C97"/>
    <w:rsid w:val="00E146E4"/>
    <w:rsid w:val="00E16155"/>
    <w:rsid w:val="00E16E8F"/>
    <w:rsid w:val="00E17099"/>
    <w:rsid w:val="00E17963"/>
    <w:rsid w:val="00E21DFF"/>
    <w:rsid w:val="00E223C9"/>
    <w:rsid w:val="00E2415E"/>
    <w:rsid w:val="00E24720"/>
    <w:rsid w:val="00E2524F"/>
    <w:rsid w:val="00E25433"/>
    <w:rsid w:val="00E25717"/>
    <w:rsid w:val="00E30A6D"/>
    <w:rsid w:val="00E314C3"/>
    <w:rsid w:val="00E335C8"/>
    <w:rsid w:val="00E33A04"/>
    <w:rsid w:val="00E33D6A"/>
    <w:rsid w:val="00E34674"/>
    <w:rsid w:val="00E369B4"/>
    <w:rsid w:val="00E41DC1"/>
    <w:rsid w:val="00E4509D"/>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C1B"/>
    <w:rsid w:val="00E72FAB"/>
    <w:rsid w:val="00E80579"/>
    <w:rsid w:val="00E80D1B"/>
    <w:rsid w:val="00E8291C"/>
    <w:rsid w:val="00E8315F"/>
    <w:rsid w:val="00E83C51"/>
    <w:rsid w:val="00E83E73"/>
    <w:rsid w:val="00E842A4"/>
    <w:rsid w:val="00E842AB"/>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11D4"/>
    <w:rsid w:val="00EB17CB"/>
    <w:rsid w:val="00EB2C5D"/>
    <w:rsid w:val="00EB2C79"/>
    <w:rsid w:val="00EB3DD2"/>
    <w:rsid w:val="00EB7FDB"/>
    <w:rsid w:val="00EC01E4"/>
    <w:rsid w:val="00EC0548"/>
    <w:rsid w:val="00EC17AA"/>
    <w:rsid w:val="00EC3FF5"/>
    <w:rsid w:val="00EC4CC8"/>
    <w:rsid w:val="00EC6491"/>
    <w:rsid w:val="00EC70F1"/>
    <w:rsid w:val="00EC7D4F"/>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D9D"/>
    <w:rsid w:val="00EF68D0"/>
    <w:rsid w:val="00F0025D"/>
    <w:rsid w:val="00F00B0C"/>
    <w:rsid w:val="00F03087"/>
    <w:rsid w:val="00F03772"/>
    <w:rsid w:val="00F04BE4"/>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1547"/>
    <w:rsid w:val="00F31A97"/>
    <w:rsid w:val="00F33D16"/>
    <w:rsid w:val="00F33D35"/>
    <w:rsid w:val="00F33DED"/>
    <w:rsid w:val="00F34B0F"/>
    <w:rsid w:val="00F3556B"/>
    <w:rsid w:val="00F370CB"/>
    <w:rsid w:val="00F37220"/>
    <w:rsid w:val="00F3743E"/>
    <w:rsid w:val="00F37904"/>
    <w:rsid w:val="00F40F2D"/>
    <w:rsid w:val="00F41AAE"/>
    <w:rsid w:val="00F43E68"/>
    <w:rsid w:val="00F44E64"/>
    <w:rsid w:val="00F44EB8"/>
    <w:rsid w:val="00F45647"/>
    <w:rsid w:val="00F47DD9"/>
    <w:rsid w:val="00F501C1"/>
    <w:rsid w:val="00F5253E"/>
    <w:rsid w:val="00F52713"/>
    <w:rsid w:val="00F52C15"/>
    <w:rsid w:val="00F5672D"/>
    <w:rsid w:val="00F60E13"/>
    <w:rsid w:val="00F62DAB"/>
    <w:rsid w:val="00F63554"/>
    <w:rsid w:val="00F642E4"/>
    <w:rsid w:val="00F6628F"/>
    <w:rsid w:val="00F6713B"/>
    <w:rsid w:val="00F677F0"/>
    <w:rsid w:val="00F71B4A"/>
    <w:rsid w:val="00F7298A"/>
    <w:rsid w:val="00F75AF9"/>
    <w:rsid w:val="00F76110"/>
    <w:rsid w:val="00F808F1"/>
    <w:rsid w:val="00F80AB4"/>
    <w:rsid w:val="00F81547"/>
    <w:rsid w:val="00F82AB1"/>
    <w:rsid w:val="00F8389D"/>
    <w:rsid w:val="00F852BD"/>
    <w:rsid w:val="00F85304"/>
    <w:rsid w:val="00F87231"/>
    <w:rsid w:val="00F921EE"/>
    <w:rsid w:val="00F93284"/>
    <w:rsid w:val="00F94B4B"/>
    <w:rsid w:val="00F95E08"/>
    <w:rsid w:val="00F96154"/>
    <w:rsid w:val="00FA0679"/>
    <w:rsid w:val="00FA2E27"/>
    <w:rsid w:val="00FA589C"/>
    <w:rsid w:val="00FB0CF7"/>
    <w:rsid w:val="00FB112E"/>
    <w:rsid w:val="00FB14BA"/>
    <w:rsid w:val="00FB2419"/>
    <w:rsid w:val="00FB27BF"/>
    <w:rsid w:val="00FB3507"/>
    <w:rsid w:val="00FB39D9"/>
    <w:rsid w:val="00FB3CE8"/>
    <w:rsid w:val="00FB5A0F"/>
    <w:rsid w:val="00FB62D5"/>
    <w:rsid w:val="00FC26F6"/>
    <w:rsid w:val="00FC350B"/>
    <w:rsid w:val="00FC4119"/>
    <w:rsid w:val="00FC4A8F"/>
    <w:rsid w:val="00FC62BD"/>
    <w:rsid w:val="00FC63A6"/>
    <w:rsid w:val="00FC797D"/>
    <w:rsid w:val="00FD2204"/>
    <w:rsid w:val="00FD34AB"/>
    <w:rsid w:val="00FD3531"/>
    <w:rsid w:val="00FD3B25"/>
    <w:rsid w:val="00FD3DAB"/>
    <w:rsid w:val="00FD40E3"/>
    <w:rsid w:val="00FD4626"/>
    <w:rsid w:val="00FD5C81"/>
    <w:rsid w:val="00FD755C"/>
    <w:rsid w:val="00FE1CB8"/>
    <w:rsid w:val="00FE2265"/>
    <w:rsid w:val="00FE4096"/>
    <w:rsid w:val="00FE5D00"/>
    <w:rsid w:val="00FE60F5"/>
    <w:rsid w:val="00FE6F51"/>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2"/>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A2"/>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na.Heidere@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C623-8936-429F-8958-519457CB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21</Pages>
  <Words>26559</Words>
  <Characters>15139</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41615</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Elina Heidere</cp:lastModifiedBy>
  <cp:revision>198</cp:revision>
  <cp:lastPrinted>2016-09-23T05:55:00Z</cp:lastPrinted>
  <dcterms:created xsi:type="dcterms:W3CDTF">2016-02-26T08:00:00Z</dcterms:created>
  <dcterms:modified xsi:type="dcterms:W3CDTF">2016-09-23T07:10:00Z</dcterms:modified>
</cp:coreProperties>
</file>