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79A" w:rsidRPr="00BC7F9D" w:rsidRDefault="000D479A" w:rsidP="000D479A">
      <w:pPr>
        <w:jc w:val="center"/>
        <w:rPr>
          <w:b/>
          <w:color w:val="000000" w:themeColor="text1"/>
        </w:rPr>
      </w:pPr>
      <w:r w:rsidRPr="00BC7F9D">
        <w:rPr>
          <w:b/>
          <w:color w:val="000000" w:themeColor="text1"/>
        </w:rPr>
        <w:t>Likumprojekta „Grozījumi Valsts sociālo pabalstu likumā”</w:t>
      </w:r>
    </w:p>
    <w:p w:rsidR="000D479A" w:rsidRPr="00BC7F9D" w:rsidRDefault="000D479A" w:rsidP="000D479A">
      <w:pPr>
        <w:jc w:val="center"/>
        <w:rPr>
          <w:b/>
          <w:color w:val="000000" w:themeColor="text1"/>
        </w:rPr>
      </w:pPr>
      <w:r w:rsidRPr="00BC7F9D">
        <w:rPr>
          <w:b/>
          <w:color w:val="000000" w:themeColor="text1"/>
        </w:rPr>
        <w:t xml:space="preserve">sākotnējās ietekmes novērtējuma </w:t>
      </w:r>
      <w:smartTag w:uri="schemas-tilde-lv/tildestengine" w:element="veidnes">
        <w:smartTagPr>
          <w:attr w:name="text" w:val="ziņojums"/>
          <w:attr w:name="id" w:val="-1"/>
          <w:attr w:name="baseform" w:val="ziņojum|s"/>
        </w:smartTagPr>
        <w:r w:rsidRPr="00BC7F9D">
          <w:rPr>
            <w:b/>
            <w:color w:val="000000" w:themeColor="text1"/>
          </w:rPr>
          <w:t>ziņojums</w:t>
        </w:r>
      </w:smartTag>
      <w:r w:rsidRPr="00BC7F9D">
        <w:rPr>
          <w:b/>
          <w:color w:val="000000" w:themeColor="text1"/>
        </w:rPr>
        <w:t xml:space="preserve"> (anotācija)</w:t>
      </w:r>
    </w:p>
    <w:p w:rsidR="0066477E" w:rsidRPr="008C6643" w:rsidRDefault="0066477E" w:rsidP="0066477E">
      <w:pPr>
        <w:jc w:val="center"/>
        <w:rPr>
          <w:b/>
        </w:rPr>
      </w:pPr>
    </w:p>
    <w:tbl>
      <w:tblPr>
        <w:tblW w:w="490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4"/>
        <w:gridCol w:w="1971"/>
        <w:gridCol w:w="6947"/>
      </w:tblGrid>
      <w:tr w:rsidR="0066477E" w:rsidRPr="008C6643" w:rsidTr="00442745">
        <w:tc>
          <w:tcPr>
            <w:tcW w:w="5000" w:type="pct"/>
            <w:gridSpan w:val="3"/>
            <w:shd w:val="clear" w:color="auto" w:fill="auto"/>
          </w:tcPr>
          <w:p w:rsidR="0066477E" w:rsidRPr="008C6643" w:rsidRDefault="0066477E" w:rsidP="001812E5">
            <w:pPr>
              <w:jc w:val="center"/>
              <w:rPr>
                <w:b/>
              </w:rPr>
            </w:pPr>
            <w:r w:rsidRPr="008C6643">
              <w:rPr>
                <w:b/>
              </w:rPr>
              <w:t xml:space="preserve">I. Tiesību </w:t>
            </w:r>
            <w:smartTag w:uri="schemas-tilde-lv/tildestengine" w:element="veidnes">
              <w:smartTagPr>
                <w:attr w:name="baseform" w:val="akt|s"/>
                <w:attr w:name="id" w:val="-1"/>
                <w:attr w:name="text" w:val="akta"/>
              </w:smartTagPr>
              <w:r w:rsidRPr="008C6643">
                <w:rPr>
                  <w:b/>
                </w:rPr>
                <w:t>akta</w:t>
              </w:r>
            </w:smartTag>
            <w:r w:rsidRPr="008C6643">
              <w:rPr>
                <w:b/>
              </w:rPr>
              <w:t xml:space="preserve"> projekta izstrādes nepieciešamība</w:t>
            </w:r>
          </w:p>
        </w:tc>
      </w:tr>
      <w:tr w:rsidR="0066477E" w:rsidRPr="008C6643" w:rsidTr="00442745">
        <w:tc>
          <w:tcPr>
            <w:tcW w:w="217" w:type="pct"/>
            <w:shd w:val="clear" w:color="auto" w:fill="auto"/>
          </w:tcPr>
          <w:p w:rsidR="0066477E" w:rsidRPr="008C6643" w:rsidRDefault="0066477E" w:rsidP="001812E5">
            <w:r w:rsidRPr="008C6643">
              <w:t>1.</w:t>
            </w:r>
          </w:p>
        </w:tc>
        <w:tc>
          <w:tcPr>
            <w:tcW w:w="1057" w:type="pct"/>
            <w:shd w:val="clear" w:color="auto" w:fill="auto"/>
          </w:tcPr>
          <w:p w:rsidR="0066477E" w:rsidRPr="008C6643" w:rsidRDefault="0066477E" w:rsidP="001812E5">
            <w:r w:rsidRPr="008C6643">
              <w:t>Pamatojums</w:t>
            </w:r>
          </w:p>
        </w:tc>
        <w:tc>
          <w:tcPr>
            <w:tcW w:w="3726" w:type="pct"/>
            <w:shd w:val="clear" w:color="auto" w:fill="auto"/>
          </w:tcPr>
          <w:p w:rsidR="00801391" w:rsidRPr="008C6643" w:rsidRDefault="00801391" w:rsidP="00364011">
            <w:pPr>
              <w:jc w:val="both"/>
              <w:rPr>
                <w:color w:val="000000" w:themeColor="text1"/>
              </w:rPr>
            </w:pPr>
            <w:r w:rsidRPr="008C6643">
              <w:rPr>
                <w:i/>
                <w:color w:val="000000" w:themeColor="text1"/>
              </w:rPr>
              <w:t>Demogrāfiskās situācijas uzlabošana, ģimenes dzīves kvalitāte un sociālais nodrošinājums</w:t>
            </w:r>
            <w:r w:rsidRPr="008C6643">
              <w:rPr>
                <w:b/>
                <w:color w:val="000000" w:themeColor="text1"/>
              </w:rPr>
              <w:t xml:space="preserve"> </w:t>
            </w:r>
            <w:r w:rsidRPr="008C6643">
              <w:rPr>
                <w:color w:val="000000" w:themeColor="text1"/>
              </w:rPr>
              <w:t>ir</w:t>
            </w:r>
            <w:r w:rsidRPr="008C6643">
              <w:rPr>
                <w:b/>
                <w:color w:val="000000" w:themeColor="text1"/>
              </w:rPr>
              <w:t xml:space="preserve"> </w:t>
            </w:r>
            <w:r w:rsidRPr="008C6643">
              <w:rPr>
                <w:color w:val="000000" w:themeColor="text1"/>
              </w:rPr>
              <w:t>izvirzīta kā</w:t>
            </w:r>
            <w:r w:rsidRPr="008C6643">
              <w:rPr>
                <w:b/>
                <w:color w:val="000000" w:themeColor="text1"/>
              </w:rPr>
              <w:t xml:space="preserve"> </w:t>
            </w:r>
            <w:r w:rsidRPr="008C6643">
              <w:rPr>
                <w:color w:val="000000" w:themeColor="text1"/>
              </w:rPr>
              <w:t>viena no piecām Māra Kučinska vadītā Ministru kabineta darbības galvenajām prioritātēm. Lai nodrošinātu šīs prioritātes īstenošanu, ar Ministru prezidenta 06.04.2016. rīkojumu Nr.111 tika izveidota ekspertu sadarbības platforma “Demogrāfisko lietu centrs” (turpmāk – "Demogrāfisko lietu centrs"). "Demogrāfisko lietu centra" darbības mērķis – ņemot vērā uzdevumus, kas noteikti Deklarācijā par Māra Kučinska vadītā Ministru kabineta (turpmāk – arī MK) iecerēto darbību, sniegt priekšlikumus par tautas ataudzes atbalsta pasākumu pilnveidošanu un īstenošanu Demogrāfisko lietu padomei, lai virzītu tos izskatīšanai Ministru kabinetā.</w:t>
            </w:r>
          </w:p>
          <w:p w:rsidR="00801391" w:rsidRPr="008C6643" w:rsidRDefault="00801391" w:rsidP="00364011">
            <w:pPr>
              <w:pStyle w:val="Footer"/>
              <w:spacing w:before="0" w:beforeAutospacing="0" w:after="0" w:afterAutospacing="0"/>
              <w:jc w:val="both"/>
              <w:rPr>
                <w:color w:val="000000" w:themeColor="text1"/>
              </w:rPr>
            </w:pPr>
            <w:r w:rsidRPr="008C6643">
              <w:rPr>
                <w:color w:val="000000" w:themeColor="text1"/>
              </w:rPr>
              <w:t>Laikā kopš "Demogrāfisko lietu centra" pirmās sēdes 2016.gada 14. aprīlī "Demogrāfisko lietu centra" eksperti (t.sk. Labklājības ministrijas pārstāvji), analizējot pašreizējo situāciju, ir identificējuši tās jomas, kur nepieciešama operatīva rīcība ģimeņu dzīves kvalitātes uzlabošanai vai normatīvā regulējuma sistēmiskai sakārtošanai, un sagatavojuši konceptuālo ziņojumu “Par Sadarbības platformas “Demogrāfisko lietu centrs” priekšlikumiem ģimeņu ar bērniem atbalstam 2017. –2018. gadā”.</w:t>
            </w:r>
          </w:p>
          <w:p w:rsidR="00801391" w:rsidRPr="008C6643" w:rsidRDefault="00801391" w:rsidP="00364011">
            <w:pPr>
              <w:jc w:val="both"/>
              <w:rPr>
                <w:color w:val="000000" w:themeColor="text1"/>
              </w:rPr>
            </w:pPr>
            <w:r w:rsidRPr="008C6643">
              <w:rPr>
                <w:color w:val="000000" w:themeColor="text1"/>
              </w:rPr>
              <w:t xml:space="preserve">Šajā konceptuālajā ziņojumā "Demogrāfisko lietu centra" piedāvātie priekšlikumi primāri vērsti uz stratēģiskā mērķa tautas ataudzes jomā  – dzimstības veicināšana – sasniegšanu. Ņemot vērā demogrāfiskās tendences un, jo īpaši – tautas ataudzi kavējošos faktorus (sieviešu </w:t>
            </w:r>
            <w:proofErr w:type="spellStart"/>
            <w:r w:rsidRPr="008C6643">
              <w:rPr>
                <w:color w:val="000000" w:themeColor="text1"/>
              </w:rPr>
              <w:t>fertilajā</w:t>
            </w:r>
            <w:proofErr w:type="spellEnd"/>
            <w:r w:rsidRPr="008C6643">
              <w:rPr>
                <w:color w:val="000000" w:themeColor="text1"/>
              </w:rPr>
              <w:t xml:space="preserve"> vecumā īpatsvara būtisku samazināšanos turpmāko desmit gadu laikā, sabiedrības novecošanos, negatīvu migrācijas saldo), ziņojum</w:t>
            </w:r>
            <w:r w:rsidR="00A0615C">
              <w:rPr>
                <w:color w:val="000000" w:themeColor="text1"/>
              </w:rPr>
              <w:t>ā</w:t>
            </w:r>
            <w:r w:rsidRPr="008C6643">
              <w:rPr>
                <w:color w:val="000000" w:themeColor="text1"/>
              </w:rPr>
              <w:t xml:space="preserve"> minētie priekšlikumi vērtējami jau 2017. gada budžeta veidošanas procesā.</w:t>
            </w:r>
          </w:p>
          <w:p w:rsidR="00801391" w:rsidRPr="008C6643" w:rsidRDefault="00801391" w:rsidP="00364011">
            <w:pPr>
              <w:jc w:val="both"/>
              <w:rPr>
                <w:color w:val="000000" w:themeColor="text1"/>
              </w:rPr>
            </w:pPr>
            <w:r w:rsidRPr="008C6643">
              <w:rPr>
                <w:color w:val="000000" w:themeColor="text1"/>
              </w:rPr>
              <w:t xml:space="preserve">"Demogrāfisko lietu centra" sagatavotais ziņojums konceptuāli tika atbalstīts 2016.gada 21.jūnija Demogrāfisko lietu padomes sēdē.  </w:t>
            </w:r>
          </w:p>
          <w:p w:rsidR="000D479A" w:rsidRPr="00A16CE3" w:rsidRDefault="00364011" w:rsidP="000D479A">
            <w:pPr>
              <w:jc w:val="both"/>
              <w:rPr>
                <w:color w:val="000000" w:themeColor="text1"/>
              </w:rPr>
            </w:pPr>
            <w:r w:rsidRPr="008C6643">
              <w:rPr>
                <w:color w:val="000000" w:themeColor="text1"/>
              </w:rPr>
              <w:t>Ministru kabinets 2016.gada 16.augustā, skatot i</w:t>
            </w:r>
            <w:r w:rsidRPr="00364011">
              <w:rPr>
                <w:color w:val="000000" w:themeColor="text1"/>
              </w:rPr>
              <w:t>nformatīv</w:t>
            </w:r>
            <w:r w:rsidRPr="008C6643">
              <w:rPr>
                <w:color w:val="000000" w:themeColor="text1"/>
              </w:rPr>
              <w:t>o ziņojumu</w:t>
            </w:r>
            <w:r w:rsidRPr="00364011">
              <w:rPr>
                <w:color w:val="000000" w:themeColor="text1"/>
              </w:rPr>
              <w:t xml:space="preserve"> "Par priekšlikumiem valsts budžeta ieņēmumiem un izdevumiem 2017.gadam un ietvaram 2017.–2019.gadam</w:t>
            </w:r>
            <w:r w:rsidRPr="008C6643">
              <w:rPr>
                <w:color w:val="000000" w:themeColor="text1"/>
              </w:rPr>
              <w:t>”</w:t>
            </w:r>
            <w:r w:rsidR="00A0615C">
              <w:rPr>
                <w:color w:val="000000" w:themeColor="text1"/>
              </w:rPr>
              <w:t xml:space="preserve"> (</w:t>
            </w:r>
            <w:r w:rsidR="000D479A" w:rsidRPr="00A16CE3">
              <w:rPr>
                <w:color w:val="000000" w:themeColor="text1"/>
              </w:rPr>
              <w:t xml:space="preserve">16.08.2016. sēdes </w:t>
            </w:r>
            <w:proofErr w:type="spellStart"/>
            <w:r w:rsidR="000D479A" w:rsidRPr="00A16CE3">
              <w:rPr>
                <w:color w:val="000000" w:themeColor="text1"/>
              </w:rPr>
              <w:t>protokollēmuma</w:t>
            </w:r>
            <w:proofErr w:type="spellEnd"/>
            <w:r w:rsidR="000D479A" w:rsidRPr="00A16CE3">
              <w:rPr>
                <w:color w:val="000000" w:themeColor="text1"/>
              </w:rPr>
              <w:t xml:space="preserve"> Nr.40 59.§</w:t>
            </w:r>
            <w:r w:rsidR="00816717">
              <w:rPr>
                <w:color w:val="000000" w:themeColor="text1"/>
              </w:rPr>
              <w:t>.</w:t>
            </w:r>
            <w:r w:rsidR="000D479A" w:rsidRPr="00A16CE3">
              <w:rPr>
                <w:color w:val="000000" w:themeColor="text1"/>
              </w:rPr>
              <w:t xml:space="preserve"> 2.punkts), atbalstīja vairākus</w:t>
            </w:r>
            <w:proofErr w:type="gramStart"/>
            <w:r w:rsidR="000D479A" w:rsidRPr="00A16CE3">
              <w:rPr>
                <w:color w:val="000000" w:themeColor="text1"/>
              </w:rPr>
              <w:t xml:space="preserve">  </w:t>
            </w:r>
            <w:proofErr w:type="gramEnd"/>
            <w:r w:rsidR="000D479A" w:rsidRPr="00A16CE3">
              <w:rPr>
                <w:color w:val="000000" w:themeColor="text1"/>
              </w:rPr>
              <w:t>"Demogrāfisko lietu centra" virzītus</w:t>
            </w:r>
            <w:r w:rsidR="00816717">
              <w:rPr>
                <w:color w:val="000000" w:themeColor="text1"/>
              </w:rPr>
              <w:t xml:space="preserve"> prioritāros</w:t>
            </w:r>
            <w:r w:rsidR="000D479A" w:rsidRPr="00A16CE3">
              <w:rPr>
                <w:color w:val="000000" w:themeColor="text1"/>
              </w:rPr>
              <w:t xml:space="preserve"> </w:t>
            </w:r>
            <w:r w:rsidR="00816717">
              <w:rPr>
                <w:color w:val="000000" w:themeColor="text1"/>
              </w:rPr>
              <w:t>pasākumus</w:t>
            </w:r>
            <w:r w:rsidR="000D479A" w:rsidRPr="00A16CE3">
              <w:rPr>
                <w:color w:val="000000" w:themeColor="text1"/>
              </w:rPr>
              <w:t>, kas ir Labklājības ministrijas kompetencē, tai skaitā:</w:t>
            </w:r>
          </w:p>
          <w:p w:rsidR="00801391" w:rsidRPr="008C6643" w:rsidRDefault="00816717" w:rsidP="00364011">
            <w:pPr>
              <w:pStyle w:val="ListParagraph"/>
              <w:numPr>
                <w:ilvl w:val="0"/>
                <w:numId w:val="18"/>
              </w:numPr>
              <w:jc w:val="both"/>
              <w:rPr>
                <w:color w:val="000000" w:themeColor="text1"/>
              </w:rPr>
            </w:pPr>
            <w:r>
              <w:rPr>
                <w:color w:val="000000" w:themeColor="text1"/>
              </w:rPr>
              <w:t>pasākums „Atbalsta palielināšana apgādnieka zaudējuma pensijas saņēmējiem”. L</w:t>
            </w:r>
            <w:r w:rsidR="00801391" w:rsidRPr="008C6643">
              <w:rPr>
                <w:color w:val="000000" w:themeColor="text1"/>
              </w:rPr>
              <w:t xml:space="preserve">ai mazinātu nepilno ģimeņu nabadzību un visiem bērniem piedāvātu līdzvērtīgu sociālo nodrošinājumu, no 2017.gada 1.aprīļa paredzēts palielināt </w:t>
            </w:r>
            <w:r w:rsidR="00801391" w:rsidRPr="008C6643">
              <w:rPr>
                <w:rFonts w:eastAsiaTheme="minorHAnsi"/>
                <w:color w:val="000000" w:themeColor="text1"/>
              </w:rPr>
              <w:t xml:space="preserve">valsts minimālā atbalsta apmēru apgādnieku zaudējušiem bērniem, </w:t>
            </w:r>
            <w:r w:rsidR="000D479A">
              <w:rPr>
                <w:color w:val="000000" w:themeColor="text1"/>
              </w:rPr>
              <w:t xml:space="preserve">tuvinot </w:t>
            </w:r>
            <w:r w:rsidR="00801391" w:rsidRPr="008C6643">
              <w:rPr>
                <w:color w:val="000000" w:themeColor="text1"/>
              </w:rPr>
              <w:t>minimālo uzturlīdzekļu apmēram, kādu valsts garantē gadījumos, kad kāds no bērna vecākiem nepilda savus pienākumus un nenodrošina bērnam nepieciešamo uzturēšanu</w:t>
            </w:r>
            <w:r w:rsidR="00364011" w:rsidRPr="008C6643">
              <w:rPr>
                <w:color w:val="000000" w:themeColor="text1"/>
              </w:rPr>
              <w:t xml:space="preserve"> </w:t>
            </w:r>
            <w:r w:rsidR="00364011" w:rsidRPr="008C6643">
              <w:rPr>
                <w:i/>
                <w:color w:val="000000" w:themeColor="text1"/>
              </w:rPr>
              <w:t>(atbalstīta papildus finansējuma piešķiršana 4</w:t>
            </w:r>
            <w:r w:rsidR="00BF7F9B">
              <w:rPr>
                <w:i/>
                <w:color w:val="000000" w:themeColor="text1"/>
              </w:rPr>
              <w:t>,0</w:t>
            </w:r>
            <w:proofErr w:type="gramStart"/>
            <w:r w:rsidR="00BF7F9B" w:rsidRPr="008C6643">
              <w:rPr>
                <w:i/>
                <w:color w:val="000000" w:themeColor="text1"/>
              </w:rPr>
              <w:t xml:space="preserve"> </w:t>
            </w:r>
            <w:r w:rsidR="00364011" w:rsidRPr="008C6643">
              <w:rPr>
                <w:i/>
                <w:color w:val="000000" w:themeColor="text1"/>
              </w:rPr>
              <w:t xml:space="preserve"> </w:t>
            </w:r>
            <w:proofErr w:type="gramEnd"/>
            <w:r w:rsidR="00364011" w:rsidRPr="008C6643">
              <w:rPr>
                <w:i/>
                <w:color w:val="000000" w:themeColor="text1"/>
              </w:rPr>
              <w:t xml:space="preserve">milj. </w:t>
            </w:r>
            <w:proofErr w:type="spellStart"/>
            <w:r w:rsidR="00364011" w:rsidRPr="008C6643">
              <w:rPr>
                <w:i/>
                <w:color w:val="000000" w:themeColor="text1"/>
              </w:rPr>
              <w:t>euro</w:t>
            </w:r>
            <w:proofErr w:type="spellEnd"/>
            <w:r w:rsidR="00364011" w:rsidRPr="008C6643">
              <w:rPr>
                <w:i/>
                <w:color w:val="000000" w:themeColor="text1"/>
              </w:rPr>
              <w:t xml:space="preserve"> apmērā ik gadu)</w:t>
            </w:r>
            <w:r w:rsidR="00801391" w:rsidRPr="008C6643">
              <w:rPr>
                <w:color w:val="000000" w:themeColor="text1"/>
              </w:rPr>
              <w:t>;</w:t>
            </w:r>
          </w:p>
          <w:p w:rsidR="0066477E" w:rsidRDefault="00BF7F9B" w:rsidP="00364011">
            <w:pPr>
              <w:pStyle w:val="ListParagraph"/>
              <w:numPr>
                <w:ilvl w:val="0"/>
                <w:numId w:val="18"/>
              </w:numPr>
              <w:jc w:val="both"/>
              <w:rPr>
                <w:color w:val="000000" w:themeColor="text1"/>
              </w:rPr>
            </w:pPr>
            <w:r>
              <w:rPr>
                <w:color w:val="000000" w:themeColor="text1"/>
              </w:rPr>
              <w:lastRenderedPageBreak/>
              <w:t>pasākums „Ģimenes valsts pabalsta palielināšana, sākot no 4.bērna”. L</w:t>
            </w:r>
            <w:r w:rsidRPr="008C6643">
              <w:rPr>
                <w:color w:val="000000" w:themeColor="text1"/>
              </w:rPr>
              <w:t>ai</w:t>
            </w:r>
            <w:r w:rsidR="00801391" w:rsidRPr="008C6643">
              <w:rPr>
                <w:color w:val="000000" w:themeColor="text1"/>
              </w:rPr>
              <w:t xml:space="preserve"> radītu ekonomiski labvēlīgākus apstākļus daudzbērnu ģimenēm, kas ir otrs augstam nabadzības riskam pakļauto ģimeņu veids</w:t>
            </w:r>
            <w:r w:rsidR="000D479A">
              <w:rPr>
                <w:rStyle w:val="FootnoteReference"/>
                <w:color w:val="000000" w:themeColor="text1"/>
              </w:rPr>
              <w:footnoteReference w:id="1"/>
            </w:r>
            <w:r w:rsidR="00801391" w:rsidRPr="008C6643">
              <w:rPr>
                <w:color w:val="000000" w:themeColor="text1"/>
              </w:rPr>
              <w:t xml:space="preserve">, </w:t>
            </w:r>
            <w:r w:rsidR="00160A29">
              <w:rPr>
                <w:color w:val="000000" w:themeColor="text1"/>
              </w:rPr>
              <w:t>no 2017.</w:t>
            </w:r>
            <w:r w:rsidR="00160A29" w:rsidRPr="008C6643">
              <w:rPr>
                <w:color w:val="000000" w:themeColor="text1"/>
              </w:rPr>
              <w:t xml:space="preserve">gada 1.janvāra </w:t>
            </w:r>
            <w:r w:rsidR="00801391" w:rsidRPr="008C6643">
              <w:rPr>
                <w:color w:val="000000" w:themeColor="text1"/>
              </w:rPr>
              <w:t>plānots palielināt ģimenes valsts pabalstu ģimenē</w:t>
            </w:r>
            <w:r w:rsidR="00B012C6">
              <w:rPr>
                <w:color w:val="000000" w:themeColor="text1"/>
              </w:rPr>
              <w:t>m</w:t>
            </w:r>
            <w:r w:rsidR="00801391" w:rsidRPr="008C6643">
              <w:rPr>
                <w:color w:val="000000" w:themeColor="text1"/>
              </w:rPr>
              <w:t xml:space="preserve"> ar četriem un vairāk bērniem</w:t>
            </w:r>
            <w:r w:rsidR="00364011" w:rsidRPr="008C6643">
              <w:rPr>
                <w:rStyle w:val="Emphasis"/>
                <w:color w:val="000000" w:themeColor="text1"/>
              </w:rPr>
              <w:t xml:space="preserve"> </w:t>
            </w:r>
            <w:r w:rsidR="00364011" w:rsidRPr="008C6643">
              <w:rPr>
                <w:i/>
                <w:color w:val="000000" w:themeColor="text1"/>
              </w:rPr>
              <w:t xml:space="preserve">(atbalstīta papildus finansējuma piešķiršana 3,5 milj. </w:t>
            </w:r>
            <w:proofErr w:type="spellStart"/>
            <w:r w:rsidR="00364011" w:rsidRPr="008C6643">
              <w:rPr>
                <w:i/>
                <w:color w:val="000000" w:themeColor="text1"/>
              </w:rPr>
              <w:t>euro</w:t>
            </w:r>
            <w:proofErr w:type="spellEnd"/>
            <w:r w:rsidR="00364011" w:rsidRPr="008C6643">
              <w:rPr>
                <w:i/>
                <w:color w:val="000000" w:themeColor="text1"/>
              </w:rPr>
              <w:t xml:space="preserve"> apmērā ik gadus)</w:t>
            </w:r>
            <w:r w:rsidR="00364011" w:rsidRPr="008C6643">
              <w:rPr>
                <w:color w:val="000000" w:themeColor="text1"/>
              </w:rPr>
              <w:t>.</w:t>
            </w:r>
          </w:p>
          <w:p w:rsidR="00E65842" w:rsidRDefault="00E65842" w:rsidP="001A5C83">
            <w:pPr>
              <w:jc w:val="both"/>
              <w:rPr>
                <w:color w:val="000000" w:themeColor="text1"/>
              </w:rPr>
            </w:pPr>
            <w:r>
              <w:rPr>
                <w:color w:val="000000" w:themeColor="text1"/>
              </w:rPr>
              <w:t xml:space="preserve">Lai nodrošinātu valdības atbalstīto pasākumu ieviešanu, izstrādāts likumprojekts "Grozījumi Valsts sociālo pabalstu likumā” (turpmāk – </w:t>
            </w:r>
            <w:r w:rsidR="001A5C83">
              <w:rPr>
                <w:color w:val="000000" w:themeColor="text1"/>
              </w:rPr>
              <w:t>l</w:t>
            </w:r>
            <w:r>
              <w:rPr>
                <w:color w:val="000000" w:themeColor="text1"/>
              </w:rPr>
              <w:t>ikumprojekts).</w:t>
            </w:r>
          </w:p>
          <w:p w:rsidR="00BB6573" w:rsidRPr="00E65842" w:rsidRDefault="00BB6573" w:rsidP="001A5C83">
            <w:pPr>
              <w:jc w:val="both"/>
              <w:rPr>
                <w:color w:val="000000" w:themeColor="text1"/>
              </w:rPr>
            </w:pPr>
            <w:r w:rsidRPr="009E2B95">
              <w:rPr>
                <w:rFonts w:eastAsiaTheme="minorHAnsi"/>
                <w:lang w:eastAsia="en-US"/>
              </w:rPr>
              <w:t>Ministru kabineta 2016.gada 16.augusta sēdes Nr.40</w:t>
            </w:r>
            <w:r w:rsidRPr="009E2B95">
              <w:t xml:space="preserve"> </w:t>
            </w:r>
            <w:proofErr w:type="spellStart"/>
            <w:r w:rsidRPr="009E2B95">
              <w:rPr>
                <w:rFonts w:eastAsiaTheme="minorHAnsi"/>
                <w:bCs/>
                <w:lang w:eastAsia="en-US"/>
              </w:rPr>
              <w:t>protokollēmuma</w:t>
            </w:r>
            <w:proofErr w:type="spellEnd"/>
            <w:r w:rsidRPr="009E2B95">
              <w:rPr>
                <w:rFonts w:eastAsiaTheme="minorHAnsi"/>
                <w:bCs/>
                <w:lang w:eastAsia="en-US"/>
              </w:rPr>
              <w:t xml:space="preserve"> 59.§</w:t>
            </w:r>
            <w:r w:rsidRPr="009E2B95">
              <w:t xml:space="preserve"> par Informatīvo ziņojumu </w:t>
            </w:r>
            <w:r w:rsidRPr="009E2B95">
              <w:rPr>
                <w:rFonts w:eastAsiaTheme="minorHAnsi"/>
                <w:lang w:eastAsia="en-US"/>
              </w:rPr>
              <w:t xml:space="preserve">“Par priekšlikumiem valsts budžeta ieņēmumiem un izdevumiem 2017.gadam un ietvaram 2017.–2019.gadam” </w:t>
            </w:r>
            <w:r w:rsidRPr="009E2B95">
              <w:rPr>
                <w:rFonts w:eastAsiaTheme="minorHAnsi"/>
                <w:bCs/>
                <w:lang w:eastAsia="en-US"/>
              </w:rPr>
              <w:t>46.punts paredz m</w:t>
            </w:r>
            <w:r w:rsidRPr="009E2B95">
              <w:rPr>
                <w:rFonts w:eastAsiaTheme="minorHAnsi"/>
                <w:lang w:eastAsia="en-US"/>
              </w:rPr>
              <w:t>inistrijām līdz 2016.gada 9.septembrim sagatavot un iesniegt Ministru kabinetā budžeta likumprojektu pak</w:t>
            </w:r>
            <w:r>
              <w:rPr>
                <w:rFonts w:eastAsiaTheme="minorHAnsi"/>
                <w:lang w:eastAsia="en-US"/>
              </w:rPr>
              <w:t>etē iekļaujamos likumprojektus.</w:t>
            </w:r>
          </w:p>
        </w:tc>
      </w:tr>
      <w:tr w:rsidR="0066477E" w:rsidRPr="008C6643" w:rsidTr="00442745">
        <w:tc>
          <w:tcPr>
            <w:tcW w:w="217" w:type="pct"/>
            <w:shd w:val="clear" w:color="auto" w:fill="auto"/>
          </w:tcPr>
          <w:p w:rsidR="0066477E" w:rsidRPr="008C6643" w:rsidRDefault="0066477E" w:rsidP="001812E5">
            <w:r w:rsidRPr="008C6643">
              <w:lastRenderedPageBreak/>
              <w:t xml:space="preserve">2. </w:t>
            </w:r>
          </w:p>
        </w:tc>
        <w:tc>
          <w:tcPr>
            <w:tcW w:w="1057" w:type="pct"/>
            <w:shd w:val="clear" w:color="auto" w:fill="auto"/>
          </w:tcPr>
          <w:p w:rsidR="0066477E" w:rsidRPr="008C6643" w:rsidRDefault="0066477E" w:rsidP="001812E5">
            <w:r w:rsidRPr="008C6643">
              <w:t>Pašreizējā situācija un problēmas, kuru risināšanai tiesību akta projekts izstrādāts, tiesiskā regulējuma mērķis un būtība</w:t>
            </w:r>
          </w:p>
        </w:tc>
        <w:tc>
          <w:tcPr>
            <w:tcW w:w="3726" w:type="pct"/>
            <w:shd w:val="clear" w:color="auto" w:fill="auto"/>
          </w:tcPr>
          <w:p w:rsidR="003219FF" w:rsidRPr="009D5AFA" w:rsidRDefault="00B012C6" w:rsidP="000B25B7">
            <w:pPr>
              <w:jc w:val="both"/>
            </w:pPr>
            <w:r>
              <w:t>Līdz</w:t>
            </w:r>
            <w:r w:rsidR="002B2B6A" w:rsidRPr="009D5AFA">
              <w:t xml:space="preserve"> ar bērna ienākšanu ģimenē</w:t>
            </w:r>
            <w:r>
              <w:t xml:space="preserve"> tiek sniegts valsts atbalsts</w:t>
            </w:r>
            <w:r w:rsidR="002B2B6A" w:rsidRPr="009D5AFA">
              <w:t xml:space="preserve"> gan nodrošinot </w:t>
            </w:r>
            <w:r w:rsidR="00106108" w:rsidRPr="009D5AFA">
              <w:t xml:space="preserve">dažādus </w:t>
            </w:r>
            <w:r w:rsidR="002B2B6A" w:rsidRPr="009D5AFA">
              <w:t>pakalpojumu</w:t>
            </w:r>
            <w:r w:rsidR="00106108" w:rsidRPr="009D5AFA">
              <w:t>s, gan valsts sociālo pabalstu</w:t>
            </w:r>
            <w:r>
              <w:t xml:space="preserve"> un</w:t>
            </w:r>
            <w:r w:rsidR="002B2B6A" w:rsidRPr="009D5AFA">
              <w:t xml:space="preserve"> sociālās apdrošināšanas pabalstu veidā.</w:t>
            </w:r>
            <w:r w:rsidR="003219FF" w:rsidRPr="009D5AFA">
              <w:t xml:space="preserve"> Savukārt, atbilstoši Latvijā izveidotajai sociālā</w:t>
            </w:r>
            <w:r w:rsidR="00E23E9F">
              <w:t>s</w:t>
            </w:r>
            <w:r w:rsidR="003219FF" w:rsidRPr="009D5AFA">
              <w:t xml:space="preserve"> drošības sistēmai ģimenes vai personas, kurām finanšu līdzekļi ir nepietiekami ikdienas vajadzību nodrošināšanai un kuru ienākumi ir zemāki par valstī noteikto trūcīgās personas līmeni, var vērsties pēc palīdzības pašvaldībā. </w:t>
            </w:r>
          </w:p>
          <w:p w:rsidR="00106108" w:rsidRPr="009D5AFA" w:rsidRDefault="00106108" w:rsidP="000B25B7">
            <w:pPr>
              <w:jc w:val="both"/>
            </w:pPr>
            <w:r w:rsidRPr="009D5AFA">
              <w:rPr>
                <w:shd w:val="clear" w:color="auto" w:fill="FFFFFF"/>
              </w:rPr>
              <w:t xml:space="preserve">Valsts sociālie pabalsti ir valsts atbalsts naudas izmaksu veidā, kuru saņem pie noteiktām iedzīvotāju grupām piederīgas personas situācijās, kad ir nepieciešami papildu izdevumi vai kad šīs personas nespēj gūt ienākumus. </w:t>
            </w:r>
            <w:r w:rsidR="002B2B6A" w:rsidRPr="009D5AFA">
              <w:t xml:space="preserve">Valsts sociālie pabalsti tiek finansēti no valsts pamatbudžeta, t.i., no vispārējiem nodokļiem, un to apmērs ir atkarīgs no valsts finansiālajām iespējām. </w:t>
            </w:r>
            <w:r w:rsidR="00F67450" w:rsidRPr="009D5AFA">
              <w:t>Valsts sociālos pabalstus izmaksā Valsts sociālās apdrošināšanas aģentūra (turpmāk – VSAA).</w:t>
            </w:r>
          </w:p>
          <w:p w:rsidR="00106108" w:rsidRPr="009D5AFA" w:rsidRDefault="00106108" w:rsidP="000B25B7">
            <w:pPr>
              <w:jc w:val="both"/>
              <w:rPr>
                <w:shd w:val="clear" w:color="auto" w:fill="FFFFFF"/>
              </w:rPr>
            </w:pPr>
            <w:r w:rsidRPr="009D5AFA">
              <w:rPr>
                <w:shd w:val="clear" w:color="auto" w:fill="FFFFFF"/>
              </w:rPr>
              <w:t>Valsts sociālo pabalstu veidus, to personu loku, kurām ir tiesības uz valsts sociālajiem pabalstiem, šo pabalstu piešķiršanas nosacījumus, piešķiršanas un izmaksas kārtību, kā arī ar šiem pabalstiem saistīto lēmumu pārsūdzēšanas kārtību nosaka Valsts sociālo pabalstu likums.</w:t>
            </w:r>
          </w:p>
          <w:p w:rsidR="00106108" w:rsidRPr="009D5AFA" w:rsidRDefault="00106108" w:rsidP="000B25B7">
            <w:pPr>
              <w:jc w:val="both"/>
              <w:rPr>
                <w:b/>
                <w:i/>
              </w:rPr>
            </w:pPr>
          </w:p>
          <w:p w:rsidR="003F26F6" w:rsidRDefault="003F26F6" w:rsidP="000B25B7">
            <w:pPr>
              <w:jc w:val="both"/>
              <w:rPr>
                <w:b/>
                <w:i/>
              </w:rPr>
            </w:pPr>
            <w:r w:rsidRPr="009D5AFA">
              <w:rPr>
                <w:b/>
                <w:i/>
              </w:rPr>
              <w:t>Ģimenes valsts pabalsts</w:t>
            </w:r>
          </w:p>
          <w:p w:rsidR="007F7DC5" w:rsidRPr="009D5AFA" w:rsidRDefault="007F7DC5" w:rsidP="000B25B7">
            <w:pPr>
              <w:jc w:val="both"/>
              <w:rPr>
                <w:b/>
                <w:i/>
              </w:rPr>
            </w:pPr>
          </w:p>
          <w:p w:rsidR="00B25694" w:rsidRPr="009D5AFA" w:rsidRDefault="008F496D" w:rsidP="000B25B7">
            <w:pPr>
              <w:shd w:val="clear" w:color="auto" w:fill="FFFFFF"/>
              <w:jc w:val="both"/>
            </w:pPr>
            <w:r w:rsidRPr="009D5AFA">
              <w:t xml:space="preserve">Saskaņā ar Valsts sociālo pabalstu likuma 6.pantu ģimenes valsts pabalstu piešķir personai, kura audzina bērnu. Pabalstu piešķir par katru bērnu, kas ir vecumā no viena gada līdz 15 gadiem, vai ir vecāks par 15 gadiem, mācās vispārējās izglītības vai profesionālās izglītības iestādē un nav stājies laulībā (šādā gadījumā pabalstu piešķir uz laiku, kamēr bērns apmeklē izglītības iestādi, bet ne ilgāk kā līdz dienai, kad viņš sasniedz 19 gadu vecumu vai stājas laulībā, kā arī pabalstu nepiešķir par bērnu, kas atbilstoši valsts vai pašvaldību finansēto vietu skaitam uzņemts profesionālās izglītības </w:t>
            </w:r>
            <w:r w:rsidRPr="009D5AFA">
              <w:lastRenderedPageBreak/>
              <w:t>programmās un saņem stipendiju normatīvajos aktos noteiktajā kārtībā).</w:t>
            </w:r>
            <w:r w:rsidR="00B25694" w:rsidRPr="009D5AFA">
              <w:t xml:space="preserve"> </w:t>
            </w:r>
            <w:r w:rsidR="00E23E9F" w:rsidRPr="00BC7F9D">
              <w:rPr>
                <w:color w:val="000000" w:themeColor="text1"/>
              </w:rPr>
              <w:t>Kā rāda VSAA informācija,</w:t>
            </w:r>
            <w:r w:rsidR="00E23E9F">
              <w:rPr>
                <w:color w:val="000000" w:themeColor="text1"/>
              </w:rPr>
              <w:t xml:space="preserve"> </w:t>
            </w:r>
            <w:r w:rsidR="009D5C9B" w:rsidRPr="009D5AFA">
              <w:t xml:space="preserve">2014.gadā Latvijā </w:t>
            </w:r>
            <w:r w:rsidR="004E6DCD" w:rsidRPr="009D5AFA">
              <w:t>ģimenes valsts pabalstu</w:t>
            </w:r>
            <w:r w:rsidR="009D5C9B" w:rsidRPr="009D5AFA">
              <w:t xml:space="preserve"> saņēma 94% bērnu</w:t>
            </w:r>
            <w:r w:rsidR="00B25694" w:rsidRPr="009D5AFA">
              <w:t xml:space="preserve"> vecumā līdz 15 gadiem, un 72% bērnu vecumā no 15-19 gadiem. </w:t>
            </w:r>
          </w:p>
          <w:p w:rsidR="00605C98" w:rsidRPr="009D5AFA" w:rsidRDefault="00605C98" w:rsidP="000B25B7">
            <w:pPr>
              <w:pStyle w:val="tv213"/>
              <w:shd w:val="clear" w:color="auto" w:fill="FFFFFF"/>
              <w:spacing w:before="0" w:beforeAutospacing="0" w:after="0" w:afterAutospacing="0"/>
              <w:jc w:val="both"/>
            </w:pPr>
            <w:r w:rsidRPr="009D5AFA">
              <w:rPr>
                <w:rStyle w:val="Strong"/>
                <w:b w:val="0"/>
              </w:rPr>
              <w:t xml:space="preserve">Valsts </w:t>
            </w:r>
            <w:r w:rsidR="007F7DC5">
              <w:rPr>
                <w:rStyle w:val="Strong"/>
                <w:b w:val="0"/>
              </w:rPr>
              <w:t>sociālo pabalstu likuma 15.pants</w:t>
            </w:r>
            <w:r w:rsidRPr="009D5AFA">
              <w:rPr>
                <w:rStyle w:val="Strong"/>
                <w:b w:val="0"/>
              </w:rPr>
              <w:t xml:space="preserve"> paredz, ka p</w:t>
            </w:r>
            <w:r w:rsidRPr="00605C98">
              <w:t>ar otro bērnu ģimenē ģimenes valsts pabalsts ir 2 reizes, bet par trešo bērnu un nākamajiem bērniem — 3 reizes liel</w:t>
            </w:r>
            <w:r w:rsidR="007F7DC5">
              <w:t xml:space="preserve">āks nekā par pirmo bērnu ģimenē. </w:t>
            </w:r>
            <w:r w:rsidR="00503533">
              <w:t>Ģ</w:t>
            </w:r>
            <w:r w:rsidRPr="009D5AFA">
              <w:t>imenes valsts pabalstu par pirmo bērnu ģimenē nosaka Ministru kabinets.</w:t>
            </w:r>
          </w:p>
          <w:p w:rsidR="00EB7358" w:rsidRPr="009D5AFA" w:rsidRDefault="00605C98" w:rsidP="000B25B7">
            <w:pPr>
              <w:pStyle w:val="tv213"/>
              <w:shd w:val="clear" w:color="auto" w:fill="FFFFFF"/>
              <w:spacing w:before="0" w:beforeAutospacing="0" w:after="0" w:afterAutospacing="0"/>
              <w:jc w:val="both"/>
              <w:rPr>
                <w:b/>
              </w:rPr>
            </w:pPr>
            <w:r w:rsidRPr="009D5AFA">
              <w:t xml:space="preserve">Saskaņā ar </w:t>
            </w:r>
            <w:r w:rsidRPr="009D5AFA">
              <w:rPr>
                <w:shd w:val="clear" w:color="auto" w:fill="FFFFFF"/>
              </w:rPr>
              <w:t>Ministru kabineta 2009.gada 22.decembra noteikumu Nr.1517 ”Noteikumi par ģimenes valsts pabalsta un piemaksas pie ģimenes valsts pabalsta par bērnu invalīdu apmēru, tā pārskatīšanas kārtību un pabalsta un piemaksas piešķiršanas un izmaksas kārtību” 7.punktu pabalsta apmērs par pirmo bērnu ģimenē ir 11,38</w:t>
            </w:r>
            <w:r w:rsidRPr="009D5AFA">
              <w:rPr>
                <w:rStyle w:val="apple-converted-space"/>
                <w:shd w:val="clear" w:color="auto" w:fill="FFFFFF"/>
              </w:rPr>
              <w:t> </w:t>
            </w:r>
            <w:proofErr w:type="spellStart"/>
            <w:r w:rsidRPr="009D5AFA">
              <w:rPr>
                <w:i/>
                <w:iCs/>
                <w:shd w:val="clear" w:color="auto" w:fill="FFFFFF"/>
              </w:rPr>
              <w:t>euro</w:t>
            </w:r>
            <w:proofErr w:type="spellEnd"/>
            <w:r w:rsidRPr="009D5AFA">
              <w:rPr>
                <w:rStyle w:val="apple-converted-space"/>
                <w:shd w:val="clear" w:color="auto" w:fill="FFFFFF"/>
              </w:rPr>
              <w:t> </w:t>
            </w:r>
            <w:r w:rsidRPr="009D5AFA">
              <w:rPr>
                <w:shd w:val="clear" w:color="auto" w:fill="FFFFFF"/>
              </w:rPr>
              <w:t>mēnesī. Līdz ar to patlaban ģimene</w:t>
            </w:r>
            <w:r w:rsidR="00EB7358" w:rsidRPr="009D5AFA">
              <w:rPr>
                <w:rStyle w:val="Strong"/>
              </w:rPr>
              <w:t xml:space="preserve">s </w:t>
            </w:r>
            <w:r w:rsidR="00EB7358" w:rsidRPr="009D5AFA">
              <w:rPr>
                <w:rStyle w:val="Strong"/>
                <w:b w:val="0"/>
              </w:rPr>
              <w:t>valsts pabalsta apmērs par pirmo bē</w:t>
            </w:r>
            <w:r w:rsidRPr="009D5AFA">
              <w:rPr>
                <w:rStyle w:val="Strong"/>
                <w:b w:val="0"/>
              </w:rPr>
              <w:t xml:space="preserve">rnu ģimenē ir 11,38 </w:t>
            </w:r>
            <w:proofErr w:type="spellStart"/>
            <w:r w:rsidRPr="005D6029">
              <w:rPr>
                <w:rStyle w:val="Strong"/>
                <w:b w:val="0"/>
                <w:i/>
              </w:rPr>
              <w:t>e</w:t>
            </w:r>
            <w:r w:rsidR="000D117C" w:rsidRPr="005D6029">
              <w:rPr>
                <w:rStyle w:val="Strong"/>
                <w:b w:val="0"/>
                <w:i/>
              </w:rPr>
              <w:t>u</w:t>
            </w:r>
            <w:r w:rsidRPr="005D6029">
              <w:rPr>
                <w:rStyle w:val="Strong"/>
                <w:b w:val="0"/>
                <w:i/>
              </w:rPr>
              <w:t>ro</w:t>
            </w:r>
            <w:proofErr w:type="spellEnd"/>
            <w:r w:rsidRPr="009D5AFA">
              <w:rPr>
                <w:rStyle w:val="Strong"/>
                <w:b w:val="0"/>
              </w:rPr>
              <w:t xml:space="preserve"> mēnesī, p</w:t>
            </w:r>
            <w:r w:rsidR="00EB7358" w:rsidRPr="009D5AFA">
              <w:rPr>
                <w:rStyle w:val="Strong"/>
                <w:b w:val="0"/>
              </w:rPr>
              <w:t xml:space="preserve">ar otro bērnu ģimenē </w:t>
            </w:r>
            <w:r w:rsidRPr="009D5AFA">
              <w:rPr>
                <w:rStyle w:val="Strong"/>
                <w:b w:val="0"/>
              </w:rPr>
              <w:t>-</w:t>
            </w:r>
            <w:r w:rsidR="00EB7358" w:rsidRPr="009D5AFA">
              <w:rPr>
                <w:rStyle w:val="Strong"/>
                <w:b w:val="0"/>
              </w:rPr>
              <w:t xml:space="preserve"> 22,</w:t>
            </w:r>
            <w:r w:rsidR="000D117C" w:rsidRPr="009D5AFA">
              <w:rPr>
                <w:rStyle w:val="Strong"/>
                <w:b w:val="0"/>
              </w:rPr>
              <w:t xml:space="preserve">76 </w:t>
            </w:r>
            <w:proofErr w:type="spellStart"/>
            <w:r w:rsidR="000D117C" w:rsidRPr="005D6029">
              <w:rPr>
                <w:rStyle w:val="Strong"/>
                <w:b w:val="0"/>
                <w:i/>
              </w:rPr>
              <w:t>eu</w:t>
            </w:r>
            <w:r w:rsidRPr="005D6029">
              <w:rPr>
                <w:rStyle w:val="Strong"/>
                <w:b w:val="0"/>
                <w:i/>
              </w:rPr>
              <w:t>ro</w:t>
            </w:r>
            <w:proofErr w:type="spellEnd"/>
            <w:r w:rsidRPr="009D5AFA">
              <w:rPr>
                <w:rStyle w:val="Strong"/>
                <w:b w:val="0"/>
              </w:rPr>
              <w:t xml:space="preserve"> mēnesī, bet par trešo</w:t>
            </w:r>
            <w:r w:rsidR="00EB7358" w:rsidRPr="009D5AFA">
              <w:rPr>
                <w:rStyle w:val="Strong"/>
                <w:b w:val="0"/>
              </w:rPr>
              <w:t xml:space="preserve"> un nākamajiem bērniem – 34,14 </w:t>
            </w:r>
            <w:proofErr w:type="spellStart"/>
            <w:r w:rsidR="00EB7358" w:rsidRPr="005D6029">
              <w:rPr>
                <w:rStyle w:val="Strong"/>
                <w:b w:val="0"/>
                <w:i/>
              </w:rPr>
              <w:t>e</w:t>
            </w:r>
            <w:r w:rsidR="000D117C" w:rsidRPr="005D6029">
              <w:rPr>
                <w:rStyle w:val="Strong"/>
                <w:b w:val="0"/>
                <w:i/>
              </w:rPr>
              <w:t>u</w:t>
            </w:r>
            <w:r w:rsidR="00EB7358" w:rsidRPr="005D6029">
              <w:rPr>
                <w:rStyle w:val="Strong"/>
                <w:b w:val="0"/>
                <w:i/>
              </w:rPr>
              <w:t>ro</w:t>
            </w:r>
            <w:proofErr w:type="spellEnd"/>
            <w:r w:rsidR="00EB7358" w:rsidRPr="009D5AFA">
              <w:rPr>
                <w:rStyle w:val="Strong"/>
                <w:b w:val="0"/>
              </w:rPr>
              <w:t xml:space="preserve"> mēnesī.</w:t>
            </w:r>
          </w:p>
          <w:p w:rsidR="009D5C9B" w:rsidRPr="009D5AFA" w:rsidRDefault="00605C98" w:rsidP="000B25B7">
            <w:pPr>
              <w:jc w:val="both"/>
            </w:pPr>
            <w:r w:rsidRPr="009D5AFA">
              <w:t>Šāda diferenciācija atkarībā no bērnu skaita ir s</w:t>
            </w:r>
            <w:r w:rsidR="00503533">
              <w:t>pēkā kopš 2015.gada 1.janvāra, iepriekš</w:t>
            </w:r>
            <w:r w:rsidRPr="009D5AFA">
              <w:t xml:space="preserve"> ekonomiskās krīzes gados ģimenes valsts pabalsts par katru bērnu bija 11,38 </w:t>
            </w:r>
            <w:proofErr w:type="spellStart"/>
            <w:r w:rsidRPr="005D6029">
              <w:rPr>
                <w:i/>
              </w:rPr>
              <w:t>euro</w:t>
            </w:r>
            <w:proofErr w:type="spellEnd"/>
            <w:r w:rsidRPr="009D5AFA">
              <w:t xml:space="preserve"> neatkarīgi no bērna kārtas skaitļa. </w:t>
            </w:r>
            <w:r w:rsidR="00503533">
              <w:t>Tādējādi</w:t>
            </w:r>
            <w:r w:rsidRPr="009D5AFA">
              <w:t xml:space="preserve"> kopš 2015.</w:t>
            </w:r>
            <w:r w:rsidR="009D5C9B" w:rsidRPr="009D5AFA">
              <w:t xml:space="preserve">gada spēkā esošā </w:t>
            </w:r>
            <w:r w:rsidRPr="009D5AFA">
              <w:t>ģimenes valsts pabalsta</w:t>
            </w:r>
            <w:r w:rsidR="009D5C9B" w:rsidRPr="009D5AFA">
              <w:t xml:space="preserve"> aprēķināšanas politika ir labvēlīgāka ģimenēm ar bērniem</w:t>
            </w:r>
            <w:proofErr w:type="gramStart"/>
            <w:r w:rsidR="009D5C9B" w:rsidRPr="009D5AFA">
              <w:t xml:space="preserve"> nekā tā bija pirms ekonomiskās krīzes</w:t>
            </w:r>
            <w:proofErr w:type="gramEnd"/>
            <w:r w:rsidRPr="009D5AFA">
              <w:t xml:space="preserve">, </w:t>
            </w:r>
            <w:r w:rsidR="00503533">
              <w:t>kad</w:t>
            </w:r>
            <w:r w:rsidRPr="009D5AFA">
              <w:t xml:space="preserve"> pabalsta apmēram </w:t>
            </w:r>
            <w:r w:rsidR="000E5C15" w:rsidRPr="009D5AFA">
              <w:t xml:space="preserve">atkarībā no bērna kārtas skaitļa </w:t>
            </w:r>
            <w:r w:rsidRPr="009D5AFA">
              <w:t>bija noteikti</w:t>
            </w:r>
            <w:r w:rsidR="000E5C15">
              <w:t xml:space="preserve"> salīdzinoši mazāki</w:t>
            </w:r>
            <w:r w:rsidRPr="009D5AFA">
              <w:t xml:space="preserve"> koeficienti</w:t>
            </w:r>
            <w:r w:rsidR="009D5C9B" w:rsidRPr="009D5AFA">
              <w:t xml:space="preserve">– </w:t>
            </w:r>
            <w:r w:rsidRPr="009D5AFA">
              <w:t>pavalsta</w:t>
            </w:r>
            <w:r w:rsidR="009D5C9B" w:rsidRPr="009D5AFA">
              <w:t xml:space="preserve"> vidējais apmērs kopš 2008. gada ir palielinājies par gandrīz 6 </w:t>
            </w:r>
            <w:proofErr w:type="spellStart"/>
            <w:r w:rsidR="009D5C9B" w:rsidRPr="009D5AFA">
              <w:rPr>
                <w:i/>
              </w:rPr>
              <w:t>euro</w:t>
            </w:r>
            <w:proofErr w:type="spellEnd"/>
            <w:r w:rsidR="009D5C9B" w:rsidRPr="009D5AFA">
              <w:t xml:space="preserve"> (vidējais </w:t>
            </w:r>
            <w:r w:rsidR="00296447">
              <w:t xml:space="preserve">pabalsta apmērs </w:t>
            </w:r>
            <w:r w:rsidR="009D5C9B" w:rsidRPr="009D5AFA">
              <w:t>2008. gada janvārī bija 13,37 </w:t>
            </w:r>
            <w:proofErr w:type="spellStart"/>
            <w:r w:rsidR="009D5C9B" w:rsidRPr="009D5AFA">
              <w:rPr>
                <w:i/>
              </w:rPr>
              <w:t>euro</w:t>
            </w:r>
            <w:proofErr w:type="spellEnd"/>
            <w:r w:rsidR="004A0A16" w:rsidRPr="009D5AFA">
              <w:t xml:space="preserve"> </w:t>
            </w:r>
            <w:r w:rsidR="009D5C9B" w:rsidRPr="009D5AFA">
              <w:t>mēn</w:t>
            </w:r>
            <w:r w:rsidR="004A0A16" w:rsidRPr="009D5AFA">
              <w:t>esī</w:t>
            </w:r>
            <w:r w:rsidR="009D5C9B" w:rsidRPr="009D5AFA">
              <w:t>, bet 2016. gada aprīlī – 19,01 </w:t>
            </w:r>
            <w:proofErr w:type="spellStart"/>
            <w:r w:rsidR="004A0A16" w:rsidRPr="009D5AFA">
              <w:rPr>
                <w:i/>
              </w:rPr>
              <w:t>euro</w:t>
            </w:r>
            <w:proofErr w:type="spellEnd"/>
            <w:r w:rsidR="004A0A16" w:rsidRPr="009D5AFA">
              <w:rPr>
                <w:i/>
              </w:rPr>
              <w:t xml:space="preserve"> </w:t>
            </w:r>
            <w:r w:rsidR="009D5C9B" w:rsidRPr="009D5AFA">
              <w:t>mēn</w:t>
            </w:r>
            <w:r w:rsidR="004A0A16" w:rsidRPr="009D5AFA">
              <w:t>esī</w:t>
            </w:r>
            <w:r w:rsidR="009D5C9B" w:rsidRPr="009D5AFA">
              <w:t xml:space="preserve">). </w:t>
            </w:r>
          </w:p>
          <w:p w:rsidR="009D5C9B" w:rsidRPr="009D5AFA" w:rsidRDefault="009D5C9B" w:rsidP="000B25B7">
            <w:pPr>
              <w:jc w:val="both"/>
            </w:pPr>
            <w:r w:rsidRPr="009D5AFA">
              <w:t xml:space="preserve">Igaunijā </w:t>
            </w:r>
            <w:r w:rsidR="00CA32AF" w:rsidRPr="009D5AFA">
              <w:t>ģimenes valsts pabalsta</w:t>
            </w:r>
            <w:r w:rsidRPr="009D5AFA">
              <w:t xml:space="preserve"> apmēri ir izteikti lielāki </w:t>
            </w:r>
            <w:r w:rsidR="00C4055B" w:rsidRPr="005D6029">
              <w:t>(</w:t>
            </w:r>
            <w:r w:rsidR="00CA32AF" w:rsidRPr="005D6029">
              <w:t>p</w:t>
            </w:r>
            <w:r w:rsidR="00C4055B" w:rsidRPr="005D6029">
              <w:t xml:space="preserve">ar 1.bērnu un 2.bērnu – 50 </w:t>
            </w:r>
            <w:proofErr w:type="spellStart"/>
            <w:r w:rsidR="00503533" w:rsidRPr="005D6029">
              <w:rPr>
                <w:i/>
              </w:rPr>
              <w:t>euro</w:t>
            </w:r>
            <w:proofErr w:type="spellEnd"/>
            <w:r w:rsidR="00CA32AF" w:rsidRPr="005D6029">
              <w:t>, p</w:t>
            </w:r>
            <w:r w:rsidR="00C4055B" w:rsidRPr="005D6029">
              <w:t>ar 3.bērnu un nākamajiem –</w:t>
            </w:r>
            <w:r w:rsidR="00C4055B" w:rsidRPr="009D5AFA">
              <w:t xml:space="preserve"> 100 </w:t>
            </w:r>
            <w:proofErr w:type="spellStart"/>
            <w:r w:rsidR="00503533" w:rsidRPr="005D6029">
              <w:rPr>
                <w:i/>
              </w:rPr>
              <w:t>euro</w:t>
            </w:r>
            <w:proofErr w:type="spellEnd"/>
            <w:r w:rsidR="00C4055B" w:rsidRPr="009D5AFA">
              <w:t xml:space="preserve">), </w:t>
            </w:r>
            <w:r w:rsidRPr="009D5AFA">
              <w:t>savukārt Lietuvā pabalsta apmērs variē atkarībā no bērn</w:t>
            </w:r>
            <w:r w:rsidR="0046059F" w:rsidRPr="009D5AFA">
              <w:t>a vecuma un ģimenes ienākumiem</w:t>
            </w:r>
            <w:r w:rsidR="00910914">
              <w:rPr>
                <w:rStyle w:val="FootnoteReference"/>
              </w:rPr>
              <w:footnoteReference w:id="2"/>
            </w:r>
            <w:r w:rsidR="00C4055B" w:rsidRPr="009D5AFA">
              <w:t>.</w:t>
            </w:r>
          </w:p>
          <w:p w:rsidR="001F56E4" w:rsidRPr="009D5AFA" w:rsidRDefault="00CC7531" w:rsidP="000B25B7">
            <w:pPr>
              <w:jc w:val="both"/>
            </w:pPr>
            <w:r w:rsidRPr="00BC7F9D">
              <w:rPr>
                <w:color w:val="000000" w:themeColor="text1"/>
              </w:rPr>
              <w:t xml:space="preserve">Kā minēts iepriekš, daudzbērnu </w:t>
            </w:r>
            <w:r w:rsidR="009D5C9B" w:rsidRPr="009D5AFA">
              <w:t>ģimenes ir viena no tām grupām Latvijā, kas pakļauta visaugstākajam nabadzības riskam. Līdz ar visai augstajiem ienākumu nevienlīdzības rādītājiem, ir nepieciešams radīt ekonomiski labvēlīgākus apstākļus daudzbērnu ģimeņu un līdz ar to arī šo ģimeņu bērnu dzīves kvalitātei un attīstībai.</w:t>
            </w:r>
            <w:r w:rsidR="001F56E4" w:rsidRPr="009D5AFA">
              <w:t xml:space="preserve"> </w:t>
            </w:r>
          </w:p>
          <w:p w:rsidR="004B30A4" w:rsidRPr="009D5AFA" w:rsidRDefault="009D5C9B" w:rsidP="000B25B7">
            <w:pPr>
              <w:jc w:val="both"/>
            </w:pPr>
            <w:r w:rsidRPr="009D5AFA">
              <w:t>Kā vienu no pirmajiem soļiem, virzoties uz īpašu “trešā bērna” atbalsta politiku Latvijā</w:t>
            </w:r>
            <w:r w:rsidR="00065FC4" w:rsidRPr="009D5AFA">
              <w:t>,</w:t>
            </w:r>
            <w:r w:rsidRPr="009D5AFA">
              <w:t xml:space="preserve"> </w:t>
            </w:r>
            <w:r w:rsidR="007E30A2" w:rsidRPr="009D5AFA">
              <w:t>ir paredzēts</w:t>
            </w:r>
            <w:r w:rsidRPr="009D5AFA">
              <w:t xml:space="preserve"> palielināt </w:t>
            </w:r>
            <w:r w:rsidR="007E30A2" w:rsidRPr="009D5AFA">
              <w:t xml:space="preserve">ģimenes valsts pabalsta apmēru </w:t>
            </w:r>
            <w:r w:rsidRPr="009D5AFA">
              <w:t>tajās ģimenēs, kur apgādājamo skaits būtiski pārsniedz apgādnieku skaitu</w:t>
            </w:r>
            <w:r w:rsidR="00D03E40">
              <w:t>,</w:t>
            </w:r>
            <w:r w:rsidRPr="009D5AFA">
              <w:t xml:space="preserve"> un līdz ar to nozīmīgi pakļauj šo ģimeņu locekļus nabadzības riskam un visiem ar to saistītiem faktoriem. </w:t>
            </w:r>
            <w:r w:rsidR="004B30A4" w:rsidRPr="009D5AFA">
              <w:t>Šāda izteiktāka diferenciācija ir saskaņā arī ar citu valstu uz pierādījumiem balstīto pieredzi efektīvas ģimenes atbalsta politikas īstenošanā</w:t>
            </w:r>
            <w:r w:rsidR="004B30A4" w:rsidRPr="009D5AFA">
              <w:rPr>
                <w:rStyle w:val="FootnoteReference"/>
              </w:rPr>
              <w:footnoteReference w:id="3"/>
            </w:r>
            <w:r w:rsidR="004B30A4" w:rsidRPr="009D5AFA">
              <w:t>.</w:t>
            </w:r>
          </w:p>
          <w:p w:rsidR="004A278F" w:rsidRPr="009D5AFA" w:rsidRDefault="007E30A2" w:rsidP="000B25B7">
            <w:pPr>
              <w:jc w:val="both"/>
              <w:rPr>
                <w:shd w:val="clear" w:color="auto" w:fill="FFFFFF"/>
              </w:rPr>
            </w:pPr>
            <w:r w:rsidRPr="009D5AFA">
              <w:t xml:space="preserve">Līdz ar to likumprojekts paredz </w:t>
            </w:r>
            <w:r w:rsidR="001F56E4" w:rsidRPr="009D5AFA">
              <w:t>noteikt,</w:t>
            </w:r>
            <w:r w:rsidR="004A278F" w:rsidRPr="009D5AFA">
              <w:rPr>
                <w:shd w:val="clear" w:color="auto" w:fill="FFFFFF"/>
              </w:rPr>
              <w:t xml:space="preserve"> ka </w:t>
            </w:r>
            <w:r w:rsidR="001F56E4" w:rsidRPr="009D5AFA">
              <w:rPr>
                <w:shd w:val="clear" w:color="auto" w:fill="FFFFFF"/>
              </w:rPr>
              <w:t xml:space="preserve">no 2017.gada 1.janvāra </w:t>
            </w:r>
            <w:r w:rsidRPr="009D5AFA">
              <w:t>ģimenes valsts pabalst</w:t>
            </w:r>
            <w:r w:rsidR="001F56E4" w:rsidRPr="009D5AFA">
              <w:t>s</w:t>
            </w:r>
            <w:r w:rsidRPr="009D5AFA">
              <w:t xml:space="preserve"> </w:t>
            </w:r>
            <w:r w:rsidR="004A278F" w:rsidRPr="009D5AFA">
              <w:rPr>
                <w:shd w:val="clear" w:color="auto" w:fill="FFFFFF"/>
              </w:rPr>
              <w:t xml:space="preserve">par ceturto un nākamajiem bērniem </w:t>
            </w:r>
            <w:r w:rsidR="001F56E4" w:rsidRPr="009D5AFA">
              <w:rPr>
                <w:shd w:val="clear" w:color="auto" w:fill="FFFFFF"/>
              </w:rPr>
              <w:t>ir</w:t>
            </w:r>
            <w:r w:rsidR="004A278F" w:rsidRPr="009D5AFA">
              <w:rPr>
                <w:shd w:val="clear" w:color="auto" w:fill="FFFFFF"/>
              </w:rPr>
              <w:t xml:space="preserve"> 4,4 reizes lielā</w:t>
            </w:r>
            <w:r w:rsidR="001F56E4" w:rsidRPr="009D5AFA">
              <w:rPr>
                <w:shd w:val="clear" w:color="auto" w:fill="FFFFFF"/>
              </w:rPr>
              <w:t>ks nekā par pirmo bērnu ģimenē</w:t>
            </w:r>
            <w:r w:rsidR="005A490C">
              <w:rPr>
                <w:shd w:val="clear" w:color="auto" w:fill="FFFFFF"/>
              </w:rPr>
              <w:t xml:space="preserve"> (</w:t>
            </w:r>
            <w:r w:rsidR="005A490C" w:rsidRPr="0035672C">
              <w:rPr>
                <w:shd w:val="clear" w:color="auto" w:fill="FFFFFF"/>
              </w:rPr>
              <w:t xml:space="preserve">50,07 </w:t>
            </w:r>
            <w:proofErr w:type="spellStart"/>
            <w:r w:rsidR="005A490C" w:rsidRPr="0035672C">
              <w:rPr>
                <w:i/>
                <w:shd w:val="clear" w:color="auto" w:fill="FFFFFF"/>
              </w:rPr>
              <w:t>euro</w:t>
            </w:r>
            <w:proofErr w:type="spellEnd"/>
            <w:r w:rsidR="005A490C" w:rsidRPr="0035672C">
              <w:rPr>
                <w:shd w:val="clear" w:color="auto" w:fill="FFFFFF"/>
              </w:rPr>
              <w:t xml:space="preserve"> mēnesī </w:t>
            </w:r>
            <w:r w:rsidR="005A490C" w:rsidRPr="0035672C">
              <w:rPr>
                <w:shd w:val="clear" w:color="auto" w:fill="FFFFFF"/>
              </w:rPr>
              <w:lastRenderedPageBreak/>
              <w:t xml:space="preserve">pašreizējo 34,14 </w:t>
            </w:r>
            <w:proofErr w:type="spellStart"/>
            <w:r w:rsidR="005A490C" w:rsidRPr="0035672C">
              <w:rPr>
                <w:i/>
                <w:shd w:val="clear" w:color="auto" w:fill="FFFFFF"/>
              </w:rPr>
              <w:t>euro</w:t>
            </w:r>
            <w:proofErr w:type="spellEnd"/>
            <w:r w:rsidR="005A490C" w:rsidRPr="0035672C">
              <w:rPr>
                <w:shd w:val="clear" w:color="auto" w:fill="FFFFFF"/>
              </w:rPr>
              <w:t xml:space="preserve"> vietā)</w:t>
            </w:r>
            <w:r w:rsidR="001F56E4" w:rsidRPr="0035672C">
              <w:rPr>
                <w:shd w:val="clear" w:color="auto" w:fill="FFFFFF"/>
              </w:rPr>
              <w:t>.</w:t>
            </w:r>
            <w:r w:rsidR="001F56E4" w:rsidRPr="009D5AFA">
              <w:rPr>
                <w:shd w:val="clear" w:color="auto" w:fill="FFFFFF"/>
              </w:rPr>
              <w:t xml:space="preserve"> Vienlaikus, lai </w:t>
            </w:r>
            <w:r w:rsidR="0053046A">
              <w:rPr>
                <w:shd w:val="clear" w:color="auto" w:fill="FFFFFF"/>
              </w:rPr>
              <w:t>VSAA</w:t>
            </w:r>
            <w:r w:rsidR="001F56E4" w:rsidRPr="009D5AFA">
              <w:rPr>
                <w:shd w:val="clear" w:color="auto" w:fill="FFFFFF"/>
              </w:rPr>
              <w:t xml:space="preserve"> varētu veikt nepieciešamās izmaiņas informācijas sistēmās, paredzēts pārejas periods, proti, personai, kurai pabalsts piešķirts līdz 2016.gada 31.decembrim un tā izmaksa nepārtraukti turpinās pēc 2017.gada 1.janvāra, </w:t>
            </w:r>
            <w:r w:rsidR="0053046A">
              <w:rPr>
                <w:shd w:val="clear" w:color="auto" w:fill="FFFFFF"/>
              </w:rPr>
              <w:t>VSAA</w:t>
            </w:r>
            <w:r w:rsidR="001F56E4" w:rsidRPr="009D5AFA">
              <w:rPr>
                <w:shd w:val="clear" w:color="auto" w:fill="FFFFFF"/>
              </w:rPr>
              <w:t xml:space="preserve"> no 2017.gada 1.janvāra pārrēķinās pabalsta apmēru, nosakot to apmērā, kāds noteikts no 2017.gada 1.janvāra, un starpību izmaksās </w:t>
            </w:r>
            <w:r w:rsidR="00CC7531">
              <w:rPr>
                <w:shd w:val="clear" w:color="auto" w:fill="FFFFFF"/>
              </w:rPr>
              <w:t xml:space="preserve">ne vēlāk kā </w:t>
            </w:r>
            <w:r w:rsidR="001F56E4" w:rsidRPr="009D5AFA">
              <w:rPr>
                <w:shd w:val="clear" w:color="auto" w:fill="FFFFFF"/>
              </w:rPr>
              <w:t>līdz 2017.gada 1.maijam.</w:t>
            </w:r>
          </w:p>
          <w:p w:rsidR="004A278F" w:rsidRPr="009D5AFA" w:rsidRDefault="004A278F" w:rsidP="000B25B7">
            <w:pPr>
              <w:jc w:val="both"/>
            </w:pPr>
          </w:p>
          <w:p w:rsidR="003F26F6" w:rsidRPr="009D5AFA" w:rsidRDefault="003F26F6" w:rsidP="000B25B7">
            <w:pPr>
              <w:jc w:val="both"/>
              <w:rPr>
                <w:b/>
                <w:i/>
              </w:rPr>
            </w:pPr>
            <w:r w:rsidRPr="009D5AFA">
              <w:rPr>
                <w:b/>
                <w:i/>
              </w:rPr>
              <w:t>Valsts sociālā nodrošinājuma pabalsts apgādnieka zaudējuma gadījumā</w:t>
            </w:r>
          </w:p>
          <w:p w:rsidR="00A73E67" w:rsidRPr="009D5AFA" w:rsidRDefault="00A73E67" w:rsidP="000B25B7">
            <w:pPr>
              <w:jc w:val="both"/>
              <w:rPr>
                <w:b/>
                <w:i/>
              </w:rPr>
            </w:pPr>
          </w:p>
          <w:p w:rsidR="0065161B" w:rsidRPr="009D5AFA" w:rsidRDefault="00CC7531" w:rsidP="000B25B7">
            <w:pPr>
              <w:jc w:val="both"/>
            </w:pPr>
            <w:r>
              <w:t>Saskaņā ar likumā</w:t>
            </w:r>
            <w:r w:rsidR="0065161B" w:rsidRPr="009D5AFA">
              <w:t xml:space="preserve"> “Par valsts pensijām”</w:t>
            </w:r>
            <w:r>
              <w:t xml:space="preserve"> noteikto</w:t>
            </w:r>
            <w:r w:rsidR="0065161B" w:rsidRPr="009D5AFA">
              <w:t>, lai sniegtu atbalstu darba nespējīgiem ģimenes locekļiem viņu apgādnieka nāves gadījumā, valsts piešķ</w:t>
            </w:r>
            <w:r w:rsidR="00F60D1C">
              <w:t>ir apgādnieka zaudējuma pensiju, ko</w:t>
            </w:r>
            <w:r w:rsidR="0065161B" w:rsidRPr="009D5AFA">
              <w:t xml:space="preserve"> aprēķina, ņemot vērā mirušā apgādnieka iespējamo vecuma pensiju. Ja personai nav tiesību saņemt apgādnieka zaudējuma pensiju, jo </w:t>
            </w:r>
            <w:r w:rsidR="00E27FD2" w:rsidRPr="009D5AFA">
              <w:t xml:space="preserve">par apgādnieku </w:t>
            </w:r>
            <w:r w:rsidR="0065161B" w:rsidRPr="009D5AFA">
              <w:t>nav maksātas sociālās apdrošināšanas iemaksas, atbilstoši Valsts sociālo pabalstu likuma 13.panta pirm</w:t>
            </w:r>
            <w:r>
              <w:t>ajā</w:t>
            </w:r>
            <w:r w:rsidR="0065161B" w:rsidRPr="009D5AFA">
              <w:t xml:space="preserve"> daļā noteiktajam persona saņem valsts sociālā nodrošinājuma pabalstu. </w:t>
            </w:r>
            <w:r w:rsidR="003750A0" w:rsidRPr="009D5AFA">
              <w:t>Savuk</w:t>
            </w:r>
            <w:r w:rsidR="00CF5D4E" w:rsidRPr="009D5AFA">
              <w:t xml:space="preserve">ārt bērnam, kura apgādnieka nāves cēlonis ir nelaimes gadījums darbā vai arodslimība, </w:t>
            </w:r>
            <w:r w:rsidR="003750A0" w:rsidRPr="009D5AFA">
              <w:t xml:space="preserve">tiek piešķirta atlīdzība </w:t>
            </w:r>
            <w:r w:rsidR="00CF5D4E" w:rsidRPr="009D5AFA">
              <w:t xml:space="preserve">par apgādnieka zaudējumu </w:t>
            </w:r>
            <w:r>
              <w:t>atbilstoši likumā</w:t>
            </w:r>
            <w:r w:rsidR="00CF5D4E" w:rsidRPr="009D5AFA">
              <w:t xml:space="preserve"> „Par obligāto sociālo apdrošināšanu pret nelaimes gadījumiem darbā un arodslimībām”</w:t>
            </w:r>
            <w:r>
              <w:t xml:space="preserve"> norādītajam</w:t>
            </w:r>
            <w:r w:rsidR="00CF5D4E" w:rsidRPr="009D5AFA">
              <w:t>.</w:t>
            </w:r>
          </w:p>
          <w:p w:rsidR="006C2208" w:rsidRPr="009D5AFA" w:rsidRDefault="003513BC" w:rsidP="000B25B7">
            <w:pPr>
              <w:pStyle w:val="NormalWeb"/>
              <w:shd w:val="clear" w:color="auto" w:fill="FFFFFF"/>
              <w:spacing w:before="0" w:beforeAutospacing="0" w:after="0" w:afterAutospacing="0"/>
              <w:jc w:val="both"/>
            </w:pPr>
            <w:r w:rsidRPr="009D5AFA">
              <w:t>Saskaņā ar</w:t>
            </w:r>
            <w:r w:rsidRPr="009D5AFA">
              <w:rPr>
                <w:rStyle w:val="apple-converted-space"/>
              </w:rPr>
              <w:t> </w:t>
            </w:r>
            <w:r w:rsidRPr="009D5AFA">
              <w:t>Valsts sociālo pabalstu likuma</w:t>
            </w:r>
            <w:r w:rsidRPr="009D5AFA">
              <w:rPr>
                <w:rStyle w:val="apple-converted-space"/>
              </w:rPr>
              <w:t> </w:t>
            </w:r>
            <w:r w:rsidRPr="009D5AFA">
              <w:t>13.pantu valsts sociālā nodrošinājuma pabalstu piešķir personai, kura n</w:t>
            </w:r>
            <w:r w:rsidRPr="009D5AFA">
              <w:rPr>
                <w:shd w:val="clear" w:color="auto" w:fill="FFFFFF"/>
              </w:rPr>
              <w:t>av sasniegusi pilngadību, ir zaudējusi vienu vai abus apgādniekus un nav stājusies laulībā. Šīm personām piešķir kopēju valsts sociālā nodrošinājuma pabalstu, kas gadījumos, kad pabalsts piešķirts trim un vairākiem bērniem, nevar būt mazāks par 50 procentiem no Ministru kabineta noteiktā valsts sociālā nodrošinājuma pabalsta apmēra katram bērnam. Šajā gadījumā valsts sociālā nodrošinājuma pabalstu piešķir līdz pilngadības sasniegšanai. Pabalsta izmaksu turpina, ja persona pēc pilngadības sasniegšanas mācās vispārējās izglītības vai profesionālās izglītības iestādē un nav vecāka par 20 gadiem vai studē augstskolā dienas nodaļā (pilna laika klātienē) un nav vecāka par 24 gadiem.</w:t>
            </w:r>
          </w:p>
          <w:p w:rsidR="006C2208" w:rsidRPr="00B40B90" w:rsidRDefault="00B40B90" w:rsidP="00B40B90">
            <w:pPr>
              <w:shd w:val="clear" w:color="auto" w:fill="FFFFFF"/>
              <w:jc w:val="both"/>
            </w:pPr>
            <w:r w:rsidRPr="00B40B90">
              <w:rPr>
                <w:bCs/>
              </w:rPr>
              <w:t xml:space="preserve">Saskaņā ar Ministru kabineta </w:t>
            </w:r>
            <w:r w:rsidRPr="00B40B90">
              <w:t xml:space="preserve">2009.gada 22.decembra </w:t>
            </w:r>
            <w:r w:rsidRPr="00B40B90">
              <w:rPr>
                <w:bCs/>
              </w:rPr>
              <w:t>noteikumi Nr.1605</w:t>
            </w:r>
            <w:r w:rsidRPr="00B40B90">
              <w:rPr>
                <w:rStyle w:val="apple-converted-space"/>
              </w:rPr>
              <w:t> „</w:t>
            </w:r>
            <w:r w:rsidRPr="00B40B90">
              <w:rPr>
                <w:bCs/>
              </w:rPr>
              <w:t>Noteikumi par valsts sociālā nodrošinājuma pabalsta un apbedīšanas pabalsta apmēru, tā pārskatīšanas kārtību un pabalstu piešķiršanas un izmaksas kārtību”</w:t>
            </w:r>
            <w:bookmarkStart w:id="0" w:name="p1"/>
            <w:bookmarkStart w:id="1" w:name="p-320314"/>
            <w:bookmarkEnd w:id="0"/>
            <w:bookmarkEnd w:id="1"/>
            <w:r w:rsidRPr="00B40B90">
              <w:rPr>
                <w:bCs/>
              </w:rPr>
              <w:t xml:space="preserve"> 2.punktu</w:t>
            </w:r>
            <w:bookmarkStart w:id="2" w:name="p2"/>
            <w:bookmarkStart w:id="3" w:name="p-480829"/>
            <w:bookmarkEnd w:id="2"/>
            <w:bookmarkEnd w:id="3"/>
            <w:r>
              <w:rPr>
                <w:bCs/>
              </w:rPr>
              <w:t xml:space="preserve"> </w:t>
            </w:r>
            <w:r w:rsidRPr="00B40B90">
              <w:t>Valsts sociālā nodrošinājuma pabalsta apmērs apgādnieku zaudējušām personām ir 64,03</w:t>
            </w:r>
            <w:r w:rsidRPr="00B40B90">
              <w:rPr>
                <w:rStyle w:val="apple-converted-space"/>
              </w:rPr>
              <w:t> </w:t>
            </w:r>
            <w:proofErr w:type="spellStart"/>
            <w:r w:rsidRPr="00B40B90">
              <w:rPr>
                <w:i/>
                <w:iCs/>
              </w:rPr>
              <w:t>euro</w:t>
            </w:r>
            <w:proofErr w:type="spellEnd"/>
            <w:r w:rsidRPr="00B40B90">
              <w:rPr>
                <w:rStyle w:val="apple-converted-space"/>
              </w:rPr>
              <w:t> </w:t>
            </w:r>
            <w:r w:rsidRPr="00B40B90">
              <w:t>mēnesī</w:t>
            </w:r>
            <w:r w:rsidR="00711197">
              <w:t xml:space="preserve"> </w:t>
            </w:r>
            <w:r w:rsidR="00711197" w:rsidRPr="00B40B90">
              <w:t>(</w:t>
            </w:r>
            <w:r w:rsidR="00711197">
              <w:rPr>
                <w:rFonts w:eastAsiaTheme="minorHAnsi"/>
                <w:color w:val="000000"/>
                <w:lang w:eastAsia="en-US"/>
              </w:rPr>
              <w:t xml:space="preserve">bērnam ar invaliditāti kopš bērnības - 106,72 </w:t>
            </w:r>
            <w:proofErr w:type="spellStart"/>
            <w:r w:rsidR="00711197" w:rsidRPr="00711197">
              <w:rPr>
                <w:rFonts w:eastAsiaTheme="minorHAnsi"/>
                <w:i/>
                <w:color w:val="000000"/>
                <w:lang w:eastAsia="en-US"/>
              </w:rPr>
              <w:t>euro</w:t>
            </w:r>
            <w:proofErr w:type="spellEnd"/>
            <w:r w:rsidR="00711197">
              <w:rPr>
                <w:rFonts w:eastAsiaTheme="minorHAnsi"/>
                <w:color w:val="000000"/>
                <w:lang w:eastAsia="en-US"/>
              </w:rPr>
              <w:t>)</w:t>
            </w:r>
            <w:r w:rsidRPr="00B40B90">
              <w:t xml:space="preserve">. </w:t>
            </w:r>
            <w:r w:rsidR="009B080B" w:rsidRPr="00BC7F9D">
              <w:rPr>
                <w:color w:val="000000" w:themeColor="text1"/>
              </w:rPr>
              <w:t xml:space="preserve">Kā minēts iepriekš, </w:t>
            </w:r>
            <w:r w:rsidRPr="00B74845">
              <w:t>p</w:t>
            </w:r>
            <w:r w:rsidR="006C2208" w:rsidRPr="00B74845">
              <w:rPr>
                <w:iCs/>
              </w:rPr>
              <w:t>iemēram</w:t>
            </w:r>
            <w:r w:rsidR="006C2208" w:rsidRPr="00B40B90">
              <w:t>, ja pabalstu piešķir 3 bērniem, kuri zaudējuši apgādnieku, tad pabalsta apmērs tiks noteikts 96,06 </w:t>
            </w:r>
            <w:proofErr w:type="spellStart"/>
            <w:r w:rsidR="006C2208" w:rsidRPr="00B40B90">
              <w:rPr>
                <w:i/>
                <w:iCs/>
              </w:rPr>
              <w:t>euro</w:t>
            </w:r>
            <w:proofErr w:type="spellEnd"/>
            <w:r w:rsidR="006C2208" w:rsidRPr="00B40B90">
              <w:t> apmērā (32,02 </w:t>
            </w:r>
            <w:proofErr w:type="spellStart"/>
            <w:r w:rsidR="006C2208" w:rsidRPr="00B40B90">
              <w:rPr>
                <w:i/>
                <w:iCs/>
              </w:rPr>
              <w:t>euro</w:t>
            </w:r>
            <w:proofErr w:type="spellEnd"/>
            <w:r w:rsidR="006C2208" w:rsidRPr="00B40B90">
              <w:t> katram bērnam).</w:t>
            </w:r>
            <w:r w:rsidR="003513BC" w:rsidRPr="00B40B90">
              <w:t xml:space="preserve"> </w:t>
            </w:r>
          </w:p>
          <w:p w:rsidR="003F26F6" w:rsidRPr="009D5AFA" w:rsidRDefault="00362128" w:rsidP="00CD412C">
            <w:pPr>
              <w:jc w:val="both"/>
            </w:pPr>
            <w:r w:rsidRPr="009D5AFA">
              <w:t>Šobrīd viskritiskākā situācija un augstākais nabadzības riskam pakļauto personu īpatsvars ir nepilnajās ģimenēs</w:t>
            </w:r>
            <w:r w:rsidR="009B080B" w:rsidRPr="00BC7F9D">
              <w:rPr>
                <w:color w:val="000000" w:themeColor="text1"/>
              </w:rPr>
              <w:t xml:space="preserve">, kur bērnu/-s audzina viens </w:t>
            </w:r>
            <w:proofErr w:type="spellStart"/>
            <w:r w:rsidR="009B080B" w:rsidRPr="00BC7F9D">
              <w:rPr>
                <w:color w:val="000000" w:themeColor="text1"/>
              </w:rPr>
              <w:t>pieaugšais</w:t>
            </w:r>
            <w:proofErr w:type="spellEnd"/>
            <w:r w:rsidR="009B080B" w:rsidRPr="00BC7F9D">
              <w:rPr>
                <w:color w:val="000000" w:themeColor="text1"/>
              </w:rPr>
              <w:t>.</w:t>
            </w:r>
            <w:r w:rsidRPr="009D5AFA">
              <w:t xml:space="preserve"> </w:t>
            </w:r>
            <w:r w:rsidR="00380C18" w:rsidRPr="009D5AFA">
              <w:t xml:space="preserve">Tāpat </w:t>
            </w:r>
            <w:r w:rsidR="00F60D1C">
              <w:t>ir</w:t>
            </w:r>
            <w:r w:rsidR="00380C18" w:rsidRPr="009D5AFA">
              <w:rPr>
                <w:rFonts w:eastAsia="TimesNewRoman"/>
              </w:rPr>
              <w:t xml:space="preserve"> situācija, kad bērns, kura apgādnieks gājis bojā, saņem mazāku finansiālo atbalstu nekā bērns, </w:t>
            </w:r>
            <w:r w:rsidR="00380C18" w:rsidRPr="009D5AFA">
              <w:rPr>
                <w:rFonts w:eastAsia="TimesNewRoman"/>
              </w:rPr>
              <w:lastRenderedPageBreak/>
              <w:t>kura vecāks</w:t>
            </w:r>
            <w:r w:rsidR="00F60D1C">
              <w:rPr>
                <w:rFonts w:eastAsia="TimesNewRoman"/>
              </w:rPr>
              <w:t xml:space="preserve"> negrib vai nespēj par to gādāt un</w:t>
            </w:r>
            <w:r w:rsidR="00380C18" w:rsidRPr="009D5AFA">
              <w:rPr>
                <w:rFonts w:eastAsia="TimesNewRoman"/>
              </w:rPr>
              <w:t xml:space="preserve"> bērns no Uzturlīdzekļu garantiju fonda saņem valstī noteikto</w:t>
            </w:r>
            <w:r w:rsidR="00F60D1C">
              <w:rPr>
                <w:rFonts w:eastAsia="TimesNewRoman"/>
              </w:rPr>
              <w:t>s minimālos</w:t>
            </w:r>
            <w:r w:rsidR="00380C18" w:rsidRPr="009D5AFA">
              <w:rPr>
                <w:rFonts w:eastAsia="TimesNewRoman"/>
              </w:rPr>
              <w:t xml:space="preserve"> uzturlīdzekļu</w:t>
            </w:r>
            <w:r w:rsidR="00F60D1C">
              <w:rPr>
                <w:rFonts w:eastAsia="TimesNewRoman"/>
              </w:rPr>
              <w:t>s</w:t>
            </w:r>
            <w:r w:rsidR="001253F1" w:rsidRPr="009D5AFA">
              <w:rPr>
                <w:rStyle w:val="FootnoteReference"/>
                <w:rFonts w:eastAsia="TimesNewRoman"/>
              </w:rPr>
              <w:footnoteReference w:id="4"/>
            </w:r>
            <w:r w:rsidR="00380C18" w:rsidRPr="009D5AFA">
              <w:rPr>
                <w:rFonts w:eastAsia="TimesNewRoman"/>
              </w:rPr>
              <w:t xml:space="preserve">. </w:t>
            </w:r>
            <w:r w:rsidRPr="009D5AFA">
              <w:t>Tāpēc īpaši būtiska ir</w:t>
            </w:r>
            <w:r w:rsidR="00CD412C" w:rsidRPr="009D5AFA">
              <w:t xml:space="preserve"> valsts atbalsta palielināšana</w:t>
            </w:r>
            <w:r w:rsidRPr="009D5AFA">
              <w:t xml:space="preserve"> apgādnieka zaudējuma </w:t>
            </w:r>
            <w:r w:rsidR="00CD412C" w:rsidRPr="009D5AFA">
              <w:t>gadījumā</w:t>
            </w:r>
            <w:r w:rsidRPr="009D5AFA">
              <w:t xml:space="preserve">, tuvinot to minimālo uzturlīdzekļu apmēram, kādu valsts garantē gadījumos, kad kāds no bērna vecākiem nepilda savus pienākumus un bērnam nepieciešamo uzturēšanu nenodrošina. Tāpēc, lai mazinātu nepilno ģimeņu nabadzību un visiem bērniem piedāvātu līdzvērtīgu </w:t>
            </w:r>
            <w:r w:rsidR="0071561A" w:rsidRPr="009D5AFA">
              <w:t>sociālo nodrošinājumu, no 2017.</w:t>
            </w:r>
            <w:r w:rsidRPr="009D5AFA">
              <w:t>gada 1.aprīļa</w:t>
            </w:r>
            <w:r w:rsidR="0029103A" w:rsidRPr="009D5AFA">
              <w:t xml:space="preserve"> plānots </w:t>
            </w:r>
            <w:r w:rsidRPr="009D5AFA">
              <w:t xml:space="preserve">palielināt </w:t>
            </w:r>
            <w:r w:rsidR="00E03D95" w:rsidRPr="009D5AFA">
              <w:t xml:space="preserve">valsts atbalstu apgādnieku zaudējušiem bērniem - </w:t>
            </w:r>
            <w:r w:rsidRPr="009D5AFA">
              <w:t>apgādnieka zaudējuma pensijas</w:t>
            </w:r>
            <w:r w:rsidR="00E03D95" w:rsidRPr="009D5AFA">
              <w:t>, valst</w:t>
            </w:r>
            <w:r w:rsidR="001F57C9">
              <w:t>s sociālā nodrošinājuma pabalsta</w:t>
            </w:r>
            <w:r w:rsidR="00E03D95" w:rsidRPr="009D5AFA">
              <w:t xml:space="preserve"> un atlīdzība</w:t>
            </w:r>
            <w:r w:rsidR="001F57C9">
              <w:t>s</w:t>
            </w:r>
            <w:r w:rsidR="00E03D95" w:rsidRPr="009D5AFA">
              <w:t xml:space="preserve"> par apgādnieka zaudējumu</w:t>
            </w:r>
            <w:r w:rsidR="001F57C9">
              <w:t xml:space="preserve"> minimālos apmērus</w:t>
            </w:r>
            <w:r w:rsidR="0098152E">
              <w:t xml:space="preserve">, nosakot, ka par bērnu līdz 7 gadu vecuma sasniegšanai minimālais apmērs būtu 92,5 </w:t>
            </w:r>
            <w:proofErr w:type="spellStart"/>
            <w:r w:rsidR="0098152E" w:rsidRPr="0035672C">
              <w:rPr>
                <w:i/>
              </w:rPr>
              <w:t>euro</w:t>
            </w:r>
            <w:proofErr w:type="spellEnd"/>
            <w:r w:rsidR="008D1A00">
              <w:rPr>
                <w:i/>
              </w:rPr>
              <w:t xml:space="preserve"> </w:t>
            </w:r>
            <w:r w:rsidR="008D1A00" w:rsidRPr="008D1A00">
              <w:t>(</w:t>
            </w:r>
            <w:r w:rsidR="008D1A00">
              <w:rPr>
                <w:rFonts w:eastAsiaTheme="minorHAnsi"/>
                <w:color w:val="000000"/>
                <w:lang w:eastAsia="en-US"/>
              </w:rPr>
              <w:t xml:space="preserve">bērnam ar invaliditāti kopš bērnības - 106,72 </w:t>
            </w:r>
            <w:proofErr w:type="spellStart"/>
            <w:r w:rsidR="008D1A00" w:rsidRPr="00A35ACA">
              <w:rPr>
                <w:rFonts w:eastAsiaTheme="minorHAnsi"/>
                <w:i/>
                <w:color w:val="000000"/>
                <w:lang w:eastAsia="en-US"/>
              </w:rPr>
              <w:t>euro</w:t>
            </w:r>
            <w:proofErr w:type="spellEnd"/>
            <w:r w:rsidR="008D1A00">
              <w:rPr>
                <w:rFonts w:eastAsiaTheme="minorHAnsi"/>
                <w:color w:val="000000"/>
                <w:lang w:eastAsia="en-US"/>
              </w:rPr>
              <w:t>)</w:t>
            </w:r>
            <w:r w:rsidR="0098152E">
              <w:t xml:space="preserve">, bet pēc bērna 7 gadu vecuma sasniegšanas – 111 </w:t>
            </w:r>
            <w:proofErr w:type="spellStart"/>
            <w:r w:rsidR="0098152E" w:rsidRPr="0035672C">
              <w:rPr>
                <w:i/>
              </w:rPr>
              <w:t>euro</w:t>
            </w:r>
            <w:proofErr w:type="spellEnd"/>
            <w:r w:rsidRPr="009D5AFA">
              <w:t>.</w:t>
            </w:r>
          </w:p>
          <w:p w:rsidR="00E03D95" w:rsidRPr="009D5AFA" w:rsidRDefault="00E03D95" w:rsidP="003F7FF7">
            <w:pPr>
              <w:jc w:val="both"/>
              <w:rPr>
                <w:rFonts w:eastAsia="TimesNewRoman"/>
              </w:rPr>
            </w:pPr>
            <w:r w:rsidRPr="009D5AFA">
              <w:t xml:space="preserve">Likumprojekts paredz, ka </w:t>
            </w:r>
            <w:r w:rsidR="00733468" w:rsidRPr="009D5AFA">
              <w:t xml:space="preserve">no 2017.gada 1.aprīļa </w:t>
            </w:r>
            <w:r w:rsidRPr="009D5AFA">
              <w:rPr>
                <w:color w:val="000000" w:themeColor="text1"/>
                <w:shd w:val="clear" w:color="auto" w:fill="FFFFFF"/>
              </w:rPr>
              <w:t>valsts sociālā nodrošinājuma pabalsta</w:t>
            </w:r>
            <w:r w:rsidR="001F57C9">
              <w:rPr>
                <w:color w:val="000000" w:themeColor="text1"/>
                <w:shd w:val="clear" w:color="auto" w:fill="FFFFFF"/>
              </w:rPr>
              <w:t xml:space="preserve"> apgādnieka zaudējuma gadījumā</w:t>
            </w:r>
            <w:r w:rsidRPr="009D5AFA">
              <w:rPr>
                <w:color w:val="000000" w:themeColor="text1"/>
                <w:shd w:val="clear" w:color="auto" w:fill="FFFFFF"/>
              </w:rPr>
              <w:t xml:space="preserve"> minimālo apmēru</w:t>
            </w:r>
            <w:r w:rsidR="00733468" w:rsidRPr="009D5AFA">
              <w:rPr>
                <w:color w:val="000000" w:themeColor="text1"/>
                <w:shd w:val="clear" w:color="auto" w:fill="FFFFFF"/>
              </w:rPr>
              <w:t xml:space="preserve"> </w:t>
            </w:r>
            <w:r w:rsidRPr="009D5AFA">
              <w:rPr>
                <w:color w:val="000000" w:themeColor="text1"/>
              </w:rPr>
              <w:t xml:space="preserve">nosaka Ministru kabinets, bet VSAA </w:t>
            </w:r>
            <w:r w:rsidRPr="009D5AFA">
              <w:rPr>
                <w:shd w:val="clear" w:color="auto" w:fill="FFFFFF"/>
              </w:rPr>
              <w:t xml:space="preserve">pārskata pabalsta apmēru </w:t>
            </w:r>
            <w:r w:rsidRPr="009D5AFA">
              <w:t>un par periodu no 1.aprīļa to izmaksā ne vēlāk kā 2017.gada 3</w:t>
            </w:r>
            <w:r w:rsidR="003F7FF7">
              <w:t>0.septembrī</w:t>
            </w:r>
            <w:r w:rsidR="00733468" w:rsidRPr="009D5AFA">
              <w:t xml:space="preserve"> (pārejas periods nepieciešams izmaiņu veik</w:t>
            </w:r>
            <w:r w:rsidR="009D5AFA" w:rsidRPr="009D5AFA">
              <w:t xml:space="preserve">šanai </w:t>
            </w:r>
            <w:r w:rsidR="0027687F">
              <w:t xml:space="preserve">VSAA </w:t>
            </w:r>
            <w:r w:rsidR="009D5AFA" w:rsidRPr="009D5AFA">
              <w:t>i</w:t>
            </w:r>
            <w:r w:rsidR="00733468" w:rsidRPr="009D5AFA">
              <w:t>nformācijas sistēmās).</w:t>
            </w:r>
          </w:p>
        </w:tc>
      </w:tr>
      <w:tr w:rsidR="0066477E" w:rsidRPr="008C6643" w:rsidTr="00442745">
        <w:tc>
          <w:tcPr>
            <w:tcW w:w="217" w:type="pct"/>
            <w:shd w:val="clear" w:color="auto" w:fill="auto"/>
          </w:tcPr>
          <w:p w:rsidR="0066477E" w:rsidRPr="008C6643" w:rsidRDefault="0066477E" w:rsidP="001812E5">
            <w:r w:rsidRPr="008C6643">
              <w:lastRenderedPageBreak/>
              <w:t>3.</w:t>
            </w:r>
          </w:p>
        </w:tc>
        <w:tc>
          <w:tcPr>
            <w:tcW w:w="1057" w:type="pct"/>
            <w:shd w:val="clear" w:color="auto" w:fill="auto"/>
          </w:tcPr>
          <w:p w:rsidR="0066477E" w:rsidRPr="008C6643" w:rsidRDefault="0066477E" w:rsidP="001812E5">
            <w:r w:rsidRPr="008C6643">
              <w:t>Projekta izstrādē iesaistītās institūcijas</w:t>
            </w:r>
          </w:p>
        </w:tc>
        <w:tc>
          <w:tcPr>
            <w:tcW w:w="3726" w:type="pct"/>
            <w:shd w:val="clear" w:color="auto" w:fill="auto"/>
          </w:tcPr>
          <w:p w:rsidR="00C87710" w:rsidRPr="008C6643" w:rsidRDefault="00C87710" w:rsidP="001F57C9">
            <w:pPr>
              <w:jc w:val="both"/>
              <w:rPr>
                <w:i/>
                <w:color w:val="FF0000"/>
              </w:rPr>
            </w:pPr>
            <w:r w:rsidRPr="008C6643">
              <w:t xml:space="preserve">Likumprojekta izstrādes laikā notika konsultēšanās ar VSAA. Tāpat notika konsultēšanās ar sociālajiem partneriem, </w:t>
            </w:r>
            <w:r w:rsidR="00BD4C15" w:rsidRPr="008C6643">
              <w:t>proti,</w:t>
            </w:r>
            <w:r w:rsidR="001F57C9">
              <w:t xml:space="preserve"> likumprojekts</w:t>
            </w:r>
            <w:r w:rsidRPr="008C6643">
              <w:t xml:space="preserve"> konceptuāli atbalstī</w:t>
            </w:r>
            <w:r w:rsidR="001F57C9">
              <w:t>ts</w:t>
            </w:r>
            <w:r w:rsidRPr="008C6643">
              <w:t xml:space="preserve"> Nacionālās trīspusējās sadarbības padomes Sociālās drošības </w:t>
            </w:r>
            <w:proofErr w:type="spellStart"/>
            <w:r w:rsidRPr="008C6643">
              <w:t>apakšpadomes</w:t>
            </w:r>
            <w:proofErr w:type="spellEnd"/>
            <w:r w:rsidRPr="008C6643">
              <w:t xml:space="preserve"> sēdē š.g. 25.augustā.</w:t>
            </w:r>
          </w:p>
        </w:tc>
      </w:tr>
      <w:tr w:rsidR="0066477E" w:rsidRPr="008C6643" w:rsidTr="00442745">
        <w:tc>
          <w:tcPr>
            <w:tcW w:w="217" w:type="pct"/>
            <w:shd w:val="clear" w:color="auto" w:fill="auto"/>
          </w:tcPr>
          <w:p w:rsidR="0066477E" w:rsidRPr="008C6643" w:rsidRDefault="0066477E" w:rsidP="001812E5">
            <w:r w:rsidRPr="008C6643">
              <w:t xml:space="preserve">4. </w:t>
            </w:r>
          </w:p>
        </w:tc>
        <w:tc>
          <w:tcPr>
            <w:tcW w:w="1057" w:type="pct"/>
            <w:shd w:val="clear" w:color="auto" w:fill="auto"/>
          </w:tcPr>
          <w:p w:rsidR="0066477E" w:rsidRPr="008C6643" w:rsidRDefault="0066477E" w:rsidP="001812E5">
            <w:r w:rsidRPr="008C6643">
              <w:t>Cita informācija</w:t>
            </w:r>
          </w:p>
        </w:tc>
        <w:tc>
          <w:tcPr>
            <w:tcW w:w="3726" w:type="pct"/>
            <w:shd w:val="clear" w:color="auto" w:fill="auto"/>
          </w:tcPr>
          <w:p w:rsidR="0066477E" w:rsidRPr="008C6643" w:rsidRDefault="00BD4C15" w:rsidP="001812E5">
            <w:pPr>
              <w:jc w:val="both"/>
              <w:rPr>
                <w:color w:val="FF0000"/>
              </w:rPr>
            </w:pPr>
            <w:r w:rsidRPr="008C6643">
              <w:rPr>
                <w:iCs/>
                <w:color w:val="000000" w:themeColor="text1"/>
              </w:rPr>
              <w:t>Nav.</w:t>
            </w:r>
          </w:p>
        </w:tc>
      </w:tr>
    </w:tbl>
    <w:p w:rsidR="0066477E" w:rsidRPr="008C6643"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547"/>
        <w:gridCol w:w="6379"/>
      </w:tblGrid>
      <w:tr w:rsidR="0066477E" w:rsidRPr="008C6643" w:rsidTr="00442745">
        <w:tc>
          <w:tcPr>
            <w:tcW w:w="9322" w:type="dxa"/>
            <w:gridSpan w:val="3"/>
            <w:shd w:val="clear" w:color="auto" w:fill="auto"/>
          </w:tcPr>
          <w:p w:rsidR="0066477E" w:rsidRPr="008C6643" w:rsidRDefault="0066477E" w:rsidP="001812E5">
            <w:pPr>
              <w:pStyle w:val="naisnod"/>
              <w:spacing w:before="0" w:after="0"/>
              <w:ind w:left="57" w:right="57"/>
              <w:rPr>
                <w:b w:val="0"/>
              </w:rPr>
            </w:pPr>
            <w:r w:rsidRPr="008C6643">
              <w:t>II.</w:t>
            </w:r>
            <w:r w:rsidRPr="008C6643">
              <w:rPr>
                <w:b w:val="0"/>
              </w:rPr>
              <w:t xml:space="preserve"> </w:t>
            </w:r>
            <w:r w:rsidRPr="008C6643">
              <w:t>Tiesību akta projekta ietekme uz sabiedrību, tautsaimniecības attīstību</w:t>
            </w:r>
          </w:p>
          <w:p w:rsidR="0066477E" w:rsidRPr="008C6643" w:rsidRDefault="0066477E" w:rsidP="001812E5">
            <w:pPr>
              <w:jc w:val="center"/>
              <w:rPr>
                <w:b/>
              </w:rPr>
            </w:pPr>
            <w:r w:rsidRPr="008C6643">
              <w:rPr>
                <w:b/>
              </w:rPr>
              <w:t>un administratīvo slogu</w:t>
            </w:r>
          </w:p>
        </w:tc>
      </w:tr>
      <w:tr w:rsidR="00872371" w:rsidRPr="00A33427" w:rsidTr="00442745">
        <w:tc>
          <w:tcPr>
            <w:tcW w:w="396" w:type="dxa"/>
            <w:shd w:val="clear" w:color="auto" w:fill="auto"/>
          </w:tcPr>
          <w:p w:rsidR="0066477E" w:rsidRPr="00A33427" w:rsidRDefault="0066477E" w:rsidP="001812E5">
            <w:pPr>
              <w:rPr>
                <w:color w:val="000000" w:themeColor="text1"/>
              </w:rPr>
            </w:pPr>
            <w:r w:rsidRPr="00A33427">
              <w:rPr>
                <w:color w:val="000000" w:themeColor="text1"/>
              </w:rPr>
              <w:t>1.</w:t>
            </w:r>
          </w:p>
        </w:tc>
        <w:tc>
          <w:tcPr>
            <w:tcW w:w="2547" w:type="dxa"/>
            <w:shd w:val="clear" w:color="auto" w:fill="auto"/>
          </w:tcPr>
          <w:p w:rsidR="0066477E" w:rsidRPr="00A33427" w:rsidRDefault="0066477E" w:rsidP="001812E5">
            <w:pPr>
              <w:rPr>
                <w:color w:val="000000" w:themeColor="text1"/>
              </w:rPr>
            </w:pPr>
            <w:r w:rsidRPr="00A33427">
              <w:rPr>
                <w:color w:val="000000" w:themeColor="text1"/>
              </w:rPr>
              <w:t>Sabiedrības mērķgrupas, kuras tiesiskais regulējums ietekmē vai varētu ietekmēt</w:t>
            </w:r>
          </w:p>
        </w:tc>
        <w:tc>
          <w:tcPr>
            <w:tcW w:w="6379" w:type="dxa"/>
            <w:shd w:val="clear" w:color="auto" w:fill="auto"/>
          </w:tcPr>
          <w:p w:rsidR="00A66E21" w:rsidRPr="00A33427" w:rsidRDefault="00F65D50" w:rsidP="00A66E21">
            <w:pPr>
              <w:jc w:val="both"/>
              <w:rPr>
                <w:iCs/>
                <w:color w:val="000000" w:themeColor="text1"/>
              </w:rPr>
            </w:pPr>
            <w:r w:rsidRPr="00A33427">
              <w:rPr>
                <w:iCs/>
                <w:color w:val="000000" w:themeColor="text1"/>
              </w:rPr>
              <w:t>Likumprojekts tieši ietekmē ģimenes ar b</w:t>
            </w:r>
            <w:r w:rsidR="00A66E21" w:rsidRPr="00A33427">
              <w:rPr>
                <w:iCs/>
                <w:color w:val="000000" w:themeColor="text1"/>
              </w:rPr>
              <w:t>ērn</w:t>
            </w:r>
            <w:r w:rsidR="0035672C">
              <w:rPr>
                <w:iCs/>
                <w:color w:val="000000" w:themeColor="text1"/>
              </w:rPr>
              <w:t>iem, proti, ģimenes, kurās aug četri</w:t>
            </w:r>
            <w:r w:rsidR="00A66E21" w:rsidRPr="00A33427">
              <w:rPr>
                <w:iCs/>
                <w:color w:val="000000" w:themeColor="text1"/>
              </w:rPr>
              <w:t xml:space="preserve"> un </w:t>
            </w:r>
            <w:proofErr w:type="gramStart"/>
            <w:r w:rsidR="00A66E21" w:rsidRPr="00A33427">
              <w:rPr>
                <w:iCs/>
                <w:color w:val="000000" w:themeColor="text1"/>
              </w:rPr>
              <w:t>vairāk bērn</w:t>
            </w:r>
            <w:r w:rsidR="0035672C">
              <w:rPr>
                <w:iCs/>
                <w:color w:val="000000" w:themeColor="text1"/>
              </w:rPr>
              <w:t>i</w:t>
            </w:r>
            <w:proofErr w:type="gramEnd"/>
            <w:r w:rsidR="00A66E21" w:rsidRPr="00A33427">
              <w:rPr>
                <w:iCs/>
                <w:color w:val="000000" w:themeColor="text1"/>
              </w:rPr>
              <w:t>, kā arī ģimenes, kuras ir zaudējušas apgādnieku.</w:t>
            </w:r>
          </w:p>
          <w:p w:rsidR="00A66E21" w:rsidRPr="00A33427" w:rsidRDefault="00F65D50" w:rsidP="00D116A7">
            <w:pPr>
              <w:jc w:val="both"/>
              <w:rPr>
                <w:color w:val="000000" w:themeColor="text1"/>
              </w:rPr>
            </w:pPr>
            <w:r w:rsidRPr="00A33427">
              <w:rPr>
                <w:iCs/>
                <w:color w:val="000000" w:themeColor="text1"/>
              </w:rPr>
              <w:t xml:space="preserve">Pēc </w:t>
            </w:r>
            <w:r w:rsidR="00FA30EF">
              <w:rPr>
                <w:iCs/>
                <w:color w:val="000000" w:themeColor="text1"/>
              </w:rPr>
              <w:t>VS</w:t>
            </w:r>
            <w:r w:rsidR="00D116A7">
              <w:rPr>
                <w:iCs/>
                <w:color w:val="000000" w:themeColor="text1"/>
              </w:rPr>
              <w:t>AA</w:t>
            </w:r>
            <w:r w:rsidRPr="00A33427">
              <w:rPr>
                <w:iCs/>
                <w:color w:val="000000" w:themeColor="text1"/>
              </w:rPr>
              <w:t xml:space="preserve"> </w:t>
            </w:r>
            <w:r w:rsidR="00A66E21" w:rsidRPr="00A33427">
              <w:rPr>
                <w:iCs/>
                <w:color w:val="000000" w:themeColor="text1"/>
              </w:rPr>
              <w:t xml:space="preserve">statistikas datiem 2016.gada </w:t>
            </w:r>
            <w:r w:rsidR="00D116A7">
              <w:rPr>
                <w:iCs/>
                <w:color w:val="000000" w:themeColor="text1"/>
              </w:rPr>
              <w:t>jūnijā</w:t>
            </w:r>
            <w:r w:rsidR="00A66E21" w:rsidRPr="00A33427">
              <w:rPr>
                <w:iCs/>
                <w:color w:val="000000" w:themeColor="text1"/>
              </w:rPr>
              <w:t xml:space="preserve"> bija 19,4 tūkst. bērnu, kas bija uzskaitē kā ceturtie un nākamie bērni ģimenē</w:t>
            </w:r>
            <w:r w:rsidR="00CA29D6" w:rsidRPr="00A33427">
              <w:rPr>
                <w:iCs/>
                <w:color w:val="000000" w:themeColor="text1"/>
              </w:rPr>
              <w:t xml:space="preserve"> (aptuveni 6% no visiem ģimenes valsts pabalsta saņēmējiem).</w:t>
            </w:r>
            <w:r w:rsidR="00AC7053" w:rsidRPr="00A33427">
              <w:rPr>
                <w:color w:val="000000" w:themeColor="text1"/>
              </w:rPr>
              <w:t xml:space="preserve"> Savukārt bērnu skaits, kas š.g. </w:t>
            </w:r>
            <w:r w:rsidR="00D116A7">
              <w:rPr>
                <w:color w:val="000000" w:themeColor="text1"/>
              </w:rPr>
              <w:t>jūnijā</w:t>
            </w:r>
            <w:r w:rsidR="00AC7053" w:rsidRPr="00A33427">
              <w:rPr>
                <w:color w:val="000000" w:themeColor="text1"/>
              </w:rPr>
              <w:t xml:space="preserve"> saņēma valsts sociālā nodrošinājuma pabalstu apgādnieka zaudējuma gadījumā, kura apmēri bija zemāki par šim gadam noteikto minimālo uzturlīdzekļu apmēru (attiecīgi 92,50 </w:t>
            </w:r>
            <w:proofErr w:type="spellStart"/>
            <w:r w:rsidR="00AC7053" w:rsidRPr="0035672C">
              <w:rPr>
                <w:i/>
                <w:color w:val="000000" w:themeColor="text1"/>
              </w:rPr>
              <w:t>euro</w:t>
            </w:r>
            <w:proofErr w:type="spellEnd"/>
            <w:r w:rsidR="00AC7053" w:rsidRPr="00A33427">
              <w:rPr>
                <w:color w:val="000000" w:themeColor="text1"/>
              </w:rPr>
              <w:t xml:space="preserve"> vai 111 </w:t>
            </w:r>
            <w:proofErr w:type="spellStart"/>
            <w:r w:rsidR="00AC7053" w:rsidRPr="0035672C">
              <w:rPr>
                <w:i/>
                <w:color w:val="000000" w:themeColor="text1"/>
              </w:rPr>
              <w:t>euro</w:t>
            </w:r>
            <w:proofErr w:type="spellEnd"/>
            <w:r w:rsidR="00AC7053" w:rsidRPr="00A33427">
              <w:rPr>
                <w:color w:val="000000" w:themeColor="text1"/>
              </w:rPr>
              <w:t xml:space="preserve"> atkarībā no bērna vecuma), bija šāds: līdz bērna 7 gadu vecumam – 3</w:t>
            </w:r>
            <w:r w:rsidR="00D116A7">
              <w:rPr>
                <w:color w:val="000000" w:themeColor="text1"/>
              </w:rPr>
              <w:t>7</w:t>
            </w:r>
            <w:r w:rsidR="00AC7053" w:rsidRPr="00A33427">
              <w:rPr>
                <w:color w:val="000000" w:themeColor="text1"/>
              </w:rPr>
              <w:t xml:space="preserve"> bērni, bet no 7 gadu vecuma sasniegšanas līdz 23 gadu vecuma sasniegšanai (ja mācās)- </w:t>
            </w:r>
            <w:r w:rsidR="00D116A7">
              <w:rPr>
                <w:color w:val="000000" w:themeColor="text1"/>
              </w:rPr>
              <w:t>395</w:t>
            </w:r>
            <w:r w:rsidR="00AC7053" w:rsidRPr="00A33427">
              <w:rPr>
                <w:color w:val="000000" w:themeColor="text1"/>
              </w:rPr>
              <w:t xml:space="preserve"> bērni.</w:t>
            </w:r>
          </w:p>
        </w:tc>
      </w:tr>
      <w:tr w:rsidR="0066477E" w:rsidRPr="008C6643" w:rsidTr="00442745">
        <w:tc>
          <w:tcPr>
            <w:tcW w:w="396" w:type="dxa"/>
            <w:shd w:val="clear" w:color="auto" w:fill="auto"/>
          </w:tcPr>
          <w:p w:rsidR="0066477E" w:rsidRPr="008C6643" w:rsidRDefault="0066477E" w:rsidP="001812E5">
            <w:r w:rsidRPr="008C6643">
              <w:t xml:space="preserve">2. </w:t>
            </w:r>
          </w:p>
        </w:tc>
        <w:tc>
          <w:tcPr>
            <w:tcW w:w="2547" w:type="dxa"/>
            <w:shd w:val="clear" w:color="auto" w:fill="auto"/>
          </w:tcPr>
          <w:p w:rsidR="0066477E" w:rsidRPr="008C6643" w:rsidRDefault="0066477E" w:rsidP="001812E5">
            <w:r w:rsidRPr="008C6643">
              <w:t xml:space="preserve">Tiesiskā regulējuma </w:t>
            </w:r>
            <w:r w:rsidRPr="008C6643">
              <w:lastRenderedPageBreak/>
              <w:t>ietekme uz tautsaimniecību un administratīvo slogu</w:t>
            </w:r>
          </w:p>
        </w:tc>
        <w:tc>
          <w:tcPr>
            <w:tcW w:w="6379" w:type="dxa"/>
            <w:shd w:val="clear" w:color="auto" w:fill="auto"/>
          </w:tcPr>
          <w:p w:rsidR="0066477E" w:rsidRPr="008C6643" w:rsidRDefault="008545C0" w:rsidP="001812E5">
            <w:pPr>
              <w:jc w:val="both"/>
              <w:rPr>
                <w:color w:val="000000" w:themeColor="text1"/>
              </w:rPr>
            </w:pPr>
            <w:r w:rsidRPr="008C6643">
              <w:rPr>
                <w:iCs/>
                <w:color w:val="000000" w:themeColor="text1"/>
              </w:rPr>
              <w:lastRenderedPageBreak/>
              <w:t xml:space="preserve">Likumprojekta tiesiskais regulējums nemaina sabiedrības </w:t>
            </w:r>
            <w:r w:rsidRPr="008C6643">
              <w:rPr>
                <w:iCs/>
                <w:color w:val="000000" w:themeColor="text1"/>
              </w:rPr>
              <w:lastRenderedPageBreak/>
              <w:t>tiesības un pienākumus, kā arī veicamās darbības.</w:t>
            </w:r>
          </w:p>
        </w:tc>
      </w:tr>
      <w:tr w:rsidR="0066477E" w:rsidRPr="008C6643" w:rsidTr="00442745">
        <w:tc>
          <w:tcPr>
            <w:tcW w:w="396" w:type="dxa"/>
            <w:shd w:val="clear" w:color="auto" w:fill="auto"/>
          </w:tcPr>
          <w:p w:rsidR="0066477E" w:rsidRPr="008C6643" w:rsidRDefault="0066477E" w:rsidP="001812E5">
            <w:r w:rsidRPr="008C6643">
              <w:lastRenderedPageBreak/>
              <w:t>3.</w:t>
            </w:r>
          </w:p>
        </w:tc>
        <w:tc>
          <w:tcPr>
            <w:tcW w:w="2547" w:type="dxa"/>
            <w:shd w:val="clear" w:color="auto" w:fill="auto"/>
          </w:tcPr>
          <w:p w:rsidR="0066477E" w:rsidRPr="008C6643" w:rsidRDefault="0066477E" w:rsidP="001812E5">
            <w:r w:rsidRPr="008C6643">
              <w:t>Administratīvo izmaksu monetārs novērtējums</w:t>
            </w:r>
          </w:p>
        </w:tc>
        <w:tc>
          <w:tcPr>
            <w:tcW w:w="6379" w:type="dxa"/>
            <w:shd w:val="clear" w:color="auto" w:fill="auto"/>
          </w:tcPr>
          <w:p w:rsidR="0066477E" w:rsidRPr="008C6643" w:rsidRDefault="008545C0" w:rsidP="001812E5">
            <w:pPr>
              <w:jc w:val="both"/>
              <w:rPr>
                <w:color w:val="000000" w:themeColor="text1"/>
              </w:rPr>
            </w:pPr>
            <w:r w:rsidRPr="008C6643">
              <w:rPr>
                <w:iCs/>
                <w:color w:val="000000" w:themeColor="text1"/>
              </w:rPr>
              <w:t>Likumprojekts nerada papildus ietekmi uz administratīvajām izmaksām.</w:t>
            </w:r>
          </w:p>
        </w:tc>
      </w:tr>
      <w:tr w:rsidR="0066477E" w:rsidRPr="008C6643" w:rsidTr="00442745">
        <w:tc>
          <w:tcPr>
            <w:tcW w:w="396" w:type="dxa"/>
            <w:shd w:val="clear" w:color="auto" w:fill="auto"/>
          </w:tcPr>
          <w:p w:rsidR="0066477E" w:rsidRPr="008C6643" w:rsidRDefault="0066477E" w:rsidP="001812E5">
            <w:r w:rsidRPr="008C6643">
              <w:t xml:space="preserve">4. </w:t>
            </w:r>
          </w:p>
        </w:tc>
        <w:tc>
          <w:tcPr>
            <w:tcW w:w="2547" w:type="dxa"/>
            <w:shd w:val="clear" w:color="auto" w:fill="auto"/>
          </w:tcPr>
          <w:p w:rsidR="0066477E" w:rsidRPr="008C6643" w:rsidRDefault="0066477E" w:rsidP="001812E5">
            <w:r w:rsidRPr="008C6643">
              <w:t>Cita informācija</w:t>
            </w:r>
          </w:p>
        </w:tc>
        <w:tc>
          <w:tcPr>
            <w:tcW w:w="6379" w:type="dxa"/>
            <w:shd w:val="clear" w:color="auto" w:fill="auto"/>
          </w:tcPr>
          <w:p w:rsidR="0066477E" w:rsidRPr="008C6643" w:rsidRDefault="00B26D56" w:rsidP="001812E5">
            <w:pPr>
              <w:jc w:val="both"/>
              <w:rPr>
                <w:iCs/>
                <w:color w:val="000000" w:themeColor="text1"/>
              </w:rPr>
            </w:pPr>
            <w:r w:rsidRPr="008C6643">
              <w:rPr>
                <w:iCs/>
                <w:color w:val="000000" w:themeColor="text1"/>
              </w:rPr>
              <w:t>Nav.</w:t>
            </w:r>
          </w:p>
        </w:tc>
      </w:tr>
    </w:tbl>
    <w:p w:rsidR="0066477E" w:rsidRDefault="0066477E" w:rsidP="0066477E"/>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34"/>
        <w:gridCol w:w="1597"/>
        <w:gridCol w:w="1289"/>
        <w:gridCol w:w="1330"/>
        <w:gridCol w:w="1258"/>
        <w:gridCol w:w="1214"/>
      </w:tblGrid>
      <w:tr w:rsidR="00B12ECE" w:rsidTr="00442745">
        <w:tc>
          <w:tcPr>
            <w:tcW w:w="9322" w:type="dxa"/>
            <w:gridSpan w:val="6"/>
            <w:shd w:val="clear" w:color="auto" w:fill="auto"/>
          </w:tcPr>
          <w:p w:rsidR="00B12ECE" w:rsidRDefault="00B12ECE" w:rsidP="00BC7F9D">
            <w:pPr>
              <w:jc w:val="center"/>
            </w:pPr>
            <w:r>
              <w:br w:type="page"/>
            </w:r>
            <w:r w:rsidRPr="006A7D0B">
              <w:rPr>
                <w:b/>
              </w:rPr>
              <w:t>III.</w:t>
            </w:r>
            <w:r>
              <w:t xml:space="preserve"> </w:t>
            </w:r>
            <w:r w:rsidRPr="006A7D0B">
              <w:rPr>
                <w:b/>
                <w:bCs/>
              </w:rPr>
              <w:t xml:space="preserve">Tiesību </w:t>
            </w:r>
            <w:smartTag w:uri="schemas-tilde-lv/tildestengine" w:element="veidnes">
              <w:smartTagPr>
                <w:attr w:name="baseform" w:val="akt|s"/>
                <w:attr w:name="id" w:val="-1"/>
                <w:attr w:name="text" w:val="akta"/>
              </w:smartTagPr>
              <w:r w:rsidRPr="006A7D0B">
                <w:rPr>
                  <w:b/>
                  <w:bCs/>
                </w:rPr>
                <w:t>akta</w:t>
              </w:r>
            </w:smartTag>
            <w:r w:rsidRPr="006A7D0B">
              <w:rPr>
                <w:b/>
                <w:bCs/>
              </w:rPr>
              <w:t xml:space="preserve"> projekta ietekme uz valsts budžetu un pašvaldību budžetiem</w:t>
            </w:r>
          </w:p>
        </w:tc>
      </w:tr>
      <w:tr w:rsidR="00B12ECE" w:rsidTr="00442745">
        <w:tc>
          <w:tcPr>
            <w:tcW w:w="2634" w:type="dxa"/>
            <w:vMerge w:val="restart"/>
            <w:shd w:val="clear" w:color="auto" w:fill="auto"/>
            <w:vAlign w:val="center"/>
          </w:tcPr>
          <w:p w:rsidR="00B12ECE" w:rsidRDefault="00B12ECE" w:rsidP="00BC7F9D">
            <w:pPr>
              <w:jc w:val="center"/>
            </w:pPr>
            <w:r w:rsidRPr="006A7D0B">
              <w:rPr>
                <w:b/>
                <w:sz w:val="22"/>
                <w:szCs w:val="22"/>
              </w:rPr>
              <w:t>Rādītāji</w:t>
            </w:r>
          </w:p>
        </w:tc>
        <w:tc>
          <w:tcPr>
            <w:tcW w:w="2886" w:type="dxa"/>
            <w:gridSpan w:val="2"/>
            <w:vMerge w:val="restart"/>
            <w:shd w:val="clear" w:color="auto" w:fill="auto"/>
            <w:vAlign w:val="center"/>
          </w:tcPr>
          <w:p w:rsidR="00B12ECE" w:rsidRDefault="00B12ECE" w:rsidP="00BC7F9D">
            <w:pPr>
              <w:jc w:val="center"/>
            </w:pPr>
            <w:r>
              <w:rPr>
                <w:b/>
                <w:sz w:val="22"/>
                <w:szCs w:val="22"/>
              </w:rPr>
              <w:t>2016</w:t>
            </w:r>
          </w:p>
        </w:tc>
        <w:tc>
          <w:tcPr>
            <w:tcW w:w="3802" w:type="dxa"/>
            <w:gridSpan w:val="3"/>
            <w:shd w:val="clear" w:color="auto" w:fill="auto"/>
            <w:vAlign w:val="center"/>
          </w:tcPr>
          <w:p w:rsidR="00B12ECE" w:rsidRDefault="00B12ECE" w:rsidP="00BC7F9D">
            <w:pPr>
              <w:jc w:val="center"/>
            </w:pPr>
            <w:r w:rsidRPr="006A7D0B">
              <w:rPr>
                <w:sz w:val="22"/>
                <w:szCs w:val="22"/>
              </w:rPr>
              <w:t>Turpmākie trīs gadi (</w:t>
            </w:r>
            <w:proofErr w:type="spellStart"/>
            <w:r w:rsidRPr="006A7D0B">
              <w:rPr>
                <w:i/>
                <w:sz w:val="22"/>
                <w:szCs w:val="22"/>
              </w:rPr>
              <w:t>euro</w:t>
            </w:r>
            <w:proofErr w:type="spellEnd"/>
            <w:r w:rsidRPr="006A7D0B">
              <w:rPr>
                <w:sz w:val="22"/>
                <w:szCs w:val="22"/>
              </w:rPr>
              <w:t>)</w:t>
            </w:r>
          </w:p>
        </w:tc>
      </w:tr>
      <w:tr w:rsidR="00B12ECE" w:rsidRPr="006A7D0B" w:rsidTr="00442745">
        <w:tc>
          <w:tcPr>
            <w:tcW w:w="2634" w:type="dxa"/>
            <w:vMerge/>
            <w:shd w:val="clear" w:color="auto" w:fill="auto"/>
          </w:tcPr>
          <w:p w:rsidR="00B12ECE" w:rsidRDefault="00B12ECE" w:rsidP="00BC7F9D">
            <w:pPr>
              <w:jc w:val="center"/>
            </w:pPr>
          </w:p>
        </w:tc>
        <w:tc>
          <w:tcPr>
            <w:tcW w:w="2886" w:type="dxa"/>
            <w:gridSpan w:val="2"/>
            <w:vMerge/>
            <w:shd w:val="clear" w:color="auto" w:fill="auto"/>
          </w:tcPr>
          <w:p w:rsidR="00B12ECE" w:rsidRPr="006A7D0B" w:rsidRDefault="00B12ECE" w:rsidP="00BC7F9D">
            <w:pPr>
              <w:jc w:val="center"/>
              <w:rPr>
                <w:b/>
                <w:sz w:val="22"/>
                <w:szCs w:val="22"/>
              </w:rPr>
            </w:pPr>
          </w:p>
        </w:tc>
        <w:tc>
          <w:tcPr>
            <w:tcW w:w="1330" w:type="dxa"/>
            <w:shd w:val="clear" w:color="auto" w:fill="auto"/>
            <w:vAlign w:val="bottom"/>
          </w:tcPr>
          <w:p w:rsidR="00B12ECE" w:rsidRPr="006A7D0B" w:rsidRDefault="00B12ECE" w:rsidP="00BC7F9D">
            <w:pPr>
              <w:pStyle w:val="naisf"/>
              <w:spacing w:before="0" w:after="0"/>
              <w:jc w:val="center"/>
              <w:rPr>
                <w:b/>
                <w:i/>
                <w:sz w:val="22"/>
                <w:szCs w:val="22"/>
              </w:rPr>
            </w:pPr>
            <w:r>
              <w:rPr>
                <w:b/>
                <w:bCs/>
                <w:sz w:val="22"/>
                <w:szCs w:val="22"/>
              </w:rPr>
              <w:t>2017</w:t>
            </w:r>
          </w:p>
        </w:tc>
        <w:tc>
          <w:tcPr>
            <w:tcW w:w="1258" w:type="dxa"/>
            <w:shd w:val="clear" w:color="auto" w:fill="auto"/>
            <w:vAlign w:val="bottom"/>
          </w:tcPr>
          <w:p w:rsidR="00B12ECE" w:rsidRPr="006A7D0B" w:rsidRDefault="00B12ECE" w:rsidP="00BC7F9D">
            <w:pPr>
              <w:pStyle w:val="naisf"/>
              <w:spacing w:before="0" w:after="0"/>
              <w:jc w:val="center"/>
              <w:rPr>
                <w:b/>
                <w:i/>
                <w:sz w:val="22"/>
                <w:szCs w:val="22"/>
              </w:rPr>
            </w:pPr>
            <w:r>
              <w:rPr>
                <w:b/>
                <w:bCs/>
                <w:sz w:val="22"/>
                <w:szCs w:val="22"/>
              </w:rPr>
              <w:t>2018</w:t>
            </w:r>
          </w:p>
        </w:tc>
        <w:tc>
          <w:tcPr>
            <w:tcW w:w="1214" w:type="dxa"/>
            <w:shd w:val="clear" w:color="auto" w:fill="auto"/>
            <w:vAlign w:val="bottom"/>
          </w:tcPr>
          <w:p w:rsidR="00B12ECE" w:rsidRPr="006A7D0B" w:rsidRDefault="00B12ECE" w:rsidP="00BC7F9D">
            <w:pPr>
              <w:pStyle w:val="naisf"/>
              <w:spacing w:before="0" w:after="0"/>
              <w:jc w:val="center"/>
              <w:rPr>
                <w:b/>
                <w:i/>
                <w:sz w:val="22"/>
                <w:szCs w:val="22"/>
              </w:rPr>
            </w:pPr>
            <w:r>
              <w:rPr>
                <w:b/>
                <w:bCs/>
                <w:sz w:val="22"/>
                <w:szCs w:val="22"/>
              </w:rPr>
              <w:t>2019</w:t>
            </w:r>
          </w:p>
        </w:tc>
      </w:tr>
      <w:tr w:rsidR="00B12ECE" w:rsidRPr="006A7D0B" w:rsidTr="00442745">
        <w:tc>
          <w:tcPr>
            <w:tcW w:w="2634" w:type="dxa"/>
            <w:vMerge/>
            <w:shd w:val="clear" w:color="auto" w:fill="auto"/>
            <w:vAlign w:val="bottom"/>
          </w:tcPr>
          <w:p w:rsidR="00B12ECE" w:rsidRPr="006A7D0B" w:rsidRDefault="00B12ECE" w:rsidP="00BC7F9D">
            <w:pPr>
              <w:jc w:val="center"/>
              <w:rPr>
                <w:sz w:val="22"/>
                <w:szCs w:val="22"/>
              </w:rPr>
            </w:pPr>
          </w:p>
        </w:tc>
        <w:tc>
          <w:tcPr>
            <w:tcW w:w="1597" w:type="dxa"/>
            <w:shd w:val="clear" w:color="auto" w:fill="auto"/>
          </w:tcPr>
          <w:p w:rsidR="00B12ECE" w:rsidRPr="006A7D0B" w:rsidRDefault="00B12ECE" w:rsidP="00BC7F9D">
            <w:pPr>
              <w:jc w:val="center"/>
              <w:rPr>
                <w:sz w:val="22"/>
                <w:szCs w:val="22"/>
              </w:rPr>
            </w:pPr>
            <w:r w:rsidRPr="006A7D0B">
              <w:rPr>
                <w:sz w:val="22"/>
                <w:szCs w:val="22"/>
              </w:rPr>
              <w:t>saskaņā ar valsts budžetu kārtējam gadam</w:t>
            </w:r>
          </w:p>
        </w:tc>
        <w:tc>
          <w:tcPr>
            <w:tcW w:w="1289" w:type="dxa"/>
            <w:shd w:val="clear" w:color="auto" w:fill="auto"/>
          </w:tcPr>
          <w:p w:rsidR="00B12ECE" w:rsidRPr="006A7D0B" w:rsidRDefault="00B12ECE" w:rsidP="00BC7F9D">
            <w:pPr>
              <w:jc w:val="center"/>
              <w:rPr>
                <w:sz w:val="22"/>
                <w:szCs w:val="22"/>
              </w:rPr>
            </w:pPr>
            <w:r w:rsidRPr="006A7D0B">
              <w:rPr>
                <w:sz w:val="22"/>
                <w:szCs w:val="22"/>
              </w:rPr>
              <w:t>izmaiņas kārtējā gadā salīdzinot ar valsts budžetu kārtējam gadam</w:t>
            </w:r>
          </w:p>
        </w:tc>
        <w:tc>
          <w:tcPr>
            <w:tcW w:w="1330" w:type="dxa"/>
            <w:shd w:val="clear" w:color="auto" w:fill="auto"/>
          </w:tcPr>
          <w:p w:rsidR="00B12ECE" w:rsidRPr="006A7D0B" w:rsidRDefault="00B12ECE" w:rsidP="00BC7F9D">
            <w:pPr>
              <w:jc w:val="center"/>
              <w:rPr>
                <w:sz w:val="22"/>
                <w:szCs w:val="22"/>
              </w:rPr>
            </w:pPr>
            <w:r w:rsidRPr="006A7D0B">
              <w:rPr>
                <w:sz w:val="22"/>
                <w:szCs w:val="22"/>
              </w:rPr>
              <w:t>izmaiņas salīdzinot ar kārtējo gadu</w:t>
            </w:r>
          </w:p>
        </w:tc>
        <w:tc>
          <w:tcPr>
            <w:tcW w:w="1258" w:type="dxa"/>
            <w:shd w:val="clear" w:color="auto" w:fill="auto"/>
          </w:tcPr>
          <w:p w:rsidR="00B12ECE" w:rsidRPr="006A7D0B" w:rsidRDefault="00B12ECE" w:rsidP="00BC7F9D">
            <w:pPr>
              <w:jc w:val="center"/>
              <w:rPr>
                <w:sz w:val="22"/>
                <w:szCs w:val="22"/>
              </w:rPr>
            </w:pPr>
            <w:r w:rsidRPr="006A7D0B">
              <w:rPr>
                <w:sz w:val="22"/>
                <w:szCs w:val="22"/>
              </w:rPr>
              <w:t>izmaiņas salīdzinot ar kārtējo gadu</w:t>
            </w:r>
          </w:p>
        </w:tc>
        <w:tc>
          <w:tcPr>
            <w:tcW w:w="1214" w:type="dxa"/>
            <w:shd w:val="clear" w:color="auto" w:fill="auto"/>
          </w:tcPr>
          <w:p w:rsidR="00B12ECE" w:rsidRPr="006A7D0B" w:rsidRDefault="00B12ECE" w:rsidP="00BC7F9D">
            <w:pPr>
              <w:jc w:val="center"/>
              <w:rPr>
                <w:sz w:val="22"/>
                <w:szCs w:val="22"/>
              </w:rPr>
            </w:pPr>
            <w:r w:rsidRPr="006A7D0B">
              <w:rPr>
                <w:sz w:val="22"/>
                <w:szCs w:val="22"/>
              </w:rPr>
              <w:t>izmaiņas salīdzinot ar kārtējo gadu</w:t>
            </w:r>
          </w:p>
        </w:tc>
      </w:tr>
      <w:tr w:rsidR="00B12ECE" w:rsidRPr="006A7D0B" w:rsidTr="00442745">
        <w:tc>
          <w:tcPr>
            <w:tcW w:w="2634" w:type="dxa"/>
            <w:shd w:val="clear" w:color="auto" w:fill="auto"/>
          </w:tcPr>
          <w:p w:rsidR="00B12ECE" w:rsidRPr="006A7D0B" w:rsidRDefault="00B12ECE" w:rsidP="00BC7F9D">
            <w:pPr>
              <w:pStyle w:val="naisf"/>
              <w:spacing w:before="0" w:after="0"/>
              <w:jc w:val="center"/>
              <w:rPr>
                <w:b/>
                <w:sz w:val="22"/>
                <w:szCs w:val="22"/>
              </w:rPr>
            </w:pPr>
            <w:r w:rsidRPr="006A7D0B">
              <w:rPr>
                <w:b/>
                <w:sz w:val="22"/>
                <w:szCs w:val="22"/>
              </w:rPr>
              <w:t>1</w:t>
            </w:r>
          </w:p>
        </w:tc>
        <w:tc>
          <w:tcPr>
            <w:tcW w:w="1597" w:type="dxa"/>
            <w:shd w:val="clear" w:color="auto" w:fill="auto"/>
          </w:tcPr>
          <w:p w:rsidR="00B12ECE" w:rsidRPr="006A7D0B" w:rsidRDefault="00B12ECE" w:rsidP="00BC7F9D">
            <w:pPr>
              <w:pStyle w:val="naisf"/>
              <w:spacing w:before="0" w:after="0"/>
              <w:jc w:val="center"/>
              <w:rPr>
                <w:b/>
                <w:sz w:val="22"/>
                <w:szCs w:val="22"/>
              </w:rPr>
            </w:pPr>
            <w:r w:rsidRPr="006A7D0B">
              <w:rPr>
                <w:b/>
                <w:sz w:val="22"/>
                <w:szCs w:val="22"/>
              </w:rPr>
              <w:t>2</w:t>
            </w:r>
          </w:p>
        </w:tc>
        <w:tc>
          <w:tcPr>
            <w:tcW w:w="1289" w:type="dxa"/>
            <w:shd w:val="clear" w:color="auto" w:fill="auto"/>
          </w:tcPr>
          <w:p w:rsidR="00B12ECE" w:rsidRPr="006A7D0B" w:rsidRDefault="00B12ECE" w:rsidP="00BC7F9D">
            <w:pPr>
              <w:pStyle w:val="naisf"/>
              <w:spacing w:before="0" w:after="0"/>
              <w:jc w:val="center"/>
              <w:rPr>
                <w:b/>
                <w:sz w:val="22"/>
                <w:szCs w:val="22"/>
              </w:rPr>
            </w:pPr>
            <w:r w:rsidRPr="006A7D0B">
              <w:rPr>
                <w:b/>
                <w:sz w:val="22"/>
                <w:szCs w:val="22"/>
              </w:rPr>
              <w:t>3</w:t>
            </w:r>
          </w:p>
        </w:tc>
        <w:tc>
          <w:tcPr>
            <w:tcW w:w="1330" w:type="dxa"/>
            <w:shd w:val="clear" w:color="auto" w:fill="auto"/>
          </w:tcPr>
          <w:p w:rsidR="00B12ECE" w:rsidRPr="006A7D0B" w:rsidRDefault="00B12ECE" w:rsidP="00BC7F9D">
            <w:pPr>
              <w:pStyle w:val="naisf"/>
              <w:spacing w:before="0" w:after="0"/>
              <w:jc w:val="center"/>
              <w:rPr>
                <w:b/>
                <w:sz w:val="22"/>
                <w:szCs w:val="22"/>
              </w:rPr>
            </w:pPr>
            <w:r w:rsidRPr="006A7D0B">
              <w:rPr>
                <w:b/>
                <w:sz w:val="22"/>
                <w:szCs w:val="22"/>
              </w:rPr>
              <w:t>4</w:t>
            </w:r>
          </w:p>
        </w:tc>
        <w:tc>
          <w:tcPr>
            <w:tcW w:w="1258" w:type="dxa"/>
            <w:shd w:val="clear" w:color="auto" w:fill="auto"/>
          </w:tcPr>
          <w:p w:rsidR="00B12ECE" w:rsidRPr="006A7D0B" w:rsidRDefault="00B12ECE" w:rsidP="00BC7F9D">
            <w:pPr>
              <w:pStyle w:val="naisf"/>
              <w:spacing w:before="0" w:after="0"/>
              <w:jc w:val="center"/>
              <w:rPr>
                <w:b/>
                <w:sz w:val="22"/>
                <w:szCs w:val="22"/>
              </w:rPr>
            </w:pPr>
            <w:r w:rsidRPr="006A7D0B">
              <w:rPr>
                <w:b/>
                <w:sz w:val="22"/>
                <w:szCs w:val="22"/>
              </w:rPr>
              <w:t>5</w:t>
            </w:r>
          </w:p>
        </w:tc>
        <w:tc>
          <w:tcPr>
            <w:tcW w:w="1214" w:type="dxa"/>
            <w:shd w:val="clear" w:color="auto" w:fill="auto"/>
          </w:tcPr>
          <w:p w:rsidR="00B12ECE" w:rsidRPr="006A7D0B" w:rsidRDefault="00B12ECE" w:rsidP="00BC7F9D">
            <w:pPr>
              <w:pStyle w:val="naisf"/>
              <w:spacing w:before="0" w:after="0"/>
              <w:jc w:val="center"/>
              <w:rPr>
                <w:b/>
                <w:sz w:val="22"/>
                <w:szCs w:val="22"/>
              </w:rPr>
            </w:pPr>
            <w:r w:rsidRPr="006A7D0B">
              <w:rPr>
                <w:b/>
                <w:sz w:val="22"/>
                <w:szCs w:val="22"/>
              </w:rPr>
              <w:t>6</w:t>
            </w: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sidRPr="00645816">
              <w:rPr>
                <w:color w:val="000000" w:themeColor="text1"/>
                <w:sz w:val="20"/>
                <w:szCs w:val="20"/>
              </w:rPr>
              <w:t>1. Budžeta ieņēmumi:</w:t>
            </w:r>
          </w:p>
        </w:tc>
        <w:tc>
          <w:tcPr>
            <w:tcW w:w="1597" w:type="dxa"/>
            <w:shd w:val="clear" w:color="auto" w:fill="auto"/>
          </w:tcPr>
          <w:p w:rsidR="00B12ECE" w:rsidRDefault="00B12ECE" w:rsidP="00B12ECE">
            <w:pPr>
              <w:jc w:val="center"/>
              <w:rPr>
                <w:color w:val="000000" w:themeColor="text1"/>
                <w:sz w:val="20"/>
                <w:szCs w:val="20"/>
              </w:rPr>
            </w:pPr>
            <w:r>
              <w:rPr>
                <w:color w:val="000000" w:themeColor="text1"/>
                <w:sz w:val="20"/>
                <w:szCs w:val="20"/>
              </w:rPr>
              <w:t>95 344 184</w:t>
            </w:r>
          </w:p>
          <w:p w:rsidR="00B12ECE" w:rsidRPr="00645816" w:rsidRDefault="00B12ECE" w:rsidP="00BC7F9D">
            <w:pPr>
              <w:rPr>
                <w:color w:val="000000" w:themeColor="text1"/>
                <w:sz w:val="20"/>
                <w:szCs w:val="20"/>
              </w:rPr>
            </w:pPr>
          </w:p>
        </w:tc>
        <w:tc>
          <w:tcPr>
            <w:tcW w:w="1289" w:type="dxa"/>
            <w:shd w:val="clear" w:color="auto" w:fill="auto"/>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330" w:type="dxa"/>
            <w:shd w:val="clear" w:color="auto" w:fill="auto"/>
            <w:vAlign w:val="center"/>
          </w:tcPr>
          <w:p w:rsidR="00B12ECE" w:rsidRDefault="00B12ECE" w:rsidP="00BC7F9D">
            <w:pPr>
              <w:jc w:val="center"/>
              <w:rPr>
                <w:color w:val="000000" w:themeColor="text1"/>
                <w:sz w:val="20"/>
                <w:szCs w:val="20"/>
              </w:rPr>
            </w:pPr>
            <w:r>
              <w:rPr>
                <w:color w:val="000000" w:themeColor="text1"/>
                <w:sz w:val="20"/>
                <w:szCs w:val="20"/>
              </w:rPr>
              <w:t> </w:t>
            </w:r>
          </w:p>
          <w:p w:rsidR="00B12ECE" w:rsidRPr="00645816" w:rsidRDefault="00B12ECE" w:rsidP="00BC7F9D">
            <w:pPr>
              <w:jc w:val="center"/>
              <w:rPr>
                <w:color w:val="000000" w:themeColor="text1"/>
                <w:sz w:val="20"/>
                <w:szCs w:val="20"/>
              </w:rPr>
            </w:pPr>
            <w:r>
              <w:rPr>
                <w:color w:val="000000" w:themeColor="text1"/>
                <w:sz w:val="20"/>
                <w:szCs w:val="20"/>
              </w:rPr>
              <w:t>0</w:t>
            </w:r>
          </w:p>
        </w:tc>
        <w:tc>
          <w:tcPr>
            <w:tcW w:w="1258" w:type="dxa"/>
            <w:shd w:val="clear" w:color="auto" w:fill="auto"/>
            <w:vAlign w:val="center"/>
          </w:tcPr>
          <w:p w:rsidR="00B12ECE" w:rsidRDefault="00B12ECE" w:rsidP="00BC7F9D">
            <w:pPr>
              <w:jc w:val="center"/>
              <w:rPr>
                <w:color w:val="000000" w:themeColor="text1"/>
                <w:sz w:val="20"/>
                <w:szCs w:val="20"/>
              </w:rPr>
            </w:pPr>
            <w:r>
              <w:rPr>
                <w:color w:val="000000" w:themeColor="text1"/>
                <w:sz w:val="20"/>
                <w:szCs w:val="20"/>
              </w:rPr>
              <w:t> </w:t>
            </w:r>
          </w:p>
          <w:p w:rsidR="00B12ECE" w:rsidRPr="00645816" w:rsidRDefault="00B12ECE" w:rsidP="00BC7F9D">
            <w:pPr>
              <w:jc w:val="center"/>
              <w:rPr>
                <w:color w:val="000000" w:themeColor="text1"/>
                <w:sz w:val="20"/>
                <w:szCs w:val="20"/>
              </w:rPr>
            </w:pPr>
            <w:r>
              <w:rPr>
                <w:color w:val="000000" w:themeColor="text1"/>
                <w:sz w:val="20"/>
                <w:szCs w:val="20"/>
              </w:rPr>
              <w:t>0</w:t>
            </w:r>
          </w:p>
        </w:tc>
        <w:tc>
          <w:tcPr>
            <w:tcW w:w="1214" w:type="dxa"/>
            <w:shd w:val="clear" w:color="auto" w:fill="auto"/>
            <w:vAlign w:val="center"/>
          </w:tcPr>
          <w:p w:rsidR="00B12ECE" w:rsidRDefault="00B12ECE" w:rsidP="00BC7F9D">
            <w:pPr>
              <w:jc w:val="center"/>
              <w:rPr>
                <w:color w:val="000000" w:themeColor="text1"/>
                <w:sz w:val="20"/>
                <w:szCs w:val="20"/>
              </w:rPr>
            </w:pPr>
            <w:r>
              <w:rPr>
                <w:color w:val="000000" w:themeColor="text1"/>
                <w:sz w:val="20"/>
                <w:szCs w:val="20"/>
              </w:rPr>
              <w:t> </w:t>
            </w:r>
          </w:p>
          <w:p w:rsidR="00B12ECE" w:rsidRPr="00645816" w:rsidRDefault="00B12ECE" w:rsidP="00BC7F9D">
            <w:pPr>
              <w:jc w:val="center"/>
              <w:rPr>
                <w:color w:val="000000" w:themeColor="text1"/>
                <w:sz w:val="20"/>
                <w:szCs w:val="20"/>
              </w:rPr>
            </w:pPr>
            <w:r>
              <w:rPr>
                <w:color w:val="000000" w:themeColor="text1"/>
                <w:sz w:val="20"/>
                <w:szCs w:val="20"/>
              </w:rPr>
              <w:t>0</w:t>
            </w: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sidRPr="00645816">
              <w:rPr>
                <w:color w:val="000000" w:themeColor="text1"/>
                <w:sz w:val="20"/>
                <w:szCs w:val="20"/>
              </w:rPr>
              <w:t>1.1. valsts pamatbudžets, tai skaitā ieņēmumi no maksas pakalpojumiem un citi pašu ieņēmumi</w:t>
            </w:r>
          </w:p>
        </w:tc>
        <w:tc>
          <w:tcPr>
            <w:tcW w:w="1597" w:type="dxa"/>
            <w:shd w:val="clear" w:color="auto" w:fill="auto"/>
            <w:vAlign w:val="center"/>
          </w:tcPr>
          <w:p w:rsidR="00B12ECE" w:rsidRPr="00645816" w:rsidRDefault="005B7477" w:rsidP="005B7477">
            <w:pPr>
              <w:jc w:val="center"/>
              <w:rPr>
                <w:color w:val="000000" w:themeColor="text1"/>
                <w:sz w:val="20"/>
                <w:szCs w:val="20"/>
              </w:rPr>
            </w:pPr>
            <w:r>
              <w:rPr>
                <w:color w:val="000000" w:themeColor="text1"/>
                <w:sz w:val="20"/>
                <w:szCs w:val="20"/>
              </w:rPr>
              <w:t>95 344 184</w:t>
            </w:r>
          </w:p>
        </w:tc>
        <w:tc>
          <w:tcPr>
            <w:tcW w:w="1289"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330" w:type="dxa"/>
            <w:shd w:val="clear" w:color="auto" w:fill="auto"/>
            <w:vAlign w:val="center"/>
          </w:tcPr>
          <w:p w:rsidR="00B12ECE" w:rsidRDefault="00B12ECE" w:rsidP="00BC7F9D">
            <w:pPr>
              <w:jc w:val="center"/>
              <w:rPr>
                <w:color w:val="000000" w:themeColor="text1"/>
                <w:sz w:val="20"/>
                <w:szCs w:val="20"/>
              </w:rPr>
            </w:pPr>
            <w:r>
              <w:rPr>
                <w:color w:val="000000" w:themeColor="text1"/>
                <w:sz w:val="20"/>
                <w:szCs w:val="20"/>
              </w:rPr>
              <w:t> </w:t>
            </w:r>
          </w:p>
          <w:p w:rsidR="00B12ECE" w:rsidRPr="00645816" w:rsidRDefault="00B12ECE" w:rsidP="00BC7F9D">
            <w:pPr>
              <w:jc w:val="center"/>
              <w:rPr>
                <w:color w:val="000000" w:themeColor="text1"/>
                <w:sz w:val="20"/>
                <w:szCs w:val="20"/>
              </w:rPr>
            </w:pPr>
            <w:r>
              <w:rPr>
                <w:color w:val="000000" w:themeColor="text1"/>
                <w:sz w:val="20"/>
                <w:szCs w:val="20"/>
              </w:rPr>
              <w:t>0</w:t>
            </w:r>
          </w:p>
        </w:tc>
        <w:tc>
          <w:tcPr>
            <w:tcW w:w="1258" w:type="dxa"/>
            <w:shd w:val="clear" w:color="auto" w:fill="auto"/>
            <w:vAlign w:val="center"/>
          </w:tcPr>
          <w:p w:rsidR="00B12ECE" w:rsidRDefault="00B12ECE" w:rsidP="00BC7F9D">
            <w:pPr>
              <w:jc w:val="center"/>
              <w:rPr>
                <w:color w:val="000000" w:themeColor="text1"/>
                <w:sz w:val="20"/>
                <w:szCs w:val="20"/>
              </w:rPr>
            </w:pPr>
            <w:r>
              <w:rPr>
                <w:color w:val="000000" w:themeColor="text1"/>
                <w:sz w:val="20"/>
                <w:szCs w:val="20"/>
              </w:rPr>
              <w:t> </w:t>
            </w:r>
          </w:p>
          <w:p w:rsidR="00B12ECE" w:rsidRPr="00645816" w:rsidRDefault="00B12ECE" w:rsidP="00BC7F9D">
            <w:pPr>
              <w:jc w:val="center"/>
              <w:rPr>
                <w:color w:val="000000" w:themeColor="text1"/>
                <w:sz w:val="20"/>
                <w:szCs w:val="20"/>
              </w:rPr>
            </w:pPr>
            <w:r>
              <w:rPr>
                <w:color w:val="000000" w:themeColor="text1"/>
                <w:sz w:val="20"/>
                <w:szCs w:val="20"/>
              </w:rPr>
              <w:t>0</w:t>
            </w:r>
          </w:p>
        </w:tc>
        <w:tc>
          <w:tcPr>
            <w:tcW w:w="1214" w:type="dxa"/>
            <w:shd w:val="clear" w:color="auto" w:fill="auto"/>
            <w:vAlign w:val="center"/>
          </w:tcPr>
          <w:p w:rsidR="00B12ECE" w:rsidRDefault="00B12ECE" w:rsidP="00BC7F9D">
            <w:pPr>
              <w:jc w:val="center"/>
              <w:rPr>
                <w:color w:val="000000" w:themeColor="text1"/>
                <w:sz w:val="20"/>
                <w:szCs w:val="20"/>
              </w:rPr>
            </w:pPr>
            <w:r>
              <w:rPr>
                <w:color w:val="000000" w:themeColor="text1"/>
                <w:sz w:val="20"/>
                <w:szCs w:val="20"/>
              </w:rPr>
              <w:t> </w:t>
            </w:r>
          </w:p>
          <w:p w:rsidR="00B12ECE" w:rsidRPr="00645816" w:rsidRDefault="00B12ECE" w:rsidP="00BC7F9D">
            <w:pPr>
              <w:jc w:val="center"/>
              <w:rPr>
                <w:color w:val="000000" w:themeColor="text1"/>
                <w:sz w:val="20"/>
                <w:szCs w:val="20"/>
              </w:rPr>
            </w:pPr>
            <w:r>
              <w:rPr>
                <w:color w:val="000000" w:themeColor="text1"/>
                <w:sz w:val="20"/>
                <w:szCs w:val="20"/>
              </w:rPr>
              <w:t>0</w:t>
            </w:r>
          </w:p>
        </w:tc>
      </w:tr>
      <w:tr w:rsidR="00B12ECE" w:rsidRPr="00645816" w:rsidTr="00442745">
        <w:tc>
          <w:tcPr>
            <w:tcW w:w="2634" w:type="dxa"/>
            <w:shd w:val="clear" w:color="auto" w:fill="auto"/>
          </w:tcPr>
          <w:p w:rsidR="00B12ECE" w:rsidRPr="00BC7F9D" w:rsidRDefault="00B12ECE" w:rsidP="00BC7F9D">
            <w:pPr>
              <w:pStyle w:val="naisf"/>
              <w:spacing w:before="0" w:after="0"/>
              <w:rPr>
                <w:i/>
                <w:color w:val="000000" w:themeColor="text1"/>
                <w:sz w:val="20"/>
                <w:szCs w:val="20"/>
              </w:rPr>
            </w:pPr>
            <w:r w:rsidRPr="00BC7F9D">
              <w:rPr>
                <w:i/>
                <w:color w:val="000000" w:themeColor="text1"/>
                <w:sz w:val="20"/>
                <w:szCs w:val="20"/>
              </w:rPr>
              <w:t>20.01.00 „Valsts sociālie pabalsti”, t.sk.</w:t>
            </w:r>
            <w:r>
              <w:rPr>
                <w:i/>
                <w:color w:val="000000" w:themeColor="text1"/>
                <w:sz w:val="20"/>
                <w:szCs w:val="20"/>
              </w:rPr>
              <w:t xml:space="preserve"> vispārējā kārtībā sadalāmā dotācija no vispārējiem ieņēmumiem (EKK 21710)</w:t>
            </w:r>
          </w:p>
        </w:tc>
        <w:tc>
          <w:tcPr>
            <w:tcW w:w="1597"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Pr>
                <w:color w:val="000000" w:themeColor="text1"/>
                <w:sz w:val="20"/>
                <w:szCs w:val="20"/>
              </w:rPr>
              <w:t>95 344 184</w:t>
            </w:r>
          </w:p>
        </w:tc>
        <w:tc>
          <w:tcPr>
            <w:tcW w:w="1289"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330"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Pr>
                <w:color w:val="000000" w:themeColor="text1"/>
                <w:sz w:val="20"/>
                <w:szCs w:val="20"/>
              </w:rPr>
              <w:t>0</w:t>
            </w:r>
          </w:p>
        </w:tc>
        <w:tc>
          <w:tcPr>
            <w:tcW w:w="1258"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Pr>
                <w:color w:val="000000" w:themeColor="text1"/>
                <w:sz w:val="20"/>
                <w:szCs w:val="20"/>
              </w:rPr>
              <w:t>0</w:t>
            </w:r>
          </w:p>
        </w:tc>
        <w:tc>
          <w:tcPr>
            <w:tcW w:w="1214"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Pr>
                <w:color w:val="000000" w:themeColor="text1"/>
                <w:sz w:val="20"/>
                <w:szCs w:val="20"/>
              </w:rPr>
              <w:t>0</w:t>
            </w:r>
          </w:p>
        </w:tc>
      </w:tr>
      <w:tr w:rsidR="00B12ECE" w:rsidRPr="00645816" w:rsidTr="00442745">
        <w:tc>
          <w:tcPr>
            <w:tcW w:w="2634" w:type="dxa"/>
            <w:shd w:val="clear" w:color="auto" w:fill="auto"/>
          </w:tcPr>
          <w:p w:rsidR="00B12ECE" w:rsidRPr="00645816" w:rsidRDefault="00B12ECE" w:rsidP="00BC7F9D">
            <w:pPr>
              <w:pStyle w:val="naisf"/>
              <w:spacing w:before="0" w:after="0"/>
              <w:rPr>
                <w:i/>
                <w:color w:val="000000" w:themeColor="text1"/>
                <w:sz w:val="20"/>
                <w:szCs w:val="20"/>
              </w:rPr>
            </w:pPr>
            <w:r w:rsidRPr="00645816">
              <w:rPr>
                <w:color w:val="000000" w:themeColor="text1"/>
                <w:sz w:val="20"/>
                <w:szCs w:val="20"/>
              </w:rPr>
              <w:t>1.2. valsts speciālais budžets</w:t>
            </w:r>
          </w:p>
        </w:tc>
        <w:tc>
          <w:tcPr>
            <w:tcW w:w="1597"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289"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330"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258"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214"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sidRPr="00645816">
              <w:rPr>
                <w:color w:val="000000" w:themeColor="text1"/>
                <w:sz w:val="20"/>
                <w:szCs w:val="20"/>
              </w:rPr>
              <w:t>1.3. pašvaldību budžets</w:t>
            </w:r>
          </w:p>
        </w:tc>
        <w:tc>
          <w:tcPr>
            <w:tcW w:w="1597" w:type="dxa"/>
            <w:shd w:val="clear" w:color="auto" w:fill="auto"/>
            <w:vAlign w:val="center"/>
          </w:tcPr>
          <w:p w:rsidR="00B12ECE" w:rsidRPr="00645816" w:rsidRDefault="00B12ECE" w:rsidP="00BC7F9D">
            <w:pPr>
              <w:jc w:val="center"/>
              <w:rPr>
                <w:color w:val="000000" w:themeColor="text1"/>
                <w:sz w:val="20"/>
                <w:szCs w:val="20"/>
              </w:rPr>
            </w:pPr>
          </w:p>
        </w:tc>
        <w:tc>
          <w:tcPr>
            <w:tcW w:w="1289" w:type="dxa"/>
            <w:shd w:val="clear" w:color="auto" w:fill="auto"/>
            <w:vAlign w:val="center"/>
          </w:tcPr>
          <w:p w:rsidR="00B12ECE" w:rsidRPr="00645816" w:rsidRDefault="00B12ECE" w:rsidP="00BC7F9D">
            <w:pPr>
              <w:jc w:val="center"/>
              <w:rPr>
                <w:color w:val="000000" w:themeColor="text1"/>
                <w:sz w:val="20"/>
                <w:szCs w:val="20"/>
              </w:rPr>
            </w:pPr>
          </w:p>
        </w:tc>
        <w:tc>
          <w:tcPr>
            <w:tcW w:w="1330" w:type="dxa"/>
            <w:shd w:val="clear" w:color="auto" w:fill="auto"/>
            <w:vAlign w:val="center"/>
          </w:tcPr>
          <w:p w:rsidR="00B12ECE" w:rsidRPr="00645816" w:rsidRDefault="00B12ECE" w:rsidP="00BC7F9D">
            <w:pPr>
              <w:jc w:val="center"/>
              <w:rPr>
                <w:color w:val="000000" w:themeColor="text1"/>
                <w:sz w:val="20"/>
                <w:szCs w:val="20"/>
              </w:rPr>
            </w:pPr>
          </w:p>
        </w:tc>
        <w:tc>
          <w:tcPr>
            <w:tcW w:w="1258" w:type="dxa"/>
            <w:shd w:val="clear" w:color="auto" w:fill="auto"/>
            <w:vAlign w:val="center"/>
          </w:tcPr>
          <w:p w:rsidR="00B12ECE" w:rsidRPr="00645816" w:rsidRDefault="00B12ECE" w:rsidP="00BC7F9D">
            <w:pPr>
              <w:jc w:val="center"/>
              <w:rPr>
                <w:color w:val="000000" w:themeColor="text1"/>
                <w:sz w:val="20"/>
                <w:szCs w:val="20"/>
              </w:rPr>
            </w:pPr>
          </w:p>
        </w:tc>
        <w:tc>
          <w:tcPr>
            <w:tcW w:w="1214" w:type="dxa"/>
            <w:shd w:val="clear" w:color="auto" w:fill="auto"/>
            <w:vAlign w:val="center"/>
          </w:tcPr>
          <w:p w:rsidR="00B12ECE" w:rsidRPr="00645816" w:rsidRDefault="00B12ECE" w:rsidP="00BC7F9D">
            <w:pPr>
              <w:jc w:val="center"/>
              <w:rPr>
                <w:color w:val="000000" w:themeColor="text1"/>
                <w:sz w:val="20"/>
                <w:szCs w:val="20"/>
              </w:rPr>
            </w:pP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sidRPr="00645816">
              <w:rPr>
                <w:color w:val="000000" w:themeColor="text1"/>
                <w:sz w:val="20"/>
                <w:szCs w:val="20"/>
              </w:rPr>
              <w:t>2. Budžeta izdevumi:</w:t>
            </w:r>
          </w:p>
        </w:tc>
        <w:tc>
          <w:tcPr>
            <w:tcW w:w="1597" w:type="dxa"/>
            <w:shd w:val="clear" w:color="auto" w:fill="auto"/>
          </w:tcPr>
          <w:p w:rsidR="00B12ECE" w:rsidRDefault="00B12ECE" w:rsidP="00BC7F9D">
            <w:pPr>
              <w:rPr>
                <w:color w:val="000000" w:themeColor="text1"/>
                <w:sz w:val="20"/>
                <w:szCs w:val="20"/>
              </w:rPr>
            </w:pPr>
            <w:r>
              <w:rPr>
                <w:color w:val="000000" w:themeColor="text1"/>
                <w:sz w:val="20"/>
                <w:szCs w:val="20"/>
              </w:rPr>
              <w:t> </w:t>
            </w:r>
          </w:p>
          <w:p w:rsidR="00B12ECE" w:rsidRPr="00645816" w:rsidRDefault="00B12ECE" w:rsidP="00B12ECE">
            <w:pPr>
              <w:jc w:val="center"/>
              <w:rPr>
                <w:color w:val="000000" w:themeColor="text1"/>
                <w:sz w:val="20"/>
                <w:szCs w:val="20"/>
              </w:rPr>
            </w:pPr>
            <w:r>
              <w:rPr>
                <w:color w:val="000000" w:themeColor="text1"/>
                <w:sz w:val="20"/>
                <w:szCs w:val="20"/>
              </w:rPr>
              <w:t>95 344 184</w:t>
            </w:r>
          </w:p>
        </w:tc>
        <w:tc>
          <w:tcPr>
            <w:tcW w:w="1289" w:type="dxa"/>
            <w:shd w:val="clear" w:color="auto" w:fill="auto"/>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330"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+3 696 670</w:t>
            </w:r>
          </w:p>
        </w:tc>
        <w:tc>
          <w:tcPr>
            <w:tcW w:w="1258"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+3 700 000</w:t>
            </w:r>
          </w:p>
        </w:tc>
        <w:tc>
          <w:tcPr>
            <w:tcW w:w="1214"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+3 700 000</w:t>
            </w: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sidRPr="00645816">
              <w:rPr>
                <w:color w:val="000000" w:themeColor="text1"/>
                <w:sz w:val="20"/>
                <w:szCs w:val="20"/>
              </w:rPr>
              <w:t>2.1. valsts pamatbudžets</w:t>
            </w:r>
          </w:p>
        </w:tc>
        <w:tc>
          <w:tcPr>
            <w:tcW w:w="1597" w:type="dxa"/>
            <w:shd w:val="clear" w:color="auto" w:fill="auto"/>
            <w:vAlign w:val="center"/>
          </w:tcPr>
          <w:p w:rsidR="00B12ECE" w:rsidRPr="00645816" w:rsidRDefault="005B7477" w:rsidP="005B7477">
            <w:pPr>
              <w:jc w:val="center"/>
              <w:rPr>
                <w:color w:val="000000" w:themeColor="text1"/>
                <w:sz w:val="20"/>
                <w:szCs w:val="20"/>
              </w:rPr>
            </w:pPr>
            <w:r>
              <w:rPr>
                <w:color w:val="000000" w:themeColor="text1"/>
                <w:sz w:val="20"/>
                <w:szCs w:val="20"/>
              </w:rPr>
              <w:t>95 344 184</w:t>
            </w:r>
          </w:p>
        </w:tc>
        <w:tc>
          <w:tcPr>
            <w:tcW w:w="1289"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330"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+3 696 670</w:t>
            </w:r>
          </w:p>
        </w:tc>
        <w:tc>
          <w:tcPr>
            <w:tcW w:w="1258"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+3 700 000</w:t>
            </w:r>
          </w:p>
        </w:tc>
        <w:tc>
          <w:tcPr>
            <w:tcW w:w="1214"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+3 700 000</w:t>
            </w: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sidRPr="00F7541B">
              <w:rPr>
                <w:i/>
                <w:color w:val="000000" w:themeColor="text1"/>
                <w:sz w:val="20"/>
                <w:szCs w:val="20"/>
              </w:rPr>
              <w:t>20.01.00 „Valsts sociālie pabalsti”, t.sk.</w:t>
            </w:r>
            <w:r>
              <w:rPr>
                <w:i/>
                <w:color w:val="000000" w:themeColor="text1"/>
                <w:sz w:val="20"/>
                <w:szCs w:val="20"/>
              </w:rPr>
              <w:t xml:space="preserve"> vispārējā kārtībā sadalāmā dotācija no vispārējiem ieņēmumiem (EKK 21710), t.sk.</w:t>
            </w:r>
          </w:p>
        </w:tc>
        <w:tc>
          <w:tcPr>
            <w:tcW w:w="1597"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Pr>
                <w:color w:val="000000" w:themeColor="text1"/>
                <w:sz w:val="20"/>
                <w:szCs w:val="20"/>
              </w:rPr>
              <w:t>95 344 184</w:t>
            </w:r>
          </w:p>
        </w:tc>
        <w:tc>
          <w:tcPr>
            <w:tcW w:w="1289"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330"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Pr>
                <w:color w:val="000000" w:themeColor="text1"/>
                <w:sz w:val="20"/>
                <w:szCs w:val="20"/>
              </w:rPr>
              <w:t>+ 3 696 670</w:t>
            </w:r>
          </w:p>
        </w:tc>
        <w:tc>
          <w:tcPr>
            <w:tcW w:w="1258"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sidRPr="00645816">
              <w:rPr>
                <w:color w:val="000000" w:themeColor="text1"/>
                <w:sz w:val="20"/>
                <w:szCs w:val="20"/>
              </w:rPr>
              <w:t>+3 700 000</w:t>
            </w:r>
          </w:p>
        </w:tc>
        <w:tc>
          <w:tcPr>
            <w:tcW w:w="1214"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sidRPr="00645816">
              <w:rPr>
                <w:color w:val="000000" w:themeColor="text1"/>
                <w:sz w:val="20"/>
                <w:szCs w:val="20"/>
              </w:rPr>
              <w:t>+3 700 000</w:t>
            </w: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sidRPr="00F7541B">
              <w:rPr>
                <w:i/>
                <w:color w:val="000000" w:themeColor="text1"/>
                <w:sz w:val="20"/>
                <w:szCs w:val="20"/>
              </w:rPr>
              <w:t>valsts sociālā nodrošinājuma pabalsts</w:t>
            </w:r>
          </w:p>
        </w:tc>
        <w:tc>
          <w:tcPr>
            <w:tcW w:w="1597"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sidRPr="00B74442">
              <w:rPr>
                <w:color w:val="000000" w:themeColor="text1"/>
                <w:sz w:val="20"/>
                <w:szCs w:val="20"/>
              </w:rPr>
              <w:t>22 818 216</w:t>
            </w:r>
          </w:p>
        </w:tc>
        <w:tc>
          <w:tcPr>
            <w:tcW w:w="1289"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330"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Pr>
                <w:color w:val="000000" w:themeColor="text1"/>
                <w:sz w:val="20"/>
                <w:szCs w:val="20"/>
              </w:rPr>
              <w:t>+ 196 670</w:t>
            </w:r>
          </w:p>
        </w:tc>
        <w:tc>
          <w:tcPr>
            <w:tcW w:w="1258"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Pr>
                <w:color w:val="000000" w:themeColor="text1"/>
                <w:sz w:val="20"/>
                <w:szCs w:val="20"/>
              </w:rPr>
              <w:t>+ 200 000</w:t>
            </w:r>
          </w:p>
        </w:tc>
        <w:tc>
          <w:tcPr>
            <w:tcW w:w="1214"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Pr>
                <w:color w:val="000000" w:themeColor="text1"/>
                <w:sz w:val="20"/>
                <w:szCs w:val="20"/>
              </w:rPr>
              <w:t>+ 200 000</w:t>
            </w: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Pr>
                <w:i/>
                <w:color w:val="000000" w:themeColor="text1"/>
                <w:sz w:val="20"/>
                <w:szCs w:val="20"/>
              </w:rPr>
              <w:t>ģimenes valsts pabalsts</w:t>
            </w:r>
          </w:p>
        </w:tc>
        <w:tc>
          <w:tcPr>
            <w:tcW w:w="1597"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sidRPr="00B74442">
              <w:rPr>
                <w:color w:val="000000" w:themeColor="text1"/>
                <w:sz w:val="20"/>
                <w:szCs w:val="20"/>
              </w:rPr>
              <w:t>72 525 968</w:t>
            </w:r>
          </w:p>
        </w:tc>
        <w:tc>
          <w:tcPr>
            <w:tcW w:w="1289"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330"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Pr>
                <w:color w:val="000000" w:themeColor="text1"/>
                <w:sz w:val="20"/>
                <w:szCs w:val="20"/>
              </w:rPr>
              <w:t>+ 3 500 000</w:t>
            </w:r>
          </w:p>
        </w:tc>
        <w:tc>
          <w:tcPr>
            <w:tcW w:w="1258"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Pr>
                <w:color w:val="000000" w:themeColor="text1"/>
                <w:sz w:val="20"/>
                <w:szCs w:val="20"/>
              </w:rPr>
              <w:t>+ 3 500 000</w:t>
            </w:r>
          </w:p>
        </w:tc>
        <w:tc>
          <w:tcPr>
            <w:tcW w:w="1214"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r>
              <w:rPr>
                <w:color w:val="000000" w:themeColor="text1"/>
                <w:sz w:val="20"/>
                <w:szCs w:val="20"/>
              </w:rPr>
              <w:t>+ 3 500 000</w:t>
            </w: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sidRPr="00645816">
              <w:rPr>
                <w:color w:val="000000" w:themeColor="text1"/>
                <w:sz w:val="20"/>
                <w:szCs w:val="20"/>
              </w:rPr>
              <w:t>2.2. valsts speciālais budžets</w:t>
            </w:r>
          </w:p>
        </w:tc>
        <w:tc>
          <w:tcPr>
            <w:tcW w:w="1597"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289"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330"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258"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214"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sidRPr="00645816">
              <w:rPr>
                <w:color w:val="000000" w:themeColor="text1"/>
                <w:sz w:val="20"/>
                <w:szCs w:val="20"/>
              </w:rPr>
              <w:t xml:space="preserve">2.3. pašvaldību budžets </w:t>
            </w:r>
          </w:p>
        </w:tc>
        <w:tc>
          <w:tcPr>
            <w:tcW w:w="1597" w:type="dxa"/>
            <w:shd w:val="clear" w:color="auto" w:fill="auto"/>
            <w:vAlign w:val="center"/>
          </w:tcPr>
          <w:p w:rsidR="00B12ECE" w:rsidRPr="00645816" w:rsidRDefault="00B12ECE" w:rsidP="00BC7F9D">
            <w:pPr>
              <w:jc w:val="center"/>
              <w:rPr>
                <w:color w:val="000000" w:themeColor="text1"/>
                <w:sz w:val="20"/>
                <w:szCs w:val="20"/>
              </w:rPr>
            </w:pPr>
          </w:p>
        </w:tc>
        <w:tc>
          <w:tcPr>
            <w:tcW w:w="1289" w:type="dxa"/>
            <w:shd w:val="clear" w:color="auto" w:fill="auto"/>
            <w:vAlign w:val="center"/>
          </w:tcPr>
          <w:p w:rsidR="00B12ECE" w:rsidRPr="00645816" w:rsidRDefault="00B12ECE" w:rsidP="00BC7F9D">
            <w:pPr>
              <w:jc w:val="center"/>
              <w:rPr>
                <w:color w:val="000000" w:themeColor="text1"/>
                <w:sz w:val="20"/>
                <w:szCs w:val="20"/>
              </w:rPr>
            </w:pPr>
          </w:p>
        </w:tc>
        <w:tc>
          <w:tcPr>
            <w:tcW w:w="1330" w:type="dxa"/>
            <w:shd w:val="clear" w:color="auto" w:fill="auto"/>
            <w:vAlign w:val="center"/>
          </w:tcPr>
          <w:p w:rsidR="00B12ECE" w:rsidRPr="00645816" w:rsidRDefault="00B12ECE" w:rsidP="00BC7F9D">
            <w:pPr>
              <w:jc w:val="center"/>
              <w:rPr>
                <w:color w:val="000000" w:themeColor="text1"/>
                <w:sz w:val="20"/>
                <w:szCs w:val="20"/>
              </w:rPr>
            </w:pPr>
          </w:p>
        </w:tc>
        <w:tc>
          <w:tcPr>
            <w:tcW w:w="1258" w:type="dxa"/>
            <w:shd w:val="clear" w:color="auto" w:fill="auto"/>
            <w:vAlign w:val="center"/>
          </w:tcPr>
          <w:p w:rsidR="00B12ECE" w:rsidRPr="00645816" w:rsidRDefault="00B12ECE" w:rsidP="00BC7F9D">
            <w:pPr>
              <w:jc w:val="center"/>
              <w:rPr>
                <w:color w:val="000000" w:themeColor="text1"/>
                <w:sz w:val="20"/>
                <w:szCs w:val="20"/>
              </w:rPr>
            </w:pPr>
          </w:p>
        </w:tc>
        <w:tc>
          <w:tcPr>
            <w:tcW w:w="1214" w:type="dxa"/>
            <w:shd w:val="clear" w:color="auto" w:fill="auto"/>
            <w:vAlign w:val="center"/>
          </w:tcPr>
          <w:p w:rsidR="00B12ECE" w:rsidRPr="00645816" w:rsidRDefault="00B12ECE" w:rsidP="00BC7F9D">
            <w:pPr>
              <w:jc w:val="center"/>
              <w:rPr>
                <w:color w:val="000000" w:themeColor="text1"/>
                <w:sz w:val="20"/>
                <w:szCs w:val="20"/>
              </w:rPr>
            </w:pP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sidRPr="00645816">
              <w:rPr>
                <w:color w:val="000000" w:themeColor="text1"/>
                <w:sz w:val="20"/>
                <w:szCs w:val="20"/>
              </w:rPr>
              <w:t>3. Finansiālā ietekme:</w:t>
            </w:r>
          </w:p>
        </w:tc>
        <w:tc>
          <w:tcPr>
            <w:tcW w:w="1597" w:type="dxa"/>
            <w:shd w:val="clear" w:color="auto" w:fill="auto"/>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289" w:type="dxa"/>
            <w:shd w:val="clear" w:color="auto" w:fill="auto"/>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330"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-3 696 670</w:t>
            </w:r>
          </w:p>
        </w:tc>
        <w:tc>
          <w:tcPr>
            <w:tcW w:w="1258"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-3 700 000</w:t>
            </w:r>
          </w:p>
        </w:tc>
        <w:tc>
          <w:tcPr>
            <w:tcW w:w="1214"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-3 700 000</w:t>
            </w:r>
          </w:p>
        </w:tc>
      </w:tr>
      <w:tr w:rsidR="00B12ECE" w:rsidRPr="00645816" w:rsidTr="00442745">
        <w:tc>
          <w:tcPr>
            <w:tcW w:w="2634" w:type="dxa"/>
            <w:shd w:val="clear" w:color="auto" w:fill="auto"/>
          </w:tcPr>
          <w:p w:rsidR="00B12ECE" w:rsidRPr="00645816" w:rsidRDefault="00B12ECE" w:rsidP="00BC7F9D">
            <w:pPr>
              <w:jc w:val="both"/>
              <w:rPr>
                <w:color w:val="000000" w:themeColor="text1"/>
                <w:sz w:val="20"/>
                <w:szCs w:val="20"/>
              </w:rPr>
            </w:pPr>
            <w:r w:rsidRPr="00645816">
              <w:rPr>
                <w:color w:val="000000" w:themeColor="text1"/>
                <w:sz w:val="20"/>
                <w:szCs w:val="20"/>
              </w:rPr>
              <w:t>3.1. valsts pamatbudžets</w:t>
            </w:r>
          </w:p>
        </w:tc>
        <w:tc>
          <w:tcPr>
            <w:tcW w:w="1597" w:type="dxa"/>
            <w:shd w:val="clear" w:color="auto" w:fill="auto"/>
            <w:vAlign w:val="center"/>
          </w:tcPr>
          <w:p w:rsidR="00B12ECE" w:rsidRPr="00C07B1A" w:rsidRDefault="00B12ECE" w:rsidP="00BC7F9D">
            <w:pPr>
              <w:pStyle w:val="naisf"/>
              <w:spacing w:before="0" w:after="0"/>
              <w:jc w:val="center"/>
              <w:rPr>
                <w:color w:val="000000" w:themeColor="text1"/>
                <w:sz w:val="20"/>
                <w:szCs w:val="20"/>
              </w:rPr>
            </w:pPr>
            <w:r w:rsidRPr="00C07B1A">
              <w:rPr>
                <w:color w:val="000000" w:themeColor="text1"/>
                <w:sz w:val="20"/>
                <w:szCs w:val="20"/>
              </w:rPr>
              <w:t>0</w:t>
            </w:r>
          </w:p>
        </w:tc>
        <w:tc>
          <w:tcPr>
            <w:tcW w:w="1289" w:type="dxa"/>
            <w:shd w:val="clear" w:color="auto" w:fill="auto"/>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330"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-3 696 670</w:t>
            </w:r>
          </w:p>
        </w:tc>
        <w:tc>
          <w:tcPr>
            <w:tcW w:w="1258"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-3 700 000</w:t>
            </w:r>
          </w:p>
        </w:tc>
        <w:tc>
          <w:tcPr>
            <w:tcW w:w="1214"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-3 700 000</w:t>
            </w:r>
          </w:p>
        </w:tc>
      </w:tr>
      <w:tr w:rsidR="00B12ECE" w:rsidRPr="00645816" w:rsidTr="00442745">
        <w:tc>
          <w:tcPr>
            <w:tcW w:w="2634" w:type="dxa"/>
            <w:shd w:val="clear" w:color="auto" w:fill="auto"/>
          </w:tcPr>
          <w:p w:rsidR="00B12ECE" w:rsidRPr="00645816" w:rsidRDefault="00B12ECE" w:rsidP="00BC7F9D">
            <w:pPr>
              <w:jc w:val="both"/>
              <w:rPr>
                <w:color w:val="000000" w:themeColor="text1"/>
                <w:sz w:val="20"/>
                <w:szCs w:val="20"/>
              </w:rPr>
            </w:pPr>
            <w:r w:rsidRPr="00645816">
              <w:rPr>
                <w:color w:val="000000" w:themeColor="text1"/>
                <w:sz w:val="20"/>
                <w:szCs w:val="20"/>
              </w:rPr>
              <w:t>3.2. speciālais budžets</w:t>
            </w:r>
          </w:p>
        </w:tc>
        <w:tc>
          <w:tcPr>
            <w:tcW w:w="1597"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289" w:type="dxa"/>
            <w:shd w:val="clear" w:color="auto" w:fill="auto"/>
            <w:vAlign w:val="center"/>
          </w:tcPr>
          <w:p w:rsidR="00B12ECE" w:rsidRPr="00645816" w:rsidRDefault="00B12ECE" w:rsidP="00BC7F9D">
            <w:pPr>
              <w:pStyle w:val="naisf"/>
              <w:spacing w:before="0" w:after="0"/>
              <w:jc w:val="center"/>
              <w:rPr>
                <w:b/>
                <w:i/>
                <w:color w:val="000000" w:themeColor="text1"/>
                <w:sz w:val="20"/>
                <w:szCs w:val="20"/>
              </w:rPr>
            </w:pPr>
          </w:p>
        </w:tc>
        <w:tc>
          <w:tcPr>
            <w:tcW w:w="1330"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258"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c>
          <w:tcPr>
            <w:tcW w:w="1214" w:type="dxa"/>
            <w:shd w:val="clear" w:color="auto" w:fill="auto"/>
            <w:vAlign w:val="center"/>
          </w:tcPr>
          <w:p w:rsidR="00B12ECE" w:rsidRPr="00645816" w:rsidRDefault="00B12ECE" w:rsidP="00BC7F9D">
            <w:pPr>
              <w:pStyle w:val="naisf"/>
              <w:spacing w:before="0" w:after="0"/>
              <w:jc w:val="center"/>
              <w:rPr>
                <w:color w:val="000000" w:themeColor="text1"/>
                <w:sz w:val="20"/>
                <w:szCs w:val="20"/>
              </w:rPr>
            </w:pPr>
          </w:p>
        </w:tc>
      </w:tr>
      <w:tr w:rsidR="00B12ECE" w:rsidRPr="00645816" w:rsidTr="00442745">
        <w:tc>
          <w:tcPr>
            <w:tcW w:w="2634" w:type="dxa"/>
            <w:shd w:val="clear" w:color="auto" w:fill="auto"/>
          </w:tcPr>
          <w:p w:rsidR="00B12ECE" w:rsidRPr="00645816" w:rsidRDefault="00B12ECE" w:rsidP="00BC7F9D">
            <w:pPr>
              <w:jc w:val="both"/>
              <w:rPr>
                <w:color w:val="000000" w:themeColor="text1"/>
                <w:sz w:val="20"/>
                <w:szCs w:val="20"/>
              </w:rPr>
            </w:pPr>
            <w:r w:rsidRPr="00645816">
              <w:rPr>
                <w:color w:val="000000" w:themeColor="text1"/>
                <w:sz w:val="20"/>
                <w:szCs w:val="20"/>
              </w:rPr>
              <w:t xml:space="preserve">3.3. pašvaldību budžets </w:t>
            </w:r>
          </w:p>
        </w:tc>
        <w:tc>
          <w:tcPr>
            <w:tcW w:w="1597" w:type="dxa"/>
            <w:shd w:val="clear" w:color="auto" w:fill="auto"/>
            <w:vAlign w:val="center"/>
          </w:tcPr>
          <w:p w:rsidR="00B12ECE" w:rsidRPr="00645816" w:rsidRDefault="00B12ECE" w:rsidP="00BC7F9D">
            <w:pPr>
              <w:pStyle w:val="naisf"/>
              <w:spacing w:before="0" w:after="0"/>
              <w:jc w:val="center"/>
              <w:rPr>
                <w:b/>
                <w:i/>
                <w:color w:val="000000" w:themeColor="text1"/>
                <w:sz w:val="20"/>
                <w:szCs w:val="20"/>
              </w:rPr>
            </w:pPr>
          </w:p>
        </w:tc>
        <w:tc>
          <w:tcPr>
            <w:tcW w:w="1289" w:type="dxa"/>
            <w:shd w:val="clear" w:color="auto" w:fill="auto"/>
            <w:vAlign w:val="center"/>
          </w:tcPr>
          <w:p w:rsidR="00B12ECE" w:rsidRPr="00645816" w:rsidRDefault="00B12ECE" w:rsidP="00BC7F9D">
            <w:pPr>
              <w:pStyle w:val="naisf"/>
              <w:spacing w:before="0" w:after="0"/>
              <w:jc w:val="center"/>
              <w:rPr>
                <w:b/>
                <w:i/>
                <w:color w:val="000000" w:themeColor="text1"/>
                <w:sz w:val="20"/>
                <w:szCs w:val="20"/>
              </w:rPr>
            </w:pPr>
          </w:p>
        </w:tc>
        <w:tc>
          <w:tcPr>
            <w:tcW w:w="1330" w:type="dxa"/>
            <w:shd w:val="clear" w:color="auto" w:fill="auto"/>
            <w:vAlign w:val="center"/>
          </w:tcPr>
          <w:p w:rsidR="00B12ECE" w:rsidRPr="00645816" w:rsidRDefault="00B12ECE" w:rsidP="00BC7F9D">
            <w:pPr>
              <w:pStyle w:val="naisf"/>
              <w:spacing w:before="0" w:after="0"/>
              <w:jc w:val="center"/>
              <w:rPr>
                <w:b/>
                <w:i/>
                <w:color w:val="000000" w:themeColor="text1"/>
                <w:sz w:val="20"/>
                <w:szCs w:val="20"/>
              </w:rPr>
            </w:pPr>
          </w:p>
        </w:tc>
        <w:tc>
          <w:tcPr>
            <w:tcW w:w="1258" w:type="dxa"/>
            <w:shd w:val="clear" w:color="auto" w:fill="auto"/>
            <w:vAlign w:val="center"/>
          </w:tcPr>
          <w:p w:rsidR="00B12ECE" w:rsidRPr="00645816" w:rsidRDefault="00B12ECE" w:rsidP="00BC7F9D">
            <w:pPr>
              <w:pStyle w:val="naisf"/>
              <w:spacing w:before="0" w:after="0"/>
              <w:jc w:val="center"/>
              <w:rPr>
                <w:b/>
                <w:i/>
                <w:color w:val="000000" w:themeColor="text1"/>
                <w:sz w:val="20"/>
                <w:szCs w:val="20"/>
              </w:rPr>
            </w:pPr>
          </w:p>
        </w:tc>
        <w:tc>
          <w:tcPr>
            <w:tcW w:w="1214" w:type="dxa"/>
            <w:shd w:val="clear" w:color="auto" w:fill="auto"/>
            <w:vAlign w:val="center"/>
          </w:tcPr>
          <w:p w:rsidR="00B12ECE" w:rsidRPr="00645816" w:rsidRDefault="00B12ECE" w:rsidP="00BC7F9D">
            <w:pPr>
              <w:pStyle w:val="naisf"/>
              <w:spacing w:before="0" w:after="0"/>
              <w:jc w:val="center"/>
              <w:rPr>
                <w:b/>
                <w:i/>
                <w:color w:val="000000" w:themeColor="text1"/>
                <w:sz w:val="20"/>
                <w:szCs w:val="20"/>
              </w:rPr>
            </w:pP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sidRPr="00645816">
              <w:rPr>
                <w:color w:val="000000" w:themeColor="text1"/>
                <w:sz w:val="20"/>
                <w:szCs w:val="20"/>
              </w:rPr>
              <w:t>4. Finanšu līdzekļi papildu izdevumu finansēšanai (kompensējošu izdevumu samazinājumu norāda ar "+" zīmi)</w:t>
            </w:r>
            <w:r>
              <w:rPr>
                <w:color w:val="000000" w:themeColor="text1"/>
                <w:sz w:val="20"/>
                <w:szCs w:val="20"/>
              </w:rPr>
              <w:t>*</w:t>
            </w:r>
          </w:p>
        </w:tc>
        <w:tc>
          <w:tcPr>
            <w:tcW w:w="1597" w:type="dxa"/>
            <w:shd w:val="clear" w:color="auto" w:fill="auto"/>
            <w:vAlign w:val="center"/>
          </w:tcPr>
          <w:p w:rsidR="00B12ECE" w:rsidRPr="00645816" w:rsidRDefault="00B12ECE" w:rsidP="00BC7F9D">
            <w:pPr>
              <w:jc w:val="center"/>
              <w:rPr>
                <w:b/>
                <w:color w:val="000000" w:themeColor="text1"/>
                <w:sz w:val="20"/>
                <w:szCs w:val="20"/>
              </w:rPr>
            </w:pPr>
            <w:r w:rsidRPr="00645816">
              <w:rPr>
                <w:b/>
                <w:color w:val="000000" w:themeColor="text1"/>
                <w:sz w:val="20"/>
                <w:szCs w:val="20"/>
              </w:rPr>
              <w:t>x</w:t>
            </w:r>
          </w:p>
        </w:tc>
        <w:tc>
          <w:tcPr>
            <w:tcW w:w="1289"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330" w:type="dxa"/>
            <w:shd w:val="clear" w:color="auto" w:fill="auto"/>
            <w:vAlign w:val="center"/>
          </w:tcPr>
          <w:p w:rsidR="00B12ECE" w:rsidRPr="00645816" w:rsidRDefault="00B12ECE" w:rsidP="00BC7F9D">
            <w:pPr>
              <w:jc w:val="center"/>
              <w:rPr>
                <w:color w:val="000000" w:themeColor="text1"/>
                <w:sz w:val="20"/>
                <w:szCs w:val="20"/>
              </w:rPr>
            </w:pPr>
          </w:p>
        </w:tc>
        <w:tc>
          <w:tcPr>
            <w:tcW w:w="1258" w:type="dxa"/>
            <w:shd w:val="clear" w:color="auto" w:fill="auto"/>
            <w:vAlign w:val="center"/>
          </w:tcPr>
          <w:p w:rsidR="00B12ECE" w:rsidRPr="00645816" w:rsidRDefault="00B12ECE" w:rsidP="00BC7F9D">
            <w:pPr>
              <w:jc w:val="center"/>
              <w:rPr>
                <w:color w:val="000000" w:themeColor="text1"/>
                <w:sz w:val="20"/>
                <w:szCs w:val="20"/>
              </w:rPr>
            </w:pPr>
          </w:p>
        </w:tc>
        <w:tc>
          <w:tcPr>
            <w:tcW w:w="1214" w:type="dxa"/>
            <w:shd w:val="clear" w:color="auto" w:fill="auto"/>
            <w:vAlign w:val="center"/>
          </w:tcPr>
          <w:p w:rsidR="00B12ECE" w:rsidRPr="00645816" w:rsidRDefault="00B12ECE" w:rsidP="00BC7F9D">
            <w:pPr>
              <w:jc w:val="center"/>
              <w:rPr>
                <w:color w:val="000000" w:themeColor="text1"/>
                <w:sz w:val="20"/>
                <w:szCs w:val="20"/>
              </w:rPr>
            </w:pPr>
          </w:p>
        </w:tc>
      </w:tr>
      <w:tr w:rsidR="00B12ECE" w:rsidRPr="00645816" w:rsidTr="00442745">
        <w:tc>
          <w:tcPr>
            <w:tcW w:w="2634" w:type="dxa"/>
            <w:shd w:val="clear" w:color="auto" w:fill="auto"/>
          </w:tcPr>
          <w:p w:rsidR="00B12ECE" w:rsidRPr="00645816" w:rsidRDefault="00B12ECE" w:rsidP="00BC7F9D">
            <w:pPr>
              <w:rPr>
                <w:color w:val="000000" w:themeColor="text1"/>
                <w:sz w:val="20"/>
                <w:szCs w:val="20"/>
              </w:rPr>
            </w:pPr>
            <w:r w:rsidRPr="00645816">
              <w:rPr>
                <w:color w:val="000000" w:themeColor="text1"/>
                <w:sz w:val="20"/>
                <w:szCs w:val="20"/>
              </w:rPr>
              <w:t>5. Precizēta finansiālā ietekme:</w:t>
            </w:r>
          </w:p>
        </w:tc>
        <w:tc>
          <w:tcPr>
            <w:tcW w:w="1597" w:type="dxa"/>
            <w:vMerge w:val="restart"/>
            <w:shd w:val="clear" w:color="auto" w:fill="auto"/>
            <w:vAlign w:val="center"/>
          </w:tcPr>
          <w:p w:rsidR="00B12ECE" w:rsidRPr="00645816" w:rsidRDefault="00B12ECE" w:rsidP="00BC7F9D">
            <w:pPr>
              <w:jc w:val="center"/>
              <w:rPr>
                <w:color w:val="000000" w:themeColor="text1"/>
                <w:sz w:val="20"/>
                <w:szCs w:val="20"/>
              </w:rPr>
            </w:pPr>
            <w:r w:rsidRPr="00645816">
              <w:rPr>
                <w:b/>
                <w:color w:val="000000" w:themeColor="text1"/>
                <w:sz w:val="20"/>
                <w:szCs w:val="20"/>
              </w:rPr>
              <w:t>x</w:t>
            </w:r>
          </w:p>
        </w:tc>
        <w:tc>
          <w:tcPr>
            <w:tcW w:w="1289"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330"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258"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214"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r>
      <w:tr w:rsidR="00B12ECE" w:rsidRPr="00645816" w:rsidTr="00442745">
        <w:tc>
          <w:tcPr>
            <w:tcW w:w="2634" w:type="dxa"/>
            <w:shd w:val="clear" w:color="auto" w:fill="auto"/>
          </w:tcPr>
          <w:p w:rsidR="00B12ECE" w:rsidRPr="00645816" w:rsidRDefault="00B12ECE" w:rsidP="00BC7F9D">
            <w:pPr>
              <w:jc w:val="both"/>
              <w:rPr>
                <w:color w:val="000000" w:themeColor="text1"/>
                <w:sz w:val="20"/>
                <w:szCs w:val="20"/>
              </w:rPr>
            </w:pPr>
            <w:r w:rsidRPr="00645816">
              <w:rPr>
                <w:color w:val="000000" w:themeColor="text1"/>
                <w:sz w:val="20"/>
                <w:szCs w:val="20"/>
              </w:rPr>
              <w:t>5.1. valsts pamatbudžets</w:t>
            </w:r>
          </w:p>
        </w:tc>
        <w:tc>
          <w:tcPr>
            <w:tcW w:w="1597" w:type="dxa"/>
            <w:vMerge/>
            <w:shd w:val="clear" w:color="auto" w:fill="auto"/>
          </w:tcPr>
          <w:p w:rsidR="00B12ECE" w:rsidRPr="00645816" w:rsidRDefault="00B12ECE" w:rsidP="00BC7F9D">
            <w:pPr>
              <w:jc w:val="center"/>
              <w:rPr>
                <w:color w:val="000000" w:themeColor="text1"/>
                <w:sz w:val="20"/>
                <w:szCs w:val="20"/>
              </w:rPr>
            </w:pPr>
          </w:p>
        </w:tc>
        <w:tc>
          <w:tcPr>
            <w:tcW w:w="1289"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330"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258"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c>
          <w:tcPr>
            <w:tcW w:w="1214" w:type="dxa"/>
            <w:shd w:val="clear" w:color="auto" w:fill="auto"/>
            <w:vAlign w:val="center"/>
          </w:tcPr>
          <w:p w:rsidR="00B12ECE" w:rsidRPr="00645816" w:rsidRDefault="00B12ECE" w:rsidP="00BC7F9D">
            <w:pPr>
              <w:jc w:val="center"/>
              <w:rPr>
                <w:color w:val="000000" w:themeColor="text1"/>
                <w:sz w:val="20"/>
                <w:szCs w:val="20"/>
              </w:rPr>
            </w:pPr>
            <w:r w:rsidRPr="00645816">
              <w:rPr>
                <w:color w:val="000000" w:themeColor="text1"/>
                <w:sz w:val="20"/>
                <w:szCs w:val="20"/>
              </w:rPr>
              <w:t>0</w:t>
            </w:r>
          </w:p>
        </w:tc>
      </w:tr>
      <w:tr w:rsidR="00B12ECE" w:rsidRPr="00645816" w:rsidTr="00442745">
        <w:tc>
          <w:tcPr>
            <w:tcW w:w="2634" w:type="dxa"/>
            <w:shd w:val="clear" w:color="auto" w:fill="auto"/>
          </w:tcPr>
          <w:p w:rsidR="00B12ECE" w:rsidRPr="00645816" w:rsidRDefault="00B12ECE" w:rsidP="00BC7F9D">
            <w:pPr>
              <w:jc w:val="both"/>
              <w:rPr>
                <w:color w:val="000000" w:themeColor="text1"/>
                <w:sz w:val="20"/>
                <w:szCs w:val="20"/>
              </w:rPr>
            </w:pPr>
            <w:r w:rsidRPr="00645816">
              <w:rPr>
                <w:color w:val="000000" w:themeColor="text1"/>
                <w:sz w:val="20"/>
                <w:szCs w:val="20"/>
              </w:rPr>
              <w:t>5.2. speciālais budžets</w:t>
            </w:r>
          </w:p>
        </w:tc>
        <w:tc>
          <w:tcPr>
            <w:tcW w:w="1597" w:type="dxa"/>
            <w:vMerge/>
            <w:shd w:val="clear" w:color="auto" w:fill="auto"/>
          </w:tcPr>
          <w:p w:rsidR="00B12ECE" w:rsidRPr="00645816" w:rsidRDefault="00B12ECE" w:rsidP="00BC7F9D">
            <w:pPr>
              <w:jc w:val="center"/>
              <w:rPr>
                <w:color w:val="000000" w:themeColor="text1"/>
                <w:sz w:val="20"/>
                <w:szCs w:val="20"/>
              </w:rPr>
            </w:pPr>
          </w:p>
        </w:tc>
        <w:tc>
          <w:tcPr>
            <w:tcW w:w="1289" w:type="dxa"/>
            <w:shd w:val="clear" w:color="auto" w:fill="auto"/>
            <w:vAlign w:val="center"/>
          </w:tcPr>
          <w:p w:rsidR="00B12ECE" w:rsidRPr="00645816" w:rsidRDefault="00B12ECE" w:rsidP="00BC7F9D">
            <w:pPr>
              <w:jc w:val="center"/>
              <w:rPr>
                <w:color w:val="000000" w:themeColor="text1"/>
                <w:sz w:val="20"/>
                <w:szCs w:val="20"/>
              </w:rPr>
            </w:pPr>
          </w:p>
        </w:tc>
        <w:tc>
          <w:tcPr>
            <w:tcW w:w="1330" w:type="dxa"/>
            <w:shd w:val="clear" w:color="auto" w:fill="auto"/>
            <w:vAlign w:val="center"/>
          </w:tcPr>
          <w:p w:rsidR="00B12ECE" w:rsidRPr="00645816" w:rsidRDefault="00B12ECE" w:rsidP="00BC7F9D">
            <w:pPr>
              <w:jc w:val="center"/>
              <w:rPr>
                <w:color w:val="000000" w:themeColor="text1"/>
                <w:sz w:val="20"/>
                <w:szCs w:val="20"/>
              </w:rPr>
            </w:pPr>
          </w:p>
        </w:tc>
        <w:tc>
          <w:tcPr>
            <w:tcW w:w="1258" w:type="dxa"/>
            <w:shd w:val="clear" w:color="auto" w:fill="auto"/>
            <w:vAlign w:val="center"/>
          </w:tcPr>
          <w:p w:rsidR="00B12ECE" w:rsidRPr="00645816" w:rsidRDefault="00B12ECE" w:rsidP="00BC7F9D">
            <w:pPr>
              <w:jc w:val="center"/>
              <w:rPr>
                <w:color w:val="000000" w:themeColor="text1"/>
                <w:sz w:val="20"/>
                <w:szCs w:val="20"/>
              </w:rPr>
            </w:pPr>
          </w:p>
        </w:tc>
        <w:tc>
          <w:tcPr>
            <w:tcW w:w="1214" w:type="dxa"/>
            <w:shd w:val="clear" w:color="auto" w:fill="auto"/>
            <w:vAlign w:val="center"/>
          </w:tcPr>
          <w:p w:rsidR="00B12ECE" w:rsidRPr="00645816" w:rsidRDefault="00B12ECE" w:rsidP="00BC7F9D">
            <w:pPr>
              <w:jc w:val="center"/>
              <w:rPr>
                <w:color w:val="000000" w:themeColor="text1"/>
                <w:sz w:val="20"/>
                <w:szCs w:val="20"/>
              </w:rPr>
            </w:pPr>
          </w:p>
        </w:tc>
      </w:tr>
      <w:tr w:rsidR="00B12ECE" w:rsidRPr="00645816" w:rsidTr="00442745">
        <w:tc>
          <w:tcPr>
            <w:tcW w:w="2634" w:type="dxa"/>
            <w:shd w:val="clear" w:color="auto" w:fill="auto"/>
          </w:tcPr>
          <w:p w:rsidR="00B12ECE" w:rsidRPr="00645816" w:rsidRDefault="00B12ECE" w:rsidP="00BC7F9D">
            <w:pPr>
              <w:jc w:val="both"/>
              <w:rPr>
                <w:color w:val="000000" w:themeColor="text1"/>
                <w:sz w:val="20"/>
                <w:szCs w:val="20"/>
              </w:rPr>
            </w:pPr>
            <w:r w:rsidRPr="00645816">
              <w:rPr>
                <w:color w:val="000000" w:themeColor="text1"/>
                <w:sz w:val="20"/>
                <w:szCs w:val="20"/>
              </w:rPr>
              <w:lastRenderedPageBreak/>
              <w:t xml:space="preserve">5.3. pašvaldību budžets </w:t>
            </w:r>
          </w:p>
        </w:tc>
        <w:tc>
          <w:tcPr>
            <w:tcW w:w="1597" w:type="dxa"/>
            <w:vMerge/>
            <w:shd w:val="clear" w:color="auto" w:fill="auto"/>
          </w:tcPr>
          <w:p w:rsidR="00B12ECE" w:rsidRPr="00645816" w:rsidRDefault="00B12ECE" w:rsidP="00BC7F9D">
            <w:pPr>
              <w:jc w:val="center"/>
              <w:rPr>
                <w:color w:val="000000" w:themeColor="text1"/>
                <w:sz w:val="20"/>
                <w:szCs w:val="20"/>
              </w:rPr>
            </w:pPr>
          </w:p>
        </w:tc>
        <w:tc>
          <w:tcPr>
            <w:tcW w:w="1289" w:type="dxa"/>
            <w:shd w:val="clear" w:color="auto" w:fill="auto"/>
            <w:vAlign w:val="center"/>
          </w:tcPr>
          <w:p w:rsidR="00B12ECE" w:rsidRPr="00645816" w:rsidRDefault="00B12ECE" w:rsidP="00BC7F9D">
            <w:pPr>
              <w:jc w:val="center"/>
              <w:rPr>
                <w:color w:val="000000" w:themeColor="text1"/>
                <w:sz w:val="20"/>
                <w:szCs w:val="20"/>
              </w:rPr>
            </w:pPr>
          </w:p>
        </w:tc>
        <w:tc>
          <w:tcPr>
            <w:tcW w:w="1330" w:type="dxa"/>
            <w:shd w:val="clear" w:color="auto" w:fill="auto"/>
            <w:vAlign w:val="center"/>
          </w:tcPr>
          <w:p w:rsidR="00B12ECE" w:rsidRPr="00645816" w:rsidRDefault="00B12ECE" w:rsidP="00BC7F9D">
            <w:pPr>
              <w:jc w:val="center"/>
              <w:rPr>
                <w:color w:val="000000" w:themeColor="text1"/>
                <w:sz w:val="20"/>
                <w:szCs w:val="20"/>
              </w:rPr>
            </w:pPr>
          </w:p>
        </w:tc>
        <w:tc>
          <w:tcPr>
            <w:tcW w:w="1258" w:type="dxa"/>
            <w:shd w:val="clear" w:color="auto" w:fill="auto"/>
            <w:vAlign w:val="center"/>
          </w:tcPr>
          <w:p w:rsidR="00B12ECE" w:rsidRPr="00645816" w:rsidRDefault="00B12ECE" w:rsidP="00BC7F9D">
            <w:pPr>
              <w:jc w:val="center"/>
              <w:rPr>
                <w:color w:val="000000" w:themeColor="text1"/>
                <w:sz w:val="20"/>
                <w:szCs w:val="20"/>
              </w:rPr>
            </w:pPr>
          </w:p>
        </w:tc>
        <w:tc>
          <w:tcPr>
            <w:tcW w:w="1214" w:type="dxa"/>
            <w:shd w:val="clear" w:color="auto" w:fill="auto"/>
            <w:vAlign w:val="center"/>
          </w:tcPr>
          <w:p w:rsidR="00B12ECE" w:rsidRPr="00645816" w:rsidRDefault="00B12ECE" w:rsidP="00BC7F9D">
            <w:pPr>
              <w:jc w:val="center"/>
              <w:rPr>
                <w:color w:val="000000" w:themeColor="text1"/>
                <w:sz w:val="20"/>
                <w:szCs w:val="20"/>
              </w:rPr>
            </w:pPr>
          </w:p>
        </w:tc>
      </w:tr>
      <w:tr w:rsidR="00B12ECE" w:rsidRPr="00645816" w:rsidTr="00442745">
        <w:tc>
          <w:tcPr>
            <w:tcW w:w="9322" w:type="dxa"/>
            <w:gridSpan w:val="6"/>
            <w:shd w:val="clear" w:color="auto" w:fill="auto"/>
          </w:tcPr>
          <w:p w:rsidR="00B12ECE" w:rsidRPr="00645816" w:rsidRDefault="00B12ECE" w:rsidP="00BC7F9D">
            <w:pPr>
              <w:rPr>
                <w:color w:val="000000" w:themeColor="text1"/>
              </w:rPr>
            </w:pPr>
            <w:r w:rsidRPr="00645816">
              <w:rPr>
                <w:color w:val="000000" w:themeColor="text1"/>
                <w:sz w:val="22"/>
                <w:szCs w:val="22"/>
              </w:rPr>
              <w:t>6. Detalizēts ieņēmumu un izdevumu aprēķins (ja nepieciešams, detalizētu ieņēmumu un izdevumu aprēķinu var pievienot anotācijas pielikumā):</w:t>
            </w:r>
          </w:p>
        </w:tc>
      </w:tr>
      <w:tr w:rsidR="00B12ECE" w:rsidRPr="002D5363" w:rsidTr="00442745">
        <w:tc>
          <w:tcPr>
            <w:tcW w:w="2634" w:type="dxa"/>
            <w:shd w:val="clear" w:color="auto" w:fill="auto"/>
          </w:tcPr>
          <w:p w:rsidR="00B12ECE" w:rsidRPr="00645816" w:rsidRDefault="00B12ECE" w:rsidP="00BC7F9D">
            <w:pPr>
              <w:rPr>
                <w:color w:val="000000" w:themeColor="text1"/>
                <w:sz w:val="22"/>
                <w:szCs w:val="22"/>
              </w:rPr>
            </w:pPr>
            <w:r w:rsidRPr="00645816">
              <w:rPr>
                <w:color w:val="000000" w:themeColor="text1"/>
                <w:sz w:val="22"/>
                <w:szCs w:val="22"/>
              </w:rPr>
              <w:t>6.1. Detalizēts ieņēmumu aprēķins</w:t>
            </w:r>
          </w:p>
        </w:tc>
        <w:tc>
          <w:tcPr>
            <w:tcW w:w="6688" w:type="dxa"/>
            <w:gridSpan w:val="5"/>
            <w:vMerge w:val="restart"/>
            <w:shd w:val="clear" w:color="auto" w:fill="auto"/>
            <w:vAlign w:val="center"/>
          </w:tcPr>
          <w:p w:rsidR="00B12ECE" w:rsidRDefault="00B12ECE" w:rsidP="00BC7F9D">
            <w:pPr>
              <w:jc w:val="both"/>
              <w:rPr>
                <w:color w:val="000000" w:themeColor="text1"/>
              </w:rPr>
            </w:pPr>
            <w:r>
              <w:rPr>
                <w:color w:val="000000" w:themeColor="text1"/>
              </w:rPr>
              <w:t xml:space="preserve">* Atbilstoši Ministru kabineta 16.08.2016. sēdes </w:t>
            </w:r>
            <w:proofErr w:type="spellStart"/>
            <w:r>
              <w:rPr>
                <w:color w:val="000000" w:themeColor="text1"/>
              </w:rPr>
              <w:t>protokollēmuma</w:t>
            </w:r>
            <w:proofErr w:type="spellEnd"/>
            <w:r>
              <w:rPr>
                <w:color w:val="000000" w:themeColor="text1"/>
              </w:rPr>
              <w:t xml:space="preserve"> Nr.</w:t>
            </w:r>
            <w:r w:rsidRPr="00052D8B">
              <w:rPr>
                <w:color w:val="000000" w:themeColor="text1"/>
              </w:rPr>
              <w:t>40</w:t>
            </w:r>
            <w:r>
              <w:rPr>
                <w:color w:val="000000" w:themeColor="text1"/>
              </w:rPr>
              <w:t xml:space="preserve"> 59.§ 2.punktam atbalstīti priekšlikumi papildu finansējumam L</w:t>
            </w:r>
            <w:r w:rsidR="00052D8B">
              <w:rPr>
                <w:color w:val="000000" w:themeColor="text1"/>
              </w:rPr>
              <w:t>abklājības ministrijas</w:t>
            </w:r>
            <w:r>
              <w:rPr>
                <w:color w:val="000000" w:themeColor="text1"/>
              </w:rPr>
              <w:t xml:space="preserve"> prioritārajiem pasākumiem: </w:t>
            </w:r>
          </w:p>
          <w:p w:rsidR="00B12ECE" w:rsidRPr="002D5363" w:rsidRDefault="00B12ECE" w:rsidP="00BC7F9D">
            <w:pPr>
              <w:pStyle w:val="ListParagraph"/>
              <w:numPr>
                <w:ilvl w:val="0"/>
                <w:numId w:val="19"/>
              </w:numPr>
              <w:rPr>
                <w:color w:val="000000" w:themeColor="text1"/>
              </w:rPr>
            </w:pPr>
            <w:r w:rsidRPr="002D5363">
              <w:rPr>
                <w:color w:val="000000" w:themeColor="text1"/>
              </w:rPr>
              <w:t xml:space="preserve">ģimenes valsts pabalsta palielināšanai par 4. un nākamajiem bērniem – 3 500 000 </w:t>
            </w:r>
            <w:proofErr w:type="spellStart"/>
            <w:r w:rsidRPr="00BC7F9D">
              <w:rPr>
                <w:i/>
                <w:color w:val="000000" w:themeColor="text1"/>
              </w:rPr>
              <w:t>euro</w:t>
            </w:r>
            <w:proofErr w:type="spellEnd"/>
            <w:r w:rsidRPr="002D5363">
              <w:rPr>
                <w:color w:val="000000" w:themeColor="text1"/>
              </w:rPr>
              <w:t xml:space="preserve"> apmērā ik gadu 2017.-2019.gadā;</w:t>
            </w:r>
          </w:p>
          <w:p w:rsidR="00B12ECE" w:rsidRPr="002D5363" w:rsidRDefault="00B12ECE" w:rsidP="00BC7F9D">
            <w:pPr>
              <w:pStyle w:val="ListParagraph"/>
              <w:numPr>
                <w:ilvl w:val="0"/>
                <w:numId w:val="19"/>
              </w:numPr>
              <w:rPr>
                <w:color w:val="000000" w:themeColor="text1"/>
              </w:rPr>
            </w:pPr>
            <w:r w:rsidRPr="002D5363">
              <w:rPr>
                <w:color w:val="000000" w:themeColor="text1"/>
              </w:rPr>
              <w:t xml:space="preserve">atbalsta palielināšanai apgādniekus zaudējušiem bērniem – 4 000 000 </w:t>
            </w:r>
            <w:proofErr w:type="spellStart"/>
            <w:r w:rsidRPr="00BC7F9D">
              <w:rPr>
                <w:i/>
                <w:color w:val="000000" w:themeColor="text1"/>
              </w:rPr>
              <w:t>euro</w:t>
            </w:r>
            <w:proofErr w:type="spellEnd"/>
            <w:r w:rsidRPr="00BC7F9D">
              <w:rPr>
                <w:i/>
                <w:color w:val="000000" w:themeColor="text1"/>
              </w:rPr>
              <w:t xml:space="preserve"> </w:t>
            </w:r>
            <w:r w:rsidRPr="002D5363">
              <w:rPr>
                <w:color w:val="000000" w:themeColor="text1"/>
              </w:rPr>
              <w:t>apmērā ik gadu 2017.-2019.gadā</w:t>
            </w:r>
            <w:r w:rsidRPr="002D5363">
              <w:rPr>
                <w:i/>
                <w:color w:val="000000" w:themeColor="text1"/>
              </w:rPr>
              <w:t xml:space="preserve"> (t.sk. valsts sociālā nodrošinājuma pabalstam apgādniekus zaudējušiem bērniem: 2017.gadā – 196 670 </w:t>
            </w:r>
            <w:proofErr w:type="spellStart"/>
            <w:r w:rsidRPr="002D5363">
              <w:rPr>
                <w:i/>
                <w:color w:val="000000" w:themeColor="text1"/>
              </w:rPr>
              <w:t>euro</w:t>
            </w:r>
            <w:proofErr w:type="spellEnd"/>
            <w:r w:rsidRPr="002D5363">
              <w:rPr>
                <w:i/>
                <w:color w:val="000000" w:themeColor="text1"/>
              </w:rPr>
              <w:t xml:space="preserve">, 2018.-2019.gadā – 200 000 </w:t>
            </w:r>
            <w:proofErr w:type="spellStart"/>
            <w:r w:rsidRPr="002D5363">
              <w:rPr>
                <w:i/>
                <w:color w:val="000000" w:themeColor="text1"/>
              </w:rPr>
              <w:t>euro</w:t>
            </w:r>
            <w:proofErr w:type="spellEnd"/>
            <w:r w:rsidRPr="002D5363">
              <w:rPr>
                <w:i/>
                <w:color w:val="000000" w:themeColor="text1"/>
              </w:rPr>
              <w:t xml:space="preserve"> gadā)</w:t>
            </w:r>
            <w:r w:rsidRPr="002D5363">
              <w:rPr>
                <w:color w:val="000000" w:themeColor="text1"/>
              </w:rPr>
              <w:t>.</w:t>
            </w:r>
          </w:p>
          <w:p w:rsidR="00B12ECE" w:rsidRPr="00BC7F9D" w:rsidRDefault="00B12ECE" w:rsidP="00BC7F9D">
            <w:pPr>
              <w:jc w:val="both"/>
              <w:rPr>
                <w:color w:val="000000" w:themeColor="text1"/>
              </w:rPr>
            </w:pPr>
            <w:r w:rsidRPr="00BC7F9D">
              <w:rPr>
                <w:color w:val="000000" w:themeColor="text1"/>
              </w:rPr>
              <w:t>Finansējums iekļauts L</w:t>
            </w:r>
            <w:r w:rsidR="00A81A07">
              <w:rPr>
                <w:color w:val="000000" w:themeColor="text1"/>
              </w:rPr>
              <w:t>abklājības ministrijas</w:t>
            </w:r>
            <w:r w:rsidRPr="00BC7F9D">
              <w:rPr>
                <w:color w:val="000000" w:themeColor="text1"/>
              </w:rPr>
              <w:t xml:space="preserve"> pamatbudžeta maksimāli pieļaujamos valsts budžeta izdevumu kopējos apjomos 2017., 2018. un 2019.gadam.</w:t>
            </w:r>
          </w:p>
          <w:p w:rsidR="00B12ECE" w:rsidRDefault="00B12ECE" w:rsidP="00BC7F9D">
            <w:pPr>
              <w:rPr>
                <w:b/>
                <w:i/>
                <w:color w:val="000000" w:themeColor="text1"/>
              </w:rPr>
            </w:pPr>
          </w:p>
          <w:p w:rsidR="00B12ECE" w:rsidRPr="002D5363" w:rsidRDefault="00B12ECE" w:rsidP="00BC7F9D">
            <w:pPr>
              <w:rPr>
                <w:b/>
                <w:i/>
                <w:color w:val="000000" w:themeColor="text1"/>
              </w:rPr>
            </w:pPr>
            <w:r w:rsidRPr="002D5363">
              <w:rPr>
                <w:b/>
                <w:i/>
                <w:color w:val="000000" w:themeColor="text1"/>
              </w:rPr>
              <w:t>Izmaiņas ģimenes valsts pabalstos</w:t>
            </w:r>
          </w:p>
          <w:p w:rsidR="00B12ECE" w:rsidRPr="002D5363" w:rsidRDefault="00B12ECE" w:rsidP="00BC7F9D">
            <w:pPr>
              <w:jc w:val="both"/>
              <w:rPr>
                <w:color w:val="000000" w:themeColor="text1"/>
              </w:rPr>
            </w:pPr>
          </w:p>
          <w:p w:rsidR="00B12ECE" w:rsidRPr="002D5363" w:rsidRDefault="00B12ECE" w:rsidP="00BC7F9D">
            <w:pPr>
              <w:jc w:val="both"/>
              <w:rPr>
                <w:color w:val="000000" w:themeColor="text1"/>
              </w:rPr>
            </w:pPr>
            <w:r w:rsidRPr="002D5363">
              <w:rPr>
                <w:color w:val="000000" w:themeColor="text1"/>
              </w:rPr>
              <w:t>Ģimenēs ar četriem un vairāk bērniem no 2017.</w:t>
            </w:r>
            <w:r w:rsidR="00A81A07">
              <w:rPr>
                <w:color w:val="000000" w:themeColor="text1"/>
              </w:rPr>
              <w:t>gada 1.</w:t>
            </w:r>
            <w:r w:rsidRPr="002D5363">
              <w:rPr>
                <w:color w:val="000000" w:themeColor="text1"/>
              </w:rPr>
              <w:t xml:space="preserve">janvāra paredzēts par ceturto un nākamajiem bērniem pabalstu noteikt 4,4 reizes lielāku, nekā par pirmo bērnu (11,38 x 4,4 = 50,07 </w:t>
            </w:r>
            <w:proofErr w:type="spellStart"/>
            <w:r w:rsidRPr="00BC7F9D">
              <w:rPr>
                <w:i/>
                <w:color w:val="000000" w:themeColor="text1"/>
              </w:rPr>
              <w:t>euro</w:t>
            </w:r>
            <w:proofErr w:type="spellEnd"/>
            <w:r w:rsidRPr="002D5363">
              <w:rPr>
                <w:color w:val="000000" w:themeColor="text1"/>
              </w:rPr>
              <w:t>) (pašreiz - 34,14</w:t>
            </w:r>
            <w:r w:rsidRPr="002D5363">
              <w:rPr>
                <w:rStyle w:val="apple-converted-space"/>
                <w:color w:val="000000" w:themeColor="text1"/>
              </w:rPr>
              <w:t> </w:t>
            </w:r>
            <w:proofErr w:type="spellStart"/>
            <w:r w:rsidRPr="00D0592E">
              <w:rPr>
                <w:i/>
                <w:color w:val="000000" w:themeColor="text1"/>
              </w:rPr>
              <w:t>euro</w:t>
            </w:r>
            <w:proofErr w:type="spellEnd"/>
            <w:r w:rsidRPr="002D5363">
              <w:rPr>
                <w:rStyle w:val="Emphasis"/>
                <w:color w:val="000000" w:themeColor="text1"/>
              </w:rPr>
              <w:t>)</w:t>
            </w:r>
            <w:r w:rsidRPr="002D5363">
              <w:rPr>
                <w:color w:val="000000" w:themeColor="text1"/>
              </w:rPr>
              <w:t>.</w:t>
            </w:r>
          </w:p>
          <w:p w:rsidR="00B12ECE" w:rsidRPr="002D5363" w:rsidRDefault="00B12ECE" w:rsidP="00BC7F9D">
            <w:pPr>
              <w:jc w:val="both"/>
              <w:rPr>
                <w:color w:val="000000" w:themeColor="text1"/>
              </w:rPr>
            </w:pPr>
            <w:r w:rsidRPr="002D5363">
              <w:rPr>
                <w:color w:val="000000" w:themeColor="text1"/>
              </w:rPr>
              <w:t xml:space="preserve">Saskaņā ar budžeta bāzes projektu </w:t>
            </w:r>
            <w:r>
              <w:rPr>
                <w:color w:val="000000" w:themeColor="text1"/>
              </w:rPr>
              <w:t xml:space="preserve">2017.gadam </w:t>
            </w:r>
            <w:r w:rsidRPr="002D5363">
              <w:rPr>
                <w:color w:val="000000" w:themeColor="text1"/>
              </w:rPr>
              <w:t xml:space="preserve">ģimenes valsts pabalstu </w:t>
            </w:r>
            <w:r>
              <w:rPr>
                <w:color w:val="000000" w:themeColor="text1"/>
              </w:rPr>
              <w:t xml:space="preserve">saņēmēju </w:t>
            </w:r>
            <w:r w:rsidRPr="002D5363">
              <w:rPr>
                <w:color w:val="000000" w:themeColor="text1"/>
              </w:rPr>
              <w:t xml:space="preserve">skaits </w:t>
            </w:r>
            <w:r>
              <w:rPr>
                <w:color w:val="000000" w:themeColor="text1"/>
              </w:rPr>
              <w:t xml:space="preserve">tiek plānots </w:t>
            </w:r>
            <w:r w:rsidRPr="002D5363">
              <w:rPr>
                <w:color w:val="000000" w:themeColor="text1"/>
              </w:rPr>
              <w:t>324</w:t>
            </w:r>
            <w:r>
              <w:rPr>
                <w:color w:val="000000" w:themeColor="text1"/>
              </w:rPr>
              <w:t> </w:t>
            </w:r>
            <w:r w:rsidRPr="002D5363">
              <w:rPr>
                <w:color w:val="000000" w:themeColor="text1"/>
              </w:rPr>
              <w:t>147</w:t>
            </w:r>
            <w:r>
              <w:rPr>
                <w:color w:val="000000" w:themeColor="text1"/>
              </w:rPr>
              <w:t xml:space="preserve"> personas vidēji mēnesī un pabalsta vidējais</w:t>
            </w:r>
            <w:r w:rsidRPr="002D5363">
              <w:rPr>
                <w:color w:val="000000" w:themeColor="text1"/>
              </w:rPr>
              <w:t xml:space="preserve"> apmērs</w:t>
            </w:r>
            <w:r>
              <w:rPr>
                <w:color w:val="000000" w:themeColor="text1"/>
              </w:rPr>
              <w:t xml:space="preserve"> mēnesī</w:t>
            </w:r>
            <w:r w:rsidRPr="002D5363" w:rsidDel="00F22BFC">
              <w:rPr>
                <w:color w:val="000000" w:themeColor="text1"/>
              </w:rPr>
              <w:t xml:space="preserve"> </w:t>
            </w:r>
            <w:r>
              <w:rPr>
                <w:color w:val="000000" w:themeColor="text1"/>
              </w:rPr>
              <w:t xml:space="preserve">– </w:t>
            </w:r>
            <w:r w:rsidRPr="002D5363">
              <w:rPr>
                <w:color w:val="000000" w:themeColor="text1"/>
              </w:rPr>
              <w:t>19</w:t>
            </w:r>
            <w:r>
              <w:rPr>
                <w:color w:val="000000" w:themeColor="text1"/>
              </w:rPr>
              <w:t>,</w:t>
            </w:r>
            <w:r w:rsidRPr="002D5363">
              <w:rPr>
                <w:color w:val="000000" w:themeColor="text1"/>
              </w:rPr>
              <w:t xml:space="preserve">29 </w:t>
            </w:r>
            <w:proofErr w:type="spellStart"/>
            <w:r w:rsidRPr="00BC7F9D">
              <w:rPr>
                <w:i/>
                <w:color w:val="000000" w:themeColor="text1"/>
              </w:rPr>
              <w:t>euro</w:t>
            </w:r>
            <w:proofErr w:type="spellEnd"/>
            <w:r w:rsidRPr="002D5363">
              <w:rPr>
                <w:color w:val="000000" w:themeColor="text1"/>
              </w:rPr>
              <w:t>.</w:t>
            </w:r>
          </w:p>
          <w:p w:rsidR="00B12ECE" w:rsidRPr="002D5363" w:rsidRDefault="00B12ECE" w:rsidP="00BC7F9D">
            <w:pPr>
              <w:jc w:val="both"/>
              <w:rPr>
                <w:color w:val="000000" w:themeColor="text1"/>
              </w:rPr>
            </w:pPr>
          </w:p>
          <w:p w:rsidR="00B12ECE" w:rsidRPr="002D5363" w:rsidRDefault="00B12ECE" w:rsidP="00BC7F9D">
            <w:pPr>
              <w:jc w:val="both"/>
              <w:rPr>
                <w:color w:val="000000" w:themeColor="text1"/>
              </w:rPr>
            </w:pPr>
            <w:r w:rsidRPr="002D5363">
              <w:rPr>
                <w:color w:val="000000" w:themeColor="text1"/>
              </w:rPr>
              <w:t xml:space="preserve">Tiek pieņemts, ka ģimenes valsts pabalsta par 4. un nākamajiem bērniem palielināšanas rezultātā vidējais pabalsta apmērs pieaugtu par 4,65% jeb 0,90 </w:t>
            </w:r>
            <w:proofErr w:type="spellStart"/>
            <w:r w:rsidRPr="00BC7F9D">
              <w:rPr>
                <w:i/>
                <w:color w:val="000000" w:themeColor="text1"/>
              </w:rPr>
              <w:t>euro</w:t>
            </w:r>
            <w:proofErr w:type="spellEnd"/>
            <w:r w:rsidRPr="002D5363">
              <w:rPr>
                <w:color w:val="000000" w:themeColor="text1"/>
              </w:rPr>
              <w:t>.</w:t>
            </w:r>
          </w:p>
          <w:p w:rsidR="00B12ECE" w:rsidRPr="002D5363" w:rsidRDefault="00B12ECE" w:rsidP="00BC7F9D">
            <w:pPr>
              <w:jc w:val="both"/>
              <w:rPr>
                <w:color w:val="000000" w:themeColor="text1"/>
              </w:rPr>
            </w:pPr>
          </w:p>
          <w:p w:rsidR="00B12ECE" w:rsidRPr="002D5363" w:rsidRDefault="00B12ECE" w:rsidP="00BC7F9D">
            <w:pPr>
              <w:jc w:val="both"/>
              <w:rPr>
                <w:color w:val="000000" w:themeColor="text1"/>
              </w:rPr>
            </w:pPr>
            <w:r w:rsidRPr="002D5363">
              <w:rPr>
                <w:color w:val="000000" w:themeColor="text1"/>
                <w:u w:val="single"/>
              </w:rPr>
              <w:t>Papildus nepieciešamais finansējums 2017.gadā</w:t>
            </w:r>
            <w:r w:rsidRPr="002D5363">
              <w:rPr>
                <w:color w:val="000000" w:themeColor="text1"/>
              </w:rPr>
              <w:t>:</w:t>
            </w:r>
          </w:p>
          <w:p w:rsidR="00B12ECE" w:rsidRPr="002D5363" w:rsidRDefault="00B12ECE" w:rsidP="00BC7F9D">
            <w:pPr>
              <w:jc w:val="both"/>
              <w:rPr>
                <w:color w:val="000000" w:themeColor="text1"/>
              </w:rPr>
            </w:pPr>
            <w:r w:rsidRPr="002D5363">
              <w:rPr>
                <w:color w:val="000000" w:themeColor="text1"/>
              </w:rPr>
              <w:t xml:space="preserve">324 147 x 0,90 </w:t>
            </w:r>
            <w:proofErr w:type="spellStart"/>
            <w:r w:rsidRPr="00BC7F9D">
              <w:rPr>
                <w:i/>
                <w:color w:val="000000" w:themeColor="text1"/>
              </w:rPr>
              <w:t>euro</w:t>
            </w:r>
            <w:proofErr w:type="spellEnd"/>
            <w:r w:rsidRPr="002D5363">
              <w:rPr>
                <w:color w:val="000000" w:themeColor="text1"/>
              </w:rPr>
              <w:t xml:space="preserve"> x 12 mēneši = 3 500</w:t>
            </w:r>
            <w:r>
              <w:rPr>
                <w:color w:val="000000" w:themeColor="text1"/>
              </w:rPr>
              <w:t> </w:t>
            </w:r>
            <w:r w:rsidRPr="002D5363">
              <w:rPr>
                <w:color w:val="000000" w:themeColor="text1"/>
              </w:rPr>
              <w:t>787</w:t>
            </w:r>
            <w:r>
              <w:rPr>
                <w:color w:val="000000" w:themeColor="text1"/>
              </w:rPr>
              <w:t>,</w:t>
            </w:r>
            <w:r w:rsidRPr="002D5363">
              <w:rPr>
                <w:color w:val="000000" w:themeColor="text1"/>
              </w:rPr>
              <w:t xml:space="preserve">6 jeb noapaļojot </w:t>
            </w:r>
            <w:r w:rsidRPr="002D5363">
              <w:rPr>
                <w:b/>
                <w:i/>
                <w:color w:val="000000" w:themeColor="text1"/>
              </w:rPr>
              <w:t xml:space="preserve">3 500 000 </w:t>
            </w:r>
            <w:proofErr w:type="spellStart"/>
            <w:r w:rsidRPr="002D5363">
              <w:rPr>
                <w:b/>
                <w:i/>
                <w:color w:val="000000" w:themeColor="text1"/>
              </w:rPr>
              <w:t>euro</w:t>
            </w:r>
            <w:proofErr w:type="spellEnd"/>
          </w:p>
          <w:p w:rsidR="00B12ECE" w:rsidRPr="002D5363" w:rsidRDefault="00B12ECE" w:rsidP="00BC7F9D">
            <w:pPr>
              <w:rPr>
                <w:color w:val="000000" w:themeColor="text1"/>
              </w:rPr>
            </w:pPr>
          </w:p>
          <w:p w:rsidR="00B12ECE" w:rsidRPr="002D5363" w:rsidRDefault="00B12ECE" w:rsidP="00BC7F9D">
            <w:pPr>
              <w:jc w:val="both"/>
              <w:rPr>
                <w:color w:val="000000" w:themeColor="text1"/>
              </w:rPr>
            </w:pPr>
            <w:r>
              <w:rPr>
                <w:color w:val="000000" w:themeColor="text1"/>
              </w:rPr>
              <w:t>Šobrīd t</w:t>
            </w:r>
            <w:r w:rsidRPr="002D5363">
              <w:rPr>
                <w:color w:val="000000" w:themeColor="text1"/>
              </w:rPr>
              <w:t xml:space="preserve">iek pieņemts, ka 2018. un 2019.gadam papildus nepieciešamie izdevumi saglabājas 2017.gadam </w:t>
            </w:r>
            <w:r>
              <w:rPr>
                <w:color w:val="000000" w:themeColor="text1"/>
              </w:rPr>
              <w:t>piešķirtajā</w:t>
            </w:r>
            <w:r w:rsidRPr="002D5363">
              <w:rPr>
                <w:color w:val="000000" w:themeColor="text1"/>
              </w:rPr>
              <w:t xml:space="preserve"> apmērā jeb 3 500 000 </w:t>
            </w:r>
            <w:proofErr w:type="spellStart"/>
            <w:r w:rsidRPr="00BC7F9D">
              <w:rPr>
                <w:i/>
                <w:color w:val="000000" w:themeColor="text1"/>
              </w:rPr>
              <w:t>euro</w:t>
            </w:r>
            <w:proofErr w:type="spellEnd"/>
            <w:r w:rsidRPr="002D5363">
              <w:rPr>
                <w:color w:val="000000" w:themeColor="text1"/>
              </w:rPr>
              <w:t xml:space="preserve"> ik gadus.</w:t>
            </w:r>
          </w:p>
          <w:p w:rsidR="00B12ECE" w:rsidRPr="002D5363" w:rsidRDefault="00B12ECE" w:rsidP="00BC7F9D">
            <w:pPr>
              <w:rPr>
                <w:color w:val="000000" w:themeColor="text1"/>
              </w:rPr>
            </w:pPr>
          </w:p>
          <w:p w:rsidR="00B12ECE" w:rsidRDefault="00B12ECE" w:rsidP="00BC7F9D">
            <w:pPr>
              <w:rPr>
                <w:b/>
                <w:i/>
                <w:color w:val="000000" w:themeColor="text1"/>
              </w:rPr>
            </w:pPr>
            <w:r w:rsidRPr="002D5363">
              <w:rPr>
                <w:b/>
                <w:i/>
                <w:color w:val="000000" w:themeColor="text1"/>
              </w:rPr>
              <w:t>Izmaiņas</w:t>
            </w:r>
            <w:r w:rsidRPr="002D5363">
              <w:rPr>
                <w:color w:val="000000" w:themeColor="text1"/>
              </w:rPr>
              <w:t xml:space="preserve"> v</w:t>
            </w:r>
            <w:r w:rsidRPr="002D5363">
              <w:rPr>
                <w:b/>
                <w:i/>
                <w:color w:val="000000" w:themeColor="text1"/>
              </w:rPr>
              <w:t>alsts sociālā nodrošinājuma pabalstos apgādnieka zaudējuma gadījumā (VSNP)</w:t>
            </w:r>
          </w:p>
          <w:p w:rsidR="00B12ECE" w:rsidRDefault="00B12ECE" w:rsidP="00BC7F9D">
            <w:pPr>
              <w:rPr>
                <w:b/>
                <w:i/>
                <w:color w:val="000000" w:themeColor="text1"/>
              </w:rPr>
            </w:pPr>
          </w:p>
          <w:p w:rsidR="00B637F0" w:rsidRDefault="00403627" w:rsidP="00403627">
            <w:pPr>
              <w:jc w:val="both"/>
            </w:pPr>
            <w:r>
              <w:t>N</w:t>
            </w:r>
            <w:r w:rsidRPr="009D5AFA">
              <w:t>o 2017.gada 1.aprīļa plānots palielināt valsts atbalstu apgādnieku zaudējušiem bērniem - apgādnieka zaudējuma pensijas, valst</w:t>
            </w:r>
            <w:r>
              <w:t>s sociālā nodrošinājuma pabalsta</w:t>
            </w:r>
            <w:r w:rsidRPr="009D5AFA">
              <w:t xml:space="preserve"> un atlīdzība</w:t>
            </w:r>
            <w:r>
              <w:t>s</w:t>
            </w:r>
            <w:r w:rsidRPr="009D5AFA">
              <w:t xml:space="preserve"> par apgādnieka zaudējumu</w:t>
            </w:r>
            <w:r>
              <w:t xml:space="preserve"> minimālos apmērus</w:t>
            </w:r>
            <w:r w:rsidRPr="009D5AFA">
              <w:t>.</w:t>
            </w:r>
            <w:r w:rsidR="00B637F0">
              <w:t xml:space="preserve"> Attiecīgos apmērus paredzēts noteikt ar Ministru kabineta noteikumiem. Aprēķins par VSNP izmaksai nepieciešamajiem līdzekļiem veikts, pieņemot, ka 2017.-2019.gadā </w:t>
            </w:r>
            <w:r w:rsidR="00B637F0">
              <w:t xml:space="preserve">par bērnu līdz 7 gadu vecuma sasniegšanai minimālais apmērs būtu 92,5 </w:t>
            </w:r>
            <w:proofErr w:type="spellStart"/>
            <w:r w:rsidR="00B637F0" w:rsidRPr="0035672C">
              <w:rPr>
                <w:i/>
              </w:rPr>
              <w:t>euro</w:t>
            </w:r>
            <w:proofErr w:type="spellEnd"/>
            <w:r w:rsidR="00B637F0">
              <w:t xml:space="preserve">, bet pēc bērna 7 gadu vecuma sasniegšanas </w:t>
            </w:r>
            <w:r w:rsidR="00B637F0">
              <w:lastRenderedPageBreak/>
              <w:t xml:space="preserve">– 111 </w:t>
            </w:r>
            <w:proofErr w:type="spellStart"/>
            <w:r w:rsidR="00B637F0" w:rsidRPr="0035672C">
              <w:rPr>
                <w:i/>
              </w:rPr>
              <w:t>euro</w:t>
            </w:r>
            <w:proofErr w:type="spellEnd"/>
            <w:r w:rsidR="00B637F0">
              <w:rPr>
                <w:i/>
              </w:rPr>
              <w:t>.</w:t>
            </w:r>
          </w:p>
          <w:p w:rsidR="00403627" w:rsidRPr="002D5363" w:rsidRDefault="00403627" w:rsidP="00BC7F9D">
            <w:pPr>
              <w:rPr>
                <w:b/>
                <w:i/>
                <w:color w:val="000000" w:themeColor="text1"/>
              </w:rPr>
            </w:pPr>
          </w:p>
          <w:p w:rsidR="00B12ECE" w:rsidRPr="002D5363" w:rsidRDefault="00B12ECE" w:rsidP="00BC7F9D">
            <w:pPr>
              <w:rPr>
                <w:b/>
                <w:color w:val="000000" w:themeColor="text1"/>
              </w:rPr>
            </w:pPr>
            <w:r w:rsidRPr="002D5363">
              <w:rPr>
                <w:b/>
                <w:color w:val="000000" w:themeColor="text1"/>
              </w:rPr>
              <w:t>2017.gads</w:t>
            </w:r>
          </w:p>
          <w:tbl>
            <w:tblPr>
              <w:tblStyle w:val="TableGrid"/>
              <w:tblW w:w="0" w:type="auto"/>
              <w:tblLook w:val="04A0" w:firstRow="1" w:lastRow="0" w:firstColumn="1" w:lastColumn="0" w:noHBand="0" w:noVBand="1"/>
            </w:tblPr>
            <w:tblGrid>
              <w:gridCol w:w="2381"/>
              <w:gridCol w:w="1070"/>
              <w:gridCol w:w="1496"/>
              <w:gridCol w:w="1515"/>
            </w:tblGrid>
            <w:tr w:rsidR="00B12ECE" w:rsidRPr="002D5363" w:rsidTr="00BC7F9D">
              <w:tc>
                <w:tcPr>
                  <w:tcW w:w="2833" w:type="dxa"/>
                </w:tcPr>
                <w:p w:rsidR="00B12ECE" w:rsidRPr="002D5363" w:rsidRDefault="00B12ECE" w:rsidP="00BC7F9D">
                  <w:pPr>
                    <w:rPr>
                      <w:b/>
                      <w:i/>
                      <w:color w:val="000000" w:themeColor="text1"/>
                      <w:sz w:val="20"/>
                      <w:szCs w:val="20"/>
                      <w:highlight w:val="yellow"/>
                    </w:rPr>
                  </w:pPr>
                </w:p>
              </w:tc>
              <w:tc>
                <w:tcPr>
                  <w:tcW w:w="1134" w:type="dxa"/>
                </w:tcPr>
                <w:p w:rsidR="00B12ECE" w:rsidRPr="002D5363" w:rsidRDefault="00B12ECE" w:rsidP="00BC7F9D">
                  <w:pPr>
                    <w:rPr>
                      <w:color w:val="000000" w:themeColor="text1"/>
                      <w:sz w:val="20"/>
                      <w:szCs w:val="20"/>
                    </w:rPr>
                  </w:pPr>
                  <w:r w:rsidRPr="002D5363">
                    <w:rPr>
                      <w:color w:val="000000" w:themeColor="text1"/>
                      <w:sz w:val="20"/>
                      <w:szCs w:val="20"/>
                    </w:rPr>
                    <w:t>Uzskaitē esošo skaits *</w:t>
                  </w:r>
                </w:p>
              </w:tc>
              <w:tc>
                <w:tcPr>
                  <w:tcW w:w="1559" w:type="dxa"/>
                </w:tcPr>
                <w:p w:rsidR="00B12ECE" w:rsidRPr="002D5363" w:rsidRDefault="00B12ECE" w:rsidP="00BC7F9D">
                  <w:pPr>
                    <w:rPr>
                      <w:b/>
                      <w:i/>
                      <w:color w:val="000000" w:themeColor="text1"/>
                      <w:sz w:val="20"/>
                      <w:szCs w:val="20"/>
                      <w:highlight w:val="yellow"/>
                    </w:rPr>
                  </w:pPr>
                  <w:r w:rsidRPr="002D5363">
                    <w:rPr>
                      <w:color w:val="000000" w:themeColor="text1"/>
                      <w:sz w:val="20"/>
                      <w:szCs w:val="20"/>
                    </w:rPr>
                    <w:t xml:space="preserve">Plānotais vid. apmēra palielinājums, </w:t>
                  </w:r>
                  <w:proofErr w:type="spellStart"/>
                  <w:r w:rsidRPr="00BC7F9D">
                    <w:rPr>
                      <w:i/>
                      <w:color w:val="000000" w:themeColor="text1"/>
                      <w:sz w:val="20"/>
                      <w:szCs w:val="20"/>
                    </w:rPr>
                    <w:t>euro</w:t>
                  </w:r>
                  <w:proofErr w:type="spellEnd"/>
                  <w:r w:rsidRPr="002D5363">
                    <w:rPr>
                      <w:color w:val="000000" w:themeColor="text1"/>
                      <w:sz w:val="20"/>
                      <w:szCs w:val="20"/>
                    </w:rPr>
                    <w:t xml:space="preserve"> **</w:t>
                  </w:r>
                </w:p>
              </w:tc>
              <w:tc>
                <w:tcPr>
                  <w:tcW w:w="1583" w:type="dxa"/>
                </w:tcPr>
                <w:p w:rsidR="00B12ECE" w:rsidRPr="002D5363" w:rsidRDefault="00B12ECE" w:rsidP="00BC7F9D">
                  <w:pPr>
                    <w:rPr>
                      <w:color w:val="000000" w:themeColor="text1"/>
                      <w:sz w:val="20"/>
                      <w:szCs w:val="20"/>
                    </w:rPr>
                  </w:pPr>
                  <w:r w:rsidRPr="002D5363">
                    <w:rPr>
                      <w:color w:val="000000" w:themeColor="text1"/>
                      <w:sz w:val="20"/>
                      <w:szCs w:val="20"/>
                    </w:rPr>
                    <w:t xml:space="preserve">Papildus nepieciešamie līdzekļi 9 mēnešos, </w:t>
                  </w:r>
                  <w:proofErr w:type="spellStart"/>
                  <w:r w:rsidRPr="00D0592E">
                    <w:rPr>
                      <w:i/>
                      <w:color w:val="000000" w:themeColor="text1"/>
                      <w:sz w:val="20"/>
                      <w:szCs w:val="20"/>
                    </w:rPr>
                    <w:t>euro</w:t>
                  </w:r>
                  <w:proofErr w:type="spellEnd"/>
                </w:p>
              </w:tc>
            </w:tr>
            <w:tr w:rsidR="00B12ECE" w:rsidRPr="002D5363" w:rsidTr="00BC7F9D">
              <w:tc>
                <w:tcPr>
                  <w:tcW w:w="2833" w:type="dxa"/>
                  <w:tcBorders>
                    <w:bottom w:val="single" w:sz="4" w:space="0" w:color="auto"/>
                  </w:tcBorders>
                </w:tcPr>
                <w:p w:rsidR="00B12ECE" w:rsidRPr="002D5363" w:rsidRDefault="00B12ECE" w:rsidP="00BC7F9D">
                  <w:pPr>
                    <w:rPr>
                      <w:color w:val="000000" w:themeColor="text1"/>
                      <w:sz w:val="20"/>
                      <w:szCs w:val="20"/>
                    </w:rPr>
                  </w:pPr>
                  <w:r w:rsidRPr="002D5363">
                    <w:rPr>
                      <w:color w:val="000000" w:themeColor="text1"/>
                      <w:sz w:val="20"/>
                      <w:szCs w:val="20"/>
                    </w:rPr>
                    <w:t>Apgādājamie vecumā</w:t>
                  </w:r>
                  <w:proofErr w:type="gramStart"/>
                  <w:r w:rsidRPr="002D5363">
                    <w:rPr>
                      <w:color w:val="000000" w:themeColor="text1"/>
                      <w:sz w:val="20"/>
                      <w:szCs w:val="20"/>
                    </w:rPr>
                    <w:t xml:space="preserve">  </w:t>
                  </w:r>
                  <w:proofErr w:type="gramEnd"/>
                  <w:r w:rsidRPr="002D5363">
                    <w:rPr>
                      <w:color w:val="000000" w:themeColor="text1"/>
                      <w:sz w:val="20"/>
                      <w:szCs w:val="20"/>
                    </w:rPr>
                    <w:t xml:space="preserve">&lt;=6 gadi un ar VSNP apmēru &lt; 92.50 EUR </w:t>
                  </w:r>
                </w:p>
              </w:tc>
              <w:tc>
                <w:tcPr>
                  <w:tcW w:w="1134" w:type="dxa"/>
                </w:tcPr>
                <w:p w:rsidR="00B12ECE" w:rsidRPr="002D5363" w:rsidRDefault="00B12ECE" w:rsidP="00BC7F9D">
                  <w:pPr>
                    <w:jc w:val="center"/>
                    <w:rPr>
                      <w:color w:val="000000" w:themeColor="text1"/>
                      <w:sz w:val="20"/>
                      <w:szCs w:val="20"/>
                    </w:rPr>
                  </w:pPr>
                  <w:r w:rsidRPr="002D5363">
                    <w:rPr>
                      <w:color w:val="000000" w:themeColor="text1"/>
                      <w:sz w:val="20"/>
                      <w:szCs w:val="20"/>
                    </w:rPr>
                    <w:t>37</w:t>
                  </w:r>
                </w:p>
              </w:tc>
              <w:tc>
                <w:tcPr>
                  <w:tcW w:w="1559" w:type="dxa"/>
                </w:tcPr>
                <w:p w:rsidR="00B12ECE" w:rsidRPr="002D5363" w:rsidRDefault="00B12ECE" w:rsidP="00BC7F9D">
                  <w:pPr>
                    <w:jc w:val="center"/>
                    <w:rPr>
                      <w:color w:val="000000" w:themeColor="text1"/>
                      <w:sz w:val="20"/>
                      <w:szCs w:val="20"/>
                    </w:rPr>
                  </w:pPr>
                  <w:r w:rsidRPr="002D5363">
                    <w:rPr>
                      <w:color w:val="000000" w:themeColor="text1"/>
                      <w:sz w:val="20"/>
                      <w:szCs w:val="20"/>
                    </w:rPr>
                    <w:t>41.34</w:t>
                  </w:r>
                </w:p>
              </w:tc>
              <w:tc>
                <w:tcPr>
                  <w:tcW w:w="1583" w:type="dxa"/>
                </w:tcPr>
                <w:p w:rsidR="00B12ECE" w:rsidRPr="002D5363" w:rsidRDefault="00B12ECE" w:rsidP="00BC7F9D">
                  <w:pPr>
                    <w:jc w:val="center"/>
                    <w:rPr>
                      <w:color w:val="000000" w:themeColor="text1"/>
                      <w:sz w:val="20"/>
                      <w:szCs w:val="20"/>
                    </w:rPr>
                  </w:pPr>
                  <w:r w:rsidRPr="002D5363">
                    <w:rPr>
                      <w:color w:val="000000" w:themeColor="text1"/>
                      <w:sz w:val="20"/>
                      <w:szCs w:val="20"/>
                    </w:rPr>
                    <w:t>13 767</w:t>
                  </w:r>
                </w:p>
              </w:tc>
            </w:tr>
            <w:tr w:rsidR="00B12ECE" w:rsidRPr="002D5363" w:rsidTr="00BC7F9D">
              <w:tc>
                <w:tcPr>
                  <w:tcW w:w="2833" w:type="dxa"/>
                </w:tcPr>
                <w:p w:rsidR="00B12ECE" w:rsidRPr="002D5363" w:rsidRDefault="00B12ECE" w:rsidP="00BC7F9D">
                  <w:pPr>
                    <w:rPr>
                      <w:b/>
                      <w:i/>
                      <w:color w:val="000000" w:themeColor="text1"/>
                      <w:sz w:val="20"/>
                      <w:szCs w:val="20"/>
                      <w:highlight w:val="yellow"/>
                    </w:rPr>
                  </w:pPr>
                  <w:r w:rsidRPr="002D5363">
                    <w:rPr>
                      <w:color w:val="000000" w:themeColor="text1"/>
                      <w:sz w:val="20"/>
                      <w:szCs w:val="20"/>
                    </w:rPr>
                    <w:t>Apgādājamie vecumā 7 -23 gadi un ar VSNP apmēru &lt; 111.00EUR</w:t>
                  </w:r>
                </w:p>
              </w:tc>
              <w:tc>
                <w:tcPr>
                  <w:tcW w:w="1134" w:type="dxa"/>
                </w:tcPr>
                <w:p w:rsidR="00B12ECE" w:rsidRPr="002D5363" w:rsidRDefault="00B12ECE" w:rsidP="00BC7F9D">
                  <w:pPr>
                    <w:jc w:val="center"/>
                    <w:rPr>
                      <w:color w:val="000000" w:themeColor="text1"/>
                      <w:sz w:val="20"/>
                      <w:szCs w:val="20"/>
                    </w:rPr>
                  </w:pPr>
                  <w:r w:rsidRPr="002D5363">
                    <w:rPr>
                      <w:color w:val="000000" w:themeColor="text1"/>
                      <w:sz w:val="20"/>
                      <w:szCs w:val="20"/>
                    </w:rPr>
                    <w:t>395</w:t>
                  </w:r>
                </w:p>
              </w:tc>
              <w:tc>
                <w:tcPr>
                  <w:tcW w:w="1559" w:type="dxa"/>
                </w:tcPr>
                <w:p w:rsidR="00B12ECE" w:rsidRPr="002D5363" w:rsidRDefault="00B12ECE" w:rsidP="00BC7F9D">
                  <w:pPr>
                    <w:jc w:val="center"/>
                    <w:rPr>
                      <w:color w:val="000000" w:themeColor="text1"/>
                      <w:sz w:val="20"/>
                      <w:szCs w:val="20"/>
                    </w:rPr>
                  </w:pPr>
                  <w:r w:rsidRPr="002D5363">
                    <w:rPr>
                      <w:color w:val="000000" w:themeColor="text1"/>
                      <w:sz w:val="20"/>
                      <w:szCs w:val="20"/>
                    </w:rPr>
                    <w:t>51.45</w:t>
                  </w:r>
                </w:p>
              </w:tc>
              <w:tc>
                <w:tcPr>
                  <w:tcW w:w="1583" w:type="dxa"/>
                </w:tcPr>
                <w:p w:rsidR="00B12ECE" w:rsidRPr="002D5363" w:rsidRDefault="00B12ECE" w:rsidP="00BC7F9D">
                  <w:pPr>
                    <w:jc w:val="center"/>
                    <w:rPr>
                      <w:color w:val="000000" w:themeColor="text1"/>
                      <w:sz w:val="20"/>
                      <w:szCs w:val="20"/>
                    </w:rPr>
                  </w:pPr>
                  <w:r w:rsidRPr="002D5363">
                    <w:rPr>
                      <w:color w:val="000000" w:themeColor="text1"/>
                      <w:sz w:val="20"/>
                      <w:szCs w:val="20"/>
                    </w:rPr>
                    <w:t>182 903</w:t>
                  </w:r>
                </w:p>
              </w:tc>
            </w:tr>
            <w:tr w:rsidR="00B12ECE" w:rsidRPr="002D5363" w:rsidTr="00BC7F9D">
              <w:tc>
                <w:tcPr>
                  <w:tcW w:w="2833" w:type="dxa"/>
                </w:tcPr>
                <w:p w:rsidR="00B12ECE" w:rsidRPr="002D5363" w:rsidRDefault="00B12ECE" w:rsidP="00BC7F9D">
                  <w:pPr>
                    <w:rPr>
                      <w:b/>
                      <w:color w:val="000000" w:themeColor="text1"/>
                    </w:rPr>
                  </w:pPr>
                  <w:r w:rsidRPr="002D5363">
                    <w:rPr>
                      <w:b/>
                      <w:color w:val="000000" w:themeColor="text1"/>
                    </w:rPr>
                    <w:t>Kopā</w:t>
                  </w:r>
                </w:p>
              </w:tc>
              <w:tc>
                <w:tcPr>
                  <w:tcW w:w="1134" w:type="dxa"/>
                </w:tcPr>
                <w:p w:rsidR="00B12ECE" w:rsidRPr="002D5363" w:rsidRDefault="00B12ECE" w:rsidP="00BC7F9D">
                  <w:pPr>
                    <w:jc w:val="center"/>
                    <w:rPr>
                      <w:color w:val="000000" w:themeColor="text1"/>
                    </w:rPr>
                  </w:pPr>
                </w:p>
              </w:tc>
              <w:tc>
                <w:tcPr>
                  <w:tcW w:w="1559" w:type="dxa"/>
                </w:tcPr>
                <w:p w:rsidR="00B12ECE" w:rsidRPr="002D5363" w:rsidRDefault="00B12ECE" w:rsidP="00BC7F9D">
                  <w:pPr>
                    <w:jc w:val="center"/>
                    <w:rPr>
                      <w:color w:val="000000" w:themeColor="text1"/>
                    </w:rPr>
                  </w:pPr>
                </w:p>
              </w:tc>
              <w:tc>
                <w:tcPr>
                  <w:tcW w:w="1583" w:type="dxa"/>
                </w:tcPr>
                <w:p w:rsidR="00B12ECE" w:rsidRPr="002D5363" w:rsidRDefault="00B12ECE" w:rsidP="00BC7F9D">
                  <w:pPr>
                    <w:jc w:val="center"/>
                    <w:rPr>
                      <w:b/>
                      <w:color w:val="000000" w:themeColor="text1"/>
                    </w:rPr>
                  </w:pPr>
                  <w:r w:rsidRPr="002D5363">
                    <w:rPr>
                      <w:b/>
                      <w:color w:val="000000" w:themeColor="text1"/>
                    </w:rPr>
                    <w:t>196 670</w:t>
                  </w:r>
                </w:p>
              </w:tc>
            </w:tr>
          </w:tbl>
          <w:p w:rsidR="00B12ECE" w:rsidRPr="009C66D5" w:rsidRDefault="00B12ECE" w:rsidP="00BC7F9D">
            <w:pPr>
              <w:rPr>
                <w:color w:val="000000" w:themeColor="text1"/>
                <w:sz w:val="16"/>
                <w:szCs w:val="16"/>
              </w:rPr>
            </w:pPr>
            <w:r w:rsidRPr="009C66D5">
              <w:rPr>
                <w:color w:val="000000" w:themeColor="text1"/>
                <w:sz w:val="16"/>
                <w:szCs w:val="16"/>
              </w:rPr>
              <w:t>*VSAA dati par 2016.gada jūniju</w:t>
            </w:r>
          </w:p>
          <w:p w:rsidR="00B12ECE" w:rsidRPr="002D5363" w:rsidRDefault="00B12ECE" w:rsidP="00BC7F9D">
            <w:pPr>
              <w:rPr>
                <w:color w:val="000000" w:themeColor="text1"/>
              </w:rPr>
            </w:pPr>
            <w:r w:rsidRPr="009C66D5">
              <w:rPr>
                <w:color w:val="000000" w:themeColor="text1"/>
                <w:sz w:val="16"/>
                <w:szCs w:val="16"/>
              </w:rPr>
              <w:t>** prognoze</w:t>
            </w:r>
          </w:p>
          <w:p w:rsidR="00B12ECE" w:rsidRDefault="00B12ECE" w:rsidP="00BC7F9D">
            <w:pPr>
              <w:jc w:val="both"/>
              <w:rPr>
                <w:color w:val="000000" w:themeColor="text1"/>
              </w:rPr>
            </w:pPr>
          </w:p>
          <w:p w:rsidR="00B12ECE" w:rsidRDefault="00B12ECE" w:rsidP="00BC7F9D">
            <w:pPr>
              <w:jc w:val="both"/>
              <w:rPr>
                <w:b/>
                <w:i/>
                <w:color w:val="000000" w:themeColor="text1"/>
              </w:rPr>
            </w:pPr>
            <w:r w:rsidRPr="002D5363">
              <w:rPr>
                <w:color w:val="000000" w:themeColor="text1"/>
              </w:rPr>
              <w:t xml:space="preserve">Izmaiņu rezultātā VSNP apgādnieka zaudējuma gadījumā vidējais apmērs 2017.gadā palielināsies (salīdzinājumā ar bāzes projektu) par 0,82 </w:t>
            </w:r>
            <w:proofErr w:type="spellStart"/>
            <w:r w:rsidRPr="00BC7F9D">
              <w:rPr>
                <w:i/>
                <w:color w:val="000000" w:themeColor="text1"/>
              </w:rPr>
              <w:t>euro</w:t>
            </w:r>
            <w:proofErr w:type="spellEnd"/>
            <w:r>
              <w:rPr>
                <w:i/>
                <w:color w:val="000000" w:themeColor="text1"/>
              </w:rPr>
              <w:t xml:space="preserve"> vidēji mēnesī</w:t>
            </w:r>
            <w:r w:rsidRPr="002D5363">
              <w:rPr>
                <w:b/>
                <w:i/>
                <w:color w:val="000000" w:themeColor="text1"/>
              </w:rPr>
              <w:t>.</w:t>
            </w:r>
          </w:p>
          <w:p w:rsidR="00B12ECE" w:rsidRPr="002D5363" w:rsidRDefault="00B12ECE" w:rsidP="00BC7F9D">
            <w:pPr>
              <w:jc w:val="both"/>
              <w:rPr>
                <w:b/>
                <w:i/>
                <w:color w:val="000000" w:themeColor="text1"/>
              </w:rPr>
            </w:pPr>
          </w:p>
          <w:p w:rsidR="00B12ECE" w:rsidRPr="002D5363" w:rsidRDefault="00B12ECE" w:rsidP="00A81A07">
            <w:pPr>
              <w:jc w:val="both"/>
              <w:rPr>
                <w:color w:val="000000" w:themeColor="text1"/>
              </w:rPr>
            </w:pPr>
            <w:r>
              <w:rPr>
                <w:color w:val="000000" w:themeColor="text1"/>
              </w:rPr>
              <w:t xml:space="preserve">Ņemot vērā Labklājības ministrijas pieņēmumu, ka 95% no kopējā (4,0 milj. </w:t>
            </w:r>
            <w:proofErr w:type="spellStart"/>
            <w:r w:rsidRPr="005F7329">
              <w:rPr>
                <w:i/>
                <w:color w:val="000000" w:themeColor="text1"/>
              </w:rPr>
              <w:t>euro</w:t>
            </w:r>
            <w:proofErr w:type="spellEnd"/>
            <w:r>
              <w:rPr>
                <w:color w:val="000000" w:themeColor="text1"/>
              </w:rPr>
              <w:t xml:space="preserve">) </w:t>
            </w:r>
            <w:r w:rsidRPr="002D5363">
              <w:rPr>
                <w:color w:val="000000" w:themeColor="text1"/>
              </w:rPr>
              <w:t>M</w:t>
            </w:r>
            <w:r>
              <w:rPr>
                <w:color w:val="000000" w:themeColor="text1"/>
              </w:rPr>
              <w:t>inistru kabineta</w:t>
            </w:r>
            <w:r w:rsidRPr="002D5363">
              <w:rPr>
                <w:color w:val="000000" w:themeColor="text1"/>
              </w:rPr>
              <w:t xml:space="preserve"> 2016</w:t>
            </w:r>
            <w:r>
              <w:rPr>
                <w:color w:val="000000" w:themeColor="text1"/>
              </w:rPr>
              <w:t>.gada 16.augusta sēdē atbalstītā papildu finansējuma</w:t>
            </w:r>
            <w:r>
              <w:rPr>
                <w:vanish/>
                <w:color w:val="000000" w:themeColor="text1"/>
              </w:rPr>
              <w:t xml:space="preserve">mgadaudnovirzansnozi, ka </w:t>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vanish/>
                <w:color w:val="000000" w:themeColor="text1"/>
              </w:rPr>
              <w:pgNum/>
            </w:r>
            <w:r>
              <w:rPr>
                <w:color w:val="000000" w:themeColor="text1"/>
              </w:rPr>
              <w:t xml:space="preserve"> apgādnieka zaudējuma gadījumā (3,8 milj. </w:t>
            </w:r>
            <w:proofErr w:type="spellStart"/>
            <w:r w:rsidRPr="005F7329">
              <w:rPr>
                <w:i/>
                <w:color w:val="000000" w:themeColor="text1"/>
              </w:rPr>
              <w:t>euro</w:t>
            </w:r>
            <w:proofErr w:type="spellEnd"/>
            <w:r>
              <w:rPr>
                <w:color w:val="000000" w:themeColor="text1"/>
              </w:rPr>
              <w:t>) tiek novirzīti p</w:t>
            </w:r>
            <w:r w:rsidRPr="00E21B52">
              <w:rPr>
                <w:color w:val="000000" w:themeColor="text1"/>
              </w:rPr>
              <w:t>iemaksa</w:t>
            </w:r>
            <w:r>
              <w:rPr>
                <w:color w:val="000000" w:themeColor="text1"/>
              </w:rPr>
              <w:t>i</w:t>
            </w:r>
            <w:r w:rsidRPr="00E21B52">
              <w:rPr>
                <w:color w:val="000000" w:themeColor="text1"/>
              </w:rPr>
              <w:t xml:space="preserve"> </w:t>
            </w:r>
            <w:r>
              <w:rPr>
                <w:color w:val="000000" w:themeColor="text1"/>
              </w:rPr>
              <w:t>apgādnieka zaudējuma</w:t>
            </w:r>
            <w:r w:rsidRPr="00E21B52">
              <w:rPr>
                <w:color w:val="000000" w:themeColor="text1"/>
              </w:rPr>
              <w:t xml:space="preserve"> pensiju saņēmējiem</w:t>
            </w:r>
            <w:r>
              <w:rPr>
                <w:color w:val="000000" w:themeColor="text1"/>
              </w:rPr>
              <w:t xml:space="preserve"> (transferts no pamatbudžeta apakšprogrammas 04.00.00 „Valsts atbalsts sociālajai apdrošināšanai” uz speciālā budžeta apakšprogrammas 04.01.00 „Valsts pensiju speciālais budžets” izdevumiem pensijām apgādnieka zaudējuma gadījumā), </w:t>
            </w:r>
            <w:r w:rsidRPr="002D5363">
              <w:rPr>
                <w:color w:val="000000" w:themeColor="text1"/>
              </w:rPr>
              <w:t xml:space="preserve">2018.gadā </w:t>
            </w:r>
            <w:r>
              <w:rPr>
                <w:color w:val="000000" w:themeColor="text1"/>
              </w:rPr>
              <w:t xml:space="preserve">un 2019.gadā </w:t>
            </w:r>
            <w:r w:rsidRPr="002D5363">
              <w:rPr>
                <w:color w:val="000000" w:themeColor="text1"/>
              </w:rPr>
              <w:t>papildus izdevumi valsts sociālā nodrošinājuma pabalsta apgādnieka zaudējuma gadījumā apmēr</w:t>
            </w:r>
            <w:r>
              <w:rPr>
                <w:color w:val="000000" w:themeColor="text1"/>
              </w:rPr>
              <w:t>a</w:t>
            </w:r>
            <w:r w:rsidRPr="002D5363">
              <w:rPr>
                <w:color w:val="000000" w:themeColor="text1"/>
              </w:rPr>
              <w:t xml:space="preserve"> paaugstināšanai paredzēti 200 000 </w:t>
            </w:r>
            <w:proofErr w:type="spellStart"/>
            <w:r w:rsidRPr="00BC7F9D">
              <w:rPr>
                <w:i/>
                <w:color w:val="000000" w:themeColor="text1"/>
              </w:rPr>
              <w:t>euro</w:t>
            </w:r>
            <w:proofErr w:type="spellEnd"/>
            <w:r w:rsidRPr="002D5363">
              <w:rPr>
                <w:color w:val="000000" w:themeColor="text1"/>
              </w:rPr>
              <w:t xml:space="preserve">, kā rezultātā pabalsta vidējais apmērs mēnesī (salīdzinājumā ar bāzes projektu) palielināsies par 0,81 </w:t>
            </w:r>
            <w:proofErr w:type="spellStart"/>
            <w:r w:rsidRPr="00BC7F9D">
              <w:rPr>
                <w:i/>
                <w:color w:val="000000" w:themeColor="text1"/>
              </w:rPr>
              <w:t>euro</w:t>
            </w:r>
            <w:proofErr w:type="spellEnd"/>
            <w:r>
              <w:rPr>
                <w:i/>
                <w:color w:val="000000" w:themeColor="text1"/>
              </w:rPr>
              <w:t xml:space="preserve"> </w:t>
            </w:r>
            <w:r>
              <w:rPr>
                <w:color w:val="000000" w:themeColor="text1"/>
              </w:rPr>
              <w:t xml:space="preserve">2018.gadā un par </w:t>
            </w:r>
            <w:r w:rsidRPr="002D5363">
              <w:rPr>
                <w:color w:val="000000" w:themeColor="text1"/>
              </w:rPr>
              <w:t xml:space="preserve">0,79 </w:t>
            </w:r>
            <w:proofErr w:type="spellStart"/>
            <w:r w:rsidRPr="00BC7F9D">
              <w:rPr>
                <w:i/>
                <w:color w:val="000000" w:themeColor="text1"/>
              </w:rPr>
              <w:t>euro</w:t>
            </w:r>
            <w:proofErr w:type="spellEnd"/>
            <w:r>
              <w:rPr>
                <w:i/>
                <w:color w:val="000000" w:themeColor="text1"/>
              </w:rPr>
              <w:t xml:space="preserve"> </w:t>
            </w:r>
            <w:r>
              <w:rPr>
                <w:color w:val="000000" w:themeColor="text1"/>
              </w:rPr>
              <w:t>2019.gadā.</w:t>
            </w:r>
          </w:p>
        </w:tc>
      </w:tr>
      <w:tr w:rsidR="00B12ECE" w:rsidRPr="00645816" w:rsidTr="00442745">
        <w:tc>
          <w:tcPr>
            <w:tcW w:w="2634" w:type="dxa"/>
            <w:shd w:val="clear" w:color="auto" w:fill="auto"/>
          </w:tcPr>
          <w:p w:rsidR="00B12ECE" w:rsidRPr="00645816" w:rsidRDefault="00B12ECE" w:rsidP="00BC7F9D">
            <w:pPr>
              <w:rPr>
                <w:color w:val="000000" w:themeColor="text1"/>
                <w:sz w:val="22"/>
                <w:szCs w:val="22"/>
              </w:rPr>
            </w:pPr>
            <w:r w:rsidRPr="00645816">
              <w:rPr>
                <w:color w:val="000000" w:themeColor="text1"/>
                <w:sz w:val="22"/>
                <w:szCs w:val="22"/>
              </w:rPr>
              <w:t>6.2. Detalizēts izdevumu aprēķins</w:t>
            </w:r>
          </w:p>
        </w:tc>
        <w:tc>
          <w:tcPr>
            <w:tcW w:w="6688" w:type="dxa"/>
            <w:gridSpan w:val="5"/>
            <w:vMerge/>
            <w:shd w:val="clear" w:color="auto" w:fill="auto"/>
          </w:tcPr>
          <w:p w:rsidR="00B12ECE" w:rsidRPr="00645816" w:rsidRDefault="00B12ECE" w:rsidP="00BC7F9D">
            <w:pPr>
              <w:jc w:val="both"/>
              <w:rPr>
                <w:color w:val="000000" w:themeColor="text1"/>
              </w:rPr>
            </w:pPr>
          </w:p>
        </w:tc>
      </w:tr>
      <w:tr w:rsidR="00B12ECE" w:rsidRPr="00E54FF4" w:rsidTr="00442745">
        <w:tc>
          <w:tcPr>
            <w:tcW w:w="2634" w:type="dxa"/>
            <w:shd w:val="clear" w:color="auto" w:fill="auto"/>
          </w:tcPr>
          <w:p w:rsidR="00B12ECE" w:rsidRPr="00645816" w:rsidRDefault="00B12ECE" w:rsidP="00BC7F9D">
            <w:pPr>
              <w:jc w:val="both"/>
              <w:rPr>
                <w:color w:val="000000" w:themeColor="text1"/>
                <w:sz w:val="22"/>
                <w:szCs w:val="22"/>
              </w:rPr>
            </w:pPr>
            <w:r w:rsidRPr="00645816">
              <w:rPr>
                <w:color w:val="000000" w:themeColor="text1"/>
                <w:sz w:val="22"/>
                <w:szCs w:val="22"/>
              </w:rPr>
              <w:lastRenderedPageBreak/>
              <w:t>7. Cita informācija</w:t>
            </w:r>
          </w:p>
        </w:tc>
        <w:tc>
          <w:tcPr>
            <w:tcW w:w="6688" w:type="dxa"/>
            <w:gridSpan w:val="5"/>
            <w:shd w:val="clear" w:color="auto" w:fill="auto"/>
          </w:tcPr>
          <w:p w:rsidR="00B12ECE" w:rsidRDefault="00B12ECE" w:rsidP="00BC7F9D">
            <w:pPr>
              <w:jc w:val="both"/>
              <w:rPr>
                <w:color w:val="000000" w:themeColor="text1"/>
              </w:rPr>
            </w:pPr>
            <w:r>
              <w:rPr>
                <w:rFonts w:eastAsiaTheme="minorHAnsi"/>
                <w:color w:val="000000"/>
              </w:rPr>
              <w:t xml:space="preserve">Atbilstoši </w:t>
            </w:r>
            <w:r>
              <w:rPr>
                <w:color w:val="000000" w:themeColor="text1"/>
              </w:rPr>
              <w:t>Ministru kabineta 2016.gada 16.augusta sēdes protokola Nr.40 59.§ 2.punktam papildu finansējums L</w:t>
            </w:r>
            <w:r w:rsidR="00A81A07">
              <w:rPr>
                <w:color w:val="000000" w:themeColor="text1"/>
              </w:rPr>
              <w:t>abklājības ministrijas</w:t>
            </w:r>
            <w:proofErr w:type="gramStart"/>
            <w:r>
              <w:rPr>
                <w:color w:val="000000" w:themeColor="text1"/>
              </w:rPr>
              <w:t xml:space="preserve">  </w:t>
            </w:r>
            <w:proofErr w:type="gramEnd"/>
            <w:r>
              <w:rPr>
                <w:color w:val="000000" w:themeColor="text1"/>
              </w:rPr>
              <w:t xml:space="preserve">prioritārajiem pasākumiem „Atbalsta palielināšana apgādnieka zaudējuma pensijas saņēmējiem” un „Ģimenes valsts pabalsta palielināšana, sākot no 4.bērna” 2017.-2019.gadam ir piešķirts vienādā līmenī ik gadu, attiecīgi 4,0 milj. </w:t>
            </w:r>
            <w:proofErr w:type="spellStart"/>
            <w:r w:rsidRPr="00BC7F9D">
              <w:rPr>
                <w:i/>
                <w:color w:val="000000" w:themeColor="text1"/>
              </w:rPr>
              <w:t>euro</w:t>
            </w:r>
            <w:proofErr w:type="spellEnd"/>
            <w:r>
              <w:rPr>
                <w:color w:val="000000" w:themeColor="text1"/>
              </w:rPr>
              <w:t xml:space="preserve"> un 3,5 milj. </w:t>
            </w:r>
            <w:proofErr w:type="spellStart"/>
            <w:r w:rsidRPr="00BC7F9D">
              <w:rPr>
                <w:i/>
                <w:color w:val="000000" w:themeColor="text1"/>
              </w:rPr>
              <w:t>euro</w:t>
            </w:r>
            <w:proofErr w:type="spellEnd"/>
            <w:r>
              <w:rPr>
                <w:color w:val="000000" w:themeColor="text1"/>
              </w:rPr>
              <w:t xml:space="preserve"> apmērā. </w:t>
            </w:r>
          </w:p>
          <w:p w:rsidR="00B12ECE" w:rsidRDefault="00B12ECE" w:rsidP="00BC7F9D">
            <w:pPr>
              <w:jc w:val="both"/>
              <w:rPr>
                <w:color w:val="000000" w:themeColor="text1"/>
              </w:rPr>
            </w:pPr>
            <w:r>
              <w:rPr>
                <w:color w:val="000000" w:themeColor="text1"/>
              </w:rPr>
              <w:t xml:space="preserve">Minēto papildu finansējumu Labklājības ministrija ir iestrādājusi pamatbudžeta un speciālā budžeta </w:t>
            </w:r>
            <w:r w:rsidRPr="006059E2">
              <w:rPr>
                <w:color w:val="000000" w:themeColor="text1"/>
              </w:rPr>
              <w:t>maksimā</w:t>
            </w:r>
            <w:r>
              <w:rPr>
                <w:color w:val="000000" w:themeColor="text1"/>
              </w:rPr>
              <w:t>li pieļaujamo izdevumu kopapjomā</w:t>
            </w:r>
            <w:r w:rsidRPr="006059E2">
              <w:rPr>
                <w:color w:val="000000" w:themeColor="text1"/>
              </w:rPr>
              <w:t xml:space="preserve"> 2017.-2019.gadam</w:t>
            </w:r>
            <w:r>
              <w:rPr>
                <w:color w:val="000000" w:themeColor="text1"/>
              </w:rPr>
              <w:t>.</w:t>
            </w:r>
          </w:p>
          <w:p w:rsidR="00B12ECE" w:rsidRDefault="00B12ECE" w:rsidP="00BC7F9D">
            <w:pPr>
              <w:jc w:val="both"/>
              <w:rPr>
                <w:rFonts w:eastAsiaTheme="minorHAnsi"/>
                <w:color w:val="000000"/>
              </w:rPr>
            </w:pPr>
            <w:r w:rsidRPr="00BC7F9D">
              <w:rPr>
                <w:rFonts w:eastAsiaTheme="minorHAnsi"/>
                <w:color w:val="000000"/>
              </w:rPr>
              <w:t xml:space="preserve">Labklājības ministrija, sagatavojot </w:t>
            </w:r>
            <w:r>
              <w:rPr>
                <w:rFonts w:eastAsiaTheme="minorHAnsi"/>
                <w:color w:val="000000"/>
              </w:rPr>
              <w:t xml:space="preserve">pamatbudžeta un speciālā budžeta </w:t>
            </w:r>
            <w:r w:rsidRPr="00BC7F9D">
              <w:rPr>
                <w:rFonts w:eastAsiaTheme="minorHAnsi"/>
                <w:color w:val="000000"/>
              </w:rPr>
              <w:t>2018.gada</w:t>
            </w:r>
            <w:r>
              <w:rPr>
                <w:rFonts w:eastAsiaTheme="minorHAnsi"/>
                <w:color w:val="000000"/>
              </w:rPr>
              <w:t xml:space="preserve"> </w:t>
            </w:r>
            <w:r w:rsidRPr="00BC7F9D">
              <w:rPr>
                <w:rFonts w:eastAsiaTheme="minorHAnsi"/>
                <w:color w:val="000000"/>
              </w:rPr>
              <w:t>-</w:t>
            </w:r>
            <w:r>
              <w:rPr>
                <w:rFonts w:eastAsiaTheme="minorHAnsi"/>
                <w:color w:val="000000"/>
              </w:rPr>
              <w:t xml:space="preserve"> </w:t>
            </w:r>
            <w:r w:rsidRPr="00BC7F9D">
              <w:rPr>
                <w:rFonts w:eastAsiaTheme="minorHAnsi"/>
                <w:color w:val="000000"/>
              </w:rPr>
              <w:t xml:space="preserve">2020.gada bāzes prognozes, </w:t>
            </w:r>
            <w:r w:rsidRPr="006059E2">
              <w:rPr>
                <w:rFonts w:eastAsiaTheme="minorHAnsi"/>
                <w:color w:val="000000"/>
              </w:rPr>
              <w:t>pastiprināti izvērtē</w:t>
            </w:r>
            <w:r w:rsidRPr="00BC7F9D">
              <w:rPr>
                <w:rFonts w:eastAsiaTheme="minorHAnsi"/>
                <w:color w:val="000000"/>
              </w:rPr>
              <w:t xml:space="preserve">s visus </w:t>
            </w:r>
            <w:r>
              <w:rPr>
                <w:rFonts w:eastAsiaTheme="minorHAnsi"/>
                <w:color w:val="000000"/>
              </w:rPr>
              <w:t>minēto pasākumu finansējuma</w:t>
            </w:r>
            <w:r w:rsidRPr="00BC7F9D">
              <w:rPr>
                <w:rFonts w:eastAsiaTheme="minorHAnsi"/>
                <w:color w:val="000000"/>
              </w:rPr>
              <w:t xml:space="preserve"> ietekmējošos faktorus un, nepieciešamības gadījumā </w:t>
            </w:r>
            <w:r>
              <w:rPr>
                <w:rFonts w:eastAsiaTheme="minorHAnsi"/>
                <w:color w:val="000000"/>
              </w:rPr>
              <w:t>sniegs priekšlikumus bāzes izdevumu izmaiņām.</w:t>
            </w:r>
          </w:p>
          <w:p w:rsidR="00B12ECE" w:rsidRDefault="00B12ECE" w:rsidP="00BC7F9D">
            <w:pPr>
              <w:jc w:val="both"/>
              <w:rPr>
                <w:rFonts w:eastAsiaTheme="minorHAnsi"/>
                <w:color w:val="000000"/>
              </w:rPr>
            </w:pPr>
          </w:p>
          <w:p w:rsidR="00B12ECE" w:rsidRPr="00221ED3" w:rsidRDefault="00B12ECE" w:rsidP="00BC7F9D">
            <w:pPr>
              <w:spacing w:before="60" w:after="60"/>
              <w:jc w:val="both"/>
              <w:rPr>
                <w:rFonts w:eastAsiaTheme="minorHAnsi"/>
                <w:color w:val="000000"/>
              </w:rPr>
            </w:pPr>
            <w:r w:rsidRPr="00221ED3">
              <w:rPr>
                <w:rFonts w:eastAsiaTheme="minorHAnsi"/>
                <w:color w:val="000000"/>
              </w:rPr>
              <w:t xml:space="preserve">Šobrīd ar Ministru kabineta 2016.gada 16.augusta sēdes protokola Nr.40 59.§ 2.punktu Labklājības ministrijai apstiprināto papildu finansējumu </w:t>
            </w:r>
            <w:r>
              <w:rPr>
                <w:rFonts w:eastAsiaTheme="minorHAnsi"/>
                <w:color w:val="000000"/>
              </w:rPr>
              <w:t xml:space="preserve">prioritārajam </w:t>
            </w:r>
            <w:r w:rsidRPr="00221ED3">
              <w:rPr>
                <w:rFonts w:eastAsiaTheme="minorHAnsi"/>
                <w:color w:val="000000"/>
              </w:rPr>
              <w:t xml:space="preserve">pasākumam „Atbalsta palielināšana </w:t>
            </w:r>
            <w:r w:rsidRPr="00221ED3">
              <w:rPr>
                <w:rFonts w:eastAsiaTheme="minorHAnsi"/>
                <w:color w:val="000000"/>
              </w:rPr>
              <w:lastRenderedPageBreak/>
              <w:t xml:space="preserve">apgādnieka zaudējuma pensijas saņēmējiem” 2017.-2019.gadā 4 000 000 </w:t>
            </w:r>
            <w:proofErr w:type="spellStart"/>
            <w:r w:rsidRPr="00DE7A3A">
              <w:rPr>
                <w:rFonts w:eastAsiaTheme="minorHAnsi"/>
                <w:i/>
                <w:color w:val="000000"/>
              </w:rPr>
              <w:t>euro</w:t>
            </w:r>
            <w:proofErr w:type="spellEnd"/>
            <w:r w:rsidRPr="00221ED3">
              <w:rPr>
                <w:rFonts w:eastAsiaTheme="minorHAnsi"/>
                <w:color w:val="000000"/>
              </w:rPr>
              <w:t xml:space="preserve"> apmērā plānots novirzīt:</w:t>
            </w:r>
          </w:p>
          <w:p w:rsidR="00B12ECE" w:rsidRPr="00DE7A3A" w:rsidRDefault="00B12ECE" w:rsidP="00BC7F9D">
            <w:pPr>
              <w:pStyle w:val="ListParagraph"/>
              <w:numPr>
                <w:ilvl w:val="0"/>
                <w:numId w:val="28"/>
              </w:numPr>
              <w:spacing w:before="60" w:after="60"/>
              <w:jc w:val="both"/>
              <w:rPr>
                <w:rFonts w:eastAsiaTheme="minorHAnsi"/>
                <w:color w:val="000000"/>
              </w:rPr>
            </w:pPr>
            <w:r w:rsidRPr="00DE7A3A">
              <w:rPr>
                <w:rFonts w:eastAsiaTheme="minorHAnsi"/>
                <w:color w:val="000000"/>
              </w:rPr>
              <w:t xml:space="preserve">speciālā budžeta apakšprogrammas 04.01.00 „Valsts pensiju speciālais budžets” izdevumiem pensijas apgādnieka zaudējuma gadījumā nodrošināšanai (2017.gadā 3 736 730 </w:t>
            </w:r>
            <w:proofErr w:type="spellStart"/>
            <w:r w:rsidRPr="00BC7F9D">
              <w:rPr>
                <w:rFonts w:eastAsiaTheme="minorHAnsi"/>
                <w:i/>
                <w:color w:val="000000"/>
              </w:rPr>
              <w:t>euro</w:t>
            </w:r>
            <w:proofErr w:type="spellEnd"/>
            <w:r w:rsidRPr="00DE7A3A">
              <w:rPr>
                <w:rFonts w:eastAsiaTheme="minorHAnsi"/>
                <w:color w:val="000000"/>
              </w:rPr>
              <w:t xml:space="preserve"> apmērā un 2018.gadā un </w:t>
            </w:r>
            <w:r w:rsidRPr="00221ED3">
              <w:rPr>
                <w:rFonts w:eastAsiaTheme="minorHAnsi"/>
                <w:color w:val="000000"/>
              </w:rPr>
              <w:t>turpmāk</w:t>
            </w:r>
            <w:r w:rsidRPr="00DE7A3A">
              <w:rPr>
                <w:rFonts w:eastAsiaTheme="minorHAnsi"/>
                <w:color w:val="000000"/>
              </w:rPr>
              <w:t xml:space="preserve"> </w:t>
            </w:r>
            <w:r w:rsidRPr="00221ED3">
              <w:rPr>
                <w:rFonts w:eastAsiaTheme="minorHAnsi"/>
                <w:color w:val="000000"/>
              </w:rPr>
              <w:t>3 </w:t>
            </w:r>
            <w:r w:rsidRPr="00B36268">
              <w:rPr>
                <w:rFonts w:eastAsiaTheme="minorHAnsi"/>
                <w:color w:val="000000"/>
              </w:rPr>
              <w:t>800 000</w:t>
            </w:r>
            <w:r w:rsidRPr="00DE7A3A">
              <w:rPr>
                <w:rFonts w:eastAsiaTheme="minorHAnsi"/>
                <w:color w:val="000000"/>
              </w:rPr>
              <w:t xml:space="preserve"> </w:t>
            </w:r>
            <w:proofErr w:type="spellStart"/>
            <w:r w:rsidRPr="00BC7F9D">
              <w:rPr>
                <w:rFonts w:eastAsiaTheme="minorHAnsi"/>
                <w:i/>
                <w:color w:val="000000"/>
              </w:rPr>
              <w:t>euro</w:t>
            </w:r>
            <w:proofErr w:type="spellEnd"/>
            <w:r w:rsidRPr="00DE7A3A">
              <w:rPr>
                <w:rFonts w:eastAsiaTheme="minorHAnsi"/>
                <w:color w:val="000000"/>
              </w:rPr>
              <w:t xml:space="preserve"> apmērā), speciālā budžeta apakšprogrammas 04.05.00 „Valsts sociālās apdrošināšanas speciālais budžets” izdevumiem pamatkapitāla veidošanai (IT sistēmu pielāgošanai) 2017.gadā 66 600 </w:t>
            </w:r>
            <w:proofErr w:type="spellStart"/>
            <w:r w:rsidRPr="00BC7F9D">
              <w:rPr>
                <w:rFonts w:eastAsiaTheme="minorHAnsi"/>
                <w:i/>
                <w:color w:val="000000"/>
              </w:rPr>
              <w:t>euro</w:t>
            </w:r>
            <w:proofErr w:type="spellEnd"/>
            <w:r w:rsidRPr="00DE7A3A">
              <w:rPr>
                <w:rFonts w:eastAsiaTheme="minorHAnsi"/>
                <w:color w:val="000000"/>
              </w:rPr>
              <w:t xml:space="preserve"> apmērā</w:t>
            </w:r>
            <w:r w:rsidRPr="00221ED3">
              <w:rPr>
                <w:rFonts w:eastAsiaTheme="minorHAnsi"/>
                <w:color w:val="000000"/>
              </w:rPr>
              <w:t xml:space="preserve">, veicot grozījumus </w:t>
            </w:r>
            <w:r w:rsidRPr="00B36268">
              <w:rPr>
                <w:rFonts w:eastAsiaTheme="minorHAnsi"/>
                <w:color w:val="000000"/>
              </w:rPr>
              <w:t>likumā „Par valsts pensijām”;</w:t>
            </w:r>
          </w:p>
          <w:p w:rsidR="00B12ECE" w:rsidRPr="00A81A07" w:rsidRDefault="00B12ECE" w:rsidP="00BC7F9D">
            <w:pPr>
              <w:pStyle w:val="ListParagraph"/>
              <w:numPr>
                <w:ilvl w:val="0"/>
                <w:numId w:val="28"/>
              </w:numPr>
              <w:spacing w:before="60" w:after="60"/>
              <w:jc w:val="both"/>
              <w:rPr>
                <w:rFonts w:eastAsiaTheme="minorHAnsi"/>
                <w:color w:val="000000"/>
              </w:rPr>
            </w:pPr>
            <w:r w:rsidRPr="00DE7A3A">
              <w:rPr>
                <w:rFonts w:eastAsiaTheme="minorHAnsi"/>
                <w:color w:val="000000"/>
              </w:rPr>
              <w:t xml:space="preserve">pamatbudžeta apakšprogrammas 20.01.00 „Valsts sociālie pabalsti” izdevumiem valsts sociālā nodrošinājuma pabalsta palielināšanai 2017.gadā 196 670 </w:t>
            </w:r>
            <w:proofErr w:type="spellStart"/>
            <w:r w:rsidRPr="00BC7F9D">
              <w:rPr>
                <w:rFonts w:eastAsiaTheme="minorHAnsi"/>
                <w:i/>
                <w:color w:val="000000"/>
              </w:rPr>
              <w:t>euro</w:t>
            </w:r>
            <w:proofErr w:type="spellEnd"/>
            <w:r w:rsidRPr="00DE7A3A">
              <w:rPr>
                <w:rFonts w:eastAsiaTheme="minorHAnsi"/>
                <w:color w:val="000000"/>
              </w:rPr>
              <w:t xml:space="preserve"> apmērā u</w:t>
            </w:r>
            <w:r>
              <w:rPr>
                <w:rFonts w:eastAsiaTheme="minorHAnsi"/>
                <w:color w:val="000000"/>
              </w:rPr>
              <w:t>n</w:t>
            </w:r>
            <w:r w:rsidRPr="00DE7A3A">
              <w:rPr>
                <w:rFonts w:eastAsiaTheme="minorHAnsi"/>
                <w:color w:val="000000"/>
              </w:rPr>
              <w:t xml:space="preserve"> 2018.gadā un turpmāk 200 000 </w:t>
            </w:r>
            <w:proofErr w:type="spellStart"/>
            <w:r w:rsidRPr="00BC7F9D">
              <w:rPr>
                <w:rFonts w:eastAsiaTheme="minorHAnsi"/>
                <w:i/>
                <w:color w:val="000000"/>
              </w:rPr>
              <w:t>euro</w:t>
            </w:r>
            <w:proofErr w:type="spellEnd"/>
            <w:r w:rsidRPr="00DE7A3A">
              <w:rPr>
                <w:rFonts w:eastAsiaTheme="minorHAnsi"/>
                <w:color w:val="000000"/>
              </w:rPr>
              <w:t xml:space="preserve"> apmērā, veicot grozījumus Valsts sociālo pabalstu likumā.</w:t>
            </w:r>
          </w:p>
        </w:tc>
      </w:tr>
    </w:tbl>
    <w:p w:rsidR="0066477E"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2264"/>
        <w:gridCol w:w="6627"/>
      </w:tblGrid>
      <w:tr w:rsidR="0066477E" w:rsidRPr="008C6643" w:rsidTr="001812E5">
        <w:tc>
          <w:tcPr>
            <w:tcW w:w="9287" w:type="dxa"/>
            <w:gridSpan w:val="3"/>
            <w:shd w:val="clear" w:color="auto" w:fill="auto"/>
          </w:tcPr>
          <w:p w:rsidR="0066477E" w:rsidRPr="008C6643" w:rsidRDefault="0066477E" w:rsidP="001812E5">
            <w:pPr>
              <w:jc w:val="center"/>
              <w:rPr>
                <w:b/>
              </w:rPr>
            </w:pPr>
            <w:r w:rsidRPr="008C6643">
              <w:rPr>
                <w:b/>
              </w:rPr>
              <w:t>IV. Tiesību akta projekta ietekme uz spēkā esošo tiesību normu sistēmu</w:t>
            </w:r>
          </w:p>
        </w:tc>
      </w:tr>
      <w:tr w:rsidR="0066477E" w:rsidRPr="008C6643" w:rsidTr="001360BD">
        <w:tc>
          <w:tcPr>
            <w:tcW w:w="396" w:type="dxa"/>
            <w:shd w:val="clear" w:color="auto" w:fill="auto"/>
          </w:tcPr>
          <w:p w:rsidR="0066477E" w:rsidRPr="008C6643" w:rsidRDefault="0066477E" w:rsidP="001812E5">
            <w:r w:rsidRPr="008C6643">
              <w:t>1.</w:t>
            </w:r>
          </w:p>
        </w:tc>
        <w:tc>
          <w:tcPr>
            <w:tcW w:w="2264" w:type="dxa"/>
            <w:shd w:val="clear" w:color="auto" w:fill="auto"/>
          </w:tcPr>
          <w:p w:rsidR="0066477E" w:rsidRPr="008C6643" w:rsidRDefault="0066477E" w:rsidP="001812E5">
            <w:r w:rsidRPr="008C6643">
              <w:t>Nepieciešamie saistītie tiesību aktu projekti</w:t>
            </w:r>
          </w:p>
        </w:tc>
        <w:tc>
          <w:tcPr>
            <w:tcW w:w="6627" w:type="dxa"/>
            <w:shd w:val="clear" w:color="auto" w:fill="auto"/>
          </w:tcPr>
          <w:p w:rsidR="000D5B72" w:rsidRDefault="000D5B72" w:rsidP="000D5B72">
            <w:pPr>
              <w:autoSpaceDE w:val="0"/>
              <w:autoSpaceDN w:val="0"/>
              <w:adjustRightInd w:val="0"/>
              <w:jc w:val="both"/>
              <w:rPr>
                <w:bCs/>
                <w:color w:val="000000" w:themeColor="text1"/>
                <w:shd w:val="clear" w:color="auto" w:fill="FFFFFF"/>
              </w:rPr>
            </w:pPr>
            <w:r w:rsidRPr="008C6643">
              <w:rPr>
                <w:color w:val="000000" w:themeColor="text1"/>
                <w:shd w:val="clear" w:color="auto" w:fill="FFFFFF"/>
              </w:rPr>
              <w:t xml:space="preserve">Likumprojekts </w:t>
            </w:r>
            <w:r w:rsidRPr="008C6643">
              <w:rPr>
                <w:color w:val="000000" w:themeColor="text1"/>
              </w:rPr>
              <w:t>tiek virzīts izskatīšanai Ministru kabinetā vienlaicīgi ar likumprojektu „</w:t>
            </w:r>
            <w:r w:rsidR="00702280" w:rsidRPr="008C6643">
              <w:rPr>
                <w:color w:val="000000" w:themeColor="text1"/>
              </w:rPr>
              <w:t xml:space="preserve">Grozījumi likumā „Par valsts pensijām”” un </w:t>
            </w:r>
            <w:r w:rsidR="00C25233" w:rsidRPr="008C6643">
              <w:rPr>
                <w:color w:val="000000" w:themeColor="text1"/>
              </w:rPr>
              <w:t xml:space="preserve">likumprojektu </w:t>
            </w:r>
            <w:r w:rsidR="00702280" w:rsidRPr="008C6643">
              <w:rPr>
                <w:color w:val="000000" w:themeColor="text1"/>
              </w:rPr>
              <w:t xml:space="preserve">„Grozījumi </w:t>
            </w:r>
            <w:r w:rsidR="007A70AC" w:rsidRPr="008C6643">
              <w:rPr>
                <w:color w:val="000000" w:themeColor="text1"/>
              </w:rPr>
              <w:t>likumā „P</w:t>
            </w:r>
            <w:r w:rsidR="007A70AC" w:rsidRPr="008C6643">
              <w:rPr>
                <w:bCs/>
                <w:color w:val="000000" w:themeColor="text1"/>
                <w:shd w:val="clear" w:color="auto" w:fill="FFFFFF"/>
              </w:rPr>
              <w:t>ar obligāto</w:t>
            </w:r>
            <w:r w:rsidR="00C25233">
              <w:rPr>
                <w:bCs/>
                <w:color w:val="000000" w:themeColor="text1"/>
                <w:shd w:val="clear" w:color="auto" w:fill="FFFFFF"/>
              </w:rPr>
              <w:t xml:space="preserve"> </w:t>
            </w:r>
            <w:r w:rsidR="007A70AC" w:rsidRPr="008C6643">
              <w:rPr>
                <w:bCs/>
                <w:color w:val="000000" w:themeColor="text1"/>
                <w:shd w:val="clear" w:color="auto" w:fill="FFFFFF"/>
              </w:rPr>
              <w:t>sociālo apdrošināšanu</w:t>
            </w:r>
            <w:r w:rsidR="00C25233">
              <w:rPr>
                <w:bCs/>
                <w:color w:val="000000" w:themeColor="text1"/>
                <w:shd w:val="clear" w:color="auto" w:fill="FFFFFF"/>
              </w:rPr>
              <w:t xml:space="preserve"> </w:t>
            </w:r>
            <w:r w:rsidR="007A70AC" w:rsidRPr="008C6643">
              <w:rPr>
                <w:bCs/>
                <w:color w:val="000000" w:themeColor="text1"/>
                <w:shd w:val="clear" w:color="auto" w:fill="FFFFFF"/>
              </w:rPr>
              <w:t>pret</w:t>
            </w:r>
            <w:r w:rsidR="007A70AC" w:rsidRPr="008C6643">
              <w:rPr>
                <w:rStyle w:val="apple-converted-space"/>
                <w:bCs/>
                <w:color w:val="000000" w:themeColor="text1"/>
                <w:shd w:val="clear" w:color="auto" w:fill="FFFFFF"/>
              </w:rPr>
              <w:t> </w:t>
            </w:r>
            <w:r w:rsidR="007A70AC" w:rsidRPr="008C6643">
              <w:rPr>
                <w:bCs/>
                <w:color w:val="000000" w:themeColor="text1"/>
              </w:rPr>
              <w:br/>
            </w:r>
            <w:r w:rsidR="007A70AC" w:rsidRPr="008C6643">
              <w:rPr>
                <w:bCs/>
                <w:color w:val="000000" w:themeColor="text1"/>
                <w:shd w:val="clear" w:color="auto" w:fill="FFFFFF"/>
              </w:rPr>
              <w:t>nelaimes gadījumiem darbā un arodslimībām</w:t>
            </w:r>
            <w:r w:rsidR="000D16B1" w:rsidRPr="008C6643">
              <w:rPr>
                <w:bCs/>
                <w:color w:val="000000" w:themeColor="text1"/>
                <w:shd w:val="clear" w:color="auto" w:fill="FFFFFF"/>
              </w:rPr>
              <w:t>”</w:t>
            </w:r>
            <w:r w:rsidR="007A70AC" w:rsidRPr="008C6643">
              <w:rPr>
                <w:bCs/>
                <w:color w:val="000000" w:themeColor="text1"/>
                <w:shd w:val="clear" w:color="auto" w:fill="FFFFFF"/>
              </w:rPr>
              <w:t>.</w:t>
            </w:r>
          </w:p>
          <w:p w:rsidR="00A56BB6" w:rsidRDefault="00A56BB6" w:rsidP="000D5B72">
            <w:pPr>
              <w:autoSpaceDE w:val="0"/>
              <w:autoSpaceDN w:val="0"/>
              <w:adjustRightInd w:val="0"/>
              <w:jc w:val="both"/>
              <w:rPr>
                <w:bCs/>
                <w:color w:val="000000" w:themeColor="text1"/>
                <w:shd w:val="clear" w:color="auto" w:fill="FFFFFF"/>
              </w:rPr>
            </w:pPr>
          </w:p>
          <w:p w:rsidR="0066477E" w:rsidRDefault="000D5B72" w:rsidP="007A70AC">
            <w:pPr>
              <w:tabs>
                <w:tab w:val="left" w:pos="6999"/>
              </w:tabs>
              <w:ind w:left="-21" w:right="32"/>
              <w:jc w:val="both"/>
              <w:rPr>
                <w:u w:val="single"/>
                <w:shd w:val="clear" w:color="auto" w:fill="FFFFFF"/>
              </w:rPr>
            </w:pPr>
            <w:r w:rsidRPr="008C6643">
              <w:rPr>
                <w:u w:val="single"/>
                <w:shd w:val="clear" w:color="auto" w:fill="FFFFFF"/>
              </w:rPr>
              <w:t>Likumprojekts izskatāms</w:t>
            </w:r>
            <w:r w:rsidRPr="008C6643">
              <w:rPr>
                <w:rStyle w:val="apple-converted-space"/>
                <w:u w:val="single"/>
                <w:shd w:val="clear" w:color="auto" w:fill="FFFFFF"/>
              </w:rPr>
              <w:t> </w:t>
            </w:r>
            <w:r w:rsidRPr="008C6643">
              <w:rPr>
                <w:u w:val="single"/>
                <w:shd w:val="clear" w:color="auto" w:fill="FFFFFF"/>
              </w:rPr>
              <w:t>vienotā paketē ar Finanšu ministrijas sagatavoto likumprojektu</w:t>
            </w:r>
            <w:r w:rsidRPr="008C6643">
              <w:rPr>
                <w:rStyle w:val="apple-converted-space"/>
                <w:u w:val="single"/>
                <w:shd w:val="clear" w:color="auto" w:fill="FFFFFF"/>
              </w:rPr>
              <w:t> </w:t>
            </w:r>
            <w:r w:rsidRPr="008C6643">
              <w:rPr>
                <w:u w:val="single"/>
                <w:shd w:val="clear" w:color="auto" w:fill="FFFFFF"/>
              </w:rPr>
              <w:t>„Par valsts budžetu 201</w:t>
            </w:r>
            <w:r w:rsidR="007A70AC" w:rsidRPr="008C6643">
              <w:rPr>
                <w:u w:val="single"/>
                <w:shd w:val="clear" w:color="auto" w:fill="FFFFFF"/>
              </w:rPr>
              <w:t>7</w:t>
            </w:r>
            <w:r w:rsidRPr="008C6643">
              <w:rPr>
                <w:u w:val="single"/>
                <w:shd w:val="clear" w:color="auto" w:fill="FFFFFF"/>
              </w:rPr>
              <w:t>.gadam”.</w:t>
            </w:r>
          </w:p>
          <w:p w:rsidR="00A56BB6" w:rsidRDefault="00A56BB6" w:rsidP="007A70AC">
            <w:pPr>
              <w:tabs>
                <w:tab w:val="left" w:pos="6999"/>
              </w:tabs>
              <w:ind w:left="-21" w:right="32"/>
              <w:jc w:val="both"/>
              <w:rPr>
                <w:u w:val="single"/>
                <w:shd w:val="clear" w:color="auto" w:fill="FFFFFF"/>
              </w:rPr>
            </w:pPr>
          </w:p>
          <w:p w:rsidR="008408EC" w:rsidRPr="00C913A8" w:rsidRDefault="00C913A8" w:rsidP="00C913A8">
            <w:pPr>
              <w:tabs>
                <w:tab w:val="left" w:pos="6999"/>
              </w:tabs>
              <w:ind w:left="-21" w:right="32"/>
              <w:jc w:val="both"/>
            </w:pPr>
            <w:r w:rsidRPr="00C913A8">
              <w:rPr>
                <w:shd w:val="clear" w:color="auto" w:fill="FFFFFF"/>
              </w:rPr>
              <w:t xml:space="preserve">Pēc likumprojekta pieņemšanas Saeimā Labklājības ministrija nodrošinās Ministru kabineta noteikumu izstrādi, lai no 2017.gada 1.aprīļa noteiktu </w:t>
            </w:r>
            <w:r w:rsidRPr="00C913A8">
              <w:rPr>
                <w:color w:val="000000" w:themeColor="text1"/>
                <w:shd w:val="clear" w:color="auto" w:fill="FFFFFF"/>
              </w:rPr>
              <w:t>valsts sociālā nodrošinājuma pabalsta minimālo apmēru</w:t>
            </w:r>
            <w:r w:rsidRPr="00C913A8">
              <w:rPr>
                <w:color w:val="000000" w:themeColor="text1"/>
              </w:rPr>
              <w:t xml:space="preserve"> katram bērnam un tā pārskatīšanas</w:t>
            </w:r>
            <w:r>
              <w:rPr>
                <w:color w:val="000000" w:themeColor="text1"/>
              </w:rPr>
              <w:t xml:space="preserve"> kārtību.</w:t>
            </w:r>
          </w:p>
        </w:tc>
      </w:tr>
      <w:tr w:rsidR="0066477E" w:rsidRPr="008C6643" w:rsidTr="001360BD">
        <w:tc>
          <w:tcPr>
            <w:tcW w:w="396" w:type="dxa"/>
            <w:shd w:val="clear" w:color="auto" w:fill="auto"/>
          </w:tcPr>
          <w:p w:rsidR="0066477E" w:rsidRPr="008C6643" w:rsidRDefault="0066477E" w:rsidP="001812E5">
            <w:r w:rsidRPr="008C6643">
              <w:t>2.</w:t>
            </w:r>
          </w:p>
        </w:tc>
        <w:tc>
          <w:tcPr>
            <w:tcW w:w="2264" w:type="dxa"/>
            <w:shd w:val="clear" w:color="auto" w:fill="auto"/>
          </w:tcPr>
          <w:p w:rsidR="0066477E" w:rsidRPr="008C6643" w:rsidRDefault="0066477E" w:rsidP="001812E5">
            <w:pPr>
              <w:pStyle w:val="naiskr"/>
              <w:tabs>
                <w:tab w:val="left" w:pos="2628"/>
              </w:tabs>
              <w:spacing w:before="0" w:after="0"/>
              <w:jc w:val="both"/>
            </w:pPr>
            <w:r w:rsidRPr="008C6643">
              <w:t>Atbildīgā institūcija</w:t>
            </w:r>
          </w:p>
        </w:tc>
        <w:tc>
          <w:tcPr>
            <w:tcW w:w="6627" w:type="dxa"/>
            <w:shd w:val="clear" w:color="auto" w:fill="auto"/>
          </w:tcPr>
          <w:p w:rsidR="0066477E" w:rsidRPr="008C6643" w:rsidRDefault="000D5B72" w:rsidP="001812E5">
            <w:pPr>
              <w:pStyle w:val="naiskr"/>
              <w:tabs>
                <w:tab w:val="left" w:pos="2628"/>
              </w:tabs>
              <w:spacing w:before="0" w:after="0"/>
              <w:jc w:val="both"/>
              <w:rPr>
                <w:iCs/>
                <w:color w:val="000000" w:themeColor="text1"/>
              </w:rPr>
            </w:pPr>
            <w:r w:rsidRPr="008C6643">
              <w:rPr>
                <w:iCs/>
                <w:color w:val="000000" w:themeColor="text1"/>
              </w:rPr>
              <w:t>Labklājības ministrija</w:t>
            </w:r>
          </w:p>
        </w:tc>
      </w:tr>
      <w:tr w:rsidR="0066477E" w:rsidRPr="008C6643" w:rsidTr="001360BD">
        <w:tc>
          <w:tcPr>
            <w:tcW w:w="396" w:type="dxa"/>
            <w:shd w:val="clear" w:color="auto" w:fill="auto"/>
          </w:tcPr>
          <w:p w:rsidR="0066477E" w:rsidRPr="008C6643" w:rsidRDefault="0066477E" w:rsidP="001812E5">
            <w:r w:rsidRPr="008C6643">
              <w:t>3.</w:t>
            </w:r>
          </w:p>
        </w:tc>
        <w:tc>
          <w:tcPr>
            <w:tcW w:w="2264" w:type="dxa"/>
            <w:shd w:val="clear" w:color="auto" w:fill="auto"/>
          </w:tcPr>
          <w:p w:rsidR="0066477E" w:rsidRPr="008C6643" w:rsidRDefault="0066477E" w:rsidP="001812E5">
            <w:r w:rsidRPr="008C6643">
              <w:t>Cita informācija</w:t>
            </w:r>
          </w:p>
        </w:tc>
        <w:tc>
          <w:tcPr>
            <w:tcW w:w="6627" w:type="dxa"/>
            <w:shd w:val="clear" w:color="auto" w:fill="auto"/>
          </w:tcPr>
          <w:p w:rsidR="0066477E" w:rsidRPr="008C6643" w:rsidRDefault="000D5B72" w:rsidP="001812E5">
            <w:pPr>
              <w:jc w:val="both"/>
              <w:rPr>
                <w:color w:val="000000" w:themeColor="text1"/>
              </w:rPr>
            </w:pPr>
            <w:r w:rsidRPr="008C6643">
              <w:rPr>
                <w:color w:val="000000" w:themeColor="text1"/>
              </w:rPr>
              <w:t>Nav.</w:t>
            </w:r>
          </w:p>
        </w:tc>
      </w:tr>
    </w:tbl>
    <w:p w:rsidR="0066477E" w:rsidRPr="008C6643"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48"/>
      </w:tblGrid>
      <w:tr w:rsidR="001F70ED" w:rsidRPr="008C6643" w:rsidTr="001812E5">
        <w:trPr>
          <w:trHeight w:val="224"/>
        </w:trPr>
        <w:tc>
          <w:tcPr>
            <w:tcW w:w="9348" w:type="dxa"/>
            <w:shd w:val="clear" w:color="auto" w:fill="auto"/>
          </w:tcPr>
          <w:p w:rsidR="001F70ED" w:rsidRPr="008C6643" w:rsidRDefault="001F70ED" w:rsidP="001812E5">
            <w:pPr>
              <w:jc w:val="center"/>
              <w:rPr>
                <w:b/>
              </w:rPr>
            </w:pPr>
            <w:r w:rsidRPr="008C6643">
              <w:rPr>
                <w:b/>
              </w:rPr>
              <w:t>V Tiesību akta projekta atbilstība Latvijas Republikas starptautiskajām saistībām</w:t>
            </w:r>
          </w:p>
        </w:tc>
      </w:tr>
      <w:tr w:rsidR="001F70ED" w:rsidRPr="008C6643" w:rsidTr="001812E5">
        <w:tc>
          <w:tcPr>
            <w:tcW w:w="9348" w:type="dxa"/>
            <w:shd w:val="clear" w:color="auto" w:fill="auto"/>
          </w:tcPr>
          <w:p w:rsidR="001F70ED" w:rsidRPr="008C6643" w:rsidRDefault="001F70ED" w:rsidP="001812E5">
            <w:pPr>
              <w:jc w:val="center"/>
              <w:rPr>
                <w:b/>
                <w:i/>
              </w:rPr>
            </w:pPr>
            <w:r w:rsidRPr="008C6643">
              <w:rPr>
                <w:i/>
                <w:iCs/>
              </w:rPr>
              <w:t>Likumprojekts šo jomu neskar.</w:t>
            </w:r>
          </w:p>
        </w:tc>
      </w:tr>
    </w:tbl>
    <w:p w:rsidR="001F70ED" w:rsidRPr="008C6643" w:rsidRDefault="001F70ED"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66477E" w:rsidRPr="008C6643" w:rsidTr="001812E5">
        <w:tc>
          <w:tcPr>
            <w:tcW w:w="9287" w:type="dxa"/>
            <w:gridSpan w:val="3"/>
            <w:shd w:val="clear" w:color="auto" w:fill="auto"/>
          </w:tcPr>
          <w:p w:rsidR="0066477E" w:rsidRPr="008C6643" w:rsidRDefault="0066477E" w:rsidP="001812E5">
            <w:pPr>
              <w:jc w:val="center"/>
              <w:rPr>
                <w:b/>
              </w:rPr>
            </w:pPr>
            <w:r w:rsidRPr="008C6643">
              <w:rPr>
                <w:b/>
              </w:rPr>
              <w:t>VI. Sabiedrības līdzdalība un komunikācijas aktivitātes</w:t>
            </w:r>
          </w:p>
        </w:tc>
      </w:tr>
      <w:tr w:rsidR="00974281" w:rsidRPr="008C6643" w:rsidTr="001812E5">
        <w:tc>
          <w:tcPr>
            <w:tcW w:w="396" w:type="dxa"/>
            <w:shd w:val="clear" w:color="auto" w:fill="auto"/>
          </w:tcPr>
          <w:p w:rsidR="00974281" w:rsidRPr="008C6643" w:rsidRDefault="00974281" w:rsidP="001812E5">
            <w:r w:rsidRPr="008C6643">
              <w:t xml:space="preserve">1. </w:t>
            </w:r>
          </w:p>
        </w:tc>
        <w:tc>
          <w:tcPr>
            <w:tcW w:w="3072" w:type="dxa"/>
            <w:shd w:val="clear" w:color="auto" w:fill="auto"/>
          </w:tcPr>
          <w:p w:rsidR="00974281" w:rsidRPr="008C6643" w:rsidRDefault="00974281" w:rsidP="001812E5">
            <w:pPr>
              <w:pStyle w:val="naiskr"/>
              <w:spacing w:before="0" w:after="0"/>
              <w:ind w:left="57" w:right="57"/>
            </w:pPr>
            <w:r w:rsidRPr="008C6643">
              <w:t>Plānotās sabiedrības līdzdalības un komunikācijas aktivitātes saistībā ar projektu</w:t>
            </w:r>
          </w:p>
        </w:tc>
        <w:tc>
          <w:tcPr>
            <w:tcW w:w="5819" w:type="dxa"/>
            <w:vMerge w:val="restart"/>
            <w:shd w:val="clear" w:color="auto" w:fill="auto"/>
          </w:tcPr>
          <w:p w:rsidR="00974281" w:rsidRDefault="00974281" w:rsidP="00D570AD">
            <w:pPr>
              <w:jc w:val="both"/>
              <w:rPr>
                <w:color w:val="000000" w:themeColor="text1"/>
              </w:rPr>
            </w:pPr>
            <w:r>
              <w:rPr>
                <w:color w:val="000000" w:themeColor="text1"/>
              </w:rPr>
              <w:t xml:space="preserve">Likumprojektā iekļautie pasākumi izriet no </w:t>
            </w:r>
            <w:r w:rsidRPr="008C6643">
              <w:rPr>
                <w:color w:val="000000" w:themeColor="text1"/>
              </w:rPr>
              <w:t xml:space="preserve">Demogrāfisko lietu centra" </w:t>
            </w:r>
            <w:r>
              <w:rPr>
                <w:color w:val="000000" w:themeColor="text1"/>
              </w:rPr>
              <w:t>sagatavotā</w:t>
            </w:r>
            <w:r w:rsidRPr="008C6643">
              <w:rPr>
                <w:color w:val="000000" w:themeColor="text1"/>
              </w:rPr>
              <w:t xml:space="preserve"> </w:t>
            </w:r>
            <w:r>
              <w:rPr>
                <w:color w:val="000000" w:themeColor="text1"/>
              </w:rPr>
              <w:t>konceptuālā</w:t>
            </w:r>
            <w:r w:rsidRPr="008C6643">
              <w:rPr>
                <w:color w:val="000000" w:themeColor="text1"/>
              </w:rPr>
              <w:t xml:space="preserve"> ziņojum</w:t>
            </w:r>
            <w:r>
              <w:rPr>
                <w:color w:val="000000" w:themeColor="text1"/>
              </w:rPr>
              <w:t>a</w:t>
            </w:r>
            <w:r w:rsidR="009D6EC9">
              <w:rPr>
                <w:color w:val="000000" w:themeColor="text1"/>
              </w:rPr>
              <w:t xml:space="preserve"> </w:t>
            </w:r>
            <w:r w:rsidR="009D6EC9" w:rsidRPr="008C6643">
              <w:rPr>
                <w:color w:val="000000" w:themeColor="text1"/>
              </w:rPr>
              <w:t>“Par Sadarbības platformas “Demogrāfisko lietu centrs” priekšlikumiem ģimeņu ar bērniem atbalstam 2017. –2018. gadā”</w:t>
            </w:r>
            <w:r>
              <w:rPr>
                <w:color w:val="000000" w:themeColor="text1"/>
              </w:rPr>
              <w:t>, kas</w:t>
            </w:r>
            <w:r w:rsidRPr="008C6643">
              <w:rPr>
                <w:color w:val="000000" w:themeColor="text1"/>
              </w:rPr>
              <w:t xml:space="preserve"> konceptuāli tika atbalstīts 2016.gada 21.jūnija Demogrāfisko lietu padomes sēdē. </w:t>
            </w:r>
          </w:p>
          <w:p w:rsidR="00974281" w:rsidRDefault="00974281" w:rsidP="00974281">
            <w:pPr>
              <w:jc w:val="both"/>
            </w:pPr>
            <w:r w:rsidRPr="008C6643">
              <w:t xml:space="preserve">Likumprojekts tika izskatīts un konceptuāli atbalstīts Nacionālās trīspusējās sadarbības padomes Sociālās drošības </w:t>
            </w:r>
            <w:proofErr w:type="spellStart"/>
            <w:r w:rsidRPr="008C6643">
              <w:t>apakšpadomes</w:t>
            </w:r>
            <w:proofErr w:type="spellEnd"/>
            <w:r w:rsidRPr="008C6643">
              <w:t xml:space="preserve"> sēdē š.g. 25.augustā.</w:t>
            </w:r>
          </w:p>
          <w:p w:rsidR="004F072F" w:rsidRPr="008C6643" w:rsidRDefault="004F072F" w:rsidP="00974281">
            <w:pPr>
              <w:jc w:val="both"/>
            </w:pPr>
            <w:r>
              <w:t>Līdz ar to papildus sabiedrības līdzdalības pasākumi nav īstenoti.</w:t>
            </w:r>
          </w:p>
        </w:tc>
      </w:tr>
      <w:tr w:rsidR="00974281" w:rsidRPr="008C6643" w:rsidTr="001812E5">
        <w:tc>
          <w:tcPr>
            <w:tcW w:w="396" w:type="dxa"/>
            <w:shd w:val="clear" w:color="auto" w:fill="auto"/>
          </w:tcPr>
          <w:p w:rsidR="00974281" w:rsidRPr="008C6643" w:rsidRDefault="00974281" w:rsidP="001812E5">
            <w:r w:rsidRPr="008C6643">
              <w:t xml:space="preserve">2. </w:t>
            </w:r>
          </w:p>
        </w:tc>
        <w:tc>
          <w:tcPr>
            <w:tcW w:w="3072" w:type="dxa"/>
            <w:shd w:val="clear" w:color="auto" w:fill="auto"/>
          </w:tcPr>
          <w:p w:rsidR="00974281" w:rsidRPr="008C6643" w:rsidRDefault="00974281" w:rsidP="001812E5">
            <w:pPr>
              <w:pStyle w:val="naiskr"/>
              <w:spacing w:before="0" w:after="0"/>
              <w:ind w:left="57" w:right="57"/>
            </w:pPr>
            <w:r w:rsidRPr="008C6643">
              <w:t xml:space="preserve">Sabiedrības līdzdalība projekta izstrādē </w:t>
            </w:r>
          </w:p>
        </w:tc>
        <w:tc>
          <w:tcPr>
            <w:tcW w:w="5819" w:type="dxa"/>
            <w:vMerge/>
            <w:shd w:val="clear" w:color="auto" w:fill="auto"/>
          </w:tcPr>
          <w:p w:rsidR="00974281" w:rsidRPr="00974281" w:rsidRDefault="00974281" w:rsidP="001812E5">
            <w:pPr>
              <w:jc w:val="both"/>
              <w:rPr>
                <w:color w:val="000000" w:themeColor="text1"/>
              </w:rPr>
            </w:pPr>
          </w:p>
        </w:tc>
      </w:tr>
      <w:tr w:rsidR="00974281" w:rsidRPr="008C6643" w:rsidTr="001812E5">
        <w:tc>
          <w:tcPr>
            <w:tcW w:w="396" w:type="dxa"/>
            <w:shd w:val="clear" w:color="auto" w:fill="auto"/>
          </w:tcPr>
          <w:p w:rsidR="00974281" w:rsidRPr="008C6643" w:rsidRDefault="00974281" w:rsidP="001812E5">
            <w:r w:rsidRPr="008C6643">
              <w:t>3.</w:t>
            </w:r>
          </w:p>
        </w:tc>
        <w:tc>
          <w:tcPr>
            <w:tcW w:w="3072" w:type="dxa"/>
            <w:shd w:val="clear" w:color="auto" w:fill="auto"/>
          </w:tcPr>
          <w:p w:rsidR="00974281" w:rsidRPr="008C6643" w:rsidRDefault="00974281" w:rsidP="001812E5">
            <w:pPr>
              <w:pStyle w:val="naiskr"/>
              <w:spacing w:before="0" w:after="0"/>
              <w:ind w:left="57" w:right="57"/>
            </w:pPr>
            <w:r w:rsidRPr="008C6643">
              <w:t xml:space="preserve">Sabiedrības līdzdalības rezultāti </w:t>
            </w:r>
          </w:p>
        </w:tc>
        <w:tc>
          <w:tcPr>
            <w:tcW w:w="5819" w:type="dxa"/>
            <w:vMerge/>
            <w:shd w:val="clear" w:color="auto" w:fill="auto"/>
          </w:tcPr>
          <w:p w:rsidR="00974281" w:rsidRPr="00974281" w:rsidRDefault="00974281" w:rsidP="001812E5">
            <w:pPr>
              <w:jc w:val="both"/>
              <w:rPr>
                <w:color w:val="000000" w:themeColor="text1"/>
              </w:rPr>
            </w:pPr>
          </w:p>
        </w:tc>
      </w:tr>
      <w:tr w:rsidR="0066477E" w:rsidRPr="008C6643" w:rsidTr="001812E5">
        <w:tc>
          <w:tcPr>
            <w:tcW w:w="396" w:type="dxa"/>
            <w:shd w:val="clear" w:color="auto" w:fill="auto"/>
          </w:tcPr>
          <w:p w:rsidR="0066477E" w:rsidRPr="008C6643" w:rsidRDefault="0066477E" w:rsidP="001812E5">
            <w:r w:rsidRPr="008C6643">
              <w:t>4.</w:t>
            </w:r>
          </w:p>
        </w:tc>
        <w:tc>
          <w:tcPr>
            <w:tcW w:w="3072" w:type="dxa"/>
            <w:shd w:val="clear" w:color="auto" w:fill="auto"/>
          </w:tcPr>
          <w:p w:rsidR="0066477E" w:rsidRPr="008C6643" w:rsidRDefault="0066477E" w:rsidP="001812E5">
            <w:pPr>
              <w:pStyle w:val="naiskr"/>
              <w:spacing w:before="0" w:after="0"/>
              <w:ind w:left="57" w:right="57"/>
            </w:pPr>
            <w:r w:rsidRPr="008C6643">
              <w:t>Cita informācija</w:t>
            </w:r>
          </w:p>
          <w:p w:rsidR="0066477E" w:rsidRPr="008C6643" w:rsidRDefault="0066477E" w:rsidP="001812E5">
            <w:pPr>
              <w:pStyle w:val="naiskr"/>
              <w:spacing w:before="0" w:after="0"/>
              <w:ind w:left="57" w:right="57"/>
            </w:pPr>
          </w:p>
        </w:tc>
        <w:tc>
          <w:tcPr>
            <w:tcW w:w="5819" w:type="dxa"/>
            <w:shd w:val="clear" w:color="auto" w:fill="auto"/>
          </w:tcPr>
          <w:p w:rsidR="0066477E" w:rsidRPr="00974281" w:rsidRDefault="00A82E54" w:rsidP="001812E5">
            <w:pPr>
              <w:jc w:val="both"/>
              <w:rPr>
                <w:color w:val="000000" w:themeColor="text1"/>
              </w:rPr>
            </w:pPr>
            <w:r w:rsidRPr="00974281">
              <w:rPr>
                <w:color w:val="000000" w:themeColor="text1"/>
              </w:rPr>
              <w:lastRenderedPageBreak/>
              <w:t>Nav.</w:t>
            </w:r>
          </w:p>
        </w:tc>
      </w:tr>
    </w:tbl>
    <w:p w:rsidR="0066477E" w:rsidRPr="008C6643" w:rsidRDefault="0066477E" w:rsidP="0066477E">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
        <w:gridCol w:w="3072"/>
        <w:gridCol w:w="5819"/>
      </w:tblGrid>
      <w:tr w:rsidR="0066477E" w:rsidRPr="008C6643" w:rsidTr="001812E5">
        <w:tc>
          <w:tcPr>
            <w:tcW w:w="9287" w:type="dxa"/>
            <w:gridSpan w:val="3"/>
            <w:shd w:val="clear" w:color="auto" w:fill="auto"/>
          </w:tcPr>
          <w:p w:rsidR="0066477E" w:rsidRPr="008C6643" w:rsidRDefault="0066477E" w:rsidP="001812E5">
            <w:pPr>
              <w:jc w:val="center"/>
              <w:rPr>
                <w:b/>
              </w:rPr>
            </w:pPr>
            <w:r w:rsidRPr="008C6643">
              <w:rPr>
                <w:b/>
              </w:rPr>
              <w:t>VII. Tiesību akta projekta izpildes nodrošināšana un tās ietekme uz institūcijām</w:t>
            </w:r>
          </w:p>
        </w:tc>
      </w:tr>
      <w:tr w:rsidR="004343DB" w:rsidRPr="008C6643" w:rsidTr="001812E5">
        <w:tc>
          <w:tcPr>
            <w:tcW w:w="396" w:type="dxa"/>
            <w:shd w:val="clear" w:color="auto" w:fill="auto"/>
          </w:tcPr>
          <w:p w:rsidR="004343DB" w:rsidRPr="008C6643" w:rsidRDefault="004343DB" w:rsidP="001812E5">
            <w:r w:rsidRPr="008C6643">
              <w:t xml:space="preserve">1. </w:t>
            </w:r>
          </w:p>
        </w:tc>
        <w:tc>
          <w:tcPr>
            <w:tcW w:w="3072" w:type="dxa"/>
            <w:shd w:val="clear" w:color="auto" w:fill="auto"/>
          </w:tcPr>
          <w:p w:rsidR="004343DB" w:rsidRPr="008C6643" w:rsidRDefault="004343DB" w:rsidP="001812E5">
            <w:r w:rsidRPr="008C6643">
              <w:t>Projekta izpildē iesaistītās institūcijas</w:t>
            </w:r>
          </w:p>
        </w:tc>
        <w:tc>
          <w:tcPr>
            <w:tcW w:w="5819" w:type="dxa"/>
            <w:shd w:val="clear" w:color="auto" w:fill="auto"/>
          </w:tcPr>
          <w:p w:rsidR="004343DB" w:rsidRPr="008C6643" w:rsidRDefault="004343DB" w:rsidP="001812E5">
            <w:pPr>
              <w:spacing w:before="100" w:beforeAutospacing="1" w:after="100" w:afterAutospacing="1"/>
              <w:jc w:val="both"/>
              <w:rPr>
                <w:color w:val="000000"/>
              </w:rPr>
            </w:pPr>
            <w:r w:rsidRPr="008C6643">
              <w:rPr>
                <w:color w:val="000000"/>
              </w:rPr>
              <w:t>VSAA.</w:t>
            </w:r>
          </w:p>
        </w:tc>
      </w:tr>
      <w:tr w:rsidR="004343DB" w:rsidRPr="008C6643" w:rsidTr="001812E5">
        <w:tc>
          <w:tcPr>
            <w:tcW w:w="396" w:type="dxa"/>
            <w:shd w:val="clear" w:color="auto" w:fill="auto"/>
          </w:tcPr>
          <w:p w:rsidR="004343DB" w:rsidRPr="008C6643" w:rsidRDefault="004343DB" w:rsidP="001812E5">
            <w:r w:rsidRPr="008C6643">
              <w:t xml:space="preserve">2. </w:t>
            </w:r>
          </w:p>
        </w:tc>
        <w:tc>
          <w:tcPr>
            <w:tcW w:w="3072" w:type="dxa"/>
            <w:shd w:val="clear" w:color="auto" w:fill="auto"/>
          </w:tcPr>
          <w:p w:rsidR="004343DB" w:rsidRPr="008C6643" w:rsidRDefault="004343DB" w:rsidP="001812E5">
            <w:r w:rsidRPr="008C6643">
              <w:t>Projekta izpildes ietekme uz pār</w:t>
            </w:r>
            <w:r w:rsidRPr="008C6643">
              <w:softHyphen/>
              <w:t>valdes funkcijām un institucionālo struktūru.</w:t>
            </w:r>
          </w:p>
          <w:p w:rsidR="004343DB" w:rsidRPr="008C6643" w:rsidRDefault="004343DB" w:rsidP="001812E5">
            <w:r w:rsidRPr="008C6643">
              <w:t>Jaunu institūciju izveide, esošu institūciju likvidācija vai reorga</w:t>
            </w:r>
            <w:r w:rsidRPr="008C6643">
              <w:softHyphen/>
              <w:t>nizācija, to ietekme uz institūcijas cilvēkresursiem</w:t>
            </w:r>
          </w:p>
        </w:tc>
        <w:tc>
          <w:tcPr>
            <w:tcW w:w="5819" w:type="dxa"/>
            <w:shd w:val="clear" w:color="auto" w:fill="auto"/>
          </w:tcPr>
          <w:p w:rsidR="004343DB" w:rsidRPr="008C6643" w:rsidRDefault="001105A5" w:rsidP="001105A5">
            <w:pPr>
              <w:jc w:val="both"/>
            </w:pPr>
            <w:r>
              <w:t>P</w:t>
            </w:r>
            <w:r w:rsidR="004343DB" w:rsidRPr="008C6643">
              <w:t>abalst</w:t>
            </w:r>
            <w:r>
              <w:t>u</w:t>
            </w:r>
            <w:r w:rsidR="004343DB" w:rsidRPr="008C6643">
              <w:t xml:space="preserve"> piešķiršanu un izmaksu nodrošinās VSAA esošo funkciju ietvaros.</w:t>
            </w:r>
          </w:p>
        </w:tc>
      </w:tr>
      <w:tr w:rsidR="004343DB" w:rsidRPr="008C6643" w:rsidTr="001812E5">
        <w:tc>
          <w:tcPr>
            <w:tcW w:w="396" w:type="dxa"/>
            <w:shd w:val="clear" w:color="auto" w:fill="auto"/>
          </w:tcPr>
          <w:p w:rsidR="004343DB" w:rsidRPr="008C6643" w:rsidRDefault="004343DB" w:rsidP="001812E5">
            <w:r w:rsidRPr="008C6643">
              <w:t xml:space="preserve">3. </w:t>
            </w:r>
          </w:p>
        </w:tc>
        <w:tc>
          <w:tcPr>
            <w:tcW w:w="3072" w:type="dxa"/>
            <w:shd w:val="clear" w:color="auto" w:fill="auto"/>
          </w:tcPr>
          <w:p w:rsidR="004343DB" w:rsidRPr="008C6643" w:rsidRDefault="004343DB" w:rsidP="001812E5">
            <w:r w:rsidRPr="008C6643">
              <w:t>Cita informācija</w:t>
            </w:r>
          </w:p>
        </w:tc>
        <w:tc>
          <w:tcPr>
            <w:tcW w:w="5819" w:type="dxa"/>
            <w:shd w:val="clear" w:color="auto" w:fill="auto"/>
          </w:tcPr>
          <w:p w:rsidR="004343DB" w:rsidRPr="008C6643" w:rsidRDefault="004343DB" w:rsidP="001812E5">
            <w:pPr>
              <w:jc w:val="both"/>
            </w:pPr>
            <w:r w:rsidRPr="008C6643">
              <w:t>Nav.</w:t>
            </w:r>
          </w:p>
        </w:tc>
      </w:tr>
    </w:tbl>
    <w:p w:rsidR="0066477E" w:rsidRPr="008C6643" w:rsidRDefault="0066477E" w:rsidP="0066477E">
      <w:pPr>
        <w:jc w:val="center"/>
      </w:pPr>
    </w:p>
    <w:p w:rsidR="0066477E" w:rsidRDefault="0066477E" w:rsidP="0066477E">
      <w:pPr>
        <w:jc w:val="center"/>
      </w:pPr>
    </w:p>
    <w:p w:rsidR="00B35409" w:rsidRPr="008C6643" w:rsidRDefault="00B35409" w:rsidP="0066477E">
      <w:pPr>
        <w:jc w:val="center"/>
      </w:pPr>
    </w:p>
    <w:p w:rsidR="0066477E" w:rsidRPr="008C6643" w:rsidRDefault="0066477E" w:rsidP="0066477E">
      <w:r w:rsidRPr="008C6643">
        <w:t>Labklājības ministr</w:t>
      </w:r>
      <w:r w:rsidR="00194FAC">
        <w:t>a vietā-</w:t>
      </w:r>
      <w:r w:rsidRPr="008C6643">
        <w:tab/>
      </w:r>
      <w:r w:rsidRPr="008C6643">
        <w:tab/>
      </w:r>
      <w:r w:rsidRPr="008C6643">
        <w:tab/>
      </w:r>
      <w:proofErr w:type="gramStart"/>
      <w:r w:rsidRPr="008C6643">
        <w:t xml:space="preserve">      </w:t>
      </w:r>
      <w:proofErr w:type="gramEnd"/>
      <w:r w:rsidRPr="008C6643">
        <w:tab/>
        <w:t xml:space="preserve">      </w:t>
      </w:r>
      <w:r w:rsidR="00B35409">
        <w:tab/>
      </w:r>
      <w:r w:rsidR="00B35409">
        <w:tab/>
      </w:r>
      <w:r w:rsidRPr="008C6643">
        <w:t xml:space="preserve">                   </w:t>
      </w:r>
    </w:p>
    <w:p w:rsidR="0066477E" w:rsidRPr="008C6643" w:rsidRDefault="00194FAC" w:rsidP="0066477E">
      <w:r>
        <w:t xml:space="preserve">satiksmes ministrs </w:t>
      </w:r>
      <w:r>
        <w:tab/>
      </w:r>
      <w:r>
        <w:tab/>
      </w:r>
      <w:r>
        <w:tab/>
      </w:r>
      <w:r>
        <w:tab/>
      </w:r>
      <w:r>
        <w:tab/>
      </w:r>
      <w:r>
        <w:tab/>
      </w:r>
      <w:r>
        <w:tab/>
      </w:r>
      <w:r>
        <w:tab/>
        <w:t>U.Augulis</w:t>
      </w:r>
    </w:p>
    <w:p w:rsidR="0066477E" w:rsidRPr="008C6643" w:rsidRDefault="0066477E" w:rsidP="0066477E"/>
    <w:p w:rsidR="0066477E" w:rsidRPr="008C6643" w:rsidRDefault="0066477E" w:rsidP="0066477E"/>
    <w:p w:rsidR="0066477E" w:rsidRPr="008C6643" w:rsidRDefault="0066477E" w:rsidP="0066477E"/>
    <w:p w:rsidR="0066477E" w:rsidRPr="008C6643" w:rsidRDefault="0066477E" w:rsidP="0066477E">
      <w:pPr>
        <w:rPr>
          <w:sz w:val="20"/>
          <w:szCs w:val="20"/>
        </w:rPr>
      </w:pPr>
      <w:r w:rsidRPr="008C6643">
        <w:rPr>
          <w:sz w:val="20"/>
          <w:szCs w:val="20"/>
        </w:rPr>
        <w:t>201</w:t>
      </w:r>
      <w:r w:rsidR="00ED65E0">
        <w:rPr>
          <w:sz w:val="20"/>
          <w:szCs w:val="20"/>
        </w:rPr>
        <w:t>6.09</w:t>
      </w:r>
      <w:r w:rsidRPr="008C6643">
        <w:rPr>
          <w:sz w:val="20"/>
          <w:szCs w:val="20"/>
        </w:rPr>
        <w:t>.0</w:t>
      </w:r>
      <w:r w:rsidR="00194FAC">
        <w:rPr>
          <w:sz w:val="20"/>
          <w:szCs w:val="20"/>
        </w:rPr>
        <w:t>8</w:t>
      </w:r>
      <w:r w:rsidR="00897671">
        <w:rPr>
          <w:sz w:val="20"/>
          <w:szCs w:val="20"/>
        </w:rPr>
        <w:t>. 10:28</w:t>
      </w:r>
      <w:bookmarkStart w:id="4" w:name="_GoBack"/>
      <w:bookmarkEnd w:id="4"/>
    </w:p>
    <w:p w:rsidR="0066477E" w:rsidRPr="008C6643" w:rsidRDefault="001E2716" w:rsidP="0066477E">
      <w:pPr>
        <w:rPr>
          <w:sz w:val="20"/>
          <w:szCs w:val="20"/>
        </w:rPr>
      </w:pPr>
      <w:r>
        <w:rPr>
          <w:sz w:val="20"/>
          <w:szCs w:val="20"/>
        </w:rPr>
        <w:t>3293</w:t>
      </w:r>
    </w:p>
    <w:p w:rsidR="0066477E" w:rsidRPr="008C6643" w:rsidRDefault="0011109E" w:rsidP="0066477E">
      <w:pPr>
        <w:rPr>
          <w:sz w:val="20"/>
          <w:szCs w:val="20"/>
        </w:rPr>
      </w:pPr>
      <w:r w:rsidRPr="008C6643">
        <w:rPr>
          <w:sz w:val="20"/>
          <w:szCs w:val="20"/>
        </w:rPr>
        <w:t>Liepa</w:t>
      </w:r>
      <w:r w:rsidR="0066477E" w:rsidRPr="008C6643">
        <w:rPr>
          <w:sz w:val="20"/>
          <w:szCs w:val="20"/>
        </w:rPr>
        <w:t xml:space="preserve"> 67021</w:t>
      </w:r>
      <w:r w:rsidRPr="008C6643">
        <w:rPr>
          <w:sz w:val="20"/>
          <w:szCs w:val="20"/>
        </w:rPr>
        <w:t>632</w:t>
      </w:r>
    </w:p>
    <w:p w:rsidR="0066477E" w:rsidRPr="008C6643" w:rsidRDefault="005B7798" w:rsidP="0066477E">
      <w:pPr>
        <w:rPr>
          <w:sz w:val="20"/>
          <w:szCs w:val="20"/>
        </w:rPr>
      </w:pPr>
      <w:hyperlink r:id="rId9" w:history="1">
        <w:r w:rsidR="00605C98" w:rsidRPr="00FA4D0F">
          <w:rPr>
            <w:rStyle w:val="Hyperlink"/>
            <w:sz w:val="20"/>
            <w:szCs w:val="20"/>
          </w:rPr>
          <w:t>Linda.Liepa@lm.gov.lv</w:t>
        </w:r>
      </w:hyperlink>
      <w:r w:rsidR="0066477E" w:rsidRPr="008C6643">
        <w:rPr>
          <w:sz w:val="20"/>
          <w:szCs w:val="20"/>
        </w:rPr>
        <w:t xml:space="preserve"> </w:t>
      </w:r>
    </w:p>
    <w:p w:rsidR="00E41984" w:rsidRPr="008C6643" w:rsidRDefault="00E41984" w:rsidP="0066477E">
      <w:pPr>
        <w:rPr>
          <w:sz w:val="20"/>
          <w:szCs w:val="20"/>
        </w:rPr>
      </w:pPr>
    </w:p>
    <w:sectPr w:rsidR="00E41984" w:rsidRPr="008C6643" w:rsidSect="00D4540D">
      <w:headerReference w:type="even" r:id="rId10"/>
      <w:headerReference w:type="default" r:id="rId11"/>
      <w:footerReference w:type="default" r:id="rId12"/>
      <w:footerReference w:type="first" r:id="rId13"/>
      <w:pgSz w:w="11906" w:h="16838"/>
      <w:pgMar w:top="1418" w:right="92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798" w:rsidRDefault="005B7798" w:rsidP="00980EF3">
      <w:r>
        <w:separator/>
      </w:r>
    </w:p>
  </w:endnote>
  <w:endnote w:type="continuationSeparator" w:id="0">
    <w:p w:rsidR="005B7798" w:rsidRDefault="005B7798" w:rsidP="00980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F7" w:rsidRPr="00C0373A" w:rsidRDefault="00A00A95" w:rsidP="00D4540D">
    <w:pPr>
      <w:pStyle w:val="Footer"/>
      <w:jc w:val="both"/>
      <w:rPr>
        <w:sz w:val="20"/>
        <w:szCs w:val="20"/>
      </w:rPr>
    </w:pPr>
    <w:r w:rsidRPr="00C0373A">
      <w:rPr>
        <w:sz w:val="20"/>
        <w:szCs w:val="20"/>
      </w:rPr>
      <w:t>LManot_</w:t>
    </w:r>
    <w:r w:rsidR="00C0373A" w:rsidRPr="00C0373A">
      <w:rPr>
        <w:sz w:val="20"/>
        <w:szCs w:val="20"/>
      </w:rPr>
      <w:t>0</w:t>
    </w:r>
    <w:r w:rsidR="00194FAC">
      <w:rPr>
        <w:sz w:val="20"/>
        <w:szCs w:val="20"/>
      </w:rPr>
      <w:t>8</w:t>
    </w:r>
    <w:r w:rsidRPr="00C0373A">
      <w:rPr>
        <w:sz w:val="20"/>
        <w:szCs w:val="20"/>
      </w:rPr>
      <w:t>0916</w:t>
    </w:r>
    <w:r w:rsidR="007B68DC">
      <w:rPr>
        <w:sz w:val="20"/>
        <w:szCs w:val="20"/>
      </w:rPr>
      <w:t>_socpab</w:t>
    </w:r>
    <w:r w:rsidR="002D744A" w:rsidRPr="00C0373A">
      <w:rPr>
        <w:sz w:val="20"/>
        <w:szCs w:val="20"/>
      </w:rPr>
      <w:t xml:space="preserve">; </w:t>
    </w:r>
    <w:r w:rsidRPr="00C0373A">
      <w:rPr>
        <w:sz w:val="20"/>
        <w:szCs w:val="20"/>
      </w:rPr>
      <w:t>likumprojekts „Grozījumi Valsts sociālo pabalstu likumā”</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373A" w:rsidRPr="00C0373A" w:rsidRDefault="00194FAC" w:rsidP="00C0373A">
    <w:pPr>
      <w:pStyle w:val="Footer"/>
      <w:jc w:val="both"/>
      <w:rPr>
        <w:sz w:val="20"/>
        <w:szCs w:val="20"/>
      </w:rPr>
    </w:pPr>
    <w:r>
      <w:rPr>
        <w:sz w:val="20"/>
        <w:szCs w:val="20"/>
      </w:rPr>
      <w:t>LManot_08</w:t>
    </w:r>
    <w:r w:rsidR="00C0373A" w:rsidRPr="00C0373A">
      <w:rPr>
        <w:sz w:val="20"/>
        <w:szCs w:val="20"/>
      </w:rPr>
      <w:t>0916</w:t>
    </w:r>
    <w:r w:rsidR="007B68DC">
      <w:rPr>
        <w:sz w:val="20"/>
        <w:szCs w:val="20"/>
      </w:rPr>
      <w:t>_socpab</w:t>
    </w:r>
    <w:r w:rsidR="00C0373A" w:rsidRPr="00C0373A">
      <w:rPr>
        <w:sz w:val="20"/>
        <w:szCs w:val="20"/>
      </w:rPr>
      <w:t>; likumprojekts „Grozījumi Valsts sociālo pabalstu likumā”</w:t>
    </w:r>
  </w:p>
  <w:p w:rsidR="000C46F7" w:rsidRPr="00A00A95" w:rsidRDefault="005B7798" w:rsidP="00A00A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798" w:rsidRDefault="005B7798" w:rsidP="00980EF3">
      <w:r>
        <w:separator/>
      </w:r>
    </w:p>
  </w:footnote>
  <w:footnote w:type="continuationSeparator" w:id="0">
    <w:p w:rsidR="005B7798" w:rsidRDefault="005B7798" w:rsidP="00980EF3">
      <w:r>
        <w:continuationSeparator/>
      </w:r>
    </w:p>
  </w:footnote>
  <w:footnote w:id="1">
    <w:p w:rsidR="000D479A" w:rsidRDefault="000D479A" w:rsidP="000D479A">
      <w:pPr>
        <w:pStyle w:val="CommentText"/>
      </w:pPr>
      <w:r>
        <w:rPr>
          <w:rStyle w:val="FootnoteReference"/>
        </w:rPr>
        <w:footnoteRef/>
      </w:r>
      <w:r>
        <w:t xml:space="preserve"> </w:t>
      </w:r>
      <w:r w:rsidRPr="00334E13">
        <w:t xml:space="preserve">PKC (2015). Latvijas Ilgtspējīgas attīstības stratēģijas līdz 2030. gadam, Nacionālā attīstības plāna 2014.-2020. gadam un deklarācijas par Laimdotas </w:t>
      </w:r>
      <w:proofErr w:type="spellStart"/>
      <w:r w:rsidRPr="00334E13">
        <w:t>Straujumas</w:t>
      </w:r>
      <w:proofErr w:type="spellEnd"/>
      <w:r w:rsidRPr="00334E13">
        <w:t xml:space="preserve"> vadītā Ministru kabineta iecerēto darbību īstenošanas uzraudzības ziņojums. http://www.pkc.gov.lv/images/MP_zinojums/MPzin_07092015_Uzraudzibas_zinojums.pdf (sk. 01.06.2016.)</w:t>
      </w:r>
    </w:p>
    <w:p w:rsidR="000D479A" w:rsidRDefault="000D479A">
      <w:pPr>
        <w:pStyle w:val="FootnoteText"/>
      </w:pPr>
    </w:p>
  </w:footnote>
  <w:footnote w:id="2">
    <w:p w:rsidR="00910914" w:rsidRDefault="00910914">
      <w:pPr>
        <w:pStyle w:val="FootnoteText"/>
      </w:pPr>
      <w:r>
        <w:rPr>
          <w:rStyle w:val="FootnoteReference"/>
        </w:rPr>
        <w:footnoteRef/>
      </w:r>
      <w:r>
        <w:t xml:space="preserve"> </w:t>
      </w:r>
      <w:r w:rsidRPr="00DD18FC">
        <w:t>P</w:t>
      </w:r>
      <w:r w:rsidRPr="00DD18FC">
        <w:rPr>
          <w:i/>
        </w:rPr>
        <w:t>ar bērnu vecumā no 0-2 gadiem</w:t>
      </w:r>
      <w:r w:rsidRPr="00DD18FC">
        <w:t xml:space="preserve"> - 28,5 </w:t>
      </w:r>
      <w:proofErr w:type="spellStart"/>
      <w:r w:rsidR="00503533" w:rsidRPr="0035672C">
        <w:rPr>
          <w:i/>
        </w:rPr>
        <w:t>euro</w:t>
      </w:r>
      <w:proofErr w:type="spellEnd"/>
      <w:r w:rsidRPr="00DD18FC">
        <w:t xml:space="preserve"> (ja mēneša ienākumi uz ģimenes locekli ir mazāki par 153 </w:t>
      </w:r>
      <w:proofErr w:type="spellStart"/>
      <w:r w:rsidR="00503533" w:rsidRPr="0035672C">
        <w:rPr>
          <w:i/>
        </w:rPr>
        <w:t>euro</w:t>
      </w:r>
      <w:proofErr w:type="spellEnd"/>
      <w:r w:rsidRPr="00DD18FC">
        <w:t>); p</w:t>
      </w:r>
      <w:r w:rsidRPr="00DD18FC">
        <w:rPr>
          <w:i/>
        </w:rPr>
        <w:t>ar bērnu vecumā no 2-7 gadiem</w:t>
      </w:r>
      <w:r w:rsidRPr="00DD18FC">
        <w:t xml:space="preserve"> – 15,2 </w:t>
      </w:r>
      <w:proofErr w:type="spellStart"/>
      <w:r w:rsidR="00503533" w:rsidRPr="0035672C">
        <w:rPr>
          <w:i/>
        </w:rPr>
        <w:t>euro</w:t>
      </w:r>
      <w:proofErr w:type="spellEnd"/>
      <w:r w:rsidRPr="00DD18FC">
        <w:t xml:space="preserve"> (ja mēneša ienākumi uz ģimenes locekli ir mazāki par 153 </w:t>
      </w:r>
      <w:proofErr w:type="spellStart"/>
      <w:r w:rsidR="00503533" w:rsidRPr="0035672C">
        <w:rPr>
          <w:i/>
        </w:rPr>
        <w:t>euro</w:t>
      </w:r>
      <w:proofErr w:type="spellEnd"/>
      <w:r w:rsidRPr="00DD18FC">
        <w:t>).</w:t>
      </w:r>
    </w:p>
  </w:footnote>
  <w:footnote w:id="3">
    <w:p w:rsidR="004B30A4" w:rsidRPr="008B4534" w:rsidRDefault="004B30A4" w:rsidP="004B30A4">
      <w:pPr>
        <w:pStyle w:val="FootnoteText"/>
      </w:pPr>
      <w:r w:rsidRPr="008B4534">
        <w:rPr>
          <w:rStyle w:val="FootnoteReference"/>
          <w:sz w:val="16"/>
        </w:rPr>
        <w:footnoteRef/>
      </w:r>
      <w:r w:rsidRPr="008B4534">
        <w:rPr>
          <w:sz w:val="16"/>
        </w:rPr>
        <w:t xml:space="preserve"> </w:t>
      </w:r>
      <w:proofErr w:type="spellStart"/>
      <w:r w:rsidRPr="008B4534">
        <w:rPr>
          <w:sz w:val="16"/>
        </w:rPr>
        <w:t>Ministry</w:t>
      </w:r>
      <w:proofErr w:type="spellEnd"/>
      <w:r w:rsidRPr="008B4534">
        <w:rPr>
          <w:sz w:val="16"/>
        </w:rPr>
        <w:t xml:space="preserve"> </w:t>
      </w:r>
      <w:proofErr w:type="spellStart"/>
      <w:r w:rsidRPr="008B4534">
        <w:rPr>
          <w:sz w:val="16"/>
        </w:rPr>
        <w:t>of</w:t>
      </w:r>
      <w:proofErr w:type="spellEnd"/>
      <w:r w:rsidRPr="008B4534">
        <w:rPr>
          <w:sz w:val="16"/>
        </w:rPr>
        <w:t xml:space="preserve"> </w:t>
      </w:r>
      <w:proofErr w:type="spellStart"/>
      <w:r w:rsidRPr="008B4534">
        <w:rPr>
          <w:sz w:val="16"/>
        </w:rPr>
        <w:t>Social</w:t>
      </w:r>
      <w:proofErr w:type="spellEnd"/>
      <w:r w:rsidRPr="008B4534">
        <w:rPr>
          <w:sz w:val="16"/>
        </w:rPr>
        <w:t xml:space="preserve"> </w:t>
      </w:r>
      <w:proofErr w:type="spellStart"/>
      <w:r w:rsidRPr="008B4534">
        <w:rPr>
          <w:sz w:val="16"/>
        </w:rPr>
        <w:t>Affairs</w:t>
      </w:r>
      <w:proofErr w:type="spellEnd"/>
      <w:r w:rsidRPr="008B4534">
        <w:rPr>
          <w:sz w:val="16"/>
        </w:rPr>
        <w:t xml:space="preserve">, </w:t>
      </w:r>
      <w:proofErr w:type="spellStart"/>
      <w:r w:rsidRPr="008B4534">
        <w:rPr>
          <w:sz w:val="16"/>
        </w:rPr>
        <w:t>Republic</w:t>
      </w:r>
      <w:proofErr w:type="spellEnd"/>
      <w:r w:rsidRPr="008B4534">
        <w:rPr>
          <w:sz w:val="16"/>
        </w:rPr>
        <w:t xml:space="preserve"> </w:t>
      </w:r>
      <w:proofErr w:type="spellStart"/>
      <w:r w:rsidRPr="008B4534">
        <w:rPr>
          <w:sz w:val="16"/>
        </w:rPr>
        <w:t>of</w:t>
      </w:r>
      <w:proofErr w:type="spellEnd"/>
      <w:r w:rsidRPr="008B4534">
        <w:rPr>
          <w:sz w:val="16"/>
        </w:rPr>
        <w:t xml:space="preserve"> </w:t>
      </w:r>
      <w:proofErr w:type="spellStart"/>
      <w:r w:rsidRPr="008B4534">
        <w:rPr>
          <w:sz w:val="16"/>
        </w:rPr>
        <w:t>Estonia</w:t>
      </w:r>
      <w:proofErr w:type="spellEnd"/>
      <w:r w:rsidRPr="008B4534">
        <w:rPr>
          <w:sz w:val="16"/>
        </w:rPr>
        <w:t xml:space="preserve"> (2011). </w:t>
      </w:r>
      <w:proofErr w:type="spellStart"/>
      <w:r w:rsidRPr="008B4534">
        <w:rPr>
          <w:sz w:val="16"/>
        </w:rPr>
        <w:t>Strategy</w:t>
      </w:r>
      <w:proofErr w:type="spellEnd"/>
      <w:r w:rsidRPr="008B4534">
        <w:rPr>
          <w:sz w:val="16"/>
        </w:rPr>
        <w:t xml:space="preserve"> </w:t>
      </w:r>
      <w:proofErr w:type="spellStart"/>
      <w:r w:rsidRPr="008B4534">
        <w:rPr>
          <w:sz w:val="16"/>
        </w:rPr>
        <w:t>of</w:t>
      </w:r>
      <w:proofErr w:type="spellEnd"/>
      <w:r w:rsidRPr="008B4534">
        <w:rPr>
          <w:sz w:val="16"/>
        </w:rPr>
        <w:t xml:space="preserve"> </w:t>
      </w:r>
      <w:proofErr w:type="spellStart"/>
      <w:r w:rsidRPr="008B4534">
        <w:rPr>
          <w:sz w:val="16"/>
        </w:rPr>
        <w:t>Children</w:t>
      </w:r>
      <w:proofErr w:type="spellEnd"/>
      <w:r w:rsidRPr="008B4534">
        <w:rPr>
          <w:sz w:val="16"/>
        </w:rPr>
        <w:t xml:space="preserve"> </w:t>
      </w:r>
      <w:proofErr w:type="spellStart"/>
      <w:r w:rsidRPr="008B4534">
        <w:rPr>
          <w:sz w:val="16"/>
        </w:rPr>
        <w:t>and</w:t>
      </w:r>
      <w:proofErr w:type="spellEnd"/>
      <w:r w:rsidRPr="008B4534">
        <w:rPr>
          <w:sz w:val="16"/>
        </w:rPr>
        <w:t xml:space="preserve"> </w:t>
      </w:r>
      <w:proofErr w:type="spellStart"/>
      <w:r w:rsidRPr="008B4534">
        <w:rPr>
          <w:sz w:val="16"/>
        </w:rPr>
        <w:t>Families</w:t>
      </w:r>
      <w:proofErr w:type="spellEnd"/>
      <w:r w:rsidRPr="008B4534">
        <w:rPr>
          <w:sz w:val="16"/>
        </w:rPr>
        <w:t xml:space="preserve"> 2012–2020: </w:t>
      </w:r>
      <w:proofErr w:type="spellStart"/>
      <w:r w:rsidRPr="008B4534">
        <w:rPr>
          <w:sz w:val="16"/>
        </w:rPr>
        <w:t>Smart</w:t>
      </w:r>
      <w:proofErr w:type="spellEnd"/>
      <w:r w:rsidRPr="008B4534">
        <w:rPr>
          <w:sz w:val="16"/>
        </w:rPr>
        <w:t xml:space="preserve"> </w:t>
      </w:r>
      <w:proofErr w:type="spellStart"/>
      <w:r w:rsidRPr="008B4534">
        <w:rPr>
          <w:sz w:val="16"/>
        </w:rPr>
        <w:t>Parents</w:t>
      </w:r>
      <w:proofErr w:type="spellEnd"/>
      <w:r w:rsidRPr="008B4534">
        <w:rPr>
          <w:sz w:val="16"/>
        </w:rPr>
        <w:t xml:space="preserve">, </w:t>
      </w:r>
      <w:proofErr w:type="spellStart"/>
      <w:r w:rsidRPr="008B4534">
        <w:rPr>
          <w:sz w:val="16"/>
        </w:rPr>
        <w:t>Great</w:t>
      </w:r>
      <w:proofErr w:type="spellEnd"/>
      <w:r w:rsidRPr="008B4534">
        <w:rPr>
          <w:sz w:val="16"/>
        </w:rPr>
        <w:t xml:space="preserve"> </w:t>
      </w:r>
      <w:proofErr w:type="spellStart"/>
      <w:r w:rsidRPr="008B4534">
        <w:rPr>
          <w:sz w:val="16"/>
        </w:rPr>
        <w:t>Children</w:t>
      </w:r>
      <w:proofErr w:type="spellEnd"/>
      <w:r w:rsidRPr="008B4534">
        <w:rPr>
          <w:sz w:val="16"/>
        </w:rPr>
        <w:t xml:space="preserve">, </w:t>
      </w:r>
      <w:proofErr w:type="spellStart"/>
      <w:r w:rsidRPr="008B4534">
        <w:rPr>
          <w:sz w:val="16"/>
        </w:rPr>
        <w:t>Strong</w:t>
      </w:r>
      <w:proofErr w:type="spellEnd"/>
      <w:r w:rsidRPr="008B4534">
        <w:rPr>
          <w:sz w:val="16"/>
        </w:rPr>
        <w:t xml:space="preserve"> </w:t>
      </w:r>
      <w:proofErr w:type="spellStart"/>
      <w:r w:rsidRPr="008B4534">
        <w:rPr>
          <w:sz w:val="16"/>
        </w:rPr>
        <w:t>Society</w:t>
      </w:r>
      <w:proofErr w:type="spellEnd"/>
      <w:r w:rsidRPr="008B4534">
        <w:rPr>
          <w:sz w:val="16"/>
        </w:rPr>
        <w:t>. https://www.sm.ee/sites/default/files/content-editors/Ministeerium_kontaktid/Valjaanded/lpa_kokkuvote_eng.pdf (sk.01.06.2016.)</w:t>
      </w:r>
    </w:p>
  </w:footnote>
  <w:footnote w:id="4">
    <w:p w:rsidR="001253F1" w:rsidRPr="00AA362C" w:rsidRDefault="001253F1" w:rsidP="00AA362C">
      <w:pPr>
        <w:pStyle w:val="NormalWeb"/>
        <w:shd w:val="clear" w:color="auto" w:fill="FFFFFF"/>
        <w:spacing w:before="75" w:beforeAutospacing="0" w:after="0" w:afterAutospacing="0"/>
        <w:jc w:val="both"/>
        <w:rPr>
          <w:sz w:val="20"/>
          <w:szCs w:val="20"/>
        </w:rPr>
      </w:pPr>
      <w:r>
        <w:rPr>
          <w:rStyle w:val="FootnoteReference"/>
        </w:rPr>
        <w:footnoteRef/>
      </w:r>
      <w:r>
        <w:t xml:space="preserve"> </w:t>
      </w:r>
      <w:r w:rsidRPr="00AA362C">
        <w:rPr>
          <w:sz w:val="20"/>
          <w:szCs w:val="20"/>
        </w:rPr>
        <w:t>Neatkarīgi no bērnu skaita, kuri jāuztur, spējas uzturēt bērnus un mantas stāvokļa, katram savam bērnam jānodrošina uzturlīdzekļi vismaz valstī noteiktajā minimālajā apmērā</w:t>
      </w:r>
      <w:r w:rsidR="007550FE">
        <w:rPr>
          <w:sz w:val="20"/>
          <w:szCs w:val="20"/>
        </w:rPr>
        <w:t xml:space="preserve"> </w:t>
      </w:r>
      <w:r w:rsidRPr="00AA362C">
        <w:rPr>
          <w:sz w:val="20"/>
          <w:szCs w:val="20"/>
        </w:rPr>
        <w:t>(Civillikuma</w:t>
      </w:r>
      <w:hyperlink r:id="rId1" w:anchor="p-453774" w:tgtFrame="_blank" w:history="1">
        <w:r w:rsidRPr="00AA362C">
          <w:rPr>
            <w:rStyle w:val="Hyperlink"/>
            <w:color w:val="auto"/>
            <w:sz w:val="20"/>
            <w:szCs w:val="20"/>
            <w:u w:val="none"/>
          </w:rPr>
          <w:t>179. panta piektā daļa</w:t>
        </w:r>
      </w:hyperlink>
      <w:r w:rsidRPr="00AA362C">
        <w:rPr>
          <w:sz w:val="20"/>
          <w:szCs w:val="20"/>
        </w:rPr>
        <w:t>). Minimālais uzturlīdzekļu apmērs ir noteikts Ministru kabineta noteikumos </w:t>
      </w:r>
      <w:hyperlink r:id="rId2" w:tgtFrame="_blank" w:history="1">
        <w:r w:rsidRPr="00AA362C">
          <w:rPr>
            <w:rStyle w:val="Hyperlink"/>
            <w:color w:val="auto"/>
            <w:sz w:val="20"/>
            <w:szCs w:val="20"/>
            <w:u w:val="none"/>
          </w:rPr>
          <w:t>Nr. 37  </w:t>
        </w:r>
      </w:hyperlink>
      <w:r w:rsidRPr="00AA362C">
        <w:rPr>
          <w:sz w:val="20"/>
          <w:szCs w:val="20"/>
        </w:rPr>
        <w:t>"Noteikumi par minimālo uzturlīdzekļu apmēru bērnam", ņemot vērā valstī noteikto minimālo mēneša algu un bērna vecumu. Tā kā no 2016. gada 1. janvāra Latvijā noteiktā minimālā mēneša darba alga ir 370 eiro, minimālais uzturlīdzekļu apmērs katram bērnam ir šāds:</w:t>
      </w:r>
      <w:r w:rsidR="00AA362C" w:rsidRPr="00AA362C">
        <w:rPr>
          <w:sz w:val="20"/>
          <w:szCs w:val="20"/>
        </w:rPr>
        <w:t xml:space="preserve"> </w:t>
      </w:r>
      <w:r w:rsidRPr="00AA362C">
        <w:rPr>
          <w:sz w:val="20"/>
          <w:szCs w:val="20"/>
        </w:rPr>
        <w:t>25% apmērā no valstī noteiktās minimālās mēnešalgas</w:t>
      </w:r>
      <w:r w:rsidRPr="00AA362C">
        <w:rPr>
          <w:rStyle w:val="apple-converted-space"/>
          <w:sz w:val="20"/>
          <w:szCs w:val="20"/>
        </w:rPr>
        <w:t> </w:t>
      </w:r>
      <w:r w:rsidRPr="00AA362C">
        <w:rPr>
          <w:sz w:val="20"/>
          <w:szCs w:val="20"/>
        </w:rPr>
        <w:t>katram bērnam</w:t>
      </w:r>
      <w:r w:rsidRPr="00AA362C">
        <w:rPr>
          <w:rStyle w:val="apple-converted-space"/>
          <w:sz w:val="20"/>
          <w:szCs w:val="20"/>
        </w:rPr>
        <w:t> </w:t>
      </w:r>
      <w:r w:rsidRPr="00AA362C">
        <w:rPr>
          <w:sz w:val="20"/>
          <w:szCs w:val="20"/>
        </w:rPr>
        <w:t xml:space="preserve">no viņa dzimšanas līdz 7 gadu vecumam </w:t>
      </w:r>
      <w:r w:rsidRPr="00CF2F75">
        <w:rPr>
          <w:sz w:val="20"/>
          <w:szCs w:val="20"/>
        </w:rPr>
        <w:t>(</w:t>
      </w:r>
      <w:r w:rsidRPr="00AA362C">
        <w:rPr>
          <w:rStyle w:val="Strong"/>
          <w:b w:val="0"/>
          <w:sz w:val="20"/>
          <w:szCs w:val="20"/>
        </w:rPr>
        <w:t>92,50 eiro mēnesī</w:t>
      </w:r>
      <w:r w:rsidRPr="00AA362C">
        <w:rPr>
          <w:sz w:val="20"/>
          <w:szCs w:val="20"/>
        </w:rPr>
        <w:t>);</w:t>
      </w:r>
      <w:r w:rsidR="00AA362C" w:rsidRPr="00AA362C">
        <w:rPr>
          <w:sz w:val="20"/>
          <w:szCs w:val="20"/>
        </w:rPr>
        <w:t xml:space="preserve"> </w:t>
      </w:r>
      <w:r w:rsidRPr="00AA362C">
        <w:rPr>
          <w:sz w:val="20"/>
          <w:szCs w:val="20"/>
        </w:rPr>
        <w:t>30% apmērā no valstī noteiktās minimālās mēnešalgas</w:t>
      </w:r>
      <w:r w:rsidRPr="00AA362C">
        <w:rPr>
          <w:rStyle w:val="apple-converted-space"/>
          <w:sz w:val="20"/>
          <w:szCs w:val="20"/>
        </w:rPr>
        <w:t> </w:t>
      </w:r>
      <w:r w:rsidRPr="00AA362C">
        <w:rPr>
          <w:sz w:val="20"/>
          <w:szCs w:val="20"/>
          <w:u w:val="single"/>
        </w:rPr>
        <w:t>k</w:t>
      </w:r>
      <w:r w:rsidRPr="00407D0B">
        <w:rPr>
          <w:sz w:val="20"/>
          <w:szCs w:val="20"/>
        </w:rPr>
        <w:t>atram bērnam</w:t>
      </w:r>
      <w:r w:rsidRPr="00407D0B">
        <w:rPr>
          <w:rStyle w:val="apple-converted-space"/>
          <w:sz w:val="20"/>
          <w:szCs w:val="20"/>
        </w:rPr>
        <w:t> </w:t>
      </w:r>
      <w:r w:rsidRPr="00AA362C">
        <w:rPr>
          <w:sz w:val="20"/>
          <w:szCs w:val="20"/>
        </w:rPr>
        <w:t>no 7 gadu vecuma līdz 18 gadu vecuma sasniegšanai (</w:t>
      </w:r>
      <w:r w:rsidRPr="00AA362C">
        <w:rPr>
          <w:rStyle w:val="Strong"/>
          <w:b w:val="0"/>
          <w:sz w:val="20"/>
          <w:szCs w:val="20"/>
        </w:rPr>
        <w:t>111 eiro mēnesī</w:t>
      </w:r>
      <w:r w:rsidRPr="00AA362C">
        <w:rPr>
          <w:sz w:val="20"/>
          <w:szCs w:val="20"/>
        </w:rPr>
        <w:t>).</w:t>
      </w:r>
    </w:p>
    <w:p w:rsidR="001253F1" w:rsidRPr="00AA362C" w:rsidRDefault="001253F1" w:rsidP="00AA362C">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F7" w:rsidRDefault="002D74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C46F7" w:rsidRDefault="005B779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46F7" w:rsidRDefault="002D744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97671">
      <w:rPr>
        <w:rStyle w:val="PageNumber"/>
        <w:noProof/>
      </w:rPr>
      <w:t>10</w:t>
    </w:r>
    <w:r>
      <w:rPr>
        <w:rStyle w:val="PageNumber"/>
      </w:rPr>
      <w:fldChar w:fldCharType="end"/>
    </w:r>
  </w:p>
  <w:p w:rsidR="000C46F7" w:rsidRDefault="005B779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B7897"/>
    <w:multiLevelType w:val="hybridMultilevel"/>
    <w:tmpl w:val="589A63DC"/>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54D7EAD"/>
    <w:multiLevelType w:val="hybridMultilevel"/>
    <w:tmpl w:val="ECC4A4A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0909505A"/>
    <w:multiLevelType w:val="hybridMultilevel"/>
    <w:tmpl w:val="0070007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3">
    <w:nsid w:val="0EB26ABD"/>
    <w:multiLevelType w:val="multilevel"/>
    <w:tmpl w:val="666E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36354E"/>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5">
    <w:nsid w:val="1F071289"/>
    <w:multiLevelType w:val="hybridMultilevel"/>
    <w:tmpl w:val="D3BEDA2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1736179"/>
    <w:multiLevelType w:val="hybridMultilevel"/>
    <w:tmpl w:val="4C54836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7">
    <w:nsid w:val="24697657"/>
    <w:multiLevelType w:val="hybridMultilevel"/>
    <w:tmpl w:val="C3D8E988"/>
    <w:lvl w:ilvl="0" w:tplc="C8F88CF4">
      <w:start w:val="1"/>
      <w:numFmt w:val="decimal"/>
      <w:lvlText w:val="%1)"/>
      <w:lvlJc w:val="left"/>
      <w:pPr>
        <w:ind w:left="720" w:hanging="360"/>
      </w:pPr>
      <w:rPr>
        <w:rFonts w:cs="Times New Roman" w:hint="default"/>
        <w:b w:val="0"/>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8">
    <w:nsid w:val="24CC4E31"/>
    <w:multiLevelType w:val="hybridMultilevel"/>
    <w:tmpl w:val="6208690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6AA0BF8"/>
    <w:multiLevelType w:val="hybridMultilevel"/>
    <w:tmpl w:val="EAAC859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nsid w:val="28020EDA"/>
    <w:multiLevelType w:val="hybridMultilevel"/>
    <w:tmpl w:val="DDAA87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1">
    <w:nsid w:val="2BB44392"/>
    <w:multiLevelType w:val="hybridMultilevel"/>
    <w:tmpl w:val="A502DFF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nsid w:val="31E02E66"/>
    <w:multiLevelType w:val="hybridMultilevel"/>
    <w:tmpl w:val="5A92FB3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3">
    <w:nsid w:val="375F04D9"/>
    <w:multiLevelType w:val="hybridMultilevel"/>
    <w:tmpl w:val="4432C70C"/>
    <w:lvl w:ilvl="0" w:tplc="04260001">
      <w:start w:val="1"/>
      <w:numFmt w:val="bullet"/>
      <w:lvlText w:val=""/>
      <w:lvlJc w:val="left"/>
      <w:pPr>
        <w:ind w:left="1080" w:hanging="360"/>
      </w:pPr>
      <w:rPr>
        <w:rFonts w:ascii="Symbol" w:hAnsi="Symbol" w:cs="Symbol"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14">
    <w:nsid w:val="3EA86C9B"/>
    <w:multiLevelType w:val="hybridMultilevel"/>
    <w:tmpl w:val="3D7E60BA"/>
    <w:lvl w:ilvl="0" w:tplc="04260001">
      <w:start w:val="1"/>
      <w:numFmt w:val="bullet"/>
      <w:lvlText w:val=""/>
      <w:lvlJc w:val="left"/>
      <w:pPr>
        <w:tabs>
          <w:tab w:val="num" w:pos="699"/>
        </w:tabs>
        <w:ind w:left="699" w:hanging="360"/>
      </w:pPr>
      <w:rPr>
        <w:rFonts w:ascii="Symbol" w:hAnsi="Symbol" w:hint="default"/>
      </w:rPr>
    </w:lvl>
    <w:lvl w:ilvl="1" w:tplc="04260003" w:tentative="1">
      <w:start w:val="1"/>
      <w:numFmt w:val="bullet"/>
      <w:lvlText w:val="o"/>
      <w:lvlJc w:val="left"/>
      <w:pPr>
        <w:tabs>
          <w:tab w:val="num" w:pos="1419"/>
        </w:tabs>
        <w:ind w:left="1419" w:hanging="360"/>
      </w:pPr>
      <w:rPr>
        <w:rFonts w:ascii="Courier New" w:hAnsi="Courier New" w:cs="Courier New" w:hint="default"/>
      </w:rPr>
    </w:lvl>
    <w:lvl w:ilvl="2" w:tplc="04260005" w:tentative="1">
      <w:start w:val="1"/>
      <w:numFmt w:val="bullet"/>
      <w:lvlText w:val=""/>
      <w:lvlJc w:val="left"/>
      <w:pPr>
        <w:tabs>
          <w:tab w:val="num" w:pos="2139"/>
        </w:tabs>
        <w:ind w:left="2139" w:hanging="360"/>
      </w:pPr>
      <w:rPr>
        <w:rFonts w:ascii="Wingdings" w:hAnsi="Wingdings" w:hint="default"/>
      </w:rPr>
    </w:lvl>
    <w:lvl w:ilvl="3" w:tplc="04260001" w:tentative="1">
      <w:start w:val="1"/>
      <w:numFmt w:val="bullet"/>
      <w:lvlText w:val=""/>
      <w:lvlJc w:val="left"/>
      <w:pPr>
        <w:tabs>
          <w:tab w:val="num" w:pos="2859"/>
        </w:tabs>
        <w:ind w:left="2859" w:hanging="360"/>
      </w:pPr>
      <w:rPr>
        <w:rFonts w:ascii="Symbol" w:hAnsi="Symbol" w:hint="default"/>
      </w:rPr>
    </w:lvl>
    <w:lvl w:ilvl="4" w:tplc="04260003" w:tentative="1">
      <w:start w:val="1"/>
      <w:numFmt w:val="bullet"/>
      <w:lvlText w:val="o"/>
      <w:lvlJc w:val="left"/>
      <w:pPr>
        <w:tabs>
          <w:tab w:val="num" w:pos="3579"/>
        </w:tabs>
        <w:ind w:left="3579" w:hanging="360"/>
      </w:pPr>
      <w:rPr>
        <w:rFonts w:ascii="Courier New" w:hAnsi="Courier New" w:cs="Courier New" w:hint="default"/>
      </w:rPr>
    </w:lvl>
    <w:lvl w:ilvl="5" w:tplc="04260005" w:tentative="1">
      <w:start w:val="1"/>
      <w:numFmt w:val="bullet"/>
      <w:lvlText w:val=""/>
      <w:lvlJc w:val="left"/>
      <w:pPr>
        <w:tabs>
          <w:tab w:val="num" w:pos="4299"/>
        </w:tabs>
        <w:ind w:left="4299" w:hanging="360"/>
      </w:pPr>
      <w:rPr>
        <w:rFonts w:ascii="Wingdings" w:hAnsi="Wingdings" w:hint="default"/>
      </w:rPr>
    </w:lvl>
    <w:lvl w:ilvl="6" w:tplc="04260001" w:tentative="1">
      <w:start w:val="1"/>
      <w:numFmt w:val="bullet"/>
      <w:lvlText w:val=""/>
      <w:lvlJc w:val="left"/>
      <w:pPr>
        <w:tabs>
          <w:tab w:val="num" w:pos="5019"/>
        </w:tabs>
        <w:ind w:left="5019" w:hanging="360"/>
      </w:pPr>
      <w:rPr>
        <w:rFonts w:ascii="Symbol" w:hAnsi="Symbol" w:hint="default"/>
      </w:rPr>
    </w:lvl>
    <w:lvl w:ilvl="7" w:tplc="04260003" w:tentative="1">
      <w:start w:val="1"/>
      <w:numFmt w:val="bullet"/>
      <w:lvlText w:val="o"/>
      <w:lvlJc w:val="left"/>
      <w:pPr>
        <w:tabs>
          <w:tab w:val="num" w:pos="5739"/>
        </w:tabs>
        <w:ind w:left="5739" w:hanging="360"/>
      </w:pPr>
      <w:rPr>
        <w:rFonts w:ascii="Courier New" w:hAnsi="Courier New" w:cs="Courier New" w:hint="default"/>
      </w:rPr>
    </w:lvl>
    <w:lvl w:ilvl="8" w:tplc="04260005" w:tentative="1">
      <w:start w:val="1"/>
      <w:numFmt w:val="bullet"/>
      <w:lvlText w:val=""/>
      <w:lvlJc w:val="left"/>
      <w:pPr>
        <w:tabs>
          <w:tab w:val="num" w:pos="6459"/>
        </w:tabs>
        <w:ind w:left="6459" w:hanging="360"/>
      </w:pPr>
      <w:rPr>
        <w:rFonts w:ascii="Wingdings" w:hAnsi="Wingdings" w:hint="default"/>
      </w:rPr>
    </w:lvl>
  </w:abstractNum>
  <w:abstractNum w:abstractNumId="15">
    <w:nsid w:val="41907CA2"/>
    <w:multiLevelType w:val="hybridMultilevel"/>
    <w:tmpl w:val="C6F6751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420A32CC"/>
    <w:multiLevelType w:val="hybridMultilevel"/>
    <w:tmpl w:val="D686564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7">
    <w:nsid w:val="47250A25"/>
    <w:multiLevelType w:val="hybridMultilevel"/>
    <w:tmpl w:val="D0305C00"/>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nsid w:val="4D0341ED"/>
    <w:multiLevelType w:val="hybridMultilevel"/>
    <w:tmpl w:val="0BA61E32"/>
    <w:lvl w:ilvl="0" w:tplc="04260011">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9">
    <w:nsid w:val="56177250"/>
    <w:multiLevelType w:val="hybridMultilevel"/>
    <w:tmpl w:val="74F08B1E"/>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0">
    <w:nsid w:val="56485076"/>
    <w:multiLevelType w:val="hybridMultilevel"/>
    <w:tmpl w:val="25FEFB92"/>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nsid w:val="5C9D4AF3"/>
    <w:multiLevelType w:val="hybridMultilevel"/>
    <w:tmpl w:val="6054FB74"/>
    <w:lvl w:ilvl="0" w:tplc="607CD516">
      <w:start w:val="1"/>
      <w:numFmt w:val="lowerLetter"/>
      <w:lvlText w:val="%1)"/>
      <w:lvlJc w:val="left"/>
      <w:pPr>
        <w:ind w:left="735" w:hanging="360"/>
      </w:pPr>
      <w:rPr>
        <w:rFonts w:cs="Times New Roman" w:hint="default"/>
      </w:rPr>
    </w:lvl>
    <w:lvl w:ilvl="1" w:tplc="04260019" w:tentative="1">
      <w:start w:val="1"/>
      <w:numFmt w:val="lowerLetter"/>
      <w:lvlText w:val="%2."/>
      <w:lvlJc w:val="left"/>
      <w:pPr>
        <w:ind w:left="1455" w:hanging="360"/>
      </w:pPr>
      <w:rPr>
        <w:rFonts w:cs="Times New Roman"/>
      </w:rPr>
    </w:lvl>
    <w:lvl w:ilvl="2" w:tplc="0426001B" w:tentative="1">
      <w:start w:val="1"/>
      <w:numFmt w:val="lowerRoman"/>
      <w:lvlText w:val="%3."/>
      <w:lvlJc w:val="right"/>
      <w:pPr>
        <w:ind w:left="2175" w:hanging="180"/>
      </w:pPr>
      <w:rPr>
        <w:rFonts w:cs="Times New Roman"/>
      </w:rPr>
    </w:lvl>
    <w:lvl w:ilvl="3" w:tplc="0426000F" w:tentative="1">
      <w:start w:val="1"/>
      <w:numFmt w:val="decimal"/>
      <w:lvlText w:val="%4."/>
      <w:lvlJc w:val="left"/>
      <w:pPr>
        <w:ind w:left="2895" w:hanging="360"/>
      </w:pPr>
      <w:rPr>
        <w:rFonts w:cs="Times New Roman"/>
      </w:rPr>
    </w:lvl>
    <w:lvl w:ilvl="4" w:tplc="04260019" w:tentative="1">
      <w:start w:val="1"/>
      <w:numFmt w:val="lowerLetter"/>
      <w:lvlText w:val="%5."/>
      <w:lvlJc w:val="left"/>
      <w:pPr>
        <w:ind w:left="3615" w:hanging="360"/>
      </w:pPr>
      <w:rPr>
        <w:rFonts w:cs="Times New Roman"/>
      </w:rPr>
    </w:lvl>
    <w:lvl w:ilvl="5" w:tplc="0426001B" w:tentative="1">
      <w:start w:val="1"/>
      <w:numFmt w:val="lowerRoman"/>
      <w:lvlText w:val="%6."/>
      <w:lvlJc w:val="right"/>
      <w:pPr>
        <w:ind w:left="4335" w:hanging="180"/>
      </w:pPr>
      <w:rPr>
        <w:rFonts w:cs="Times New Roman"/>
      </w:rPr>
    </w:lvl>
    <w:lvl w:ilvl="6" w:tplc="0426000F" w:tentative="1">
      <w:start w:val="1"/>
      <w:numFmt w:val="decimal"/>
      <w:lvlText w:val="%7."/>
      <w:lvlJc w:val="left"/>
      <w:pPr>
        <w:ind w:left="5055" w:hanging="360"/>
      </w:pPr>
      <w:rPr>
        <w:rFonts w:cs="Times New Roman"/>
      </w:rPr>
    </w:lvl>
    <w:lvl w:ilvl="7" w:tplc="04260019" w:tentative="1">
      <w:start w:val="1"/>
      <w:numFmt w:val="lowerLetter"/>
      <w:lvlText w:val="%8."/>
      <w:lvlJc w:val="left"/>
      <w:pPr>
        <w:ind w:left="5775" w:hanging="360"/>
      </w:pPr>
      <w:rPr>
        <w:rFonts w:cs="Times New Roman"/>
      </w:rPr>
    </w:lvl>
    <w:lvl w:ilvl="8" w:tplc="0426001B" w:tentative="1">
      <w:start w:val="1"/>
      <w:numFmt w:val="lowerRoman"/>
      <w:lvlText w:val="%9."/>
      <w:lvlJc w:val="right"/>
      <w:pPr>
        <w:ind w:left="6495" w:hanging="180"/>
      </w:pPr>
      <w:rPr>
        <w:rFonts w:cs="Times New Roman"/>
      </w:rPr>
    </w:lvl>
  </w:abstractNum>
  <w:abstractNum w:abstractNumId="22">
    <w:nsid w:val="63E93F55"/>
    <w:multiLevelType w:val="hybridMultilevel"/>
    <w:tmpl w:val="2A3EDA3A"/>
    <w:lvl w:ilvl="0" w:tplc="50C4CA0E">
      <w:start w:val="20"/>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3">
    <w:nsid w:val="6473502C"/>
    <w:multiLevelType w:val="hybridMultilevel"/>
    <w:tmpl w:val="C3D8EE9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4">
    <w:nsid w:val="75E05914"/>
    <w:multiLevelType w:val="hybridMultilevel"/>
    <w:tmpl w:val="3B1606AA"/>
    <w:lvl w:ilvl="0" w:tplc="04260011">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5">
    <w:nsid w:val="78E83776"/>
    <w:multiLevelType w:val="multilevel"/>
    <w:tmpl w:val="E8BE82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9574CA8"/>
    <w:multiLevelType w:val="multilevel"/>
    <w:tmpl w:val="29A2A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9777A8"/>
    <w:multiLevelType w:val="hybridMultilevel"/>
    <w:tmpl w:val="5352E514"/>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
  </w:num>
  <w:num w:numId="3">
    <w:abstractNumId w:val="10"/>
  </w:num>
  <w:num w:numId="4">
    <w:abstractNumId w:val="5"/>
  </w:num>
  <w:num w:numId="5">
    <w:abstractNumId w:val="2"/>
  </w:num>
  <w:num w:numId="6">
    <w:abstractNumId w:val="20"/>
  </w:num>
  <w:num w:numId="7">
    <w:abstractNumId w:val="14"/>
  </w:num>
  <w:num w:numId="8">
    <w:abstractNumId w:val="17"/>
  </w:num>
  <w:num w:numId="9">
    <w:abstractNumId w:val="0"/>
  </w:num>
  <w:num w:numId="10">
    <w:abstractNumId w:val="11"/>
  </w:num>
  <w:num w:numId="11">
    <w:abstractNumId w:val="7"/>
  </w:num>
  <w:num w:numId="12">
    <w:abstractNumId w:val="24"/>
  </w:num>
  <w:num w:numId="13">
    <w:abstractNumId w:val="4"/>
  </w:num>
  <w:num w:numId="14">
    <w:abstractNumId w:val="22"/>
  </w:num>
  <w:num w:numId="15">
    <w:abstractNumId w:val="21"/>
  </w:num>
  <w:num w:numId="16">
    <w:abstractNumId w:val="27"/>
  </w:num>
  <w:num w:numId="17">
    <w:abstractNumId w:val="23"/>
  </w:num>
  <w:num w:numId="18">
    <w:abstractNumId w:val="18"/>
  </w:num>
  <w:num w:numId="19">
    <w:abstractNumId w:val="8"/>
  </w:num>
  <w:num w:numId="20">
    <w:abstractNumId w:val="6"/>
  </w:num>
  <w:num w:numId="21">
    <w:abstractNumId w:val="16"/>
  </w:num>
  <w:num w:numId="22">
    <w:abstractNumId w:val="13"/>
  </w:num>
  <w:num w:numId="23">
    <w:abstractNumId w:val="12"/>
  </w:num>
  <w:num w:numId="24">
    <w:abstractNumId w:val="15"/>
  </w:num>
  <w:num w:numId="25">
    <w:abstractNumId w:val="3"/>
  </w:num>
  <w:num w:numId="26">
    <w:abstractNumId w:val="26"/>
  </w:num>
  <w:num w:numId="27">
    <w:abstractNumId w:val="25"/>
  </w:num>
  <w:num w:numId="2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EF3"/>
    <w:rsid w:val="00010A71"/>
    <w:rsid w:val="00010C5A"/>
    <w:rsid w:val="00027458"/>
    <w:rsid w:val="0004018D"/>
    <w:rsid w:val="00050CF1"/>
    <w:rsid w:val="000529DE"/>
    <w:rsid w:val="00052D8B"/>
    <w:rsid w:val="00065FC4"/>
    <w:rsid w:val="00077C24"/>
    <w:rsid w:val="00085A50"/>
    <w:rsid w:val="000A15DC"/>
    <w:rsid w:val="000A6AA7"/>
    <w:rsid w:val="000B1BF2"/>
    <w:rsid w:val="000B25B7"/>
    <w:rsid w:val="000B39BF"/>
    <w:rsid w:val="000C6010"/>
    <w:rsid w:val="000C60BD"/>
    <w:rsid w:val="000C6686"/>
    <w:rsid w:val="000D117C"/>
    <w:rsid w:val="000D16B1"/>
    <w:rsid w:val="000D1721"/>
    <w:rsid w:val="000D479A"/>
    <w:rsid w:val="000D5B72"/>
    <w:rsid w:val="000E092B"/>
    <w:rsid w:val="000E5C15"/>
    <w:rsid w:val="000F0A69"/>
    <w:rsid w:val="0010499F"/>
    <w:rsid w:val="00106108"/>
    <w:rsid w:val="001105A5"/>
    <w:rsid w:val="0011109E"/>
    <w:rsid w:val="001117F1"/>
    <w:rsid w:val="0011384C"/>
    <w:rsid w:val="001253F1"/>
    <w:rsid w:val="001360BD"/>
    <w:rsid w:val="00160A29"/>
    <w:rsid w:val="001645A2"/>
    <w:rsid w:val="0018783F"/>
    <w:rsid w:val="00193F4F"/>
    <w:rsid w:val="00194FAC"/>
    <w:rsid w:val="00196AE7"/>
    <w:rsid w:val="001A223E"/>
    <w:rsid w:val="001A5C83"/>
    <w:rsid w:val="001A5F12"/>
    <w:rsid w:val="001E2716"/>
    <w:rsid w:val="001E529B"/>
    <w:rsid w:val="001F031C"/>
    <w:rsid w:val="001F56E4"/>
    <w:rsid w:val="001F57C9"/>
    <w:rsid w:val="001F70ED"/>
    <w:rsid w:val="0021465E"/>
    <w:rsid w:val="00223DDD"/>
    <w:rsid w:val="00252989"/>
    <w:rsid w:val="002678E3"/>
    <w:rsid w:val="00271658"/>
    <w:rsid w:val="002756D7"/>
    <w:rsid w:val="0027687F"/>
    <w:rsid w:val="00282CE2"/>
    <w:rsid w:val="0029103A"/>
    <w:rsid w:val="00296447"/>
    <w:rsid w:val="002B2B6A"/>
    <w:rsid w:val="002C6433"/>
    <w:rsid w:val="002D5363"/>
    <w:rsid w:val="002D744A"/>
    <w:rsid w:val="002E0E67"/>
    <w:rsid w:val="0030650D"/>
    <w:rsid w:val="0031518C"/>
    <w:rsid w:val="003219FF"/>
    <w:rsid w:val="00324F54"/>
    <w:rsid w:val="003513BC"/>
    <w:rsid w:val="00354BEB"/>
    <w:rsid w:val="0035672C"/>
    <w:rsid w:val="00357790"/>
    <w:rsid w:val="0036115E"/>
    <w:rsid w:val="00362128"/>
    <w:rsid w:val="00364011"/>
    <w:rsid w:val="00370C82"/>
    <w:rsid w:val="003744FA"/>
    <w:rsid w:val="003750A0"/>
    <w:rsid w:val="00380206"/>
    <w:rsid w:val="00380C18"/>
    <w:rsid w:val="003902E1"/>
    <w:rsid w:val="003905AF"/>
    <w:rsid w:val="00394C84"/>
    <w:rsid w:val="003B784B"/>
    <w:rsid w:val="003C0BD5"/>
    <w:rsid w:val="003C4461"/>
    <w:rsid w:val="003D1231"/>
    <w:rsid w:val="003D1649"/>
    <w:rsid w:val="003E4EE5"/>
    <w:rsid w:val="003F2095"/>
    <w:rsid w:val="003F26F6"/>
    <w:rsid w:val="003F422A"/>
    <w:rsid w:val="003F7FF7"/>
    <w:rsid w:val="00403627"/>
    <w:rsid w:val="00407D0B"/>
    <w:rsid w:val="004343DB"/>
    <w:rsid w:val="0044272D"/>
    <w:rsid w:val="00442745"/>
    <w:rsid w:val="0046059F"/>
    <w:rsid w:val="00470B7F"/>
    <w:rsid w:val="00472A6F"/>
    <w:rsid w:val="0047432A"/>
    <w:rsid w:val="004A0A16"/>
    <w:rsid w:val="004A278F"/>
    <w:rsid w:val="004B1DAF"/>
    <w:rsid w:val="004B30A4"/>
    <w:rsid w:val="004C37CE"/>
    <w:rsid w:val="004D1A51"/>
    <w:rsid w:val="004E6DCD"/>
    <w:rsid w:val="004F072F"/>
    <w:rsid w:val="004F6148"/>
    <w:rsid w:val="005024BA"/>
    <w:rsid w:val="00503533"/>
    <w:rsid w:val="00505B2E"/>
    <w:rsid w:val="00516E96"/>
    <w:rsid w:val="0053046A"/>
    <w:rsid w:val="00532635"/>
    <w:rsid w:val="00557B8A"/>
    <w:rsid w:val="005931B2"/>
    <w:rsid w:val="00595F0B"/>
    <w:rsid w:val="005A4163"/>
    <w:rsid w:val="005A490C"/>
    <w:rsid w:val="005B7477"/>
    <w:rsid w:val="005B7798"/>
    <w:rsid w:val="005D6029"/>
    <w:rsid w:val="005F2D73"/>
    <w:rsid w:val="00605B68"/>
    <w:rsid w:val="00605C98"/>
    <w:rsid w:val="00635AA4"/>
    <w:rsid w:val="00645816"/>
    <w:rsid w:val="00650046"/>
    <w:rsid w:val="0065161B"/>
    <w:rsid w:val="0066477E"/>
    <w:rsid w:val="006A23F7"/>
    <w:rsid w:val="006A4FC7"/>
    <w:rsid w:val="006A6687"/>
    <w:rsid w:val="006A6702"/>
    <w:rsid w:val="006C2208"/>
    <w:rsid w:val="006E15F4"/>
    <w:rsid w:val="0070223E"/>
    <w:rsid w:val="00702280"/>
    <w:rsid w:val="0070520F"/>
    <w:rsid w:val="00711197"/>
    <w:rsid w:val="0071561A"/>
    <w:rsid w:val="00717B5E"/>
    <w:rsid w:val="00727D29"/>
    <w:rsid w:val="00732FAB"/>
    <w:rsid w:val="00733468"/>
    <w:rsid w:val="00754D9D"/>
    <w:rsid w:val="007550FE"/>
    <w:rsid w:val="00756EC8"/>
    <w:rsid w:val="00796892"/>
    <w:rsid w:val="007A5F13"/>
    <w:rsid w:val="007A70AC"/>
    <w:rsid w:val="007B68DC"/>
    <w:rsid w:val="007B6D78"/>
    <w:rsid w:val="007D362D"/>
    <w:rsid w:val="007D44C6"/>
    <w:rsid w:val="007D6415"/>
    <w:rsid w:val="007E30A2"/>
    <w:rsid w:val="007F3281"/>
    <w:rsid w:val="007F7DC5"/>
    <w:rsid w:val="00801391"/>
    <w:rsid w:val="00816717"/>
    <w:rsid w:val="008408EC"/>
    <w:rsid w:val="008545C0"/>
    <w:rsid w:val="00857D68"/>
    <w:rsid w:val="00872371"/>
    <w:rsid w:val="00897671"/>
    <w:rsid w:val="008A2B27"/>
    <w:rsid w:val="008A3CE4"/>
    <w:rsid w:val="008B60D2"/>
    <w:rsid w:val="008C6643"/>
    <w:rsid w:val="008D1A00"/>
    <w:rsid w:val="008D2573"/>
    <w:rsid w:val="008E3D33"/>
    <w:rsid w:val="008E5B8A"/>
    <w:rsid w:val="008F1A93"/>
    <w:rsid w:val="008F496D"/>
    <w:rsid w:val="00910914"/>
    <w:rsid w:val="00950FCA"/>
    <w:rsid w:val="0095170E"/>
    <w:rsid w:val="009551D9"/>
    <w:rsid w:val="00974281"/>
    <w:rsid w:val="00976B89"/>
    <w:rsid w:val="00980EF3"/>
    <w:rsid w:val="00980FE2"/>
    <w:rsid w:val="0098152E"/>
    <w:rsid w:val="0098154B"/>
    <w:rsid w:val="00986F71"/>
    <w:rsid w:val="0099678F"/>
    <w:rsid w:val="009B00F5"/>
    <w:rsid w:val="009B080B"/>
    <w:rsid w:val="009C4105"/>
    <w:rsid w:val="009C66D5"/>
    <w:rsid w:val="009D5AFA"/>
    <w:rsid w:val="009D5C9B"/>
    <w:rsid w:val="009D6EC9"/>
    <w:rsid w:val="009E47AA"/>
    <w:rsid w:val="00A00A95"/>
    <w:rsid w:val="00A0615C"/>
    <w:rsid w:val="00A1025E"/>
    <w:rsid w:val="00A14367"/>
    <w:rsid w:val="00A218CA"/>
    <w:rsid w:val="00A33427"/>
    <w:rsid w:val="00A33AF0"/>
    <w:rsid w:val="00A35ACA"/>
    <w:rsid w:val="00A43CF5"/>
    <w:rsid w:val="00A52A6E"/>
    <w:rsid w:val="00A56BB6"/>
    <w:rsid w:val="00A66E21"/>
    <w:rsid w:val="00A73E67"/>
    <w:rsid w:val="00A75341"/>
    <w:rsid w:val="00A81A07"/>
    <w:rsid w:val="00A82E54"/>
    <w:rsid w:val="00AA362C"/>
    <w:rsid w:val="00AB1ACA"/>
    <w:rsid w:val="00AC2334"/>
    <w:rsid w:val="00AC7053"/>
    <w:rsid w:val="00AD6A06"/>
    <w:rsid w:val="00B012C6"/>
    <w:rsid w:val="00B115FA"/>
    <w:rsid w:val="00B12ECE"/>
    <w:rsid w:val="00B23963"/>
    <w:rsid w:val="00B25694"/>
    <w:rsid w:val="00B26D56"/>
    <w:rsid w:val="00B278E7"/>
    <w:rsid w:val="00B35409"/>
    <w:rsid w:val="00B40B90"/>
    <w:rsid w:val="00B40D99"/>
    <w:rsid w:val="00B637F0"/>
    <w:rsid w:val="00B70127"/>
    <w:rsid w:val="00B74845"/>
    <w:rsid w:val="00B76B23"/>
    <w:rsid w:val="00B843F9"/>
    <w:rsid w:val="00B844A4"/>
    <w:rsid w:val="00B84653"/>
    <w:rsid w:val="00B8591D"/>
    <w:rsid w:val="00B86C16"/>
    <w:rsid w:val="00BA115E"/>
    <w:rsid w:val="00BB6573"/>
    <w:rsid w:val="00BC1024"/>
    <w:rsid w:val="00BD4C15"/>
    <w:rsid w:val="00BF2670"/>
    <w:rsid w:val="00BF3954"/>
    <w:rsid w:val="00BF53F6"/>
    <w:rsid w:val="00BF7F9B"/>
    <w:rsid w:val="00C0373A"/>
    <w:rsid w:val="00C07B1A"/>
    <w:rsid w:val="00C20677"/>
    <w:rsid w:val="00C25233"/>
    <w:rsid w:val="00C278E9"/>
    <w:rsid w:val="00C4055B"/>
    <w:rsid w:val="00C464E9"/>
    <w:rsid w:val="00C50510"/>
    <w:rsid w:val="00C7398D"/>
    <w:rsid w:val="00C83E28"/>
    <w:rsid w:val="00C86164"/>
    <w:rsid w:val="00C87710"/>
    <w:rsid w:val="00C913A8"/>
    <w:rsid w:val="00C91B89"/>
    <w:rsid w:val="00C94D22"/>
    <w:rsid w:val="00CA29D6"/>
    <w:rsid w:val="00CA32AF"/>
    <w:rsid w:val="00CA367F"/>
    <w:rsid w:val="00CB5549"/>
    <w:rsid w:val="00CC562F"/>
    <w:rsid w:val="00CC7531"/>
    <w:rsid w:val="00CD412C"/>
    <w:rsid w:val="00CE6346"/>
    <w:rsid w:val="00CF046A"/>
    <w:rsid w:val="00CF2F75"/>
    <w:rsid w:val="00CF5D4E"/>
    <w:rsid w:val="00D03E40"/>
    <w:rsid w:val="00D116A7"/>
    <w:rsid w:val="00D5064A"/>
    <w:rsid w:val="00D5327C"/>
    <w:rsid w:val="00D54C68"/>
    <w:rsid w:val="00D570AD"/>
    <w:rsid w:val="00D62807"/>
    <w:rsid w:val="00D846E1"/>
    <w:rsid w:val="00D92283"/>
    <w:rsid w:val="00DC3C0F"/>
    <w:rsid w:val="00DD18FC"/>
    <w:rsid w:val="00DE2043"/>
    <w:rsid w:val="00DF2480"/>
    <w:rsid w:val="00DF2ADE"/>
    <w:rsid w:val="00DF61B3"/>
    <w:rsid w:val="00E03D95"/>
    <w:rsid w:val="00E04736"/>
    <w:rsid w:val="00E14F21"/>
    <w:rsid w:val="00E23E9F"/>
    <w:rsid w:val="00E27FD2"/>
    <w:rsid w:val="00E3116C"/>
    <w:rsid w:val="00E3647F"/>
    <w:rsid w:val="00E41984"/>
    <w:rsid w:val="00E65842"/>
    <w:rsid w:val="00E76048"/>
    <w:rsid w:val="00E80602"/>
    <w:rsid w:val="00EA16DA"/>
    <w:rsid w:val="00EB7358"/>
    <w:rsid w:val="00EC77AD"/>
    <w:rsid w:val="00ED157A"/>
    <w:rsid w:val="00ED65E0"/>
    <w:rsid w:val="00EE5214"/>
    <w:rsid w:val="00F15184"/>
    <w:rsid w:val="00F17756"/>
    <w:rsid w:val="00F31309"/>
    <w:rsid w:val="00F33C83"/>
    <w:rsid w:val="00F460C2"/>
    <w:rsid w:val="00F60D1C"/>
    <w:rsid w:val="00F65D50"/>
    <w:rsid w:val="00F67450"/>
    <w:rsid w:val="00F67FC2"/>
    <w:rsid w:val="00F7423E"/>
    <w:rsid w:val="00F822AC"/>
    <w:rsid w:val="00F82B41"/>
    <w:rsid w:val="00F97491"/>
    <w:rsid w:val="00FA30EF"/>
    <w:rsid w:val="00FE3E59"/>
    <w:rsid w:val="00FF3A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rsid w:val="00980EF3"/>
    <w:pPr>
      <w:spacing w:before="100" w:beforeAutospacing="1" w:after="100" w:afterAutospacing="1"/>
    </w:pPr>
    <w:rPr>
      <w:color w:val="000000"/>
    </w:rPr>
  </w:style>
  <w:style w:type="character" w:customStyle="1" w:styleId="naisfChar">
    <w:name w:val="naisf Char"/>
    <w:link w:val="naisf"/>
    <w:locked/>
    <w:rsid w:val="00980EF3"/>
    <w:rPr>
      <w:rFonts w:ascii="Times New Roman" w:eastAsia="Times New Roman" w:hAnsi="Times New Roman" w:cs="Times New Roman"/>
      <w:color w:val="000000"/>
      <w:sz w:val="24"/>
      <w:szCs w:val="24"/>
      <w:lang w:eastAsia="lv-LV"/>
    </w:rPr>
  </w:style>
  <w:style w:type="character" w:styleId="Hyperlink">
    <w:name w:val="Hyperlink"/>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34"/>
    <w:qFormat/>
    <w:rsid w:val="00980EF3"/>
    <w:pPr>
      <w:ind w:left="720"/>
      <w:contextualSpacing/>
    </w:pPr>
  </w:style>
  <w:style w:type="paragraph" w:styleId="CommentText">
    <w:name w:val="annotation text"/>
    <w:basedOn w:val="Normal"/>
    <w:link w:val="CommentTextChar"/>
    <w:semiHidden/>
    <w:rsid w:val="0066477E"/>
    <w:rPr>
      <w:sz w:val="20"/>
      <w:szCs w:val="20"/>
    </w:rPr>
  </w:style>
  <w:style w:type="character" w:customStyle="1" w:styleId="CommentTextChar">
    <w:name w:val="Comment Text Char"/>
    <w:basedOn w:val="DefaultParagraphFont"/>
    <w:link w:val="CommentText"/>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59"/>
    <w:rsid w:val="000D1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Akapit z listą BS Char,H&amp;P List Paragraph Char,Strip Char"/>
    <w:link w:val="ListParagraph"/>
    <w:uiPriority w:val="34"/>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paragraph" w:customStyle="1" w:styleId="tv2131">
    <w:name w:val="tv2131"/>
    <w:basedOn w:val="Normal"/>
    <w:rsid w:val="006C2208"/>
    <w:pPr>
      <w:spacing w:before="100" w:beforeAutospacing="1" w:after="100" w:afterAutospacing="1"/>
    </w:pPr>
  </w:style>
  <w:style w:type="paragraph" w:styleId="BalloonText">
    <w:name w:val="Balloon Text"/>
    <w:basedOn w:val="Normal"/>
    <w:link w:val="BalloonTextChar"/>
    <w:uiPriority w:val="99"/>
    <w:semiHidden/>
    <w:unhideWhenUsed/>
    <w:rsid w:val="003F7FF7"/>
    <w:rPr>
      <w:rFonts w:ascii="Tahoma" w:hAnsi="Tahoma" w:cs="Tahoma"/>
      <w:sz w:val="16"/>
      <w:szCs w:val="16"/>
    </w:rPr>
  </w:style>
  <w:style w:type="character" w:customStyle="1" w:styleId="BalloonTextChar">
    <w:name w:val="Balloon Text Char"/>
    <w:basedOn w:val="DefaultParagraphFont"/>
    <w:link w:val="BalloonText"/>
    <w:uiPriority w:val="99"/>
    <w:semiHidden/>
    <w:rsid w:val="003F7FF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12ECE"/>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header" w:uiPriority="0"/>
    <w:lsdException w:name="caption" w:uiPriority="35" w:qFormat="1"/>
    <w:lsdException w:name="footnote reference"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EF3"/>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link w:val="naisfChar"/>
    <w:rsid w:val="00980EF3"/>
    <w:pPr>
      <w:spacing w:before="100" w:beforeAutospacing="1" w:after="100" w:afterAutospacing="1"/>
    </w:pPr>
    <w:rPr>
      <w:color w:val="000000"/>
    </w:rPr>
  </w:style>
  <w:style w:type="character" w:customStyle="1" w:styleId="naisfChar">
    <w:name w:val="naisf Char"/>
    <w:link w:val="naisf"/>
    <w:locked/>
    <w:rsid w:val="00980EF3"/>
    <w:rPr>
      <w:rFonts w:ascii="Times New Roman" w:eastAsia="Times New Roman" w:hAnsi="Times New Roman" w:cs="Times New Roman"/>
      <w:color w:val="000000"/>
      <w:sz w:val="24"/>
      <w:szCs w:val="24"/>
      <w:lang w:eastAsia="lv-LV"/>
    </w:rPr>
  </w:style>
  <w:style w:type="character" w:styleId="Hyperlink">
    <w:name w:val="Hyperlink"/>
    <w:rsid w:val="00980EF3"/>
    <w:rPr>
      <w:color w:val="0000FF"/>
      <w:u w:val="single"/>
    </w:rPr>
  </w:style>
  <w:style w:type="paragraph" w:styleId="Footer">
    <w:name w:val="footer"/>
    <w:basedOn w:val="Normal"/>
    <w:link w:val="FooterChar"/>
    <w:uiPriority w:val="99"/>
    <w:rsid w:val="00980EF3"/>
    <w:pPr>
      <w:spacing w:before="100" w:beforeAutospacing="1" w:after="100" w:afterAutospacing="1"/>
    </w:pPr>
    <w:rPr>
      <w:color w:val="000000"/>
    </w:rPr>
  </w:style>
  <w:style w:type="character" w:customStyle="1" w:styleId="FooterChar">
    <w:name w:val="Footer Char"/>
    <w:basedOn w:val="DefaultParagraphFont"/>
    <w:link w:val="Footer"/>
    <w:uiPriority w:val="99"/>
    <w:rsid w:val="00980EF3"/>
    <w:rPr>
      <w:rFonts w:ascii="Times New Roman" w:eastAsia="Times New Roman" w:hAnsi="Times New Roman" w:cs="Times New Roman"/>
      <w:color w:val="000000"/>
      <w:sz w:val="24"/>
      <w:szCs w:val="24"/>
      <w:lang w:eastAsia="lv-LV"/>
    </w:rPr>
  </w:style>
  <w:style w:type="paragraph" w:styleId="Header">
    <w:name w:val="header"/>
    <w:basedOn w:val="Normal"/>
    <w:link w:val="HeaderChar"/>
    <w:rsid w:val="00980EF3"/>
    <w:pPr>
      <w:tabs>
        <w:tab w:val="center" w:pos="4153"/>
        <w:tab w:val="right" w:pos="8306"/>
      </w:tabs>
    </w:pPr>
  </w:style>
  <w:style w:type="character" w:customStyle="1" w:styleId="HeaderChar">
    <w:name w:val="Header Char"/>
    <w:basedOn w:val="DefaultParagraphFont"/>
    <w:link w:val="Header"/>
    <w:rsid w:val="00980EF3"/>
    <w:rPr>
      <w:rFonts w:ascii="Times New Roman" w:eastAsia="Times New Roman" w:hAnsi="Times New Roman" w:cs="Times New Roman"/>
      <w:sz w:val="24"/>
      <w:szCs w:val="24"/>
      <w:lang w:eastAsia="lv-LV"/>
    </w:rPr>
  </w:style>
  <w:style w:type="character" w:styleId="PageNumber">
    <w:name w:val="page number"/>
    <w:basedOn w:val="DefaultParagraphFont"/>
    <w:rsid w:val="00980EF3"/>
  </w:style>
  <w:style w:type="paragraph" w:styleId="BodyText">
    <w:name w:val="Body Text"/>
    <w:basedOn w:val="Normal"/>
    <w:link w:val="BodyTextChar"/>
    <w:rsid w:val="00980EF3"/>
    <w:pPr>
      <w:jc w:val="center"/>
      <w:outlineLvl w:val="2"/>
    </w:pPr>
    <w:rPr>
      <w:b/>
      <w:bCs/>
      <w:color w:val="000000"/>
      <w:sz w:val="28"/>
      <w:szCs w:val="28"/>
    </w:rPr>
  </w:style>
  <w:style w:type="character" w:customStyle="1" w:styleId="BodyTextChar">
    <w:name w:val="Body Text Char"/>
    <w:basedOn w:val="DefaultParagraphFont"/>
    <w:link w:val="BodyText"/>
    <w:rsid w:val="00980EF3"/>
    <w:rPr>
      <w:rFonts w:ascii="Times New Roman" w:eastAsia="Times New Roman" w:hAnsi="Times New Roman" w:cs="Times New Roman"/>
      <w:b/>
      <w:bCs/>
      <w:color w:val="000000"/>
      <w:sz w:val="28"/>
      <w:szCs w:val="28"/>
      <w:lang w:eastAsia="lv-LV"/>
    </w:rPr>
  </w:style>
  <w:style w:type="paragraph" w:customStyle="1" w:styleId="naisnod">
    <w:name w:val="naisnod"/>
    <w:basedOn w:val="Normal"/>
    <w:rsid w:val="00980EF3"/>
    <w:pPr>
      <w:spacing w:before="150" w:after="150"/>
      <w:jc w:val="center"/>
    </w:pPr>
    <w:rPr>
      <w:b/>
      <w:bCs/>
    </w:rPr>
  </w:style>
  <w:style w:type="character" w:customStyle="1" w:styleId="apple-converted-space">
    <w:name w:val="apple-converted-space"/>
    <w:basedOn w:val="DefaultParagraphFont"/>
    <w:rsid w:val="00980EF3"/>
  </w:style>
  <w:style w:type="paragraph" w:customStyle="1" w:styleId="Z">
    <w:name w:val="Z"/>
    <w:basedOn w:val="Normal"/>
    <w:rsid w:val="00980EF3"/>
    <w:pPr>
      <w:jc w:val="center"/>
    </w:pPr>
    <w:rPr>
      <w:b/>
      <w:i/>
      <w:szCs w:val="20"/>
      <w:lang w:eastAsia="en-US"/>
    </w:rPr>
  </w:style>
  <w:style w:type="paragraph" w:styleId="FootnoteText">
    <w:name w:val="footnote text"/>
    <w:aliases w:val="Footnote,Fußnote,Char,Char Rakstz. Rakstz. Rakstz. Rakstz. Rakstz. Rakstz. Rakstz.,Char Rakstz. Rakstz. Rakstz. Rakstz. Rakstz. Rakstz.,Char Rakstz. Rakstz. Rakstz. Rakstz. Rakstz. Rakstz. Rakstz. Rakstz. Rakstz. Rakstz. Rakstz., Char,fn"/>
    <w:basedOn w:val="Normal"/>
    <w:link w:val="FootnoteTextChar"/>
    <w:uiPriority w:val="99"/>
    <w:qFormat/>
    <w:rsid w:val="00980EF3"/>
    <w:rPr>
      <w:rFonts w:eastAsia="Calibri"/>
      <w:sz w:val="20"/>
      <w:szCs w:val="20"/>
    </w:rPr>
  </w:style>
  <w:style w:type="character" w:customStyle="1" w:styleId="FootnoteTextChar">
    <w:name w:val="Footnote Text Char"/>
    <w:aliases w:val="Footnote Char,Fußnote Char,Char Char,Char Rakstz. Rakstz. Rakstz. Rakstz. Rakstz. Rakstz. Rakstz. Char,Char Rakstz. Rakstz. Rakstz. Rakstz. Rakstz. Rakstz. Char, Char Char,fn Char"/>
    <w:basedOn w:val="DefaultParagraphFont"/>
    <w:link w:val="FootnoteText"/>
    <w:uiPriority w:val="99"/>
    <w:rsid w:val="00980EF3"/>
    <w:rPr>
      <w:rFonts w:ascii="Times New Roman" w:eastAsia="Calibri" w:hAnsi="Times New Roman" w:cs="Times New Roman"/>
      <w:sz w:val="20"/>
      <w:szCs w:val="20"/>
      <w:lang w:eastAsia="lv-LV"/>
    </w:rPr>
  </w:style>
  <w:style w:type="character" w:styleId="FootnoteReference">
    <w:name w:val="footnote reference"/>
    <w:aliases w:val="Footnote Reference Number,Footnote symbol,SUPERS,ftref,Footnote Reference Superscript,fr,ESPON Footnote No,Footnote Refernece,Odwołanie przypisu,BVI fnr,Footnotes refss,Ref,de nota al pie,-E Fußnotenzeichen,Footnote reference number,E"/>
    <w:basedOn w:val="DefaultParagraphFont"/>
    <w:link w:val="CharCharCharChar"/>
    <w:uiPriority w:val="99"/>
    <w:qFormat/>
    <w:rsid w:val="00980EF3"/>
    <w:rPr>
      <w:rFonts w:cs="Times New Roman"/>
      <w:vertAlign w:val="superscript"/>
    </w:rPr>
  </w:style>
  <w:style w:type="paragraph" w:customStyle="1" w:styleId="tv213tvp">
    <w:name w:val="tv213 tvp"/>
    <w:basedOn w:val="Normal"/>
    <w:rsid w:val="00980EF3"/>
    <w:pPr>
      <w:spacing w:before="100" w:beforeAutospacing="1" w:after="100" w:afterAutospacing="1"/>
    </w:pPr>
  </w:style>
  <w:style w:type="paragraph" w:customStyle="1" w:styleId="tv213">
    <w:name w:val="tv213"/>
    <w:basedOn w:val="Normal"/>
    <w:rsid w:val="00980EF3"/>
    <w:pPr>
      <w:spacing w:before="100" w:beforeAutospacing="1" w:after="100" w:afterAutospacing="1"/>
    </w:pPr>
  </w:style>
  <w:style w:type="paragraph" w:customStyle="1" w:styleId="naiskr">
    <w:name w:val="naiskr"/>
    <w:basedOn w:val="Normal"/>
    <w:rsid w:val="00980EF3"/>
    <w:pPr>
      <w:spacing w:before="75" w:after="75"/>
    </w:pPr>
  </w:style>
  <w:style w:type="paragraph" w:styleId="ListParagraph">
    <w:name w:val="List Paragraph"/>
    <w:aliases w:val="2,Akapit z listą BS,H&amp;P List Paragraph,Strip"/>
    <w:basedOn w:val="Normal"/>
    <w:link w:val="ListParagraphChar"/>
    <w:uiPriority w:val="34"/>
    <w:qFormat/>
    <w:rsid w:val="00980EF3"/>
    <w:pPr>
      <w:ind w:left="720"/>
      <w:contextualSpacing/>
    </w:pPr>
  </w:style>
  <w:style w:type="paragraph" w:styleId="CommentText">
    <w:name w:val="annotation text"/>
    <w:basedOn w:val="Normal"/>
    <w:link w:val="CommentTextChar"/>
    <w:semiHidden/>
    <w:rsid w:val="0066477E"/>
    <w:rPr>
      <w:sz w:val="20"/>
      <w:szCs w:val="20"/>
    </w:rPr>
  </w:style>
  <w:style w:type="character" w:customStyle="1" w:styleId="CommentTextChar">
    <w:name w:val="Comment Text Char"/>
    <w:basedOn w:val="DefaultParagraphFont"/>
    <w:link w:val="CommentText"/>
    <w:semiHidden/>
    <w:rsid w:val="0066477E"/>
    <w:rPr>
      <w:rFonts w:ascii="Times New Roman" w:eastAsia="Times New Roman" w:hAnsi="Times New Roman" w:cs="Times New Roman"/>
      <w:sz w:val="20"/>
      <w:szCs w:val="20"/>
      <w:lang w:eastAsia="lv-LV"/>
    </w:rPr>
  </w:style>
  <w:style w:type="paragraph" w:styleId="NormalWeb">
    <w:name w:val="Normal (Web)"/>
    <w:aliases w:val="sākums"/>
    <w:basedOn w:val="Normal"/>
    <w:uiPriority w:val="99"/>
    <w:unhideWhenUsed/>
    <w:rsid w:val="00801391"/>
    <w:pPr>
      <w:spacing w:before="100" w:beforeAutospacing="1" w:after="100" w:afterAutospacing="1"/>
    </w:pPr>
  </w:style>
  <w:style w:type="character" w:styleId="Emphasis">
    <w:name w:val="Emphasis"/>
    <w:basedOn w:val="DefaultParagraphFont"/>
    <w:uiPriority w:val="20"/>
    <w:qFormat/>
    <w:rsid w:val="00801391"/>
    <w:rPr>
      <w:i/>
      <w:iCs/>
    </w:rPr>
  </w:style>
  <w:style w:type="table" w:styleId="TableGrid">
    <w:name w:val="Table Grid"/>
    <w:basedOn w:val="TableNormal"/>
    <w:uiPriority w:val="59"/>
    <w:rsid w:val="000D16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2 Char,Akapit z listą BS Char,H&amp;P List Paragraph Char,Strip Char"/>
    <w:link w:val="ListParagraph"/>
    <w:uiPriority w:val="34"/>
    <w:locked/>
    <w:rsid w:val="003F26F6"/>
    <w:rPr>
      <w:rFonts w:ascii="Times New Roman" w:eastAsia="Times New Roman" w:hAnsi="Times New Roman" w:cs="Times New Roman"/>
      <w:sz w:val="24"/>
      <w:szCs w:val="24"/>
      <w:lang w:eastAsia="lv-LV"/>
    </w:rPr>
  </w:style>
  <w:style w:type="paragraph" w:customStyle="1" w:styleId="CharCharCharChar">
    <w:name w:val="Char Char Char Char"/>
    <w:aliases w:val="Char2"/>
    <w:basedOn w:val="Normal"/>
    <w:next w:val="Normal"/>
    <w:link w:val="FootnoteReference"/>
    <w:uiPriority w:val="99"/>
    <w:rsid w:val="003F26F6"/>
    <w:pPr>
      <w:spacing w:after="160" w:line="240" w:lineRule="exact"/>
      <w:jc w:val="both"/>
      <w:textAlignment w:val="baseline"/>
    </w:pPr>
    <w:rPr>
      <w:rFonts w:asciiTheme="minorHAnsi" w:eastAsiaTheme="minorHAnsi" w:hAnsiTheme="minorHAnsi"/>
      <w:sz w:val="22"/>
      <w:szCs w:val="22"/>
      <w:vertAlign w:val="superscript"/>
      <w:lang w:eastAsia="en-US"/>
    </w:rPr>
  </w:style>
  <w:style w:type="character" w:customStyle="1" w:styleId="FootnoteTextChar2">
    <w:name w:val="Footnote Text Char2"/>
    <w:aliases w:val="Footnote Char2,Fußnote Char2,Char Char2,Char Rakstz. Rakstz. Rakstz. Rakstz. Rakstz. Rakstz. Rakstz. Char2,Char Rakstz. Rakstz. Rakstz. Rakstz. Rakstz. Rakstz. Char2,f Char1"/>
    <w:uiPriority w:val="99"/>
    <w:rsid w:val="003219FF"/>
    <w:rPr>
      <w:rFonts w:ascii="Calibri" w:hAnsi="Calibri" w:cs="Calibri"/>
      <w:sz w:val="20"/>
      <w:szCs w:val="20"/>
    </w:rPr>
  </w:style>
  <w:style w:type="character" w:styleId="Strong">
    <w:name w:val="Strong"/>
    <w:basedOn w:val="DefaultParagraphFont"/>
    <w:uiPriority w:val="22"/>
    <w:qFormat/>
    <w:rsid w:val="00EB7358"/>
    <w:rPr>
      <w:b/>
      <w:bCs/>
    </w:rPr>
  </w:style>
  <w:style w:type="paragraph" w:customStyle="1" w:styleId="tv2131">
    <w:name w:val="tv2131"/>
    <w:basedOn w:val="Normal"/>
    <w:rsid w:val="006C2208"/>
    <w:pPr>
      <w:spacing w:before="100" w:beforeAutospacing="1" w:after="100" w:afterAutospacing="1"/>
    </w:pPr>
  </w:style>
  <w:style w:type="paragraph" w:styleId="BalloonText">
    <w:name w:val="Balloon Text"/>
    <w:basedOn w:val="Normal"/>
    <w:link w:val="BalloonTextChar"/>
    <w:uiPriority w:val="99"/>
    <w:semiHidden/>
    <w:unhideWhenUsed/>
    <w:rsid w:val="003F7FF7"/>
    <w:rPr>
      <w:rFonts w:ascii="Tahoma" w:hAnsi="Tahoma" w:cs="Tahoma"/>
      <w:sz w:val="16"/>
      <w:szCs w:val="16"/>
    </w:rPr>
  </w:style>
  <w:style w:type="character" w:customStyle="1" w:styleId="BalloonTextChar">
    <w:name w:val="Balloon Text Char"/>
    <w:basedOn w:val="DefaultParagraphFont"/>
    <w:link w:val="BalloonText"/>
    <w:uiPriority w:val="99"/>
    <w:semiHidden/>
    <w:rsid w:val="003F7FF7"/>
    <w:rPr>
      <w:rFonts w:ascii="Tahoma" w:eastAsia="Times New Roman" w:hAnsi="Tahoma" w:cs="Tahoma"/>
      <w:sz w:val="16"/>
      <w:szCs w:val="16"/>
      <w:lang w:eastAsia="lv-LV"/>
    </w:rPr>
  </w:style>
  <w:style w:type="character" w:styleId="CommentReference">
    <w:name w:val="annotation reference"/>
    <w:basedOn w:val="DefaultParagraphFont"/>
    <w:uiPriority w:val="99"/>
    <w:semiHidden/>
    <w:unhideWhenUsed/>
    <w:rsid w:val="00B12EC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123697">
      <w:bodyDiv w:val="1"/>
      <w:marLeft w:val="0"/>
      <w:marRight w:val="0"/>
      <w:marTop w:val="0"/>
      <w:marBottom w:val="0"/>
      <w:divBdr>
        <w:top w:val="none" w:sz="0" w:space="0" w:color="auto"/>
        <w:left w:val="none" w:sz="0" w:space="0" w:color="auto"/>
        <w:bottom w:val="none" w:sz="0" w:space="0" w:color="auto"/>
        <w:right w:val="none" w:sz="0" w:space="0" w:color="auto"/>
      </w:divBdr>
    </w:div>
    <w:div w:id="300119478">
      <w:bodyDiv w:val="1"/>
      <w:marLeft w:val="0"/>
      <w:marRight w:val="0"/>
      <w:marTop w:val="0"/>
      <w:marBottom w:val="0"/>
      <w:divBdr>
        <w:top w:val="none" w:sz="0" w:space="0" w:color="auto"/>
        <w:left w:val="none" w:sz="0" w:space="0" w:color="auto"/>
        <w:bottom w:val="none" w:sz="0" w:space="0" w:color="auto"/>
        <w:right w:val="none" w:sz="0" w:space="0" w:color="auto"/>
      </w:divBdr>
    </w:div>
    <w:div w:id="515116632">
      <w:bodyDiv w:val="1"/>
      <w:marLeft w:val="0"/>
      <w:marRight w:val="0"/>
      <w:marTop w:val="0"/>
      <w:marBottom w:val="0"/>
      <w:divBdr>
        <w:top w:val="none" w:sz="0" w:space="0" w:color="auto"/>
        <w:left w:val="none" w:sz="0" w:space="0" w:color="auto"/>
        <w:bottom w:val="none" w:sz="0" w:space="0" w:color="auto"/>
        <w:right w:val="none" w:sz="0" w:space="0" w:color="auto"/>
      </w:divBdr>
    </w:div>
    <w:div w:id="778908837">
      <w:bodyDiv w:val="1"/>
      <w:marLeft w:val="0"/>
      <w:marRight w:val="0"/>
      <w:marTop w:val="0"/>
      <w:marBottom w:val="0"/>
      <w:divBdr>
        <w:top w:val="none" w:sz="0" w:space="0" w:color="auto"/>
        <w:left w:val="none" w:sz="0" w:space="0" w:color="auto"/>
        <w:bottom w:val="none" w:sz="0" w:space="0" w:color="auto"/>
        <w:right w:val="none" w:sz="0" w:space="0" w:color="auto"/>
      </w:divBdr>
    </w:div>
    <w:div w:id="784466577">
      <w:bodyDiv w:val="1"/>
      <w:marLeft w:val="0"/>
      <w:marRight w:val="0"/>
      <w:marTop w:val="0"/>
      <w:marBottom w:val="0"/>
      <w:divBdr>
        <w:top w:val="none" w:sz="0" w:space="0" w:color="auto"/>
        <w:left w:val="none" w:sz="0" w:space="0" w:color="auto"/>
        <w:bottom w:val="none" w:sz="0" w:space="0" w:color="auto"/>
        <w:right w:val="none" w:sz="0" w:space="0" w:color="auto"/>
      </w:divBdr>
      <w:divsChild>
        <w:div w:id="747073330">
          <w:marLeft w:val="0"/>
          <w:marRight w:val="0"/>
          <w:marTop w:val="480"/>
          <w:marBottom w:val="240"/>
          <w:divBdr>
            <w:top w:val="none" w:sz="0" w:space="0" w:color="auto"/>
            <w:left w:val="none" w:sz="0" w:space="0" w:color="auto"/>
            <w:bottom w:val="none" w:sz="0" w:space="0" w:color="auto"/>
            <w:right w:val="none" w:sz="0" w:space="0" w:color="auto"/>
          </w:divBdr>
        </w:div>
        <w:div w:id="1919973410">
          <w:marLeft w:val="0"/>
          <w:marRight w:val="0"/>
          <w:marTop w:val="0"/>
          <w:marBottom w:val="567"/>
          <w:divBdr>
            <w:top w:val="none" w:sz="0" w:space="0" w:color="auto"/>
            <w:left w:val="none" w:sz="0" w:space="0" w:color="auto"/>
            <w:bottom w:val="none" w:sz="0" w:space="0" w:color="auto"/>
            <w:right w:val="none" w:sz="0" w:space="0" w:color="auto"/>
          </w:divBdr>
        </w:div>
        <w:div w:id="1591816883">
          <w:marLeft w:val="0"/>
          <w:marRight w:val="0"/>
          <w:marTop w:val="0"/>
          <w:marBottom w:val="567"/>
          <w:divBdr>
            <w:top w:val="none" w:sz="0" w:space="0" w:color="auto"/>
            <w:left w:val="none" w:sz="0" w:space="0" w:color="auto"/>
            <w:bottom w:val="none" w:sz="0" w:space="0" w:color="auto"/>
            <w:right w:val="none" w:sz="0" w:space="0" w:color="auto"/>
          </w:divBdr>
        </w:div>
        <w:div w:id="207761554">
          <w:marLeft w:val="0"/>
          <w:marRight w:val="0"/>
          <w:marTop w:val="0"/>
          <w:marBottom w:val="0"/>
          <w:divBdr>
            <w:top w:val="none" w:sz="0" w:space="0" w:color="auto"/>
            <w:left w:val="none" w:sz="0" w:space="0" w:color="auto"/>
            <w:bottom w:val="none" w:sz="0" w:space="0" w:color="auto"/>
            <w:right w:val="none" w:sz="0" w:space="0" w:color="auto"/>
          </w:divBdr>
        </w:div>
        <w:div w:id="1441219223">
          <w:marLeft w:val="0"/>
          <w:marRight w:val="0"/>
          <w:marTop w:val="0"/>
          <w:marBottom w:val="0"/>
          <w:divBdr>
            <w:top w:val="none" w:sz="0" w:space="0" w:color="auto"/>
            <w:left w:val="none" w:sz="0" w:space="0" w:color="auto"/>
            <w:bottom w:val="none" w:sz="0" w:space="0" w:color="auto"/>
            <w:right w:val="none" w:sz="0" w:space="0" w:color="auto"/>
          </w:divBdr>
        </w:div>
      </w:divsChild>
    </w:div>
    <w:div w:id="1145467852">
      <w:bodyDiv w:val="1"/>
      <w:marLeft w:val="0"/>
      <w:marRight w:val="0"/>
      <w:marTop w:val="0"/>
      <w:marBottom w:val="0"/>
      <w:divBdr>
        <w:top w:val="none" w:sz="0" w:space="0" w:color="auto"/>
        <w:left w:val="none" w:sz="0" w:space="0" w:color="auto"/>
        <w:bottom w:val="none" w:sz="0" w:space="0" w:color="auto"/>
        <w:right w:val="none" w:sz="0" w:space="0" w:color="auto"/>
      </w:divBdr>
    </w:div>
    <w:div w:id="152004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Linda.Liepa@lm.gov.lv"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likumi.lv/doc.php?id=254128" TargetMode="External"/><Relationship Id="rId1" Type="http://schemas.openxmlformats.org/officeDocument/2006/relationships/hyperlink" Target="http://likumi.lv/ta/id/90223-civillikums-pirma-dala-gimenes-tiesib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40E8E8-7FD6-4656-98B2-FA015A0B24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15289</Words>
  <Characters>8715</Characters>
  <Application>Microsoft Office Word</Application>
  <DocSecurity>0</DocSecurity>
  <Lines>72</Lines>
  <Paragraphs>47</Paragraphs>
  <ScaleCrop>false</ScaleCrop>
  <HeadingPairs>
    <vt:vector size="2" baseType="variant">
      <vt:variant>
        <vt:lpstr>Title</vt:lpstr>
      </vt:variant>
      <vt:variant>
        <vt:i4>1</vt:i4>
      </vt:variant>
    </vt:vector>
  </HeadingPairs>
  <TitlesOfParts>
    <vt:vector size="1" baseType="lpstr">
      <vt:lpstr>Grozījumi Valsts sociālo pabalstu likumā</vt:lpstr>
    </vt:vector>
  </TitlesOfParts>
  <Company/>
  <LinksUpToDate>false</LinksUpToDate>
  <CharactersWithSpaces>23957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Valsts sociālo pabalstu likumā</dc:title>
  <dc:creator>Linda Liepa</dc:creator>
  <cp:keywords>Anotācija</cp:keywords>
  <dc:description>Linda.Liepa@lm.gov.lv, 67021632</dc:description>
  <cp:lastModifiedBy>Linda Liepa</cp:lastModifiedBy>
  <cp:revision>14</cp:revision>
  <cp:lastPrinted>2016-08-31T08:03:00Z</cp:lastPrinted>
  <dcterms:created xsi:type="dcterms:W3CDTF">2016-09-08T07:13:00Z</dcterms:created>
  <dcterms:modified xsi:type="dcterms:W3CDTF">2016-09-08T07:29:00Z</dcterms:modified>
</cp:coreProperties>
</file>