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C" w:rsidRDefault="0008700C" w:rsidP="006A7837">
      <w:pPr>
        <w:spacing w:line="240" w:lineRule="auto"/>
        <w:jc w:val="center"/>
        <w:rPr>
          <w:b/>
          <w:sz w:val="24"/>
          <w:szCs w:val="24"/>
        </w:rPr>
      </w:pPr>
    </w:p>
    <w:p w:rsidR="00CE2351" w:rsidRDefault="00FD7DA6" w:rsidP="006A7837">
      <w:pPr>
        <w:spacing w:line="240" w:lineRule="auto"/>
        <w:jc w:val="center"/>
        <w:rPr>
          <w:rFonts w:eastAsia="Times New Roman"/>
          <w:b/>
          <w:bCs/>
          <w:sz w:val="24"/>
          <w:szCs w:val="24"/>
          <w:lang w:eastAsia="lv-LV"/>
        </w:rPr>
      </w:pPr>
      <w:r w:rsidRPr="00DB44FA">
        <w:rPr>
          <w:b/>
          <w:sz w:val="24"/>
          <w:szCs w:val="24"/>
        </w:rPr>
        <w:t>Likum</w:t>
      </w:r>
      <w:r w:rsidR="0044594E" w:rsidRPr="00DB44FA">
        <w:rPr>
          <w:b/>
          <w:sz w:val="24"/>
          <w:szCs w:val="24"/>
        </w:rPr>
        <w:t>projekta</w:t>
      </w:r>
      <w:r w:rsidRPr="00DB44FA">
        <w:rPr>
          <w:b/>
          <w:sz w:val="24"/>
          <w:szCs w:val="24"/>
        </w:rPr>
        <w:t xml:space="preserve"> „</w:t>
      </w:r>
      <w:r w:rsidR="00154BD3" w:rsidRPr="00DB44FA">
        <w:rPr>
          <w:b/>
          <w:bCs/>
          <w:sz w:val="24"/>
          <w:szCs w:val="24"/>
        </w:rPr>
        <w:t>Grozījum</w:t>
      </w:r>
      <w:r w:rsidR="0068329B" w:rsidRPr="00DB44FA">
        <w:rPr>
          <w:b/>
          <w:bCs/>
          <w:sz w:val="24"/>
          <w:szCs w:val="24"/>
        </w:rPr>
        <w:t>i</w:t>
      </w:r>
      <w:r w:rsidR="00154BD3" w:rsidRPr="00DB44FA">
        <w:rPr>
          <w:b/>
          <w:bCs/>
          <w:sz w:val="24"/>
          <w:szCs w:val="24"/>
        </w:rPr>
        <w:t xml:space="preserve"> </w:t>
      </w:r>
      <w:r w:rsidR="005E55EF" w:rsidRPr="00DB44FA">
        <w:rPr>
          <w:b/>
          <w:bCs/>
          <w:sz w:val="24"/>
          <w:szCs w:val="24"/>
        </w:rPr>
        <w:t>Ceļu satiksmes likumā”</w:t>
      </w:r>
      <w:r w:rsidR="00A34AF9" w:rsidRPr="00DB44FA">
        <w:rPr>
          <w:b/>
          <w:sz w:val="24"/>
          <w:szCs w:val="24"/>
        </w:rPr>
        <w:t xml:space="preserve"> </w:t>
      </w:r>
      <w:r w:rsidR="001B46BB" w:rsidRPr="00DB44FA">
        <w:rPr>
          <w:rFonts w:eastAsia="Times New Roman"/>
          <w:b/>
          <w:bCs/>
          <w:sz w:val="24"/>
          <w:szCs w:val="24"/>
          <w:lang w:eastAsia="lv-LV"/>
        </w:rPr>
        <w:t>sākotnējās ietekmes novērtējuma ziņojums (anotācija)</w:t>
      </w:r>
    </w:p>
    <w:p w:rsidR="006E1276" w:rsidRPr="006A7837" w:rsidRDefault="006E1276" w:rsidP="006A7837">
      <w:pPr>
        <w:spacing w:line="240" w:lineRule="auto"/>
        <w:jc w:val="center"/>
        <w:rPr>
          <w:rFonts w:eastAsia="Times New Roman"/>
          <w:b/>
          <w:bCs/>
          <w:sz w:val="24"/>
          <w:szCs w:val="24"/>
          <w:lang w:eastAsia="lv-LV"/>
        </w:rPr>
      </w:pPr>
    </w:p>
    <w:tbl>
      <w:tblPr>
        <w:tblW w:w="500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0"/>
        <w:gridCol w:w="1912"/>
        <w:gridCol w:w="6949"/>
      </w:tblGrid>
      <w:tr w:rsidR="00565A60" w:rsidRPr="00F3215C" w:rsidTr="007A2F8F">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F3215C" w:rsidRDefault="00565A60" w:rsidP="00565A60">
            <w:pPr>
              <w:spacing w:after="120" w:line="240" w:lineRule="auto"/>
              <w:ind w:left="-330" w:right="-78" w:firstLine="47"/>
              <w:jc w:val="center"/>
              <w:rPr>
                <w:rFonts w:eastAsia="Times New Roman"/>
                <w:b/>
                <w:bCs/>
                <w:sz w:val="24"/>
                <w:szCs w:val="24"/>
                <w:lang w:eastAsia="lv-LV"/>
              </w:rPr>
            </w:pPr>
            <w:r w:rsidRPr="00F3215C">
              <w:rPr>
                <w:rFonts w:eastAsia="Times New Roman"/>
                <w:b/>
                <w:bCs/>
                <w:sz w:val="24"/>
                <w:szCs w:val="24"/>
                <w:lang w:eastAsia="lv-LV"/>
              </w:rPr>
              <w:t>I. Tiesību akta projekta izstrādes nepieciešamība</w:t>
            </w:r>
          </w:p>
        </w:tc>
      </w:tr>
      <w:tr w:rsidR="00565A60" w:rsidRPr="0069556E" w:rsidTr="007A2F8F">
        <w:tc>
          <w:tcPr>
            <w:tcW w:w="148" w:type="pct"/>
            <w:tcBorders>
              <w:top w:val="outset" w:sz="6" w:space="0" w:color="auto"/>
              <w:left w:val="outset" w:sz="6" w:space="0" w:color="auto"/>
              <w:bottom w:val="outset" w:sz="6" w:space="0" w:color="auto"/>
              <w:right w:val="outset" w:sz="6" w:space="0" w:color="auto"/>
            </w:tcBorders>
          </w:tcPr>
          <w:p w:rsidR="00565A60" w:rsidRPr="0069556E" w:rsidRDefault="004326C0" w:rsidP="004326C0">
            <w:pPr>
              <w:numPr>
                <w:ilvl w:val="0"/>
                <w:numId w:val="2"/>
              </w:numPr>
              <w:spacing w:after="120" w:line="240" w:lineRule="auto"/>
              <w:ind w:right="-78"/>
              <w:rPr>
                <w:rFonts w:eastAsia="Times New Roman"/>
                <w:sz w:val="24"/>
                <w:szCs w:val="24"/>
                <w:lang w:eastAsia="lv-LV"/>
              </w:rPr>
            </w:pPr>
            <w:r>
              <w:rPr>
                <w:rFonts w:eastAsia="Times New Roman"/>
                <w:sz w:val="24"/>
                <w:szCs w:val="24"/>
                <w:lang w:eastAsia="lv-LV"/>
              </w:rPr>
              <w:t>1.</w:t>
            </w:r>
          </w:p>
        </w:tc>
        <w:tc>
          <w:tcPr>
            <w:tcW w:w="1047" w:type="pct"/>
            <w:tcBorders>
              <w:top w:val="outset" w:sz="6" w:space="0" w:color="auto"/>
              <w:left w:val="outset" w:sz="6" w:space="0" w:color="auto"/>
              <w:bottom w:val="outset" w:sz="6" w:space="0" w:color="auto"/>
              <w:right w:val="outset" w:sz="6" w:space="0" w:color="auto"/>
            </w:tcBorders>
          </w:tcPr>
          <w:p w:rsidR="00565A60" w:rsidRPr="0069556E" w:rsidRDefault="00565A60" w:rsidP="00565A60">
            <w:pPr>
              <w:spacing w:after="120" w:line="240" w:lineRule="auto"/>
              <w:ind w:right="42" w:firstLine="18"/>
              <w:rPr>
                <w:rFonts w:eastAsia="Times New Roman"/>
                <w:sz w:val="24"/>
                <w:szCs w:val="24"/>
                <w:lang w:eastAsia="lv-LV"/>
              </w:rPr>
            </w:pPr>
            <w:r w:rsidRPr="0069556E">
              <w:rPr>
                <w:rFonts w:eastAsia="Times New Roman"/>
                <w:sz w:val="24"/>
                <w:szCs w:val="24"/>
                <w:lang w:eastAsia="lv-LV"/>
              </w:rPr>
              <w:t>Pamatojums</w:t>
            </w:r>
          </w:p>
        </w:tc>
        <w:tc>
          <w:tcPr>
            <w:tcW w:w="3805" w:type="pct"/>
            <w:tcBorders>
              <w:top w:val="outset" w:sz="6" w:space="0" w:color="auto"/>
              <w:left w:val="outset" w:sz="6" w:space="0" w:color="auto"/>
              <w:bottom w:val="outset" w:sz="6" w:space="0" w:color="auto"/>
              <w:right w:val="outset" w:sz="6" w:space="0" w:color="auto"/>
            </w:tcBorders>
          </w:tcPr>
          <w:p w:rsidR="00254C83" w:rsidRDefault="00DB55ED" w:rsidP="006E1276">
            <w:pPr>
              <w:spacing w:line="240" w:lineRule="auto"/>
              <w:ind w:firstLine="0"/>
              <w:rPr>
                <w:sz w:val="24"/>
                <w:szCs w:val="24"/>
              </w:rPr>
            </w:pPr>
            <w:r>
              <w:rPr>
                <w:sz w:val="24"/>
                <w:szCs w:val="24"/>
              </w:rPr>
              <w:t>Ar 2016.gada 3.</w:t>
            </w:r>
            <w:r w:rsidRPr="00DB55ED">
              <w:rPr>
                <w:sz w:val="24"/>
                <w:szCs w:val="24"/>
              </w:rPr>
              <w:t>maija</w:t>
            </w:r>
            <w:r>
              <w:rPr>
                <w:sz w:val="24"/>
                <w:szCs w:val="24"/>
              </w:rPr>
              <w:t xml:space="preserve"> Ministru kabineta rīkojums Nr.275 “</w:t>
            </w:r>
            <w:r w:rsidRPr="00DB55ED">
              <w:rPr>
                <w:sz w:val="24"/>
                <w:szCs w:val="24"/>
              </w:rPr>
              <w:t>Par Valdības rīcības plānu Deklarācijas par Māra Kučinska vadītā Ministru kabine</w:t>
            </w:r>
            <w:r>
              <w:rPr>
                <w:sz w:val="24"/>
                <w:szCs w:val="24"/>
              </w:rPr>
              <w:t xml:space="preserve">ta iecerēto darbību īstenošanai” apstiprināts Valdības rīcības plāns, kas </w:t>
            </w:r>
            <w:r w:rsidR="00254C83">
              <w:rPr>
                <w:sz w:val="24"/>
                <w:szCs w:val="24"/>
              </w:rPr>
              <w:t xml:space="preserve">paredz </w:t>
            </w:r>
            <w:r w:rsidR="00DB44FA">
              <w:rPr>
                <w:sz w:val="24"/>
                <w:szCs w:val="24"/>
              </w:rPr>
              <w:t>u</w:t>
            </w:r>
            <w:r w:rsidR="00254C83" w:rsidRPr="00AD6831">
              <w:rPr>
                <w:sz w:val="24"/>
                <w:szCs w:val="24"/>
              </w:rPr>
              <w:t>zņēmēju un sabiedrības motivāciju veicinoš</w:t>
            </w:r>
            <w:r w:rsidR="00254C83">
              <w:rPr>
                <w:sz w:val="24"/>
                <w:szCs w:val="24"/>
              </w:rPr>
              <w:t>u</w:t>
            </w:r>
            <w:r w:rsidR="00254C83" w:rsidRPr="00AD6831">
              <w:rPr>
                <w:sz w:val="24"/>
                <w:szCs w:val="24"/>
              </w:rPr>
              <w:t xml:space="preserve"> pasākumu kopum</w:t>
            </w:r>
            <w:r w:rsidR="00254C83">
              <w:rPr>
                <w:sz w:val="24"/>
                <w:szCs w:val="24"/>
              </w:rPr>
              <w:t>u</w:t>
            </w:r>
            <w:r w:rsidR="00254C83" w:rsidRPr="00AD6831">
              <w:rPr>
                <w:sz w:val="24"/>
                <w:szCs w:val="24"/>
              </w:rPr>
              <w:t xml:space="preserve"> ēnu ekonomikas mazināšanai</w:t>
            </w:r>
            <w:r w:rsidR="00254C83">
              <w:rPr>
                <w:sz w:val="24"/>
                <w:szCs w:val="24"/>
              </w:rPr>
              <w:t>, 26.punktā pievēršot uzmanību</w:t>
            </w:r>
            <w:r w:rsidR="00254C83" w:rsidRPr="00AD6831">
              <w:rPr>
                <w:sz w:val="24"/>
                <w:szCs w:val="24"/>
              </w:rPr>
              <w:t xml:space="preserve"> pasākumiem, kuru īstenošana sniegs lielāko ieguldījumu ēnu ekonomikas apkarošanā (kontrabandas apkarošana, cīņa pret </w:t>
            </w:r>
            <w:proofErr w:type="spellStart"/>
            <w:r w:rsidR="00254C83" w:rsidRPr="00AD6831">
              <w:rPr>
                <w:sz w:val="24"/>
                <w:szCs w:val="24"/>
              </w:rPr>
              <w:t>krāpniecību</w:t>
            </w:r>
            <w:proofErr w:type="spellEnd"/>
            <w:r w:rsidR="00254C83" w:rsidRPr="00AD6831">
              <w:rPr>
                <w:sz w:val="24"/>
                <w:szCs w:val="24"/>
              </w:rPr>
              <w:t xml:space="preserve"> ar PVN, cīņa pret starptautisko izvairīšanos no nodokļu maksāšanas, manipulāciju ar kases aparātiem ierobežošana, stingrāki sodi</w:t>
            </w:r>
            <w:r w:rsidR="00254C83">
              <w:rPr>
                <w:sz w:val="24"/>
                <w:szCs w:val="24"/>
              </w:rPr>
              <w:t xml:space="preserve"> par "aplokšņu algām" u. c.).</w:t>
            </w:r>
          </w:p>
          <w:p w:rsidR="006E1276" w:rsidRPr="00B36B77" w:rsidRDefault="006E1276" w:rsidP="006E1276">
            <w:pPr>
              <w:spacing w:line="240" w:lineRule="auto"/>
              <w:ind w:firstLine="0"/>
              <w:rPr>
                <w:sz w:val="24"/>
                <w:szCs w:val="24"/>
              </w:rPr>
            </w:pPr>
            <w:r w:rsidRPr="006E1276">
              <w:rPr>
                <w:rFonts w:eastAsia="Times New Roman"/>
                <w:sz w:val="24"/>
                <w:szCs w:val="24"/>
                <w:lang w:eastAsia="lv-LV"/>
              </w:rPr>
              <w:t>Likumprojekts „Grozījumi Ceļu satiksmes likumā” (turpmāk – likumprojekts) izstrādāts atbilstoši Ministru kabineta 2016. gada 2. augusta sēdes protokola (prot. Nr. 38 49.§) 8.1. un 8.2. apakšpunktam, saskaņā ar kuru Satiksmes ministrijai sadarbībā ar Finanšu ministriju saskaņā ar likumprojekta “Par vidēja termiņa budžeta ietvaru 2017., 2018. un 2019.gadam” un likumprojekta “Par valsts budžetu 2017.gadam” sagatavošanas grafiku uzdots izstrādāt un iesniegt Ministru kabinetā grozījumus Transportlīdzekļa ekspluatācijas nodokļa un uzņēmumu vieglo transportlīdzekļu nodokļa likumā un Ceļu satiksmes likumā, lai īstenotu vieglo automobiļu un motociklu reģistrācijas nodokļa reformu un atzīt par spēku zaudējušo likumu “Par vieglo automobiļu un motociklu nodokli”, un grozījumus normatīvajos aktos, lai transportlīdzekļu atsavināšanas darījumus varētu veikt tikai ar tādiem transportlīdzekļiem, kas reģistrēti Ceļu satiksmes drošības direkcijā.</w:t>
            </w:r>
          </w:p>
        </w:tc>
      </w:tr>
      <w:tr w:rsidR="00565A60" w:rsidRPr="0055456B" w:rsidTr="007A2F8F">
        <w:tc>
          <w:tcPr>
            <w:tcW w:w="148" w:type="pct"/>
            <w:tcBorders>
              <w:top w:val="outset" w:sz="6" w:space="0" w:color="auto"/>
              <w:left w:val="outset" w:sz="6" w:space="0" w:color="auto"/>
              <w:bottom w:val="outset" w:sz="6" w:space="0" w:color="auto"/>
              <w:right w:val="outset" w:sz="6" w:space="0" w:color="auto"/>
            </w:tcBorders>
          </w:tcPr>
          <w:p w:rsidR="00565A60" w:rsidRPr="0069556E" w:rsidRDefault="004326C0" w:rsidP="004326C0">
            <w:pPr>
              <w:numPr>
                <w:ilvl w:val="0"/>
                <w:numId w:val="2"/>
              </w:numPr>
              <w:spacing w:after="120" w:line="240" w:lineRule="auto"/>
              <w:ind w:right="-78"/>
              <w:rPr>
                <w:rFonts w:eastAsia="Times New Roman"/>
                <w:sz w:val="24"/>
                <w:szCs w:val="24"/>
                <w:lang w:eastAsia="lv-LV"/>
              </w:rPr>
            </w:pPr>
            <w:r>
              <w:rPr>
                <w:rFonts w:eastAsia="Times New Roman"/>
                <w:sz w:val="24"/>
                <w:szCs w:val="24"/>
                <w:lang w:eastAsia="lv-LV"/>
              </w:rPr>
              <w:t>2.</w:t>
            </w:r>
          </w:p>
        </w:tc>
        <w:tc>
          <w:tcPr>
            <w:tcW w:w="1047" w:type="pct"/>
            <w:tcBorders>
              <w:top w:val="outset" w:sz="6" w:space="0" w:color="auto"/>
              <w:left w:val="outset" w:sz="6" w:space="0" w:color="auto"/>
              <w:bottom w:val="outset" w:sz="6" w:space="0" w:color="auto"/>
              <w:right w:val="outset" w:sz="6" w:space="0" w:color="auto"/>
            </w:tcBorders>
            <w:shd w:val="clear" w:color="auto" w:fill="auto"/>
          </w:tcPr>
          <w:p w:rsidR="00565A60" w:rsidRPr="00B6596E" w:rsidRDefault="00565A60" w:rsidP="00565A60">
            <w:pPr>
              <w:spacing w:after="120" w:line="240" w:lineRule="auto"/>
              <w:ind w:right="42" w:firstLine="18"/>
              <w:rPr>
                <w:rFonts w:eastAsia="Times New Roman"/>
                <w:sz w:val="24"/>
                <w:szCs w:val="24"/>
                <w:lang w:eastAsia="lv-LV"/>
              </w:rPr>
            </w:pPr>
            <w:r w:rsidRPr="00B6596E">
              <w:rPr>
                <w:sz w:val="24"/>
                <w:szCs w:val="24"/>
                <w:shd w:val="clear" w:color="auto" w:fill="FFFFFF"/>
              </w:rPr>
              <w:t>Pašreizējā situācija un problēmas, kuru risināšanai tiesību akta projekts izstrādāts, tiesiskā regulējuma mērķis un būtība</w:t>
            </w:r>
          </w:p>
        </w:tc>
        <w:tc>
          <w:tcPr>
            <w:tcW w:w="3805" w:type="pct"/>
            <w:tcBorders>
              <w:top w:val="outset" w:sz="6" w:space="0" w:color="auto"/>
              <w:left w:val="outset" w:sz="6" w:space="0" w:color="auto"/>
              <w:bottom w:val="outset" w:sz="6" w:space="0" w:color="auto"/>
              <w:right w:val="outset" w:sz="6" w:space="0" w:color="auto"/>
            </w:tcBorders>
            <w:shd w:val="clear" w:color="auto" w:fill="auto"/>
          </w:tcPr>
          <w:p w:rsidR="00254C83" w:rsidRPr="00704878" w:rsidRDefault="00254C83" w:rsidP="00DB44FA">
            <w:pPr>
              <w:spacing w:line="240" w:lineRule="auto"/>
              <w:ind w:firstLine="360"/>
              <w:rPr>
                <w:sz w:val="24"/>
                <w:szCs w:val="24"/>
              </w:rPr>
            </w:pPr>
            <w:r w:rsidRPr="001A67F3">
              <w:rPr>
                <w:sz w:val="24"/>
                <w:szCs w:val="24"/>
              </w:rPr>
              <w:t xml:space="preserve">Šobrīd spēkā esošā kārtība </w:t>
            </w:r>
            <w:r w:rsidR="00704878">
              <w:rPr>
                <w:sz w:val="24"/>
                <w:szCs w:val="24"/>
              </w:rPr>
              <w:t xml:space="preserve">nav pietiekami efektīva, lai nodrošinātu </w:t>
            </w:r>
            <w:r w:rsidRPr="001A67F3">
              <w:rPr>
                <w:sz w:val="24"/>
                <w:szCs w:val="24"/>
              </w:rPr>
              <w:t>muitas formalitāšu kārtošanas un attiecīgu nodokļu nomaksas</w:t>
            </w:r>
            <w:r w:rsidR="00704878">
              <w:rPr>
                <w:sz w:val="24"/>
                <w:szCs w:val="24"/>
              </w:rPr>
              <w:t xml:space="preserve"> kontroli</w:t>
            </w:r>
            <w:r w:rsidRPr="001A67F3">
              <w:rPr>
                <w:sz w:val="24"/>
                <w:szCs w:val="24"/>
              </w:rPr>
              <w:t xml:space="preserve">, ievedot Eiropas Savienībā transportlīdzekli, kura izcelsmes valsts, pēdējās reģistrācijas valsts vai valsts, no kuras transportlīdzeklis ievests Latvijā, nav Eiropas Savienības dalībvalsts. </w:t>
            </w:r>
            <w:r w:rsidR="009573C8" w:rsidRPr="00704878">
              <w:rPr>
                <w:sz w:val="24"/>
                <w:szCs w:val="24"/>
              </w:rPr>
              <w:t xml:space="preserve">Lai </w:t>
            </w:r>
            <w:r w:rsidR="00704878" w:rsidRPr="00704878">
              <w:rPr>
                <w:sz w:val="24"/>
                <w:szCs w:val="24"/>
              </w:rPr>
              <w:t xml:space="preserve">pilnveidotu normatīvajos aktos noteikto </w:t>
            </w:r>
            <w:r w:rsidR="009573C8" w:rsidRPr="00704878">
              <w:rPr>
                <w:sz w:val="24"/>
                <w:szCs w:val="24"/>
              </w:rPr>
              <w:t>nodokļu nomaksas kontroli</w:t>
            </w:r>
            <w:r w:rsidR="00704878" w:rsidRPr="00704878">
              <w:rPr>
                <w:sz w:val="24"/>
                <w:szCs w:val="24"/>
              </w:rPr>
              <w:t xml:space="preserve"> par Latvijā ievestajiem transportlīdzekļiem</w:t>
            </w:r>
            <w:r w:rsidR="009573C8" w:rsidRPr="00704878">
              <w:rPr>
                <w:sz w:val="24"/>
                <w:szCs w:val="24"/>
              </w:rPr>
              <w:t>, vienlaikus mazinot administratīvo slogu, paredzēts, ka nepieciešamo informācij</w:t>
            </w:r>
            <w:r w:rsidR="001D5633" w:rsidRPr="00704878">
              <w:rPr>
                <w:sz w:val="24"/>
                <w:szCs w:val="24"/>
              </w:rPr>
              <w:t>u</w:t>
            </w:r>
            <w:r w:rsidR="009573C8" w:rsidRPr="00704878">
              <w:rPr>
                <w:sz w:val="24"/>
                <w:szCs w:val="24"/>
              </w:rPr>
              <w:t xml:space="preserve"> par</w:t>
            </w:r>
            <w:r w:rsidR="00704878" w:rsidRPr="00704878">
              <w:rPr>
                <w:sz w:val="24"/>
                <w:szCs w:val="24"/>
              </w:rPr>
              <w:t xml:space="preserve"> </w:t>
            </w:r>
            <w:r w:rsidR="009573C8" w:rsidRPr="00704878">
              <w:rPr>
                <w:sz w:val="24"/>
                <w:szCs w:val="24"/>
              </w:rPr>
              <w:t>muitas formalitāšu nokārtošan</w:t>
            </w:r>
            <w:r w:rsidR="001D5633" w:rsidRPr="00704878">
              <w:rPr>
                <w:sz w:val="24"/>
                <w:szCs w:val="24"/>
              </w:rPr>
              <w:t>u</w:t>
            </w:r>
            <w:r w:rsidR="009573C8" w:rsidRPr="00704878">
              <w:rPr>
                <w:sz w:val="24"/>
                <w:szCs w:val="24"/>
              </w:rPr>
              <w:t xml:space="preserve"> un attiecīgu nodokļu nomaks</w:t>
            </w:r>
            <w:r w:rsidR="001D5633" w:rsidRPr="00704878">
              <w:rPr>
                <w:sz w:val="24"/>
                <w:szCs w:val="24"/>
              </w:rPr>
              <w:t>u turpmāk būs iesp</w:t>
            </w:r>
            <w:r w:rsidR="006E1276">
              <w:rPr>
                <w:sz w:val="24"/>
                <w:szCs w:val="24"/>
              </w:rPr>
              <w:t>ējams saņemt elektroniskā veidā. Par to izdarāmi attiecīgi grozījumi</w:t>
            </w:r>
            <w:r w:rsidR="001D5633" w:rsidRPr="00704878">
              <w:rPr>
                <w:sz w:val="24"/>
                <w:szCs w:val="24"/>
              </w:rPr>
              <w:t xml:space="preserve"> Ministr</w:t>
            </w:r>
            <w:r w:rsidR="00704878" w:rsidRPr="00704878">
              <w:rPr>
                <w:sz w:val="24"/>
                <w:szCs w:val="24"/>
              </w:rPr>
              <w:t>u</w:t>
            </w:r>
            <w:r w:rsidR="001D5633" w:rsidRPr="00704878">
              <w:rPr>
                <w:sz w:val="24"/>
                <w:szCs w:val="24"/>
              </w:rPr>
              <w:t xml:space="preserve"> kabineta 2010.gada 30.novembra noteikumos Nr.1080 “Transportlīdzekļu reģistrācijas noteikumi”.</w:t>
            </w:r>
          </w:p>
          <w:p w:rsidR="00254C83" w:rsidRPr="001A67F3" w:rsidRDefault="00254C83" w:rsidP="00DB44FA">
            <w:pPr>
              <w:spacing w:line="240" w:lineRule="auto"/>
              <w:ind w:firstLine="360"/>
              <w:rPr>
                <w:sz w:val="24"/>
                <w:szCs w:val="24"/>
              </w:rPr>
            </w:pPr>
            <w:r w:rsidRPr="001A67F3">
              <w:rPr>
                <w:sz w:val="24"/>
                <w:szCs w:val="24"/>
              </w:rPr>
              <w:t xml:space="preserve">Pašreiz noteiktā kārtība paredz, ka tirdzniecībai Latvijā var pieņemt nereģistrētu transportlīdzekli vai tā numurēto agregātu, kuru tirdzniecībai nodod cits Latvijā reģistrēts komersants, kurš to kā preci ievedis no ārvalsts. Šāda kārtība apgrūtina pievienotās vērtības nodokļa (turpmāk – PVN) nomaksas kontroles </w:t>
            </w:r>
            <w:r w:rsidR="006E1276">
              <w:rPr>
                <w:sz w:val="24"/>
                <w:szCs w:val="24"/>
              </w:rPr>
              <w:t>iespējas un tādā veidā pieļauj</w:t>
            </w:r>
            <w:r w:rsidRPr="001A67F3">
              <w:rPr>
                <w:sz w:val="24"/>
                <w:szCs w:val="24"/>
              </w:rPr>
              <w:t xml:space="preserve"> iespēju uzņēmumiem ļaunprātīgi izvairīties no PVN nomaksas. </w:t>
            </w:r>
          </w:p>
          <w:p w:rsidR="005A077B" w:rsidRPr="001A67F3" w:rsidRDefault="00054F7D" w:rsidP="00DB44FA">
            <w:pPr>
              <w:spacing w:line="240" w:lineRule="auto"/>
              <w:ind w:firstLine="360"/>
              <w:rPr>
                <w:rFonts w:eastAsia="Times New Roman"/>
                <w:sz w:val="24"/>
                <w:szCs w:val="24"/>
                <w:lang w:eastAsia="lv-LV"/>
              </w:rPr>
            </w:pPr>
            <w:r w:rsidRPr="001A67F3">
              <w:rPr>
                <w:sz w:val="24"/>
                <w:szCs w:val="24"/>
              </w:rPr>
              <w:t xml:space="preserve">Vienlaikus </w:t>
            </w:r>
            <w:r w:rsidR="00254C83" w:rsidRPr="001A67F3">
              <w:rPr>
                <w:sz w:val="24"/>
                <w:szCs w:val="24"/>
              </w:rPr>
              <w:t xml:space="preserve">ir konstatēts, ka, nereģistrējot komercdarbību, Latvijā tiek ievesti un tālāk atsavināti transportlīdzekļi, neveicot pirms tam šo transportlīdzekļu reģistrāciju. Šajos gadījumos transportlīdzekļa </w:t>
            </w:r>
            <w:r w:rsidR="00254C83" w:rsidRPr="001A67F3">
              <w:rPr>
                <w:sz w:val="24"/>
                <w:szCs w:val="24"/>
              </w:rPr>
              <w:lastRenderedPageBreak/>
              <w:t>pārdevējs nereti pircējam piedāvā jaun</w:t>
            </w:r>
            <w:r w:rsidR="005106FD" w:rsidRPr="001A67F3">
              <w:rPr>
                <w:sz w:val="24"/>
                <w:szCs w:val="24"/>
              </w:rPr>
              <w:t>u</w:t>
            </w:r>
            <w:r w:rsidR="00254C83" w:rsidRPr="001A67F3">
              <w:rPr>
                <w:sz w:val="24"/>
                <w:szCs w:val="24"/>
              </w:rPr>
              <w:t xml:space="preserve"> iegādes dokument</w:t>
            </w:r>
            <w:r w:rsidR="005106FD" w:rsidRPr="001A67F3">
              <w:rPr>
                <w:sz w:val="24"/>
                <w:szCs w:val="24"/>
              </w:rPr>
              <w:t>u</w:t>
            </w:r>
            <w:r w:rsidR="00254C83" w:rsidRPr="001A67F3">
              <w:rPr>
                <w:sz w:val="24"/>
                <w:szCs w:val="24"/>
              </w:rPr>
              <w:t>, kurš it kā ir sastādīts ārvalstī. Tādejādi tiek samazināts maksājamo nodokļu apmērs un slēpta komercdarbība</w:t>
            </w:r>
            <w:r w:rsidR="00254C83" w:rsidRPr="001A67F3">
              <w:rPr>
                <w:rFonts w:eastAsia="Times New Roman"/>
                <w:sz w:val="24"/>
                <w:szCs w:val="24"/>
                <w:lang w:eastAsia="lv-LV"/>
              </w:rPr>
              <w:t>, kā arī tiek ierobežotas pircēja iespējas aizsargāt savas patērētāja tiesības</w:t>
            </w:r>
            <w:r w:rsidRPr="001A67F3">
              <w:rPr>
                <w:rFonts w:eastAsia="Times New Roman"/>
                <w:sz w:val="24"/>
                <w:szCs w:val="24"/>
                <w:lang w:eastAsia="lv-LV"/>
              </w:rPr>
              <w:t>, kas kopumā būtiski skar sabiedrības intereses</w:t>
            </w:r>
            <w:r w:rsidR="00254C83" w:rsidRPr="001A67F3">
              <w:rPr>
                <w:rFonts w:eastAsia="Times New Roman"/>
                <w:sz w:val="24"/>
                <w:szCs w:val="24"/>
                <w:lang w:eastAsia="lv-LV"/>
              </w:rPr>
              <w:t xml:space="preserve">. </w:t>
            </w:r>
            <w:r w:rsidRPr="001A67F3">
              <w:rPr>
                <w:sz w:val="24"/>
                <w:szCs w:val="24"/>
              </w:rPr>
              <w:t xml:space="preserve">Lai samazinātu šādas iespējas, paredzēts, ka ar nereģistrētu transportlīdzekļu realizāciju varēs nodarboties tikai komersanti, kuri noteiktā kārtībā ir reģistrējuši tirdzniecības vietu. Papildus </w:t>
            </w:r>
            <w:r w:rsidRPr="001A67F3">
              <w:rPr>
                <w:strike/>
                <w:sz w:val="24"/>
                <w:szCs w:val="24"/>
              </w:rPr>
              <w:t>s</w:t>
            </w:r>
            <w:r w:rsidR="00254C83" w:rsidRPr="001A67F3">
              <w:rPr>
                <w:rFonts w:eastAsia="Times New Roman"/>
                <w:sz w:val="24"/>
                <w:szCs w:val="24"/>
                <w:lang w:eastAsia="lv-LV"/>
              </w:rPr>
              <w:t>ituācijas risināšanai paredzēts noteikt, ka Latvijā nereģistrēts transportlīdzeklis jāuzrāda agregātu numuru salīdzināšanai 5 dienu laikā pēc tā ievešanas. Savukārt Ministra kabineta</w:t>
            </w:r>
            <w:r w:rsidR="00630EE9" w:rsidRPr="001A67F3">
              <w:rPr>
                <w:rFonts w:eastAsia="Times New Roman"/>
                <w:sz w:val="24"/>
                <w:szCs w:val="24"/>
                <w:lang w:eastAsia="lv-LV"/>
              </w:rPr>
              <w:t xml:space="preserve"> </w:t>
            </w:r>
            <w:r w:rsidR="005106FD" w:rsidRPr="001A67F3">
              <w:rPr>
                <w:rFonts w:eastAsia="Times New Roman"/>
                <w:sz w:val="24"/>
                <w:szCs w:val="24"/>
                <w:lang w:eastAsia="lv-LV"/>
              </w:rPr>
              <w:t>2010.gada 30.novembra</w:t>
            </w:r>
            <w:r w:rsidR="00254C83" w:rsidRPr="001A67F3">
              <w:rPr>
                <w:rFonts w:eastAsia="Times New Roman"/>
                <w:sz w:val="24"/>
                <w:szCs w:val="24"/>
                <w:lang w:eastAsia="lv-LV"/>
              </w:rPr>
              <w:t xml:space="preserve"> noteikumos </w:t>
            </w:r>
            <w:r w:rsidR="005106FD" w:rsidRPr="001A67F3">
              <w:rPr>
                <w:rFonts w:eastAsia="Times New Roman"/>
                <w:sz w:val="24"/>
                <w:szCs w:val="24"/>
                <w:lang w:eastAsia="lv-LV"/>
              </w:rPr>
              <w:t xml:space="preserve">Nr.1080 “Transportlīdzekļu reģistrācijas noteikumi” </w:t>
            </w:r>
            <w:r w:rsidR="00254C83" w:rsidRPr="001A67F3">
              <w:rPr>
                <w:rFonts w:eastAsia="Times New Roman"/>
                <w:sz w:val="24"/>
                <w:szCs w:val="24"/>
                <w:lang w:eastAsia="lv-LV"/>
              </w:rPr>
              <w:t>tiks paredzēta obligāta iegādes dokumenta uzrādīšana, veicot Latvijā ievesta transportlīdzekļa numurēto agregātu salīdzināšanu. Uzrādītā iegādes dokumenta kopija tiks saglab</w:t>
            </w:r>
            <w:r w:rsidR="00DB44FA" w:rsidRPr="001A67F3">
              <w:rPr>
                <w:rFonts w:eastAsia="Times New Roman"/>
                <w:sz w:val="24"/>
                <w:szCs w:val="24"/>
                <w:lang w:eastAsia="lv-LV"/>
              </w:rPr>
              <w:t>āta transportlīdzekļu reģistrā.</w:t>
            </w:r>
          </w:p>
          <w:p w:rsidR="00254C83" w:rsidRPr="001A67F3" w:rsidRDefault="005106FD" w:rsidP="00DB44FA">
            <w:pPr>
              <w:spacing w:line="240" w:lineRule="auto"/>
              <w:ind w:firstLine="360"/>
              <w:rPr>
                <w:rFonts w:eastAsia="Times New Roman"/>
                <w:sz w:val="24"/>
                <w:szCs w:val="24"/>
                <w:lang w:eastAsia="lv-LV"/>
              </w:rPr>
            </w:pPr>
            <w:r w:rsidRPr="001A67F3">
              <w:rPr>
                <w:rFonts w:eastAsia="Times New Roman"/>
                <w:sz w:val="24"/>
                <w:szCs w:val="24"/>
                <w:lang w:eastAsia="lv-LV"/>
              </w:rPr>
              <w:t>L</w:t>
            </w:r>
            <w:r w:rsidR="00254C83" w:rsidRPr="001A67F3">
              <w:rPr>
                <w:rFonts w:eastAsia="Times New Roman"/>
                <w:sz w:val="24"/>
                <w:szCs w:val="24"/>
                <w:lang w:eastAsia="lv-LV"/>
              </w:rPr>
              <w:t xml:space="preserve">ikumprojekts paredz </w:t>
            </w:r>
            <w:r w:rsidR="0068329B" w:rsidRPr="001A67F3">
              <w:rPr>
                <w:rFonts w:eastAsia="Times New Roman"/>
                <w:sz w:val="24"/>
                <w:szCs w:val="24"/>
                <w:lang w:eastAsia="lv-LV"/>
              </w:rPr>
              <w:t>svītrot</w:t>
            </w:r>
            <w:r w:rsidR="00254C83" w:rsidRPr="001A67F3">
              <w:rPr>
                <w:rFonts w:eastAsia="Times New Roman"/>
                <w:sz w:val="24"/>
                <w:szCs w:val="24"/>
                <w:lang w:eastAsia="lv-LV"/>
              </w:rPr>
              <w:t xml:space="preserve"> no </w:t>
            </w:r>
            <w:r w:rsidR="0068329B" w:rsidRPr="001A67F3">
              <w:rPr>
                <w:rFonts w:eastAsia="Times New Roman"/>
                <w:sz w:val="24"/>
                <w:szCs w:val="24"/>
                <w:lang w:eastAsia="lv-LV"/>
              </w:rPr>
              <w:t>Ceļu satiksmes likuma 22.panta 1</w:t>
            </w:r>
            <w:r w:rsidR="00412DAE" w:rsidRPr="001A67F3">
              <w:rPr>
                <w:rFonts w:eastAsia="Times New Roman"/>
                <w:sz w:val="24"/>
                <w:szCs w:val="24"/>
                <w:lang w:eastAsia="lv-LV"/>
              </w:rPr>
              <w:t>.</w:t>
            </w:r>
            <w:r w:rsidR="0068329B" w:rsidRPr="001A67F3">
              <w:rPr>
                <w:rFonts w:eastAsia="Times New Roman"/>
                <w:sz w:val="24"/>
                <w:szCs w:val="24"/>
                <w:vertAlign w:val="superscript"/>
                <w:lang w:eastAsia="lv-LV"/>
              </w:rPr>
              <w:t>1</w:t>
            </w:r>
            <w:r w:rsidR="00412DAE" w:rsidRPr="001A67F3">
              <w:rPr>
                <w:rFonts w:eastAsia="Times New Roman"/>
                <w:sz w:val="24"/>
                <w:szCs w:val="24"/>
                <w:lang w:eastAsia="lv-LV"/>
              </w:rPr>
              <w:t xml:space="preserve"> </w:t>
            </w:r>
            <w:r w:rsidR="0068329B" w:rsidRPr="001A67F3">
              <w:rPr>
                <w:rFonts w:eastAsia="Times New Roman"/>
                <w:sz w:val="24"/>
                <w:szCs w:val="24"/>
                <w:lang w:eastAsia="lv-LV"/>
              </w:rPr>
              <w:t>daļu un 1</w:t>
            </w:r>
            <w:r w:rsidR="00412DAE" w:rsidRPr="001A67F3">
              <w:rPr>
                <w:rFonts w:eastAsia="Times New Roman"/>
                <w:sz w:val="24"/>
                <w:szCs w:val="24"/>
                <w:lang w:eastAsia="lv-LV"/>
              </w:rPr>
              <w:t>.</w:t>
            </w:r>
            <w:r w:rsidR="0068329B" w:rsidRPr="001A67F3">
              <w:rPr>
                <w:rFonts w:eastAsia="Times New Roman"/>
                <w:sz w:val="24"/>
                <w:szCs w:val="24"/>
                <w:vertAlign w:val="superscript"/>
                <w:lang w:eastAsia="lv-LV"/>
              </w:rPr>
              <w:t>2</w:t>
            </w:r>
            <w:r w:rsidR="00412DAE" w:rsidRPr="001A67F3">
              <w:rPr>
                <w:rFonts w:eastAsia="Times New Roman"/>
                <w:sz w:val="24"/>
                <w:szCs w:val="24"/>
                <w:lang w:eastAsia="lv-LV"/>
              </w:rPr>
              <w:t xml:space="preserve"> </w:t>
            </w:r>
            <w:r w:rsidR="0068329B" w:rsidRPr="001A67F3">
              <w:rPr>
                <w:rFonts w:eastAsia="Times New Roman"/>
                <w:sz w:val="24"/>
                <w:szCs w:val="24"/>
                <w:lang w:eastAsia="lv-LV"/>
              </w:rPr>
              <w:t xml:space="preserve"> daļu</w:t>
            </w:r>
            <w:r w:rsidR="0054622C" w:rsidRPr="001A67F3">
              <w:rPr>
                <w:rFonts w:eastAsia="Times New Roman"/>
                <w:sz w:val="24"/>
                <w:szCs w:val="24"/>
                <w:lang w:eastAsia="lv-LV"/>
              </w:rPr>
              <w:t>, balstoties uz sekojošiem apsvērumiem</w:t>
            </w:r>
            <w:r w:rsidR="0068329B" w:rsidRPr="001A67F3">
              <w:rPr>
                <w:rFonts w:eastAsia="Times New Roman"/>
                <w:sz w:val="24"/>
                <w:szCs w:val="24"/>
                <w:lang w:eastAsia="lv-LV"/>
              </w:rPr>
              <w:t>.</w:t>
            </w:r>
          </w:p>
          <w:p w:rsidR="00CE3341" w:rsidRPr="001A67F3" w:rsidRDefault="0054622C" w:rsidP="00DB44FA">
            <w:pPr>
              <w:spacing w:line="240" w:lineRule="auto"/>
              <w:ind w:firstLine="360"/>
              <w:rPr>
                <w:rFonts w:eastAsia="Times New Roman"/>
                <w:sz w:val="24"/>
                <w:szCs w:val="24"/>
                <w:lang w:eastAsia="lv-LV"/>
              </w:rPr>
            </w:pPr>
            <w:r w:rsidRPr="001A67F3">
              <w:rPr>
                <w:rFonts w:eastAsia="Times New Roman"/>
                <w:sz w:val="24"/>
                <w:szCs w:val="24"/>
                <w:lang w:eastAsia="lv-LV"/>
              </w:rPr>
              <w:t xml:space="preserve">Saskaņā ar </w:t>
            </w:r>
            <w:r w:rsidR="00CE3341" w:rsidRPr="001A67F3">
              <w:rPr>
                <w:rFonts w:eastAsia="Times New Roman"/>
                <w:sz w:val="24"/>
                <w:szCs w:val="24"/>
                <w:lang w:eastAsia="lv-LV"/>
              </w:rPr>
              <w:t>Grozījumi</w:t>
            </w:r>
            <w:r w:rsidR="00A24DDC" w:rsidRPr="001A67F3">
              <w:rPr>
                <w:rFonts w:eastAsia="Times New Roman"/>
                <w:sz w:val="24"/>
                <w:szCs w:val="24"/>
                <w:lang w:eastAsia="lv-LV"/>
              </w:rPr>
              <w:t>em</w:t>
            </w:r>
            <w:r w:rsidR="00CE3341" w:rsidRPr="001A67F3">
              <w:rPr>
                <w:rFonts w:eastAsia="Times New Roman"/>
                <w:sz w:val="24"/>
                <w:szCs w:val="24"/>
                <w:lang w:eastAsia="lv-LV"/>
              </w:rPr>
              <w:t xml:space="preserve"> Ceļu satiksmes likum</w:t>
            </w:r>
            <w:r w:rsidRPr="001A67F3">
              <w:rPr>
                <w:rFonts w:eastAsia="Times New Roman"/>
                <w:sz w:val="24"/>
                <w:szCs w:val="24"/>
                <w:lang w:eastAsia="lv-LV"/>
              </w:rPr>
              <w:t>ā, kas pieņemti Saeimā 2014.gada 30.oktobrī</w:t>
            </w:r>
            <w:r w:rsidR="00CE3341" w:rsidRPr="001A67F3">
              <w:rPr>
                <w:rFonts w:eastAsia="Times New Roman"/>
                <w:sz w:val="24"/>
                <w:szCs w:val="24"/>
                <w:lang w:eastAsia="lv-LV"/>
              </w:rPr>
              <w:t xml:space="preserve">, </w:t>
            </w:r>
            <w:r w:rsidRPr="001A67F3">
              <w:rPr>
                <w:rFonts w:eastAsia="Times New Roman"/>
                <w:sz w:val="24"/>
                <w:szCs w:val="24"/>
                <w:lang w:eastAsia="lv-LV"/>
              </w:rPr>
              <w:t xml:space="preserve">22.pants </w:t>
            </w:r>
            <w:r w:rsidR="00CE3341" w:rsidRPr="001A67F3">
              <w:rPr>
                <w:rFonts w:eastAsia="Times New Roman"/>
                <w:sz w:val="24"/>
                <w:szCs w:val="24"/>
                <w:lang w:eastAsia="lv-LV"/>
              </w:rPr>
              <w:t>papildin</w:t>
            </w:r>
            <w:r w:rsidRPr="001A67F3">
              <w:rPr>
                <w:rFonts w:eastAsia="Times New Roman"/>
                <w:sz w:val="24"/>
                <w:szCs w:val="24"/>
                <w:lang w:eastAsia="lv-LV"/>
              </w:rPr>
              <w:t>ā</w:t>
            </w:r>
            <w:r w:rsidR="00CE3341" w:rsidRPr="001A67F3">
              <w:rPr>
                <w:rFonts w:eastAsia="Times New Roman"/>
                <w:sz w:val="24"/>
                <w:szCs w:val="24"/>
                <w:lang w:eastAsia="lv-LV"/>
              </w:rPr>
              <w:t>t</w:t>
            </w:r>
            <w:r w:rsidRPr="001A67F3">
              <w:rPr>
                <w:rFonts w:eastAsia="Times New Roman"/>
                <w:sz w:val="24"/>
                <w:szCs w:val="24"/>
                <w:lang w:eastAsia="lv-LV"/>
              </w:rPr>
              <w:t>s</w:t>
            </w:r>
            <w:r w:rsidR="00CE3341" w:rsidRPr="001A67F3">
              <w:rPr>
                <w:rFonts w:eastAsia="Times New Roman"/>
                <w:sz w:val="24"/>
                <w:szCs w:val="24"/>
                <w:lang w:eastAsia="lv-LV"/>
              </w:rPr>
              <w:t xml:space="preserve"> ar 1.</w:t>
            </w:r>
            <w:r w:rsidR="00CE3341" w:rsidRPr="001A67F3">
              <w:rPr>
                <w:rFonts w:eastAsia="Times New Roman"/>
                <w:sz w:val="24"/>
                <w:szCs w:val="24"/>
                <w:vertAlign w:val="superscript"/>
                <w:lang w:eastAsia="lv-LV"/>
              </w:rPr>
              <w:t>1</w:t>
            </w:r>
            <w:r w:rsidR="00CE3341" w:rsidRPr="001A67F3">
              <w:rPr>
                <w:rFonts w:eastAsia="Times New Roman"/>
                <w:sz w:val="24"/>
                <w:szCs w:val="24"/>
                <w:lang w:eastAsia="lv-LV"/>
              </w:rPr>
              <w:t xml:space="preserve"> un 1.</w:t>
            </w:r>
            <w:r w:rsidR="00CE3341" w:rsidRPr="001A67F3">
              <w:rPr>
                <w:rFonts w:eastAsia="Times New Roman"/>
                <w:sz w:val="24"/>
                <w:szCs w:val="24"/>
                <w:vertAlign w:val="superscript"/>
                <w:lang w:eastAsia="lv-LV"/>
              </w:rPr>
              <w:t>2</w:t>
            </w:r>
            <w:r w:rsidR="00CE3341" w:rsidRPr="001A67F3">
              <w:rPr>
                <w:rFonts w:eastAsia="Times New Roman"/>
                <w:sz w:val="24"/>
                <w:szCs w:val="24"/>
                <w:lang w:eastAsia="lv-LV"/>
              </w:rPr>
              <w:t xml:space="preserve"> daļu</w:t>
            </w:r>
            <w:r w:rsidRPr="001A67F3">
              <w:rPr>
                <w:rFonts w:eastAsia="Times New Roman"/>
                <w:sz w:val="24"/>
                <w:szCs w:val="24"/>
                <w:lang w:eastAsia="lv-LV"/>
              </w:rPr>
              <w:t xml:space="preserve">, nosakot </w:t>
            </w:r>
            <w:r w:rsidR="00CE3341" w:rsidRPr="001A67F3">
              <w:rPr>
                <w:rFonts w:eastAsia="Times New Roman"/>
                <w:sz w:val="24"/>
                <w:szCs w:val="24"/>
                <w:lang w:eastAsia="lv-LV"/>
              </w:rPr>
              <w:t xml:space="preserve">  uzdevumu Ministru kabinetam</w:t>
            </w:r>
            <w:r w:rsidRPr="001A67F3">
              <w:rPr>
                <w:rFonts w:eastAsia="Times New Roman"/>
                <w:sz w:val="24"/>
                <w:szCs w:val="24"/>
                <w:lang w:eastAsia="lv-LV"/>
              </w:rPr>
              <w:t xml:space="preserve"> izstrādāt regulējumu, saskaņā ar kuru</w:t>
            </w:r>
            <w:r w:rsidR="00CE3341" w:rsidRPr="001A67F3">
              <w:rPr>
                <w:rFonts w:eastAsia="Times New Roman"/>
                <w:sz w:val="24"/>
                <w:szCs w:val="24"/>
                <w:lang w:eastAsia="lv-LV"/>
              </w:rPr>
              <w:t xml:space="preserve">  transportlīdzekļu vadīšanas tiesības un transportlīdzekļu vadītāja apliecību nevar iegūt un atgūt persona, kura sodīta:</w:t>
            </w:r>
          </w:p>
          <w:p w:rsidR="00CE3341" w:rsidRPr="001A67F3" w:rsidRDefault="00CE3341" w:rsidP="00DB44FA">
            <w:pPr>
              <w:spacing w:line="240" w:lineRule="auto"/>
              <w:ind w:firstLine="360"/>
              <w:rPr>
                <w:rFonts w:eastAsia="Times New Roman"/>
                <w:sz w:val="24"/>
                <w:szCs w:val="24"/>
                <w:lang w:eastAsia="lv-LV"/>
              </w:rPr>
            </w:pPr>
            <w:r w:rsidRPr="001A67F3">
              <w:rPr>
                <w:rFonts w:eastAsia="Times New Roman"/>
                <w:sz w:val="24"/>
                <w:szCs w:val="24"/>
                <w:lang w:eastAsia="lv-LV"/>
              </w:rPr>
              <w:t>1. par noziedzīgu nodarījumu pret satiksmes drošību, kas izdarīts alkohola, narkotisko, psihotropo, toksisko vai citu apreibinošu vielu ietekmē;</w:t>
            </w:r>
          </w:p>
          <w:p w:rsidR="0054622C" w:rsidRPr="001A67F3" w:rsidRDefault="00CE3341" w:rsidP="00DB44FA">
            <w:pPr>
              <w:spacing w:line="240" w:lineRule="auto"/>
              <w:ind w:firstLine="360"/>
              <w:rPr>
                <w:rFonts w:eastAsia="Times New Roman"/>
                <w:sz w:val="24"/>
                <w:szCs w:val="24"/>
                <w:lang w:eastAsia="lv-LV"/>
              </w:rPr>
            </w:pPr>
            <w:r w:rsidRPr="001A67F3">
              <w:rPr>
                <w:rFonts w:eastAsia="Times New Roman"/>
                <w:sz w:val="24"/>
                <w:szCs w:val="24"/>
                <w:lang w:eastAsia="lv-LV"/>
              </w:rPr>
              <w:t xml:space="preserve">2.  par narkotisko, psihotropo vai jaunu </w:t>
            </w:r>
            <w:proofErr w:type="spellStart"/>
            <w:r w:rsidRPr="001A67F3">
              <w:rPr>
                <w:rFonts w:eastAsia="Times New Roman"/>
                <w:sz w:val="24"/>
                <w:szCs w:val="24"/>
                <w:lang w:eastAsia="lv-LV"/>
              </w:rPr>
              <w:t>psihoaktīvu</w:t>
            </w:r>
            <w:proofErr w:type="spellEnd"/>
            <w:r w:rsidRPr="001A67F3">
              <w:rPr>
                <w:rFonts w:eastAsia="Times New Roman"/>
                <w:sz w:val="24"/>
                <w:szCs w:val="24"/>
                <w:lang w:eastAsia="lv-LV"/>
              </w:rPr>
              <w:t xml:space="preserve"> vielu vai to izstrādājumu, kuru aprite ir aizliegta vai ierobežota, lietošanu vai transportlīdzekļa vadīšanu alkohola reibumā vai narkotisko vai citu apreibinošu vielu ietekmē, vai par atteikšanos no medicīniskās pārbaudes alkohola koncentrācijas noteikšanai, narkotisko vai citu apreibinošo vielu ietekmes pārbaudes. </w:t>
            </w:r>
          </w:p>
          <w:p w:rsidR="00CE3341" w:rsidRPr="001A67F3" w:rsidRDefault="00CE3341" w:rsidP="00DB44FA">
            <w:pPr>
              <w:spacing w:line="240" w:lineRule="auto"/>
              <w:ind w:firstLine="360"/>
              <w:rPr>
                <w:rFonts w:eastAsia="Times New Roman"/>
                <w:sz w:val="24"/>
                <w:szCs w:val="24"/>
                <w:lang w:eastAsia="lv-LV"/>
              </w:rPr>
            </w:pPr>
            <w:r w:rsidRPr="001A67F3">
              <w:rPr>
                <w:rFonts w:eastAsia="Times New Roman"/>
                <w:sz w:val="24"/>
                <w:szCs w:val="24"/>
                <w:lang w:eastAsia="lv-LV"/>
              </w:rPr>
              <w:t>Ministru kabinet</w:t>
            </w:r>
            <w:r w:rsidR="0054622C" w:rsidRPr="001A67F3">
              <w:rPr>
                <w:rFonts w:eastAsia="Times New Roman"/>
                <w:sz w:val="24"/>
                <w:szCs w:val="24"/>
                <w:lang w:eastAsia="lv-LV"/>
              </w:rPr>
              <w:t>am</w:t>
            </w:r>
            <w:r w:rsidRPr="001A67F3">
              <w:rPr>
                <w:rFonts w:eastAsia="Times New Roman"/>
                <w:sz w:val="24"/>
                <w:szCs w:val="24"/>
                <w:lang w:eastAsia="lv-LV"/>
              </w:rPr>
              <w:t xml:space="preserve"> papildus minētajiem noteikumiem </w:t>
            </w:r>
            <w:r w:rsidR="0054622C" w:rsidRPr="001A67F3">
              <w:rPr>
                <w:rFonts w:eastAsia="Times New Roman"/>
                <w:sz w:val="24"/>
                <w:szCs w:val="24"/>
                <w:lang w:eastAsia="lv-LV"/>
              </w:rPr>
              <w:t>jā</w:t>
            </w:r>
            <w:r w:rsidRPr="001A67F3">
              <w:rPr>
                <w:rFonts w:eastAsia="Times New Roman"/>
                <w:sz w:val="24"/>
                <w:szCs w:val="24"/>
                <w:lang w:eastAsia="lv-LV"/>
              </w:rPr>
              <w:t>paredz nosacījumus transportlīdzekļu vadīšanas tiesību iegūšanai un atgūšanai personām, kurām ir dzēsta vai noņemta kriminālā vai administratīvā sodāmība par minētajiem nodarījumiem.</w:t>
            </w:r>
          </w:p>
          <w:p w:rsidR="00412DAE" w:rsidRPr="001A67F3" w:rsidRDefault="00CE3341" w:rsidP="00DB44FA">
            <w:pPr>
              <w:spacing w:line="240" w:lineRule="auto"/>
              <w:ind w:firstLine="360"/>
              <w:rPr>
                <w:rFonts w:eastAsia="Times New Roman"/>
                <w:sz w:val="24"/>
                <w:szCs w:val="24"/>
                <w:lang w:eastAsia="lv-LV"/>
              </w:rPr>
            </w:pPr>
            <w:r w:rsidRPr="001A67F3">
              <w:rPr>
                <w:rFonts w:eastAsia="Times New Roman"/>
                <w:sz w:val="24"/>
                <w:szCs w:val="24"/>
                <w:lang w:eastAsia="lv-LV"/>
              </w:rPr>
              <w:t xml:space="preserve">Ņemot vērā </w:t>
            </w:r>
            <w:r w:rsidR="0054622C" w:rsidRPr="001A67F3">
              <w:rPr>
                <w:rFonts w:eastAsia="Times New Roman"/>
                <w:sz w:val="24"/>
                <w:szCs w:val="24"/>
                <w:lang w:eastAsia="lv-LV"/>
              </w:rPr>
              <w:t>minēto</w:t>
            </w:r>
            <w:r w:rsidRPr="001A67F3">
              <w:rPr>
                <w:rFonts w:eastAsia="Times New Roman"/>
                <w:sz w:val="24"/>
                <w:szCs w:val="24"/>
                <w:lang w:eastAsia="lv-LV"/>
              </w:rPr>
              <w:t>, tika sagatavots Ministru kabineta noteikumu projekts “Grozījumi Ministru kabineta 2010.gada 2.februāra noteikumos Nr.103 “Transportlīdzekļu vadītāja tiesību iegūšanas un atjaunošanas kārtība un vadītāja apliecības izsniegšanas, apmaiņas, atjaunošanas un iznīcināšanas kārtība”</w:t>
            </w:r>
            <w:r w:rsidR="00DB44FA" w:rsidRPr="001A67F3">
              <w:rPr>
                <w:rFonts w:eastAsia="Times New Roman"/>
                <w:sz w:val="24"/>
                <w:szCs w:val="24"/>
                <w:lang w:eastAsia="lv-LV"/>
              </w:rPr>
              <w:t xml:space="preserve"> </w:t>
            </w:r>
            <w:r w:rsidRPr="001A67F3">
              <w:rPr>
                <w:rFonts w:eastAsia="Times New Roman"/>
                <w:sz w:val="24"/>
                <w:szCs w:val="24"/>
                <w:lang w:eastAsia="lv-LV"/>
              </w:rPr>
              <w:t>(turpmāk – noteikumu projekts).</w:t>
            </w:r>
            <w:r w:rsidR="00412DAE" w:rsidRPr="001A67F3">
              <w:rPr>
                <w:rFonts w:eastAsia="Times New Roman"/>
                <w:sz w:val="24"/>
                <w:szCs w:val="24"/>
                <w:lang w:eastAsia="lv-LV"/>
              </w:rPr>
              <w:t xml:space="preserve"> Noteikumu projekta izstrādes procesā tika identific</w:t>
            </w:r>
            <w:r w:rsidR="00656555" w:rsidRPr="001A67F3">
              <w:rPr>
                <w:rFonts w:eastAsia="Times New Roman"/>
                <w:sz w:val="24"/>
                <w:szCs w:val="24"/>
                <w:lang w:eastAsia="lv-LV"/>
              </w:rPr>
              <w:t>ēti</w:t>
            </w:r>
            <w:r w:rsidR="00412DAE" w:rsidRPr="001A67F3">
              <w:rPr>
                <w:rFonts w:eastAsia="Times New Roman"/>
                <w:sz w:val="24"/>
                <w:szCs w:val="24"/>
                <w:lang w:eastAsia="lv-LV"/>
              </w:rPr>
              <w:t xml:space="preserve"> vairāki apstākļi, kas liedz īstenot Ceļu satiksmes likuma 22.panta 1</w:t>
            </w:r>
            <w:r w:rsidR="00412DAE" w:rsidRPr="001A67F3">
              <w:rPr>
                <w:rFonts w:eastAsia="Times New Roman"/>
                <w:sz w:val="24"/>
                <w:szCs w:val="24"/>
                <w:vertAlign w:val="superscript"/>
                <w:lang w:eastAsia="lv-LV"/>
              </w:rPr>
              <w:t xml:space="preserve">1 </w:t>
            </w:r>
            <w:r w:rsidR="00412DAE" w:rsidRPr="001A67F3">
              <w:rPr>
                <w:rFonts w:eastAsia="Times New Roman"/>
                <w:sz w:val="24"/>
                <w:szCs w:val="24"/>
                <w:lang w:eastAsia="lv-LV"/>
              </w:rPr>
              <w:t>. un 1</w:t>
            </w:r>
            <w:r w:rsidR="00412DAE" w:rsidRPr="001A67F3">
              <w:rPr>
                <w:rFonts w:eastAsia="Times New Roman"/>
                <w:sz w:val="24"/>
                <w:szCs w:val="24"/>
                <w:vertAlign w:val="superscript"/>
                <w:lang w:eastAsia="lv-LV"/>
              </w:rPr>
              <w:t xml:space="preserve">2 </w:t>
            </w:r>
            <w:r w:rsidR="00412DAE" w:rsidRPr="001A67F3">
              <w:rPr>
                <w:rFonts w:eastAsia="Times New Roman"/>
                <w:sz w:val="24"/>
                <w:szCs w:val="24"/>
                <w:lang w:eastAsia="lv-LV"/>
              </w:rPr>
              <w:t>. daļā noteiktās prasības</w:t>
            </w:r>
            <w:r w:rsidR="0070608D" w:rsidRPr="001A67F3">
              <w:rPr>
                <w:rFonts w:eastAsia="Times New Roman"/>
                <w:sz w:val="24"/>
                <w:szCs w:val="24"/>
                <w:lang w:eastAsia="lv-LV"/>
              </w:rPr>
              <w:t>, proti</w:t>
            </w:r>
            <w:r w:rsidRPr="001A67F3">
              <w:rPr>
                <w:rFonts w:eastAsia="Times New Roman"/>
                <w:sz w:val="24"/>
                <w:szCs w:val="24"/>
                <w:lang w:eastAsia="lv-LV"/>
              </w:rPr>
              <w:t>:</w:t>
            </w:r>
          </w:p>
          <w:p w:rsidR="00412DAE" w:rsidRPr="001A67F3" w:rsidRDefault="00412DAE" w:rsidP="00943099">
            <w:pPr>
              <w:numPr>
                <w:ilvl w:val="0"/>
                <w:numId w:val="5"/>
              </w:numPr>
              <w:spacing w:line="240" w:lineRule="auto"/>
              <w:ind w:left="0" w:firstLine="0"/>
              <w:rPr>
                <w:rFonts w:eastAsia="Times New Roman"/>
                <w:sz w:val="24"/>
                <w:szCs w:val="24"/>
                <w:lang w:eastAsia="lv-LV"/>
              </w:rPr>
            </w:pPr>
            <w:r w:rsidRPr="001A67F3">
              <w:rPr>
                <w:rFonts w:eastAsia="Times New Roman"/>
                <w:sz w:val="24"/>
                <w:szCs w:val="24"/>
                <w:lang w:eastAsia="lv-LV"/>
              </w:rPr>
              <w:t xml:space="preserve">Saskaņā ar Krimināllikuma 21.nodaļas nosaukumu ikviens no tajā ietvertajiem noziedzīgajiem nodarījumiem ir noziedzīgs nodarījums pret satiksmes drošību. Minētajā nodaļā ir ietverti gan tādi noziedzīgi nodarījumi pret satiksmes drošību, kuru dispozīcijās ir norāde uz to, ka minētais noziegums ir izdarīts alkohola, narkotisko, psihotropo, toksisko vai citu apreibinošu vielu ietekmē. Tāpat par daļu no Krimināllikuma 21.nodaļā ietvertajiem noziedzīgajiem nodarījumiem pret satiksmes drošību ir paredzēts atņemt transportlīdzekļa vadīšanas tiesības (kas noteikts attiecīgā noziedzīgā </w:t>
            </w:r>
            <w:r w:rsidRPr="001A67F3">
              <w:rPr>
                <w:rFonts w:eastAsia="Times New Roman"/>
                <w:sz w:val="24"/>
                <w:szCs w:val="24"/>
                <w:lang w:eastAsia="lv-LV"/>
              </w:rPr>
              <w:lastRenderedPageBreak/>
              <w:t>nodarījuma sankcijā), bet par daļu no tiem nav paredzēts atņemt transportlīdzekļa vadīšanas tiesības. Attiecībā uz minēto jāņem vērā, ja liegums iegūt vai atgūt transportlīdzekļu vadīšanas tiesības un transportlīdzekļa vadītāja apliecību līdz sodāmības dzēšanai ir noteikts Ceļu satiksmes likumā,</w:t>
            </w:r>
            <w:r w:rsidR="0054622C" w:rsidRPr="001A67F3">
              <w:rPr>
                <w:rFonts w:eastAsia="Times New Roman"/>
                <w:sz w:val="24"/>
                <w:szCs w:val="24"/>
                <w:lang w:eastAsia="lv-LV"/>
              </w:rPr>
              <w:t xml:space="preserve"> tāpēc</w:t>
            </w:r>
            <w:r w:rsidRPr="001A67F3">
              <w:rPr>
                <w:rFonts w:eastAsia="Times New Roman"/>
                <w:sz w:val="24"/>
                <w:szCs w:val="24"/>
                <w:lang w:eastAsia="lv-LV"/>
              </w:rPr>
              <w:t xml:space="preserve"> to nepiemērot arī tajos gadījumos, kad sankcijā transportlīdzekļa vadīšanas tiesību atņemšana nav paredzēta, nebūs pamata</w:t>
            </w:r>
            <w:r w:rsidR="00943099" w:rsidRPr="001A67F3">
              <w:rPr>
                <w:rFonts w:eastAsia="Times New Roman"/>
                <w:sz w:val="24"/>
                <w:szCs w:val="24"/>
                <w:lang w:eastAsia="lv-LV"/>
              </w:rPr>
              <w:t>, n</w:t>
            </w:r>
            <w:r w:rsidRPr="001A67F3">
              <w:rPr>
                <w:rFonts w:eastAsia="Times New Roman"/>
                <w:sz w:val="24"/>
                <w:szCs w:val="24"/>
                <w:lang w:eastAsia="lv-LV"/>
              </w:rPr>
              <w:t xml:space="preserve">eatkarīgi no tā, vai Ceļu satiksmes likuma mērķis bija noteikt aizliegumu tiesību iegūšanai un atgūšanai tikai tām personām, kas sodītas par noziedzīgu nodarījumu pret satiksmes drošību, kas izdarīts alkohola, narkotisko, psihotropo, toksisko vai citu apreibinošu vielu ietekmē, vai par visiem Krimināllikuma 21.nodaļā paredzētajiem </w:t>
            </w:r>
            <w:r w:rsidR="0070608D" w:rsidRPr="001A67F3">
              <w:rPr>
                <w:rFonts w:eastAsia="Times New Roman"/>
                <w:sz w:val="24"/>
                <w:szCs w:val="24"/>
                <w:lang w:eastAsia="lv-LV"/>
              </w:rPr>
              <w:t>noziedzīgajiem nodarījumiem.</w:t>
            </w:r>
          </w:p>
          <w:p w:rsidR="00412DAE" w:rsidRPr="001A67F3" w:rsidRDefault="0070608D" w:rsidP="00DB44FA">
            <w:pPr>
              <w:spacing w:line="240" w:lineRule="auto"/>
              <w:ind w:firstLine="0"/>
              <w:rPr>
                <w:rFonts w:eastAsia="Times New Roman"/>
                <w:sz w:val="24"/>
                <w:szCs w:val="24"/>
                <w:lang w:eastAsia="lv-LV"/>
              </w:rPr>
            </w:pPr>
            <w:r w:rsidRPr="001A67F3">
              <w:rPr>
                <w:rFonts w:eastAsia="Times New Roman"/>
                <w:sz w:val="24"/>
                <w:szCs w:val="24"/>
                <w:lang w:eastAsia="lv-LV"/>
              </w:rPr>
              <w:t>No</w:t>
            </w:r>
            <w:r w:rsidR="00412DAE" w:rsidRPr="001A67F3">
              <w:rPr>
                <w:rFonts w:eastAsia="Times New Roman"/>
                <w:sz w:val="24"/>
                <w:szCs w:val="24"/>
                <w:lang w:eastAsia="lv-LV"/>
              </w:rPr>
              <w:t xml:space="preserve"> Ceļu satiksmes likuma normām nav skaidri saprotams, vai liegums iegūt vai atgūt transportlīdzekļu vadīšanas tiesības un transportlīdzekļa vadītāja apliecību attiecas tikai uz Latvijas Administratīvo pārkāpumu kodeksa 46.pantā paredzēto pārkāpumu vai arī uz citiem administratīvajiem pārkāpumiem, kas izdarīti narkotisko vielu vai citu apreibi</w:t>
            </w:r>
            <w:r w:rsidRPr="001A67F3">
              <w:rPr>
                <w:rFonts w:eastAsia="Times New Roman"/>
                <w:sz w:val="24"/>
                <w:szCs w:val="24"/>
                <w:lang w:eastAsia="lv-LV"/>
              </w:rPr>
              <w:t xml:space="preserve">nošo vielu ietekmē. </w:t>
            </w:r>
          </w:p>
          <w:p w:rsidR="00412DAE" w:rsidRPr="001A67F3" w:rsidRDefault="00412DAE" w:rsidP="00DB44FA">
            <w:pPr>
              <w:spacing w:line="240" w:lineRule="auto"/>
              <w:ind w:firstLine="0"/>
              <w:rPr>
                <w:rFonts w:eastAsia="Times New Roman"/>
                <w:b/>
                <w:sz w:val="24"/>
                <w:szCs w:val="24"/>
                <w:lang w:eastAsia="lv-LV"/>
              </w:rPr>
            </w:pPr>
            <w:r w:rsidRPr="001A67F3">
              <w:rPr>
                <w:rFonts w:eastAsia="Times New Roman"/>
                <w:sz w:val="24"/>
                <w:szCs w:val="24"/>
                <w:lang w:eastAsia="lv-LV"/>
              </w:rPr>
              <w:t xml:space="preserve">Papildus ir jāņem vērā, ka šobrīd personai, kas vēlas iegūt transportlīdzekļa vadīšanas tiesības un kura ir iepriekš sodīta par narkotisko vielu lietošanu, ir jāveic tikai pirmreizējā veselības pārbaude, savukārt persona, kura ir aizturēta par noziedzīgu nodarījumu pret satiksmes drošību, kas izdarīts alkohola, narkotisko, psihotropo, toksisko vai citu apreibinošu vielu ietekmē, tiek pakļauta pirmstermiņa veselības pārbaudei, kuras apmērs ir plašāks par pirmreizējo veselības pārbaudi, tātad rodas nevienlīdzīga situācija starp personu, kas vēlas iegūt transportlīdzekļa vadīšanas tiesības un personu, kas vēlas tās atgūt. </w:t>
            </w:r>
          </w:p>
          <w:p w:rsidR="00412DAE" w:rsidRPr="001A67F3" w:rsidRDefault="00412DAE" w:rsidP="00DB44FA">
            <w:pPr>
              <w:numPr>
                <w:ilvl w:val="0"/>
                <w:numId w:val="5"/>
              </w:numPr>
              <w:spacing w:line="240" w:lineRule="auto"/>
              <w:ind w:left="0" w:firstLine="0"/>
              <w:rPr>
                <w:rFonts w:eastAsia="Times New Roman"/>
                <w:sz w:val="24"/>
                <w:szCs w:val="24"/>
                <w:lang w:eastAsia="lv-LV"/>
              </w:rPr>
            </w:pPr>
            <w:r w:rsidRPr="001A67F3">
              <w:rPr>
                <w:rFonts w:eastAsia="Times New Roman"/>
                <w:sz w:val="24"/>
                <w:szCs w:val="24"/>
                <w:lang w:eastAsia="lv-LV"/>
              </w:rPr>
              <w:t>Gan Latvijas Administratīvo pārkāpumu kodeksā, gan Krimināllikumā pantu dispozīcijās, kas attiecas uz apreibinošām vielām, netiek atsevišķi izdalīta šo vielu lietošana kā pārkāpuma vai noziedzīga nodarījuma veids. Atbildība par narkotisko un psihotropo vielu neatļautu lietošanu ir noteikta Latvijas Administratīvo pārkāpumu kodeksa 46.pantā, taču kodeksā ir arī virkne citu pantu, kas nosaka administratīvo atbildību par alkoholisko dzērienu vai citu apreibinošo vielu lietošanu sabiedriskās vietās un atrašanos sabiedriskās vietās reibuma stāvoklī. Latvijas Administratīvo pārkāpumu kodeksa 46.panta pirmā daļā paredz administratīvo atbildību par narkotisko vai psihotropo vielu neatļautu iegādāšanos vai glabāšanu nelielā apmērā bez nolūka tās realizēt vai par narkotisko vai psihotropo vielu neatļautu lietošanu. Arī Krimināllikuma 253.</w:t>
            </w:r>
            <w:r w:rsidRPr="001A67F3">
              <w:rPr>
                <w:rFonts w:eastAsia="Times New Roman"/>
                <w:sz w:val="24"/>
                <w:szCs w:val="24"/>
                <w:vertAlign w:val="superscript"/>
                <w:lang w:eastAsia="lv-LV"/>
              </w:rPr>
              <w:t xml:space="preserve">2 </w:t>
            </w:r>
            <w:r w:rsidRPr="001A67F3">
              <w:rPr>
                <w:rFonts w:eastAsia="Times New Roman"/>
                <w:sz w:val="24"/>
                <w:szCs w:val="24"/>
                <w:lang w:eastAsia="lv-LV"/>
              </w:rPr>
              <w:t>panta pirmā daļa paredz atbildību par narkotisko vai psihotropo vielu neatļautu iegādāšanos vai glabāšanu nelielā apmērā bez nolūka tās realizēt</w:t>
            </w:r>
            <w:r w:rsidR="006B244D" w:rsidRPr="001A67F3">
              <w:rPr>
                <w:rFonts w:eastAsia="Times New Roman"/>
                <w:sz w:val="24"/>
                <w:szCs w:val="24"/>
                <w:lang w:eastAsia="lv-LV"/>
              </w:rPr>
              <w:t>,</w:t>
            </w:r>
            <w:r w:rsidRPr="001A67F3">
              <w:rPr>
                <w:rFonts w:eastAsia="Times New Roman"/>
                <w:sz w:val="24"/>
                <w:szCs w:val="24"/>
                <w:lang w:eastAsia="lv-LV"/>
              </w:rPr>
              <w:t xml:space="preserve"> vai narkotisko vai psihotropo vielu neatļautu lietošanu, ja to izdarījusi persona, kura brīdināta par kriminālatbildību par narkotisko un psihotropo vielu neatļautu iegādāšanos, glabāšanu un lietošanu. </w:t>
            </w:r>
          </w:p>
          <w:p w:rsidR="00412DAE" w:rsidRPr="001A67F3" w:rsidRDefault="00412DAE" w:rsidP="00DB44FA">
            <w:pPr>
              <w:numPr>
                <w:ilvl w:val="0"/>
                <w:numId w:val="5"/>
              </w:numPr>
              <w:spacing w:line="240" w:lineRule="auto"/>
              <w:ind w:left="0" w:firstLine="0"/>
              <w:rPr>
                <w:rFonts w:eastAsia="Times New Roman"/>
                <w:sz w:val="24"/>
                <w:szCs w:val="24"/>
                <w:lang w:eastAsia="lv-LV"/>
              </w:rPr>
            </w:pPr>
            <w:r w:rsidRPr="001A67F3">
              <w:rPr>
                <w:rFonts w:eastAsia="Times New Roman"/>
                <w:sz w:val="24"/>
                <w:szCs w:val="24"/>
                <w:lang w:eastAsia="lv-LV"/>
              </w:rPr>
              <w:t>Jāņem vērā, ka Sodu reģistrā atzīme par to, ka noziedzīgs nodarījums ir izdarīts attiecīg</w:t>
            </w:r>
            <w:r w:rsidR="006B244D" w:rsidRPr="001A67F3">
              <w:rPr>
                <w:rFonts w:eastAsia="Times New Roman"/>
                <w:sz w:val="24"/>
                <w:szCs w:val="24"/>
                <w:lang w:eastAsia="lv-LV"/>
              </w:rPr>
              <w:t>os</w:t>
            </w:r>
            <w:r w:rsidRPr="001A67F3">
              <w:rPr>
                <w:rFonts w:eastAsia="Times New Roman"/>
                <w:sz w:val="24"/>
                <w:szCs w:val="24"/>
                <w:lang w:eastAsia="lv-LV"/>
              </w:rPr>
              <w:t xml:space="preserve"> vainu pastiprinoš</w:t>
            </w:r>
            <w:r w:rsidR="006B244D" w:rsidRPr="001A67F3">
              <w:rPr>
                <w:rFonts w:eastAsia="Times New Roman"/>
                <w:sz w:val="24"/>
                <w:szCs w:val="24"/>
                <w:lang w:eastAsia="lv-LV"/>
              </w:rPr>
              <w:t>os</w:t>
            </w:r>
            <w:r w:rsidRPr="001A67F3">
              <w:rPr>
                <w:rFonts w:eastAsia="Times New Roman"/>
                <w:sz w:val="24"/>
                <w:szCs w:val="24"/>
                <w:lang w:eastAsia="lv-LV"/>
              </w:rPr>
              <w:t xml:space="preserve"> apstākļ</w:t>
            </w:r>
            <w:r w:rsidR="006B244D" w:rsidRPr="001A67F3">
              <w:rPr>
                <w:rFonts w:eastAsia="Times New Roman"/>
                <w:sz w:val="24"/>
                <w:szCs w:val="24"/>
                <w:lang w:eastAsia="lv-LV"/>
              </w:rPr>
              <w:t>os</w:t>
            </w:r>
            <w:r w:rsidRPr="001A67F3">
              <w:rPr>
                <w:rFonts w:eastAsia="Times New Roman"/>
                <w:sz w:val="24"/>
                <w:szCs w:val="24"/>
                <w:lang w:eastAsia="lv-LV"/>
              </w:rPr>
              <w:t xml:space="preserve">, netiek izdarīta, līdz ar to Iekšlietu ministrijas Informācijas centrs </w:t>
            </w:r>
            <w:r w:rsidR="00823EE0" w:rsidRPr="001A67F3">
              <w:rPr>
                <w:rFonts w:eastAsia="Times New Roman"/>
                <w:sz w:val="24"/>
                <w:szCs w:val="24"/>
                <w:lang w:eastAsia="lv-LV"/>
              </w:rPr>
              <w:t xml:space="preserve">valsts akciju sabiedrībai “Ceļu satiksmes drošības direkcija” </w:t>
            </w:r>
            <w:r w:rsidRPr="001A67F3">
              <w:rPr>
                <w:rFonts w:eastAsia="Times New Roman"/>
                <w:sz w:val="24"/>
                <w:szCs w:val="24"/>
                <w:lang w:eastAsia="lv-LV"/>
              </w:rPr>
              <w:t xml:space="preserve">šādu informāciju sniegt nevarēs. Saskaņā ar Sodu reģistra likuma 9.panta pirmās daļas 3.punktu </w:t>
            </w:r>
            <w:r w:rsidR="006B244D" w:rsidRPr="001A67F3">
              <w:rPr>
                <w:rFonts w:eastAsia="Times New Roman"/>
                <w:sz w:val="24"/>
                <w:szCs w:val="24"/>
                <w:lang w:eastAsia="lv-LV"/>
              </w:rPr>
              <w:lastRenderedPageBreak/>
              <w:t>un</w:t>
            </w:r>
            <w:r w:rsidRPr="001A67F3">
              <w:rPr>
                <w:rFonts w:eastAsia="Times New Roman"/>
                <w:sz w:val="24"/>
                <w:szCs w:val="24"/>
                <w:lang w:eastAsia="lv-LV"/>
              </w:rPr>
              <w:t xml:space="preserve"> 12.panta pirmās daļas 7.punktu Sodu reģistrā netiek iekļautas ziņas par atsevišķām dispozīcijā paredzētām darbībām.</w:t>
            </w:r>
          </w:p>
          <w:p w:rsidR="00412DAE" w:rsidRPr="001A67F3" w:rsidRDefault="00412DAE" w:rsidP="00DB44FA">
            <w:pPr>
              <w:spacing w:line="240" w:lineRule="auto"/>
              <w:ind w:firstLine="0"/>
              <w:rPr>
                <w:rFonts w:eastAsia="Times New Roman"/>
                <w:sz w:val="24"/>
                <w:szCs w:val="24"/>
                <w:lang w:eastAsia="lv-LV"/>
              </w:rPr>
            </w:pPr>
            <w:r w:rsidRPr="001A67F3">
              <w:rPr>
                <w:rFonts w:eastAsia="Times New Roman"/>
                <w:sz w:val="24"/>
                <w:szCs w:val="24"/>
                <w:lang w:eastAsia="lv-LV"/>
              </w:rPr>
              <w:t>Atbildība Latvijas Administratīvo pārkāpumu kodeksa 46.pantā un Krimināllikuma 253.</w:t>
            </w:r>
            <w:r w:rsidRPr="001A67F3">
              <w:rPr>
                <w:rFonts w:eastAsia="Times New Roman"/>
                <w:sz w:val="24"/>
                <w:szCs w:val="24"/>
                <w:vertAlign w:val="superscript"/>
                <w:lang w:eastAsia="lv-LV"/>
              </w:rPr>
              <w:t>2</w:t>
            </w:r>
            <w:r w:rsidRPr="001A67F3">
              <w:rPr>
                <w:rFonts w:eastAsia="Times New Roman"/>
                <w:sz w:val="24"/>
                <w:szCs w:val="24"/>
                <w:lang w:eastAsia="lv-LV"/>
              </w:rPr>
              <w:t xml:space="preserve"> panta pirmā daļā paredzēta ne tikai par narkotisko vai </w:t>
            </w:r>
            <w:proofErr w:type="spellStart"/>
            <w:r w:rsidRPr="001A67F3">
              <w:rPr>
                <w:rFonts w:eastAsia="Times New Roman"/>
                <w:sz w:val="24"/>
                <w:szCs w:val="24"/>
                <w:lang w:eastAsia="lv-LV"/>
              </w:rPr>
              <w:t>psihoaktīvo</w:t>
            </w:r>
            <w:proofErr w:type="spellEnd"/>
            <w:r w:rsidRPr="001A67F3">
              <w:rPr>
                <w:rFonts w:eastAsia="Times New Roman"/>
                <w:sz w:val="24"/>
                <w:szCs w:val="24"/>
                <w:lang w:eastAsia="lv-LV"/>
              </w:rPr>
              <w:t xml:space="preserve"> vielu lietošanu, bet arī par iegādāšanos un glabāšanu nelielā apmērā. Sodu reģistrā tiek uzkrātas ziņas tikai par attiecīgā pārkāpuma juridisko kvalifikāciju, t.i., attiecīgo Latvijas Administratīvo pārkāpumu kodeksa vai Krimināllikuma panta daļu un īpaša atzīme Sodu reģistrā par to, vai persona ir sodīta par narkotisko vielu lietošanu vai par glabāšanu, netiek izdarīta, </w:t>
            </w:r>
            <w:r w:rsidR="00823EE0" w:rsidRPr="001A67F3">
              <w:rPr>
                <w:rFonts w:eastAsia="Times New Roman"/>
                <w:sz w:val="24"/>
                <w:szCs w:val="24"/>
                <w:lang w:eastAsia="lv-LV"/>
              </w:rPr>
              <w:t>valsts akciju sabiedrība “Ceļu satiksmes drošības direkcija”</w:t>
            </w:r>
            <w:r w:rsidRPr="001A67F3">
              <w:rPr>
                <w:rFonts w:eastAsia="Times New Roman"/>
                <w:sz w:val="24"/>
                <w:szCs w:val="24"/>
                <w:lang w:eastAsia="lv-LV"/>
              </w:rPr>
              <w:t xml:space="preserve"> to varēs noskaidrot tikai pieprasot spriedumu vai lēmumu, vai arī attiecīgi lemjams jautājums par izmaiņu veikšanu Latvijas Administratīvo pārkāpumu kodeksā un Krimināllikumā vai arī Sodu reģistrā, taču jāņem vērā, ka pēdējais prasīs ievērojamu finansējumu, kas, grozot Ceļu satiksmes likumu, nav Iekšlietu ministrijas Informācijas centram piešķirts. Ja informācijas saņemšanu būtu paredzēts īstenot, izmantojot Sodu reģistru, tad būtu nepieciešams veikt būtiskas izmaiņas programmatūrā, pārstrādājot Kriminālprocesa informācijas sistēmas, Integrētās iekšlietu informācijas sistēmas apakšsistēmas “Noziedzīgus nodarījumus izdarījušās personas” un “Administratīvos pārkāpumus izdarījušās personas” programmatūru, t.i., būtu nepieciešams veikt Krimināllikuma un Latvijas Administratīvo pārkāpumu kodeksa pantu </w:t>
            </w:r>
            <w:proofErr w:type="spellStart"/>
            <w:r w:rsidRPr="001A67F3">
              <w:rPr>
                <w:rFonts w:eastAsia="Times New Roman"/>
                <w:sz w:val="24"/>
                <w:szCs w:val="24"/>
                <w:lang w:eastAsia="lv-LV"/>
              </w:rPr>
              <w:t>strukturizāciju</w:t>
            </w:r>
            <w:proofErr w:type="spellEnd"/>
            <w:r w:rsidRPr="001A67F3">
              <w:rPr>
                <w:rFonts w:eastAsia="Times New Roman"/>
                <w:sz w:val="24"/>
                <w:szCs w:val="24"/>
                <w:lang w:eastAsia="lv-LV"/>
              </w:rPr>
              <w:t>, kuras realizācijai Iekšlietu ministrijas Informācijas centram būtu nepieciešams paredzēt papildus finansējumu. Aptuvenās izmaksas minētā realizācijai būtu</w:t>
            </w:r>
            <w:r w:rsidR="006E1276">
              <w:rPr>
                <w:rFonts w:eastAsia="Times New Roman"/>
                <w:sz w:val="24"/>
                <w:szCs w:val="24"/>
                <w:lang w:eastAsia="lv-LV"/>
              </w:rPr>
              <w:t xml:space="preserve"> kopā</w:t>
            </w:r>
            <w:r w:rsidRPr="001A67F3">
              <w:rPr>
                <w:rFonts w:eastAsia="Times New Roman"/>
                <w:sz w:val="24"/>
                <w:szCs w:val="24"/>
                <w:lang w:eastAsia="lv-LV"/>
              </w:rPr>
              <w:t xml:space="preserve"> 150 000</w:t>
            </w:r>
            <w:r w:rsidRPr="001A67F3">
              <w:rPr>
                <w:rFonts w:eastAsia="Times New Roman"/>
                <w:i/>
                <w:sz w:val="24"/>
                <w:szCs w:val="24"/>
                <w:lang w:eastAsia="lv-LV"/>
              </w:rPr>
              <w:t xml:space="preserve"> </w:t>
            </w:r>
            <w:proofErr w:type="spellStart"/>
            <w:r w:rsidRPr="001A67F3">
              <w:rPr>
                <w:rFonts w:eastAsia="Times New Roman"/>
                <w:i/>
                <w:sz w:val="24"/>
                <w:szCs w:val="24"/>
                <w:lang w:eastAsia="lv-LV"/>
              </w:rPr>
              <w:t>euro</w:t>
            </w:r>
            <w:proofErr w:type="spellEnd"/>
            <w:r w:rsidRPr="001A67F3">
              <w:rPr>
                <w:rFonts w:eastAsia="Times New Roman"/>
                <w:sz w:val="24"/>
                <w:szCs w:val="24"/>
                <w:lang w:eastAsia="lv-LV"/>
              </w:rPr>
              <w:t>.</w:t>
            </w:r>
          </w:p>
          <w:p w:rsidR="00412DAE" w:rsidRPr="001A67F3" w:rsidRDefault="00412DAE" w:rsidP="00DB44FA">
            <w:pPr>
              <w:spacing w:line="240" w:lineRule="auto"/>
              <w:ind w:firstLine="0"/>
              <w:rPr>
                <w:rFonts w:eastAsia="Times New Roman"/>
                <w:b/>
                <w:sz w:val="24"/>
                <w:szCs w:val="24"/>
                <w:lang w:eastAsia="lv-LV"/>
              </w:rPr>
            </w:pPr>
            <w:r w:rsidRPr="001A67F3">
              <w:rPr>
                <w:rFonts w:eastAsia="Times New Roman"/>
                <w:sz w:val="24"/>
                <w:szCs w:val="24"/>
                <w:lang w:eastAsia="lv-LV"/>
              </w:rPr>
              <w:t>Tāpat tika konstatēts, ka nav vieno</w:t>
            </w:r>
            <w:r w:rsidR="006E1276">
              <w:rPr>
                <w:rFonts w:eastAsia="Times New Roman"/>
                <w:sz w:val="24"/>
                <w:szCs w:val="24"/>
                <w:lang w:eastAsia="lv-LV"/>
              </w:rPr>
              <w:t xml:space="preserve">ta un ticama informācijas avota par personas </w:t>
            </w:r>
            <w:r w:rsidRPr="001A67F3">
              <w:rPr>
                <w:rFonts w:eastAsia="Times New Roman"/>
                <w:sz w:val="24"/>
                <w:szCs w:val="24"/>
                <w:lang w:eastAsia="lv-LV"/>
              </w:rPr>
              <w:t xml:space="preserve">administratīvās un kriminālās sodāmības spēkā </w:t>
            </w:r>
            <w:r w:rsidR="00823EE0" w:rsidRPr="001A67F3">
              <w:rPr>
                <w:rFonts w:eastAsia="Times New Roman"/>
                <w:sz w:val="24"/>
                <w:szCs w:val="24"/>
                <w:lang w:eastAsia="lv-LV"/>
              </w:rPr>
              <w:t>esamību, lai varētu piemērot Ceļu satiksmes likumā</w:t>
            </w:r>
            <w:r w:rsidRPr="001A67F3">
              <w:rPr>
                <w:rFonts w:eastAsia="Times New Roman"/>
                <w:sz w:val="24"/>
                <w:szCs w:val="24"/>
                <w:lang w:eastAsia="lv-LV"/>
              </w:rPr>
              <w:t xml:space="preserve"> noteiktos ierobežojumus transportlīdzekļa vadītāja tiesību un vadītāja apliecības izsniegšanai un atjaunošanai. </w:t>
            </w:r>
          </w:p>
          <w:p w:rsidR="00CE3341" w:rsidRPr="001A67F3" w:rsidRDefault="006B244D" w:rsidP="00DB44FA">
            <w:pPr>
              <w:numPr>
                <w:ilvl w:val="0"/>
                <w:numId w:val="5"/>
              </w:numPr>
              <w:spacing w:line="240" w:lineRule="auto"/>
              <w:ind w:left="0" w:firstLine="0"/>
              <w:rPr>
                <w:rFonts w:eastAsia="Times New Roman"/>
                <w:sz w:val="24"/>
                <w:szCs w:val="24"/>
                <w:lang w:eastAsia="lv-LV"/>
              </w:rPr>
            </w:pPr>
            <w:r w:rsidRPr="001A67F3">
              <w:rPr>
                <w:rFonts w:eastAsia="Times New Roman"/>
                <w:sz w:val="24"/>
                <w:szCs w:val="24"/>
                <w:lang w:eastAsia="lv-LV"/>
              </w:rPr>
              <w:t>Vienlaikus</w:t>
            </w:r>
            <w:r w:rsidR="00412DAE" w:rsidRPr="001A67F3">
              <w:rPr>
                <w:rFonts w:eastAsia="Times New Roman"/>
                <w:sz w:val="24"/>
                <w:szCs w:val="24"/>
                <w:lang w:eastAsia="lv-LV"/>
              </w:rPr>
              <w:t xml:space="preserve"> Eiropas Parlamenta un Padomes 2006.gada 20.decembra Direktīvā 2006/126/EK par vadītāju apliecībām, kas cita starpā nosaka </w:t>
            </w:r>
            <w:r w:rsidRPr="001A67F3">
              <w:rPr>
                <w:rFonts w:eastAsia="Times New Roman"/>
                <w:sz w:val="24"/>
                <w:szCs w:val="24"/>
                <w:lang w:eastAsia="lv-LV"/>
              </w:rPr>
              <w:t xml:space="preserve">priekšnosacījumus </w:t>
            </w:r>
            <w:r w:rsidR="00412DAE" w:rsidRPr="001A67F3">
              <w:rPr>
                <w:rFonts w:eastAsia="Times New Roman"/>
                <w:sz w:val="24"/>
                <w:szCs w:val="24"/>
                <w:lang w:eastAsia="lv-LV"/>
              </w:rPr>
              <w:t xml:space="preserve">vadītāja apliecības saņemšanai, nav  iekļautas normas, kas ierobežotu vadītāja apliecības izsniegšanu personām kuras sodītas par narkotisko, psihotropo vai jaunu </w:t>
            </w:r>
            <w:proofErr w:type="spellStart"/>
            <w:r w:rsidR="00412DAE" w:rsidRPr="001A67F3">
              <w:rPr>
                <w:rFonts w:eastAsia="Times New Roman"/>
                <w:sz w:val="24"/>
                <w:szCs w:val="24"/>
                <w:lang w:eastAsia="lv-LV"/>
              </w:rPr>
              <w:t>psihoaktīvu</w:t>
            </w:r>
            <w:proofErr w:type="spellEnd"/>
            <w:r w:rsidR="00412DAE" w:rsidRPr="001A67F3">
              <w:rPr>
                <w:rFonts w:eastAsia="Times New Roman"/>
                <w:sz w:val="24"/>
                <w:szCs w:val="24"/>
                <w:lang w:eastAsia="lv-LV"/>
              </w:rPr>
              <w:t xml:space="preserve"> vielu vai to izstrādājumu, kuru aprite ir aizliegta vai ierobežota, lietošanu. Direktīva neparedz dalībvalstīm tiesības nacionālaj</w:t>
            </w:r>
            <w:r w:rsidRPr="001A67F3">
              <w:rPr>
                <w:rFonts w:eastAsia="Times New Roman"/>
                <w:sz w:val="24"/>
                <w:szCs w:val="24"/>
                <w:lang w:eastAsia="lv-LV"/>
              </w:rPr>
              <w:t>os</w:t>
            </w:r>
            <w:r w:rsidR="00412DAE" w:rsidRPr="001A67F3">
              <w:rPr>
                <w:rFonts w:eastAsia="Times New Roman"/>
                <w:sz w:val="24"/>
                <w:szCs w:val="24"/>
                <w:lang w:eastAsia="lv-LV"/>
              </w:rPr>
              <w:t xml:space="preserve"> </w:t>
            </w:r>
            <w:r w:rsidRPr="001A67F3">
              <w:rPr>
                <w:rFonts w:eastAsia="Times New Roman"/>
                <w:sz w:val="24"/>
                <w:szCs w:val="24"/>
                <w:lang w:eastAsia="lv-LV"/>
              </w:rPr>
              <w:t>normatīvajos aktos</w:t>
            </w:r>
            <w:r w:rsidR="00412DAE" w:rsidRPr="001A67F3">
              <w:rPr>
                <w:rFonts w:eastAsia="Times New Roman"/>
                <w:sz w:val="24"/>
                <w:szCs w:val="24"/>
                <w:lang w:eastAsia="lv-LV"/>
              </w:rPr>
              <w:t xml:space="preserve"> ietvert papildus, Direktīvā neminētus vadītāja apliecības saņemšanas </w:t>
            </w:r>
            <w:r w:rsidR="00CE3387" w:rsidRPr="001A67F3">
              <w:rPr>
                <w:rFonts w:eastAsia="Times New Roman"/>
                <w:sz w:val="24"/>
                <w:szCs w:val="24"/>
                <w:lang w:eastAsia="lv-LV"/>
              </w:rPr>
              <w:t xml:space="preserve">priekšnosacījumus un </w:t>
            </w:r>
            <w:r w:rsidR="00412DAE" w:rsidRPr="001A67F3">
              <w:rPr>
                <w:rFonts w:eastAsia="Times New Roman"/>
                <w:sz w:val="24"/>
                <w:szCs w:val="24"/>
                <w:lang w:eastAsia="lv-LV"/>
              </w:rPr>
              <w:t>pastāv risks, ka ar šādām Ceļu satiksmes likuma normām tiek pārkāptas Direktīvas prasības.</w:t>
            </w:r>
            <w:r w:rsidR="00412DAE" w:rsidRPr="001A67F3">
              <w:rPr>
                <w:rFonts w:eastAsia="Times New Roman"/>
                <w:b/>
                <w:sz w:val="24"/>
                <w:szCs w:val="24"/>
                <w:lang w:eastAsia="lv-LV"/>
              </w:rPr>
              <w:t xml:space="preserve"> </w:t>
            </w:r>
          </w:p>
          <w:p w:rsidR="001F41F8" w:rsidRDefault="00CE3341" w:rsidP="004F51FC">
            <w:pPr>
              <w:spacing w:line="240" w:lineRule="auto"/>
              <w:ind w:firstLine="360"/>
              <w:rPr>
                <w:rFonts w:eastAsia="Times New Roman"/>
                <w:sz w:val="24"/>
                <w:szCs w:val="24"/>
                <w:lang w:eastAsia="lv-LV"/>
              </w:rPr>
            </w:pPr>
            <w:r w:rsidRPr="001A67F3">
              <w:rPr>
                <w:rFonts w:eastAsia="Times New Roman"/>
                <w:sz w:val="24"/>
                <w:szCs w:val="24"/>
                <w:lang w:eastAsia="lv-LV"/>
              </w:rPr>
              <w:t>Ņemot vērā iepriekš minēto</w:t>
            </w:r>
            <w:r w:rsidR="00823EE0" w:rsidRPr="001A67F3">
              <w:rPr>
                <w:rFonts w:eastAsia="Times New Roman"/>
                <w:sz w:val="24"/>
                <w:szCs w:val="24"/>
                <w:lang w:eastAsia="lv-LV"/>
              </w:rPr>
              <w:t xml:space="preserve"> informāciju</w:t>
            </w:r>
            <w:r w:rsidR="005A077B" w:rsidRPr="001A67F3">
              <w:rPr>
                <w:rFonts w:eastAsia="Times New Roman"/>
                <w:sz w:val="24"/>
                <w:szCs w:val="24"/>
                <w:lang w:eastAsia="lv-LV"/>
              </w:rPr>
              <w:t xml:space="preserve"> par </w:t>
            </w:r>
            <w:r w:rsidR="0098113B" w:rsidRPr="001A67F3">
              <w:rPr>
                <w:rFonts w:eastAsia="Times New Roman"/>
                <w:sz w:val="24"/>
                <w:szCs w:val="24"/>
                <w:lang w:eastAsia="lv-LV"/>
              </w:rPr>
              <w:t>apstākļiem, kas liedz īstenot Ceļu satiksmes likuma 22.panta 1.</w:t>
            </w:r>
            <w:r w:rsidR="0098113B" w:rsidRPr="001A67F3">
              <w:rPr>
                <w:rFonts w:eastAsia="Times New Roman"/>
                <w:sz w:val="24"/>
                <w:szCs w:val="24"/>
                <w:vertAlign w:val="superscript"/>
                <w:lang w:eastAsia="lv-LV"/>
              </w:rPr>
              <w:t>1</w:t>
            </w:r>
            <w:r w:rsidR="0098113B" w:rsidRPr="001A67F3">
              <w:rPr>
                <w:rFonts w:eastAsia="Times New Roman"/>
                <w:sz w:val="24"/>
                <w:szCs w:val="24"/>
                <w:lang w:eastAsia="lv-LV"/>
              </w:rPr>
              <w:t xml:space="preserve"> daļā un 1.</w:t>
            </w:r>
            <w:r w:rsidR="0098113B" w:rsidRPr="001A67F3">
              <w:rPr>
                <w:rFonts w:eastAsia="Times New Roman"/>
                <w:sz w:val="24"/>
                <w:szCs w:val="24"/>
                <w:vertAlign w:val="superscript"/>
                <w:lang w:eastAsia="lv-LV"/>
              </w:rPr>
              <w:t>2</w:t>
            </w:r>
            <w:r w:rsidR="0098113B" w:rsidRPr="001A67F3">
              <w:rPr>
                <w:rFonts w:eastAsia="Times New Roman"/>
                <w:sz w:val="24"/>
                <w:szCs w:val="24"/>
                <w:lang w:eastAsia="lv-LV"/>
              </w:rPr>
              <w:t xml:space="preserve">  daļā</w:t>
            </w:r>
            <w:r w:rsidR="00823EE0" w:rsidRPr="001A67F3">
              <w:rPr>
                <w:rFonts w:eastAsia="Times New Roman"/>
                <w:sz w:val="24"/>
                <w:szCs w:val="24"/>
                <w:lang w:eastAsia="lv-LV"/>
              </w:rPr>
              <w:t xml:space="preserve"> noteiktos ierobežojumus</w:t>
            </w:r>
            <w:r w:rsidR="005A077B" w:rsidRPr="001A67F3">
              <w:rPr>
                <w:rFonts w:eastAsia="Times New Roman"/>
                <w:sz w:val="24"/>
                <w:szCs w:val="24"/>
                <w:lang w:eastAsia="lv-LV"/>
              </w:rPr>
              <w:t xml:space="preserve"> transportlīdzekļa vadīšanai, </w:t>
            </w:r>
            <w:r w:rsidR="004F51FC" w:rsidRPr="001A67F3">
              <w:rPr>
                <w:rFonts w:eastAsia="Times New Roman"/>
                <w:sz w:val="24"/>
                <w:szCs w:val="24"/>
                <w:lang w:eastAsia="lv-LV"/>
              </w:rPr>
              <w:t xml:space="preserve">ir notikušas vairākas sanāksmes ar </w:t>
            </w:r>
            <w:r w:rsidRPr="001A67F3">
              <w:rPr>
                <w:rFonts w:eastAsia="Times New Roman"/>
                <w:sz w:val="24"/>
                <w:szCs w:val="24"/>
                <w:lang w:eastAsia="lv-LV"/>
              </w:rPr>
              <w:t>Tieslietu ministrija</w:t>
            </w:r>
            <w:r w:rsidR="004F51FC" w:rsidRPr="001A67F3">
              <w:rPr>
                <w:rFonts w:eastAsia="Times New Roman"/>
                <w:sz w:val="24"/>
                <w:szCs w:val="24"/>
                <w:lang w:eastAsia="lv-LV"/>
              </w:rPr>
              <w:t>s</w:t>
            </w:r>
            <w:r w:rsidRPr="001A67F3">
              <w:rPr>
                <w:rFonts w:eastAsia="Times New Roman"/>
                <w:sz w:val="24"/>
                <w:szCs w:val="24"/>
                <w:lang w:eastAsia="lv-LV"/>
              </w:rPr>
              <w:t>, Iekšlietu ministrija</w:t>
            </w:r>
            <w:r w:rsidR="004F51FC" w:rsidRPr="001A67F3">
              <w:rPr>
                <w:rFonts w:eastAsia="Times New Roman"/>
                <w:sz w:val="24"/>
                <w:szCs w:val="24"/>
                <w:lang w:eastAsia="lv-LV"/>
              </w:rPr>
              <w:t>s</w:t>
            </w:r>
            <w:r w:rsidRPr="001A67F3">
              <w:rPr>
                <w:rFonts w:eastAsia="Times New Roman"/>
                <w:sz w:val="24"/>
                <w:szCs w:val="24"/>
                <w:lang w:eastAsia="lv-LV"/>
              </w:rPr>
              <w:t>, Satiksmes ministrija</w:t>
            </w:r>
            <w:r w:rsidR="004F51FC" w:rsidRPr="001A67F3">
              <w:rPr>
                <w:rFonts w:eastAsia="Times New Roman"/>
                <w:sz w:val="24"/>
                <w:szCs w:val="24"/>
                <w:lang w:eastAsia="lv-LV"/>
              </w:rPr>
              <w:t>s</w:t>
            </w:r>
            <w:r w:rsidRPr="001A67F3">
              <w:rPr>
                <w:rFonts w:eastAsia="Times New Roman"/>
                <w:sz w:val="24"/>
                <w:szCs w:val="24"/>
                <w:lang w:eastAsia="lv-LV"/>
              </w:rPr>
              <w:t xml:space="preserve"> un valsts akciju sabiedrības “Ceļu satiksmes drošības direkcija” </w:t>
            </w:r>
            <w:r w:rsidR="004F51FC" w:rsidRPr="001A67F3">
              <w:rPr>
                <w:rFonts w:eastAsia="Times New Roman"/>
                <w:sz w:val="24"/>
                <w:szCs w:val="24"/>
                <w:lang w:eastAsia="lv-LV"/>
              </w:rPr>
              <w:t xml:space="preserve">pārstāvju piedalīšanos, kurās </w:t>
            </w:r>
            <w:r w:rsidR="0098113B" w:rsidRPr="001A67F3">
              <w:rPr>
                <w:rFonts w:eastAsia="Times New Roman"/>
                <w:sz w:val="24"/>
                <w:szCs w:val="24"/>
                <w:lang w:eastAsia="lv-LV"/>
              </w:rPr>
              <w:t>secin</w:t>
            </w:r>
            <w:r w:rsidR="004F51FC" w:rsidRPr="001A67F3">
              <w:rPr>
                <w:rFonts w:eastAsia="Times New Roman"/>
                <w:sz w:val="24"/>
                <w:szCs w:val="24"/>
                <w:lang w:eastAsia="lv-LV"/>
              </w:rPr>
              <w:t>āts</w:t>
            </w:r>
            <w:r w:rsidR="0098113B" w:rsidRPr="001A67F3">
              <w:rPr>
                <w:rFonts w:eastAsia="Times New Roman"/>
                <w:sz w:val="24"/>
                <w:szCs w:val="24"/>
                <w:lang w:eastAsia="lv-LV"/>
              </w:rPr>
              <w:t xml:space="preserve">, ka </w:t>
            </w:r>
            <w:r w:rsidR="004F51FC" w:rsidRPr="001A67F3">
              <w:rPr>
                <w:rFonts w:eastAsia="Times New Roman"/>
                <w:sz w:val="24"/>
                <w:szCs w:val="24"/>
                <w:lang w:eastAsia="lv-LV"/>
              </w:rPr>
              <w:t xml:space="preserve">bez būtiskiem grozījumiem Administratīvo pārkāpumu kodeksā un Krimināllikumā šīs normas ieviest nav iespējams, tāpēc </w:t>
            </w:r>
            <w:r w:rsidR="0098113B" w:rsidRPr="001A67F3">
              <w:rPr>
                <w:rFonts w:eastAsia="Times New Roman"/>
                <w:sz w:val="24"/>
                <w:szCs w:val="24"/>
                <w:lang w:eastAsia="lv-LV"/>
              </w:rPr>
              <w:t>šī</w:t>
            </w:r>
            <w:r w:rsidR="00CE3387" w:rsidRPr="001A67F3">
              <w:rPr>
                <w:rFonts w:eastAsia="Times New Roman"/>
                <w:sz w:val="24"/>
                <w:szCs w:val="24"/>
                <w:lang w:eastAsia="lv-LV"/>
              </w:rPr>
              <w:t>s</w:t>
            </w:r>
            <w:r w:rsidR="0098113B" w:rsidRPr="001A67F3">
              <w:rPr>
                <w:rFonts w:eastAsia="Times New Roman"/>
                <w:sz w:val="24"/>
                <w:szCs w:val="24"/>
                <w:lang w:eastAsia="lv-LV"/>
              </w:rPr>
              <w:t xml:space="preserve"> norma</w:t>
            </w:r>
            <w:r w:rsidR="00CE3387" w:rsidRPr="001A67F3">
              <w:rPr>
                <w:rFonts w:eastAsia="Times New Roman"/>
                <w:sz w:val="24"/>
                <w:szCs w:val="24"/>
                <w:lang w:eastAsia="lv-LV"/>
              </w:rPr>
              <w:t>s</w:t>
            </w:r>
            <w:r w:rsidR="0098113B" w:rsidRPr="001A67F3">
              <w:rPr>
                <w:rFonts w:eastAsia="Times New Roman"/>
                <w:sz w:val="24"/>
                <w:szCs w:val="24"/>
                <w:lang w:eastAsia="lv-LV"/>
              </w:rPr>
              <w:t xml:space="preserve"> no Ceļu satiksmes likuma ir izslēdzama</w:t>
            </w:r>
            <w:r w:rsidR="00CE3387" w:rsidRPr="001A67F3">
              <w:rPr>
                <w:rFonts w:eastAsia="Times New Roman"/>
                <w:sz w:val="24"/>
                <w:szCs w:val="24"/>
                <w:lang w:eastAsia="lv-LV"/>
              </w:rPr>
              <w:t>s</w:t>
            </w:r>
            <w:r w:rsidR="0098113B" w:rsidRPr="001A67F3">
              <w:rPr>
                <w:rFonts w:eastAsia="Times New Roman"/>
                <w:sz w:val="24"/>
                <w:szCs w:val="24"/>
                <w:lang w:eastAsia="lv-LV"/>
              </w:rPr>
              <w:t>.</w:t>
            </w:r>
          </w:p>
          <w:p w:rsidR="006A7837" w:rsidRPr="006A7837" w:rsidRDefault="006A7837" w:rsidP="004F51FC">
            <w:pPr>
              <w:spacing w:line="240" w:lineRule="auto"/>
              <w:ind w:firstLine="360"/>
              <w:rPr>
                <w:sz w:val="24"/>
                <w:szCs w:val="24"/>
              </w:rPr>
            </w:pPr>
            <w:r>
              <w:rPr>
                <w:sz w:val="24"/>
                <w:szCs w:val="24"/>
              </w:rPr>
              <w:lastRenderedPageBreak/>
              <w:t>Likumprojekts paredz i</w:t>
            </w:r>
            <w:r w:rsidRPr="006A7837">
              <w:rPr>
                <w:sz w:val="24"/>
                <w:szCs w:val="24"/>
              </w:rPr>
              <w:t>zslēgt 9.pant</w:t>
            </w:r>
            <w:r>
              <w:rPr>
                <w:sz w:val="24"/>
                <w:szCs w:val="24"/>
              </w:rPr>
              <w:t xml:space="preserve">a ceturto, piekto un sesto daļu, ņemot vērā, ka saskaņā ar grozījumiem </w:t>
            </w:r>
            <w:r w:rsidRPr="006A7837">
              <w:rPr>
                <w:sz w:val="24"/>
                <w:szCs w:val="24"/>
              </w:rPr>
              <w:t>Transportlīdzekļa ekspluatācijas nodokļa un uzņēmumu vieglo transportlīdzekļu nodokļa likumā</w:t>
            </w:r>
            <w:r>
              <w:rPr>
                <w:sz w:val="24"/>
                <w:szCs w:val="24"/>
              </w:rPr>
              <w:t xml:space="preserve"> </w:t>
            </w:r>
            <w:r w:rsidRPr="006A7837">
              <w:rPr>
                <w:sz w:val="24"/>
                <w:szCs w:val="24"/>
              </w:rPr>
              <w:t>paredzēts mainīt esošo kārtību, paredzot, ka personai, kura ir Latvijas pilsonis vai nepilsonis, kā personai, kura ir saņēmusi Latvijā izdotu reģistrācijas apliecību, pastāvīgās uzturēšanās apliecību vai uzturēšanās atļauju, lai piedalītos ceļu satiksmē Latvijas teritorijā ar ārvalstīs pastāvīgi reģistrētu M1 un N1 kategorijas automobili, ir jāmaksā transportlīdzekļa ekspluatācijas nodoklis atbilstoši automobiļa izmantošanas laika periodam</w:t>
            </w:r>
            <w:r>
              <w:rPr>
                <w:sz w:val="24"/>
                <w:szCs w:val="24"/>
              </w:rPr>
              <w:t>.</w:t>
            </w:r>
          </w:p>
        </w:tc>
      </w:tr>
      <w:tr w:rsidR="00565A60" w:rsidRPr="0069556E" w:rsidTr="007A2F8F">
        <w:tc>
          <w:tcPr>
            <w:tcW w:w="148" w:type="pct"/>
            <w:tcBorders>
              <w:top w:val="outset" w:sz="6" w:space="0" w:color="auto"/>
              <w:left w:val="outset" w:sz="6" w:space="0" w:color="auto"/>
              <w:bottom w:val="outset" w:sz="6" w:space="0" w:color="auto"/>
              <w:right w:val="outset" w:sz="6" w:space="0" w:color="auto"/>
            </w:tcBorders>
          </w:tcPr>
          <w:p w:rsidR="00565A60" w:rsidRPr="0069556E" w:rsidRDefault="00344EA8" w:rsidP="00344EA8">
            <w:pPr>
              <w:numPr>
                <w:ilvl w:val="0"/>
                <w:numId w:val="2"/>
              </w:numPr>
              <w:spacing w:after="120" w:line="240" w:lineRule="auto"/>
              <w:ind w:right="-78"/>
              <w:rPr>
                <w:rFonts w:eastAsia="Times New Roman"/>
                <w:sz w:val="24"/>
                <w:szCs w:val="24"/>
                <w:lang w:eastAsia="lv-LV"/>
              </w:rPr>
            </w:pPr>
            <w:r>
              <w:rPr>
                <w:rFonts w:eastAsia="Times New Roman"/>
                <w:sz w:val="24"/>
                <w:szCs w:val="24"/>
                <w:lang w:eastAsia="lv-LV"/>
              </w:rPr>
              <w:lastRenderedPageBreak/>
              <w:t>3.</w:t>
            </w:r>
          </w:p>
        </w:tc>
        <w:tc>
          <w:tcPr>
            <w:tcW w:w="1047" w:type="pct"/>
            <w:tcBorders>
              <w:top w:val="outset" w:sz="6" w:space="0" w:color="auto"/>
              <w:left w:val="outset" w:sz="6" w:space="0" w:color="auto"/>
              <w:bottom w:val="outset" w:sz="6" w:space="0" w:color="auto"/>
              <w:right w:val="outset" w:sz="6" w:space="0" w:color="auto"/>
            </w:tcBorders>
          </w:tcPr>
          <w:p w:rsidR="00565A60" w:rsidRPr="0069556E" w:rsidRDefault="00565A60" w:rsidP="00565A60">
            <w:pPr>
              <w:spacing w:after="120" w:line="240" w:lineRule="auto"/>
              <w:ind w:right="42" w:firstLine="18"/>
              <w:rPr>
                <w:rFonts w:eastAsia="Times New Roman"/>
                <w:sz w:val="24"/>
                <w:szCs w:val="24"/>
                <w:lang w:eastAsia="lv-LV"/>
              </w:rPr>
            </w:pPr>
            <w:r w:rsidRPr="0069556E">
              <w:rPr>
                <w:rFonts w:eastAsia="Times New Roman"/>
                <w:sz w:val="24"/>
                <w:szCs w:val="24"/>
                <w:lang w:eastAsia="lv-LV"/>
              </w:rPr>
              <w:t>Projekta izstrādē iesaistītās institūcijas</w:t>
            </w:r>
          </w:p>
        </w:tc>
        <w:tc>
          <w:tcPr>
            <w:tcW w:w="3805" w:type="pct"/>
            <w:tcBorders>
              <w:top w:val="outset" w:sz="6" w:space="0" w:color="auto"/>
              <w:left w:val="outset" w:sz="6" w:space="0" w:color="auto"/>
              <w:bottom w:val="outset" w:sz="6" w:space="0" w:color="auto"/>
              <w:right w:val="outset" w:sz="6" w:space="0" w:color="auto"/>
            </w:tcBorders>
          </w:tcPr>
          <w:p w:rsidR="00565A60" w:rsidRPr="001A67F3" w:rsidRDefault="00254C83" w:rsidP="001A03C9">
            <w:pPr>
              <w:tabs>
                <w:tab w:val="left" w:pos="2715"/>
              </w:tabs>
              <w:spacing w:after="120" w:line="240" w:lineRule="auto"/>
              <w:ind w:firstLine="0"/>
              <w:rPr>
                <w:rFonts w:eastAsia="Times New Roman"/>
                <w:sz w:val="24"/>
                <w:szCs w:val="24"/>
                <w:lang w:eastAsia="lv-LV"/>
              </w:rPr>
            </w:pPr>
            <w:r w:rsidRPr="001A67F3">
              <w:rPr>
                <w:rFonts w:eastAsia="Times New Roman"/>
                <w:sz w:val="24"/>
                <w:szCs w:val="24"/>
                <w:lang w:eastAsia="lv-LV"/>
              </w:rPr>
              <w:t>Likumprojekta izstrādē iesaistīta valsts akciju sabiedrība „Ceļu satiksmes drošības direkcija”</w:t>
            </w:r>
            <w:r w:rsidR="003F3D9C" w:rsidRPr="001A67F3">
              <w:rPr>
                <w:rFonts w:eastAsia="Times New Roman"/>
                <w:sz w:val="24"/>
                <w:szCs w:val="24"/>
                <w:lang w:eastAsia="lv-LV"/>
              </w:rPr>
              <w:t>, Valsts ieņēmumu dienests</w:t>
            </w:r>
            <w:r w:rsidRPr="001A67F3">
              <w:rPr>
                <w:rFonts w:eastAsia="Times New Roman"/>
                <w:sz w:val="24"/>
                <w:szCs w:val="24"/>
                <w:lang w:eastAsia="lv-LV"/>
              </w:rPr>
              <w:t xml:space="preserve"> un Valsts </w:t>
            </w:r>
            <w:r w:rsidR="003F3D9C" w:rsidRPr="001A67F3">
              <w:rPr>
                <w:rFonts w:eastAsia="Times New Roman"/>
                <w:sz w:val="24"/>
                <w:szCs w:val="24"/>
                <w:lang w:eastAsia="lv-LV"/>
              </w:rPr>
              <w:t>tehniskās uzraudzības aģentūra</w:t>
            </w:r>
            <w:r w:rsidRPr="001A67F3">
              <w:rPr>
                <w:rFonts w:eastAsia="Times New Roman"/>
                <w:sz w:val="24"/>
                <w:szCs w:val="24"/>
                <w:lang w:eastAsia="lv-LV"/>
              </w:rPr>
              <w:t>.</w:t>
            </w:r>
          </w:p>
        </w:tc>
      </w:tr>
      <w:tr w:rsidR="00565A60" w:rsidRPr="0069556E" w:rsidTr="007A2F8F">
        <w:tc>
          <w:tcPr>
            <w:tcW w:w="148" w:type="pct"/>
            <w:tcBorders>
              <w:top w:val="outset" w:sz="6" w:space="0" w:color="auto"/>
              <w:left w:val="outset" w:sz="6" w:space="0" w:color="auto"/>
              <w:bottom w:val="outset" w:sz="6" w:space="0" w:color="auto"/>
              <w:right w:val="outset" w:sz="6" w:space="0" w:color="auto"/>
            </w:tcBorders>
          </w:tcPr>
          <w:p w:rsidR="00565A60" w:rsidRPr="0069556E" w:rsidRDefault="00344EA8" w:rsidP="00344EA8">
            <w:pPr>
              <w:numPr>
                <w:ilvl w:val="0"/>
                <w:numId w:val="2"/>
              </w:numPr>
              <w:spacing w:after="120" w:line="240" w:lineRule="auto"/>
              <w:ind w:right="-78"/>
              <w:rPr>
                <w:rFonts w:eastAsia="Times New Roman"/>
                <w:sz w:val="24"/>
                <w:szCs w:val="24"/>
                <w:lang w:eastAsia="lv-LV"/>
              </w:rPr>
            </w:pPr>
            <w:r>
              <w:rPr>
                <w:rFonts w:eastAsia="Times New Roman"/>
                <w:sz w:val="24"/>
                <w:szCs w:val="24"/>
                <w:lang w:eastAsia="lv-LV"/>
              </w:rPr>
              <w:t>4.</w:t>
            </w:r>
          </w:p>
        </w:tc>
        <w:tc>
          <w:tcPr>
            <w:tcW w:w="1047" w:type="pct"/>
            <w:tcBorders>
              <w:top w:val="outset" w:sz="6" w:space="0" w:color="auto"/>
              <w:left w:val="outset" w:sz="6" w:space="0" w:color="auto"/>
              <w:bottom w:val="outset" w:sz="6" w:space="0" w:color="auto"/>
              <w:right w:val="outset" w:sz="6" w:space="0" w:color="auto"/>
            </w:tcBorders>
          </w:tcPr>
          <w:p w:rsidR="00565A60" w:rsidRPr="0069556E" w:rsidRDefault="00565A60" w:rsidP="00565A60">
            <w:pPr>
              <w:spacing w:after="120" w:line="240" w:lineRule="auto"/>
              <w:ind w:right="42" w:firstLine="18"/>
              <w:rPr>
                <w:rFonts w:eastAsia="Times New Roman"/>
                <w:sz w:val="24"/>
                <w:szCs w:val="24"/>
                <w:lang w:eastAsia="lv-LV"/>
              </w:rPr>
            </w:pPr>
            <w:r>
              <w:rPr>
                <w:rFonts w:eastAsia="Times New Roman"/>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tcPr>
          <w:p w:rsidR="00565A60" w:rsidRPr="0069556E" w:rsidRDefault="00CA5942" w:rsidP="003374B6">
            <w:pPr>
              <w:spacing w:after="120" w:line="240" w:lineRule="auto"/>
              <w:ind w:firstLine="0"/>
              <w:rPr>
                <w:color w:val="000000"/>
                <w:sz w:val="24"/>
                <w:szCs w:val="24"/>
              </w:rPr>
            </w:pPr>
            <w:r>
              <w:rPr>
                <w:color w:val="000000"/>
                <w:sz w:val="24"/>
                <w:szCs w:val="24"/>
              </w:rPr>
              <w:t>Nav.</w:t>
            </w:r>
          </w:p>
        </w:tc>
      </w:tr>
    </w:tbl>
    <w:p w:rsidR="00565A60" w:rsidRPr="0008700C" w:rsidRDefault="00565A60" w:rsidP="00565A60">
      <w:pPr>
        <w:spacing w:after="120" w:line="240" w:lineRule="auto"/>
        <w:rPr>
          <w:sz w:val="16"/>
          <w:szCs w:val="16"/>
        </w:rPr>
      </w:pPr>
    </w:p>
    <w:tbl>
      <w:tblPr>
        <w:tblW w:w="500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3"/>
        <w:gridCol w:w="1967"/>
        <w:gridCol w:w="6881"/>
      </w:tblGrid>
      <w:tr w:rsidR="00565A60" w:rsidRPr="0069556E" w:rsidTr="006E1276">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69556E" w:rsidRDefault="00565A60" w:rsidP="005B4A6C">
            <w:pPr>
              <w:spacing w:after="120" w:line="240" w:lineRule="auto"/>
              <w:jc w:val="center"/>
              <w:rPr>
                <w:rFonts w:eastAsia="Times New Roman"/>
                <w:b/>
                <w:bCs/>
                <w:sz w:val="24"/>
                <w:szCs w:val="24"/>
                <w:lang w:eastAsia="lv-LV"/>
              </w:rPr>
            </w:pPr>
            <w:r w:rsidRPr="0069556E">
              <w:rPr>
                <w:rFonts w:eastAsia="Times New Roman"/>
                <w:b/>
                <w:bCs/>
                <w:sz w:val="24"/>
                <w:szCs w:val="24"/>
                <w:lang w:eastAsia="lv-LV"/>
              </w:rPr>
              <w:t>II. Tiesību akta projekta ietekme uz sabiedrību</w:t>
            </w:r>
            <w:r w:rsidRPr="00351D1A">
              <w:rPr>
                <w:b/>
                <w:bCs/>
                <w:sz w:val="24"/>
                <w:szCs w:val="24"/>
                <w:shd w:val="clear" w:color="auto" w:fill="FFFFFF"/>
              </w:rPr>
              <w:t>, tautsaimniecības attīstību un administratīvo slogu</w:t>
            </w:r>
          </w:p>
        </w:tc>
      </w:tr>
      <w:tr w:rsidR="00565A60" w:rsidRPr="0069556E" w:rsidTr="006E1276">
        <w:tc>
          <w:tcPr>
            <w:tcW w:w="155" w:type="pct"/>
            <w:tcBorders>
              <w:top w:val="outset" w:sz="6" w:space="0" w:color="auto"/>
              <w:left w:val="outset" w:sz="6" w:space="0" w:color="auto"/>
              <w:bottom w:val="outset" w:sz="6" w:space="0" w:color="auto"/>
              <w:right w:val="outset" w:sz="6" w:space="0" w:color="auto"/>
            </w:tcBorders>
          </w:tcPr>
          <w:p w:rsidR="00565A60" w:rsidRPr="0069556E" w:rsidRDefault="003F1D89" w:rsidP="005B4A6C">
            <w:pPr>
              <w:spacing w:after="120" w:line="240" w:lineRule="auto"/>
              <w:rPr>
                <w:rFonts w:eastAsia="Times New Roman"/>
                <w:sz w:val="24"/>
                <w:szCs w:val="24"/>
                <w:lang w:eastAsia="lv-LV"/>
              </w:rPr>
            </w:pPr>
            <w:r>
              <w:rPr>
                <w:rFonts w:eastAsia="Times New Roman"/>
                <w:sz w:val="24"/>
                <w:szCs w:val="24"/>
                <w:lang w:eastAsia="lv-LV"/>
              </w:rPr>
              <w:t>11.</w:t>
            </w:r>
          </w:p>
        </w:tc>
        <w:tc>
          <w:tcPr>
            <w:tcW w:w="1077" w:type="pct"/>
            <w:tcBorders>
              <w:top w:val="outset" w:sz="6" w:space="0" w:color="auto"/>
              <w:left w:val="outset" w:sz="6" w:space="0" w:color="auto"/>
              <w:bottom w:val="outset" w:sz="6" w:space="0" w:color="auto"/>
              <w:right w:val="outset" w:sz="6" w:space="0" w:color="auto"/>
            </w:tcBorders>
          </w:tcPr>
          <w:p w:rsidR="00565A60" w:rsidRPr="00351D1A" w:rsidRDefault="00565A60" w:rsidP="003F1D89">
            <w:pPr>
              <w:spacing w:line="240" w:lineRule="auto"/>
              <w:ind w:right="39" w:firstLine="18"/>
              <w:rPr>
                <w:rFonts w:eastAsia="Times New Roman"/>
                <w:sz w:val="24"/>
                <w:szCs w:val="24"/>
                <w:lang w:eastAsia="lv-LV"/>
              </w:rPr>
            </w:pPr>
            <w:r w:rsidRPr="00351D1A">
              <w:rPr>
                <w:sz w:val="24"/>
                <w:szCs w:val="24"/>
                <w:shd w:val="clear" w:color="auto" w:fill="FFFFFF"/>
              </w:rPr>
              <w:t xml:space="preserve">Sabiedrības </w:t>
            </w:r>
            <w:proofErr w:type="spellStart"/>
            <w:r w:rsidRPr="00351D1A">
              <w:rPr>
                <w:sz w:val="24"/>
                <w:szCs w:val="24"/>
                <w:shd w:val="clear" w:color="auto" w:fill="FFFFFF"/>
              </w:rPr>
              <w:t>mērķgrupas</w:t>
            </w:r>
            <w:proofErr w:type="spellEnd"/>
            <w:r w:rsidRPr="00351D1A">
              <w:rPr>
                <w:sz w:val="24"/>
                <w:szCs w:val="24"/>
                <w:shd w:val="clear" w:color="auto" w:fill="FFFFFF"/>
              </w:rPr>
              <w:t>, kuras tiesiskais regulējums ietekmē vai varētu ietekmēt</w:t>
            </w:r>
          </w:p>
        </w:tc>
        <w:tc>
          <w:tcPr>
            <w:tcW w:w="3768" w:type="pct"/>
            <w:tcBorders>
              <w:top w:val="outset" w:sz="6" w:space="0" w:color="auto"/>
              <w:left w:val="outset" w:sz="6" w:space="0" w:color="auto"/>
              <w:bottom w:val="outset" w:sz="6" w:space="0" w:color="auto"/>
              <w:right w:val="outset" w:sz="6" w:space="0" w:color="auto"/>
            </w:tcBorders>
          </w:tcPr>
          <w:p w:rsidR="00565A60" w:rsidRDefault="005A077B" w:rsidP="00DB44FA">
            <w:pPr>
              <w:spacing w:line="240" w:lineRule="auto"/>
              <w:ind w:firstLine="0"/>
              <w:rPr>
                <w:color w:val="000000"/>
                <w:sz w:val="24"/>
                <w:szCs w:val="24"/>
              </w:rPr>
            </w:pPr>
            <w:r w:rsidRPr="005A077B">
              <w:rPr>
                <w:color w:val="000000"/>
                <w:sz w:val="24"/>
                <w:szCs w:val="24"/>
              </w:rPr>
              <w:t>Visi ceļu satiksmes dalībnieki (valstī ir aptuveni 850 tūkst. transportlīdzekļu vadītāju).</w:t>
            </w:r>
          </w:p>
          <w:p w:rsidR="00480827" w:rsidRPr="0069556E" w:rsidRDefault="00480827" w:rsidP="00DB44FA">
            <w:pPr>
              <w:spacing w:line="240" w:lineRule="auto"/>
              <w:ind w:firstLine="0"/>
              <w:rPr>
                <w:color w:val="000000"/>
                <w:sz w:val="24"/>
                <w:szCs w:val="24"/>
              </w:rPr>
            </w:pPr>
            <w:r>
              <w:rPr>
                <w:rFonts w:eastAsia="Times New Roman"/>
                <w:sz w:val="24"/>
                <w:szCs w:val="24"/>
                <w:lang w:eastAsia="lv-LV"/>
              </w:rPr>
              <w:t xml:space="preserve">Likumprojekts attiecas arī uz personām, kuras ir iegādājušās un ievedušas Latvijā iepriekš nereģistrētus transportlīdzekļus, nolūkā tos atsavināt citām personām, kā arī uz tām personām, kas iegādājušās un ievedušas Latvijā transportlīdzekļus, kuru </w:t>
            </w:r>
            <w:r w:rsidRPr="0010401B">
              <w:rPr>
                <w:rFonts w:eastAsia="Times New Roman"/>
                <w:sz w:val="24"/>
                <w:szCs w:val="24"/>
                <w:lang w:eastAsia="lv-LV"/>
              </w:rPr>
              <w:t xml:space="preserve">izcelsmes </w:t>
            </w:r>
            <w:r>
              <w:rPr>
                <w:rFonts w:eastAsia="Times New Roman"/>
                <w:sz w:val="24"/>
                <w:szCs w:val="24"/>
                <w:lang w:eastAsia="lv-LV"/>
              </w:rPr>
              <w:t>vai</w:t>
            </w:r>
            <w:r w:rsidRPr="0010401B">
              <w:rPr>
                <w:rFonts w:eastAsia="Times New Roman"/>
                <w:sz w:val="24"/>
                <w:szCs w:val="24"/>
                <w:lang w:eastAsia="lv-LV"/>
              </w:rPr>
              <w:t xml:space="preserve"> pēdējās reģistrācijas </w:t>
            </w:r>
            <w:r>
              <w:rPr>
                <w:rFonts w:eastAsia="Times New Roman"/>
                <w:sz w:val="24"/>
                <w:szCs w:val="24"/>
                <w:lang w:eastAsia="lv-LV"/>
              </w:rPr>
              <w:t xml:space="preserve">valsts </w:t>
            </w:r>
            <w:r w:rsidRPr="0010401B">
              <w:rPr>
                <w:rFonts w:eastAsia="Times New Roman"/>
                <w:sz w:val="24"/>
                <w:szCs w:val="24"/>
                <w:lang w:eastAsia="lv-LV"/>
              </w:rPr>
              <w:t>nav Eiropas Savienības dalībvalsts</w:t>
            </w:r>
            <w:r>
              <w:rPr>
                <w:rFonts w:eastAsia="Times New Roman"/>
                <w:sz w:val="24"/>
                <w:szCs w:val="24"/>
                <w:lang w:eastAsia="lv-LV"/>
              </w:rPr>
              <w:t>, un tām juridiskām personām, kas atkārtoti gada laikā vēlas reģistrēt Latvijā jau iepriekš reģistrētus transportlīdzekļus.</w:t>
            </w:r>
          </w:p>
        </w:tc>
      </w:tr>
      <w:tr w:rsidR="00565A60" w:rsidRPr="0069556E" w:rsidTr="006E1276">
        <w:tc>
          <w:tcPr>
            <w:tcW w:w="155" w:type="pct"/>
            <w:tcBorders>
              <w:top w:val="outset" w:sz="6" w:space="0" w:color="auto"/>
              <w:left w:val="outset" w:sz="6" w:space="0" w:color="auto"/>
              <w:bottom w:val="outset" w:sz="6" w:space="0" w:color="auto"/>
              <w:right w:val="outset" w:sz="6" w:space="0" w:color="auto"/>
            </w:tcBorders>
          </w:tcPr>
          <w:p w:rsidR="00565A60" w:rsidRPr="0069556E" w:rsidRDefault="003F1D89" w:rsidP="005B4A6C">
            <w:pPr>
              <w:spacing w:after="120" w:line="240" w:lineRule="auto"/>
              <w:rPr>
                <w:rFonts w:eastAsia="Times New Roman"/>
                <w:sz w:val="24"/>
                <w:szCs w:val="24"/>
                <w:lang w:eastAsia="lv-LV"/>
              </w:rPr>
            </w:pPr>
            <w:r>
              <w:rPr>
                <w:rFonts w:eastAsia="Times New Roman"/>
                <w:sz w:val="24"/>
                <w:szCs w:val="24"/>
                <w:lang w:eastAsia="lv-LV"/>
              </w:rPr>
              <w:t>22.</w:t>
            </w:r>
          </w:p>
        </w:tc>
        <w:tc>
          <w:tcPr>
            <w:tcW w:w="1077" w:type="pct"/>
            <w:tcBorders>
              <w:top w:val="outset" w:sz="6" w:space="0" w:color="auto"/>
              <w:left w:val="outset" w:sz="6" w:space="0" w:color="auto"/>
              <w:bottom w:val="outset" w:sz="6" w:space="0" w:color="auto"/>
              <w:right w:val="outset" w:sz="6" w:space="0" w:color="auto"/>
            </w:tcBorders>
          </w:tcPr>
          <w:p w:rsidR="00565A60" w:rsidRPr="00351D1A" w:rsidRDefault="00565A60" w:rsidP="003F1D89">
            <w:pPr>
              <w:spacing w:line="240" w:lineRule="auto"/>
              <w:ind w:right="39" w:firstLine="18"/>
              <w:rPr>
                <w:rFonts w:eastAsia="Times New Roman"/>
                <w:sz w:val="24"/>
                <w:szCs w:val="24"/>
                <w:lang w:eastAsia="lv-LV"/>
              </w:rPr>
            </w:pPr>
            <w:r w:rsidRPr="00351D1A">
              <w:rPr>
                <w:sz w:val="24"/>
                <w:szCs w:val="24"/>
                <w:shd w:val="clear" w:color="auto" w:fill="FFFFFF"/>
              </w:rPr>
              <w:t>Tiesiskā regulējuma ietekme uz tautsaimniecību un administratīvo slogu</w:t>
            </w:r>
          </w:p>
        </w:tc>
        <w:tc>
          <w:tcPr>
            <w:tcW w:w="3768" w:type="pct"/>
            <w:tcBorders>
              <w:top w:val="outset" w:sz="6" w:space="0" w:color="auto"/>
              <w:left w:val="outset" w:sz="6" w:space="0" w:color="auto"/>
              <w:bottom w:val="outset" w:sz="6" w:space="0" w:color="auto"/>
              <w:right w:val="outset" w:sz="6" w:space="0" w:color="auto"/>
            </w:tcBorders>
          </w:tcPr>
          <w:p w:rsidR="00480827" w:rsidRDefault="00480827" w:rsidP="00480827">
            <w:pPr>
              <w:spacing w:line="240" w:lineRule="auto"/>
              <w:ind w:firstLine="0"/>
              <w:rPr>
                <w:rFonts w:eastAsia="Times New Roman"/>
                <w:sz w:val="24"/>
                <w:szCs w:val="24"/>
                <w:lang w:eastAsia="lv-LV"/>
              </w:rPr>
            </w:pPr>
            <w:r w:rsidRPr="0049383D">
              <w:rPr>
                <w:rFonts w:eastAsia="Times New Roman"/>
                <w:sz w:val="24"/>
                <w:szCs w:val="24"/>
                <w:lang w:eastAsia="lv-LV"/>
              </w:rPr>
              <w:t>Likumprojekt</w:t>
            </w:r>
            <w:r>
              <w:rPr>
                <w:rFonts w:eastAsia="Times New Roman"/>
                <w:sz w:val="24"/>
                <w:szCs w:val="24"/>
                <w:lang w:eastAsia="lv-LV"/>
              </w:rPr>
              <w:t xml:space="preserve">s precizē esošo kārtību attiecībā uz gadījumiem un noteikto formalitāšu kārtošanu par Latvijā ievesto </w:t>
            </w:r>
            <w:r w:rsidRPr="006A210A">
              <w:rPr>
                <w:rFonts w:eastAsia="Times New Roman"/>
                <w:sz w:val="24"/>
                <w:szCs w:val="24"/>
                <w:lang w:eastAsia="lv-LV"/>
              </w:rPr>
              <w:t>transportlīdzekļu ievešanas noformēšanu muitas noteiktajā kārtībā</w:t>
            </w:r>
            <w:r>
              <w:rPr>
                <w:rFonts w:eastAsia="Times New Roman"/>
                <w:sz w:val="24"/>
                <w:szCs w:val="24"/>
                <w:lang w:eastAsia="lv-LV"/>
              </w:rPr>
              <w:t>, līdz ar to tas no administratīvā sloga viedokļa būtiski nemainās. Visām iesaistītajām institūcijām būs arī turpmāk jānodrošina jautājumu izpilde atbilstoši savai kompetencei, pilnveidojot procesu.</w:t>
            </w:r>
            <w:r w:rsidRPr="0049383D">
              <w:rPr>
                <w:rFonts w:eastAsia="Times New Roman"/>
                <w:sz w:val="24"/>
                <w:szCs w:val="24"/>
                <w:lang w:eastAsia="lv-LV"/>
              </w:rPr>
              <w:t xml:space="preserve"> </w:t>
            </w:r>
            <w:r>
              <w:rPr>
                <w:rFonts w:eastAsia="Times New Roman"/>
                <w:sz w:val="24"/>
                <w:szCs w:val="24"/>
                <w:lang w:eastAsia="lv-LV"/>
              </w:rPr>
              <w:t xml:space="preserve">Vienlaikus var tikt nodrošināta nepieciešamo atļauju elektroniska nosūtīšana. Datu uzglabāšana par noteikto muitas formalitāšu kārtošanu tiek nodrošināta Transportlīdzekļu un to vadītāju valsts reģistrā. </w:t>
            </w:r>
          </w:p>
          <w:p w:rsidR="00415BF6" w:rsidRPr="0049383D" w:rsidRDefault="00480827" w:rsidP="00480827">
            <w:pPr>
              <w:spacing w:line="240" w:lineRule="auto"/>
              <w:ind w:firstLine="0"/>
              <w:rPr>
                <w:rFonts w:eastAsia="Times New Roman"/>
                <w:sz w:val="24"/>
                <w:szCs w:val="24"/>
                <w:lang w:eastAsia="lv-LV"/>
              </w:rPr>
            </w:pPr>
            <w:r>
              <w:rPr>
                <w:rFonts w:eastAsia="Times New Roman"/>
                <w:sz w:val="24"/>
                <w:szCs w:val="24"/>
                <w:lang w:eastAsia="lv-LV"/>
              </w:rPr>
              <w:t xml:space="preserve">Tāpat likumprojekts precizē transportlīdzekļu tirdzniecības kārtību, paredzot šīs jomas sakārtošanu un iespēju nodrošināt maksājamo nodokļu kontroli un iekasēšanu.  </w:t>
            </w:r>
          </w:p>
        </w:tc>
      </w:tr>
      <w:tr w:rsidR="00565A60" w:rsidRPr="0069556E" w:rsidTr="006E1276">
        <w:tc>
          <w:tcPr>
            <w:tcW w:w="155" w:type="pct"/>
            <w:tcBorders>
              <w:top w:val="outset" w:sz="6" w:space="0" w:color="auto"/>
              <w:left w:val="outset" w:sz="6" w:space="0" w:color="auto"/>
              <w:bottom w:val="outset" w:sz="6" w:space="0" w:color="auto"/>
              <w:right w:val="outset" w:sz="6" w:space="0" w:color="auto"/>
            </w:tcBorders>
          </w:tcPr>
          <w:p w:rsidR="00565A60" w:rsidRPr="0069556E" w:rsidRDefault="00565A60" w:rsidP="005B4A6C">
            <w:pPr>
              <w:spacing w:after="120" w:line="240" w:lineRule="auto"/>
              <w:rPr>
                <w:rFonts w:eastAsia="Times New Roman"/>
                <w:sz w:val="24"/>
                <w:szCs w:val="24"/>
                <w:lang w:eastAsia="lv-LV"/>
              </w:rPr>
            </w:pPr>
            <w:r w:rsidRPr="0069556E">
              <w:rPr>
                <w:rFonts w:eastAsia="Times New Roman"/>
                <w:sz w:val="24"/>
                <w:szCs w:val="24"/>
                <w:lang w:eastAsia="lv-LV"/>
              </w:rPr>
              <w:t>3</w:t>
            </w:r>
            <w:r w:rsidR="003F1D89">
              <w:rPr>
                <w:rFonts w:eastAsia="Times New Roman"/>
                <w:sz w:val="24"/>
                <w:szCs w:val="24"/>
                <w:lang w:eastAsia="lv-LV"/>
              </w:rPr>
              <w:t>3</w:t>
            </w:r>
            <w:r w:rsidRPr="0069556E">
              <w:rPr>
                <w:rFonts w:eastAsia="Times New Roman"/>
                <w:sz w:val="24"/>
                <w:szCs w:val="24"/>
                <w:lang w:eastAsia="lv-LV"/>
              </w:rPr>
              <w:t>.</w:t>
            </w:r>
          </w:p>
        </w:tc>
        <w:tc>
          <w:tcPr>
            <w:tcW w:w="1077" w:type="pct"/>
            <w:tcBorders>
              <w:top w:val="outset" w:sz="6" w:space="0" w:color="auto"/>
              <w:left w:val="outset" w:sz="6" w:space="0" w:color="auto"/>
              <w:bottom w:val="outset" w:sz="6" w:space="0" w:color="auto"/>
              <w:right w:val="outset" w:sz="6" w:space="0" w:color="auto"/>
            </w:tcBorders>
          </w:tcPr>
          <w:p w:rsidR="00565A60" w:rsidRPr="00351D1A" w:rsidRDefault="00565A60" w:rsidP="003F1D89">
            <w:pPr>
              <w:spacing w:line="240" w:lineRule="auto"/>
              <w:ind w:right="39" w:firstLine="18"/>
              <w:rPr>
                <w:rFonts w:eastAsia="Times New Roman"/>
                <w:sz w:val="24"/>
                <w:szCs w:val="24"/>
                <w:lang w:eastAsia="lv-LV"/>
              </w:rPr>
            </w:pPr>
            <w:r w:rsidRPr="00351D1A">
              <w:rPr>
                <w:sz w:val="24"/>
                <w:szCs w:val="24"/>
                <w:shd w:val="clear" w:color="auto" w:fill="FFFFFF"/>
              </w:rPr>
              <w:t>Administratīvo izmaksu monetārs novērtējums</w:t>
            </w:r>
          </w:p>
        </w:tc>
        <w:tc>
          <w:tcPr>
            <w:tcW w:w="3768" w:type="pct"/>
            <w:tcBorders>
              <w:top w:val="outset" w:sz="6" w:space="0" w:color="auto"/>
              <w:left w:val="outset" w:sz="6" w:space="0" w:color="auto"/>
              <w:bottom w:val="outset" w:sz="6" w:space="0" w:color="auto"/>
              <w:right w:val="outset" w:sz="6" w:space="0" w:color="auto"/>
            </w:tcBorders>
          </w:tcPr>
          <w:p w:rsidR="00565A60" w:rsidRPr="00FE1708" w:rsidRDefault="005A077B" w:rsidP="003F1D89">
            <w:pPr>
              <w:spacing w:after="120" w:line="240" w:lineRule="auto"/>
              <w:ind w:firstLine="0"/>
              <w:rPr>
                <w:rFonts w:eastAsia="Times New Roman"/>
                <w:sz w:val="24"/>
                <w:szCs w:val="24"/>
                <w:lang w:eastAsia="lv-LV"/>
              </w:rPr>
            </w:pPr>
            <w:r>
              <w:rPr>
                <w:iCs/>
                <w:sz w:val="24"/>
                <w:szCs w:val="24"/>
              </w:rPr>
              <w:t>Projekts šo jomu neskar.</w:t>
            </w:r>
          </w:p>
        </w:tc>
      </w:tr>
      <w:tr w:rsidR="00565A60" w:rsidRPr="0069556E" w:rsidTr="006E1276">
        <w:tc>
          <w:tcPr>
            <w:tcW w:w="155" w:type="pct"/>
            <w:tcBorders>
              <w:top w:val="outset" w:sz="6" w:space="0" w:color="auto"/>
              <w:left w:val="outset" w:sz="6" w:space="0" w:color="auto"/>
              <w:bottom w:val="outset" w:sz="6" w:space="0" w:color="auto"/>
              <w:right w:val="outset" w:sz="6" w:space="0" w:color="auto"/>
            </w:tcBorders>
          </w:tcPr>
          <w:p w:rsidR="00565A60" w:rsidRPr="0069556E" w:rsidRDefault="00565A60" w:rsidP="005B4A6C">
            <w:pPr>
              <w:spacing w:after="120" w:line="240" w:lineRule="auto"/>
              <w:rPr>
                <w:rFonts w:eastAsia="Times New Roman"/>
                <w:sz w:val="24"/>
                <w:szCs w:val="24"/>
                <w:lang w:eastAsia="lv-LV"/>
              </w:rPr>
            </w:pPr>
            <w:r>
              <w:rPr>
                <w:rFonts w:eastAsia="Times New Roman"/>
                <w:sz w:val="24"/>
                <w:szCs w:val="24"/>
                <w:lang w:eastAsia="lv-LV"/>
              </w:rPr>
              <w:t>4</w:t>
            </w:r>
            <w:r w:rsidR="003F1D89">
              <w:rPr>
                <w:rFonts w:eastAsia="Times New Roman"/>
                <w:sz w:val="24"/>
                <w:szCs w:val="24"/>
                <w:lang w:eastAsia="lv-LV"/>
              </w:rPr>
              <w:t>4</w:t>
            </w:r>
            <w:r w:rsidRPr="0069556E">
              <w:rPr>
                <w:rFonts w:eastAsia="Times New Roman"/>
                <w:sz w:val="24"/>
                <w:szCs w:val="24"/>
                <w:lang w:eastAsia="lv-LV"/>
              </w:rPr>
              <w:t>.</w:t>
            </w:r>
          </w:p>
        </w:tc>
        <w:tc>
          <w:tcPr>
            <w:tcW w:w="1077" w:type="pct"/>
            <w:tcBorders>
              <w:top w:val="outset" w:sz="6" w:space="0" w:color="auto"/>
              <w:left w:val="outset" w:sz="6" w:space="0" w:color="auto"/>
              <w:bottom w:val="outset" w:sz="6" w:space="0" w:color="auto"/>
              <w:right w:val="outset" w:sz="6" w:space="0" w:color="auto"/>
            </w:tcBorders>
          </w:tcPr>
          <w:p w:rsidR="00565A60" w:rsidRPr="0069556E" w:rsidRDefault="00565A60" w:rsidP="003F1D89">
            <w:pPr>
              <w:spacing w:after="120" w:line="240" w:lineRule="auto"/>
              <w:ind w:firstLine="0"/>
              <w:rPr>
                <w:rFonts w:eastAsia="Times New Roman"/>
                <w:sz w:val="24"/>
                <w:szCs w:val="24"/>
                <w:lang w:eastAsia="lv-LV"/>
              </w:rPr>
            </w:pPr>
            <w:r w:rsidRPr="0069556E">
              <w:rPr>
                <w:rFonts w:eastAsia="Times New Roman"/>
                <w:sz w:val="24"/>
                <w:szCs w:val="24"/>
                <w:lang w:eastAsia="lv-LV"/>
              </w:rPr>
              <w:t>Cita informācija</w:t>
            </w:r>
          </w:p>
        </w:tc>
        <w:tc>
          <w:tcPr>
            <w:tcW w:w="3768" w:type="pct"/>
            <w:tcBorders>
              <w:top w:val="outset" w:sz="6" w:space="0" w:color="auto"/>
              <w:left w:val="outset" w:sz="6" w:space="0" w:color="auto"/>
              <w:bottom w:val="outset" w:sz="6" w:space="0" w:color="auto"/>
              <w:right w:val="outset" w:sz="6" w:space="0" w:color="auto"/>
            </w:tcBorders>
          </w:tcPr>
          <w:p w:rsidR="00565A60" w:rsidRPr="0069556E" w:rsidRDefault="00565A60" w:rsidP="003F1D89">
            <w:pPr>
              <w:spacing w:after="120" w:line="240" w:lineRule="auto"/>
              <w:ind w:firstLine="0"/>
              <w:rPr>
                <w:rFonts w:eastAsia="Times New Roman"/>
                <w:sz w:val="24"/>
                <w:szCs w:val="24"/>
                <w:lang w:eastAsia="lv-LV"/>
              </w:rPr>
            </w:pPr>
            <w:r w:rsidRPr="0069556E">
              <w:rPr>
                <w:rFonts w:eastAsia="Times New Roman"/>
                <w:sz w:val="24"/>
                <w:szCs w:val="24"/>
                <w:lang w:eastAsia="lv-LV"/>
              </w:rPr>
              <w:t>Nav</w:t>
            </w:r>
            <w:r w:rsidR="003F1D89">
              <w:rPr>
                <w:rFonts w:eastAsia="Times New Roman"/>
                <w:sz w:val="24"/>
                <w:szCs w:val="24"/>
                <w:lang w:eastAsia="lv-LV"/>
              </w:rPr>
              <w:t>.</w:t>
            </w:r>
          </w:p>
        </w:tc>
      </w:tr>
    </w:tbl>
    <w:p w:rsidR="004A5CD9" w:rsidRDefault="004A5CD9" w:rsidP="00565A60">
      <w:pPr>
        <w:spacing w:after="120" w:line="240" w:lineRule="auto"/>
        <w:rPr>
          <w:sz w:val="16"/>
          <w:szCs w:val="16"/>
        </w:rPr>
      </w:pPr>
    </w:p>
    <w:p w:rsidR="006E1276" w:rsidRDefault="006E1276" w:rsidP="00565A60">
      <w:pPr>
        <w:spacing w:after="120" w:line="240" w:lineRule="auto"/>
        <w:rPr>
          <w:sz w:val="16"/>
          <w:szCs w:val="16"/>
        </w:rPr>
      </w:pPr>
    </w:p>
    <w:p w:rsidR="006E1276" w:rsidRDefault="006E1276" w:rsidP="00565A60">
      <w:pPr>
        <w:spacing w:after="120" w:line="240" w:lineRule="auto"/>
        <w:rPr>
          <w:sz w:val="16"/>
          <w:szCs w:val="16"/>
        </w:rPr>
      </w:pPr>
    </w:p>
    <w:p w:rsidR="006E1276" w:rsidRPr="0008700C" w:rsidRDefault="006E1276" w:rsidP="00565A60">
      <w:pPr>
        <w:spacing w:after="120" w:line="240" w:lineRule="auto"/>
        <w:rPr>
          <w:sz w:val="16"/>
          <w:szCs w:val="16"/>
        </w:rPr>
      </w:pPr>
    </w:p>
    <w:tbl>
      <w:tblPr>
        <w:tblW w:w="4884"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72"/>
      </w:tblGrid>
      <w:tr w:rsidR="004A5CD9" w:rsidRPr="000225D5" w:rsidTr="006E1276">
        <w:tc>
          <w:tcPr>
            <w:tcW w:w="5000" w:type="pct"/>
            <w:tcBorders>
              <w:top w:val="single" w:sz="4" w:space="0" w:color="auto"/>
              <w:left w:val="single" w:sz="4" w:space="0" w:color="auto"/>
              <w:bottom w:val="single" w:sz="4" w:space="0" w:color="auto"/>
              <w:right w:val="single" w:sz="4" w:space="0" w:color="auto"/>
            </w:tcBorders>
          </w:tcPr>
          <w:p w:rsidR="004A5CD9" w:rsidRPr="009521B0" w:rsidRDefault="004A5CD9" w:rsidP="00E462C3">
            <w:pPr>
              <w:jc w:val="center"/>
              <w:rPr>
                <w:sz w:val="24"/>
                <w:szCs w:val="24"/>
              </w:rPr>
            </w:pPr>
            <w:r w:rsidRPr="009521B0">
              <w:rPr>
                <w:sz w:val="24"/>
                <w:szCs w:val="24"/>
              </w:rPr>
              <w:lastRenderedPageBreak/>
              <w:br w:type="page"/>
            </w:r>
          </w:p>
          <w:p w:rsidR="004A5CD9" w:rsidRPr="009521B0" w:rsidRDefault="004A5CD9" w:rsidP="00E462C3">
            <w:pPr>
              <w:jc w:val="center"/>
              <w:rPr>
                <w:b/>
                <w:i/>
                <w:sz w:val="24"/>
                <w:szCs w:val="24"/>
              </w:rPr>
            </w:pPr>
            <w:r w:rsidRPr="009521B0">
              <w:rPr>
                <w:b/>
                <w:bCs/>
                <w:sz w:val="24"/>
                <w:szCs w:val="24"/>
              </w:rPr>
              <w:t>III. Tiesību akta projekta ietekme uz valsts budžetu un pašvaldību budžetiem</w:t>
            </w:r>
          </w:p>
        </w:tc>
      </w:tr>
      <w:tr w:rsidR="004A5CD9" w:rsidRPr="000225D5" w:rsidTr="006E1276">
        <w:trPr>
          <w:trHeight w:val="530"/>
        </w:trPr>
        <w:tc>
          <w:tcPr>
            <w:tcW w:w="5000" w:type="pct"/>
            <w:tcBorders>
              <w:top w:val="nil"/>
              <w:left w:val="single" w:sz="4" w:space="0" w:color="auto"/>
              <w:right w:val="single" w:sz="4" w:space="0" w:color="auto"/>
            </w:tcBorders>
          </w:tcPr>
          <w:p w:rsidR="004A5CD9" w:rsidRPr="009521B0" w:rsidRDefault="004A5CD9" w:rsidP="00E462C3">
            <w:pPr>
              <w:ind w:firstLine="0"/>
              <w:jc w:val="center"/>
              <w:rPr>
                <w:sz w:val="24"/>
                <w:szCs w:val="24"/>
              </w:rPr>
            </w:pPr>
          </w:p>
          <w:p w:rsidR="004A5CD9" w:rsidRPr="009521B0" w:rsidRDefault="004A5CD9" w:rsidP="00E462C3">
            <w:pPr>
              <w:jc w:val="center"/>
              <w:rPr>
                <w:b/>
              </w:rPr>
            </w:pPr>
            <w:r w:rsidRPr="00773EB4">
              <w:rPr>
                <w:bCs/>
                <w:sz w:val="24"/>
                <w:szCs w:val="24"/>
              </w:rPr>
              <w:t>Projekts šo jomu neskar.</w:t>
            </w:r>
          </w:p>
        </w:tc>
      </w:tr>
    </w:tbl>
    <w:p w:rsidR="00F7643D" w:rsidRPr="0008700C" w:rsidRDefault="00F7643D" w:rsidP="009131F3">
      <w:pPr>
        <w:spacing w:after="120" w:line="240" w:lineRule="auto"/>
        <w:ind w:firstLine="0"/>
        <w:rPr>
          <w:sz w:val="16"/>
          <w:szCs w:val="16"/>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0"/>
        <w:gridCol w:w="2077"/>
        <w:gridCol w:w="6690"/>
      </w:tblGrid>
      <w:tr w:rsidR="00F7643D" w:rsidRPr="0069556E" w:rsidTr="00695408">
        <w:trPr>
          <w:trHeight w:val="623"/>
        </w:trPr>
        <w:tc>
          <w:tcPr>
            <w:tcW w:w="5000" w:type="pct"/>
            <w:gridSpan w:val="3"/>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jc w:val="center"/>
              <w:rPr>
                <w:rFonts w:eastAsia="Times New Roman"/>
                <w:b/>
                <w:sz w:val="24"/>
                <w:szCs w:val="24"/>
                <w:lang w:eastAsia="lv-LV"/>
              </w:rPr>
            </w:pPr>
            <w:r w:rsidRPr="0069556E">
              <w:rPr>
                <w:rFonts w:eastAsia="Times New Roman"/>
                <w:b/>
                <w:sz w:val="24"/>
                <w:szCs w:val="24"/>
                <w:lang w:eastAsia="lv-LV"/>
              </w:rPr>
              <w:t>IV. Tiesību akta projekta ietekme uz spēkā esošo tiesību normu sistēmu</w:t>
            </w:r>
          </w:p>
        </w:tc>
      </w:tr>
      <w:tr w:rsidR="00F7643D" w:rsidRPr="0069556E" w:rsidTr="00695408">
        <w:tc>
          <w:tcPr>
            <w:tcW w:w="176"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rPr>
                <w:rFonts w:eastAsia="Times New Roman"/>
                <w:sz w:val="24"/>
                <w:szCs w:val="24"/>
                <w:lang w:eastAsia="lv-LV"/>
              </w:rPr>
            </w:pPr>
            <w:r w:rsidRPr="0069556E">
              <w:rPr>
                <w:rFonts w:eastAsia="Times New Roman"/>
                <w:sz w:val="24"/>
                <w:szCs w:val="24"/>
                <w:lang w:eastAsia="lv-LV"/>
              </w:rPr>
              <w:t> 1.</w:t>
            </w:r>
          </w:p>
        </w:tc>
        <w:tc>
          <w:tcPr>
            <w:tcW w:w="1143"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ind w:firstLine="0"/>
              <w:rPr>
                <w:rFonts w:eastAsia="Times New Roman"/>
                <w:sz w:val="24"/>
                <w:szCs w:val="24"/>
                <w:lang w:eastAsia="lv-LV"/>
              </w:rPr>
            </w:pPr>
            <w:r w:rsidRPr="0069556E">
              <w:rPr>
                <w:rFonts w:eastAsia="Times New Roman"/>
                <w:sz w:val="24"/>
                <w:szCs w:val="24"/>
                <w:lang w:eastAsia="lv-LV"/>
              </w:rPr>
              <w:t> Nepieciešamie saistītie tiesību aktu projekti</w:t>
            </w:r>
          </w:p>
        </w:tc>
        <w:tc>
          <w:tcPr>
            <w:tcW w:w="3681" w:type="pct"/>
            <w:tcBorders>
              <w:top w:val="outset" w:sz="6" w:space="0" w:color="auto"/>
              <w:left w:val="outset" w:sz="6" w:space="0" w:color="auto"/>
              <w:bottom w:val="outset" w:sz="6" w:space="0" w:color="auto"/>
              <w:right w:val="outset" w:sz="6" w:space="0" w:color="auto"/>
            </w:tcBorders>
          </w:tcPr>
          <w:p w:rsidR="00F7643D" w:rsidRDefault="00DB44FA" w:rsidP="00AD4F54">
            <w:pPr>
              <w:pStyle w:val="ListParagraph"/>
              <w:spacing w:after="120" w:line="240" w:lineRule="auto"/>
              <w:ind w:left="0"/>
              <w:jc w:val="both"/>
              <w:rPr>
                <w:rFonts w:ascii="Times New Roman" w:hAnsi="Times New Roman"/>
                <w:sz w:val="24"/>
                <w:szCs w:val="24"/>
                <w:lang w:val="lv-LV"/>
              </w:rPr>
            </w:pPr>
            <w:r w:rsidRPr="001A67F3">
              <w:rPr>
                <w:rFonts w:ascii="Times New Roman" w:hAnsi="Times New Roman"/>
                <w:sz w:val="24"/>
                <w:szCs w:val="24"/>
                <w:lang w:val="lv-LV"/>
              </w:rPr>
              <w:t>Nepieciešams izstrādāt grozījumus Ministru kabineta 2010.gada 30. novembra noteikumos Nr.1080 “</w:t>
            </w:r>
            <w:r w:rsidR="00AD4F54" w:rsidRPr="001A67F3">
              <w:rPr>
                <w:rFonts w:ascii="Times New Roman" w:hAnsi="Times New Roman"/>
                <w:sz w:val="24"/>
                <w:szCs w:val="24"/>
                <w:lang w:val="lv-LV"/>
              </w:rPr>
              <w:t>Transportlīdzekļu reģistrācijas noteikumi”</w:t>
            </w:r>
            <w:r w:rsidR="00480827" w:rsidRPr="001A67F3">
              <w:rPr>
                <w:rFonts w:ascii="Times New Roman" w:hAnsi="Times New Roman"/>
                <w:sz w:val="24"/>
                <w:szCs w:val="24"/>
                <w:lang w:val="lv-LV"/>
              </w:rPr>
              <w:t xml:space="preserve">, </w:t>
            </w:r>
            <w:r w:rsidR="0058364C" w:rsidRPr="006A7837">
              <w:rPr>
                <w:rFonts w:ascii="Times New Roman" w:hAnsi="Times New Roman"/>
                <w:sz w:val="24"/>
                <w:szCs w:val="24"/>
                <w:lang w:val="lv-LV"/>
              </w:rPr>
              <w:t xml:space="preserve">Ministru kabineta 2010. gada 12. maija noteikumi Nr. 435 “Traktortehnikas un tās piekabju reģistrācijas noteikumi”, </w:t>
            </w:r>
            <w:r w:rsidR="00480827" w:rsidRPr="001A67F3">
              <w:rPr>
                <w:rFonts w:ascii="Times New Roman" w:hAnsi="Times New Roman"/>
                <w:sz w:val="24"/>
                <w:szCs w:val="24"/>
                <w:lang w:val="lv-LV"/>
              </w:rPr>
              <w:t>Ministru kabineta</w:t>
            </w:r>
            <w:r w:rsidR="00AD4F54" w:rsidRPr="001A67F3">
              <w:rPr>
                <w:rFonts w:ascii="Times New Roman" w:hAnsi="Times New Roman"/>
                <w:sz w:val="24"/>
                <w:szCs w:val="24"/>
                <w:lang w:val="lv-LV"/>
              </w:rPr>
              <w:t xml:space="preserve"> 2007.gada 18.decembra </w:t>
            </w:r>
            <w:r w:rsidR="00480827" w:rsidRPr="001A67F3">
              <w:rPr>
                <w:rFonts w:ascii="Times New Roman" w:hAnsi="Times New Roman"/>
                <w:sz w:val="24"/>
                <w:szCs w:val="24"/>
                <w:lang w:val="lv-LV"/>
              </w:rPr>
              <w:t xml:space="preserve"> noteikumos</w:t>
            </w:r>
            <w:r w:rsidR="00AD4F54" w:rsidRPr="001A67F3">
              <w:rPr>
                <w:rFonts w:ascii="Times New Roman" w:hAnsi="Times New Roman"/>
                <w:sz w:val="24"/>
                <w:szCs w:val="24"/>
                <w:lang w:val="lv-LV"/>
              </w:rPr>
              <w:t xml:space="preserve"> Nr.876 “Transportlīdzekļu un to numurēto agregātu tirdzniecības noteikumi”</w:t>
            </w:r>
            <w:r w:rsidR="0058364C" w:rsidRPr="001A67F3">
              <w:rPr>
                <w:rFonts w:ascii="Times New Roman" w:hAnsi="Times New Roman"/>
                <w:sz w:val="24"/>
                <w:szCs w:val="24"/>
                <w:lang w:val="lv-LV"/>
              </w:rPr>
              <w:t xml:space="preserve">, </w:t>
            </w:r>
            <w:r w:rsidR="0058364C" w:rsidRPr="006A7837">
              <w:rPr>
                <w:rFonts w:ascii="Times New Roman" w:hAnsi="Times New Roman"/>
                <w:sz w:val="24"/>
                <w:szCs w:val="24"/>
                <w:lang w:val="lv-LV"/>
              </w:rPr>
              <w:t>Ministru kabineta 2007. gada 18. decembra noteikumi Nr. 897 “Noteikumi par traktortehnikas, tās piekabju un numurēto agregātu tirdzniecības vietas reģistrācijas kārtību un tirdzniecības prasībām, kā arī tirdzniecības valsts reģistrācijas numura zīmju izmantošanas kārtību”</w:t>
            </w:r>
            <w:r w:rsidR="00AD4F54" w:rsidRPr="001A67F3">
              <w:rPr>
                <w:rFonts w:ascii="Times New Roman" w:hAnsi="Times New Roman"/>
                <w:sz w:val="24"/>
                <w:szCs w:val="24"/>
                <w:lang w:val="lv-LV"/>
              </w:rPr>
              <w:t xml:space="preserve"> un Latvijas </w:t>
            </w:r>
            <w:r w:rsidR="00480827" w:rsidRPr="001A67F3">
              <w:rPr>
                <w:rFonts w:ascii="Times New Roman" w:hAnsi="Times New Roman"/>
                <w:sz w:val="24"/>
                <w:szCs w:val="24"/>
                <w:lang w:val="lv-LV"/>
              </w:rPr>
              <w:t>Administratīvo pārkāpumu kodeksā.</w:t>
            </w:r>
          </w:p>
          <w:p w:rsidR="00CD67A9" w:rsidRPr="001A67F3" w:rsidRDefault="0008700C" w:rsidP="00CD67A9">
            <w:pPr>
              <w:pStyle w:val="ListParagraph"/>
              <w:spacing w:after="120" w:line="240" w:lineRule="auto"/>
              <w:ind w:left="0"/>
              <w:jc w:val="both"/>
              <w:rPr>
                <w:rFonts w:ascii="Times New Roman" w:hAnsi="Times New Roman"/>
                <w:sz w:val="24"/>
                <w:szCs w:val="24"/>
                <w:lang w:val="lv-LV"/>
              </w:rPr>
            </w:pPr>
            <w:r>
              <w:rPr>
                <w:rFonts w:ascii="Times New Roman" w:hAnsi="Times New Roman"/>
                <w:sz w:val="24"/>
                <w:szCs w:val="24"/>
                <w:lang w:val="lv-LV"/>
              </w:rPr>
              <w:t>Grozījumus Ceļu satiksmes likuma 9.panta ceturtā, piektā un sestā daļā, nepieciešams skatīt kopā ar likumprojektu “Grozījumi</w:t>
            </w:r>
            <w:r w:rsidRPr="0008700C">
              <w:rPr>
                <w:rFonts w:ascii="Times New Roman" w:hAnsi="Times New Roman"/>
                <w:sz w:val="24"/>
                <w:szCs w:val="24"/>
                <w:lang w:val="lv-LV"/>
              </w:rPr>
              <w:t xml:space="preserve"> Transportlīdzekļa ekspluatācijas nodokļa un uzņēmumu vieglo transportlīdzekļu nodokļa likumā</w:t>
            </w:r>
            <w:r>
              <w:rPr>
                <w:rFonts w:ascii="Times New Roman" w:hAnsi="Times New Roman"/>
                <w:sz w:val="24"/>
                <w:szCs w:val="24"/>
                <w:lang w:val="lv-LV"/>
              </w:rPr>
              <w:t>”.</w:t>
            </w:r>
          </w:p>
        </w:tc>
      </w:tr>
      <w:tr w:rsidR="00F7643D" w:rsidRPr="0069556E" w:rsidTr="00695408">
        <w:tc>
          <w:tcPr>
            <w:tcW w:w="176"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rPr>
                <w:rFonts w:eastAsia="Times New Roman"/>
                <w:sz w:val="24"/>
                <w:szCs w:val="24"/>
                <w:lang w:eastAsia="lv-LV"/>
              </w:rPr>
            </w:pPr>
            <w:r>
              <w:rPr>
                <w:rFonts w:eastAsia="Times New Roman"/>
                <w:sz w:val="24"/>
                <w:szCs w:val="24"/>
                <w:lang w:eastAsia="lv-LV"/>
              </w:rPr>
              <w:t>22.</w:t>
            </w:r>
          </w:p>
        </w:tc>
        <w:tc>
          <w:tcPr>
            <w:tcW w:w="1143" w:type="pct"/>
            <w:tcBorders>
              <w:top w:val="outset" w:sz="6" w:space="0" w:color="auto"/>
              <w:left w:val="outset" w:sz="6" w:space="0" w:color="auto"/>
              <w:bottom w:val="outset" w:sz="6" w:space="0" w:color="auto"/>
              <w:right w:val="outset" w:sz="6" w:space="0" w:color="auto"/>
            </w:tcBorders>
          </w:tcPr>
          <w:p w:rsidR="00F7643D" w:rsidRPr="00351D1A" w:rsidRDefault="00F7643D" w:rsidP="007E7CD8">
            <w:pPr>
              <w:spacing w:after="120" w:line="240" w:lineRule="auto"/>
              <w:ind w:firstLine="0"/>
              <w:rPr>
                <w:rFonts w:eastAsia="Times New Roman"/>
                <w:sz w:val="24"/>
                <w:szCs w:val="24"/>
                <w:lang w:eastAsia="lv-LV"/>
              </w:rPr>
            </w:pPr>
            <w:r w:rsidRPr="00FA3FE6">
              <w:rPr>
                <w:sz w:val="24"/>
                <w:szCs w:val="24"/>
                <w:shd w:val="clear" w:color="auto" w:fill="FFFFFF"/>
              </w:rPr>
              <w:t>Atbildīgā institūcija</w:t>
            </w:r>
          </w:p>
        </w:tc>
        <w:tc>
          <w:tcPr>
            <w:tcW w:w="3681" w:type="pct"/>
            <w:tcBorders>
              <w:top w:val="outset" w:sz="6" w:space="0" w:color="auto"/>
              <w:left w:val="outset" w:sz="6" w:space="0" w:color="auto"/>
              <w:bottom w:val="outset" w:sz="6" w:space="0" w:color="auto"/>
              <w:right w:val="outset" w:sz="6" w:space="0" w:color="auto"/>
            </w:tcBorders>
          </w:tcPr>
          <w:p w:rsidR="00F7643D" w:rsidRPr="001A67F3" w:rsidRDefault="00F7643D" w:rsidP="007E7CD8">
            <w:pPr>
              <w:pStyle w:val="naisvisr"/>
              <w:spacing w:before="0" w:after="120"/>
              <w:jc w:val="both"/>
              <w:rPr>
                <w:b w:val="0"/>
                <w:sz w:val="24"/>
                <w:szCs w:val="24"/>
              </w:rPr>
            </w:pPr>
            <w:r w:rsidRPr="001A67F3">
              <w:rPr>
                <w:b w:val="0"/>
                <w:sz w:val="24"/>
                <w:szCs w:val="24"/>
              </w:rPr>
              <w:t>Satiksmes ministrija</w:t>
            </w:r>
            <w:r w:rsidR="003F3D9C" w:rsidRPr="001A67F3">
              <w:rPr>
                <w:b w:val="0"/>
                <w:sz w:val="24"/>
                <w:szCs w:val="24"/>
              </w:rPr>
              <w:t xml:space="preserve">, </w:t>
            </w:r>
            <w:r w:rsidR="00913BE6">
              <w:rPr>
                <w:b w:val="0"/>
                <w:sz w:val="24"/>
                <w:szCs w:val="24"/>
              </w:rPr>
              <w:t>Zemkopības ministrija.</w:t>
            </w:r>
          </w:p>
        </w:tc>
      </w:tr>
      <w:tr w:rsidR="00F7643D" w:rsidRPr="0069556E" w:rsidTr="00695408">
        <w:tc>
          <w:tcPr>
            <w:tcW w:w="176"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rPr>
                <w:rFonts w:eastAsia="Times New Roman"/>
                <w:sz w:val="24"/>
                <w:szCs w:val="24"/>
                <w:lang w:eastAsia="lv-LV"/>
              </w:rPr>
            </w:pPr>
            <w:r w:rsidRPr="0069556E">
              <w:rPr>
                <w:rFonts w:eastAsia="Times New Roman"/>
                <w:sz w:val="24"/>
                <w:szCs w:val="24"/>
                <w:lang w:eastAsia="lv-LV"/>
              </w:rPr>
              <w:t> </w:t>
            </w:r>
            <w:r>
              <w:rPr>
                <w:rFonts w:eastAsia="Times New Roman"/>
                <w:sz w:val="24"/>
                <w:szCs w:val="24"/>
                <w:lang w:eastAsia="lv-LV"/>
              </w:rPr>
              <w:t>3</w:t>
            </w:r>
            <w:r w:rsidRPr="0069556E">
              <w:rPr>
                <w:rFonts w:eastAsia="Times New Roman"/>
                <w:sz w:val="24"/>
                <w:szCs w:val="24"/>
                <w:lang w:eastAsia="lv-LV"/>
              </w:rPr>
              <w:t>.</w:t>
            </w:r>
          </w:p>
        </w:tc>
        <w:tc>
          <w:tcPr>
            <w:tcW w:w="1143"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ind w:firstLine="0"/>
              <w:rPr>
                <w:rFonts w:eastAsia="Times New Roman"/>
                <w:sz w:val="24"/>
                <w:szCs w:val="24"/>
                <w:lang w:eastAsia="lv-LV"/>
              </w:rPr>
            </w:pPr>
            <w:r w:rsidRPr="0069556E">
              <w:rPr>
                <w:rFonts w:eastAsia="Times New Roman"/>
                <w:sz w:val="24"/>
                <w:szCs w:val="24"/>
                <w:lang w:eastAsia="lv-LV"/>
              </w:rPr>
              <w:t>Cita informācija</w:t>
            </w:r>
          </w:p>
        </w:tc>
        <w:tc>
          <w:tcPr>
            <w:tcW w:w="3681" w:type="pct"/>
            <w:tcBorders>
              <w:top w:val="outset" w:sz="6" w:space="0" w:color="auto"/>
              <w:left w:val="outset" w:sz="6" w:space="0" w:color="auto"/>
              <w:bottom w:val="outset" w:sz="6" w:space="0" w:color="auto"/>
              <w:right w:val="outset" w:sz="6" w:space="0" w:color="auto"/>
            </w:tcBorders>
          </w:tcPr>
          <w:p w:rsidR="00F7643D" w:rsidRPr="0069556E" w:rsidRDefault="00F7643D" w:rsidP="007E7CD8">
            <w:pPr>
              <w:spacing w:after="120" w:line="240" w:lineRule="auto"/>
              <w:ind w:firstLine="0"/>
              <w:rPr>
                <w:rFonts w:eastAsia="Times New Roman"/>
                <w:sz w:val="24"/>
                <w:szCs w:val="24"/>
                <w:lang w:eastAsia="lv-LV"/>
              </w:rPr>
            </w:pPr>
            <w:r>
              <w:rPr>
                <w:rFonts w:eastAsia="Times New Roman"/>
                <w:sz w:val="24"/>
                <w:szCs w:val="24"/>
                <w:lang w:eastAsia="lv-LV"/>
              </w:rPr>
              <w:t>Nav.</w:t>
            </w:r>
          </w:p>
        </w:tc>
      </w:tr>
    </w:tbl>
    <w:p w:rsidR="009521B0" w:rsidRPr="0008700C" w:rsidRDefault="009521B0" w:rsidP="00565A60">
      <w:pPr>
        <w:spacing w:after="120" w:line="240" w:lineRule="auto"/>
        <w:rPr>
          <w:sz w:val="16"/>
          <w:szCs w:val="16"/>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3F2380" w:rsidRPr="00AD4676" w:rsidTr="006E1276">
        <w:tc>
          <w:tcPr>
            <w:tcW w:w="9087" w:type="dxa"/>
            <w:shd w:val="clear" w:color="auto" w:fill="auto"/>
          </w:tcPr>
          <w:p w:rsidR="003F2380" w:rsidRPr="00AD4676" w:rsidRDefault="003F2380" w:rsidP="00A058C7">
            <w:pPr>
              <w:spacing w:before="100" w:beforeAutospacing="1" w:after="100" w:afterAutospacing="1" w:line="240" w:lineRule="auto"/>
              <w:ind w:firstLine="0"/>
              <w:jc w:val="center"/>
              <w:rPr>
                <w:rFonts w:eastAsia="Times New Roman"/>
                <w:b/>
                <w:sz w:val="24"/>
                <w:szCs w:val="24"/>
                <w:lang w:eastAsia="lv-LV"/>
              </w:rPr>
            </w:pPr>
            <w:r w:rsidRPr="00AD4676">
              <w:rPr>
                <w:rFonts w:eastAsia="Times New Roman"/>
                <w:b/>
                <w:sz w:val="24"/>
                <w:szCs w:val="24"/>
                <w:lang w:eastAsia="lv-LV"/>
              </w:rPr>
              <w:t>V. Tiesību akta projekta atbilstība Latvijas Republikas starptautiskajām saistībām</w:t>
            </w:r>
          </w:p>
        </w:tc>
      </w:tr>
      <w:tr w:rsidR="001676B9" w:rsidRPr="00AD4676" w:rsidTr="006E1276">
        <w:trPr>
          <w:trHeight w:val="630"/>
        </w:trPr>
        <w:tc>
          <w:tcPr>
            <w:tcW w:w="9087" w:type="dxa"/>
            <w:shd w:val="clear" w:color="auto" w:fill="auto"/>
          </w:tcPr>
          <w:p w:rsidR="001676B9" w:rsidRDefault="001676B9" w:rsidP="001676B9">
            <w:pPr>
              <w:spacing w:line="240" w:lineRule="auto"/>
              <w:ind w:firstLine="0"/>
              <w:jc w:val="center"/>
              <w:rPr>
                <w:iCs/>
                <w:sz w:val="24"/>
                <w:szCs w:val="24"/>
              </w:rPr>
            </w:pPr>
          </w:p>
          <w:p w:rsidR="001676B9" w:rsidRPr="00AD4676" w:rsidRDefault="001676B9" w:rsidP="001676B9">
            <w:pPr>
              <w:spacing w:line="240" w:lineRule="auto"/>
              <w:ind w:firstLine="0"/>
              <w:jc w:val="center"/>
              <w:rPr>
                <w:sz w:val="24"/>
                <w:szCs w:val="24"/>
              </w:rPr>
            </w:pPr>
            <w:r>
              <w:rPr>
                <w:iCs/>
                <w:sz w:val="24"/>
                <w:szCs w:val="24"/>
              </w:rPr>
              <w:t>Projekts šo jomu neskar.</w:t>
            </w:r>
          </w:p>
        </w:tc>
      </w:tr>
    </w:tbl>
    <w:p w:rsidR="00227839" w:rsidRPr="0008700C" w:rsidRDefault="00227839" w:rsidP="009131F3">
      <w:pPr>
        <w:spacing w:after="120" w:line="240" w:lineRule="auto"/>
        <w:ind w:firstLine="0"/>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543"/>
        <w:gridCol w:w="5103"/>
      </w:tblGrid>
      <w:tr w:rsidR="00FB4216" w:rsidRPr="009F22EC" w:rsidTr="006E1276">
        <w:trPr>
          <w:trHeight w:val="421"/>
        </w:trPr>
        <w:tc>
          <w:tcPr>
            <w:tcW w:w="9072" w:type="dxa"/>
            <w:gridSpan w:val="3"/>
          </w:tcPr>
          <w:p w:rsidR="00FB4216" w:rsidRPr="009F22EC" w:rsidRDefault="00FB4216" w:rsidP="00727FC8">
            <w:pPr>
              <w:pStyle w:val="naisnod"/>
              <w:spacing w:before="0" w:beforeAutospacing="0" w:after="0" w:afterAutospacing="0"/>
              <w:ind w:left="57" w:right="57"/>
              <w:jc w:val="center"/>
            </w:pPr>
            <w:r w:rsidRPr="009F22EC">
              <w:rPr>
                <w:b/>
              </w:rPr>
              <w:t>VI. Sabiedrības līdzdalība un komunikācijas aktivitātes</w:t>
            </w:r>
          </w:p>
        </w:tc>
      </w:tr>
      <w:tr w:rsidR="00FB4216" w:rsidRPr="009F22EC" w:rsidTr="006E1276">
        <w:trPr>
          <w:trHeight w:val="553"/>
        </w:trPr>
        <w:tc>
          <w:tcPr>
            <w:tcW w:w="426" w:type="dxa"/>
          </w:tcPr>
          <w:p w:rsidR="00FB4216" w:rsidRPr="009F22EC" w:rsidRDefault="00FB4216" w:rsidP="00727FC8">
            <w:pPr>
              <w:tabs>
                <w:tab w:val="left" w:pos="170"/>
              </w:tabs>
              <w:spacing w:line="240" w:lineRule="auto"/>
              <w:ind w:left="57" w:right="57" w:firstLine="46"/>
              <w:rPr>
                <w:sz w:val="24"/>
                <w:szCs w:val="24"/>
                <w:lang w:eastAsia="lv-LV"/>
              </w:rPr>
            </w:pPr>
            <w:r>
              <w:rPr>
                <w:sz w:val="24"/>
                <w:szCs w:val="24"/>
                <w:lang w:eastAsia="lv-LV"/>
              </w:rPr>
              <w:t>1.</w:t>
            </w:r>
          </w:p>
        </w:tc>
        <w:tc>
          <w:tcPr>
            <w:tcW w:w="3543" w:type="dxa"/>
          </w:tcPr>
          <w:p w:rsidR="00FB4216" w:rsidRPr="009F22EC" w:rsidRDefault="00FB4216" w:rsidP="00727FC8">
            <w:pPr>
              <w:tabs>
                <w:tab w:val="left" w:pos="170"/>
              </w:tabs>
              <w:spacing w:line="240" w:lineRule="auto"/>
              <w:ind w:left="57" w:right="57" w:firstLine="46"/>
              <w:rPr>
                <w:sz w:val="24"/>
                <w:szCs w:val="24"/>
                <w:lang w:eastAsia="lv-LV"/>
              </w:rPr>
            </w:pPr>
            <w:r w:rsidRPr="009F22EC">
              <w:rPr>
                <w:sz w:val="24"/>
                <w:szCs w:val="24"/>
                <w:lang w:eastAsia="lv-LV"/>
              </w:rPr>
              <w:t>Plānotās sabiedrības līdzdalības un komunikācijas aktivitātes saistībā ar projektu</w:t>
            </w:r>
          </w:p>
        </w:tc>
        <w:tc>
          <w:tcPr>
            <w:tcW w:w="5103" w:type="dxa"/>
          </w:tcPr>
          <w:p w:rsidR="00FB4216" w:rsidRPr="009F22EC" w:rsidRDefault="005A077B" w:rsidP="00254C83">
            <w:pPr>
              <w:spacing w:line="240" w:lineRule="auto"/>
              <w:ind w:left="47" w:firstLine="0"/>
              <w:rPr>
                <w:sz w:val="24"/>
                <w:szCs w:val="24"/>
                <w:lang w:eastAsia="lv-LV"/>
              </w:rPr>
            </w:pPr>
            <w:bookmarkStart w:id="0" w:name="p61"/>
            <w:bookmarkStart w:id="1" w:name="468650"/>
            <w:bookmarkEnd w:id="0"/>
            <w:bookmarkEnd w:id="1"/>
            <w:r>
              <w:rPr>
                <w:sz w:val="24"/>
                <w:szCs w:val="24"/>
                <w:lang w:eastAsia="lv-LV"/>
              </w:rPr>
              <w:t xml:space="preserve">Paziņojums par sabiedrības līdzdalību likumprojekta izstrādē ir ievietots Satiksmes ministrijas </w:t>
            </w:r>
            <w:r w:rsidR="00AD4F54">
              <w:rPr>
                <w:sz w:val="24"/>
                <w:szCs w:val="24"/>
                <w:lang w:eastAsia="lv-LV"/>
              </w:rPr>
              <w:t>tīmekļa vietnē 2016.gada 19</w:t>
            </w:r>
            <w:r>
              <w:rPr>
                <w:sz w:val="24"/>
                <w:szCs w:val="24"/>
                <w:lang w:eastAsia="lv-LV"/>
              </w:rPr>
              <w:t>.maijā.</w:t>
            </w:r>
          </w:p>
        </w:tc>
      </w:tr>
      <w:tr w:rsidR="00FB4216" w:rsidRPr="009F22EC" w:rsidTr="006E1276">
        <w:trPr>
          <w:trHeight w:val="339"/>
        </w:trPr>
        <w:tc>
          <w:tcPr>
            <w:tcW w:w="426" w:type="dxa"/>
          </w:tcPr>
          <w:p w:rsidR="00FB4216" w:rsidRPr="009F22EC" w:rsidRDefault="00FB4216" w:rsidP="00727FC8">
            <w:pPr>
              <w:spacing w:line="240" w:lineRule="auto"/>
              <w:ind w:left="57" w:right="57" w:firstLine="46"/>
              <w:rPr>
                <w:sz w:val="24"/>
                <w:szCs w:val="24"/>
                <w:lang w:eastAsia="lv-LV"/>
              </w:rPr>
            </w:pPr>
            <w:r>
              <w:rPr>
                <w:sz w:val="24"/>
                <w:szCs w:val="24"/>
                <w:lang w:eastAsia="lv-LV"/>
              </w:rPr>
              <w:t>2.</w:t>
            </w:r>
          </w:p>
        </w:tc>
        <w:tc>
          <w:tcPr>
            <w:tcW w:w="3543" w:type="dxa"/>
          </w:tcPr>
          <w:p w:rsidR="00FB4216" w:rsidRPr="009F22EC" w:rsidRDefault="00FB4216" w:rsidP="00727FC8">
            <w:pPr>
              <w:spacing w:line="240" w:lineRule="auto"/>
              <w:ind w:left="57" w:right="57" w:firstLine="46"/>
              <w:rPr>
                <w:sz w:val="24"/>
                <w:szCs w:val="24"/>
                <w:lang w:eastAsia="lv-LV"/>
              </w:rPr>
            </w:pPr>
            <w:r w:rsidRPr="009F22EC">
              <w:rPr>
                <w:sz w:val="24"/>
                <w:szCs w:val="24"/>
                <w:lang w:eastAsia="lv-LV"/>
              </w:rPr>
              <w:t>Sabiedrības līdzdalība projekta izstrādē</w:t>
            </w:r>
          </w:p>
        </w:tc>
        <w:tc>
          <w:tcPr>
            <w:tcW w:w="5103" w:type="dxa"/>
          </w:tcPr>
          <w:p w:rsidR="00FB4216" w:rsidRPr="009F22EC" w:rsidRDefault="00AD4F54" w:rsidP="00AD4F54">
            <w:pPr>
              <w:shd w:val="clear" w:color="auto" w:fill="FFFFFF"/>
              <w:spacing w:line="240" w:lineRule="auto"/>
              <w:ind w:firstLine="0"/>
              <w:rPr>
                <w:sz w:val="24"/>
                <w:szCs w:val="24"/>
                <w:lang w:eastAsia="lv-LV"/>
              </w:rPr>
            </w:pPr>
            <w:bookmarkStart w:id="2" w:name="p62"/>
            <w:bookmarkEnd w:id="2"/>
            <w:r w:rsidRPr="00E46FBE">
              <w:rPr>
                <w:sz w:val="24"/>
                <w:szCs w:val="24"/>
              </w:rPr>
              <w:t xml:space="preserve">Atbilstoši Ministru kabineta 2009.gada 25.augusta noteikumu Nr.970 </w:t>
            </w:r>
            <w:r>
              <w:rPr>
                <w:sz w:val="24"/>
                <w:szCs w:val="24"/>
              </w:rPr>
              <w:t>„</w:t>
            </w:r>
            <w:r w:rsidRPr="00E46FBE">
              <w:rPr>
                <w:sz w:val="24"/>
                <w:szCs w:val="24"/>
              </w:rPr>
              <w:t>Sabiedrības līdzdalības kārtība attīstības plānošanas procesā</w:t>
            </w:r>
            <w:r>
              <w:rPr>
                <w:sz w:val="24"/>
                <w:szCs w:val="24"/>
              </w:rPr>
              <w:t>”</w:t>
            </w:r>
            <w:r w:rsidRPr="00E46FBE">
              <w:rPr>
                <w:sz w:val="24"/>
                <w:szCs w:val="24"/>
              </w:rPr>
              <w:t xml:space="preserve"> 7.4.</w:t>
            </w:r>
            <w:r w:rsidRPr="00E46FBE">
              <w:rPr>
                <w:sz w:val="24"/>
                <w:szCs w:val="24"/>
                <w:vertAlign w:val="superscript"/>
              </w:rPr>
              <w:t xml:space="preserve">1 </w:t>
            </w:r>
            <w:r w:rsidRPr="00E46FBE">
              <w:rPr>
                <w:sz w:val="24"/>
                <w:szCs w:val="24"/>
              </w:rPr>
              <w:t xml:space="preserve">apakšpunktam, </w:t>
            </w:r>
            <w:r>
              <w:rPr>
                <w:sz w:val="24"/>
                <w:szCs w:val="24"/>
              </w:rPr>
              <w:t xml:space="preserve">sabiedrībai tika dota iespēja </w:t>
            </w:r>
            <w:r w:rsidRPr="00E46FBE">
              <w:rPr>
                <w:sz w:val="24"/>
                <w:szCs w:val="24"/>
              </w:rPr>
              <w:t>rakstiski snie</w:t>
            </w:r>
            <w:r>
              <w:rPr>
                <w:sz w:val="24"/>
                <w:szCs w:val="24"/>
              </w:rPr>
              <w:t>gt</w:t>
            </w:r>
            <w:r w:rsidRPr="00E46FBE">
              <w:rPr>
                <w:sz w:val="24"/>
                <w:szCs w:val="24"/>
              </w:rPr>
              <w:t xml:space="preserve"> viedokli par </w:t>
            </w:r>
            <w:r>
              <w:rPr>
                <w:sz w:val="24"/>
                <w:szCs w:val="24"/>
              </w:rPr>
              <w:t>likum</w:t>
            </w:r>
            <w:r w:rsidRPr="00E46FBE">
              <w:rPr>
                <w:sz w:val="24"/>
                <w:szCs w:val="24"/>
              </w:rPr>
              <w:t>projektu tā izstrādes stadijā.</w:t>
            </w:r>
          </w:p>
        </w:tc>
      </w:tr>
      <w:tr w:rsidR="00FB4216" w:rsidRPr="009F22EC" w:rsidTr="006E1276">
        <w:trPr>
          <w:trHeight w:val="476"/>
        </w:trPr>
        <w:tc>
          <w:tcPr>
            <w:tcW w:w="426" w:type="dxa"/>
          </w:tcPr>
          <w:p w:rsidR="00FB4216" w:rsidRPr="009F22EC" w:rsidRDefault="00FB4216" w:rsidP="00727FC8">
            <w:pPr>
              <w:spacing w:line="240" w:lineRule="auto"/>
              <w:ind w:left="57" w:right="57" w:firstLine="46"/>
              <w:rPr>
                <w:sz w:val="24"/>
                <w:szCs w:val="24"/>
                <w:lang w:eastAsia="lv-LV"/>
              </w:rPr>
            </w:pPr>
            <w:r>
              <w:rPr>
                <w:sz w:val="24"/>
                <w:szCs w:val="24"/>
                <w:lang w:eastAsia="lv-LV"/>
              </w:rPr>
              <w:t>3.</w:t>
            </w:r>
          </w:p>
        </w:tc>
        <w:tc>
          <w:tcPr>
            <w:tcW w:w="3543" w:type="dxa"/>
          </w:tcPr>
          <w:p w:rsidR="00FB4216" w:rsidRPr="009F22EC" w:rsidRDefault="00FB4216" w:rsidP="00727FC8">
            <w:pPr>
              <w:spacing w:line="240" w:lineRule="auto"/>
              <w:ind w:left="57" w:right="57" w:firstLine="46"/>
              <w:rPr>
                <w:sz w:val="24"/>
                <w:szCs w:val="24"/>
                <w:lang w:eastAsia="lv-LV"/>
              </w:rPr>
            </w:pPr>
            <w:r w:rsidRPr="009F22EC">
              <w:rPr>
                <w:sz w:val="24"/>
                <w:szCs w:val="24"/>
                <w:lang w:eastAsia="lv-LV"/>
              </w:rPr>
              <w:t>Sabiedrības līdzdalības rezultāti</w:t>
            </w:r>
          </w:p>
        </w:tc>
        <w:tc>
          <w:tcPr>
            <w:tcW w:w="5103" w:type="dxa"/>
          </w:tcPr>
          <w:p w:rsidR="00FB4216" w:rsidRPr="009F22EC" w:rsidRDefault="00AD4F54" w:rsidP="00404108">
            <w:pPr>
              <w:shd w:val="clear" w:color="auto" w:fill="FFFFFF"/>
              <w:spacing w:line="240" w:lineRule="auto"/>
              <w:ind w:firstLine="0"/>
              <w:rPr>
                <w:sz w:val="24"/>
                <w:szCs w:val="24"/>
                <w:lang w:eastAsia="lv-LV"/>
              </w:rPr>
            </w:pPr>
            <w:r>
              <w:rPr>
                <w:sz w:val="24"/>
                <w:szCs w:val="24"/>
              </w:rPr>
              <w:t>Sabiedrības atsauksmes nav saņemtas.</w:t>
            </w:r>
          </w:p>
        </w:tc>
      </w:tr>
      <w:tr w:rsidR="00FB4216" w:rsidRPr="009F22EC" w:rsidTr="006E1276">
        <w:trPr>
          <w:trHeight w:val="476"/>
        </w:trPr>
        <w:tc>
          <w:tcPr>
            <w:tcW w:w="426" w:type="dxa"/>
          </w:tcPr>
          <w:p w:rsidR="00FB4216" w:rsidRPr="009F22EC" w:rsidRDefault="00FB4216" w:rsidP="00727FC8">
            <w:pPr>
              <w:spacing w:line="240" w:lineRule="auto"/>
              <w:ind w:left="57" w:right="57" w:firstLine="46"/>
              <w:rPr>
                <w:sz w:val="24"/>
                <w:szCs w:val="24"/>
                <w:lang w:eastAsia="lv-LV"/>
              </w:rPr>
            </w:pPr>
            <w:r>
              <w:rPr>
                <w:sz w:val="24"/>
                <w:szCs w:val="24"/>
                <w:lang w:eastAsia="lv-LV"/>
              </w:rPr>
              <w:t>4.</w:t>
            </w:r>
          </w:p>
        </w:tc>
        <w:tc>
          <w:tcPr>
            <w:tcW w:w="3543" w:type="dxa"/>
          </w:tcPr>
          <w:p w:rsidR="00FB4216" w:rsidRPr="009F22EC" w:rsidRDefault="00FB4216" w:rsidP="00727FC8">
            <w:pPr>
              <w:spacing w:line="240" w:lineRule="auto"/>
              <w:ind w:left="57" w:right="57" w:firstLine="46"/>
              <w:rPr>
                <w:sz w:val="24"/>
                <w:szCs w:val="24"/>
                <w:lang w:eastAsia="lv-LV"/>
              </w:rPr>
            </w:pPr>
            <w:r w:rsidRPr="009F22EC">
              <w:rPr>
                <w:sz w:val="24"/>
                <w:szCs w:val="24"/>
                <w:lang w:eastAsia="lv-LV"/>
              </w:rPr>
              <w:t>Cita informācija</w:t>
            </w:r>
          </w:p>
        </w:tc>
        <w:tc>
          <w:tcPr>
            <w:tcW w:w="5103" w:type="dxa"/>
          </w:tcPr>
          <w:p w:rsidR="00FB4216" w:rsidRPr="009F22EC" w:rsidRDefault="00FB4216" w:rsidP="00727FC8">
            <w:pPr>
              <w:spacing w:line="240" w:lineRule="auto"/>
              <w:ind w:left="47" w:right="57" w:firstLine="0"/>
              <w:rPr>
                <w:sz w:val="24"/>
                <w:szCs w:val="24"/>
                <w:lang w:eastAsia="lv-LV"/>
              </w:rPr>
            </w:pPr>
            <w:r w:rsidRPr="009F22EC">
              <w:rPr>
                <w:sz w:val="24"/>
                <w:szCs w:val="24"/>
              </w:rPr>
              <w:t>Nav.</w:t>
            </w:r>
          </w:p>
        </w:tc>
      </w:tr>
    </w:tbl>
    <w:p w:rsidR="004B139E" w:rsidRPr="0008700C" w:rsidRDefault="004B139E" w:rsidP="009131F3">
      <w:pPr>
        <w:spacing w:after="120" w:line="240" w:lineRule="auto"/>
        <w:ind w:firstLine="0"/>
        <w:rPr>
          <w:sz w:val="16"/>
          <w:szCs w:val="16"/>
        </w:rPr>
      </w:pPr>
    </w:p>
    <w:tbl>
      <w:tblPr>
        <w:tblW w:w="4852"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
        <w:gridCol w:w="3360"/>
        <w:gridCol w:w="5141"/>
      </w:tblGrid>
      <w:tr w:rsidR="00565A60" w:rsidRPr="0069556E" w:rsidTr="0008700C">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565A60" w:rsidRPr="0069556E" w:rsidRDefault="00565A60" w:rsidP="005B4A6C">
            <w:pPr>
              <w:spacing w:after="120" w:line="240" w:lineRule="auto"/>
              <w:jc w:val="center"/>
              <w:rPr>
                <w:rFonts w:eastAsia="Times New Roman"/>
                <w:b/>
                <w:bCs/>
                <w:sz w:val="24"/>
                <w:szCs w:val="24"/>
                <w:lang w:eastAsia="lv-LV"/>
              </w:rPr>
            </w:pPr>
          </w:p>
          <w:p w:rsidR="00565A60" w:rsidRPr="0069556E" w:rsidRDefault="00565A60" w:rsidP="005B4A6C">
            <w:pPr>
              <w:spacing w:after="120" w:line="240" w:lineRule="auto"/>
              <w:jc w:val="center"/>
              <w:rPr>
                <w:rFonts w:eastAsia="Times New Roman"/>
                <w:b/>
                <w:bCs/>
                <w:sz w:val="24"/>
                <w:szCs w:val="24"/>
                <w:lang w:eastAsia="lv-LV"/>
              </w:rPr>
            </w:pPr>
            <w:r w:rsidRPr="0069556E">
              <w:rPr>
                <w:rFonts w:eastAsia="Times New Roman"/>
                <w:b/>
                <w:bCs/>
                <w:sz w:val="24"/>
                <w:szCs w:val="24"/>
                <w:lang w:eastAsia="lv-LV"/>
              </w:rPr>
              <w:t>VII. Tiesību akta projekta izpildes nodrošināšana un tās ietekme uz institūcijām</w:t>
            </w:r>
          </w:p>
        </w:tc>
      </w:tr>
      <w:tr w:rsidR="00565A60" w:rsidRPr="0069556E" w:rsidTr="0008700C">
        <w:tc>
          <w:tcPr>
            <w:tcW w:w="203" w:type="pct"/>
            <w:tcBorders>
              <w:top w:val="outset" w:sz="6" w:space="0" w:color="auto"/>
              <w:left w:val="outset" w:sz="6" w:space="0" w:color="auto"/>
              <w:bottom w:val="outset" w:sz="6" w:space="0" w:color="auto"/>
              <w:right w:val="outset" w:sz="6" w:space="0" w:color="auto"/>
            </w:tcBorders>
          </w:tcPr>
          <w:p w:rsidR="00565A60" w:rsidRPr="0069556E" w:rsidRDefault="00DA5F33" w:rsidP="005B4A6C">
            <w:pPr>
              <w:spacing w:after="120" w:line="240" w:lineRule="auto"/>
              <w:rPr>
                <w:rFonts w:eastAsia="Times New Roman"/>
                <w:sz w:val="24"/>
                <w:szCs w:val="24"/>
                <w:lang w:eastAsia="lv-LV"/>
              </w:rPr>
            </w:pPr>
            <w:r>
              <w:rPr>
                <w:rFonts w:eastAsia="Times New Roman"/>
                <w:sz w:val="24"/>
                <w:szCs w:val="24"/>
                <w:lang w:eastAsia="lv-LV"/>
              </w:rPr>
              <w:t>11.</w:t>
            </w:r>
          </w:p>
        </w:tc>
        <w:tc>
          <w:tcPr>
            <w:tcW w:w="1896" w:type="pct"/>
            <w:tcBorders>
              <w:top w:val="outset" w:sz="6" w:space="0" w:color="auto"/>
              <w:left w:val="outset" w:sz="6" w:space="0" w:color="auto"/>
              <w:bottom w:val="outset" w:sz="6" w:space="0" w:color="auto"/>
              <w:right w:val="outset" w:sz="6" w:space="0" w:color="auto"/>
            </w:tcBorders>
          </w:tcPr>
          <w:p w:rsidR="00565A60" w:rsidRPr="0069556E" w:rsidRDefault="00565A60" w:rsidP="00DA5F33">
            <w:pPr>
              <w:spacing w:after="120" w:line="240" w:lineRule="auto"/>
              <w:ind w:firstLine="0"/>
              <w:rPr>
                <w:rFonts w:eastAsia="Times New Roman"/>
                <w:sz w:val="24"/>
                <w:szCs w:val="24"/>
                <w:lang w:eastAsia="lv-LV"/>
              </w:rPr>
            </w:pPr>
            <w:r w:rsidRPr="0069556E">
              <w:rPr>
                <w:rFonts w:eastAsia="Times New Roman"/>
                <w:sz w:val="24"/>
                <w:szCs w:val="24"/>
                <w:lang w:eastAsia="lv-LV"/>
              </w:rPr>
              <w:t>Projekta izpildē iesaistītās institūcijas</w:t>
            </w:r>
          </w:p>
        </w:tc>
        <w:tc>
          <w:tcPr>
            <w:tcW w:w="2901" w:type="pct"/>
            <w:tcBorders>
              <w:top w:val="outset" w:sz="6" w:space="0" w:color="auto"/>
              <w:left w:val="outset" w:sz="6" w:space="0" w:color="auto"/>
              <w:bottom w:val="outset" w:sz="6" w:space="0" w:color="auto"/>
              <w:right w:val="outset" w:sz="6" w:space="0" w:color="auto"/>
            </w:tcBorders>
          </w:tcPr>
          <w:p w:rsidR="00565A60" w:rsidRPr="0069556E" w:rsidRDefault="00FE1064" w:rsidP="00254C83">
            <w:pPr>
              <w:spacing w:after="120" w:line="240" w:lineRule="auto"/>
              <w:ind w:firstLine="0"/>
              <w:rPr>
                <w:rFonts w:eastAsia="Times New Roman"/>
                <w:sz w:val="24"/>
                <w:szCs w:val="24"/>
                <w:highlight w:val="yellow"/>
                <w:lang w:eastAsia="lv-LV"/>
              </w:rPr>
            </w:pPr>
            <w:r>
              <w:rPr>
                <w:rFonts w:eastAsia="Times New Roman"/>
                <w:sz w:val="24"/>
                <w:szCs w:val="24"/>
                <w:lang w:eastAsia="lv-LV"/>
              </w:rPr>
              <w:t>V</w:t>
            </w:r>
            <w:r w:rsidR="00565A60">
              <w:rPr>
                <w:rFonts w:eastAsia="Times New Roman"/>
                <w:sz w:val="24"/>
                <w:szCs w:val="24"/>
                <w:lang w:eastAsia="lv-LV"/>
              </w:rPr>
              <w:t>alsts akciju sabiedrība „Ceļu satiksmes drošības direkcija”</w:t>
            </w:r>
            <w:r w:rsidR="00B23981">
              <w:rPr>
                <w:rFonts w:eastAsia="Times New Roman"/>
                <w:sz w:val="24"/>
                <w:szCs w:val="24"/>
                <w:lang w:eastAsia="lv-LV"/>
              </w:rPr>
              <w:t xml:space="preserve">, </w:t>
            </w:r>
            <w:r w:rsidR="00795A8A">
              <w:rPr>
                <w:sz w:val="24"/>
                <w:szCs w:val="24"/>
              </w:rPr>
              <w:t>Valsts</w:t>
            </w:r>
            <w:r w:rsidR="00254C83">
              <w:rPr>
                <w:sz w:val="24"/>
                <w:szCs w:val="24"/>
              </w:rPr>
              <w:t xml:space="preserve"> </w:t>
            </w:r>
            <w:r w:rsidR="00254C83" w:rsidRPr="001A67F3">
              <w:rPr>
                <w:sz w:val="24"/>
                <w:szCs w:val="24"/>
              </w:rPr>
              <w:t>ieņēmumus dienests</w:t>
            </w:r>
            <w:r w:rsidR="003F3D9C" w:rsidRPr="001A67F3">
              <w:rPr>
                <w:sz w:val="24"/>
                <w:szCs w:val="24"/>
              </w:rPr>
              <w:t xml:space="preserve">, </w:t>
            </w:r>
            <w:r w:rsidR="003F3D9C" w:rsidRPr="001A67F3">
              <w:rPr>
                <w:rFonts w:eastAsia="Times New Roman"/>
                <w:sz w:val="24"/>
                <w:szCs w:val="24"/>
                <w:lang w:eastAsia="lv-LV"/>
              </w:rPr>
              <w:t>Valsts tehniskās uzraudzības aģentūra</w:t>
            </w:r>
          </w:p>
        </w:tc>
      </w:tr>
      <w:tr w:rsidR="00565A60" w:rsidRPr="0069556E" w:rsidTr="0008700C">
        <w:tc>
          <w:tcPr>
            <w:tcW w:w="203" w:type="pct"/>
            <w:tcBorders>
              <w:top w:val="outset" w:sz="6" w:space="0" w:color="auto"/>
              <w:left w:val="outset" w:sz="6" w:space="0" w:color="auto"/>
              <w:bottom w:val="outset" w:sz="6" w:space="0" w:color="auto"/>
              <w:right w:val="outset" w:sz="6" w:space="0" w:color="auto"/>
            </w:tcBorders>
          </w:tcPr>
          <w:p w:rsidR="00565A60" w:rsidRPr="0069556E" w:rsidRDefault="00DA5F33" w:rsidP="005B4A6C">
            <w:pPr>
              <w:spacing w:after="120" w:line="240" w:lineRule="auto"/>
              <w:rPr>
                <w:rFonts w:eastAsia="Times New Roman"/>
                <w:sz w:val="24"/>
                <w:szCs w:val="24"/>
                <w:lang w:eastAsia="lv-LV"/>
              </w:rPr>
            </w:pPr>
            <w:r>
              <w:rPr>
                <w:rFonts w:eastAsia="Times New Roman"/>
                <w:sz w:val="24"/>
                <w:szCs w:val="24"/>
                <w:lang w:eastAsia="lv-LV"/>
              </w:rPr>
              <w:t>22.</w:t>
            </w:r>
          </w:p>
        </w:tc>
        <w:tc>
          <w:tcPr>
            <w:tcW w:w="1896" w:type="pct"/>
            <w:tcBorders>
              <w:top w:val="outset" w:sz="6" w:space="0" w:color="auto"/>
              <w:left w:val="outset" w:sz="6" w:space="0" w:color="auto"/>
              <w:bottom w:val="outset" w:sz="6" w:space="0" w:color="auto"/>
              <w:right w:val="outset" w:sz="6" w:space="0" w:color="auto"/>
            </w:tcBorders>
          </w:tcPr>
          <w:p w:rsidR="00565A60" w:rsidRPr="00286163" w:rsidRDefault="00565A60" w:rsidP="00DA5F33">
            <w:pPr>
              <w:spacing w:line="240" w:lineRule="auto"/>
              <w:ind w:firstLine="0"/>
              <w:rPr>
                <w:rFonts w:eastAsia="Times New Roman"/>
                <w:sz w:val="24"/>
                <w:szCs w:val="24"/>
                <w:lang w:eastAsia="lv-LV"/>
              </w:rPr>
            </w:pPr>
            <w:r w:rsidRPr="00286163">
              <w:rPr>
                <w:rFonts w:eastAsia="Times New Roman"/>
                <w:sz w:val="24"/>
                <w:szCs w:val="24"/>
                <w:shd w:val="clear" w:color="auto" w:fill="FFFFFF"/>
                <w:lang w:eastAsia="lv-LV"/>
              </w:rPr>
              <w:t>Projekta izpildes ietekme uz pārvaldes funkcijām un institucionālo struktūru.</w:t>
            </w:r>
          </w:p>
          <w:p w:rsidR="00565A60" w:rsidRPr="00286163" w:rsidRDefault="00565A60" w:rsidP="00DA5F33">
            <w:pPr>
              <w:shd w:val="clear" w:color="auto" w:fill="FFFFFF"/>
              <w:spacing w:before="100" w:beforeAutospacing="1" w:after="100" w:afterAutospacing="1" w:line="285" w:lineRule="atLeast"/>
              <w:ind w:firstLine="0"/>
              <w:rPr>
                <w:rFonts w:eastAsia="Times New Roman" w:cs="Arial"/>
                <w:color w:val="414142"/>
                <w:szCs w:val="20"/>
                <w:lang w:eastAsia="lv-LV"/>
              </w:rPr>
            </w:pPr>
            <w:r w:rsidRPr="00286163">
              <w:rPr>
                <w:rFonts w:eastAsia="Times New Roman"/>
                <w:sz w:val="24"/>
                <w:szCs w:val="24"/>
                <w:lang w:eastAsia="lv-LV"/>
              </w:rPr>
              <w:t>Jaunu institūciju izveide, esošu institūciju likvidācija vai reorganizācija, to ietekme uz institūcijas cilvēkresursiem</w:t>
            </w:r>
          </w:p>
        </w:tc>
        <w:tc>
          <w:tcPr>
            <w:tcW w:w="2901" w:type="pct"/>
            <w:tcBorders>
              <w:top w:val="outset" w:sz="6" w:space="0" w:color="auto"/>
              <w:left w:val="outset" w:sz="6" w:space="0" w:color="auto"/>
              <w:bottom w:val="outset" w:sz="6" w:space="0" w:color="auto"/>
              <w:right w:val="outset" w:sz="6" w:space="0" w:color="auto"/>
            </w:tcBorders>
          </w:tcPr>
          <w:p w:rsidR="00357A9B" w:rsidRPr="00404108" w:rsidRDefault="005C3277" w:rsidP="00DA5F33">
            <w:pPr>
              <w:spacing w:after="120" w:line="240" w:lineRule="auto"/>
              <w:ind w:firstLine="0"/>
              <w:rPr>
                <w:rFonts w:eastAsia="Times New Roman"/>
                <w:sz w:val="24"/>
                <w:szCs w:val="24"/>
                <w:lang w:eastAsia="lv-LV"/>
              </w:rPr>
            </w:pPr>
            <w:r w:rsidRPr="00AD0105">
              <w:rPr>
                <w:rFonts w:eastAsia="Times New Roman"/>
                <w:color w:val="000000"/>
                <w:sz w:val="24"/>
                <w:szCs w:val="24"/>
                <w:lang w:eastAsia="lv-LV"/>
              </w:rPr>
              <w:t>Normatīvā akta izpilde tiks nodrošināta anotācijas VII sadaļas 1.punktā minēto institūciju līdzšinējo funkciju ietvaros</w:t>
            </w:r>
            <w:r>
              <w:rPr>
                <w:rFonts w:eastAsia="Times New Roman"/>
                <w:color w:val="000000"/>
                <w:sz w:val="24"/>
                <w:szCs w:val="24"/>
                <w:lang w:eastAsia="lv-LV"/>
              </w:rPr>
              <w:t>.</w:t>
            </w:r>
          </w:p>
        </w:tc>
      </w:tr>
      <w:tr w:rsidR="00565A60" w:rsidRPr="0069556E" w:rsidTr="0008700C">
        <w:tc>
          <w:tcPr>
            <w:tcW w:w="203" w:type="pct"/>
            <w:tcBorders>
              <w:top w:val="outset" w:sz="6" w:space="0" w:color="auto"/>
              <w:left w:val="outset" w:sz="6" w:space="0" w:color="auto"/>
              <w:bottom w:val="outset" w:sz="6" w:space="0" w:color="auto"/>
              <w:right w:val="outset" w:sz="6" w:space="0" w:color="auto"/>
            </w:tcBorders>
          </w:tcPr>
          <w:p w:rsidR="00565A60" w:rsidRPr="0069556E" w:rsidRDefault="00565A60" w:rsidP="005B4A6C">
            <w:pPr>
              <w:spacing w:after="120" w:line="240" w:lineRule="auto"/>
              <w:rPr>
                <w:rFonts w:eastAsia="Times New Roman"/>
                <w:sz w:val="24"/>
                <w:szCs w:val="24"/>
                <w:lang w:eastAsia="lv-LV"/>
              </w:rPr>
            </w:pPr>
            <w:r>
              <w:rPr>
                <w:rFonts w:eastAsia="Times New Roman"/>
                <w:sz w:val="24"/>
                <w:szCs w:val="24"/>
                <w:lang w:eastAsia="lv-LV"/>
              </w:rPr>
              <w:t>3</w:t>
            </w:r>
            <w:r w:rsidR="00DA5F33">
              <w:rPr>
                <w:rFonts w:eastAsia="Times New Roman"/>
                <w:sz w:val="24"/>
                <w:szCs w:val="24"/>
                <w:lang w:eastAsia="lv-LV"/>
              </w:rPr>
              <w:t>3.</w:t>
            </w:r>
          </w:p>
        </w:tc>
        <w:tc>
          <w:tcPr>
            <w:tcW w:w="1896" w:type="pct"/>
            <w:tcBorders>
              <w:top w:val="outset" w:sz="6" w:space="0" w:color="auto"/>
              <w:left w:val="outset" w:sz="6" w:space="0" w:color="auto"/>
              <w:bottom w:val="outset" w:sz="6" w:space="0" w:color="auto"/>
              <w:right w:val="outset" w:sz="6" w:space="0" w:color="auto"/>
            </w:tcBorders>
          </w:tcPr>
          <w:p w:rsidR="00565A60" w:rsidRPr="0069556E" w:rsidRDefault="00565A60" w:rsidP="00DA5F33">
            <w:pPr>
              <w:spacing w:after="120" w:line="240" w:lineRule="auto"/>
              <w:ind w:firstLine="0"/>
              <w:rPr>
                <w:rFonts w:eastAsia="Times New Roman"/>
                <w:sz w:val="24"/>
                <w:szCs w:val="24"/>
                <w:lang w:eastAsia="lv-LV"/>
              </w:rPr>
            </w:pPr>
            <w:r w:rsidRPr="0069556E">
              <w:rPr>
                <w:rFonts w:eastAsia="Times New Roman"/>
                <w:sz w:val="24"/>
                <w:szCs w:val="24"/>
                <w:lang w:eastAsia="lv-LV"/>
              </w:rPr>
              <w:t>Cita informācija</w:t>
            </w:r>
          </w:p>
        </w:tc>
        <w:tc>
          <w:tcPr>
            <w:tcW w:w="2901" w:type="pct"/>
            <w:tcBorders>
              <w:top w:val="outset" w:sz="6" w:space="0" w:color="auto"/>
              <w:left w:val="outset" w:sz="6" w:space="0" w:color="auto"/>
              <w:bottom w:val="outset" w:sz="6" w:space="0" w:color="auto"/>
              <w:right w:val="outset" w:sz="6" w:space="0" w:color="auto"/>
            </w:tcBorders>
          </w:tcPr>
          <w:p w:rsidR="00565A60" w:rsidRPr="0069556E" w:rsidRDefault="00565A60" w:rsidP="00DA5F33">
            <w:pPr>
              <w:spacing w:after="120" w:line="240" w:lineRule="auto"/>
              <w:ind w:firstLine="0"/>
              <w:rPr>
                <w:rFonts w:eastAsia="Times New Roman"/>
                <w:sz w:val="24"/>
                <w:szCs w:val="24"/>
                <w:lang w:eastAsia="lv-LV"/>
              </w:rPr>
            </w:pPr>
            <w:r w:rsidRPr="0069556E">
              <w:rPr>
                <w:rFonts w:eastAsia="Times New Roman"/>
                <w:sz w:val="24"/>
                <w:szCs w:val="24"/>
                <w:lang w:eastAsia="lv-LV"/>
              </w:rPr>
              <w:t>Nav</w:t>
            </w:r>
            <w:r w:rsidR="00DA5F33">
              <w:rPr>
                <w:rFonts w:eastAsia="Times New Roman"/>
                <w:sz w:val="24"/>
                <w:szCs w:val="24"/>
                <w:lang w:eastAsia="lv-LV"/>
              </w:rPr>
              <w:t>.</w:t>
            </w:r>
          </w:p>
        </w:tc>
      </w:tr>
    </w:tbl>
    <w:p w:rsidR="006E1276" w:rsidRDefault="006E1276" w:rsidP="00E274DE">
      <w:pPr>
        <w:spacing w:before="58" w:after="58"/>
        <w:ind w:right="-341" w:firstLine="709"/>
        <w:rPr>
          <w:sz w:val="24"/>
          <w:szCs w:val="24"/>
        </w:rPr>
      </w:pPr>
    </w:p>
    <w:p w:rsidR="006E1276" w:rsidRPr="005C3277" w:rsidRDefault="006E1276" w:rsidP="00E274DE">
      <w:pPr>
        <w:spacing w:before="58" w:after="58"/>
        <w:ind w:right="-341" w:firstLine="709"/>
        <w:rPr>
          <w:sz w:val="24"/>
          <w:szCs w:val="24"/>
        </w:rPr>
      </w:pPr>
    </w:p>
    <w:p w:rsidR="00E274DE" w:rsidRPr="005C3277" w:rsidRDefault="00E274DE" w:rsidP="005C3277">
      <w:pPr>
        <w:spacing w:before="58" w:after="58"/>
        <w:ind w:right="-341" w:firstLine="0"/>
        <w:rPr>
          <w:sz w:val="24"/>
          <w:szCs w:val="24"/>
        </w:rPr>
      </w:pPr>
      <w:r w:rsidRPr="005C3277">
        <w:rPr>
          <w:sz w:val="24"/>
          <w:szCs w:val="24"/>
        </w:rPr>
        <w:t>Satiksmes ministrs</w:t>
      </w:r>
      <w:r w:rsidRPr="005C3277">
        <w:rPr>
          <w:sz w:val="24"/>
          <w:szCs w:val="24"/>
        </w:rPr>
        <w:tab/>
      </w:r>
      <w:r w:rsidRPr="005C3277">
        <w:rPr>
          <w:sz w:val="24"/>
          <w:szCs w:val="24"/>
        </w:rPr>
        <w:tab/>
      </w:r>
      <w:r w:rsidRPr="005C3277">
        <w:rPr>
          <w:sz w:val="24"/>
          <w:szCs w:val="24"/>
        </w:rPr>
        <w:tab/>
      </w:r>
      <w:r w:rsidRPr="005C3277">
        <w:rPr>
          <w:sz w:val="24"/>
          <w:szCs w:val="24"/>
        </w:rPr>
        <w:tab/>
      </w:r>
      <w:r w:rsidRPr="005C3277">
        <w:rPr>
          <w:sz w:val="24"/>
          <w:szCs w:val="24"/>
        </w:rPr>
        <w:tab/>
      </w:r>
      <w:r w:rsidRPr="005C3277">
        <w:rPr>
          <w:sz w:val="24"/>
          <w:szCs w:val="24"/>
        </w:rPr>
        <w:tab/>
      </w:r>
      <w:r w:rsidRPr="005C3277">
        <w:rPr>
          <w:sz w:val="24"/>
          <w:szCs w:val="24"/>
        </w:rPr>
        <w:tab/>
      </w:r>
      <w:r w:rsidR="005C3277" w:rsidRPr="005C3277">
        <w:rPr>
          <w:sz w:val="24"/>
          <w:szCs w:val="24"/>
        </w:rPr>
        <w:tab/>
      </w:r>
      <w:r w:rsidR="005C3277" w:rsidRPr="005C3277">
        <w:rPr>
          <w:sz w:val="24"/>
          <w:szCs w:val="24"/>
        </w:rPr>
        <w:tab/>
      </w:r>
      <w:proofErr w:type="spellStart"/>
      <w:r w:rsidR="00254C83" w:rsidRPr="005C3277">
        <w:rPr>
          <w:sz w:val="24"/>
          <w:szCs w:val="24"/>
        </w:rPr>
        <w:t>U.Augulis</w:t>
      </w:r>
      <w:proofErr w:type="spellEnd"/>
    </w:p>
    <w:p w:rsidR="00660076" w:rsidRDefault="00660076" w:rsidP="005C3277">
      <w:pPr>
        <w:spacing w:line="240" w:lineRule="auto"/>
        <w:ind w:right="-341" w:firstLine="0"/>
        <w:rPr>
          <w:sz w:val="24"/>
          <w:szCs w:val="24"/>
          <w:lang w:eastAsia="lv-LV"/>
        </w:rPr>
      </w:pPr>
    </w:p>
    <w:p w:rsidR="006E1276" w:rsidRDefault="006E1276" w:rsidP="005C3277">
      <w:pPr>
        <w:spacing w:line="240" w:lineRule="auto"/>
        <w:ind w:right="-341" w:firstLine="0"/>
        <w:rPr>
          <w:sz w:val="24"/>
          <w:szCs w:val="24"/>
          <w:lang w:eastAsia="lv-LV"/>
        </w:rPr>
      </w:pPr>
    </w:p>
    <w:p w:rsidR="006E1276" w:rsidRPr="005C3277" w:rsidRDefault="006E1276" w:rsidP="005C3277">
      <w:pPr>
        <w:spacing w:line="240" w:lineRule="auto"/>
        <w:ind w:right="-341" w:firstLine="0"/>
        <w:rPr>
          <w:sz w:val="24"/>
          <w:szCs w:val="24"/>
          <w:lang w:eastAsia="lv-LV"/>
        </w:rPr>
      </w:pPr>
    </w:p>
    <w:p w:rsidR="00F50A96" w:rsidRPr="005C3277" w:rsidRDefault="00461A29" w:rsidP="005C3277">
      <w:pPr>
        <w:spacing w:line="240" w:lineRule="auto"/>
        <w:ind w:right="-516" w:firstLine="0"/>
        <w:rPr>
          <w:sz w:val="24"/>
          <w:szCs w:val="24"/>
        </w:rPr>
      </w:pPr>
      <w:r w:rsidRPr="005C3277">
        <w:rPr>
          <w:sz w:val="24"/>
          <w:szCs w:val="24"/>
        </w:rPr>
        <w:t xml:space="preserve">Vīza: </w:t>
      </w:r>
    </w:p>
    <w:p w:rsidR="00B844B6" w:rsidRPr="005C3277" w:rsidRDefault="00B844B6" w:rsidP="005C3277">
      <w:pPr>
        <w:spacing w:line="240" w:lineRule="auto"/>
        <w:ind w:firstLine="0"/>
        <w:rPr>
          <w:color w:val="000000"/>
          <w:sz w:val="24"/>
          <w:szCs w:val="24"/>
        </w:rPr>
      </w:pPr>
      <w:r w:rsidRPr="005C3277">
        <w:rPr>
          <w:color w:val="000000"/>
          <w:sz w:val="24"/>
          <w:szCs w:val="24"/>
        </w:rPr>
        <w:t>Valsts sekretār</w:t>
      </w:r>
      <w:r w:rsidR="00254C83" w:rsidRPr="005C3277">
        <w:rPr>
          <w:color w:val="000000"/>
          <w:sz w:val="24"/>
          <w:szCs w:val="24"/>
        </w:rPr>
        <w:t>s</w:t>
      </w:r>
      <w:r w:rsidRPr="005C3277">
        <w:rPr>
          <w:color w:val="000000"/>
          <w:sz w:val="24"/>
          <w:szCs w:val="24"/>
        </w:rPr>
        <w:tab/>
      </w:r>
      <w:r w:rsidRPr="005C3277">
        <w:rPr>
          <w:color w:val="000000"/>
          <w:sz w:val="24"/>
          <w:szCs w:val="24"/>
        </w:rPr>
        <w:tab/>
      </w:r>
      <w:r w:rsidRPr="005C3277">
        <w:rPr>
          <w:color w:val="000000"/>
          <w:sz w:val="24"/>
          <w:szCs w:val="24"/>
        </w:rPr>
        <w:tab/>
        <w:t xml:space="preserve">            </w:t>
      </w:r>
      <w:r w:rsidR="00254C83" w:rsidRPr="005C3277">
        <w:rPr>
          <w:color w:val="000000"/>
          <w:sz w:val="24"/>
          <w:szCs w:val="24"/>
        </w:rPr>
        <w:t xml:space="preserve">                     </w:t>
      </w:r>
      <w:r w:rsidRPr="005C3277">
        <w:rPr>
          <w:color w:val="000000"/>
          <w:sz w:val="24"/>
          <w:szCs w:val="24"/>
        </w:rPr>
        <w:t xml:space="preserve">       </w:t>
      </w:r>
      <w:r w:rsidR="005C3277" w:rsidRPr="005C3277">
        <w:rPr>
          <w:color w:val="000000"/>
          <w:sz w:val="24"/>
          <w:szCs w:val="24"/>
        </w:rPr>
        <w:tab/>
      </w:r>
      <w:r w:rsidR="005C3277" w:rsidRPr="005C3277">
        <w:rPr>
          <w:color w:val="000000"/>
          <w:sz w:val="24"/>
          <w:szCs w:val="24"/>
        </w:rPr>
        <w:tab/>
        <w:t xml:space="preserve">         </w:t>
      </w:r>
      <w:r w:rsidR="005C3277">
        <w:rPr>
          <w:color w:val="000000"/>
          <w:sz w:val="24"/>
          <w:szCs w:val="24"/>
        </w:rPr>
        <w:t xml:space="preserve">   </w:t>
      </w:r>
      <w:r w:rsidR="00254C83" w:rsidRPr="005C3277">
        <w:rPr>
          <w:color w:val="000000"/>
          <w:sz w:val="24"/>
          <w:szCs w:val="24"/>
        </w:rPr>
        <w:t xml:space="preserve"> K.Ozoliņš</w:t>
      </w:r>
    </w:p>
    <w:p w:rsidR="00F50A96" w:rsidRDefault="00F50A96" w:rsidP="00ED7815">
      <w:pPr>
        <w:spacing w:line="240" w:lineRule="auto"/>
        <w:ind w:firstLine="0"/>
        <w:rPr>
          <w:sz w:val="22"/>
        </w:rPr>
      </w:pPr>
    </w:p>
    <w:p w:rsidR="006E1276" w:rsidRDefault="006E1276" w:rsidP="00ED7815">
      <w:pPr>
        <w:spacing w:line="240" w:lineRule="auto"/>
        <w:ind w:firstLine="0"/>
        <w:rPr>
          <w:sz w:val="22"/>
        </w:rPr>
      </w:pPr>
    </w:p>
    <w:p w:rsidR="006E1276" w:rsidRDefault="006E1276" w:rsidP="00ED7815">
      <w:pPr>
        <w:spacing w:line="240" w:lineRule="auto"/>
        <w:ind w:firstLine="0"/>
        <w:rPr>
          <w:sz w:val="22"/>
        </w:rPr>
      </w:pPr>
    </w:p>
    <w:p w:rsidR="00ED7815" w:rsidRPr="00704878" w:rsidRDefault="008617A3" w:rsidP="00ED7815">
      <w:pPr>
        <w:spacing w:line="240" w:lineRule="auto"/>
        <w:ind w:firstLine="0"/>
        <w:rPr>
          <w:sz w:val="20"/>
          <w:szCs w:val="20"/>
        </w:rPr>
      </w:pPr>
      <w:r>
        <w:rPr>
          <w:sz w:val="20"/>
          <w:szCs w:val="20"/>
        </w:rPr>
        <w:t>20</w:t>
      </w:r>
      <w:r w:rsidR="001D5633" w:rsidRPr="00704878">
        <w:rPr>
          <w:sz w:val="20"/>
          <w:szCs w:val="20"/>
        </w:rPr>
        <w:t>.09</w:t>
      </w:r>
      <w:r w:rsidR="00254C83" w:rsidRPr="00704878">
        <w:rPr>
          <w:sz w:val="20"/>
          <w:szCs w:val="20"/>
        </w:rPr>
        <w:t>.2016</w:t>
      </w:r>
      <w:r w:rsidR="003D3728" w:rsidRPr="00704878">
        <w:rPr>
          <w:sz w:val="20"/>
          <w:szCs w:val="20"/>
        </w:rPr>
        <w:t xml:space="preserve">. </w:t>
      </w:r>
      <w:r w:rsidR="001A67F3" w:rsidRPr="00704878">
        <w:rPr>
          <w:sz w:val="20"/>
          <w:szCs w:val="20"/>
        </w:rPr>
        <w:t>1</w:t>
      </w:r>
      <w:r w:rsidR="001D5633" w:rsidRPr="00704878">
        <w:rPr>
          <w:sz w:val="20"/>
          <w:szCs w:val="20"/>
        </w:rPr>
        <w:t>3</w:t>
      </w:r>
      <w:r w:rsidR="005C3277" w:rsidRPr="00704878">
        <w:rPr>
          <w:sz w:val="20"/>
          <w:szCs w:val="20"/>
        </w:rPr>
        <w:t>:39</w:t>
      </w:r>
    </w:p>
    <w:p w:rsidR="00ED7815" w:rsidRPr="00704878" w:rsidRDefault="006E1276" w:rsidP="00ED7815">
      <w:pPr>
        <w:spacing w:line="240" w:lineRule="auto"/>
        <w:ind w:firstLine="0"/>
        <w:rPr>
          <w:sz w:val="20"/>
          <w:szCs w:val="20"/>
        </w:rPr>
      </w:pPr>
      <w:r>
        <w:rPr>
          <w:sz w:val="20"/>
          <w:szCs w:val="20"/>
        </w:rPr>
        <w:t>2200</w:t>
      </w:r>
      <w:bookmarkStart w:id="3" w:name="_GoBack"/>
      <w:bookmarkEnd w:id="3"/>
    </w:p>
    <w:p w:rsidR="00254C83" w:rsidRPr="005C3277" w:rsidRDefault="00480827" w:rsidP="00254C83">
      <w:pPr>
        <w:ind w:firstLine="0"/>
        <w:rPr>
          <w:color w:val="000000"/>
          <w:sz w:val="20"/>
          <w:szCs w:val="20"/>
          <w:lang w:val="de-DE"/>
        </w:rPr>
      </w:pPr>
      <w:r w:rsidRPr="00704878">
        <w:rPr>
          <w:sz w:val="20"/>
          <w:szCs w:val="20"/>
          <w:lang w:val="de-DE"/>
        </w:rPr>
        <w:t xml:space="preserve">Jānis </w:t>
      </w:r>
      <w:r w:rsidRPr="005C3277">
        <w:rPr>
          <w:color w:val="000000"/>
          <w:sz w:val="20"/>
          <w:szCs w:val="20"/>
          <w:lang w:val="de-DE"/>
        </w:rPr>
        <w:t>Golubevs</w:t>
      </w:r>
    </w:p>
    <w:p w:rsidR="00254C83" w:rsidRPr="005C3277" w:rsidRDefault="00254C83" w:rsidP="00254C83">
      <w:pPr>
        <w:ind w:firstLine="0"/>
        <w:rPr>
          <w:color w:val="000000"/>
          <w:sz w:val="20"/>
          <w:szCs w:val="20"/>
          <w:lang w:val="de-DE"/>
        </w:rPr>
      </w:pPr>
      <w:r w:rsidRPr="005C3277">
        <w:rPr>
          <w:color w:val="000000"/>
          <w:sz w:val="20"/>
          <w:szCs w:val="20"/>
          <w:lang w:val="de-DE"/>
        </w:rPr>
        <w:t>67025701</w:t>
      </w:r>
    </w:p>
    <w:p w:rsidR="00C70784" w:rsidRPr="005C3277" w:rsidRDefault="00480827" w:rsidP="00254C83">
      <w:pPr>
        <w:ind w:firstLine="0"/>
        <w:rPr>
          <w:color w:val="000000"/>
          <w:sz w:val="20"/>
          <w:szCs w:val="20"/>
          <w:lang w:val="de-DE"/>
        </w:rPr>
      </w:pPr>
      <w:r w:rsidRPr="005C3277">
        <w:rPr>
          <w:color w:val="000000"/>
          <w:sz w:val="20"/>
          <w:szCs w:val="20"/>
          <w:lang w:val="de-DE"/>
        </w:rPr>
        <w:t>Jani</w:t>
      </w:r>
      <w:r w:rsidR="00254C83" w:rsidRPr="005C3277">
        <w:rPr>
          <w:color w:val="000000"/>
          <w:sz w:val="20"/>
          <w:szCs w:val="20"/>
          <w:lang w:val="de-DE"/>
        </w:rPr>
        <w:t>s.</w:t>
      </w:r>
      <w:r w:rsidRPr="005C3277">
        <w:rPr>
          <w:color w:val="000000"/>
          <w:sz w:val="20"/>
          <w:szCs w:val="20"/>
          <w:lang w:val="de-DE"/>
        </w:rPr>
        <w:t>Golubev</w:t>
      </w:r>
      <w:r w:rsidR="00254C83" w:rsidRPr="005C3277">
        <w:rPr>
          <w:color w:val="000000"/>
          <w:sz w:val="20"/>
          <w:szCs w:val="20"/>
          <w:lang w:val="de-DE"/>
        </w:rPr>
        <w:t>s@csdd.gov.lv</w:t>
      </w:r>
    </w:p>
    <w:p w:rsidR="005C3277" w:rsidRDefault="005C3277">
      <w:pPr>
        <w:ind w:firstLine="0"/>
        <w:rPr>
          <w:color w:val="000000"/>
          <w:sz w:val="20"/>
          <w:szCs w:val="20"/>
          <w:lang w:val="de-DE"/>
        </w:rPr>
      </w:pPr>
    </w:p>
    <w:sectPr w:rsidR="005C3277" w:rsidSect="006E1276">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75" w:rsidRDefault="008F1875" w:rsidP="00E65F54">
      <w:pPr>
        <w:spacing w:line="240" w:lineRule="auto"/>
      </w:pPr>
      <w:r>
        <w:separator/>
      </w:r>
    </w:p>
  </w:endnote>
  <w:endnote w:type="continuationSeparator" w:id="0">
    <w:p w:rsidR="008F1875" w:rsidRDefault="008F1875"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FA" w:rsidRDefault="00DB44FA" w:rsidP="00DB44FA">
    <w:pPr>
      <w:pStyle w:val="Footer"/>
      <w:spacing w:line="240" w:lineRule="auto"/>
      <w:ind w:firstLine="0"/>
      <w:rPr>
        <w:sz w:val="22"/>
      </w:rPr>
    </w:pPr>
    <w:r w:rsidRPr="002233D1">
      <w:rPr>
        <w:sz w:val="22"/>
      </w:rPr>
      <w:t>SAM</w:t>
    </w:r>
    <w:r>
      <w:rPr>
        <w:sz w:val="22"/>
      </w:rPr>
      <w:t>Anot_</w:t>
    </w:r>
    <w:r w:rsidR="008617A3">
      <w:rPr>
        <w:sz w:val="22"/>
        <w:lang w:val="lv-LV"/>
      </w:rPr>
      <w:t>20</w:t>
    </w:r>
    <w:r w:rsidR="009573C8">
      <w:rPr>
        <w:sz w:val="22"/>
        <w:lang w:val="lv-LV"/>
      </w:rPr>
      <w:t>09</w:t>
    </w:r>
    <w:r>
      <w:rPr>
        <w:sz w:val="22"/>
        <w:lang w:val="lv-LV"/>
      </w:rPr>
      <w:t>16</w:t>
    </w:r>
    <w:r>
      <w:rPr>
        <w:sz w:val="22"/>
      </w:rPr>
      <w:t>_</w:t>
    </w:r>
    <w:proofErr w:type="spellStart"/>
    <w:r>
      <w:rPr>
        <w:sz w:val="22"/>
        <w:lang w:val="lv-LV"/>
      </w:rPr>
      <w:t>CSL_groz</w:t>
    </w:r>
    <w:proofErr w:type="spellEnd"/>
    <w:r>
      <w:rPr>
        <w:sz w:val="22"/>
      </w:rPr>
      <w:t xml:space="preserve">; </w:t>
    </w:r>
    <w:r w:rsidRPr="00215FE1">
      <w:rPr>
        <w:sz w:val="22"/>
      </w:rPr>
      <w:t>Likumprojekta „Grozījumi Ceļu satiksmes likumā” sākotnējās ietekmes novērtējuma ziņojums (anotācija).</w:t>
    </w:r>
  </w:p>
  <w:p w:rsidR="00935D89" w:rsidRDefault="00935D89" w:rsidP="0065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89" w:rsidRDefault="00935D89" w:rsidP="002233D1">
    <w:pPr>
      <w:pStyle w:val="Footer"/>
      <w:spacing w:line="240" w:lineRule="auto"/>
      <w:ind w:firstLine="0"/>
      <w:rPr>
        <w:sz w:val="22"/>
      </w:rPr>
    </w:pPr>
    <w:r w:rsidRPr="002233D1">
      <w:rPr>
        <w:sz w:val="22"/>
      </w:rPr>
      <w:t>SAM</w:t>
    </w:r>
    <w:r>
      <w:rPr>
        <w:sz w:val="22"/>
      </w:rPr>
      <w:t>Anot_</w:t>
    </w:r>
    <w:r w:rsidR="008617A3">
      <w:rPr>
        <w:sz w:val="22"/>
        <w:lang w:val="lv-LV"/>
      </w:rPr>
      <w:t>20</w:t>
    </w:r>
    <w:r w:rsidR="00DB44FA">
      <w:rPr>
        <w:sz w:val="22"/>
        <w:lang w:val="lv-LV"/>
      </w:rPr>
      <w:t>0</w:t>
    </w:r>
    <w:r w:rsidR="009573C8">
      <w:rPr>
        <w:sz w:val="22"/>
        <w:lang w:val="lv-LV"/>
      </w:rPr>
      <w:t>9</w:t>
    </w:r>
    <w:r w:rsidR="00254C83">
      <w:rPr>
        <w:sz w:val="22"/>
        <w:lang w:val="lv-LV"/>
      </w:rPr>
      <w:t>16</w:t>
    </w:r>
    <w:r>
      <w:rPr>
        <w:sz w:val="22"/>
      </w:rPr>
      <w:t>_</w:t>
    </w:r>
    <w:proofErr w:type="spellStart"/>
    <w:r w:rsidR="007D499D">
      <w:rPr>
        <w:sz w:val="22"/>
        <w:lang w:val="lv-LV"/>
      </w:rPr>
      <w:t>CSL_groz</w:t>
    </w:r>
    <w:proofErr w:type="spellEnd"/>
    <w:r>
      <w:rPr>
        <w:sz w:val="22"/>
      </w:rPr>
      <w:t xml:space="preserve">; </w:t>
    </w:r>
    <w:r w:rsidR="007D499D" w:rsidRPr="00215FE1">
      <w:rPr>
        <w:sz w:val="22"/>
      </w:rPr>
      <w:t>Likumprojekta „Grozījumi Ceļu satiksmes likumā” sākotnējās ietekmes novērtējuma ziņojums (anotācija).</w:t>
    </w:r>
  </w:p>
  <w:p w:rsidR="00935D89" w:rsidRDefault="00935D89" w:rsidP="002233D1">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75" w:rsidRDefault="008F1875" w:rsidP="00E65F54">
      <w:pPr>
        <w:spacing w:line="240" w:lineRule="auto"/>
      </w:pPr>
      <w:r>
        <w:separator/>
      </w:r>
    </w:p>
  </w:footnote>
  <w:footnote w:type="continuationSeparator" w:id="0">
    <w:p w:rsidR="008F1875" w:rsidRDefault="008F1875"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89" w:rsidRPr="00EC3264" w:rsidRDefault="00935D89"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6E1276">
      <w:rPr>
        <w:noProof/>
        <w:sz w:val="24"/>
        <w:szCs w:val="24"/>
      </w:rPr>
      <w:t>2</w:t>
    </w:r>
    <w:r w:rsidRPr="00EC3264">
      <w:rPr>
        <w:sz w:val="24"/>
        <w:szCs w:val="24"/>
      </w:rPr>
      <w:fldChar w:fldCharType="end"/>
    </w:r>
  </w:p>
  <w:p w:rsidR="00935D89" w:rsidRDefault="00935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40EC"/>
    <w:multiLevelType w:val="hybridMultilevel"/>
    <w:tmpl w:val="FE92E344"/>
    <w:lvl w:ilvl="0" w:tplc="299CAD54">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9A405EC"/>
    <w:multiLevelType w:val="hybridMultilevel"/>
    <w:tmpl w:val="5D586DE8"/>
    <w:lvl w:ilvl="0" w:tplc="E95C2110">
      <w:start w:val="1"/>
      <w:numFmt w:val="decimal"/>
      <w:lvlText w:val="%1."/>
      <w:lvlJc w:val="left"/>
      <w:pPr>
        <w:ind w:left="1353" w:hanging="360"/>
      </w:pPr>
      <w:rPr>
        <w:rFonts w:hint="default"/>
        <w:b/>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4">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30CF"/>
    <w:rsid w:val="00004DA8"/>
    <w:rsid w:val="00006479"/>
    <w:rsid w:val="00007AB0"/>
    <w:rsid w:val="00010EA0"/>
    <w:rsid w:val="000128E5"/>
    <w:rsid w:val="00014236"/>
    <w:rsid w:val="00015C0B"/>
    <w:rsid w:val="000210ED"/>
    <w:rsid w:val="000243D2"/>
    <w:rsid w:val="00024CD2"/>
    <w:rsid w:val="0003719C"/>
    <w:rsid w:val="00040956"/>
    <w:rsid w:val="00042C13"/>
    <w:rsid w:val="0004524B"/>
    <w:rsid w:val="00046838"/>
    <w:rsid w:val="0005496F"/>
    <w:rsid w:val="00054F7D"/>
    <w:rsid w:val="00057BDD"/>
    <w:rsid w:val="000644D9"/>
    <w:rsid w:val="00065316"/>
    <w:rsid w:val="000731CA"/>
    <w:rsid w:val="000811A1"/>
    <w:rsid w:val="000811EA"/>
    <w:rsid w:val="000811EB"/>
    <w:rsid w:val="0008700C"/>
    <w:rsid w:val="00087B20"/>
    <w:rsid w:val="00091C3F"/>
    <w:rsid w:val="00092521"/>
    <w:rsid w:val="00094458"/>
    <w:rsid w:val="00096492"/>
    <w:rsid w:val="000B7125"/>
    <w:rsid w:val="000B7137"/>
    <w:rsid w:val="000B73D9"/>
    <w:rsid w:val="000C0933"/>
    <w:rsid w:val="000C0A47"/>
    <w:rsid w:val="000C6F5D"/>
    <w:rsid w:val="000E2ACD"/>
    <w:rsid w:val="000E65C2"/>
    <w:rsid w:val="000F4276"/>
    <w:rsid w:val="00103B16"/>
    <w:rsid w:val="00113F71"/>
    <w:rsid w:val="00130B5A"/>
    <w:rsid w:val="00137889"/>
    <w:rsid w:val="00137A01"/>
    <w:rsid w:val="00137E95"/>
    <w:rsid w:val="00144578"/>
    <w:rsid w:val="00153721"/>
    <w:rsid w:val="00154BD3"/>
    <w:rsid w:val="001676B9"/>
    <w:rsid w:val="00167D64"/>
    <w:rsid w:val="0017730B"/>
    <w:rsid w:val="001821D5"/>
    <w:rsid w:val="001844CC"/>
    <w:rsid w:val="0019300D"/>
    <w:rsid w:val="00194540"/>
    <w:rsid w:val="001A03C9"/>
    <w:rsid w:val="001A6267"/>
    <w:rsid w:val="001A67F3"/>
    <w:rsid w:val="001B2758"/>
    <w:rsid w:val="001B46BB"/>
    <w:rsid w:val="001C22EA"/>
    <w:rsid w:val="001C43A8"/>
    <w:rsid w:val="001C45B4"/>
    <w:rsid w:val="001C5440"/>
    <w:rsid w:val="001C6A39"/>
    <w:rsid w:val="001C7DE8"/>
    <w:rsid w:val="001D2F53"/>
    <w:rsid w:val="001D35B7"/>
    <w:rsid w:val="001D4D97"/>
    <w:rsid w:val="001D5633"/>
    <w:rsid w:val="001E2C99"/>
    <w:rsid w:val="001E685A"/>
    <w:rsid w:val="001E6D57"/>
    <w:rsid w:val="001F41F8"/>
    <w:rsid w:val="001F4FE8"/>
    <w:rsid w:val="001F6E1F"/>
    <w:rsid w:val="00200A42"/>
    <w:rsid w:val="00200D00"/>
    <w:rsid w:val="0020543F"/>
    <w:rsid w:val="0020589F"/>
    <w:rsid w:val="00206099"/>
    <w:rsid w:val="00212ED9"/>
    <w:rsid w:val="00215002"/>
    <w:rsid w:val="00215E13"/>
    <w:rsid w:val="00217BF3"/>
    <w:rsid w:val="002214EB"/>
    <w:rsid w:val="002233D1"/>
    <w:rsid w:val="00223621"/>
    <w:rsid w:val="00227839"/>
    <w:rsid w:val="00227D24"/>
    <w:rsid w:val="002333FB"/>
    <w:rsid w:val="00235F3B"/>
    <w:rsid w:val="002431F8"/>
    <w:rsid w:val="00254AAA"/>
    <w:rsid w:val="00254C83"/>
    <w:rsid w:val="00254E6C"/>
    <w:rsid w:val="00265844"/>
    <w:rsid w:val="0027189F"/>
    <w:rsid w:val="002736BF"/>
    <w:rsid w:val="00273D03"/>
    <w:rsid w:val="002747E2"/>
    <w:rsid w:val="002809D5"/>
    <w:rsid w:val="00282B1B"/>
    <w:rsid w:val="00283578"/>
    <w:rsid w:val="002837AD"/>
    <w:rsid w:val="00295637"/>
    <w:rsid w:val="002A2DD8"/>
    <w:rsid w:val="002A469E"/>
    <w:rsid w:val="002A730A"/>
    <w:rsid w:val="002A7BF3"/>
    <w:rsid w:val="002A7F33"/>
    <w:rsid w:val="002B51C7"/>
    <w:rsid w:val="002B6AB8"/>
    <w:rsid w:val="002C009C"/>
    <w:rsid w:val="002C09D5"/>
    <w:rsid w:val="002C0F60"/>
    <w:rsid w:val="002C5EB8"/>
    <w:rsid w:val="002C6400"/>
    <w:rsid w:val="002D15A8"/>
    <w:rsid w:val="002D2B96"/>
    <w:rsid w:val="002D460F"/>
    <w:rsid w:val="002D728B"/>
    <w:rsid w:val="002E1768"/>
    <w:rsid w:val="002E455A"/>
    <w:rsid w:val="002E61AA"/>
    <w:rsid w:val="002F07D2"/>
    <w:rsid w:val="00300778"/>
    <w:rsid w:val="0030455F"/>
    <w:rsid w:val="00304890"/>
    <w:rsid w:val="00307249"/>
    <w:rsid w:val="003145B5"/>
    <w:rsid w:val="00331303"/>
    <w:rsid w:val="00332E7D"/>
    <w:rsid w:val="0033385E"/>
    <w:rsid w:val="0033460F"/>
    <w:rsid w:val="003374B6"/>
    <w:rsid w:val="00337AF8"/>
    <w:rsid w:val="0034130D"/>
    <w:rsid w:val="00344EA8"/>
    <w:rsid w:val="00354129"/>
    <w:rsid w:val="0035438C"/>
    <w:rsid w:val="00356A8C"/>
    <w:rsid w:val="00356F6D"/>
    <w:rsid w:val="00357A9B"/>
    <w:rsid w:val="00370CD2"/>
    <w:rsid w:val="00375B87"/>
    <w:rsid w:val="003762F4"/>
    <w:rsid w:val="0038149B"/>
    <w:rsid w:val="003826E8"/>
    <w:rsid w:val="00384EAD"/>
    <w:rsid w:val="00397388"/>
    <w:rsid w:val="003A031D"/>
    <w:rsid w:val="003A1817"/>
    <w:rsid w:val="003B3844"/>
    <w:rsid w:val="003B3C1D"/>
    <w:rsid w:val="003C192C"/>
    <w:rsid w:val="003C6EA6"/>
    <w:rsid w:val="003C7CBE"/>
    <w:rsid w:val="003D297A"/>
    <w:rsid w:val="003D3728"/>
    <w:rsid w:val="003E0CDA"/>
    <w:rsid w:val="003E3B79"/>
    <w:rsid w:val="003E602E"/>
    <w:rsid w:val="003E7F9F"/>
    <w:rsid w:val="003F1D89"/>
    <w:rsid w:val="003F2380"/>
    <w:rsid w:val="003F3D9C"/>
    <w:rsid w:val="003F4D96"/>
    <w:rsid w:val="00404108"/>
    <w:rsid w:val="00406E66"/>
    <w:rsid w:val="00410D4D"/>
    <w:rsid w:val="00412DAE"/>
    <w:rsid w:val="0041464B"/>
    <w:rsid w:val="00415BF6"/>
    <w:rsid w:val="00416B05"/>
    <w:rsid w:val="0041753B"/>
    <w:rsid w:val="00417C06"/>
    <w:rsid w:val="00420397"/>
    <w:rsid w:val="004211C2"/>
    <w:rsid w:val="00421370"/>
    <w:rsid w:val="00421535"/>
    <w:rsid w:val="00421A23"/>
    <w:rsid w:val="00423197"/>
    <w:rsid w:val="00423209"/>
    <w:rsid w:val="0042467D"/>
    <w:rsid w:val="00431AE8"/>
    <w:rsid w:val="004326C0"/>
    <w:rsid w:val="00442FDA"/>
    <w:rsid w:val="004440D0"/>
    <w:rsid w:val="00445038"/>
    <w:rsid w:val="0044594E"/>
    <w:rsid w:val="00451C61"/>
    <w:rsid w:val="00454938"/>
    <w:rsid w:val="00461A29"/>
    <w:rsid w:val="00466EF2"/>
    <w:rsid w:val="00472466"/>
    <w:rsid w:val="0047322B"/>
    <w:rsid w:val="00480827"/>
    <w:rsid w:val="004841AD"/>
    <w:rsid w:val="004845B5"/>
    <w:rsid w:val="0048536A"/>
    <w:rsid w:val="00485803"/>
    <w:rsid w:val="004871FD"/>
    <w:rsid w:val="004912C2"/>
    <w:rsid w:val="004915D7"/>
    <w:rsid w:val="0049383D"/>
    <w:rsid w:val="004941FE"/>
    <w:rsid w:val="004958E2"/>
    <w:rsid w:val="00497897"/>
    <w:rsid w:val="004A002E"/>
    <w:rsid w:val="004A018D"/>
    <w:rsid w:val="004A0A68"/>
    <w:rsid w:val="004A3F9E"/>
    <w:rsid w:val="004A4E04"/>
    <w:rsid w:val="004A5CD9"/>
    <w:rsid w:val="004B139E"/>
    <w:rsid w:val="004B14CA"/>
    <w:rsid w:val="004C4CB2"/>
    <w:rsid w:val="004D4E32"/>
    <w:rsid w:val="004D7D18"/>
    <w:rsid w:val="004E361D"/>
    <w:rsid w:val="004F28B8"/>
    <w:rsid w:val="004F4EAC"/>
    <w:rsid w:val="004F51FC"/>
    <w:rsid w:val="004F588E"/>
    <w:rsid w:val="005039DC"/>
    <w:rsid w:val="005041E5"/>
    <w:rsid w:val="0051025E"/>
    <w:rsid w:val="005106FD"/>
    <w:rsid w:val="00511577"/>
    <w:rsid w:val="00516FF1"/>
    <w:rsid w:val="00522578"/>
    <w:rsid w:val="005233DD"/>
    <w:rsid w:val="00524009"/>
    <w:rsid w:val="0052568E"/>
    <w:rsid w:val="00526B88"/>
    <w:rsid w:val="00530FB0"/>
    <w:rsid w:val="0053226D"/>
    <w:rsid w:val="0053324A"/>
    <w:rsid w:val="0053423A"/>
    <w:rsid w:val="00536A82"/>
    <w:rsid w:val="0053723B"/>
    <w:rsid w:val="00543626"/>
    <w:rsid w:val="0054622C"/>
    <w:rsid w:val="00546A6C"/>
    <w:rsid w:val="005471B7"/>
    <w:rsid w:val="0055456B"/>
    <w:rsid w:val="00556218"/>
    <w:rsid w:val="00561401"/>
    <w:rsid w:val="005617B7"/>
    <w:rsid w:val="00565A60"/>
    <w:rsid w:val="005673AF"/>
    <w:rsid w:val="00572AF2"/>
    <w:rsid w:val="00575883"/>
    <w:rsid w:val="00576EE3"/>
    <w:rsid w:val="00577110"/>
    <w:rsid w:val="00577F34"/>
    <w:rsid w:val="0058026D"/>
    <w:rsid w:val="0058192B"/>
    <w:rsid w:val="0058364C"/>
    <w:rsid w:val="00585852"/>
    <w:rsid w:val="0059266F"/>
    <w:rsid w:val="00592BE9"/>
    <w:rsid w:val="005932EF"/>
    <w:rsid w:val="005946A0"/>
    <w:rsid w:val="005949C4"/>
    <w:rsid w:val="005A0227"/>
    <w:rsid w:val="005A077B"/>
    <w:rsid w:val="005A0CBE"/>
    <w:rsid w:val="005A7805"/>
    <w:rsid w:val="005B4A6C"/>
    <w:rsid w:val="005B7EFB"/>
    <w:rsid w:val="005C2A2A"/>
    <w:rsid w:val="005C3277"/>
    <w:rsid w:val="005D059A"/>
    <w:rsid w:val="005D74D9"/>
    <w:rsid w:val="005E44FB"/>
    <w:rsid w:val="005E55EF"/>
    <w:rsid w:val="0060264C"/>
    <w:rsid w:val="0060734C"/>
    <w:rsid w:val="00610D38"/>
    <w:rsid w:val="006156A2"/>
    <w:rsid w:val="00617949"/>
    <w:rsid w:val="00630EE9"/>
    <w:rsid w:val="00640BDB"/>
    <w:rsid w:val="00641BC5"/>
    <w:rsid w:val="00654B07"/>
    <w:rsid w:val="00655313"/>
    <w:rsid w:val="00656555"/>
    <w:rsid w:val="0065770B"/>
    <w:rsid w:val="00660076"/>
    <w:rsid w:val="0066319E"/>
    <w:rsid w:val="006632D7"/>
    <w:rsid w:val="00663D05"/>
    <w:rsid w:val="00663FA7"/>
    <w:rsid w:val="00664D98"/>
    <w:rsid w:val="0066718B"/>
    <w:rsid w:val="00667B73"/>
    <w:rsid w:val="00671245"/>
    <w:rsid w:val="00681A6F"/>
    <w:rsid w:val="0068329B"/>
    <w:rsid w:val="00690C83"/>
    <w:rsid w:val="00690C9F"/>
    <w:rsid w:val="00691740"/>
    <w:rsid w:val="006917EE"/>
    <w:rsid w:val="00695408"/>
    <w:rsid w:val="0069642A"/>
    <w:rsid w:val="006A49EB"/>
    <w:rsid w:val="006A7837"/>
    <w:rsid w:val="006B244D"/>
    <w:rsid w:val="006B629F"/>
    <w:rsid w:val="006C6148"/>
    <w:rsid w:val="006C78E7"/>
    <w:rsid w:val="006D6063"/>
    <w:rsid w:val="006D731E"/>
    <w:rsid w:val="006E0766"/>
    <w:rsid w:val="006E0F91"/>
    <w:rsid w:val="006E1276"/>
    <w:rsid w:val="006E3E1A"/>
    <w:rsid w:val="006F2B79"/>
    <w:rsid w:val="006F3D21"/>
    <w:rsid w:val="007013E3"/>
    <w:rsid w:val="00704878"/>
    <w:rsid w:val="00705240"/>
    <w:rsid w:val="0070608D"/>
    <w:rsid w:val="00716594"/>
    <w:rsid w:val="00717BB6"/>
    <w:rsid w:val="00721B24"/>
    <w:rsid w:val="00727FC8"/>
    <w:rsid w:val="00730838"/>
    <w:rsid w:val="00730FCA"/>
    <w:rsid w:val="007311AC"/>
    <w:rsid w:val="00731329"/>
    <w:rsid w:val="0073167E"/>
    <w:rsid w:val="007323E8"/>
    <w:rsid w:val="00732FCA"/>
    <w:rsid w:val="007521C4"/>
    <w:rsid w:val="00752546"/>
    <w:rsid w:val="00752DE7"/>
    <w:rsid w:val="00755FD8"/>
    <w:rsid w:val="00757000"/>
    <w:rsid w:val="00760E39"/>
    <w:rsid w:val="00767A00"/>
    <w:rsid w:val="00772BFD"/>
    <w:rsid w:val="00773EB4"/>
    <w:rsid w:val="007749B3"/>
    <w:rsid w:val="007869C6"/>
    <w:rsid w:val="00790A91"/>
    <w:rsid w:val="00792FC8"/>
    <w:rsid w:val="00793312"/>
    <w:rsid w:val="00795A8A"/>
    <w:rsid w:val="007A2F8F"/>
    <w:rsid w:val="007A3A6B"/>
    <w:rsid w:val="007A5EC4"/>
    <w:rsid w:val="007B3F87"/>
    <w:rsid w:val="007B3FBD"/>
    <w:rsid w:val="007C60A2"/>
    <w:rsid w:val="007D3BDD"/>
    <w:rsid w:val="007D499D"/>
    <w:rsid w:val="007D6C45"/>
    <w:rsid w:val="007D72A7"/>
    <w:rsid w:val="007E42C3"/>
    <w:rsid w:val="007E584B"/>
    <w:rsid w:val="007E7B2C"/>
    <w:rsid w:val="007E7CD8"/>
    <w:rsid w:val="007F13ED"/>
    <w:rsid w:val="007F1FB0"/>
    <w:rsid w:val="007F72DB"/>
    <w:rsid w:val="0080047B"/>
    <w:rsid w:val="008054E3"/>
    <w:rsid w:val="008057EB"/>
    <w:rsid w:val="00813249"/>
    <w:rsid w:val="00822C66"/>
    <w:rsid w:val="00823EE0"/>
    <w:rsid w:val="008348EB"/>
    <w:rsid w:val="00845EAF"/>
    <w:rsid w:val="008465D0"/>
    <w:rsid w:val="00851025"/>
    <w:rsid w:val="00852D5C"/>
    <w:rsid w:val="008617A3"/>
    <w:rsid w:val="008655A1"/>
    <w:rsid w:val="00871900"/>
    <w:rsid w:val="008748D2"/>
    <w:rsid w:val="0089232A"/>
    <w:rsid w:val="008928B8"/>
    <w:rsid w:val="008953D8"/>
    <w:rsid w:val="008A2811"/>
    <w:rsid w:val="008A4766"/>
    <w:rsid w:val="008A67C3"/>
    <w:rsid w:val="008E4E9E"/>
    <w:rsid w:val="008E53BB"/>
    <w:rsid w:val="008E68B0"/>
    <w:rsid w:val="008F1875"/>
    <w:rsid w:val="008F4DC9"/>
    <w:rsid w:val="008F5B48"/>
    <w:rsid w:val="00902794"/>
    <w:rsid w:val="00903C74"/>
    <w:rsid w:val="009106B5"/>
    <w:rsid w:val="009130E6"/>
    <w:rsid w:val="009131F3"/>
    <w:rsid w:val="00913BE6"/>
    <w:rsid w:val="0091436F"/>
    <w:rsid w:val="00914726"/>
    <w:rsid w:val="00916A24"/>
    <w:rsid w:val="00922598"/>
    <w:rsid w:val="00926532"/>
    <w:rsid w:val="009275DC"/>
    <w:rsid w:val="0093215D"/>
    <w:rsid w:val="0093386C"/>
    <w:rsid w:val="00935D6F"/>
    <w:rsid w:val="00935D89"/>
    <w:rsid w:val="009408B0"/>
    <w:rsid w:val="00943099"/>
    <w:rsid w:val="00943212"/>
    <w:rsid w:val="00943543"/>
    <w:rsid w:val="00946CDB"/>
    <w:rsid w:val="009521B0"/>
    <w:rsid w:val="00952457"/>
    <w:rsid w:val="00953537"/>
    <w:rsid w:val="00953C84"/>
    <w:rsid w:val="009573C8"/>
    <w:rsid w:val="009613D9"/>
    <w:rsid w:val="00966C57"/>
    <w:rsid w:val="009676F1"/>
    <w:rsid w:val="009701EF"/>
    <w:rsid w:val="009704D9"/>
    <w:rsid w:val="00974550"/>
    <w:rsid w:val="0098113B"/>
    <w:rsid w:val="00982781"/>
    <w:rsid w:val="00986FAE"/>
    <w:rsid w:val="009936D0"/>
    <w:rsid w:val="009A1558"/>
    <w:rsid w:val="009A4122"/>
    <w:rsid w:val="009A70C4"/>
    <w:rsid w:val="009A778F"/>
    <w:rsid w:val="009B1CB5"/>
    <w:rsid w:val="009B5208"/>
    <w:rsid w:val="009B5923"/>
    <w:rsid w:val="009C6045"/>
    <w:rsid w:val="009C7E3A"/>
    <w:rsid w:val="009C7F10"/>
    <w:rsid w:val="009D46CC"/>
    <w:rsid w:val="009D63FB"/>
    <w:rsid w:val="009D69C0"/>
    <w:rsid w:val="009D7082"/>
    <w:rsid w:val="009E03C2"/>
    <w:rsid w:val="009E101E"/>
    <w:rsid w:val="009E3D75"/>
    <w:rsid w:val="009F4147"/>
    <w:rsid w:val="009F7B02"/>
    <w:rsid w:val="00A019F3"/>
    <w:rsid w:val="00A058C7"/>
    <w:rsid w:val="00A05F81"/>
    <w:rsid w:val="00A11733"/>
    <w:rsid w:val="00A12482"/>
    <w:rsid w:val="00A15C53"/>
    <w:rsid w:val="00A24DDC"/>
    <w:rsid w:val="00A24F5C"/>
    <w:rsid w:val="00A25E69"/>
    <w:rsid w:val="00A32835"/>
    <w:rsid w:val="00A34AA8"/>
    <w:rsid w:val="00A34AF9"/>
    <w:rsid w:val="00A353AC"/>
    <w:rsid w:val="00A40449"/>
    <w:rsid w:val="00A42A7F"/>
    <w:rsid w:val="00A43B7C"/>
    <w:rsid w:val="00A55E62"/>
    <w:rsid w:val="00A56CF6"/>
    <w:rsid w:val="00A6029C"/>
    <w:rsid w:val="00A613B5"/>
    <w:rsid w:val="00A627FD"/>
    <w:rsid w:val="00A709EF"/>
    <w:rsid w:val="00A7228C"/>
    <w:rsid w:val="00A752CE"/>
    <w:rsid w:val="00A77412"/>
    <w:rsid w:val="00A77950"/>
    <w:rsid w:val="00A81D77"/>
    <w:rsid w:val="00A84DB9"/>
    <w:rsid w:val="00A8691B"/>
    <w:rsid w:val="00A875E7"/>
    <w:rsid w:val="00A978C4"/>
    <w:rsid w:val="00AA3B39"/>
    <w:rsid w:val="00AA51A1"/>
    <w:rsid w:val="00AA5D4F"/>
    <w:rsid w:val="00AB1FEA"/>
    <w:rsid w:val="00AD480C"/>
    <w:rsid w:val="00AD4F54"/>
    <w:rsid w:val="00AD7E63"/>
    <w:rsid w:val="00AE2A6B"/>
    <w:rsid w:val="00AE597C"/>
    <w:rsid w:val="00AF0449"/>
    <w:rsid w:val="00B00CD4"/>
    <w:rsid w:val="00B02825"/>
    <w:rsid w:val="00B035C8"/>
    <w:rsid w:val="00B05E5C"/>
    <w:rsid w:val="00B15A28"/>
    <w:rsid w:val="00B23981"/>
    <w:rsid w:val="00B24E1D"/>
    <w:rsid w:val="00B26ACC"/>
    <w:rsid w:val="00B30FC5"/>
    <w:rsid w:val="00B3107E"/>
    <w:rsid w:val="00B31A92"/>
    <w:rsid w:val="00B32110"/>
    <w:rsid w:val="00B33671"/>
    <w:rsid w:val="00B36B77"/>
    <w:rsid w:val="00B47594"/>
    <w:rsid w:val="00B57D0A"/>
    <w:rsid w:val="00B70E76"/>
    <w:rsid w:val="00B71C57"/>
    <w:rsid w:val="00B72EF3"/>
    <w:rsid w:val="00B7345C"/>
    <w:rsid w:val="00B809BB"/>
    <w:rsid w:val="00B844B6"/>
    <w:rsid w:val="00B85AD9"/>
    <w:rsid w:val="00B90012"/>
    <w:rsid w:val="00B90527"/>
    <w:rsid w:val="00B91243"/>
    <w:rsid w:val="00B94B45"/>
    <w:rsid w:val="00B94DED"/>
    <w:rsid w:val="00BA211B"/>
    <w:rsid w:val="00BA5FD8"/>
    <w:rsid w:val="00BB4740"/>
    <w:rsid w:val="00BB47F6"/>
    <w:rsid w:val="00BB614F"/>
    <w:rsid w:val="00BB634E"/>
    <w:rsid w:val="00BD0068"/>
    <w:rsid w:val="00BD3D70"/>
    <w:rsid w:val="00BD6C37"/>
    <w:rsid w:val="00BE0015"/>
    <w:rsid w:val="00C051DD"/>
    <w:rsid w:val="00C06ED3"/>
    <w:rsid w:val="00C1785E"/>
    <w:rsid w:val="00C17EEB"/>
    <w:rsid w:val="00C21DAF"/>
    <w:rsid w:val="00C23DE7"/>
    <w:rsid w:val="00C25EDD"/>
    <w:rsid w:val="00C358B6"/>
    <w:rsid w:val="00C371A7"/>
    <w:rsid w:val="00C44696"/>
    <w:rsid w:val="00C50BA1"/>
    <w:rsid w:val="00C5184F"/>
    <w:rsid w:val="00C51DCB"/>
    <w:rsid w:val="00C52753"/>
    <w:rsid w:val="00C610A5"/>
    <w:rsid w:val="00C61183"/>
    <w:rsid w:val="00C638AC"/>
    <w:rsid w:val="00C70784"/>
    <w:rsid w:val="00C779F7"/>
    <w:rsid w:val="00C81E24"/>
    <w:rsid w:val="00C84CA4"/>
    <w:rsid w:val="00C85DB5"/>
    <w:rsid w:val="00C9413E"/>
    <w:rsid w:val="00C95367"/>
    <w:rsid w:val="00CA1E38"/>
    <w:rsid w:val="00CA5942"/>
    <w:rsid w:val="00CA7E79"/>
    <w:rsid w:val="00CB096F"/>
    <w:rsid w:val="00CB6491"/>
    <w:rsid w:val="00CB7274"/>
    <w:rsid w:val="00CC171D"/>
    <w:rsid w:val="00CC1A72"/>
    <w:rsid w:val="00CC2264"/>
    <w:rsid w:val="00CC5878"/>
    <w:rsid w:val="00CD0668"/>
    <w:rsid w:val="00CD33BF"/>
    <w:rsid w:val="00CD67A9"/>
    <w:rsid w:val="00CE2351"/>
    <w:rsid w:val="00CE3341"/>
    <w:rsid w:val="00CE3387"/>
    <w:rsid w:val="00CE3764"/>
    <w:rsid w:val="00CE6B1B"/>
    <w:rsid w:val="00CF0DA0"/>
    <w:rsid w:val="00CF56A5"/>
    <w:rsid w:val="00D01093"/>
    <w:rsid w:val="00D04AD8"/>
    <w:rsid w:val="00D12520"/>
    <w:rsid w:val="00D13CFB"/>
    <w:rsid w:val="00D14EA7"/>
    <w:rsid w:val="00D25AD0"/>
    <w:rsid w:val="00D26C65"/>
    <w:rsid w:val="00D30722"/>
    <w:rsid w:val="00D332B2"/>
    <w:rsid w:val="00D33E56"/>
    <w:rsid w:val="00D47E55"/>
    <w:rsid w:val="00D56FCA"/>
    <w:rsid w:val="00D65F78"/>
    <w:rsid w:val="00D72C12"/>
    <w:rsid w:val="00D74BCF"/>
    <w:rsid w:val="00D77031"/>
    <w:rsid w:val="00D8690E"/>
    <w:rsid w:val="00D87BA2"/>
    <w:rsid w:val="00D9115A"/>
    <w:rsid w:val="00D92789"/>
    <w:rsid w:val="00D97A6A"/>
    <w:rsid w:val="00DA0A52"/>
    <w:rsid w:val="00DA544E"/>
    <w:rsid w:val="00DA5F33"/>
    <w:rsid w:val="00DB3BA3"/>
    <w:rsid w:val="00DB44FA"/>
    <w:rsid w:val="00DB55ED"/>
    <w:rsid w:val="00DB5DE7"/>
    <w:rsid w:val="00DC0BAA"/>
    <w:rsid w:val="00DC2F9A"/>
    <w:rsid w:val="00DC5001"/>
    <w:rsid w:val="00DC5074"/>
    <w:rsid w:val="00DD6418"/>
    <w:rsid w:val="00DE4A48"/>
    <w:rsid w:val="00DE51F2"/>
    <w:rsid w:val="00DE6125"/>
    <w:rsid w:val="00DE7B00"/>
    <w:rsid w:val="00E01F25"/>
    <w:rsid w:val="00E032B5"/>
    <w:rsid w:val="00E06AF7"/>
    <w:rsid w:val="00E12186"/>
    <w:rsid w:val="00E121F6"/>
    <w:rsid w:val="00E135D7"/>
    <w:rsid w:val="00E213EF"/>
    <w:rsid w:val="00E274DE"/>
    <w:rsid w:val="00E311FC"/>
    <w:rsid w:val="00E33D2F"/>
    <w:rsid w:val="00E35600"/>
    <w:rsid w:val="00E35B5A"/>
    <w:rsid w:val="00E44EEE"/>
    <w:rsid w:val="00E462C3"/>
    <w:rsid w:val="00E50DCA"/>
    <w:rsid w:val="00E516A0"/>
    <w:rsid w:val="00E51785"/>
    <w:rsid w:val="00E5263A"/>
    <w:rsid w:val="00E52886"/>
    <w:rsid w:val="00E603C2"/>
    <w:rsid w:val="00E65F54"/>
    <w:rsid w:val="00E728B4"/>
    <w:rsid w:val="00E76369"/>
    <w:rsid w:val="00E771C6"/>
    <w:rsid w:val="00E7724F"/>
    <w:rsid w:val="00E77ABD"/>
    <w:rsid w:val="00E8189D"/>
    <w:rsid w:val="00E81A4C"/>
    <w:rsid w:val="00E85CA1"/>
    <w:rsid w:val="00E93554"/>
    <w:rsid w:val="00E94604"/>
    <w:rsid w:val="00E95347"/>
    <w:rsid w:val="00EA04A7"/>
    <w:rsid w:val="00EB0C72"/>
    <w:rsid w:val="00EB3D42"/>
    <w:rsid w:val="00EB5D56"/>
    <w:rsid w:val="00EC0D70"/>
    <w:rsid w:val="00EC20CA"/>
    <w:rsid w:val="00EC3264"/>
    <w:rsid w:val="00EC6D3A"/>
    <w:rsid w:val="00ED7815"/>
    <w:rsid w:val="00EE0D7C"/>
    <w:rsid w:val="00EE2132"/>
    <w:rsid w:val="00EE47F2"/>
    <w:rsid w:val="00EE71C3"/>
    <w:rsid w:val="00EF04CF"/>
    <w:rsid w:val="00EF1B68"/>
    <w:rsid w:val="00EF6728"/>
    <w:rsid w:val="00F02168"/>
    <w:rsid w:val="00F0219F"/>
    <w:rsid w:val="00F04A69"/>
    <w:rsid w:val="00F04D75"/>
    <w:rsid w:val="00F14F86"/>
    <w:rsid w:val="00F1660A"/>
    <w:rsid w:val="00F261EB"/>
    <w:rsid w:val="00F467EA"/>
    <w:rsid w:val="00F50A96"/>
    <w:rsid w:val="00F51F60"/>
    <w:rsid w:val="00F53085"/>
    <w:rsid w:val="00F531B1"/>
    <w:rsid w:val="00F65AEA"/>
    <w:rsid w:val="00F7643D"/>
    <w:rsid w:val="00F77785"/>
    <w:rsid w:val="00F77F1C"/>
    <w:rsid w:val="00F82EC6"/>
    <w:rsid w:val="00F9137E"/>
    <w:rsid w:val="00F947FC"/>
    <w:rsid w:val="00F94EBA"/>
    <w:rsid w:val="00F96C5E"/>
    <w:rsid w:val="00FA42A5"/>
    <w:rsid w:val="00FA5938"/>
    <w:rsid w:val="00FA5BB3"/>
    <w:rsid w:val="00FA6A40"/>
    <w:rsid w:val="00FB4216"/>
    <w:rsid w:val="00FB4550"/>
    <w:rsid w:val="00FB756F"/>
    <w:rsid w:val="00FC160A"/>
    <w:rsid w:val="00FC2928"/>
    <w:rsid w:val="00FC387F"/>
    <w:rsid w:val="00FC68F8"/>
    <w:rsid w:val="00FD02AC"/>
    <w:rsid w:val="00FD0D3B"/>
    <w:rsid w:val="00FD40A7"/>
    <w:rsid w:val="00FD68F9"/>
    <w:rsid w:val="00FD7DA6"/>
    <w:rsid w:val="00FE1064"/>
    <w:rsid w:val="00FE1708"/>
    <w:rsid w:val="00FE4BFE"/>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9D"/>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99"/>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styleId="Revision">
    <w:name w:val="Revision"/>
    <w:hidden/>
    <w:uiPriority w:val="99"/>
    <w:semiHidden/>
    <w:rsid w:val="008617A3"/>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9D"/>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99"/>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styleId="Revision">
    <w:name w:val="Revision"/>
    <w:hidden/>
    <w:uiPriority w:val="99"/>
    <w:semiHidden/>
    <w:rsid w:val="008617A3"/>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0626423">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E08C-4E44-4274-8CD5-C959636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11731</Words>
  <Characters>6688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Likumprojekta „Grozījumi Ceļu satiksmes likumā” sākotnējās ietekmes novērtējuma ziņojums (anotācija)</vt:lpstr>
    </vt:vector>
  </TitlesOfParts>
  <Company>Satiksmes ministrija</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Ceļu satiksmes likumā” sākotnējās ietekmes novērtējuma ziņojums (anotācija)</dc:title>
  <dc:subject>anotācija</dc:subject>
  <dc:creator>Jānis Golubevs;Janis.Kalnins@sam.gov.lv;Edgars Ošenieks</dc:creator>
  <dc:description>janis.golubevs@csdd.gov.lv_x000d_
67025701</dc:description>
  <cp:lastModifiedBy>Lauris Miķelsons</cp:lastModifiedBy>
  <cp:revision>9</cp:revision>
  <cp:lastPrinted>2015-04-27T06:55:00Z</cp:lastPrinted>
  <dcterms:created xsi:type="dcterms:W3CDTF">2016-09-01T10:46:00Z</dcterms:created>
  <dcterms:modified xsi:type="dcterms:W3CDTF">2016-09-20T07:50:00Z</dcterms:modified>
</cp:coreProperties>
</file>