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DFA6" w14:textId="77777777" w:rsidR="00DE1899" w:rsidRPr="009A4290" w:rsidRDefault="00DE1899" w:rsidP="00DE18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290">
        <w:rPr>
          <w:rFonts w:ascii="Times New Roman" w:eastAsia="Times New Roman" w:hAnsi="Times New Roman" w:cs="Times New Roman"/>
          <w:sz w:val="24"/>
          <w:szCs w:val="24"/>
        </w:rPr>
        <w:t>Projekts</w:t>
      </w:r>
    </w:p>
    <w:p w14:paraId="3E58D4D2" w14:textId="77777777" w:rsidR="00DE1899" w:rsidRPr="009A4290" w:rsidRDefault="00DE1899" w:rsidP="00DE189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4290">
        <w:rPr>
          <w:rFonts w:ascii="Times New Roman" w:eastAsia="Times New Roman" w:hAnsi="Times New Roman" w:cs="Times New Roman"/>
          <w:sz w:val="24"/>
          <w:szCs w:val="24"/>
        </w:rPr>
        <w:t>LATVIJAS REPUBLIKAS MINISTRU KABINETS</w:t>
      </w:r>
    </w:p>
    <w:p w14:paraId="70E95D3E" w14:textId="77777777" w:rsidR="00DE1899" w:rsidRPr="009A4290" w:rsidRDefault="00DE1899" w:rsidP="00DE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B1560" w14:textId="1B5FE738" w:rsidR="00DE1899" w:rsidRPr="009A4290" w:rsidRDefault="00DE1899" w:rsidP="00DE189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2016.gada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4290">
        <w:rPr>
          <w:rFonts w:ascii="Times New Roman" w:eastAsia="Times New Roman" w:hAnsi="Times New Roman" w:cs="Times New Roman"/>
          <w:sz w:val="24"/>
          <w:szCs w:val="24"/>
        </w:rPr>
        <w:t>Noteikumi Nr.</w:t>
      </w:r>
    </w:p>
    <w:p w14:paraId="155FD57A" w14:textId="49360A46" w:rsidR="00DE1899" w:rsidRPr="009A4290" w:rsidRDefault="00DE1899" w:rsidP="00DE189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4290">
        <w:rPr>
          <w:rFonts w:ascii="Times New Roman" w:eastAsia="Times New Roman" w:hAnsi="Times New Roman" w:cs="Times New Roman"/>
          <w:sz w:val="24"/>
          <w:szCs w:val="24"/>
        </w:rPr>
        <w:t>(prot. Nr.           .§)</w:t>
      </w:r>
    </w:p>
    <w:p w14:paraId="63116A1C" w14:textId="77777777" w:rsidR="004E2C67" w:rsidRPr="00531BCB" w:rsidRDefault="004E2C67" w:rsidP="004E2C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20A025" w14:textId="77777777" w:rsidR="00A83F93" w:rsidRDefault="00A83F93" w:rsidP="004E2C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C7B77" w14:textId="77777777" w:rsidR="004E2C67" w:rsidRPr="00531BCB" w:rsidRDefault="004E2C67" w:rsidP="004E2C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CB">
        <w:rPr>
          <w:rFonts w:ascii="Times New Roman" w:hAnsi="Times New Roman" w:cs="Times New Roman"/>
          <w:b/>
          <w:sz w:val="24"/>
          <w:szCs w:val="24"/>
        </w:rPr>
        <w:t>Grozījum</w:t>
      </w:r>
      <w:r>
        <w:rPr>
          <w:rFonts w:ascii="Times New Roman" w:hAnsi="Times New Roman" w:cs="Times New Roman"/>
          <w:b/>
          <w:sz w:val="24"/>
          <w:szCs w:val="24"/>
        </w:rPr>
        <w:t>i Ministru kabineta 2009.gada 11.augusta noteikumos Nr.892 “Noteikumi par numerācijas lietošanas tiesību ikgadējo valsts nodevu”</w:t>
      </w:r>
    </w:p>
    <w:p w14:paraId="58095DC5" w14:textId="77777777" w:rsidR="004E2C67" w:rsidRPr="00531BCB" w:rsidRDefault="004E2C67" w:rsidP="004E2C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A5F2ABA" w14:textId="77777777" w:rsidR="004E2C67" w:rsidRDefault="004E2C67" w:rsidP="004E2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70B72" w14:textId="77777777" w:rsidR="004E2C67" w:rsidRDefault="004E2C67" w:rsidP="004E2C6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Izdoti saskaņā ar Elektronisko sakaru likuma 58.panta pirmo daļu</w:t>
      </w:r>
    </w:p>
    <w:p w14:paraId="337EE137" w14:textId="77777777" w:rsidR="004E2C67" w:rsidRDefault="004E2C67" w:rsidP="004E2C67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2592DBCA" w14:textId="77777777" w:rsidR="004E2C67" w:rsidRDefault="00A83F93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Izdarīt </w:t>
      </w:r>
      <w:r w:rsidR="004E2C67">
        <w:rPr>
          <w:rFonts w:ascii="Times New Roman" w:hAnsi="Times New Roman" w:cs="Times New Roman"/>
          <w:sz w:val="24"/>
          <w:szCs w:val="24"/>
          <w:shd w:val="clear" w:color="auto" w:fill="FFFFFF"/>
        </w:rPr>
        <w:t>Ministru kabineta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C67">
        <w:rPr>
          <w:rFonts w:ascii="Times New Roman" w:hAnsi="Times New Roman" w:cs="Times New Roman"/>
          <w:sz w:val="24"/>
          <w:szCs w:val="24"/>
          <w:shd w:val="clear" w:color="auto" w:fill="FFFFFF"/>
        </w:rPr>
        <w:t>2009.gada 11.augusta noteikumos Nr.892 “</w:t>
      </w:r>
      <w:r w:rsidR="004E2C67" w:rsidRPr="00A83F93">
        <w:rPr>
          <w:rFonts w:ascii="Times New Roman" w:hAnsi="Times New Roman" w:cs="Times New Roman"/>
          <w:sz w:val="24"/>
          <w:szCs w:val="24"/>
          <w:shd w:val="clear" w:color="auto" w:fill="FFFFFF"/>
        </w:rPr>
        <w:t>Noteikumi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numerācijas lietošanas tiesību ikgadējo valsts nodevu”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(Latvijas Vēstnesis, 2009, </w:t>
      </w:r>
      <w:r w:rsidR="004E2C67">
        <w:rPr>
          <w:rFonts w:ascii="Times New Roman" w:hAnsi="Times New Roman" w:cs="Times New Roman"/>
          <w:sz w:val="24"/>
          <w:szCs w:val="24"/>
          <w:shd w:val="clear" w:color="auto" w:fill="FFFFFF"/>
        </w:rPr>
        <w:t>129.nr.; 2010, 46.nr.; 2012, 44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>.nr.</w:t>
      </w:r>
      <w:r w:rsidR="004E2C67">
        <w:rPr>
          <w:rFonts w:ascii="Times New Roman" w:hAnsi="Times New Roman" w:cs="Times New Roman"/>
          <w:sz w:val="24"/>
          <w:szCs w:val="24"/>
          <w:shd w:val="clear" w:color="auto" w:fill="FFFFFF"/>
        </w:rPr>
        <w:t>; 2013, 189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2C67">
        <w:rPr>
          <w:rFonts w:ascii="Times New Roman" w:hAnsi="Times New Roman" w:cs="Times New Roman"/>
          <w:sz w:val="24"/>
          <w:szCs w:val="24"/>
          <w:shd w:val="clear" w:color="auto" w:fill="FFFFFF"/>
        </w:rPr>
        <w:t>nr.; 2015, 40.nr.</w:t>
      </w:r>
      <w:r w:rsidR="004E2C67" w:rsidRPr="00B414A8">
        <w:rPr>
          <w:rFonts w:ascii="Times New Roman" w:hAnsi="Times New Roman" w:cs="Times New Roman"/>
          <w:sz w:val="24"/>
          <w:szCs w:val="24"/>
          <w:shd w:val="clear" w:color="auto" w:fill="FFFFFF"/>
        </w:rPr>
        <w:t>) šādus grozījumus:</w:t>
      </w:r>
    </w:p>
    <w:p w14:paraId="0E06A1F0" w14:textId="77777777" w:rsidR="00200E22" w:rsidRPr="007B0CED" w:rsidRDefault="00200E22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7F2797" w14:textId="269D6C29" w:rsidR="007B0CED" w:rsidRP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>1.</w:t>
      </w:r>
      <w:r w:rsidR="00A83F93">
        <w:rPr>
          <w:rFonts w:ascii="Times New Roman" w:hAnsi="Times New Roman" w:cs="Times New Roman"/>
          <w:sz w:val="24"/>
          <w:szCs w:val="24"/>
        </w:rPr>
        <w:t>1.</w:t>
      </w:r>
      <w:r w:rsidRPr="007B0CED">
        <w:rPr>
          <w:rFonts w:ascii="Times New Roman" w:hAnsi="Times New Roman" w:cs="Times New Roman"/>
          <w:sz w:val="24"/>
          <w:szCs w:val="24"/>
        </w:rPr>
        <w:t xml:space="preserve"> </w:t>
      </w:r>
      <w:r w:rsidR="00A12EF8">
        <w:rPr>
          <w:rFonts w:ascii="Times New Roman" w:hAnsi="Times New Roman" w:cs="Times New Roman"/>
          <w:sz w:val="24"/>
          <w:szCs w:val="24"/>
        </w:rPr>
        <w:t>Papildināt</w:t>
      </w:r>
      <w:r w:rsidR="00A12EF8" w:rsidRPr="007B0CED">
        <w:rPr>
          <w:rFonts w:ascii="Times New Roman" w:hAnsi="Times New Roman" w:cs="Times New Roman"/>
          <w:sz w:val="24"/>
          <w:szCs w:val="24"/>
        </w:rPr>
        <w:t xml:space="preserve"> </w:t>
      </w:r>
      <w:r w:rsidRPr="007B0CED">
        <w:rPr>
          <w:rFonts w:ascii="Times New Roman" w:hAnsi="Times New Roman" w:cs="Times New Roman"/>
          <w:sz w:val="24"/>
          <w:szCs w:val="24"/>
        </w:rPr>
        <w:t xml:space="preserve">2.punktu </w:t>
      </w:r>
      <w:r w:rsidR="00A12EF8">
        <w:rPr>
          <w:rFonts w:ascii="Times New Roman" w:hAnsi="Times New Roman" w:cs="Times New Roman"/>
          <w:sz w:val="24"/>
          <w:szCs w:val="24"/>
        </w:rPr>
        <w:t xml:space="preserve">ar tekstu </w:t>
      </w:r>
      <w:r w:rsidRPr="007B0CED">
        <w:rPr>
          <w:rFonts w:ascii="Times New Roman" w:hAnsi="Times New Roman" w:cs="Times New Roman"/>
          <w:sz w:val="24"/>
          <w:szCs w:val="24"/>
        </w:rPr>
        <w:t>šādā redakcijā:</w:t>
      </w:r>
    </w:p>
    <w:p w14:paraId="3C1E968F" w14:textId="39C22EE0" w:rsid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vai uz kura publisko elektronisko sakaru tīklu pārvietots īsais kods.”</w:t>
      </w:r>
      <w:r w:rsidR="000B6870">
        <w:rPr>
          <w:rFonts w:ascii="Times New Roman" w:hAnsi="Times New Roman" w:cs="Times New Roman"/>
          <w:sz w:val="24"/>
          <w:szCs w:val="24"/>
        </w:rPr>
        <w:t>;</w:t>
      </w:r>
    </w:p>
    <w:p w14:paraId="5E430BF1" w14:textId="77777777" w:rsidR="00526E37" w:rsidRDefault="00526E37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781B8" w14:textId="77777777" w:rsidR="007B0CED" w:rsidRDefault="00A83F93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CED">
        <w:rPr>
          <w:rFonts w:ascii="Times New Roman" w:hAnsi="Times New Roman" w:cs="Times New Roman"/>
          <w:sz w:val="24"/>
          <w:szCs w:val="24"/>
        </w:rPr>
        <w:t>2. Izteikt 3.punktu šādā redakcijā:</w:t>
      </w:r>
    </w:p>
    <w:p w14:paraId="43B83F31" w14:textId="77777777" w:rsid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“3. </w:t>
      </w:r>
      <w:r w:rsidRPr="007B0CED">
        <w:rPr>
          <w:rFonts w:ascii="Times New Roman" w:hAnsi="Times New Roman" w:cs="Times New Roman"/>
          <w:sz w:val="24"/>
          <w:szCs w:val="24"/>
        </w:rPr>
        <w:t xml:space="preserve">Nodevu aprēķina par katru īso kodu, uz kuru ir piešķirtas vai piešķirtas un pagarinātas numerācijas lietošanas tiesības, 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  <w:r w:rsidR="0052526C">
        <w:rPr>
          <w:rFonts w:ascii="Times New Roman" w:hAnsi="Times New Roman" w:cs="Times New Roman"/>
          <w:sz w:val="24"/>
          <w:szCs w:val="24"/>
        </w:rPr>
        <w:t>kurš ir pārvietots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6C">
        <w:rPr>
          <w:rFonts w:ascii="Times New Roman" w:hAnsi="Times New Roman" w:cs="Times New Roman"/>
          <w:sz w:val="24"/>
          <w:szCs w:val="24"/>
        </w:rPr>
        <w:t xml:space="preserve">elektronisko sakaru komersanta </w:t>
      </w:r>
      <w:r>
        <w:rPr>
          <w:rFonts w:ascii="Times New Roman" w:hAnsi="Times New Roman" w:cs="Times New Roman"/>
          <w:sz w:val="24"/>
          <w:szCs w:val="24"/>
        </w:rPr>
        <w:t>publisko elektronisko sakaru tīklu,</w:t>
      </w:r>
      <w:r w:rsidRPr="007B0CED">
        <w:rPr>
          <w:rFonts w:ascii="Times New Roman" w:hAnsi="Times New Roman" w:cs="Times New Roman"/>
          <w:sz w:val="24"/>
          <w:szCs w:val="24"/>
        </w:rPr>
        <w:t xml:space="preserve"> izmantojot šādu formulu:</w:t>
      </w:r>
    </w:p>
    <w:p w14:paraId="0E5D225B" w14:textId="77777777" w:rsidR="003D0758" w:rsidRPr="003D0758" w:rsidRDefault="003D0758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44"/>
            <w:szCs w:val="24"/>
          </w:rPr>
          <m:t>Nod=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4"/>
              </w:rPr>
              <m:t>L × N × D</m:t>
            </m:r>
          </m:num>
          <m:den>
            <m:r>
              <w:rPr>
                <w:rFonts w:ascii="Cambria Math" w:hAnsi="Cambria Math" w:cs="Times New Roman"/>
                <w:sz w:val="44"/>
                <w:szCs w:val="24"/>
              </w:rPr>
              <m:t>G</m:t>
            </m:r>
          </m:den>
        </m:f>
      </m:oMath>
      <w:r w:rsidR="00E57F8A" w:rsidRPr="00B56A9E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Pr="003D0758">
        <w:rPr>
          <w:rFonts w:ascii="Times New Roman" w:eastAsiaTheme="minorEastAsia" w:hAnsi="Times New Roman" w:cs="Times New Roman"/>
          <w:sz w:val="24"/>
          <w:szCs w:val="24"/>
        </w:rPr>
        <w:t>, kur</w:t>
      </w:r>
    </w:p>
    <w:p w14:paraId="25FBB196" w14:textId="77777777" w:rsidR="007B0CED" w:rsidRP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7B0CED">
        <w:rPr>
          <w:rFonts w:ascii="Times New Roman" w:hAnsi="Times New Roman" w:cs="Times New Roman"/>
          <w:vanish/>
          <w:sz w:val="24"/>
          <w:szCs w:val="24"/>
        </w:rPr>
        <w:t>4</w:t>
      </w:r>
    </w:p>
    <w:p w14:paraId="43D887A2" w14:textId="77777777" w:rsidR="007B0CED" w:rsidRP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ED">
        <w:rPr>
          <w:rFonts w:ascii="Times New Roman" w:hAnsi="Times New Roman" w:cs="Times New Roman"/>
          <w:sz w:val="24"/>
          <w:szCs w:val="24"/>
        </w:rPr>
        <w:t>Nod</w:t>
      </w:r>
      <w:proofErr w:type="spellEnd"/>
      <w:r w:rsidRPr="007B0CED">
        <w:rPr>
          <w:rFonts w:ascii="Times New Roman" w:hAnsi="Times New Roman" w:cs="Times New Roman"/>
          <w:sz w:val="24"/>
          <w:szCs w:val="24"/>
        </w:rPr>
        <w:t xml:space="preserve"> – nodeva </w:t>
      </w:r>
      <w:proofErr w:type="spellStart"/>
      <w:r w:rsidRPr="007B0CE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7B0CED">
        <w:rPr>
          <w:rFonts w:ascii="Times New Roman" w:hAnsi="Times New Roman" w:cs="Times New Roman"/>
          <w:sz w:val="24"/>
          <w:szCs w:val="24"/>
        </w:rPr>
        <w:t>;</w:t>
      </w:r>
    </w:p>
    <w:p w14:paraId="64D817E8" w14:textId="7B8AA880" w:rsidR="007B0CED" w:rsidRP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 xml:space="preserve">L – nodeva par vienu kodu gadā </w:t>
      </w:r>
      <w:proofErr w:type="spellStart"/>
      <w:r w:rsidRPr="007B0CE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3B4309">
        <w:rPr>
          <w:rFonts w:ascii="Times New Roman" w:hAnsi="Times New Roman" w:cs="Times New Roman"/>
          <w:sz w:val="24"/>
          <w:szCs w:val="24"/>
        </w:rPr>
        <w:t xml:space="preserve">, </w:t>
      </w:r>
      <w:r w:rsidR="00285171">
        <w:rPr>
          <w:rFonts w:ascii="Times New Roman" w:hAnsi="Times New Roman" w:cs="Times New Roman"/>
          <w:sz w:val="24"/>
          <w:szCs w:val="24"/>
        </w:rPr>
        <w:t>k</w:t>
      </w:r>
      <w:r w:rsidR="003B4309">
        <w:rPr>
          <w:rFonts w:ascii="Times New Roman" w:hAnsi="Times New Roman" w:cs="Times New Roman"/>
          <w:sz w:val="24"/>
          <w:szCs w:val="24"/>
        </w:rPr>
        <w:t>as ir noteikta saskaņā ar šo noteikumu 1.pielikumu</w:t>
      </w:r>
      <w:r w:rsidRPr="007B0CED">
        <w:rPr>
          <w:rFonts w:ascii="Times New Roman" w:hAnsi="Times New Roman" w:cs="Times New Roman"/>
          <w:sz w:val="24"/>
          <w:szCs w:val="24"/>
        </w:rPr>
        <w:t>;</w:t>
      </w:r>
    </w:p>
    <w:p w14:paraId="511A191D" w14:textId="77777777" w:rsidR="007B0CED" w:rsidRPr="007B0CED" w:rsidRDefault="00BA2A2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>N – īso kodu skaits, uz kuriem elektronisko sakaru komersantam ir piešķirtas vai piešķirtas un pagarinātas numerācijas lietošanas tiesības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 kuri ir pārvietoti uz elektronisko sakaru komersanta publisko elektronisko sakaru tīklu</w:t>
      </w:r>
      <w:r w:rsidR="007B0CED" w:rsidRPr="007B0CED">
        <w:rPr>
          <w:rFonts w:ascii="Times New Roman" w:hAnsi="Times New Roman" w:cs="Times New Roman"/>
          <w:sz w:val="24"/>
          <w:szCs w:val="24"/>
        </w:rPr>
        <w:t>;</w:t>
      </w:r>
    </w:p>
    <w:p w14:paraId="714254B5" w14:textId="77777777" w:rsidR="007B0CED" w:rsidRP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>D – dienu skaits taksācijas periodā, kurās elektronisko sakaru komersantam ir piešķirtas vai piešķirtas un pagarinātas numerācijas lietošanas tiesības konkrētajam īsajam kodam</w:t>
      </w:r>
      <w:r w:rsidR="00A83F93">
        <w:rPr>
          <w:rFonts w:ascii="Times New Roman" w:hAnsi="Times New Roman" w:cs="Times New Roman"/>
          <w:sz w:val="24"/>
          <w:szCs w:val="24"/>
        </w:rPr>
        <w:t xml:space="preserve">, vai </w:t>
      </w:r>
      <w:r w:rsidR="002B2F85">
        <w:rPr>
          <w:rFonts w:ascii="Times New Roman" w:hAnsi="Times New Roman" w:cs="Times New Roman"/>
          <w:sz w:val="24"/>
          <w:szCs w:val="24"/>
        </w:rPr>
        <w:t xml:space="preserve">kurās </w:t>
      </w:r>
      <w:r w:rsidR="00BA2A2F">
        <w:rPr>
          <w:rFonts w:ascii="Times New Roman" w:hAnsi="Times New Roman" w:cs="Times New Roman"/>
          <w:sz w:val="24"/>
          <w:szCs w:val="24"/>
        </w:rPr>
        <w:t xml:space="preserve">īsais kods pārvietots uz elektronisko sakaru komersanta </w:t>
      </w:r>
      <w:r w:rsidR="00A83F93">
        <w:rPr>
          <w:rFonts w:ascii="Times New Roman" w:hAnsi="Times New Roman" w:cs="Times New Roman"/>
          <w:sz w:val="24"/>
          <w:szCs w:val="24"/>
        </w:rPr>
        <w:t>publisko elektronisko sakaru tīklu</w:t>
      </w:r>
      <w:r w:rsidRPr="007B0CED">
        <w:rPr>
          <w:rFonts w:ascii="Times New Roman" w:hAnsi="Times New Roman" w:cs="Times New Roman"/>
          <w:sz w:val="24"/>
          <w:szCs w:val="24"/>
        </w:rPr>
        <w:t>;</w:t>
      </w:r>
    </w:p>
    <w:p w14:paraId="18B8A888" w14:textId="77777777" w:rsidR="007B0CED" w:rsidRDefault="007B0CED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CED">
        <w:rPr>
          <w:rFonts w:ascii="Times New Roman" w:hAnsi="Times New Roman" w:cs="Times New Roman"/>
          <w:sz w:val="24"/>
          <w:szCs w:val="24"/>
        </w:rPr>
        <w:t>G – dienu skaits gadā.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6870">
        <w:rPr>
          <w:rFonts w:ascii="Times New Roman" w:hAnsi="Times New Roman" w:cs="Times New Roman"/>
          <w:sz w:val="24"/>
          <w:szCs w:val="24"/>
        </w:rPr>
        <w:t>;</w:t>
      </w:r>
    </w:p>
    <w:p w14:paraId="7F2617C9" w14:textId="77777777" w:rsidR="00861909" w:rsidRDefault="00861909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6B6491" w14:textId="77777777" w:rsidR="00A83F93" w:rsidRPr="000710B5" w:rsidRDefault="00A83F93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0B5">
        <w:rPr>
          <w:rFonts w:ascii="Times New Roman" w:hAnsi="Times New Roman" w:cs="Times New Roman"/>
          <w:sz w:val="24"/>
          <w:szCs w:val="24"/>
        </w:rPr>
        <w:t>1.</w:t>
      </w:r>
      <w:r w:rsidR="000B6870" w:rsidRPr="000710B5">
        <w:rPr>
          <w:rFonts w:ascii="Times New Roman" w:hAnsi="Times New Roman" w:cs="Times New Roman"/>
          <w:sz w:val="24"/>
          <w:szCs w:val="24"/>
        </w:rPr>
        <w:t xml:space="preserve">3. </w:t>
      </w:r>
      <w:r w:rsidR="000710B5" w:rsidRPr="000710B5">
        <w:rPr>
          <w:rFonts w:ascii="Times New Roman" w:hAnsi="Times New Roman" w:cs="Times New Roman"/>
          <w:sz w:val="24"/>
          <w:szCs w:val="24"/>
        </w:rPr>
        <w:t xml:space="preserve">izteikt </w:t>
      </w:r>
      <w:r w:rsidR="00861909" w:rsidRPr="000710B5">
        <w:rPr>
          <w:rFonts w:ascii="Times New Roman" w:hAnsi="Times New Roman" w:cs="Times New Roman"/>
          <w:sz w:val="24"/>
          <w:szCs w:val="24"/>
        </w:rPr>
        <w:t xml:space="preserve">6.punktu </w:t>
      </w:r>
      <w:r w:rsidRPr="000710B5">
        <w:rPr>
          <w:rFonts w:ascii="Times New Roman" w:hAnsi="Times New Roman" w:cs="Times New Roman"/>
          <w:sz w:val="24"/>
          <w:szCs w:val="24"/>
        </w:rPr>
        <w:t>šādā redakcijā:</w:t>
      </w:r>
    </w:p>
    <w:p w14:paraId="79FDF3E7" w14:textId="77777777" w:rsidR="000710B5" w:rsidRDefault="000710B5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309">
        <w:rPr>
          <w:rFonts w:ascii="Times New Roman" w:hAnsi="Times New Roman" w:cs="Times New Roman"/>
          <w:sz w:val="24"/>
          <w:szCs w:val="24"/>
        </w:rPr>
        <w:t>“</w:t>
      </w:r>
      <w:r w:rsidR="003B4309">
        <w:rPr>
          <w:rFonts w:ascii="Times New Roman" w:hAnsi="Times New Roman" w:cs="Times New Roman"/>
          <w:sz w:val="24"/>
          <w:szCs w:val="24"/>
        </w:rPr>
        <w:t xml:space="preserve">6. </w:t>
      </w:r>
      <w:r w:rsidRPr="003B4309">
        <w:rPr>
          <w:rFonts w:ascii="Times New Roman" w:hAnsi="Times New Roman" w:cs="Times New Roman"/>
          <w:sz w:val="24"/>
          <w:szCs w:val="24"/>
        </w:rPr>
        <w:t xml:space="preserve">Elektronisko sakaru komersants, kas saņem numerācijas lietošanas tiesības taksācijas periodā vai uz kura publisko elektronisko sakaru tīklu pārvietots īsais kods, </w:t>
      </w:r>
      <w:r w:rsidRPr="003B4309">
        <w:rPr>
          <w:rFonts w:ascii="Times New Roman" w:hAnsi="Times New Roman" w:cs="Times New Roman"/>
          <w:sz w:val="24"/>
          <w:szCs w:val="24"/>
        </w:rPr>
        <w:lastRenderedPageBreak/>
        <w:t xml:space="preserve">nodevu maksā šo </w:t>
      </w:r>
      <w:r w:rsidRPr="004027F5">
        <w:rPr>
          <w:rFonts w:ascii="Times New Roman" w:hAnsi="Times New Roman" w:cs="Times New Roman"/>
          <w:sz w:val="24"/>
          <w:szCs w:val="24"/>
        </w:rPr>
        <w:t xml:space="preserve">noteikumu </w:t>
      </w:r>
      <w:hyperlink r:id="rId7" w:anchor="p5" w:tgtFrame="_blank" w:history="1">
        <w:r w:rsidRPr="004027F5">
          <w:rPr>
            <w:rFonts w:ascii="Times New Roman" w:hAnsi="Times New Roman" w:cs="Times New Roman"/>
            <w:sz w:val="24"/>
            <w:szCs w:val="24"/>
          </w:rPr>
          <w:t>5.punktā</w:t>
        </w:r>
      </w:hyperlink>
      <w:r w:rsidRPr="004027F5">
        <w:rPr>
          <w:rFonts w:ascii="Times New Roman" w:hAnsi="Times New Roman" w:cs="Times New Roman"/>
          <w:sz w:val="24"/>
          <w:szCs w:val="24"/>
        </w:rPr>
        <w:t xml:space="preserve"> minētajā</w:t>
      </w:r>
      <w:r w:rsidRPr="003B4309">
        <w:rPr>
          <w:rFonts w:ascii="Times New Roman" w:hAnsi="Times New Roman" w:cs="Times New Roman"/>
          <w:sz w:val="24"/>
          <w:szCs w:val="24"/>
        </w:rPr>
        <w:t xml:space="preserve"> kārtībā proporcionāli atbilstošajam taksācijas periodam, no kura ir piešķirtas numerācijas lietošanas tiesības vai pārvietots īsais kods.”</w:t>
      </w:r>
    </w:p>
    <w:p w14:paraId="51A9DDCA" w14:textId="77777777" w:rsidR="00E24B80" w:rsidRDefault="00E24B80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82CE0B" w14:textId="58F05BC6" w:rsidR="003B4309" w:rsidRDefault="003B4309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26E37">
        <w:rPr>
          <w:rFonts w:ascii="Times New Roman" w:hAnsi="Times New Roman" w:cs="Times New Roman"/>
          <w:sz w:val="24"/>
          <w:szCs w:val="24"/>
        </w:rPr>
        <w:t xml:space="preserve">papildināt </w:t>
      </w:r>
      <w:r>
        <w:rPr>
          <w:rFonts w:ascii="Times New Roman" w:hAnsi="Times New Roman" w:cs="Times New Roman"/>
          <w:sz w:val="24"/>
          <w:szCs w:val="24"/>
        </w:rPr>
        <w:t>7.punktu</w:t>
      </w:r>
      <w:r w:rsidR="00526E37">
        <w:rPr>
          <w:rFonts w:ascii="Times New Roman" w:hAnsi="Times New Roman" w:cs="Times New Roman"/>
          <w:sz w:val="24"/>
          <w:szCs w:val="24"/>
        </w:rPr>
        <w:t xml:space="preserve"> ar otro teikumu</w:t>
      </w:r>
      <w:r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1B274FD8" w14:textId="682464FA" w:rsidR="003B4309" w:rsidRPr="003B4309" w:rsidRDefault="003B4309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“Elektronisko sakaru komersants, ja uz tā elektronisko sakaru tīklu ir pārvietots numurs, kura numerācijas lietošanas tiesības cits elektronisko sakaru komersants ir ieguvis izsolē, maksā nodevu no numura pārvietošanas dienas.”</w:t>
      </w:r>
    </w:p>
    <w:p w14:paraId="4E2ECEC2" w14:textId="77777777" w:rsidR="00897CDB" w:rsidRDefault="00897CDB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BED8A4" w14:textId="51DEEC99" w:rsidR="002B2F85" w:rsidRDefault="00BA2A2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3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izteikt </w:t>
      </w:r>
      <w:r w:rsidR="002B2F85">
        <w:rPr>
          <w:rFonts w:ascii="Times New Roman" w:hAnsi="Times New Roman" w:cs="Times New Roman"/>
          <w:sz w:val="24"/>
          <w:szCs w:val="24"/>
        </w:rPr>
        <w:t xml:space="preserve">2.pielikuma </w:t>
      </w:r>
      <w:r>
        <w:rPr>
          <w:rFonts w:ascii="Times New Roman" w:hAnsi="Times New Roman" w:cs="Times New Roman"/>
          <w:sz w:val="24"/>
          <w:szCs w:val="24"/>
        </w:rPr>
        <w:t xml:space="preserve">tabulas </w:t>
      </w:r>
      <w:r w:rsidR="002B2F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ailes nosaukumu šādā redakcijā:</w:t>
      </w:r>
    </w:p>
    <w:p w14:paraId="588A088F" w14:textId="77777777" w:rsidR="00BA2A2F" w:rsidRDefault="00BA2A2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“Piešķiršanas, anulēšanas vai pārvietošanas datums”</w:t>
      </w:r>
      <w:r w:rsidR="000B6870">
        <w:rPr>
          <w:rFonts w:ascii="Times New Roman" w:hAnsi="Times New Roman" w:cs="Times New Roman"/>
          <w:sz w:val="24"/>
          <w:szCs w:val="24"/>
        </w:rPr>
        <w:t>;</w:t>
      </w:r>
    </w:p>
    <w:p w14:paraId="42772EE4" w14:textId="77777777" w:rsidR="00897CDB" w:rsidRDefault="00897CDB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4EAB9B" w14:textId="70279A7F" w:rsidR="00BA2A2F" w:rsidRDefault="00BA2A2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izteikt 2.pielikuma tabulas 7.ailes nosaukumu šādā redakcijā:</w:t>
      </w:r>
    </w:p>
    <w:p w14:paraId="721A3DC9" w14:textId="77777777" w:rsidR="00BA2A2F" w:rsidRDefault="00BA2A2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“Nodeva par piešķirtajām numerācijas lietošanas tiesībām vai pārvietoto īso kodu </w:t>
      </w:r>
      <w:r w:rsidRPr="00BA2A2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A2A2F">
        <w:rPr>
          <w:rFonts w:ascii="Times New Roman" w:hAnsi="Times New Roman" w:cs="Times New Roman"/>
          <w:i/>
          <w:sz w:val="24"/>
          <w:szCs w:val="24"/>
        </w:rPr>
        <w:t>Nod</w:t>
      </w:r>
      <w:proofErr w:type="spellEnd"/>
      <w:r w:rsidRPr="00BA2A2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BA2A2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B6870">
        <w:rPr>
          <w:rFonts w:ascii="Times New Roman" w:hAnsi="Times New Roman" w:cs="Times New Roman"/>
          <w:sz w:val="24"/>
          <w:szCs w:val="24"/>
        </w:rPr>
        <w:t>.</w:t>
      </w:r>
    </w:p>
    <w:p w14:paraId="47EDE55C" w14:textId="77777777" w:rsidR="00505F8F" w:rsidRDefault="00505F8F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84E772" w14:textId="77777777" w:rsidR="00C45E8F" w:rsidRDefault="00A83F93" w:rsidP="00E24B8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E8F">
        <w:rPr>
          <w:rFonts w:ascii="Times New Roman" w:hAnsi="Times New Roman" w:cs="Times New Roman"/>
          <w:sz w:val="24"/>
          <w:szCs w:val="24"/>
        </w:rPr>
        <w:t>. Noteikumi stājas spēkā 2017.gada 1.janvārī.</w:t>
      </w:r>
    </w:p>
    <w:p w14:paraId="61AFBEE7" w14:textId="77777777" w:rsidR="00D23AD6" w:rsidRDefault="00D23AD6" w:rsidP="004A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4E96F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37">
        <w:rPr>
          <w:rFonts w:ascii="Times New Roman" w:hAnsi="Times New Roman" w:cs="Times New Roman"/>
          <w:sz w:val="24"/>
          <w:szCs w:val="24"/>
        </w:rPr>
        <w:t>Ministru prezidents:                                                                                    M.Kučinskis</w:t>
      </w:r>
    </w:p>
    <w:p w14:paraId="1D7C36F8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944C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F709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37">
        <w:rPr>
          <w:rFonts w:ascii="Times New Roman" w:hAnsi="Times New Roman" w:cs="Times New Roman"/>
          <w:sz w:val="24"/>
          <w:szCs w:val="24"/>
        </w:rPr>
        <w:t>Iesniedzējs:</w:t>
      </w:r>
    </w:p>
    <w:p w14:paraId="70DFDC6C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37">
        <w:rPr>
          <w:rFonts w:ascii="Times New Roman" w:hAnsi="Times New Roman" w:cs="Times New Roman"/>
          <w:sz w:val="24"/>
          <w:szCs w:val="24"/>
        </w:rPr>
        <w:t>Satiksmes  ministrs                                                                                     U.Augulis</w:t>
      </w:r>
    </w:p>
    <w:p w14:paraId="5718185D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B8EA9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iel1"/>
      <w:bookmarkEnd w:id="1"/>
    </w:p>
    <w:p w14:paraId="034CD24C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37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352C6C7A" w14:textId="77777777" w:rsidR="00526E37" w:rsidRPr="00526E37" w:rsidRDefault="00526E37" w:rsidP="00526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37">
        <w:rPr>
          <w:rFonts w:ascii="Times New Roman" w:hAnsi="Times New Roman" w:cs="Times New Roman"/>
          <w:sz w:val="24"/>
          <w:szCs w:val="24"/>
        </w:rPr>
        <w:t>Valsts sekretārs                                                                                           K.Ozoliņš</w:t>
      </w:r>
    </w:p>
    <w:p w14:paraId="4A833037" w14:textId="77777777" w:rsidR="00D23AD6" w:rsidRDefault="00D23AD6" w:rsidP="004A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96CF" w14:textId="77777777" w:rsidR="00416E56" w:rsidRDefault="00416E56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3B19" w14:textId="6D17270E" w:rsidR="00C35426" w:rsidRDefault="00526E37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71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10B5">
        <w:rPr>
          <w:rFonts w:ascii="Times New Roman" w:hAnsi="Times New Roman" w:cs="Times New Roman"/>
          <w:sz w:val="24"/>
          <w:szCs w:val="24"/>
        </w:rPr>
        <w:t>0.</w:t>
      </w:r>
      <w:r w:rsidR="00C35426">
        <w:rPr>
          <w:rFonts w:ascii="Times New Roman" w:hAnsi="Times New Roman" w:cs="Times New Roman"/>
          <w:sz w:val="24"/>
          <w:szCs w:val="24"/>
        </w:rPr>
        <w:t>2016</w:t>
      </w:r>
      <w:r w:rsidR="00E24B80">
        <w:rPr>
          <w:rFonts w:ascii="Times New Roman" w:hAnsi="Times New Roman" w:cs="Times New Roman"/>
          <w:sz w:val="24"/>
          <w:szCs w:val="24"/>
        </w:rPr>
        <w:t>.</w:t>
      </w:r>
      <w:r w:rsidR="00C35426">
        <w:rPr>
          <w:rFonts w:ascii="Times New Roman" w:hAnsi="Times New Roman" w:cs="Times New Roman"/>
          <w:sz w:val="24"/>
          <w:szCs w:val="24"/>
        </w:rPr>
        <w:t xml:space="preserve"> plkst.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5426">
        <w:rPr>
          <w:rFonts w:ascii="Times New Roman" w:hAnsi="Times New Roman" w:cs="Times New Roman"/>
          <w:sz w:val="24"/>
          <w:szCs w:val="24"/>
        </w:rPr>
        <w:t>:56</w:t>
      </w:r>
    </w:p>
    <w:p w14:paraId="33ED8A61" w14:textId="1E6E8992" w:rsidR="008E33FB" w:rsidRDefault="008E33FB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519B42" w14:textId="3AE280A8" w:rsidR="00D23AD6" w:rsidRDefault="00C35426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D.Valdmanis</w:t>
      </w:r>
      <w:r w:rsidR="00B2439D">
        <w:rPr>
          <w:rFonts w:ascii="Times New Roman" w:hAnsi="Times New Roman" w:cs="Times New Roman"/>
          <w:sz w:val="24"/>
          <w:szCs w:val="24"/>
        </w:rPr>
        <w:t>, 67028105</w:t>
      </w:r>
    </w:p>
    <w:p w14:paraId="6CBDF0F1" w14:textId="77777777" w:rsidR="00B2439D" w:rsidRDefault="00B2439D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Dainis.Valdmanis@sam.gov.lv</w:t>
      </w:r>
    </w:p>
    <w:p w14:paraId="4DD12FB5" w14:textId="77777777" w:rsidR="00C35426" w:rsidRPr="007B0CED" w:rsidRDefault="00C35426" w:rsidP="00C3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426" w:rsidRPr="007B0CED" w:rsidSect="003D0758">
      <w:footerReference w:type="default" r:id="rId8"/>
      <w:footerReference w:type="first" r:id="rId9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D993" w14:textId="77777777" w:rsidR="00E03C68" w:rsidRDefault="00E03C68" w:rsidP="000B6870">
      <w:pPr>
        <w:spacing w:after="0" w:line="240" w:lineRule="auto"/>
      </w:pPr>
      <w:r>
        <w:separator/>
      </w:r>
    </w:p>
  </w:endnote>
  <w:endnote w:type="continuationSeparator" w:id="0">
    <w:p w14:paraId="3F1BDD0B" w14:textId="77777777" w:rsidR="00E03C68" w:rsidRDefault="00E03C68" w:rsidP="000B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F8F6" w14:textId="0334943A" w:rsidR="000B6870" w:rsidRPr="00885A60" w:rsidRDefault="00885A60" w:rsidP="00885A60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526E37">
      <w:rPr>
        <w:rFonts w:ascii="Times New Roman" w:hAnsi="Times New Roman" w:cs="Times New Roman"/>
        <w:noProof/>
      </w:rPr>
      <w:t>SAMNot_031016_num_nodeva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; </w:t>
    </w:r>
    <w:r w:rsidRPr="00885A60">
      <w:rPr>
        <w:rFonts w:ascii="Times New Roman" w:hAnsi="Times New Roman" w:cs="Times New Roman"/>
      </w:rPr>
      <w:t>Ministru kabineta noteikumu projekts “Grozījumi Ministru kabineta 2009.gada 11.augusta noteikumos Nr.892 “Noteikumi par numerācijas lietošanas tiesību ikgadējo valsts nodevu””</w:t>
    </w:r>
  </w:p>
  <w:p w14:paraId="5B8CC8E9" w14:textId="77777777" w:rsidR="000B6870" w:rsidRDefault="000B6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9FAC" w14:textId="13271AFD" w:rsidR="00885A60" w:rsidRPr="00885A60" w:rsidRDefault="00885A60" w:rsidP="00885A60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526E37">
      <w:rPr>
        <w:rFonts w:ascii="Times New Roman" w:hAnsi="Times New Roman" w:cs="Times New Roman"/>
        <w:noProof/>
      </w:rPr>
      <w:t>SAMNot_031016_num_nodeva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; </w:t>
    </w:r>
    <w:r w:rsidRPr="00885A60">
      <w:rPr>
        <w:rFonts w:ascii="Times New Roman" w:hAnsi="Times New Roman" w:cs="Times New Roman"/>
      </w:rPr>
      <w:t>Ministru kabineta noteikumu projekts “Grozījumi Ministru kabineta 2009.gada 11.augusta noteikumos Nr.892 “Noteikumi par numerācijas lietošanas tiesību ikgadējo valsts nodevu””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1117" w14:textId="77777777" w:rsidR="00E03C68" w:rsidRDefault="00E03C68" w:rsidP="000B6870">
      <w:pPr>
        <w:spacing w:after="0" w:line="240" w:lineRule="auto"/>
      </w:pPr>
      <w:r>
        <w:separator/>
      </w:r>
    </w:p>
  </w:footnote>
  <w:footnote w:type="continuationSeparator" w:id="0">
    <w:p w14:paraId="2697CD93" w14:textId="77777777" w:rsidR="00E03C68" w:rsidRDefault="00E03C68" w:rsidP="000B687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Hibnere">
    <w15:presenceInfo w15:providerId="AD" w15:userId="S-1-5-21-729664645-1233191138-1979032669-5106"/>
  </w15:person>
  <w15:person w15:author="Daina Kuzmina">
    <w15:presenceInfo w15:providerId="AD" w15:userId="S-1-5-21-729664645-1233191138-1979032669-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67"/>
    <w:rsid w:val="0002635F"/>
    <w:rsid w:val="000710B5"/>
    <w:rsid w:val="000B6870"/>
    <w:rsid w:val="001E5C67"/>
    <w:rsid w:val="00200E22"/>
    <w:rsid w:val="00215222"/>
    <w:rsid w:val="00285171"/>
    <w:rsid w:val="002B2F85"/>
    <w:rsid w:val="002E5C1F"/>
    <w:rsid w:val="003061C5"/>
    <w:rsid w:val="0037284A"/>
    <w:rsid w:val="003B1E7E"/>
    <w:rsid w:val="003B4309"/>
    <w:rsid w:val="003D0758"/>
    <w:rsid w:val="004027F5"/>
    <w:rsid w:val="00416E56"/>
    <w:rsid w:val="004A0320"/>
    <w:rsid w:val="004B02DF"/>
    <w:rsid w:val="004D4AE7"/>
    <w:rsid w:val="004E2C67"/>
    <w:rsid w:val="00505F8F"/>
    <w:rsid w:val="0052526C"/>
    <w:rsid w:val="00526E37"/>
    <w:rsid w:val="00550768"/>
    <w:rsid w:val="00590FC0"/>
    <w:rsid w:val="005D30DE"/>
    <w:rsid w:val="005E32A4"/>
    <w:rsid w:val="0061594E"/>
    <w:rsid w:val="00664352"/>
    <w:rsid w:val="0075365A"/>
    <w:rsid w:val="00766122"/>
    <w:rsid w:val="00773F7D"/>
    <w:rsid w:val="007B0CED"/>
    <w:rsid w:val="007D7827"/>
    <w:rsid w:val="00861909"/>
    <w:rsid w:val="00885A60"/>
    <w:rsid w:val="0089649F"/>
    <w:rsid w:val="00897CDB"/>
    <w:rsid w:val="008E33FB"/>
    <w:rsid w:val="009046CC"/>
    <w:rsid w:val="009C693A"/>
    <w:rsid w:val="009E613E"/>
    <w:rsid w:val="00A12EF8"/>
    <w:rsid w:val="00A36563"/>
    <w:rsid w:val="00A41D4F"/>
    <w:rsid w:val="00A83F93"/>
    <w:rsid w:val="00B2439D"/>
    <w:rsid w:val="00B40262"/>
    <w:rsid w:val="00B56A9E"/>
    <w:rsid w:val="00BA2A2F"/>
    <w:rsid w:val="00C21802"/>
    <w:rsid w:val="00C35426"/>
    <w:rsid w:val="00C45E8F"/>
    <w:rsid w:val="00CC1BBC"/>
    <w:rsid w:val="00CE5C2A"/>
    <w:rsid w:val="00CF2BC9"/>
    <w:rsid w:val="00D23AD6"/>
    <w:rsid w:val="00DC6A37"/>
    <w:rsid w:val="00DE1899"/>
    <w:rsid w:val="00E03C68"/>
    <w:rsid w:val="00E24B80"/>
    <w:rsid w:val="00E50FAE"/>
    <w:rsid w:val="00E57F8A"/>
    <w:rsid w:val="00F20895"/>
    <w:rsid w:val="00F623FB"/>
    <w:rsid w:val="00F626D0"/>
    <w:rsid w:val="00F82AA1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4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0"/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D0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0"/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D0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32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532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96081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11.augusta noteikumos Nr.892 “Noteikumi par numerācijas lietošanas tiesību ikgadējo valsts nodevu”</vt:lpstr>
      <vt:lpstr/>
    </vt:vector>
  </TitlesOfParts>
  <Manager>Valters.Bajars@sam.gov.lv</Manager>
  <Company>Satiksmes minsitrija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11.augusta noteikumos Nr.892 “Noteikumi par numerācijas lietošanas tiesību ikgadējo valsts nodevu”</dc:title>
  <dc:subject>Ministru kabineta noteikumu projekts</dc:subject>
  <dc:creator>Dainis.Valdmanis@sam.gov.lv</dc:creator>
  <dc:description>tel: 67028105
fakss: 67820636
e-mail: dainis.valdmanis@sam.gov.lv</dc:description>
  <cp:lastModifiedBy>Jekaterina Borovika</cp:lastModifiedBy>
  <cp:revision>2</cp:revision>
  <dcterms:created xsi:type="dcterms:W3CDTF">2016-10-04T11:53:00Z</dcterms:created>
  <dcterms:modified xsi:type="dcterms:W3CDTF">2016-10-04T11:53:00Z</dcterms:modified>
</cp:coreProperties>
</file>