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D7" w:rsidRPr="00FA50C9" w:rsidRDefault="006732D7" w:rsidP="00BF6685">
      <w:pPr>
        <w:pStyle w:val="BodyTextIndent3"/>
        <w:tabs>
          <w:tab w:val="left" w:pos="993"/>
        </w:tabs>
        <w:suppressAutoHyphens/>
        <w:spacing w:before="0" w:after="0" w:line="240" w:lineRule="auto"/>
        <w:ind w:firstLine="562"/>
        <w:jc w:val="right"/>
      </w:pPr>
      <w:r>
        <w:t>3</w:t>
      </w:r>
      <w:r w:rsidRPr="00FA50C9">
        <w:t>.pielikums</w:t>
      </w:r>
    </w:p>
    <w:p w:rsidR="006732D7" w:rsidRPr="00FA50C9" w:rsidRDefault="006732D7" w:rsidP="00BF6685">
      <w:pPr>
        <w:pStyle w:val="BodyTextIndent3"/>
        <w:tabs>
          <w:tab w:val="left" w:pos="993"/>
        </w:tabs>
        <w:suppressAutoHyphens/>
        <w:spacing w:before="0" w:after="0" w:line="240" w:lineRule="auto"/>
        <w:ind w:firstLine="562"/>
        <w:jc w:val="right"/>
      </w:pPr>
      <w:r w:rsidRPr="00FA50C9">
        <w:t>Ministru kabineta</w:t>
      </w:r>
    </w:p>
    <w:p w:rsidR="006732D7" w:rsidRPr="00FA50C9" w:rsidRDefault="006732D7" w:rsidP="00BF6685">
      <w:pPr>
        <w:pStyle w:val="BodyTextIndent3"/>
        <w:tabs>
          <w:tab w:val="left" w:pos="993"/>
        </w:tabs>
        <w:suppressAutoHyphens/>
        <w:spacing w:before="0" w:after="0" w:line="240" w:lineRule="auto"/>
        <w:ind w:firstLine="562"/>
        <w:jc w:val="right"/>
      </w:pPr>
      <w:r w:rsidRPr="00FA50C9">
        <w:t>20</w:t>
      </w:r>
      <w:r>
        <w:t>16</w:t>
      </w:r>
      <w:r w:rsidRPr="00FA50C9">
        <w:t>.gada ___.__________</w:t>
      </w:r>
    </w:p>
    <w:p w:rsidR="006732D7" w:rsidRPr="00FA50C9" w:rsidRDefault="006732D7" w:rsidP="00BF6685">
      <w:pPr>
        <w:pStyle w:val="BodyTextIndent3"/>
        <w:tabs>
          <w:tab w:val="left" w:pos="993"/>
        </w:tabs>
        <w:suppressAutoHyphens/>
        <w:spacing w:before="0" w:after="0" w:line="240" w:lineRule="auto"/>
        <w:ind w:firstLine="562"/>
        <w:jc w:val="right"/>
      </w:pPr>
      <w:r w:rsidRPr="00FA50C9">
        <w:t>noteikumiem Nr. _____</w:t>
      </w:r>
    </w:p>
    <w:p w:rsidR="006732D7" w:rsidRDefault="006732D7" w:rsidP="00956C40">
      <w:pPr>
        <w:jc w:val="center"/>
        <w:rPr>
          <w:b/>
          <w:sz w:val="28"/>
          <w:szCs w:val="28"/>
        </w:rPr>
      </w:pPr>
    </w:p>
    <w:p w:rsidR="006732D7" w:rsidRPr="003D6302" w:rsidRDefault="006732D7" w:rsidP="003D6302">
      <w:pPr>
        <w:ind w:right="960" w:firstLine="720"/>
        <w:jc w:val="center"/>
        <w:rPr>
          <w:b/>
          <w:sz w:val="26"/>
          <w:szCs w:val="26"/>
        </w:rPr>
      </w:pPr>
      <w:r w:rsidRPr="003D6302">
        <w:rPr>
          <w:b/>
          <w:sz w:val="26"/>
          <w:szCs w:val="26"/>
        </w:rPr>
        <w:t>Prasības, kas jāizpilda atbilstības novērtēšanas institūcijām, lai kļūtu par paziņotajām institūcijām</w:t>
      </w:r>
    </w:p>
    <w:p w:rsidR="006732D7" w:rsidRDefault="006732D7" w:rsidP="003D6302">
      <w:pPr>
        <w:ind w:right="960" w:firstLine="720"/>
      </w:pPr>
    </w:p>
    <w:p w:rsidR="006732D7" w:rsidRDefault="006732D7" w:rsidP="003D6302">
      <w:pPr>
        <w:pStyle w:val="ListParagraph"/>
        <w:numPr>
          <w:ilvl w:val="0"/>
          <w:numId w:val="1"/>
        </w:numPr>
        <w:ind w:left="0" w:right="-1" w:firstLine="0"/>
        <w:jc w:val="both"/>
      </w:pPr>
      <w:r>
        <w:t>Atbilstības novērtēšanas institūcija atbilst šā pielikuma 2. līdz 11. punkta prasībām.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komercreģistrā ierakstīta juridiska persona.</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trešā persona, kas ir neatkarīga no komersanta vai kuģu aprīkojuma, kuru tā novērtē.</w:t>
      </w:r>
    </w:p>
    <w:p w:rsidR="006732D7" w:rsidRDefault="006732D7" w:rsidP="003D6302">
      <w:pPr>
        <w:ind w:right="-1"/>
        <w:jc w:val="both"/>
      </w:pPr>
    </w:p>
    <w:p w:rsidR="006732D7" w:rsidRDefault="00C71C62" w:rsidP="003D6302">
      <w:pPr>
        <w:pStyle w:val="ListParagraph"/>
        <w:numPr>
          <w:ilvl w:val="0"/>
          <w:numId w:val="1"/>
        </w:numPr>
        <w:ind w:left="0" w:right="-1" w:firstLine="0"/>
        <w:jc w:val="both"/>
      </w:pPr>
      <w:r>
        <w:t>Institūciju</w:t>
      </w:r>
      <w:r w:rsidR="006732D7">
        <w:t>, kas pieder pie komersantu apvienības vai profesionālas federācijas, kura pārstāv komersantus, kas iesaistīti novērtējamā kuģu aprīkojuma projektēšanā, ražošanā, piegādē, montāžā, lietošanā vai apkopē, var uzskatīt par atbilstības novērtēšanas institūciju, ja ir pierādīta tās neatkarība un interešu konflikta neesība.</w:t>
      </w:r>
    </w:p>
    <w:p w:rsidR="006732D7" w:rsidRDefault="006732D7" w:rsidP="003D6302">
      <w:pPr>
        <w:ind w:right="-1"/>
        <w:jc w:val="both"/>
      </w:pPr>
    </w:p>
    <w:p w:rsidR="006732D7" w:rsidRPr="00905ABA" w:rsidRDefault="006732D7" w:rsidP="003D6302">
      <w:pPr>
        <w:pStyle w:val="ListParagraph"/>
        <w:numPr>
          <w:ilvl w:val="0"/>
          <w:numId w:val="1"/>
        </w:numPr>
        <w:ind w:left="0" w:right="-1" w:firstLine="0"/>
        <w:jc w:val="both"/>
      </w:pPr>
      <w:r>
        <w:t xml:space="preserve">Atbilstības novērtēšanas institūcija, tās augstākā līmeņa vadība un personāls, kas ir atbildīgs </w:t>
      </w:r>
      <w:r w:rsidRPr="00905ABA">
        <w:t>par atbilstības novērtēšanas veikšanu, nav vērtējamā kuģu aprīkojuma projektētāji, ražotāji, piegādātāji, uzstādītāji, pircēji, īpašnieki, lietotāji vai apkopes veicēji, to pilnvarotie pārstāvji</w:t>
      </w:r>
      <w:r w:rsidR="000B4C16" w:rsidRPr="00905ABA">
        <w:t>, kā arī nav ieguvušas cita veida izšķirošo ietekmi atbilstoši Koncernu likuma 3.pantam.</w:t>
      </w:r>
      <w:r w:rsidRPr="00905ABA">
        <w:t xml:space="preserve"> Tas neliedz</w:t>
      </w:r>
      <w:r w:rsidR="00C71C62" w:rsidRPr="00905ABA">
        <w:t xml:space="preserve"> atbilstības novērtēšanas institūcijai</w:t>
      </w:r>
      <w:r w:rsidRPr="00905ABA">
        <w:t xml:space="preserve"> izmantot novērtētos produktus, kas ir vajadzīgi atbilstības novērtēšanas institūcijas darbībai, vai izmantot šādus produktus </w:t>
      </w:r>
      <w:r w:rsidR="00C71C62" w:rsidRPr="00905ABA">
        <w:t xml:space="preserve">šajā punktā minēto personu </w:t>
      </w:r>
      <w:r w:rsidRPr="00905ABA">
        <w:t>personiskiem mērķiem.</w:t>
      </w:r>
    </w:p>
    <w:p w:rsidR="006732D7" w:rsidRPr="00905ABA" w:rsidRDefault="006732D7" w:rsidP="003D6302">
      <w:pPr>
        <w:ind w:right="-1"/>
        <w:jc w:val="both"/>
      </w:pPr>
    </w:p>
    <w:p w:rsidR="006732D7" w:rsidRDefault="006732D7" w:rsidP="003D6302">
      <w:pPr>
        <w:pStyle w:val="ListParagraph"/>
        <w:numPr>
          <w:ilvl w:val="0"/>
          <w:numId w:val="1"/>
        </w:numPr>
        <w:ind w:left="0" w:right="-1" w:firstLine="0"/>
        <w:jc w:val="both"/>
      </w:pPr>
      <w:r>
        <w:t xml:space="preserve">Atbilstības novērtēšanas institūcija, tās augstākā vadība un personāls, kas ir atbildīgs par atbilstības novērtēšanas veikšanu, nav tieši saistīti ar vērtējamā kuģu aprīkojuma projektēšanu, ražošanu vai būvniecību, tirdzniecību, uzstādīšanu, lietošanu vai apkopi, kā arī nepārstāv minētajās darbībās iesaistītās personas. </w:t>
      </w:r>
      <w:r w:rsidR="00D45267">
        <w:t xml:space="preserve">Šajā punktā minētās personas </w:t>
      </w:r>
      <w:r>
        <w:t xml:space="preserve"> neiesaistās nekādās darbībās, kas var būt pretrunā </w:t>
      </w:r>
      <w:r w:rsidR="00D45267">
        <w:t xml:space="preserve">ar šo personu </w:t>
      </w:r>
      <w:r>
        <w:t>lēmum</w:t>
      </w:r>
      <w:r w:rsidR="00D45267">
        <w:t>u</w:t>
      </w:r>
      <w:r>
        <w:t xml:space="preserve"> neatkarīb</w:t>
      </w:r>
      <w:r w:rsidR="00D45267">
        <w:t>u</w:t>
      </w:r>
      <w:r>
        <w:t xml:space="preserve"> v</w:t>
      </w:r>
      <w:r w:rsidR="00D45267">
        <w:t xml:space="preserve">ai </w:t>
      </w:r>
      <w:r w:rsidR="00446D43">
        <w:t>godprātību</w:t>
      </w:r>
      <w:r>
        <w:t xml:space="preserve"> attiecībā uz tām novērtēšanas darbībām, par kurām </w:t>
      </w:r>
      <w:r w:rsidR="00D45267">
        <w:t xml:space="preserve">attiecīgā novērtēšanas institūcija </w:t>
      </w:r>
      <w:r>
        <w:t>ir paziņota. Tas jo īpaši attiecas uz konsultāciju pakalpojumiem.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institūcijas nodrošina, lai tās filiāles vai apakšuzņēmuma līguma slēdzēja darbības neietekmētu atbilstības novērtēšanas darbību konfidencialitāti, objektivitāti vai taisnīgumu.</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 xml:space="preserve">Atbilstības novērtēšanas institūcija un tās personāls veic atbilstības novērtēšanas darbības ar visaugstāko profesionālo </w:t>
      </w:r>
      <w:r w:rsidR="00446D43">
        <w:t>godprātību</w:t>
      </w:r>
      <w:r>
        <w:t xml:space="preserve"> un vajadzīgo tehnisko kompetenci konkrētajā jomā bez spiediena un pamudinājumiem, jo īpaši finansiāla rakstura, kas varētu ietekmēt lēmumu vai atbilstības novērtēšanas rezultātus, īpaši attiecībā uz personām vai personu grupām, kuras ir ieinteresētas šo darbību rezultātos.</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 ir spējīga veikt visus atbilstības novērtēšanas uzdevumus, kuri noteikti saskaņā ar šiem noteikumiem un saistībā ar kuriem tā ir paziņota, neatkarīgi no tā, vai šos uzdevumus veic pati atbilstības novērtēšanas institūcija vai tie tiek veikti tās vārdā un uz tās atbildību.</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institūcijas rīcībā vienmēr un par visām atbilstības novērtēšanas procedūrām un kuģu aprīkojuma veidiem, kategorijām vai apakškategorijām, ar ko saistībā tā ir paziņota, ir nepieciešamie:</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personāls ar tehniskām zināšanām un pietiekamu un atbilstīgu pieredzi, lai veiktu atbilstības novērtēšanu;</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 xml:space="preserve">procedūru apraksti, saskaņā ar kurām veic atbilstības novērtēšanu, nodrošinot procedūru pārredzamību un iespēju </w:t>
      </w:r>
      <w:r w:rsidRPr="000472F5">
        <w:t>tās reproducēt.</w:t>
      </w:r>
      <w:r>
        <w:t xml:space="preserve"> </w:t>
      </w:r>
      <w:r w:rsidR="00D003B8">
        <w:t>Atbilstības novērtēšanas institūcijai</w:t>
      </w:r>
      <w:r>
        <w:t xml:space="preserve"> ir izstrādāta politika un procedūras, ar kuru uzdevumi, kurus tā veic kā paziņotā institūcija, ir nodalīti no citām darbībām;</w:t>
      </w:r>
    </w:p>
    <w:p w:rsidR="006732D7" w:rsidRDefault="006732D7" w:rsidP="003D6302">
      <w:pPr>
        <w:ind w:right="-1"/>
        <w:jc w:val="both"/>
      </w:pPr>
    </w:p>
    <w:p w:rsidR="006732D7" w:rsidRDefault="006732D7" w:rsidP="003D6302">
      <w:pPr>
        <w:pStyle w:val="ListParagraph"/>
        <w:numPr>
          <w:ilvl w:val="0"/>
          <w:numId w:val="2"/>
        </w:numPr>
        <w:ind w:left="0" w:right="-1" w:firstLine="0"/>
        <w:jc w:val="both"/>
      </w:pPr>
      <w:r>
        <w:t>procedūras to darbību veikšanai, kurās ņem vērā komersanta lielumu, nozari, kurā tas darbojas, tā</w:t>
      </w:r>
      <w:r w:rsidR="00D003B8">
        <w:t>s struktūru</w:t>
      </w:r>
      <w:r>
        <w:t>, kuģu aprīkojuma tehnoloģijas sarežģītības pakāpi un to, vai ražošanas process ir masveida vai sērijveida.</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Atbilstības novērtēšanas institūcijai ir līdzekļi, lai veiktu tehniskos un administratīvos uzdevumus saistībā ar atbilstības novērtēšanu, un ir piekļuve nepieciešamajam aprīkojumam un iekārtām.</w:t>
      </w:r>
    </w:p>
    <w:p w:rsidR="006732D7" w:rsidRDefault="006732D7" w:rsidP="003D6302">
      <w:pPr>
        <w:ind w:right="-1"/>
        <w:jc w:val="both"/>
      </w:pPr>
    </w:p>
    <w:p w:rsidR="006732D7" w:rsidRDefault="006732D7" w:rsidP="003D6302">
      <w:pPr>
        <w:pStyle w:val="ListParagraph"/>
        <w:numPr>
          <w:ilvl w:val="0"/>
          <w:numId w:val="1"/>
        </w:numPr>
        <w:ind w:left="0" w:right="-1" w:firstLine="0"/>
        <w:jc w:val="both"/>
      </w:pPr>
      <w:r>
        <w:t>Personālam, kas atbildīgs par atbilstības novērtēšanas veikšanu, ir:</w:t>
      </w:r>
    </w:p>
    <w:p w:rsidR="006732D7" w:rsidRDefault="006732D7" w:rsidP="003D6302">
      <w:pPr>
        <w:ind w:right="-1"/>
        <w:jc w:val="both"/>
      </w:pPr>
    </w:p>
    <w:p w:rsidR="006732D7" w:rsidRDefault="006732D7" w:rsidP="003D6302">
      <w:pPr>
        <w:pStyle w:val="ListParagraph"/>
        <w:numPr>
          <w:ilvl w:val="0"/>
          <w:numId w:val="3"/>
        </w:numPr>
        <w:ind w:left="0" w:right="-1" w:firstLine="0"/>
        <w:jc w:val="both"/>
      </w:pPr>
      <w:r>
        <w:t>atbilstoša tehniskā un profesionālā apmācība, kas aptver atbilstības novērtēšanu, saistībā ar kuru atbilstības novērtēšanas institūcija ir paziņota;</w:t>
      </w:r>
    </w:p>
    <w:p w:rsidR="006732D7" w:rsidRDefault="006732D7" w:rsidP="003D6302">
      <w:pPr>
        <w:ind w:right="-1"/>
        <w:jc w:val="both"/>
      </w:pPr>
    </w:p>
    <w:p w:rsidR="006732D7" w:rsidRDefault="00D003B8" w:rsidP="003D6302">
      <w:pPr>
        <w:pStyle w:val="ListParagraph"/>
        <w:numPr>
          <w:ilvl w:val="0"/>
          <w:numId w:val="3"/>
        </w:numPr>
        <w:ind w:left="0" w:right="-1" w:firstLine="0"/>
        <w:jc w:val="both"/>
      </w:pPr>
      <w:r>
        <w:t>nepieciešamās</w:t>
      </w:r>
      <w:r w:rsidR="006732D7">
        <w:t xml:space="preserve"> zināšanas par prasībām attiecībā uz atbilstības novērtēšanu un atbilstīgas pilnvaras veikt atbilstības novērtēšanu;</w:t>
      </w:r>
    </w:p>
    <w:p w:rsidR="006732D7" w:rsidRDefault="006732D7" w:rsidP="003D6302">
      <w:pPr>
        <w:ind w:right="-1"/>
        <w:jc w:val="both"/>
      </w:pPr>
    </w:p>
    <w:p w:rsidR="006732D7" w:rsidRPr="000472F5" w:rsidRDefault="006732D7" w:rsidP="003D6302">
      <w:pPr>
        <w:pStyle w:val="ListParagraph"/>
        <w:numPr>
          <w:ilvl w:val="0"/>
          <w:numId w:val="3"/>
        </w:numPr>
        <w:ind w:left="0" w:right="-1" w:firstLine="0"/>
        <w:jc w:val="both"/>
      </w:pPr>
      <w:r w:rsidRPr="000472F5">
        <w:t xml:space="preserve">zināšanas un sapratne par piemērojamām prasībām un testēšanas standartiem, un </w:t>
      </w:r>
      <w:r w:rsidR="008977C0" w:rsidRPr="000472F5">
        <w:t>par nosacījumiem ES tiesību aktos</w:t>
      </w:r>
      <w:r w:rsidRPr="000472F5">
        <w:t xml:space="preserve"> </w:t>
      </w:r>
      <w:r w:rsidR="008977C0" w:rsidRPr="000472F5">
        <w:t>un nacionālajos tiesību aktos, ar kuriem ir pārņemtas minētie ES tiesību akti;</w:t>
      </w:r>
    </w:p>
    <w:p w:rsidR="006732D7" w:rsidRDefault="006732D7" w:rsidP="003D6302">
      <w:pPr>
        <w:ind w:right="-1"/>
        <w:jc w:val="both"/>
      </w:pPr>
    </w:p>
    <w:p w:rsidR="006732D7" w:rsidRDefault="006732D7" w:rsidP="003D6302">
      <w:pPr>
        <w:pStyle w:val="ListParagraph"/>
        <w:numPr>
          <w:ilvl w:val="0"/>
          <w:numId w:val="3"/>
        </w:numPr>
        <w:ind w:left="0" w:right="-1" w:firstLine="0"/>
        <w:jc w:val="both"/>
      </w:pPr>
      <w:r>
        <w:t>spēja sagatavot sertifikātus, datus un ziņojumus, kuros pierādīts, ka novērtēšana ir veikta.</w:t>
      </w:r>
    </w:p>
    <w:p w:rsidR="002601F5" w:rsidRDefault="002601F5" w:rsidP="002601F5">
      <w:pPr>
        <w:pStyle w:val="ListParagraph"/>
        <w:ind w:left="0" w:right="-1"/>
        <w:jc w:val="both"/>
      </w:pPr>
    </w:p>
    <w:p w:rsidR="006732D7" w:rsidRDefault="006732D7" w:rsidP="003D6302">
      <w:pPr>
        <w:pStyle w:val="ListParagraph"/>
        <w:numPr>
          <w:ilvl w:val="0"/>
          <w:numId w:val="1"/>
        </w:numPr>
        <w:ind w:left="0" w:right="-1" w:firstLine="0"/>
        <w:jc w:val="both"/>
      </w:pPr>
      <w:r>
        <w:t>Tiek garantēta atbilstības novērtēšanas institūciju, to augstākā līmeņa vadības un personāla, kas veic novērtēšanu, objektivitāte.</w:t>
      </w:r>
    </w:p>
    <w:p w:rsidR="006732D7"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Atalgojums, ko saņem atbilstības novērtēšanas institūcijas augstākā līmeņa vadība un personāls, kas veic novērtēšanu, nav atkarīgs no veikto novērtējumu skaita vai to rezultātiem.</w:t>
      </w:r>
    </w:p>
    <w:p w:rsidR="006732D7" w:rsidRPr="0033509D"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 xml:space="preserve">Atbilstības novērtēšanas institūcijas </w:t>
      </w:r>
      <w:r w:rsidR="002601F5">
        <w:t xml:space="preserve">apdrošina savu </w:t>
      </w:r>
      <w:r w:rsidRPr="0033509D">
        <w:t>civiltiesiskās atbildīb</w:t>
      </w:r>
      <w:r w:rsidR="002601F5">
        <w:t>u</w:t>
      </w:r>
      <w:r w:rsidRPr="0033509D">
        <w:t>.</w:t>
      </w:r>
    </w:p>
    <w:p w:rsidR="006732D7" w:rsidRPr="0033509D" w:rsidRDefault="006732D7" w:rsidP="003D6302">
      <w:pPr>
        <w:ind w:right="-1"/>
        <w:jc w:val="both"/>
      </w:pPr>
    </w:p>
    <w:p w:rsidR="006732D7" w:rsidRPr="0033509D" w:rsidRDefault="006732D7" w:rsidP="003D6302">
      <w:pPr>
        <w:pStyle w:val="ListParagraph"/>
        <w:numPr>
          <w:ilvl w:val="0"/>
          <w:numId w:val="1"/>
        </w:numPr>
        <w:ind w:left="0" w:right="-1" w:firstLine="0"/>
        <w:jc w:val="both"/>
      </w:pPr>
      <w:r w:rsidRPr="0033509D">
        <w:t xml:space="preserve">Atbilstības novērtēšanas institūcijas personāls </w:t>
      </w:r>
      <w:r>
        <w:t>ievēro konfidencialitāti</w:t>
      </w:r>
      <w:r w:rsidRPr="0033509D">
        <w:t xml:space="preserve"> attiecībā uz informāciju, kas iegūta, veicot pienākumus saskaņā ar šiem noteikumiem. Īpašumtiesības tiek aizsargātas.</w:t>
      </w:r>
    </w:p>
    <w:p w:rsidR="006732D7" w:rsidRDefault="006732D7" w:rsidP="003D6302">
      <w:pPr>
        <w:ind w:right="-1"/>
        <w:jc w:val="both"/>
      </w:pPr>
    </w:p>
    <w:p w:rsidR="002601F5" w:rsidRDefault="006732D7" w:rsidP="003D6302">
      <w:pPr>
        <w:pStyle w:val="ListParagraph"/>
        <w:numPr>
          <w:ilvl w:val="0"/>
          <w:numId w:val="1"/>
        </w:numPr>
        <w:ind w:left="0" w:right="-1" w:firstLine="0"/>
        <w:jc w:val="both"/>
      </w:pPr>
      <w:r>
        <w:t xml:space="preserve">Atbilstības novērtēšanas institūcijas </w:t>
      </w:r>
      <w:r w:rsidR="00D9415E">
        <w:t xml:space="preserve">pašas piedalās </w:t>
      </w:r>
      <w:r w:rsidR="00D9415E" w:rsidRPr="002601F5">
        <w:t>paziņoto institūciju koordinācijas grupas</w:t>
      </w:r>
      <w:r w:rsidR="00D9415E">
        <w:t xml:space="preserve"> darbā vai </w:t>
      </w:r>
      <w:r>
        <w:t xml:space="preserve">nodrošina, lai personāls, kas veic novērtēšanu, būtu informēts par standartizācijas darbībām un paziņoto institūciju koordinācijas grupas darbībām </w:t>
      </w:r>
      <w:r w:rsidR="002601F5">
        <w:t>un piemēro</w:t>
      </w:r>
      <w:r w:rsidR="00D9415E">
        <w:t>tu</w:t>
      </w:r>
      <w:r w:rsidR="002601F5">
        <w:t xml:space="preserve"> </w:t>
      </w:r>
      <w:r w:rsidR="002601F5">
        <w:lastRenderedPageBreak/>
        <w:t xml:space="preserve">kā vadlīnijas </w:t>
      </w:r>
      <w:r w:rsidR="002601F5" w:rsidRPr="002601F5">
        <w:t>paziņoto institūciju koordinācijas grupas</w:t>
      </w:r>
      <w:r w:rsidR="002601F5">
        <w:t xml:space="preserve"> </w:t>
      </w:r>
      <w:r w:rsidR="00D9415E">
        <w:t>administratīvos lēmumus un sagatavotos dokumentus.</w:t>
      </w:r>
      <w:r w:rsidR="002601F5">
        <w:t xml:space="preserve"> </w:t>
      </w:r>
    </w:p>
    <w:p w:rsidR="006732D7" w:rsidRDefault="006732D7" w:rsidP="003D6302">
      <w:pPr>
        <w:ind w:right="-1"/>
        <w:jc w:val="both"/>
      </w:pPr>
    </w:p>
    <w:p w:rsidR="006732D7" w:rsidRDefault="006732D7" w:rsidP="003D6302">
      <w:pPr>
        <w:ind w:right="-1"/>
        <w:jc w:val="both"/>
      </w:pPr>
    </w:p>
    <w:p w:rsidR="006732D7" w:rsidRDefault="006732D7" w:rsidP="00BF6685">
      <w:pPr>
        <w:ind w:right="960" w:firstLine="720"/>
      </w:pPr>
    </w:p>
    <w:p w:rsidR="006732D7" w:rsidRPr="00AB285F" w:rsidRDefault="006732D7" w:rsidP="00AB285F">
      <w:pPr>
        <w:ind w:right="960" w:firstLine="720"/>
        <w:rPr>
          <w:sz w:val="26"/>
          <w:szCs w:val="26"/>
        </w:rPr>
      </w:pPr>
      <w:r w:rsidRPr="00AB285F">
        <w:rPr>
          <w:sz w:val="26"/>
          <w:szCs w:val="26"/>
        </w:rPr>
        <w:t>Satiksmes ministrs</w:t>
      </w:r>
      <w:r w:rsidRPr="00AB285F">
        <w:rPr>
          <w:sz w:val="26"/>
          <w:szCs w:val="26"/>
        </w:rPr>
        <w:tab/>
        <w:t xml:space="preserve">                  </w:t>
      </w:r>
      <w:r w:rsidRPr="00AB285F">
        <w:rPr>
          <w:sz w:val="26"/>
          <w:szCs w:val="26"/>
        </w:rPr>
        <w:tab/>
      </w:r>
      <w:r>
        <w:rPr>
          <w:sz w:val="26"/>
          <w:szCs w:val="26"/>
        </w:rPr>
        <w:tab/>
      </w:r>
      <w:r>
        <w:rPr>
          <w:sz w:val="26"/>
          <w:szCs w:val="26"/>
        </w:rPr>
        <w:tab/>
      </w:r>
      <w:r>
        <w:rPr>
          <w:sz w:val="26"/>
          <w:szCs w:val="26"/>
        </w:rPr>
        <w:tab/>
        <w:t>U.Augulis</w:t>
      </w:r>
    </w:p>
    <w:p w:rsidR="006732D7" w:rsidRPr="00AB285F" w:rsidRDefault="006732D7" w:rsidP="00AB285F">
      <w:pPr>
        <w:ind w:right="960" w:firstLine="720"/>
        <w:rPr>
          <w:sz w:val="26"/>
          <w:szCs w:val="26"/>
        </w:rPr>
      </w:pPr>
    </w:p>
    <w:p w:rsidR="006732D7" w:rsidRPr="00AB285F" w:rsidRDefault="006732D7" w:rsidP="00AB285F">
      <w:pPr>
        <w:ind w:right="960" w:firstLine="720"/>
        <w:rPr>
          <w:sz w:val="26"/>
          <w:szCs w:val="26"/>
        </w:rPr>
      </w:pPr>
      <w:r w:rsidRPr="00AB285F">
        <w:rPr>
          <w:sz w:val="26"/>
          <w:szCs w:val="26"/>
        </w:rPr>
        <w:t xml:space="preserve">Iesniedzējs: </w:t>
      </w:r>
      <w:r w:rsidRPr="00AB285F">
        <w:rPr>
          <w:sz w:val="26"/>
          <w:szCs w:val="26"/>
        </w:rPr>
        <w:tab/>
      </w:r>
    </w:p>
    <w:p w:rsidR="006732D7" w:rsidRPr="00AB285F" w:rsidRDefault="006732D7" w:rsidP="00AB285F">
      <w:pPr>
        <w:ind w:right="960" w:firstLine="720"/>
        <w:rPr>
          <w:sz w:val="26"/>
          <w:szCs w:val="26"/>
        </w:rPr>
      </w:pPr>
      <w:r w:rsidRPr="00AB285F">
        <w:rPr>
          <w:sz w:val="26"/>
          <w:szCs w:val="26"/>
        </w:rPr>
        <w:t>satiksmes ministrs</w:t>
      </w:r>
      <w:r w:rsidRPr="00AB285F">
        <w:rPr>
          <w:sz w:val="26"/>
          <w:szCs w:val="26"/>
        </w:rPr>
        <w:tab/>
        <w:t xml:space="preserve">                  </w:t>
      </w:r>
      <w:r w:rsidRPr="00AB285F">
        <w:rPr>
          <w:sz w:val="26"/>
          <w:szCs w:val="26"/>
        </w:rPr>
        <w:tab/>
      </w:r>
      <w:r>
        <w:rPr>
          <w:sz w:val="26"/>
          <w:szCs w:val="26"/>
        </w:rPr>
        <w:tab/>
      </w:r>
      <w:r>
        <w:rPr>
          <w:sz w:val="26"/>
          <w:szCs w:val="26"/>
        </w:rPr>
        <w:tab/>
      </w:r>
      <w:r>
        <w:rPr>
          <w:sz w:val="26"/>
          <w:szCs w:val="26"/>
        </w:rPr>
        <w:tab/>
        <w:t>U.Augulis</w:t>
      </w:r>
    </w:p>
    <w:p w:rsidR="006732D7" w:rsidRPr="00AB285F" w:rsidRDefault="006732D7" w:rsidP="00AB285F">
      <w:pPr>
        <w:ind w:right="960" w:firstLine="720"/>
        <w:rPr>
          <w:sz w:val="26"/>
          <w:szCs w:val="26"/>
        </w:rPr>
      </w:pPr>
      <w:r w:rsidRPr="00AB285F">
        <w:rPr>
          <w:sz w:val="26"/>
          <w:szCs w:val="26"/>
        </w:rPr>
        <w:tab/>
      </w:r>
    </w:p>
    <w:p w:rsidR="006732D7" w:rsidRPr="00AB285F" w:rsidRDefault="006732D7" w:rsidP="00AB285F">
      <w:pPr>
        <w:ind w:right="960" w:firstLine="720"/>
        <w:rPr>
          <w:sz w:val="26"/>
          <w:szCs w:val="26"/>
        </w:rPr>
      </w:pPr>
      <w:r w:rsidRPr="00AB285F">
        <w:rPr>
          <w:sz w:val="26"/>
          <w:szCs w:val="26"/>
        </w:rPr>
        <w:t xml:space="preserve">Vīza:    </w:t>
      </w:r>
    </w:p>
    <w:p w:rsidR="004A6966" w:rsidRDefault="006732D7" w:rsidP="00AB285F">
      <w:pPr>
        <w:ind w:right="960" w:firstLine="720"/>
        <w:rPr>
          <w:sz w:val="26"/>
          <w:szCs w:val="26"/>
        </w:rPr>
      </w:pPr>
      <w:r w:rsidRPr="00AB285F">
        <w:rPr>
          <w:sz w:val="26"/>
          <w:szCs w:val="26"/>
        </w:rPr>
        <w:t>valsts sekretār</w:t>
      </w:r>
      <w:r w:rsidR="00E839FC">
        <w:rPr>
          <w:sz w:val="26"/>
          <w:szCs w:val="26"/>
        </w:rPr>
        <w:t xml:space="preserve">a </w:t>
      </w:r>
      <w:r w:rsidR="004A6966">
        <w:rPr>
          <w:sz w:val="26"/>
          <w:szCs w:val="26"/>
        </w:rPr>
        <w:t>vietā</w:t>
      </w:r>
    </w:p>
    <w:p w:rsidR="006732D7" w:rsidRPr="00AB285F" w:rsidRDefault="004A6966" w:rsidP="00AB285F">
      <w:pPr>
        <w:ind w:right="960" w:firstLine="720"/>
        <w:rPr>
          <w:sz w:val="26"/>
          <w:szCs w:val="26"/>
        </w:rPr>
      </w:pPr>
      <w:r>
        <w:rPr>
          <w:sz w:val="26"/>
          <w:szCs w:val="26"/>
        </w:rPr>
        <w:t xml:space="preserve">valsts sekretāra </w:t>
      </w:r>
      <w:r w:rsidR="00E839FC">
        <w:rPr>
          <w:sz w:val="26"/>
          <w:szCs w:val="26"/>
        </w:rPr>
        <w:t>vietniece</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Dž.Innusa</w:t>
      </w:r>
      <w:proofErr w:type="spellEnd"/>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Default="006732D7" w:rsidP="00AB285F">
      <w:pPr>
        <w:ind w:right="960" w:firstLine="720"/>
        <w:rPr>
          <w:sz w:val="26"/>
          <w:szCs w:val="26"/>
        </w:rPr>
      </w:pPr>
    </w:p>
    <w:p w:rsidR="006732D7" w:rsidRPr="00AB285F" w:rsidRDefault="006732D7" w:rsidP="00AB285F">
      <w:pPr>
        <w:ind w:right="960" w:firstLine="720"/>
        <w:rPr>
          <w:sz w:val="26"/>
          <w:szCs w:val="26"/>
        </w:rPr>
      </w:pPr>
    </w:p>
    <w:p w:rsidR="006732D7" w:rsidRPr="00D9415E" w:rsidRDefault="00DC1F32" w:rsidP="00AB285F">
      <w:pPr>
        <w:ind w:right="960" w:firstLine="720"/>
        <w:rPr>
          <w:sz w:val="20"/>
          <w:szCs w:val="20"/>
        </w:rPr>
      </w:pPr>
      <w:r>
        <w:rPr>
          <w:sz w:val="20"/>
          <w:szCs w:val="20"/>
        </w:rPr>
        <w:t>1</w:t>
      </w:r>
      <w:r w:rsidR="001014CB">
        <w:rPr>
          <w:sz w:val="20"/>
          <w:szCs w:val="20"/>
        </w:rPr>
        <w:t>2</w:t>
      </w:r>
      <w:r w:rsidR="004E58B8">
        <w:rPr>
          <w:sz w:val="20"/>
          <w:szCs w:val="20"/>
        </w:rPr>
        <w:t>.08</w:t>
      </w:r>
      <w:r w:rsidR="00D9415E" w:rsidRPr="00D9415E">
        <w:rPr>
          <w:sz w:val="20"/>
          <w:szCs w:val="20"/>
        </w:rPr>
        <w:t>.2016</w:t>
      </w:r>
      <w:r w:rsidR="006732D7" w:rsidRPr="00D9415E">
        <w:rPr>
          <w:sz w:val="20"/>
          <w:szCs w:val="20"/>
        </w:rPr>
        <w:t>. 15.00</w:t>
      </w:r>
    </w:p>
    <w:p w:rsidR="006732D7" w:rsidRPr="00AB285F" w:rsidRDefault="00D9415E" w:rsidP="00AB285F">
      <w:pPr>
        <w:ind w:right="960" w:firstLine="720"/>
        <w:rPr>
          <w:sz w:val="20"/>
          <w:szCs w:val="20"/>
        </w:rPr>
      </w:pPr>
      <w:r>
        <w:rPr>
          <w:sz w:val="20"/>
          <w:szCs w:val="20"/>
        </w:rPr>
        <w:t>7</w:t>
      </w:r>
      <w:r w:rsidR="004A6966">
        <w:rPr>
          <w:sz w:val="20"/>
          <w:szCs w:val="20"/>
        </w:rPr>
        <w:t>11</w:t>
      </w:r>
      <w:bookmarkStart w:id="0" w:name="_GoBack"/>
      <w:bookmarkEnd w:id="0"/>
    </w:p>
    <w:p w:rsidR="006732D7" w:rsidRPr="00AB285F" w:rsidRDefault="006732D7" w:rsidP="00AB285F">
      <w:pPr>
        <w:ind w:right="960" w:firstLine="720"/>
        <w:rPr>
          <w:sz w:val="20"/>
          <w:szCs w:val="20"/>
        </w:rPr>
      </w:pPr>
      <w:r w:rsidRPr="00AB285F">
        <w:rPr>
          <w:sz w:val="20"/>
          <w:szCs w:val="20"/>
        </w:rPr>
        <w:t>S.Lielbārde, 67062187</w:t>
      </w:r>
    </w:p>
    <w:p w:rsidR="006732D7" w:rsidRPr="00AB285F" w:rsidRDefault="006732D7" w:rsidP="00AB285F">
      <w:pPr>
        <w:ind w:right="960" w:firstLine="720"/>
        <w:rPr>
          <w:sz w:val="20"/>
          <w:szCs w:val="20"/>
        </w:rPr>
      </w:pPr>
      <w:r w:rsidRPr="00AB285F">
        <w:rPr>
          <w:sz w:val="20"/>
          <w:szCs w:val="20"/>
        </w:rPr>
        <w:t>sandra.lielbarde@lja.lv</w:t>
      </w:r>
    </w:p>
    <w:p w:rsidR="006732D7" w:rsidRPr="00AB285F" w:rsidRDefault="006732D7" w:rsidP="00AB285F">
      <w:pPr>
        <w:ind w:right="960" w:firstLine="720"/>
        <w:rPr>
          <w:sz w:val="20"/>
          <w:szCs w:val="20"/>
        </w:rPr>
      </w:pPr>
      <w:r w:rsidRPr="00AB285F">
        <w:rPr>
          <w:sz w:val="20"/>
          <w:szCs w:val="20"/>
        </w:rPr>
        <w:t>R.Lellis, 67062179</w:t>
      </w:r>
    </w:p>
    <w:p w:rsidR="006732D7" w:rsidRPr="00AB285F" w:rsidRDefault="006732D7" w:rsidP="00AB285F">
      <w:pPr>
        <w:ind w:right="960" w:firstLine="720"/>
        <w:rPr>
          <w:sz w:val="20"/>
          <w:szCs w:val="20"/>
        </w:rPr>
      </w:pPr>
      <w:r w:rsidRPr="00AB285F">
        <w:rPr>
          <w:sz w:val="20"/>
          <w:szCs w:val="20"/>
        </w:rPr>
        <w:t>raimonds.lellis@lja.lv</w:t>
      </w:r>
    </w:p>
    <w:sectPr w:rsidR="006732D7" w:rsidRPr="00AB285F" w:rsidSect="001C439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D7" w:rsidRDefault="000C43D7">
      <w:r>
        <w:separator/>
      </w:r>
    </w:p>
  </w:endnote>
  <w:endnote w:type="continuationSeparator" w:id="0">
    <w:p w:rsidR="000C43D7" w:rsidRDefault="000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D7" w:rsidRPr="004B12D6" w:rsidRDefault="004B12D6" w:rsidP="004B12D6">
    <w:pPr>
      <w:pStyle w:val="Footer"/>
    </w:pPr>
    <w:r w:rsidRPr="004B12D6">
      <w:rPr>
        <w:sz w:val="20"/>
        <w:szCs w:val="20"/>
        <w:lang w:val="lv-LV"/>
      </w:rPr>
      <w:t>SAMNotp3_</w:t>
    </w:r>
    <w:r w:rsidR="00DC1F32">
      <w:rPr>
        <w:sz w:val="20"/>
        <w:szCs w:val="20"/>
        <w:lang w:val="lv-LV"/>
      </w:rPr>
      <w:t>1</w:t>
    </w:r>
    <w:r w:rsidR="001014CB">
      <w:rPr>
        <w:sz w:val="20"/>
        <w:szCs w:val="20"/>
        <w:lang w:val="lv-LV"/>
      </w:rPr>
      <w:t>2</w:t>
    </w:r>
    <w:r w:rsidR="004E58B8">
      <w:rPr>
        <w:sz w:val="20"/>
        <w:szCs w:val="20"/>
        <w:lang w:val="lv-LV"/>
      </w:rPr>
      <w:t>08</w:t>
    </w:r>
    <w:r w:rsidR="00601E69">
      <w:rPr>
        <w:sz w:val="20"/>
        <w:szCs w:val="20"/>
        <w:lang w:val="lv-LV"/>
      </w:rPr>
      <w:t>16</w:t>
    </w:r>
    <w:r w:rsidRPr="004B12D6">
      <w:rPr>
        <w:sz w:val="20"/>
        <w:szCs w:val="20"/>
        <w:lang w:val="lv-LV"/>
      </w:rPr>
      <w:t xml:space="preserve">_kuguapr; Ministru kabineta noteikumu projekta “Kuģu aprīkojuma noteikumi” 3.pielikums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D7" w:rsidRPr="00BF6685" w:rsidRDefault="006732D7" w:rsidP="00BF6685">
    <w:pPr>
      <w:pStyle w:val="Footer"/>
      <w:rPr>
        <w:sz w:val="20"/>
        <w:szCs w:val="20"/>
        <w:lang w:val="lv-LV"/>
      </w:rPr>
    </w:pPr>
    <w:r w:rsidRPr="00BF6685">
      <w:rPr>
        <w:sz w:val="20"/>
        <w:szCs w:val="20"/>
        <w:lang w:val="lv-LV"/>
      </w:rPr>
      <w:t>SAMNotp</w:t>
    </w:r>
    <w:r>
      <w:rPr>
        <w:sz w:val="20"/>
        <w:szCs w:val="20"/>
        <w:lang w:val="lv-LV"/>
      </w:rPr>
      <w:t>3</w:t>
    </w:r>
    <w:r w:rsidRPr="00BF6685">
      <w:rPr>
        <w:sz w:val="20"/>
        <w:szCs w:val="20"/>
        <w:lang w:val="lv-LV"/>
      </w:rPr>
      <w:t>_</w:t>
    </w:r>
    <w:r w:rsidR="00DC1F32">
      <w:rPr>
        <w:sz w:val="20"/>
        <w:szCs w:val="20"/>
        <w:lang w:val="lv-LV"/>
      </w:rPr>
      <w:t>1</w:t>
    </w:r>
    <w:r w:rsidR="001014CB">
      <w:rPr>
        <w:sz w:val="20"/>
        <w:szCs w:val="20"/>
        <w:lang w:val="lv-LV"/>
      </w:rPr>
      <w:t>2</w:t>
    </w:r>
    <w:r w:rsidR="004E58B8">
      <w:rPr>
        <w:sz w:val="20"/>
        <w:szCs w:val="20"/>
        <w:lang w:val="lv-LV"/>
      </w:rPr>
      <w:t>08</w:t>
    </w:r>
    <w:r w:rsidR="00601E69">
      <w:rPr>
        <w:sz w:val="20"/>
        <w:szCs w:val="20"/>
        <w:lang w:val="lv-LV"/>
      </w:rPr>
      <w:t>16</w:t>
    </w:r>
    <w:r w:rsidRPr="00BF6685">
      <w:rPr>
        <w:sz w:val="20"/>
        <w:szCs w:val="20"/>
        <w:lang w:val="lv-LV"/>
      </w:rPr>
      <w:t>_</w:t>
    </w:r>
    <w:r>
      <w:rPr>
        <w:sz w:val="20"/>
        <w:szCs w:val="20"/>
        <w:lang w:val="lv-LV"/>
      </w:rPr>
      <w:t>kuguapr</w:t>
    </w:r>
    <w:r w:rsidRPr="00BF6685">
      <w:rPr>
        <w:sz w:val="20"/>
        <w:szCs w:val="20"/>
        <w:lang w:val="lv-LV"/>
      </w:rPr>
      <w:t>; Ministru kabineta noteikumu projekta “</w:t>
    </w:r>
    <w:r w:rsidR="004B12D6">
      <w:rPr>
        <w:sz w:val="20"/>
        <w:szCs w:val="20"/>
        <w:lang w:val="lv-LV"/>
      </w:rPr>
      <w:t>Kuģu aprīkojuma noteikumi</w:t>
    </w:r>
    <w:r w:rsidRPr="00BF6685">
      <w:rPr>
        <w:sz w:val="20"/>
        <w:szCs w:val="20"/>
        <w:lang w:val="lv-LV"/>
      </w:rPr>
      <w:t xml:space="preserve">” </w:t>
    </w:r>
    <w:r>
      <w:rPr>
        <w:sz w:val="20"/>
        <w:szCs w:val="20"/>
        <w:lang w:val="lv-LV"/>
      </w:rPr>
      <w:t>3</w:t>
    </w:r>
    <w:r w:rsidRPr="00BF6685">
      <w:rPr>
        <w:sz w:val="20"/>
        <w:szCs w:val="20"/>
        <w:lang w:val="lv-LV"/>
      </w:rPr>
      <w:t xml:space="preserve">.pielikums  </w:t>
    </w:r>
  </w:p>
  <w:p w:rsidR="006732D7" w:rsidRPr="00BF6685" w:rsidRDefault="006732D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D7" w:rsidRDefault="000C43D7">
      <w:r>
        <w:separator/>
      </w:r>
    </w:p>
  </w:footnote>
  <w:footnote w:type="continuationSeparator" w:id="0">
    <w:p w:rsidR="000C43D7" w:rsidRDefault="000C4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D7" w:rsidRDefault="006732D7"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32D7" w:rsidRDefault="0067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D7" w:rsidRDefault="006732D7" w:rsidP="001C43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966">
      <w:rPr>
        <w:rStyle w:val="PageNumber"/>
        <w:noProof/>
      </w:rPr>
      <w:t>3</w:t>
    </w:r>
    <w:r>
      <w:rPr>
        <w:rStyle w:val="PageNumber"/>
      </w:rPr>
      <w:fldChar w:fldCharType="end"/>
    </w:r>
  </w:p>
  <w:p w:rsidR="006732D7" w:rsidRDefault="00673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6440"/>
    <w:multiLevelType w:val="hybridMultilevel"/>
    <w:tmpl w:val="27CC488E"/>
    <w:lvl w:ilvl="0" w:tplc="1BCA795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5F0508FD"/>
    <w:multiLevelType w:val="hybridMultilevel"/>
    <w:tmpl w:val="ADFC1B0A"/>
    <w:lvl w:ilvl="0" w:tplc="6CBE2250">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797965F5"/>
    <w:multiLevelType w:val="hybridMultilevel"/>
    <w:tmpl w:val="562081BE"/>
    <w:lvl w:ilvl="0" w:tplc="5B844764">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4D"/>
    <w:rsid w:val="00025C06"/>
    <w:rsid w:val="000336DA"/>
    <w:rsid w:val="000340CB"/>
    <w:rsid w:val="00037C93"/>
    <w:rsid w:val="000472F5"/>
    <w:rsid w:val="00054166"/>
    <w:rsid w:val="00093082"/>
    <w:rsid w:val="000A1257"/>
    <w:rsid w:val="000A694F"/>
    <w:rsid w:val="000B4C16"/>
    <w:rsid w:val="000B5B22"/>
    <w:rsid w:val="000C43D7"/>
    <w:rsid w:val="000D5034"/>
    <w:rsid w:val="000F6A57"/>
    <w:rsid w:val="001014CB"/>
    <w:rsid w:val="001104B0"/>
    <w:rsid w:val="001122D7"/>
    <w:rsid w:val="0016156C"/>
    <w:rsid w:val="0016710D"/>
    <w:rsid w:val="001C4395"/>
    <w:rsid w:val="002601F5"/>
    <w:rsid w:val="002A352B"/>
    <w:rsid w:val="002E7991"/>
    <w:rsid w:val="0033509D"/>
    <w:rsid w:val="00356180"/>
    <w:rsid w:val="00366D89"/>
    <w:rsid w:val="00384C81"/>
    <w:rsid w:val="003C28AC"/>
    <w:rsid w:val="003C3A7D"/>
    <w:rsid w:val="003D6302"/>
    <w:rsid w:val="00435E1F"/>
    <w:rsid w:val="00446D43"/>
    <w:rsid w:val="00470CCE"/>
    <w:rsid w:val="0049251C"/>
    <w:rsid w:val="004A6966"/>
    <w:rsid w:val="004A7E33"/>
    <w:rsid w:val="004B12D6"/>
    <w:rsid w:val="004E4399"/>
    <w:rsid w:val="004E58B8"/>
    <w:rsid w:val="00514009"/>
    <w:rsid w:val="00543931"/>
    <w:rsid w:val="00555859"/>
    <w:rsid w:val="005B704D"/>
    <w:rsid w:val="005F0B2D"/>
    <w:rsid w:val="005F71AC"/>
    <w:rsid w:val="00601E69"/>
    <w:rsid w:val="006732D7"/>
    <w:rsid w:val="006B4617"/>
    <w:rsid w:val="006B7872"/>
    <w:rsid w:val="007072C1"/>
    <w:rsid w:val="007150C5"/>
    <w:rsid w:val="00743D5E"/>
    <w:rsid w:val="0078719F"/>
    <w:rsid w:val="007A6548"/>
    <w:rsid w:val="008423CB"/>
    <w:rsid w:val="00863FE2"/>
    <w:rsid w:val="00880B32"/>
    <w:rsid w:val="008977C0"/>
    <w:rsid w:val="008B3DE1"/>
    <w:rsid w:val="008F0567"/>
    <w:rsid w:val="00905140"/>
    <w:rsid w:val="00905ABA"/>
    <w:rsid w:val="00932506"/>
    <w:rsid w:val="00942A19"/>
    <w:rsid w:val="0094430E"/>
    <w:rsid w:val="00956C40"/>
    <w:rsid w:val="00975B94"/>
    <w:rsid w:val="00995196"/>
    <w:rsid w:val="00996C50"/>
    <w:rsid w:val="009E5D03"/>
    <w:rsid w:val="00A13118"/>
    <w:rsid w:val="00A3753D"/>
    <w:rsid w:val="00A61D20"/>
    <w:rsid w:val="00A77B14"/>
    <w:rsid w:val="00AA0114"/>
    <w:rsid w:val="00AA78BC"/>
    <w:rsid w:val="00AB285F"/>
    <w:rsid w:val="00AB710A"/>
    <w:rsid w:val="00B077EC"/>
    <w:rsid w:val="00B3626A"/>
    <w:rsid w:val="00B87951"/>
    <w:rsid w:val="00BB008C"/>
    <w:rsid w:val="00BD7B7D"/>
    <w:rsid w:val="00BE3A23"/>
    <w:rsid w:val="00BF3910"/>
    <w:rsid w:val="00BF6685"/>
    <w:rsid w:val="00C36373"/>
    <w:rsid w:val="00C42663"/>
    <w:rsid w:val="00C71C62"/>
    <w:rsid w:val="00C741F1"/>
    <w:rsid w:val="00C97587"/>
    <w:rsid w:val="00CA2AA1"/>
    <w:rsid w:val="00CD5E22"/>
    <w:rsid w:val="00CE60D6"/>
    <w:rsid w:val="00D003B8"/>
    <w:rsid w:val="00D16C0F"/>
    <w:rsid w:val="00D45267"/>
    <w:rsid w:val="00D66258"/>
    <w:rsid w:val="00D9415E"/>
    <w:rsid w:val="00DC1F32"/>
    <w:rsid w:val="00E14A63"/>
    <w:rsid w:val="00E231D1"/>
    <w:rsid w:val="00E839FC"/>
    <w:rsid w:val="00EC07AE"/>
    <w:rsid w:val="00EE58E0"/>
    <w:rsid w:val="00F0519F"/>
    <w:rsid w:val="00F30054"/>
    <w:rsid w:val="00F918C5"/>
    <w:rsid w:val="00F9233A"/>
    <w:rsid w:val="00FA50C9"/>
    <w:rsid w:val="00FB2FA4"/>
    <w:rsid w:val="00FD6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rsid w:val="00555FC1"/>
    <w:rPr>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rsid w:val="00555FC1"/>
    <w:rPr>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3D6302"/>
    <w:pPr>
      <w:ind w:left="720"/>
      <w:contextualSpacing/>
    </w:pPr>
  </w:style>
  <w:style w:type="paragraph" w:styleId="BalloonText">
    <w:name w:val="Balloon Text"/>
    <w:basedOn w:val="Normal"/>
    <w:link w:val="BalloonTextChar"/>
    <w:uiPriority w:val="99"/>
    <w:semiHidden/>
    <w:rsid w:val="008B3D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DE1"/>
    <w:rPr>
      <w:rFonts w:ascii="Tahoma" w:hAnsi="Tahoma" w:cs="Tahoma"/>
      <w:sz w:val="16"/>
      <w:szCs w:val="16"/>
    </w:rPr>
  </w:style>
  <w:style w:type="character" w:styleId="CommentReference">
    <w:name w:val="annotation reference"/>
    <w:basedOn w:val="DefaultParagraphFont"/>
    <w:uiPriority w:val="99"/>
    <w:semiHidden/>
    <w:rsid w:val="008B3DE1"/>
    <w:rPr>
      <w:rFonts w:cs="Times New Roman"/>
      <w:sz w:val="16"/>
      <w:szCs w:val="16"/>
    </w:rPr>
  </w:style>
  <w:style w:type="paragraph" w:styleId="CommentText">
    <w:name w:val="annotation text"/>
    <w:basedOn w:val="Normal"/>
    <w:link w:val="CommentTextChar"/>
    <w:uiPriority w:val="99"/>
    <w:semiHidden/>
    <w:rsid w:val="008B3DE1"/>
    <w:rPr>
      <w:sz w:val="20"/>
      <w:szCs w:val="20"/>
    </w:rPr>
  </w:style>
  <w:style w:type="character" w:customStyle="1" w:styleId="CommentTextChar">
    <w:name w:val="Comment Text Char"/>
    <w:basedOn w:val="DefaultParagraphFont"/>
    <w:link w:val="CommentText"/>
    <w:uiPriority w:val="99"/>
    <w:semiHidden/>
    <w:locked/>
    <w:rsid w:val="008B3DE1"/>
    <w:rPr>
      <w:rFonts w:cs="Times New Roman"/>
    </w:rPr>
  </w:style>
  <w:style w:type="paragraph" w:styleId="CommentSubject">
    <w:name w:val="annotation subject"/>
    <w:basedOn w:val="CommentText"/>
    <w:next w:val="CommentText"/>
    <w:link w:val="CommentSubjectChar"/>
    <w:uiPriority w:val="99"/>
    <w:semiHidden/>
    <w:rsid w:val="008B3DE1"/>
    <w:rPr>
      <w:b/>
      <w:bCs/>
    </w:rPr>
  </w:style>
  <w:style w:type="character" w:customStyle="1" w:styleId="CommentSubjectChar">
    <w:name w:val="Comment Subject Char"/>
    <w:basedOn w:val="CommentTextChar"/>
    <w:link w:val="CommentSubject"/>
    <w:uiPriority w:val="99"/>
    <w:semiHidden/>
    <w:locked/>
    <w:rsid w:val="008B3DE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7B7D"/>
    <w:pPr>
      <w:tabs>
        <w:tab w:val="center" w:pos="4153"/>
        <w:tab w:val="right" w:pos="8306"/>
      </w:tabs>
    </w:pPr>
    <w:rPr>
      <w:lang w:val="en-US" w:eastAsia="en-US"/>
    </w:rPr>
  </w:style>
  <w:style w:type="character" w:customStyle="1" w:styleId="FooterChar">
    <w:name w:val="Footer Char"/>
    <w:basedOn w:val="DefaultParagraphFont"/>
    <w:link w:val="Footer"/>
    <w:uiPriority w:val="99"/>
    <w:semiHidden/>
    <w:rsid w:val="00555FC1"/>
    <w:rPr>
      <w:sz w:val="24"/>
      <w:szCs w:val="24"/>
    </w:rPr>
  </w:style>
  <w:style w:type="table" w:styleId="TableGrid">
    <w:name w:val="Table Grid"/>
    <w:basedOn w:val="TableNormal"/>
    <w:uiPriority w:val="99"/>
    <w:rsid w:val="000A1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104B0"/>
    <w:pPr>
      <w:tabs>
        <w:tab w:val="center" w:pos="4153"/>
        <w:tab w:val="right" w:pos="8306"/>
      </w:tabs>
    </w:pPr>
  </w:style>
  <w:style w:type="character" w:customStyle="1" w:styleId="HeaderChar">
    <w:name w:val="Header Char"/>
    <w:basedOn w:val="DefaultParagraphFont"/>
    <w:link w:val="Header"/>
    <w:uiPriority w:val="99"/>
    <w:semiHidden/>
    <w:rsid w:val="00555FC1"/>
    <w:rPr>
      <w:sz w:val="24"/>
      <w:szCs w:val="24"/>
    </w:rPr>
  </w:style>
  <w:style w:type="character" w:styleId="PageNumber">
    <w:name w:val="page number"/>
    <w:basedOn w:val="DefaultParagraphFont"/>
    <w:uiPriority w:val="99"/>
    <w:rsid w:val="001C4395"/>
    <w:rPr>
      <w:rFonts w:cs="Times New Roman"/>
    </w:rPr>
  </w:style>
  <w:style w:type="paragraph" w:styleId="BodyTextIndent3">
    <w:name w:val="Body Text Indent 3"/>
    <w:basedOn w:val="Normal"/>
    <w:link w:val="BodyTextIndent3Char"/>
    <w:uiPriority w:val="99"/>
    <w:rsid w:val="00BF6685"/>
    <w:pPr>
      <w:widowControl w:val="0"/>
      <w:spacing w:before="120" w:after="60" w:line="360" w:lineRule="auto"/>
      <w:ind w:firstLine="539"/>
      <w:jc w:val="both"/>
    </w:pPr>
    <w:rPr>
      <w:sz w:val="26"/>
      <w:szCs w:val="20"/>
    </w:rPr>
  </w:style>
  <w:style w:type="character" w:customStyle="1" w:styleId="BodyTextIndent3Char">
    <w:name w:val="Body Text Indent 3 Char"/>
    <w:basedOn w:val="DefaultParagraphFont"/>
    <w:link w:val="BodyTextIndent3"/>
    <w:uiPriority w:val="99"/>
    <w:locked/>
    <w:rsid w:val="00BF6685"/>
    <w:rPr>
      <w:sz w:val="26"/>
      <w:lang w:val="lv-LV"/>
    </w:rPr>
  </w:style>
  <w:style w:type="paragraph" w:styleId="NoSpacing">
    <w:name w:val="No Spacing"/>
    <w:uiPriority w:val="99"/>
    <w:qFormat/>
    <w:rsid w:val="00A61D20"/>
    <w:rPr>
      <w:rFonts w:ascii="Calibri" w:hAnsi="Calibri"/>
      <w:lang w:val="en-US" w:eastAsia="en-US"/>
    </w:rPr>
  </w:style>
  <w:style w:type="paragraph" w:styleId="ListParagraph">
    <w:name w:val="List Paragraph"/>
    <w:basedOn w:val="Normal"/>
    <w:uiPriority w:val="99"/>
    <w:qFormat/>
    <w:rsid w:val="003D6302"/>
    <w:pPr>
      <w:ind w:left="720"/>
      <w:contextualSpacing/>
    </w:pPr>
  </w:style>
  <w:style w:type="paragraph" w:styleId="BalloonText">
    <w:name w:val="Balloon Text"/>
    <w:basedOn w:val="Normal"/>
    <w:link w:val="BalloonTextChar"/>
    <w:uiPriority w:val="99"/>
    <w:semiHidden/>
    <w:rsid w:val="008B3D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DE1"/>
    <w:rPr>
      <w:rFonts w:ascii="Tahoma" w:hAnsi="Tahoma" w:cs="Tahoma"/>
      <w:sz w:val="16"/>
      <w:szCs w:val="16"/>
    </w:rPr>
  </w:style>
  <w:style w:type="character" w:styleId="CommentReference">
    <w:name w:val="annotation reference"/>
    <w:basedOn w:val="DefaultParagraphFont"/>
    <w:uiPriority w:val="99"/>
    <w:semiHidden/>
    <w:rsid w:val="008B3DE1"/>
    <w:rPr>
      <w:rFonts w:cs="Times New Roman"/>
      <w:sz w:val="16"/>
      <w:szCs w:val="16"/>
    </w:rPr>
  </w:style>
  <w:style w:type="paragraph" w:styleId="CommentText">
    <w:name w:val="annotation text"/>
    <w:basedOn w:val="Normal"/>
    <w:link w:val="CommentTextChar"/>
    <w:uiPriority w:val="99"/>
    <w:semiHidden/>
    <w:rsid w:val="008B3DE1"/>
    <w:rPr>
      <w:sz w:val="20"/>
      <w:szCs w:val="20"/>
    </w:rPr>
  </w:style>
  <w:style w:type="character" w:customStyle="1" w:styleId="CommentTextChar">
    <w:name w:val="Comment Text Char"/>
    <w:basedOn w:val="DefaultParagraphFont"/>
    <w:link w:val="CommentText"/>
    <w:uiPriority w:val="99"/>
    <w:semiHidden/>
    <w:locked/>
    <w:rsid w:val="008B3DE1"/>
    <w:rPr>
      <w:rFonts w:cs="Times New Roman"/>
    </w:rPr>
  </w:style>
  <w:style w:type="paragraph" w:styleId="CommentSubject">
    <w:name w:val="annotation subject"/>
    <w:basedOn w:val="CommentText"/>
    <w:next w:val="CommentText"/>
    <w:link w:val="CommentSubjectChar"/>
    <w:uiPriority w:val="99"/>
    <w:semiHidden/>
    <w:rsid w:val="008B3DE1"/>
    <w:rPr>
      <w:b/>
      <w:bCs/>
    </w:rPr>
  </w:style>
  <w:style w:type="character" w:customStyle="1" w:styleId="CommentSubjectChar">
    <w:name w:val="Comment Subject Char"/>
    <w:basedOn w:val="CommentTextChar"/>
    <w:link w:val="CommentSubject"/>
    <w:uiPriority w:val="99"/>
    <w:semiHidden/>
    <w:locked/>
    <w:rsid w:val="008B3DE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0414-EF2B-4904-9A5D-D0E0B826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3742</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"Kuģu aprīkojuma noteikumi"</vt:lpstr>
    </vt:vector>
  </TitlesOfParts>
  <Company>Satiksmes ministrija</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"Kuģu aprīkojuma noteikumi"</dc:title>
  <dc:subject>3 pielikums</dc:subject>
  <dc:creator>Sandra Lielbārde</dc:creator>
  <cp:keywords/>
  <dc:description>L.Rituma 67028198
S.Lielbārde 67062187</dc:description>
  <cp:lastModifiedBy>Laima Rituma</cp:lastModifiedBy>
  <cp:revision>14</cp:revision>
  <cp:lastPrinted>2015-08-12T12:23:00Z</cp:lastPrinted>
  <dcterms:created xsi:type="dcterms:W3CDTF">2016-02-22T13:14:00Z</dcterms:created>
  <dcterms:modified xsi:type="dcterms:W3CDTF">2016-08-12T12:20:00Z</dcterms:modified>
</cp:coreProperties>
</file>