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41DD" w14:textId="77777777" w:rsidR="00E23D20" w:rsidRDefault="00EC3123" w:rsidP="00EC3123">
      <w:pPr>
        <w:pStyle w:val="BodyText"/>
        <w:jc w:val="center"/>
        <w:rPr>
          <w:b/>
          <w:szCs w:val="24"/>
        </w:rPr>
      </w:pPr>
      <w:bookmarkStart w:id="0" w:name="_GoBack"/>
      <w:bookmarkEnd w:id="0"/>
      <w:r w:rsidRPr="00A23971">
        <w:rPr>
          <w:b/>
          <w:szCs w:val="24"/>
        </w:rPr>
        <w:t>Mini</w:t>
      </w:r>
      <w:r w:rsidR="00BC0744" w:rsidRPr="00A23971">
        <w:rPr>
          <w:b/>
          <w:szCs w:val="24"/>
        </w:rPr>
        <w:t>stru kabineta noteikumu projekta</w:t>
      </w:r>
      <w:r w:rsidRPr="00A23971">
        <w:rPr>
          <w:b/>
          <w:szCs w:val="24"/>
        </w:rPr>
        <w:t xml:space="preserve"> </w:t>
      </w:r>
    </w:p>
    <w:p w14:paraId="6E01B843" w14:textId="77777777" w:rsidR="00EC3123" w:rsidRPr="00A23971" w:rsidRDefault="00EC3123" w:rsidP="00EC3123">
      <w:pPr>
        <w:pStyle w:val="BodyText"/>
        <w:jc w:val="center"/>
        <w:rPr>
          <w:b/>
          <w:szCs w:val="24"/>
        </w:rPr>
      </w:pPr>
      <w:r w:rsidRPr="00A23971">
        <w:rPr>
          <w:b/>
          <w:szCs w:val="24"/>
        </w:rPr>
        <w:t>“</w:t>
      </w:r>
      <w:r w:rsidRPr="00A23971">
        <w:rPr>
          <w:b/>
          <w:bCs/>
          <w:szCs w:val="24"/>
        </w:rPr>
        <w:t>Grozījumi Ministru kabineta 2011.gada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p w14:paraId="5306E1A4" w14:textId="77777777" w:rsidR="00BC0744" w:rsidRDefault="00BC0744" w:rsidP="00BC0744">
      <w:pPr>
        <w:pStyle w:val="BodyText"/>
        <w:jc w:val="center"/>
        <w:rPr>
          <w:b/>
          <w:szCs w:val="24"/>
        </w:rPr>
      </w:pPr>
      <w:r w:rsidRPr="00A23971">
        <w:rPr>
          <w:b/>
          <w:szCs w:val="24"/>
        </w:rPr>
        <w:t>sākotnējās ietekmes novēr</w:t>
      </w:r>
      <w:r w:rsidR="00A87601" w:rsidRPr="00A23971">
        <w:rPr>
          <w:b/>
          <w:szCs w:val="24"/>
        </w:rPr>
        <w:t>tējuma ziņojums (anotācija)</w:t>
      </w:r>
    </w:p>
    <w:p w14:paraId="4A0B41CB" w14:textId="77777777" w:rsidR="00A23971" w:rsidRPr="00A23971" w:rsidRDefault="00A23971" w:rsidP="00BC0744">
      <w:pPr>
        <w:pStyle w:val="BodyText"/>
        <w:jc w:val="center"/>
        <w:rPr>
          <w:b/>
          <w:szCs w:val="24"/>
        </w:rPr>
      </w:pPr>
    </w:p>
    <w:tbl>
      <w:tblPr>
        <w:tblStyle w:val="TableGrid"/>
        <w:tblW w:w="0" w:type="auto"/>
        <w:tblLook w:val="04A0" w:firstRow="1" w:lastRow="0" w:firstColumn="1" w:lastColumn="0" w:noHBand="0" w:noVBand="1"/>
      </w:tblPr>
      <w:tblGrid>
        <w:gridCol w:w="456"/>
        <w:gridCol w:w="1807"/>
        <w:gridCol w:w="6796"/>
      </w:tblGrid>
      <w:tr w:rsidR="00326E41" w14:paraId="598FE7C5" w14:textId="77777777" w:rsidTr="00DF11B3">
        <w:tc>
          <w:tcPr>
            <w:tcW w:w="9059" w:type="dxa"/>
            <w:gridSpan w:val="3"/>
          </w:tcPr>
          <w:p w14:paraId="2CE7F432" w14:textId="77777777" w:rsidR="00326E41" w:rsidRDefault="00326E41" w:rsidP="00EC3123">
            <w:pPr>
              <w:pStyle w:val="BodyText"/>
              <w:jc w:val="center"/>
            </w:pPr>
            <w:r>
              <w:rPr>
                <w:b/>
                <w:bCs/>
              </w:rPr>
              <w:t> I. Tiesību akta projekta izstrādes nepieciešamība</w:t>
            </w:r>
          </w:p>
        </w:tc>
      </w:tr>
      <w:tr w:rsidR="00326E41" w14:paraId="48425863" w14:textId="77777777" w:rsidTr="00326E41">
        <w:tc>
          <w:tcPr>
            <w:tcW w:w="456" w:type="dxa"/>
          </w:tcPr>
          <w:p w14:paraId="00BB66F5" w14:textId="77777777" w:rsidR="00326E41" w:rsidRDefault="00326E41" w:rsidP="00326E41">
            <w:pPr>
              <w:pStyle w:val="naiskr"/>
              <w:spacing w:before="20" w:after="20"/>
            </w:pPr>
            <w:r>
              <w:t> 1.</w:t>
            </w:r>
          </w:p>
        </w:tc>
        <w:tc>
          <w:tcPr>
            <w:tcW w:w="1807" w:type="dxa"/>
          </w:tcPr>
          <w:p w14:paraId="3069782E" w14:textId="77777777" w:rsidR="00326E41" w:rsidRDefault="00326E41" w:rsidP="00326E41">
            <w:pPr>
              <w:pStyle w:val="naislab"/>
              <w:spacing w:before="20" w:after="20"/>
              <w:jc w:val="left"/>
            </w:pPr>
            <w:r>
              <w:t xml:space="preserve"> Pamatojums </w:t>
            </w:r>
          </w:p>
        </w:tc>
        <w:tc>
          <w:tcPr>
            <w:tcW w:w="6796" w:type="dxa"/>
          </w:tcPr>
          <w:p w14:paraId="593458DF" w14:textId="77777777" w:rsidR="00326E41" w:rsidRPr="00EC3123" w:rsidRDefault="00326E41" w:rsidP="004E29C0">
            <w:pPr>
              <w:contextualSpacing/>
              <w:jc w:val="both"/>
            </w:pPr>
            <w:r>
              <w:t> </w:t>
            </w:r>
            <w:r w:rsidRPr="001B630A">
              <w:t>Ministru kabineta noteikumu projekts “</w:t>
            </w:r>
            <w:r w:rsidRPr="001B630A">
              <w:rPr>
                <w:bCs/>
              </w:rPr>
              <w:t>Grozījumi Ministru kabineta 2011.gada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Pr>
                <w:bCs/>
              </w:rPr>
              <w:t>” (turpmāk – noteikumu projekts)</w:t>
            </w:r>
            <w:r w:rsidRPr="001B630A">
              <w:rPr>
                <w:bCs/>
              </w:rPr>
              <w:t xml:space="preserve"> </w:t>
            </w:r>
            <w:r w:rsidR="004E29C0">
              <w:rPr>
                <w:bCs/>
              </w:rPr>
              <w:t xml:space="preserve">sagatavots </w:t>
            </w:r>
            <w:r w:rsidRPr="001B630A">
              <w:rPr>
                <w:bCs/>
              </w:rPr>
              <w:t xml:space="preserve"> saskaņā ar </w:t>
            </w:r>
            <w:r w:rsidRPr="001B630A">
              <w:t>Atkritumu apsaimniekošanas likuma 6.panta 2. un 3.punktu un likuma „Par radiācijas drošību un kodoldrošību” 3.panta  trešo daļu</w:t>
            </w:r>
            <w:r>
              <w:t>.</w:t>
            </w:r>
          </w:p>
        </w:tc>
      </w:tr>
      <w:tr w:rsidR="00326E41" w14:paraId="3545F33E" w14:textId="77777777" w:rsidTr="00326E41">
        <w:tc>
          <w:tcPr>
            <w:tcW w:w="456" w:type="dxa"/>
          </w:tcPr>
          <w:p w14:paraId="3445A961" w14:textId="77777777" w:rsidR="00326E41" w:rsidRDefault="00326E41" w:rsidP="00326E41">
            <w:pPr>
              <w:pStyle w:val="naiskr"/>
              <w:spacing w:before="20" w:after="20"/>
            </w:pPr>
            <w:r>
              <w:t> 2.</w:t>
            </w:r>
          </w:p>
        </w:tc>
        <w:tc>
          <w:tcPr>
            <w:tcW w:w="1807" w:type="dxa"/>
          </w:tcPr>
          <w:p w14:paraId="6F7FB8CA" w14:textId="4374D356" w:rsidR="00326E41" w:rsidRDefault="00326E41" w:rsidP="00326E41">
            <w:pPr>
              <w:pStyle w:val="naiskr"/>
              <w:spacing w:before="20" w:after="20"/>
            </w:pPr>
            <w:r>
              <w:t>Pašreizējā situācija un problēmas, kuru risināšanai tiesību akta projekts izstrādāts, tiesiskā regulējuma mērķis un būtība</w:t>
            </w:r>
          </w:p>
        </w:tc>
        <w:tc>
          <w:tcPr>
            <w:tcW w:w="6796" w:type="dxa"/>
          </w:tcPr>
          <w:p w14:paraId="11E11353" w14:textId="4B04D4B2" w:rsidR="00875957" w:rsidRDefault="00875957" w:rsidP="00875957">
            <w:pPr>
              <w:pStyle w:val="BodyText2"/>
              <w:spacing w:after="0" w:line="240" w:lineRule="auto"/>
              <w:jc w:val="both"/>
              <w:rPr>
                <w:lang w:val="lv-LV"/>
              </w:rPr>
            </w:pPr>
            <w:r>
              <w:rPr>
                <w:lang w:val="lv-LV"/>
              </w:rPr>
              <w:t>2012.gadā Valsts vides dienests (turpmāk – VVD) izsniedzis 59 licences melno un krāsaino metālu atgriezumu un lūžņu</w:t>
            </w:r>
            <w:r w:rsidR="002D7E92">
              <w:rPr>
                <w:lang w:val="lv-LV"/>
              </w:rPr>
              <w:t xml:space="preserve"> iepirkšanai Latvijā (turpmāk – </w:t>
            </w:r>
            <w:r>
              <w:rPr>
                <w:lang w:val="lv-LV"/>
              </w:rPr>
              <w:t>licence), 2013.gadā – 26 licences, 2014.</w:t>
            </w:r>
            <w:r w:rsidR="002D7E92">
              <w:rPr>
                <w:lang w:val="lv-LV"/>
              </w:rPr>
              <w:t xml:space="preserve">gadā – 17 licences, 2015.gadā – </w:t>
            </w:r>
            <w:r>
              <w:rPr>
                <w:lang w:val="lv-LV"/>
              </w:rPr>
              <w:t>59 licences.</w:t>
            </w:r>
          </w:p>
          <w:p w14:paraId="02AF0709" w14:textId="0C542DBB" w:rsidR="00875957" w:rsidRDefault="00875957" w:rsidP="00875957">
            <w:pPr>
              <w:pStyle w:val="BodyText2"/>
              <w:spacing w:after="0" w:line="240" w:lineRule="auto"/>
              <w:jc w:val="both"/>
              <w:rPr>
                <w:lang w:val="lv-LV"/>
              </w:rPr>
            </w:pPr>
            <w:r>
              <w:rPr>
                <w:lang w:val="lv-LV"/>
              </w:rPr>
              <w:t>Informācija par izsniegtajām, grozītajām, anulētajām licencēm ir publiski pieejama</w:t>
            </w:r>
            <w:r w:rsidR="00165D5E">
              <w:rPr>
                <w:lang w:val="lv-LV"/>
              </w:rPr>
              <w:t xml:space="preserve"> Valsts vides dienesta tīmekļa vietnē</w:t>
            </w:r>
            <w:r>
              <w:rPr>
                <w:lang w:val="lv-LV"/>
              </w:rPr>
              <w:t xml:space="preserve"> sadaļā „Publikācijas un statistika”, apakšsadaļā „Statistikas dati” </w:t>
            </w:r>
            <w:r w:rsidRPr="001C3762">
              <w:rPr>
                <w:i/>
                <w:lang w:val="lv-LV"/>
              </w:rPr>
              <w:t>Statistika vides aizsardzības un dabas resursu izmantošanas, zvejas, radiācijas drošību un kodoldrošības kontrolē</w:t>
            </w:r>
            <w:r>
              <w:rPr>
                <w:lang w:val="lv-LV"/>
              </w:rPr>
              <w:t xml:space="preserve"> - </w:t>
            </w:r>
            <w:r w:rsidRPr="004F402E">
              <w:rPr>
                <w:lang w:val="lv-LV"/>
              </w:rPr>
              <w:t>http://www.vvd.gov.lv/publikacijas-un-statistika/statistikas-dati/</w:t>
            </w:r>
            <w:r>
              <w:rPr>
                <w:lang w:val="lv-LV"/>
              </w:rPr>
              <w:t>.</w:t>
            </w:r>
          </w:p>
          <w:p w14:paraId="0FAD9A5F" w14:textId="77777777" w:rsidR="00E23D20" w:rsidRDefault="00E23D20" w:rsidP="00326E41">
            <w:pPr>
              <w:spacing w:before="20" w:after="20"/>
              <w:jc w:val="both"/>
            </w:pPr>
          </w:p>
          <w:p w14:paraId="1207E78A" w14:textId="77777777" w:rsidR="00326E41" w:rsidRDefault="00326E41" w:rsidP="00326E41">
            <w:pPr>
              <w:spacing w:before="20" w:after="20"/>
              <w:jc w:val="both"/>
              <w:rPr>
                <w:bCs/>
              </w:rPr>
            </w:pPr>
            <w:r>
              <w:t>Vides aizsardzības un reģionālās attīstības ministrija (turpmāk – VARAM)</w:t>
            </w:r>
            <w:r w:rsidR="00875957">
              <w:t xml:space="preserve"> un VVD</w:t>
            </w:r>
            <w:r>
              <w:t xml:space="preserve"> ir konstatēj</w:t>
            </w:r>
            <w:r w:rsidR="00875957">
              <w:t>is</w:t>
            </w:r>
            <w:r>
              <w:t xml:space="preserve"> šādas problēmas, praksē piemērojot </w:t>
            </w:r>
            <w:r w:rsidRPr="001B630A">
              <w:rPr>
                <w:bCs/>
              </w:rPr>
              <w:t>Ministru kabineta 2011.gada 13.decembra noteikum</w:t>
            </w:r>
            <w:r w:rsidR="004E29C0">
              <w:rPr>
                <w:bCs/>
              </w:rPr>
              <w:t>us</w:t>
            </w:r>
            <w:r w:rsidRPr="001B630A">
              <w:rPr>
                <w:bCs/>
              </w:rPr>
              <w:t xml:space="preserve">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Pr>
                <w:bCs/>
              </w:rPr>
              <w:t xml:space="preserve"> (turpmāk – MK noteikumi Nr.960):</w:t>
            </w:r>
          </w:p>
          <w:p w14:paraId="544A4604" w14:textId="6A3E6E56" w:rsidR="00326E41" w:rsidRPr="00CA17C8" w:rsidRDefault="00326E41" w:rsidP="006F4F83">
            <w:pPr>
              <w:pStyle w:val="ListParagraph"/>
              <w:numPr>
                <w:ilvl w:val="0"/>
                <w:numId w:val="2"/>
              </w:numPr>
              <w:ind w:left="0" w:firstLine="0"/>
              <w:jc w:val="both"/>
            </w:pPr>
            <w:r w:rsidRPr="00CA17C8">
              <w:t xml:space="preserve">atbilstoši Ministru kabineta </w:t>
            </w:r>
            <w:r w:rsidR="006F4F83" w:rsidRPr="006F4F83">
              <w:rPr>
                <w:b/>
              </w:rPr>
              <w:t xml:space="preserve">2015.gada 22.septembra </w:t>
            </w:r>
            <w:r w:rsidR="006F4F83" w:rsidRPr="006F4F83">
              <w:rPr>
                <w:b/>
                <w:bCs/>
              </w:rPr>
              <w:t>noteikumu  Nr.537 “Noteikumi par nodokļu maksātāju un nodokļu maksātāju struktūrvienību reģistrāciju Valsts ieņēmumu dienestā”</w:t>
            </w:r>
            <w:r w:rsidR="006F4F83">
              <w:rPr>
                <w:b/>
                <w:bCs/>
              </w:rPr>
              <w:t xml:space="preserve"> </w:t>
            </w:r>
            <w:r w:rsidR="00960618" w:rsidRPr="00960618">
              <w:rPr>
                <w:b/>
              </w:rPr>
              <w:t>5.2.3</w:t>
            </w:r>
            <w:r w:rsidRPr="00960618">
              <w:rPr>
                <w:b/>
              </w:rPr>
              <w:t>.punktam</w:t>
            </w:r>
            <w:r w:rsidRPr="00CA17C8">
              <w:t xml:space="preserve"> nodokļu maksātāju struktūrvienības Valsts ieņēmumu dienestā reģistrējamas 10 dienu laikā no to izveidošanas dienas atbilstoši tā nodokļu maksātāja juridiskajai adresei, kurš izveidojis struktūrvienību. Saskaņā ar likuma </w:t>
            </w:r>
            <w:r w:rsidR="00047877">
              <w:t>„</w:t>
            </w:r>
            <w:r w:rsidRPr="00CA17C8">
              <w:t xml:space="preserve">Par nodokļiem un nodevām” 1.panta 24.punktā ietverto </w:t>
            </w:r>
            <w:r w:rsidRPr="00CA17C8">
              <w:lastRenderedPageBreak/>
              <w:t>definīciju struktūrvienība ir juridiskās personas vai uz līguma vai norunas pamata izveidotu fizisko un juridisko personu grupu</w:t>
            </w:r>
            <w:r w:rsidR="004E29C0">
              <w:t>,</w:t>
            </w:r>
            <w:r w:rsidRPr="00CA17C8">
              <w:t xml:space="preserve"> vai to pārstāvju (citas personas) teritoriāli nošķirta saimnieciska vienība, kuras atrašanās vietā tiek veikta saimnieciskā darbība Latvijas Republikā vai ārpus tās. </w:t>
            </w:r>
          </w:p>
          <w:p w14:paraId="406CD9BA" w14:textId="77777777" w:rsidR="00326E41" w:rsidRPr="00CA17C8" w:rsidRDefault="00326E41" w:rsidP="00326E41">
            <w:pPr>
              <w:jc w:val="both"/>
            </w:pPr>
            <w:r w:rsidRPr="00CA17C8">
              <w:t xml:space="preserve">Tādējādi </w:t>
            </w:r>
            <w:r>
              <w:t>būtu nepieciešams</w:t>
            </w:r>
            <w:r w:rsidRPr="00CA17C8">
              <w:t xml:space="preserve"> papildināt </w:t>
            </w:r>
            <w:r w:rsidR="00A13D24">
              <w:t xml:space="preserve">MK </w:t>
            </w:r>
            <w:r w:rsidRPr="00CA17C8">
              <w:t>noteikumu</w:t>
            </w:r>
            <w:r w:rsidR="00A13D24">
              <w:t xml:space="preserve"> Nr.960</w:t>
            </w:r>
            <w:r w:rsidRPr="00CA17C8">
              <w:t xml:space="preserve"> 6. un 7.punktu ar prasību iesniegumā norādīt informāciju par noliktavas struktūrvienības reģistrācijas numuru nodokļu maksātāju reģistrā </w:t>
            </w:r>
            <w:r w:rsidRPr="00CA17C8">
              <w:rPr>
                <w:i/>
              </w:rPr>
              <w:t>(ja</w:t>
            </w:r>
            <w:r w:rsidRPr="00CA17C8">
              <w:rPr>
                <w:i/>
                <w:iCs/>
              </w:rPr>
              <w:t xml:space="preserve"> komersanta struktūrvienības adrese nesakrīt </w:t>
            </w:r>
            <w:r>
              <w:rPr>
                <w:i/>
                <w:iCs/>
              </w:rPr>
              <w:t>ar komersanta juridisko adresi)</w:t>
            </w:r>
            <w:r w:rsidRPr="00A87601">
              <w:rPr>
                <w:iCs/>
              </w:rPr>
              <w:t>;</w:t>
            </w:r>
          </w:p>
          <w:p w14:paraId="2AE978FB" w14:textId="1DEFD0C3" w:rsidR="00326E41" w:rsidRPr="00CA17C8" w:rsidRDefault="00326E41" w:rsidP="00326E41">
            <w:pPr>
              <w:pStyle w:val="ListParagraph"/>
              <w:widowControl w:val="0"/>
              <w:numPr>
                <w:ilvl w:val="0"/>
                <w:numId w:val="2"/>
              </w:numPr>
              <w:ind w:left="0" w:firstLine="0"/>
              <w:jc w:val="both"/>
            </w:pPr>
            <w:r>
              <w:t xml:space="preserve">jāprecizē </w:t>
            </w:r>
            <w:r w:rsidRPr="00CA17C8">
              <w:t>MK</w:t>
            </w:r>
            <w:r>
              <w:t xml:space="preserve"> noteikumu Nr.960 11. un 12.punkts, tā kā</w:t>
            </w:r>
            <w:r w:rsidR="00A13D24">
              <w:t xml:space="preserve"> </w:t>
            </w:r>
            <w:r w:rsidRPr="00CA17C8">
              <w:t>VVD iekšējā informācijas sistēma paredz iespēju publicēt izsniegtās licences melno un krāsaino metālu atgriezumu un lūžņu iepirkšanai</w:t>
            </w:r>
            <w:r w:rsidR="00D01E51">
              <w:t xml:space="preserve"> Latvijas Republikas teritorijā (turpmāk – licence)</w:t>
            </w:r>
            <w:r w:rsidRPr="00CA17C8">
              <w:t>, kas faktiski tiek arī darīts. Šajā gadījumā būtu analoģiska rīcība, kā ar izsniegtajām atļaujām A un B kategorijas piesārņojošo darbību veikšanai, tehniskajiem noteikumiem, kas tiek publicēti VVD tīmekļa vietnē.</w:t>
            </w:r>
          </w:p>
          <w:p w14:paraId="59D308CD" w14:textId="68B95941" w:rsidR="00326E41" w:rsidRPr="00CA17C8" w:rsidRDefault="00A13D24" w:rsidP="00326E41">
            <w:pPr>
              <w:pStyle w:val="ListParagraph"/>
              <w:numPr>
                <w:ilvl w:val="0"/>
                <w:numId w:val="2"/>
              </w:numPr>
              <w:ind w:left="0" w:firstLine="0"/>
              <w:jc w:val="both"/>
            </w:pPr>
            <w:r>
              <w:t>MK n</w:t>
            </w:r>
            <w:r w:rsidR="00326E41" w:rsidRPr="00CA17C8">
              <w:t>oteikumu</w:t>
            </w:r>
            <w:r w:rsidR="00326E41">
              <w:t xml:space="preserve"> Nr.960</w:t>
            </w:r>
            <w:r w:rsidR="00326E41" w:rsidRPr="00CA17C8">
              <w:t xml:space="preserve"> 16.punktā ir noteikti licences anulēšanas gadījumi. Vēršam uzmanību, ka atbilstoši likuma </w:t>
            </w:r>
            <w:r w:rsidR="00047877">
              <w:t>„</w:t>
            </w:r>
            <w:r w:rsidR="00326E41" w:rsidRPr="00CA17C8">
              <w:t>Par nodokļiem un nodevām” 34.</w:t>
            </w:r>
            <w:r w:rsidR="00326E41" w:rsidRPr="00330C64">
              <w:rPr>
                <w:vertAlign w:val="superscript"/>
              </w:rPr>
              <w:t>1</w:t>
            </w:r>
            <w:r w:rsidR="00326E41" w:rsidRPr="00CA17C8">
              <w:t xml:space="preserve">panta regulējumam Valsts ieņēmumu dienestam ir tiesības apturēt nodokļu maksātāja saimniecisko darbību, ja ir konstatēts vismaz viens no minētajā tiesību normā uzskaitītajiem pārkāpumiem. Saskaņā ar likuma </w:t>
            </w:r>
            <w:r w:rsidR="00047877">
              <w:t>„</w:t>
            </w:r>
            <w:r w:rsidR="00326E41" w:rsidRPr="00CA17C8">
              <w:t>Par nodokļiem un nodevām” 34.</w:t>
            </w:r>
            <w:r w:rsidR="00326E41" w:rsidRPr="00330C64">
              <w:rPr>
                <w:vertAlign w:val="superscript"/>
              </w:rPr>
              <w:t>1</w:t>
            </w:r>
            <w:r w:rsidR="00326E41" w:rsidRPr="00CA17C8">
              <w:t xml:space="preserve"> panta devīto daļu nodokļu maksātājam, kuram Valsts ieņēmumu dienests apturējis saimniecisko darbību, aizliegts pildīt maksājumu saistības un veikt darījumus, izņemot šā panta desmitajā daļā paredzēto gadījumu. Atbilstoši likuma </w:t>
            </w:r>
            <w:r w:rsidR="00047877">
              <w:t>„</w:t>
            </w:r>
            <w:r w:rsidR="00326E41" w:rsidRPr="00CA17C8">
              <w:t>Par nodokļiem un nodevām” 34.</w:t>
            </w:r>
            <w:r w:rsidR="00326E41" w:rsidRPr="00330C64">
              <w:rPr>
                <w:vertAlign w:val="superscript"/>
              </w:rPr>
              <w:t>1</w:t>
            </w:r>
            <w:r w:rsidR="00326E41" w:rsidRPr="00CA17C8">
              <w:t xml:space="preserve"> panta sestās daļas 4.punktam, Valsts ieņēmumu dienests triju darbdienu laikā pēc lēmuma par nodokļu maksātāja saimnieciskās darbības apturēšanu pieņemšanas iesniedz ministrijām, pašvaldībām un citām institūcijām obligāti izpildāmu prasību apturēt nodokļu maksātājam izsniegto speciālo atļauju (licenci) veikt komercdarbību.</w:t>
            </w:r>
            <w:r>
              <w:t xml:space="preserve"> </w:t>
            </w:r>
            <w:r w:rsidR="00326E41" w:rsidRPr="00CA17C8">
              <w:t xml:space="preserve">Tā kā pēc saimnieciskās darbības apturēšanas komersants nav tiesīgs turpināt to veikt, lai saskaņotu noteikumu un likuma </w:t>
            </w:r>
            <w:r w:rsidR="00047877">
              <w:t>„</w:t>
            </w:r>
            <w:r w:rsidR="00326E41" w:rsidRPr="00CA17C8">
              <w:t>Par nodok</w:t>
            </w:r>
            <w:r w:rsidR="00326E41">
              <w:t>ļiem un nodevām” normas, būtu jāpapildina</w:t>
            </w:r>
            <w:r w:rsidR="00326E41" w:rsidRPr="00CA17C8">
              <w:t xml:space="preserve"> </w:t>
            </w:r>
            <w:r>
              <w:t xml:space="preserve">MK </w:t>
            </w:r>
            <w:r w:rsidR="00326E41" w:rsidRPr="00CA17C8">
              <w:t>noteikumu</w:t>
            </w:r>
            <w:r>
              <w:t xml:space="preserve"> Nr.960</w:t>
            </w:r>
            <w:r w:rsidR="00326E41" w:rsidRPr="00CA17C8">
              <w:t xml:space="preserve"> 16.punktu ar 16.9.apakšpunktu šādā redakcijā:</w:t>
            </w:r>
          </w:p>
          <w:p w14:paraId="10059597" w14:textId="29A20854" w:rsidR="00326E41" w:rsidRDefault="00047877" w:rsidP="00326E41">
            <w:pPr>
              <w:jc w:val="both"/>
            </w:pPr>
            <w:r>
              <w:t>„</w:t>
            </w:r>
            <w:r w:rsidR="00326E41" w:rsidRPr="00CA17C8">
              <w:t>16.9. ir apturēta komersanta saimnieciskā darbība.”.</w:t>
            </w:r>
          </w:p>
          <w:p w14:paraId="414871A9" w14:textId="6FB1C70B" w:rsidR="00326E41" w:rsidRPr="00CA17C8" w:rsidRDefault="00326E41" w:rsidP="00326E41">
            <w:pPr>
              <w:jc w:val="both"/>
            </w:pPr>
            <w:r>
              <w:t>Būtu jāsvītro arī MK noteikumu Nr.960 16.7.</w:t>
            </w:r>
            <w:r w:rsidR="00165D5E">
              <w:t>apakš</w:t>
            </w:r>
            <w:r>
              <w:t>punkts, tā kā s</w:t>
            </w:r>
            <w:r w:rsidRPr="00CA17C8">
              <w:t>askaņā ar Administratīvā procesa likuma 70.panta trešo daļu administratīvais akts ir spēkā tik ilgi, līdz to atceļ, izpilda vai vairs nevar izpildīt sakarā ar faktisko vai tiesisko apstākļu maiņu.</w:t>
            </w:r>
          </w:p>
          <w:p w14:paraId="133D35E4" w14:textId="77777777" w:rsidR="00326E41" w:rsidRPr="00CA17C8" w:rsidRDefault="00326E41" w:rsidP="00326E41">
            <w:pPr>
              <w:pStyle w:val="ListParagraph"/>
              <w:numPr>
                <w:ilvl w:val="0"/>
                <w:numId w:val="2"/>
              </w:numPr>
              <w:ind w:left="0" w:firstLine="0"/>
              <w:jc w:val="both"/>
            </w:pPr>
            <w:r w:rsidRPr="00CA17C8">
              <w:t xml:space="preserve">MK noteikumu </w:t>
            </w:r>
            <w:r w:rsidR="00A13D24">
              <w:t xml:space="preserve">Nr.960 </w:t>
            </w:r>
            <w:r w:rsidRPr="00CA17C8">
              <w:t xml:space="preserve">20.punktā ir noteikta prasība pievienot valsts nodevas samaksu apliecinošu dokumentu. Šādu prasību noteikt nav pamata, jo tā ir pretrunā ar Valsts pārvaldes iekārtas likuma 10.panta astotajā daļā noteikto. Turklāt saskaņā ar Ministru kabineta 2010.gada 12.oktobra noteikumos Nr.972 “Noteikumi par kārtību, kā veicami maksājumi valsts budžetā un tie </w:t>
            </w:r>
            <w:r w:rsidRPr="00CA17C8">
              <w:lastRenderedPageBreak/>
              <w:t>atzīstami par saņemtiem, un prasībām tiešsaistes maksājumu pakalpojumu izmantošanai norēķinos ar valsts budžetu” noteikto regulējumu nodevas iekasētājam ir pienākums pārliecināties, ka personas maksājums ir saņemts attiecīgajā valsts budžeta kontā Valsts kasē. Tādējādi MK noteikumu</w:t>
            </w:r>
            <w:r w:rsidR="00A13D24">
              <w:t xml:space="preserve"> Nr.960</w:t>
            </w:r>
            <w:r w:rsidRPr="00CA17C8">
              <w:t xml:space="preserve"> 20.punktā nepieciešams svītrot vārdus “un komersants vai tā pilnvarota persona ir iesniegusi maksājuma apliecinājuma dokumentu papīra formā vai elektroniski”.</w:t>
            </w:r>
          </w:p>
          <w:p w14:paraId="2E4928F9" w14:textId="48263FB4" w:rsidR="00326E41" w:rsidRDefault="00326E41" w:rsidP="00326E41">
            <w:pPr>
              <w:pStyle w:val="ListParagraph"/>
              <w:numPr>
                <w:ilvl w:val="0"/>
                <w:numId w:val="2"/>
              </w:numPr>
              <w:ind w:left="0" w:firstLine="0"/>
              <w:jc w:val="both"/>
            </w:pPr>
            <w:r>
              <w:t xml:space="preserve">nepieciešams precizēt </w:t>
            </w:r>
            <w:r w:rsidR="00A13D24">
              <w:t xml:space="preserve">MK </w:t>
            </w:r>
            <w:r>
              <w:t xml:space="preserve">noteikumu Nr.960 26.punktu, nosakot, no kādiem komersantiem ir atļauts iepirkt specifiskus, </w:t>
            </w:r>
            <w:r w:rsidR="00A13D24">
              <w:t xml:space="preserve">MK </w:t>
            </w:r>
            <w:r>
              <w:t>noteikumu Nr.960 24.punktā minētos krāsaino metālu lūžņus, lai mazinātu administratīvo slogu komersantiem, kuru saimnieciskā darbība nav saistīta ar melno un krāsaino metālu lūžņu iepirkšanu;</w:t>
            </w:r>
          </w:p>
          <w:p w14:paraId="47B59453" w14:textId="6F2C9907" w:rsidR="00326E41" w:rsidRPr="00B61905" w:rsidRDefault="00A13D24" w:rsidP="00326E41">
            <w:pPr>
              <w:pStyle w:val="ListParagraph"/>
              <w:numPr>
                <w:ilvl w:val="0"/>
                <w:numId w:val="2"/>
              </w:numPr>
              <w:ind w:left="0" w:firstLine="0"/>
              <w:jc w:val="both"/>
            </w:pPr>
            <w:r>
              <w:t>MK n</w:t>
            </w:r>
            <w:r w:rsidR="00326E41">
              <w:t xml:space="preserve">oteikumu Nr.960 </w:t>
            </w:r>
            <w:r w:rsidR="00326E41" w:rsidRPr="00B61905">
              <w:t>42.punkt</w:t>
            </w:r>
            <w:r w:rsidR="00047877">
              <w:t>s</w:t>
            </w:r>
            <w:r w:rsidR="00326E41" w:rsidRPr="00B61905">
              <w:t xml:space="preserve"> notei</w:t>
            </w:r>
            <w:r w:rsidR="00047877">
              <w:t>c</w:t>
            </w:r>
            <w:r w:rsidR="00326E41" w:rsidRPr="00B61905">
              <w:t xml:space="preserve">, ka noteikumos minēto prasību izpildi attiecībā uz radiācijas drošības un kodoldrošības uzraudzību un kontroli Latvijā nodrošina </w:t>
            </w:r>
            <w:r>
              <w:t>VVD</w:t>
            </w:r>
            <w:r w:rsidR="00326E41" w:rsidRPr="00B61905">
              <w:t xml:space="preserve"> Radiācijas drošības centrs. Ievērojot, ka arī citi VVD inspektori nodrošina pārbaudes melno un krāsaino metālu atgriezumu un lūžņu iepirkšanas punktos, tad noteikumu projekts paredz izslēgt atsauci uz Radiācijas drošības centru, paplašinot to inspektoru loku, k</w:t>
            </w:r>
            <w:r w:rsidR="00047877">
              <w:t>uri</w:t>
            </w:r>
            <w:r w:rsidR="00326E41" w:rsidRPr="00B61905">
              <w:t xml:space="preserve"> ir tiesīgi veikt kontroli</w:t>
            </w:r>
            <w:r w:rsidR="00047877">
              <w:t>;</w:t>
            </w:r>
          </w:p>
          <w:p w14:paraId="1C081304" w14:textId="1CF7A652" w:rsidR="00326E41" w:rsidRPr="00B61905" w:rsidRDefault="00047877" w:rsidP="00326E41">
            <w:pPr>
              <w:pStyle w:val="ListParagraph"/>
              <w:numPr>
                <w:ilvl w:val="0"/>
                <w:numId w:val="2"/>
              </w:numPr>
              <w:ind w:left="0" w:firstLine="0"/>
              <w:jc w:val="both"/>
            </w:pPr>
            <w:r>
              <w:t>a</w:t>
            </w:r>
            <w:r w:rsidR="00326E41" w:rsidRPr="00B61905">
              <w:t>r MK noteikumiem Nr.960 ir pārņemtas atsevišķas Padomes 2013.gada 5.decembra Direktīvas 2013/59/</w:t>
            </w:r>
            <w:r w:rsidR="00A13D24" w:rsidRPr="00B61905">
              <w:t>E</w:t>
            </w:r>
            <w:r w:rsidR="00A13D24">
              <w:t>uratom</w:t>
            </w:r>
            <w:r w:rsidR="00326E41" w:rsidRPr="00B61905">
              <w:t>, ar ko nosaka drošības pamatstandartus aizsardzībai pret jonizējošā starojuma radītajiem draudiem un atceļ Direktīvu 89/618/Euratom, Direktīvu 90/641/Euratom, Direktīvu 96/29/Euratom, Direktīvu 97/43/Euratom un Direktīvu 2003/122/Euratom prasības.</w:t>
            </w:r>
          </w:p>
          <w:p w14:paraId="7CCE3247" w14:textId="77777777" w:rsidR="00326E41" w:rsidRDefault="00326E41" w:rsidP="00326E41">
            <w:pPr>
              <w:spacing w:before="20" w:after="20"/>
              <w:jc w:val="both"/>
            </w:pPr>
          </w:p>
          <w:p w14:paraId="0D6BC5FB" w14:textId="77777777" w:rsidR="008B2477" w:rsidRDefault="008B2477" w:rsidP="00326E41">
            <w:pPr>
              <w:spacing w:before="20" w:after="20"/>
              <w:jc w:val="both"/>
            </w:pPr>
            <w:r>
              <w:t>Ar noteikumu projektu paredzēts:</w:t>
            </w:r>
          </w:p>
          <w:p w14:paraId="7A96EF25" w14:textId="63B4462B" w:rsidR="008B2477" w:rsidRDefault="008B2477" w:rsidP="008B2477">
            <w:pPr>
              <w:pStyle w:val="ListParagraph"/>
              <w:numPr>
                <w:ilvl w:val="0"/>
                <w:numId w:val="3"/>
              </w:numPr>
              <w:spacing w:before="20" w:after="20"/>
              <w:jc w:val="both"/>
            </w:pPr>
            <w:r>
              <w:t xml:space="preserve"> precizēt noteikumu Nr.960 6.un 7.punktu saistībā ar informācijas sniegšanu par metāllūžņu noliktavas struktūrvienības reģistrācijas numuru nodokļu maksātāju reģistrā, ja komersanta struktūrvienības adrese nesakrīt ar komersanta juridisko adresi</w:t>
            </w:r>
            <w:r w:rsidR="00FB3087">
              <w:t>;</w:t>
            </w:r>
          </w:p>
          <w:p w14:paraId="0B614ACB" w14:textId="77777777" w:rsidR="008B2477" w:rsidRDefault="008B2477" w:rsidP="008B2477">
            <w:pPr>
              <w:pStyle w:val="ListParagraph"/>
              <w:numPr>
                <w:ilvl w:val="0"/>
                <w:numId w:val="3"/>
              </w:numPr>
              <w:spacing w:before="20" w:after="20"/>
              <w:jc w:val="both"/>
            </w:pPr>
            <w:r>
              <w:t xml:space="preserve">precizēt, ka </w:t>
            </w:r>
            <w:r w:rsidR="00A13D24">
              <w:t>VVD</w:t>
            </w:r>
            <w:r w:rsidR="00D01E51">
              <w:t xml:space="preserve"> trīs darbdienu laikā</w:t>
            </w:r>
            <w:r>
              <w:t xml:space="preserve"> ievieto savā tīmekļa vietnē informāciju par izsniegtajām </w:t>
            </w:r>
            <w:r w:rsidR="00D01E51">
              <w:t>licencēm, to grozījumiem un licenču anulēšanu;</w:t>
            </w:r>
          </w:p>
          <w:p w14:paraId="2E7EF409" w14:textId="77777777" w:rsidR="00D01E51" w:rsidRDefault="00D01E51" w:rsidP="008B2477">
            <w:pPr>
              <w:pStyle w:val="ListParagraph"/>
              <w:numPr>
                <w:ilvl w:val="0"/>
                <w:numId w:val="3"/>
              </w:numPr>
              <w:spacing w:before="20" w:after="20"/>
              <w:jc w:val="both"/>
            </w:pPr>
            <w:r>
              <w:t xml:space="preserve">precizēt nosacījumus, kad </w:t>
            </w:r>
            <w:r w:rsidR="00A13D24">
              <w:t>VVD</w:t>
            </w:r>
            <w:r>
              <w:t xml:space="preserve"> pieņem lēmumu anulēt  licenci;</w:t>
            </w:r>
          </w:p>
          <w:p w14:paraId="5764D024" w14:textId="15F4CA2C" w:rsidR="00D01E51" w:rsidRDefault="00D01E51" w:rsidP="008B2477">
            <w:pPr>
              <w:pStyle w:val="ListParagraph"/>
              <w:numPr>
                <w:ilvl w:val="0"/>
                <w:numId w:val="3"/>
              </w:numPr>
              <w:spacing w:before="20" w:after="20"/>
              <w:jc w:val="both"/>
            </w:pPr>
            <w:r>
              <w:t>svītrot prasīb</w:t>
            </w:r>
            <w:r w:rsidR="00047877">
              <w:t>u</w:t>
            </w:r>
            <w:r>
              <w:t xml:space="preserve"> komersantam iesniegt </w:t>
            </w:r>
            <w:r w:rsidR="00A13D24">
              <w:t>VVD</w:t>
            </w:r>
            <w:r>
              <w:t xml:space="preserve"> maksājuma apliecinājuma dokumentu papīra formā</w:t>
            </w:r>
            <w:r w:rsidR="00C9573C">
              <w:t xml:space="preserve"> vai elektroniski</w:t>
            </w:r>
            <w:r>
              <w:t>;</w:t>
            </w:r>
          </w:p>
          <w:p w14:paraId="5191CADF" w14:textId="4399CD65" w:rsidR="00D01E51" w:rsidRDefault="00D01E51" w:rsidP="008B2477">
            <w:pPr>
              <w:pStyle w:val="ListParagraph"/>
              <w:numPr>
                <w:ilvl w:val="0"/>
                <w:numId w:val="3"/>
              </w:numPr>
              <w:spacing w:before="20" w:after="20"/>
              <w:jc w:val="both"/>
            </w:pPr>
            <w:r>
              <w:t xml:space="preserve">precizēt, ka </w:t>
            </w:r>
            <w:r w:rsidR="00FB3087">
              <w:t xml:space="preserve">atbilstoši </w:t>
            </w:r>
            <w:r w:rsidR="00A13D24">
              <w:t xml:space="preserve">MK </w:t>
            </w:r>
            <w:r>
              <w:t>noteikumu Nr.960 24.punkt</w:t>
            </w:r>
            <w:r w:rsidR="00FB3087">
              <w:t>am</w:t>
            </w:r>
            <w:r>
              <w:t xml:space="preserve"> specifiskos metāllūžņu veidus komersanti drīkst iepirkt tikai no tāda komersanta, kuram ir vai nu licence lūžņu iepirkšanai, licence elektroenerģijas pārvadei vai sadalei, vai apliecinājums par lūžņu izcelsmi, kas radušies saimnieciskās darbības rezultātā</w:t>
            </w:r>
            <w:r w:rsidR="00FB3087">
              <w:t>;</w:t>
            </w:r>
            <w:r>
              <w:t xml:space="preserve"> </w:t>
            </w:r>
          </w:p>
          <w:p w14:paraId="6120A606" w14:textId="7E697740" w:rsidR="00D01E51" w:rsidRDefault="00FB3087" w:rsidP="008B2477">
            <w:pPr>
              <w:pStyle w:val="ListParagraph"/>
              <w:numPr>
                <w:ilvl w:val="0"/>
                <w:numId w:val="3"/>
              </w:numPr>
              <w:spacing w:before="20" w:after="20"/>
              <w:jc w:val="both"/>
            </w:pPr>
            <w:r>
              <w:t>p</w:t>
            </w:r>
            <w:r w:rsidR="00D01E51">
              <w:t xml:space="preserve">recizēt, ka radiācijas un kodoldrošības uzraudzību un kontroli veic </w:t>
            </w:r>
            <w:r w:rsidR="00A13D24">
              <w:t>VVD</w:t>
            </w:r>
            <w:r w:rsidR="00D01E51">
              <w:t>;</w:t>
            </w:r>
          </w:p>
          <w:p w14:paraId="3C8E2C4A" w14:textId="2F10D11B" w:rsidR="00D01E51" w:rsidRPr="00F02D07" w:rsidRDefault="00FB3087" w:rsidP="008B2477">
            <w:pPr>
              <w:pStyle w:val="ListParagraph"/>
              <w:numPr>
                <w:ilvl w:val="0"/>
                <w:numId w:val="3"/>
              </w:numPr>
              <w:spacing w:before="20" w:after="20"/>
              <w:jc w:val="both"/>
            </w:pPr>
            <w:r>
              <w:lastRenderedPageBreak/>
              <w:t>p</w:t>
            </w:r>
            <w:r w:rsidR="00D01E51">
              <w:t>recizēt informatīvo atsauci uz Eiropas Savienības direktīvām.</w:t>
            </w:r>
          </w:p>
        </w:tc>
      </w:tr>
      <w:tr w:rsidR="00326E41" w14:paraId="4CF231E9" w14:textId="77777777" w:rsidTr="00326E41">
        <w:tc>
          <w:tcPr>
            <w:tcW w:w="456" w:type="dxa"/>
          </w:tcPr>
          <w:p w14:paraId="57915BA0" w14:textId="77777777" w:rsidR="00326E41" w:rsidRPr="00C72DBF" w:rsidRDefault="00326E41" w:rsidP="00326E41">
            <w:pPr>
              <w:pStyle w:val="BodyText"/>
              <w:jc w:val="center"/>
              <w:rPr>
                <w:szCs w:val="24"/>
              </w:rPr>
            </w:pPr>
            <w:r w:rsidRPr="00C72DBF">
              <w:rPr>
                <w:szCs w:val="24"/>
              </w:rPr>
              <w:lastRenderedPageBreak/>
              <w:t>3.</w:t>
            </w:r>
          </w:p>
        </w:tc>
        <w:tc>
          <w:tcPr>
            <w:tcW w:w="1807" w:type="dxa"/>
          </w:tcPr>
          <w:p w14:paraId="7E74FB9D" w14:textId="77777777" w:rsidR="00326E41" w:rsidRPr="00C72DBF" w:rsidRDefault="00326E41" w:rsidP="00326E41">
            <w:pPr>
              <w:pStyle w:val="naiskr"/>
              <w:spacing w:before="20" w:after="20"/>
            </w:pPr>
            <w:r w:rsidRPr="00EC7832">
              <w:t xml:space="preserve">Projekta izstrādē iesaistītās </w:t>
            </w:r>
            <w:r>
              <w:t>institūcijas</w:t>
            </w:r>
          </w:p>
        </w:tc>
        <w:tc>
          <w:tcPr>
            <w:tcW w:w="6796" w:type="dxa"/>
          </w:tcPr>
          <w:p w14:paraId="68E5A4DA" w14:textId="77777777" w:rsidR="00326E41" w:rsidRDefault="00875957" w:rsidP="00326E41">
            <w:pPr>
              <w:pStyle w:val="BodyText"/>
              <w:rPr>
                <w:b/>
                <w:szCs w:val="24"/>
              </w:rPr>
            </w:pPr>
            <w:r>
              <w:t>VARAM, VVD</w:t>
            </w:r>
          </w:p>
        </w:tc>
      </w:tr>
      <w:tr w:rsidR="00326E41" w14:paraId="190EFB93" w14:textId="77777777" w:rsidTr="00326E41">
        <w:tc>
          <w:tcPr>
            <w:tcW w:w="456" w:type="dxa"/>
          </w:tcPr>
          <w:p w14:paraId="02719502" w14:textId="77777777" w:rsidR="00326E41" w:rsidRPr="00C72DBF" w:rsidRDefault="00326E41" w:rsidP="00326E41">
            <w:pPr>
              <w:pStyle w:val="BodyText"/>
              <w:jc w:val="both"/>
              <w:rPr>
                <w:szCs w:val="24"/>
              </w:rPr>
            </w:pPr>
            <w:r w:rsidRPr="00C72DBF">
              <w:rPr>
                <w:szCs w:val="24"/>
              </w:rPr>
              <w:t>4.</w:t>
            </w:r>
          </w:p>
        </w:tc>
        <w:tc>
          <w:tcPr>
            <w:tcW w:w="1807" w:type="dxa"/>
          </w:tcPr>
          <w:p w14:paraId="5A6E2DA4" w14:textId="77777777" w:rsidR="00326E41" w:rsidRDefault="00326E41" w:rsidP="00326E41">
            <w:pPr>
              <w:pStyle w:val="BodyText"/>
              <w:jc w:val="both"/>
              <w:rPr>
                <w:b/>
                <w:szCs w:val="24"/>
              </w:rPr>
            </w:pPr>
            <w:r>
              <w:t>Cita informācija</w:t>
            </w:r>
          </w:p>
        </w:tc>
        <w:tc>
          <w:tcPr>
            <w:tcW w:w="6796" w:type="dxa"/>
          </w:tcPr>
          <w:p w14:paraId="4FD9C419" w14:textId="77777777" w:rsidR="00326E41" w:rsidRDefault="00326E41" w:rsidP="00326E41">
            <w:pPr>
              <w:pStyle w:val="BodyText"/>
              <w:jc w:val="both"/>
              <w:rPr>
                <w:szCs w:val="24"/>
              </w:rPr>
            </w:pPr>
            <w:r>
              <w:rPr>
                <w:szCs w:val="24"/>
              </w:rPr>
              <w:t>Nav</w:t>
            </w:r>
          </w:p>
          <w:p w14:paraId="7044C38D" w14:textId="77777777" w:rsidR="00326E41" w:rsidRDefault="00326E41" w:rsidP="00326E41">
            <w:pPr>
              <w:pStyle w:val="BodyText"/>
              <w:jc w:val="both"/>
              <w:rPr>
                <w:b/>
                <w:szCs w:val="24"/>
              </w:rPr>
            </w:pPr>
          </w:p>
        </w:tc>
      </w:tr>
    </w:tbl>
    <w:p w14:paraId="6ED5F9E9" w14:textId="77777777" w:rsidR="00EC3123" w:rsidRPr="00BC0744" w:rsidRDefault="00EC3123" w:rsidP="00EC3123">
      <w:pPr>
        <w:pStyle w:val="BodyText"/>
        <w:jc w:val="center"/>
      </w:pPr>
    </w:p>
    <w:p w14:paraId="21E152BD" w14:textId="77777777" w:rsidR="00EC3123" w:rsidRPr="00951F69" w:rsidRDefault="00EC3123" w:rsidP="00EC3123">
      <w:pPr>
        <w:pStyle w:val="BodyText"/>
        <w:jc w:val="center"/>
        <w:rPr>
          <w:b/>
          <w:szCs w:val="24"/>
        </w:rPr>
      </w:pPr>
    </w:p>
    <w:tbl>
      <w:tblPr>
        <w:tblStyle w:val="TableGrid"/>
        <w:tblW w:w="9356" w:type="dxa"/>
        <w:tblInd w:w="-147" w:type="dxa"/>
        <w:tblLook w:val="04A0" w:firstRow="1" w:lastRow="0" w:firstColumn="1" w:lastColumn="0" w:noHBand="0" w:noVBand="1"/>
      </w:tblPr>
      <w:tblGrid>
        <w:gridCol w:w="426"/>
        <w:gridCol w:w="2005"/>
        <w:gridCol w:w="6925"/>
      </w:tblGrid>
      <w:tr w:rsidR="00D01E51" w14:paraId="7D25CF5A" w14:textId="77777777" w:rsidTr="00BC38FA">
        <w:tc>
          <w:tcPr>
            <w:tcW w:w="9356" w:type="dxa"/>
            <w:gridSpan w:val="3"/>
          </w:tcPr>
          <w:p w14:paraId="3150A063" w14:textId="77777777" w:rsidR="00D01E51" w:rsidRPr="00C72DBF" w:rsidRDefault="00D01E51" w:rsidP="00BC38FA">
            <w:pPr>
              <w:pStyle w:val="naisf"/>
              <w:spacing w:before="0" w:after="0"/>
              <w:ind w:firstLine="0"/>
              <w:jc w:val="center"/>
              <w:rPr>
                <w:b/>
              </w:rPr>
            </w:pPr>
            <w:r w:rsidRPr="00C72DBF">
              <w:rPr>
                <w:b/>
              </w:rPr>
              <w:t>II. Tiesību akta projekta ietekme uz sabiedrību, tautsaimniecības attīstību un administratīvo slogu</w:t>
            </w:r>
          </w:p>
        </w:tc>
      </w:tr>
      <w:tr w:rsidR="00D01E51" w14:paraId="35720638" w14:textId="77777777" w:rsidTr="00BC38FA">
        <w:tc>
          <w:tcPr>
            <w:tcW w:w="426" w:type="dxa"/>
          </w:tcPr>
          <w:p w14:paraId="2E90A449" w14:textId="77777777" w:rsidR="00D01E51" w:rsidRDefault="00D01E51" w:rsidP="00BC38FA">
            <w:pPr>
              <w:pStyle w:val="naisf"/>
              <w:spacing w:before="0" w:after="0"/>
              <w:ind w:firstLine="0"/>
            </w:pPr>
            <w:r>
              <w:t>1.</w:t>
            </w:r>
          </w:p>
        </w:tc>
        <w:tc>
          <w:tcPr>
            <w:tcW w:w="2005" w:type="dxa"/>
          </w:tcPr>
          <w:p w14:paraId="7DFB5045" w14:textId="77777777" w:rsidR="00D01E51" w:rsidRDefault="00D01E51" w:rsidP="00BC38FA">
            <w:pPr>
              <w:pStyle w:val="naiskr"/>
              <w:spacing w:before="20" w:after="20"/>
              <w:jc w:val="both"/>
            </w:pPr>
            <w:r w:rsidRPr="005F6894">
              <w:t xml:space="preserve">Sabiedrības mērķgrupas, </w:t>
            </w:r>
          </w:p>
          <w:p w14:paraId="2D435969" w14:textId="77777777" w:rsidR="00D01E51" w:rsidRDefault="00D01E51" w:rsidP="00BC38FA">
            <w:pPr>
              <w:pStyle w:val="naisf"/>
              <w:spacing w:before="0" w:after="0"/>
              <w:ind w:firstLine="0"/>
            </w:pPr>
            <w:r w:rsidRPr="005F6894">
              <w:t>kuras tiesiskais regulējums ietekmē vai varētu ietekmēt</w:t>
            </w:r>
          </w:p>
        </w:tc>
        <w:tc>
          <w:tcPr>
            <w:tcW w:w="6925" w:type="dxa"/>
          </w:tcPr>
          <w:p w14:paraId="0BC9CBD1" w14:textId="77777777" w:rsidR="00D01E51" w:rsidRDefault="00D01E51" w:rsidP="00BC38FA">
            <w:pPr>
              <w:pStyle w:val="naisf"/>
              <w:spacing w:before="0" w:after="0"/>
              <w:ind w:firstLine="0"/>
            </w:pPr>
            <w:r>
              <w:t>Komersanti, kuriem ir izsniegtas licences</w:t>
            </w:r>
            <w:r w:rsidR="00FB3087">
              <w:t>.</w:t>
            </w:r>
          </w:p>
          <w:p w14:paraId="579CCD04" w14:textId="77777777" w:rsidR="00D01E51" w:rsidRDefault="00D01E51" w:rsidP="00BC38FA">
            <w:pPr>
              <w:pStyle w:val="naisf"/>
              <w:spacing w:before="0" w:after="0"/>
              <w:ind w:firstLine="0"/>
            </w:pPr>
            <w:r>
              <w:t xml:space="preserve">Privātpersonas, kuru saimnieciskās </w:t>
            </w:r>
            <w:r w:rsidR="00D46B15">
              <w:t xml:space="preserve">darbības rezultātā rodas melno un krāsaino metālu lūžņi. </w:t>
            </w:r>
            <w:r>
              <w:t xml:space="preserve"> </w:t>
            </w:r>
          </w:p>
        </w:tc>
      </w:tr>
      <w:tr w:rsidR="00D01E51" w14:paraId="44AE5A79" w14:textId="77777777" w:rsidTr="00BC38FA">
        <w:tc>
          <w:tcPr>
            <w:tcW w:w="426" w:type="dxa"/>
          </w:tcPr>
          <w:p w14:paraId="72655E2B" w14:textId="77777777" w:rsidR="00D01E51" w:rsidRDefault="00D01E51" w:rsidP="00BC38FA">
            <w:pPr>
              <w:pStyle w:val="naisf"/>
              <w:spacing w:before="0" w:after="0"/>
              <w:ind w:firstLine="0"/>
            </w:pPr>
            <w:r>
              <w:t>2.</w:t>
            </w:r>
          </w:p>
        </w:tc>
        <w:tc>
          <w:tcPr>
            <w:tcW w:w="2005" w:type="dxa"/>
          </w:tcPr>
          <w:p w14:paraId="35DA90EE" w14:textId="77777777" w:rsidR="00D01E51" w:rsidRPr="00677E9D" w:rsidRDefault="00D01E51" w:rsidP="00BC38FA">
            <w:pPr>
              <w:pStyle w:val="naiskr"/>
              <w:spacing w:before="20" w:after="20"/>
              <w:jc w:val="both"/>
              <w:rPr>
                <w:rFonts w:ascii="Arial" w:hAnsi="Arial" w:cs="Arial"/>
                <w:color w:val="414142"/>
                <w:sz w:val="20"/>
                <w:szCs w:val="20"/>
                <w:shd w:val="clear" w:color="auto" w:fill="FFFFFF"/>
              </w:rPr>
            </w:pPr>
            <w:r w:rsidRPr="006B1707">
              <w:t>Tiesiskā regulējuma ietekme uz tautsaimniecību un administratīvo slogu</w:t>
            </w:r>
          </w:p>
        </w:tc>
        <w:tc>
          <w:tcPr>
            <w:tcW w:w="6925" w:type="dxa"/>
          </w:tcPr>
          <w:p w14:paraId="1CF6D74D" w14:textId="70547886" w:rsidR="00D01E51" w:rsidRDefault="000208D1" w:rsidP="000208D1">
            <w:pPr>
              <w:jc w:val="both"/>
            </w:pPr>
            <w:r>
              <w:t>Noteikumu projekts neparedz ieviest jaunas administratīvās procedūras. Sabiedrības grupām un institūcijām projekta tiesiskais regulējums nemaina tiesības un pienākumus, kā arī veicamās darbības.</w:t>
            </w:r>
          </w:p>
        </w:tc>
      </w:tr>
      <w:tr w:rsidR="00D01E51" w14:paraId="1B17808D" w14:textId="77777777" w:rsidTr="00BC38FA">
        <w:tc>
          <w:tcPr>
            <w:tcW w:w="426" w:type="dxa"/>
          </w:tcPr>
          <w:p w14:paraId="6FD1A1F4" w14:textId="77777777" w:rsidR="00D01E51" w:rsidRDefault="00D01E51" w:rsidP="00BC38FA">
            <w:pPr>
              <w:pStyle w:val="naisf"/>
              <w:spacing w:before="0" w:after="0"/>
              <w:ind w:firstLine="0"/>
            </w:pPr>
            <w:r>
              <w:t>3.</w:t>
            </w:r>
          </w:p>
        </w:tc>
        <w:tc>
          <w:tcPr>
            <w:tcW w:w="2005" w:type="dxa"/>
          </w:tcPr>
          <w:p w14:paraId="583F1137" w14:textId="77777777" w:rsidR="00D01E51" w:rsidRDefault="00D01E51" w:rsidP="00BC38FA">
            <w:pPr>
              <w:pStyle w:val="naisf"/>
              <w:spacing w:before="0" w:after="0"/>
              <w:ind w:firstLine="0"/>
            </w:pPr>
            <w:r>
              <w:t>Administratīvo izmaksu monetārs novērtējums</w:t>
            </w:r>
          </w:p>
        </w:tc>
        <w:tc>
          <w:tcPr>
            <w:tcW w:w="6925" w:type="dxa"/>
          </w:tcPr>
          <w:p w14:paraId="1A1D4AAC" w14:textId="73A0A8E8" w:rsidR="001F088B" w:rsidRPr="001F088B" w:rsidRDefault="001F088B" w:rsidP="000208D1">
            <w:pPr>
              <w:jc w:val="both"/>
              <w:rPr>
                <w:b/>
                <w:bCs/>
              </w:rPr>
            </w:pPr>
            <w:r w:rsidRPr="001F088B">
              <w:rPr>
                <w:b/>
                <w:bCs/>
              </w:rPr>
              <w:t>Noteikumu projekta 6. un 7. punktā noteikts pienākums Valsts vides dienestam ievietot informāciju Valsts vides dienesta tīmekļa vietnē noteiktā laika termiņā. Iepriekšminētās darbības uzskatāmas par administratīvajām izmaksām valsts pārvaldei</w:t>
            </w:r>
          </w:p>
          <w:p w14:paraId="70C663C0" w14:textId="77777777" w:rsidR="001F088B" w:rsidRPr="001F088B" w:rsidRDefault="001F088B" w:rsidP="000208D1">
            <w:pPr>
              <w:jc w:val="both"/>
              <w:rPr>
                <w:b/>
                <w:bCs/>
              </w:rPr>
            </w:pPr>
          </w:p>
          <w:p w14:paraId="05EDB098" w14:textId="77777777" w:rsidR="001F088B" w:rsidRPr="001F088B" w:rsidRDefault="001F088B" w:rsidP="000208D1">
            <w:pPr>
              <w:jc w:val="both"/>
              <w:rPr>
                <w:b/>
              </w:rPr>
            </w:pPr>
            <w:r w:rsidRPr="001F088B">
              <w:rPr>
                <w:b/>
              </w:rPr>
              <w:t>F - Vidējā alga vispārējā vadības sektorā, stundas likme 5,05euro</w:t>
            </w:r>
          </w:p>
          <w:p w14:paraId="0A9C63CE" w14:textId="77777777" w:rsidR="001F088B" w:rsidRPr="001F088B" w:rsidRDefault="001F088B" w:rsidP="000208D1">
            <w:pPr>
              <w:jc w:val="both"/>
              <w:rPr>
                <w:b/>
              </w:rPr>
            </w:pPr>
            <w:r w:rsidRPr="001F088B">
              <w:rPr>
                <w:b/>
              </w:rPr>
              <w:t>L – nepieciešamais laiks informācijas sagatavošanai  - 178,2 stundas gadā</w:t>
            </w:r>
          </w:p>
          <w:p w14:paraId="2CAD8C3C" w14:textId="77777777" w:rsidR="001F088B" w:rsidRPr="001F088B" w:rsidRDefault="001F088B" w:rsidP="000208D1">
            <w:pPr>
              <w:jc w:val="both"/>
              <w:rPr>
                <w:b/>
              </w:rPr>
            </w:pPr>
            <w:r w:rsidRPr="001F088B">
              <w:rPr>
                <w:b/>
              </w:rPr>
              <w:t>N – subjektu skaits – 1 Valsts vides dienests</w:t>
            </w:r>
          </w:p>
          <w:p w14:paraId="18E9AEB1" w14:textId="77777777" w:rsidR="001F088B" w:rsidRPr="001F088B" w:rsidRDefault="001F088B" w:rsidP="000208D1">
            <w:pPr>
              <w:jc w:val="both"/>
              <w:rPr>
                <w:b/>
              </w:rPr>
            </w:pPr>
            <w:r w:rsidRPr="001F088B">
              <w:rPr>
                <w:b/>
              </w:rPr>
              <w:t>b- informācijas sniegšanas biežums – 1 reizi</w:t>
            </w:r>
          </w:p>
          <w:p w14:paraId="57DF8E6C" w14:textId="77777777" w:rsidR="001F088B" w:rsidRPr="001F088B" w:rsidRDefault="001F088B" w:rsidP="000208D1">
            <w:pPr>
              <w:jc w:val="both"/>
              <w:rPr>
                <w:b/>
              </w:rPr>
            </w:pPr>
            <w:r w:rsidRPr="001F088B">
              <w:rPr>
                <w:b/>
              </w:rPr>
              <w:t>C = (f x l) x (n x b)</w:t>
            </w:r>
          </w:p>
          <w:p w14:paraId="3667A212" w14:textId="77777777" w:rsidR="001F088B" w:rsidRPr="001F088B" w:rsidRDefault="001F088B" w:rsidP="000208D1">
            <w:pPr>
              <w:jc w:val="both"/>
              <w:rPr>
                <w:b/>
              </w:rPr>
            </w:pPr>
          </w:p>
          <w:p w14:paraId="40C16867" w14:textId="77777777" w:rsidR="001F088B" w:rsidRPr="001F088B" w:rsidRDefault="001F088B" w:rsidP="000208D1">
            <w:pPr>
              <w:jc w:val="both"/>
              <w:rPr>
                <w:b/>
              </w:rPr>
            </w:pPr>
            <w:r w:rsidRPr="001F088B">
              <w:rPr>
                <w:b/>
              </w:rPr>
              <w:t>C= (5,05 x 178,2) x (1X1) =  899,23 eiro</w:t>
            </w:r>
          </w:p>
          <w:p w14:paraId="06844353" w14:textId="745C75BA" w:rsidR="00D01E51" w:rsidRDefault="00D01E51" w:rsidP="001F088B">
            <w:pPr>
              <w:pStyle w:val="naisf"/>
              <w:spacing w:before="0" w:after="0"/>
              <w:ind w:firstLine="0"/>
            </w:pPr>
          </w:p>
        </w:tc>
      </w:tr>
      <w:tr w:rsidR="00D01E51" w14:paraId="7918A949" w14:textId="77777777" w:rsidTr="00BC38FA">
        <w:tc>
          <w:tcPr>
            <w:tcW w:w="426" w:type="dxa"/>
          </w:tcPr>
          <w:p w14:paraId="6FAB59F1" w14:textId="77777777" w:rsidR="00D01E51" w:rsidRPr="0076463B" w:rsidRDefault="00D01E51" w:rsidP="00BC38FA">
            <w:pPr>
              <w:pStyle w:val="naisf"/>
              <w:spacing w:before="0" w:after="0"/>
              <w:ind w:firstLine="0"/>
            </w:pPr>
            <w:r w:rsidRPr="0076463B">
              <w:t>4.</w:t>
            </w:r>
          </w:p>
        </w:tc>
        <w:tc>
          <w:tcPr>
            <w:tcW w:w="2005" w:type="dxa"/>
          </w:tcPr>
          <w:p w14:paraId="1BA65FA6" w14:textId="77777777" w:rsidR="00D01E51" w:rsidRDefault="00D01E51" w:rsidP="00BC38FA">
            <w:pPr>
              <w:pStyle w:val="naisf"/>
              <w:spacing w:before="0" w:after="0"/>
              <w:ind w:firstLine="0"/>
            </w:pPr>
            <w:r>
              <w:t> Cita</w:t>
            </w:r>
            <w:r w:rsidRPr="0076463B">
              <w:t xml:space="preserve"> informācija</w:t>
            </w:r>
          </w:p>
        </w:tc>
        <w:tc>
          <w:tcPr>
            <w:tcW w:w="6925" w:type="dxa"/>
          </w:tcPr>
          <w:p w14:paraId="58B028C3" w14:textId="77777777" w:rsidR="00D01E51" w:rsidRPr="0076463B" w:rsidRDefault="00D01E51" w:rsidP="00BC38FA">
            <w:pPr>
              <w:pStyle w:val="naisf"/>
              <w:spacing w:before="0" w:after="0"/>
              <w:ind w:firstLine="0"/>
            </w:pPr>
            <w:r>
              <w:t> Nav</w:t>
            </w:r>
          </w:p>
        </w:tc>
      </w:tr>
    </w:tbl>
    <w:p w14:paraId="42235DAA" w14:textId="77777777" w:rsidR="00EC3123" w:rsidRDefault="00EC3123" w:rsidP="00EC3123">
      <w:pPr>
        <w:pStyle w:val="naisc"/>
        <w:spacing w:before="0" w:after="0"/>
      </w:pPr>
    </w:p>
    <w:p w14:paraId="61CD1E3E" w14:textId="77777777" w:rsidR="00EC3123" w:rsidRDefault="00EC3123" w:rsidP="00EC3123">
      <w:pPr>
        <w:pStyle w:val="naisc"/>
        <w:spacing w:before="0" w:after="0"/>
      </w:pPr>
    </w:p>
    <w:tbl>
      <w:tblPr>
        <w:tblW w:w="943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1"/>
        <w:gridCol w:w="1763"/>
        <w:gridCol w:w="255"/>
        <w:gridCol w:w="4571"/>
        <w:gridCol w:w="1134"/>
        <w:gridCol w:w="1224"/>
      </w:tblGrid>
      <w:tr w:rsidR="00D46B15" w:rsidRPr="004E7F87" w14:paraId="5B310F99" w14:textId="77777777" w:rsidTr="00BC38FA">
        <w:trPr>
          <w:jc w:val="center"/>
        </w:trPr>
        <w:tc>
          <w:tcPr>
            <w:tcW w:w="9438" w:type="dxa"/>
            <w:gridSpan w:val="6"/>
            <w:tcBorders>
              <w:top w:val="outset" w:sz="6" w:space="0" w:color="auto"/>
              <w:left w:val="outset" w:sz="6" w:space="0" w:color="auto"/>
              <w:bottom w:val="outset" w:sz="6" w:space="0" w:color="auto"/>
              <w:right w:val="outset" w:sz="6" w:space="0" w:color="auto"/>
            </w:tcBorders>
            <w:vAlign w:val="center"/>
          </w:tcPr>
          <w:p w14:paraId="150E2869" w14:textId="77777777" w:rsidR="00D46B15" w:rsidRPr="004E7F87" w:rsidRDefault="00D46B15" w:rsidP="00BC38FA">
            <w:pPr>
              <w:jc w:val="center"/>
              <w:rPr>
                <w:b/>
              </w:rPr>
            </w:pPr>
            <w:r w:rsidRPr="004E7F87">
              <w:rPr>
                <w:b/>
              </w:rPr>
              <w:t>V. Tiesību akta projekta atbilstība Latvijas Republikas starptautiskajām saistībām</w:t>
            </w:r>
          </w:p>
        </w:tc>
      </w:tr>
      <w:tr w:rsidR="00D46B15" w:rsidRPr="004E7F87" w14:paraId="10579834" w14:textId="77777777" w:rsidTr="00BC38FA">
        <w:trPr>
          <w:jc w:val="center"/>
        </w:trPr>
        <w:tc>
          <w:tcPr>
            <w:tcW w:w="491" w:type="dxa"/>
            <w:tcBorders>
              <w:top w:val="outset" w:sz="6" w:space="0" w:color="auto"/>
              <w:left w:val="outset" w:sz="6" w:space="0" w:color="auto"/>
              <w:bottom w:val="outset" w:sz="6" w:space="0" w:color="auto"/>
              <w:right w:val="outset" w:sz="6" w:space="0" w:color="auto"/>
            </w:tcBorders>
          </w:tcPr>
          <w:p w14:paraId="0430370E" w14:textId="77777777" w:rsidR="00D46B15" w:rsidRPr="004E7F87" w:rsidRDefault="00D46B15" w:rsidP="00BC38FA">
            <w:pPr>
              <w:ind w:left="57"/>
            </w:pPr>
            <w:r w:rsidRPr="004E7F87">
              <w:t>1.</w:t>
            </w:r>
          </w:p>
        </w:tc>
        <w:tc>
          <w:tcPr>
            <w:tcW w:w="2018" w:type="dxa"/>
            <w:gridSpan w:val="2"/>
            <w:tcBorders>
              <w:top w:val="outset" w:sz="6" w:space="0" w:color="auto"/>
              <w:left w:val="outset" w:sz="6" w:space="0" w:color="auto"/>
              <w:bottom w:val="outset" w:sz="6" w:space="0" w:color="auto"/>
              <w:right w:val="outset" w:sz="6" w:space="0" w:color="auto"/>
            </w:tcBorders>
          </w:tcPr>
          <w:p w14:paraId="48BCB8BA" w14:textId="77777777" w:rsidR="00D46B15" w:rsidRPr="004E7F87" w:rsidRDefault="00D46B15" w:rsidP="00BC38FA">
            <w:pPr>
              <w:ind w:left="57"/>
              <w:jc w:val="both"/>
            </w:pPr>
            <w:r w:rsidRPr="004E7F87">
              <w:t>Saistības pret Eiropas Savienību</w:t>
            </w:r>
          </w:p>
        </w:tc>
        <w:tc>
          <w:tcPr>
            <w:tcW w:w="6929" w:type="dxa"/>
            <w:gridSpan w:val="3"/>
            <w:tcBorders>
              <w:top w:val="outset" w:sz="6" w:space="0" w:color="auto"/>
              <w:left w:val="outset" w:sz="6" w:space="0" w:color="auto"/>
              <w:bottom w:val="outset" w:sz="6" w:space="0" w:color="auto"/>
              <w:right w:val="outset" w:sz="6" w:space="0" w:color="auto"/>
            </w:tcBorders>
          </w:tcPr>
          <w:p w14:paraId="0B078A98" w14:textId="77777777" w:rsidR="00D46B15" w:rsidRPr="00D46B15" w:rsidRDefault="00D46B15" w:rsidP="00BC38FA">
            <w:pPr>
              <w:pStyle w:val="naisf"/>
              <w:spacing w:before="0" w:after="120"/>
              <w:ind w:firstLine="0"/>
            </w:pPr>
            <w:r w:rsidRPr="00D46B15">
              <w:t>MK noteikumos Nr.960 iekļautas tiesību normas, kas izriet no:</w:t>
            </w:r>
          </w:p>
          <w:p w14:paraId="3B5CA696" w14:textId="77777777" w:rsidR="00D46B15" w:rsidRPr="00D46B15" w:rsidRDefault="00D46B15" w:rsidP="00BC38FA">
            <w:pPr>
              <w:spacing w:after="120"/>
              <w:jc w:val="both"/>
              <w:rPr>
                <w:bCs/>
              </w:rPr>
            </w:pPr>
            <w:r w:rsidRPr="00D46B15">
              <w:rPr>
                <w:bCs/>
              </w:rPr>
              <w:t xml:space="preserve">1) Padomes 2003.gada 22.decembra Direktīvas 2003/122/Euratom par slēgtu augstas radioaktivitātes starojuma avotu un bezīpašnieka </w:t>
            </w:r>
            <w:r w:rsidRPr="00D46B15">
              <w:rPr>
                <w:bCs/>
              </w:rPr>
              <w:lastRenderedPageBreak/>
              <w:t>jonizējošā starojuma avotu kontroli (turpmāk – Direktīva 2003/122/Euratom);</w:t>
            </w:r>
          </w:p>
          <w:p w14:paraId="6C6F9943" w14:textId="77777777" w:rsidR="00D46B15" w:rsidRPr="004E7F87" w:rsidRDefault="00D46B15" w:rsidP="00BC38FA">
            <w:pPr>
              <w:pStyle w:val="tv2131"/>
              <w:tabs>
                <w:tab w:val="left" w:pos="352"/>
              </w:tabs>
              <w:spacing w:after="120" w:line="240" w:lineRule="auto"/>
              <w:ind w:firstLine="0"/>
              <w:jc w:val="both"/>
              <w:rPr>
                <w:color w:val="auto"/>
                <w:sz w:val="24"/>
                <w:szCs w:val="24"/>
                <w:lang w:val="lv-LV"/>
              </w:rPr>
            </w:pPr>
            <w:r w:rsidRPr="00D46B15">
              <w:rPr>
                <w:color w:val="auto"/>
                <w:sz w:val="24"/>
                <w:szCs w:val="24"/>
                <w:lang w:val="lv-LV"/>
              </w:rPr>
              <w:t xml:space="preserve">2) Padomes 2013.gada 5.decembra direktīva 2013/59/Euratom, ar ko nosaka drošības pamatstandartus aizsardzībai pret jonizējošā starojuma radītajiem draudiem un atceļ Direktīvu 89/618/Euratom, Direktīvu 90/641/Euratom, Direktīvu 96/29/Euratom, Direktīvu 97/43/Euratom un Direktīvu 2003/122/Euratom </w:t>
            </w:r>
            <w:r w:rsidRPr="00D46B15">
              <w:rPr>
                <w:bCs/>
                <w:color w:val="auto"/>
                <w:sz w:val="24"/>
                <w:szCs w:val="24"/>
                <w:lang w:val="lv-LV"/>
              </w:rPr>
              <w:t>(turpmāk – Direktīva 2013/59/Euratom).</w:t>
            </w:r>
          </w:p>
        </w:tc>
      </w:tr>
      <w:tr w:rsidR="00D46B15" w:rsidRPr="002F73F0" w14:paraId="71A85A37" w14:textId="77777777" w:rsidTr="00BC38FA">
        <w:trPr>
          <w:jc w:val="center"/>
        </w:trPr>
        <w:tc>
          <w:tcPr>
            <w:tcW w:w="491" w:type="dxa"/>
            <w:tcBorders>
              <w:top w:val="outset" w:sz="6" w:space="0" w:color="auto"/>
              <w:left w:val="outset" w:sz="6" w:space="0" w:color="auto"/>
              <w:bottom w:val="outset" w:sz="6" w:space="0" w:color="auto"/>
              <w:right w:val="outset" w:sz="6" w:space="0" w:color="auto"/>
            </w:tcBorders>
          </w:tcPr>
          <w:p w14:paraId="0B76B5EC" w14:textId="77777777" w:rsidR="00D46B15" w:rsidRPr="004E7F87" w:rsidRDefault="00D46B15" w:rsidP="00BC38FA">
            <w:pPr>
              <w:ind w:left="57"/>
            </w:pPr>
            <w:r w:rsidRPr="004E7F87">
              <w:lastRenderedPageBreak/>
              <w:t>2.</w:t>
            </w:r>
          </w:p>
        </w:tc>
        <w:tc>
          <w:tcPr>
            <w:tcW w:w="2018" w:type="dxa"/>
            <w:gridSpan w:val="2"/>
            <w:tcBorders>
              <w:top w:val="outset" w:sz="6" w:space="0" w:color="auto"/>
              <w:left w:val="outset" w:sz="6" w:space="0" w:color="auto"/>
              <w:bottom w:val="outset" w:sz="6" w:space="0" w:color="auto"/>
              <w:right w:val="outset" w:sz="6" w:space="0" w:color="auto"/>
            </w:tcBorders>
          </w:tcPr>
          <w:p w14:paraId="642DC698" w14:textId="77777777" w:rsidR="00D46B15" w:rsidRPr="004E7F87" w:rsidRDefault="00D46B15" w:rsidP="00BC38FA">
            <w:pPr>
              <w:ind w:left="57"/>
            </w:pPr>
            <w:r w:rsidRPr="004E7F87">
              <w:t>Citas starptautiskās saistības</w:t>
            </w:r>
          </w:p>
        </w:tc>
        <w:tc>
          <w:tcPr>
            <w:tcW w:w="6929" w:type="dxa"/>
            <w:gridSpan w:val="3"/>
            <w:tcBorders>
              <w:top w:val="outset" w:sz="6" w:space="0" w:color="auto"/>
              <w:left w:val="outset" w:sz="6" w:space="0" w:color="auto"/>
              <w:bottom w:val="outset" w:sz="6" w:space="0" w:color="auto"/>
              <w:right w:val="outset" w:sz="6" w:space="0" w:color="auto"/>
            </w:tcBorders>
          </w:tcPr>
          <w:p w14:paraId="4B28A756" w14:textId="77777777" w:rsidR="00D46B15" w:rsidRPr="002F73F0" w:rsidRDefault="00D46B15" w:rsidP="00BC38FA">
            <w:pPr>
              <w:spacing w:after="120"/>
              <w:jc w:val="both"/>
              <w:rPr>
                <w:color w:val="FF0000"/>
              </w:rPr>
            </w:pPr>
          </w:p>
        </w:tc>
      </w:tr>
      <w:tr w:rsidR="00D46B15" w:rsidRPr="002F73F0" w14:paraId="55DC8178" w14:textId="77777777" w:rsidTr="00BC38FA">
        <w:trPr>
          <w:jc w:val="center"/>
        </w:trPr>
        <w:tc>
          <w:tcPr>
            <w:tcW w:w="491" w:type="dxa"/>
            <w:tcBorders>
              <w:top w:val="outset" w:sz="6" w:space="0" w:color="auto"/>
              <w:left w:val="outset" w:sz="6" w:space="0" w:color="auto"/>
              <w:bottom w:val="outset" w:sz="6" w:space="0" w:color="auto"/>
              <w:right w:val="outset" w:sz="6" w:space="0" w:color="auto"/>
            </w:tcBorders>
          </w:tcPr>
          <w:p w14:paraId="6299F739" w14:textId="77777777" w:rsidR="00D46B15" w:rsidRPr="004E7F87" w:rsidRDefault="00D46B15" w:rsidP="00BC38FA">
            <w:pPr>
              <w:ind w:left="57"/>
            </w:pPr>
            <w:r w:rsidRPr="004E7F87">
              <w:t>3.</w:t>
            </w:r>
          </w:p>
        </w:tc>
        <w:tc>
          <w:tcPr>
            <w:tcW w:w="2018" w:type="dxa"/>
            <w:gridSpan w:val="2"/>
            <w:tcBorders>
              <w:top w:val="outset" w:sz="6" w:space="0" w:color="auto"/>
              <w:left w:val="outset" w:sz="6" w:space="0" w:color="auto"/>
              <w:bottom w:val="outset" w:sz="6" w:space="0" w:color="auto"/>
              <w:right w:val="outset" w:sz="6" w:space="0" w:color="auto"/>
            </w:tcBorders>
          </w:tcPr>
          <w:p w14:paraId="47AE40AA" w14:textId="77777777" w:rsidR="00D46B15" w:rsidRPr="004E7F87" w:rsidRDefault="00D46B15" w:rsidP="00BC38FA">
            <w:pPr>
              <w:ind w:left="57"/>
            </w:pPr>
            <w:r w:rsidRPr="004E7F87">
              <w:t>Cita informācija</w:t>
            </w:r>
          </w:p>
        </w:tc>
        <w:tc>
          <w:tcPr>
            <w:tcW w:w="6929" w:type="dxa"/>
            <w:gridSpan w:val="3"/>
            <w:tcBorders>
              <w:top w:val="outset" w:sz="6" w:space="0" w:color="auto"/>
              <w:left w:val="outset" w:sz="6" w:space="0" w:color="auto"/>
              <w:bottom w:val="outset" w:sz="6" w:space="0" w:color="auto"/>
              <w:right w:val="outset" w:sz="6" w:space="0" w:color="auto"/>
            </w:tcBorders>
          </w:tcPr>
          <w:p w14:paraId="02F39660" w14:textId="77777777" w:rsidR="00D46B15" w:rsidRPr="002F73F0" w:rsidRDefault="00D46B15" w:rsidP="00BC38FA">
            <w:pPr>
              <w:ind w:left="57"/>
              <w:jc w:val="both"/>
              <w:rPr>
                <w:color w:val="FF0000"/>
              </w:rPr>
            </w:pPr>
          </w:p>
        </w:tc>
      </w:tr>
      <w:tr w:rsidR="00D46B15" w:rsidRPr="004E7F87" w14:paraId="19E3F68F" w14:textId="77777777" w:rsidTr="00BC38FA">
        <w:trPr>
          <w:jc w:val="center"/>
        </w:trPr>
        <w:tc>
          <w:tcPr>
            <w:tcW w:w="9438" w:type="dxa"/>
            <w:gridSpan w:val="6"/>
            <w:tcBorders>
              <w:top w:val="outset" w:sz="6" w:space="0" w:color="auto"/>
              <w:left w:val="outset" w:sz="6" w:space="0" w:color="auto"/>
              <w:bottom w:val="outset" w:sz="6" w:space="0" w:color="auto"/>
              <w:right w:val="outset" w:sz="6" w:space="0" w:color="auto"/>
            </w:tcBorders>
            <w:vAlign w:val="center"/>
          </w:tcPr>
          <w:p w14:paraId="075FB2F7" w14:textId="77777777" w:rsidR="00D46B15" w:rsidRPr="004E7F87" w:rsidRDefault="00D46B15" w:rsidP="00BC38FA">
            <w:pPr>
              <w:ind w:left="57"/>
              <w:jc w:val="center"/>
              <w:rPr>
                <w:b/>
              </w:rPr>
            </w:pPr>
            <w:r w:rsidRPr="004E7F87">
              <w:rPr>
                <w:b/>
              </w:rPr>
              <w:t>1.tabula</w:t>
            </w:r>
          </w:p>
          <w:p w14:paraId="7D615417" w14:textId="77777777" w:rsidR="00D46B15" w:rsidRPr="004E7F87" w:rsidRDefault="00D46B15" w:rsidP="00BC38FA">
            <w:pPr>
              <w:ind w:left="57"/>
              <w:jc w:val="center"/>
            </w:pPr>
            <w:r w:rsidRPr="004E7F87">
              <w:rPr>
                <w:b/>
              </w:rPr>
              <w:t>Tiesību akta projekta atbilstība ES tiesību aktiem</w:t>
            </w:r>
          </w:p>
        </w:tc>
      </w:tr>
      <w:tr w:rsidR="00D46B15" w:rsidRPr="004E7F87" w14:paraId="005072A7" w14:textId="77777777" w:rsidTr="00BC38FA">
        <w:trPr>
          <w:jc w:val="center"/>
        </w:trPr>
        <w:tc>
          <w:tcPr>
            <w:tcW w:w="2254" w:type="dxa"/>
            <w:gridSpan w:val="2"/>
            <w:tcBorders>
              <w:top w:val="outset" w:sz="6" w:space="0" w:color="auto"/>
              <w:left w:val="outset" w:sz="6" w:space="0" w:color="auto"/>
              <w:bottom w:val="outset" w:sz="6" w:space="0" w:color="auto"/>
              <w:right w:val="outset" w:sz="6" w:space="0" w:color="auto"/>
            </w:tcBorders>
          </w:tcPr>
          <w:p w14:paraId="59769DB2" w14:textId="77777777" w:rsidR="00D46B15" w:rsidRPr="004E7F87" w:rsidRDefault="00D46B15" w:rsidP="00BC38FA">
            <w:pPr>
              <w:ind w:left="57"/>
            </w:pPr>
            <w:r w:rsidRPr="004E7F87">
              <w:t>Attiecīgā ES tiesību akta datums, numurs un nosaukums</w:t>
            </w:r>
          </w:p>
        </w:tc>
        <w:tc>
          <w:tcPr>
            <w:tcW w:w="7184" w:type="dxa"/>
            <w:gridSpan w:val="4"/>
            <w:tcBorders>
              <w:top w:val="outset" w:sz="6" w:space="0" w:color="auto"/>
              <w:left w:val="outset" w:sz="6" w:space="0" w:color="auto"/>
              <w:bottom w:val="outset" w:sz="6" w:space="0" w:color="auto"/>
              <w:right w:val="outset" w:sz="6" w:space="0" w:color="auto"/>
            </w:tcBorders>
          </w:tcPr>
          <w:p w14:paraId="368C9606" w14:textId="77777777" w:rsidR="00D46B15" w:rsidRPr="00D46B15" w:rsidRDefault="00D46B15" w:rsidP="00BC38FA">
            <w:pPr>
              <w:spacing w:after="120"/>
              <w:jc w:val="both"/>
              <w:rPr>
                <w:bCs/>
              </w:rPr>
            </w:pPr>
            <w:r w:rsidRPr="00D46B15">
              <w:rPr>
                <w:bCs/>
              </w:rPr>
              <w:t>1) Direktīva 2003/122/Euratom;</w:t>
            </w:r>
          </w:p>
          <w:p w14:paraId="4A642E49" w14:textId="77777777" w:rsidR="00D46B15" w:rsidRPr="004E7F87" w:rsidRDefault="00D46B15" w:rsidP="00BC38FA">
            <w:pPr>
              <w:pStyle w:val="tv2131"/>
              <w:tabs>
                <w:tab w:val="left" w:pos="352"/>
              </w:tabs>
              <w:spacing w:after="120" w:line="240" w:lineRule="auto"/>
              <w:ind w:firstLine="0"/>
              <w:jc w:val="both"/>
              <w:rPr>
                <w:color w:val="auto"/>
                <w:sz w:val="24"/>
                <w:szCs w:val="24"/>
                <w:lang w:val="lv-LV"/>
              </w:rPr>
            </w:pPr>
            <w:r w:rsidRPr="00D46B15">
              <w:rPr>
                <w:color w:val="auto"/>
                <w:sz w:val="24"/>
                <w:szCs w:val="24"/>
                <w:lang w:val="lv-LV"/>
              </w:rPr>
              <w:t xml:space="preserve">2) </w:t>
            </w:r>
            <w:r w:rsidRPr="00D46B15">
              <w:rPr>
                <w:bCs/>
                <w:color w:val="auto"/>
                <w:sz w:val="24"/>
                <w:szCs w:val="24"/>
                <w:lang w:val="lv-LV"/>
              </w:rPr>
              <w:t>Direktīva 2013/59/Euratom.</w:t>
            </w:r>
          </w:p>
        </w:tc>
      </w:tr>
      <w:tr w:rsidR="00D46B15" w:rsidRPr="004E7F87" w14:paraId="5463F14E"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294B12C3" w14:textId="77777777" w:rsidR="00D46B15" w:rsidRPr="004E7F87" w:rsidRDefault="00D46B15" w:rsidP="00BC38FA">
            <w:pPr>
              <w:ind w:left="57"/>
              <w:jc w:val="center"/>
            </w:pPr>
            <w:r w:rsidRPr="004E7F87">
              <w:t>A</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401B8F1E" w14:textId="77777777" w:rsidR="00D46B15" w:rsidRPr="004E7F87" w:rsidRDefault="00D46B15" w:rsidP="00BC38FA">
            <w:pPr>
              <w:ind w:left="57"/>
              <w:jc w:val="center"/>
            </w:pPr>
            <w:r w:rsidRPr="004E7F87">
              <w:t>B</w:t>
            </w:r>
          </w:p>
        </w:tc>
        <w:tc>
          <w:tcPr>
            <w:tcW w:w="1134" w:type="dxa"/>
            <w:tcBorders>
              <w:top w:val="outset" w:sz="6" w:space="0" w:color="auto"/>
              <w:left w:val="outset" w:sz="6" w:space="0" w:color="auto"/>
              <w:bottom w:val="outset" w:sz="6" w:space="0" w:color="auto"/>
              <w:right w:val="outset" w:sz="6" w:space="0" w:color="auto"/>
            </w:tcBorders>
            <w:vAlign w:val="center"/>
          </w:tcPr>
          <w:p w14:paraId="7C4E56AC" w14:textId="77777777" w:rsidR="00D46B15" w:rsidRPr="004E7F87" w:rsidRDefault="00D46B15" w:rsidP="00BC38FA">
            <w:pPr>
              <w:ind w:left="57"/>
              <w:jc w:val="center"/>
            </w:pPr>
            <w:r w:rsidRPr="004E7F87">
              <w:t>C</w:t>
            </w:r>
          </w:p>
        </w:tc>
        <w:tc>
          <w:tcPr>
            <w:tcW w:w="1224" w:type="dxa"/>
            <w:tcBorders>
              <w:top w:val="outset" w:sz="6" w:space="0" w:color="auto"/>
              <w:left w:val="outset" w:sz="6" w:space="0" w:color="auto"/>
              <w:bottom w:val="outset" w:sz="6" w:space="0" w:color="auto"/>
              <w:right w:val="outset" w:sz="6" w:space="0" w:color="auto"/>
            </w:tcBorders>
            <w:vAlign w:val="center"/>
          </w:tcPr>
          <w:p w14:paraId="64601073" w14:textId="77777777" w:rsidR="00D46B15" w:rsidRPr="004E7F87" w:rsidRDefault="00D46B15" w:rsidP="00BC38FA">
            <w:pPr>
              <w:ind w:left="57"/>
              <w:jc w:val="center"/>
            </w:pPr>
            <w:r w:rsidRPr="004E7F87">
              <w:t>D</w:t>
            </w:r>
          </w:p>
        </w:tc>
      </w:tr>
      <w:tr w:rsidR="00D46B15" w14:paraId="47DFECC5"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192D1BE6" w14:textId="77777777" w:rsidR="00D46B15" w:rsidRPr="00FA7C3F" w:rsidRDefault="00D46B15" w:rsidP="00BC38FA">
            <w:pPr>
              <w:ind w:left="57"/>
              <w:jc w:val="center"/>
            </w:pPr>
            <w:r>
              <w:t>Direktīvas 2013/59/Euratom 16.panta 1. un 2.punkts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729402DF" w14:textId="6BA3E68E" w:rsidR="00D46B15" w:rsidRPr="00FA7C3F" w:rsidRDefault="00D46B15" w:rsidP="00BC38FA">
            <w:pPr>
              <w:ind w:left="57"/>
              <w:jc w:val="center"/>
            </w:pPr>
            <w:r>
              <w:t>MKN960</w:t>
            </w:r>
            <w:r>
              <w:rPr>
                <w:rStyle w:val="FootnoteReference"/>
              </w:rPr>
              <w:footnoteReference w:id="1"/>
            </w:r>
            <w:r>
              <w:t xml:space="preserve"> 36.</w:t>
            </w:r>
            <w:r w:rsidR="000174A2">
              <w:t xml:space="preserve">, 37., 38. un </w:t>
            </w:r>
            <w:r w:rsidRPr="00FA7C3F">
              <w:t>39.punkts</w:t>
            </w:r>
            <w:r w:rsidR="000174A2">
              <w:t>;</w:t>
            </w:r>
          </w:p>
          <w:p w14:paraId="333F0752" w14:textId="5435105B" w:rsidR="00D46B15" w:rsidRDefault="00D46B15" w:rsidP="00BC38FA">
            <w:pPr>
              <w:ind w:left="57"/>
              <w:jc w:val="center"/>
            </w:pPr>
            <w:r>
              <w:t xml:space="preserve">Likuma „Par radiācijas drošību un kodoldrošību” 5.panta 7.punkts, 9.panta </w:t>
            </w:r>
            <w:r w:rsidR="000174A2">
              <w:t>2.</w:t>
            </w:r>
            <w:r w:rsidR="000174A2" w:rsidRPr="00BA038B">
              <w:rPr>
                <w:vertAlign w:val="superscript"/>
              </w:rPr>
              <w:t>1</w:t>
            </w:r>
            <w:r>
              <w:t>daļa</w:t>
            </w:r>
            <w:r w:rsidR="000174A2">
              <w:t>;</w:t>
            </w:r>
            <w:r>
              <w:t xml:space="preserve"> MKN535</w:t>
            </w:r>
            <w:r>
              <w:rPr>
                <w:rStyle w:val="FootnoteReference"/>
              </w:rPr>
              <w:footnoteReference w:id="2"/>
            </w:r>
            <w:r>
              <w:t xml:space="preserve"> 38.</w:t>
            </w:r>
            <w:r w:rsidR="000174A2">
              <w:t>, 39., 49., 41., 42., 43.</w:t>
            </w:r>
            <w:r>
              <w:t xml:space="preserve"> </w:t>
            </w:r>
            <w:r w:rsidR="000174A2">
              <w:t xml:space="preserve">un </w:t>
            </w:r>
            <w:r>
              <w:t>44.punkts</w:t>
            </w:r>
          </w:p>
        </w:tc>
        <w:tc>
          <w:tcPr>
            <w:tcW w:w="1134" w:type="dxa"/>
            <w:tcBorders>
              <w:top w:val="outset" w:sz="6" w:space="0" w:color="auto"/>
              <w:left w:val="outset" w:sz="6" w:space="0" w:color="auto"/>
              <w:bottom w:val="outset" w:sz="6" w:space="0" w:color="auto"/>
              <w:right w:val="outset" w:sz="6" w:space="0" w:color="auto"/>
            </w:tcBorders>
          </w:tcPr>
          <w:p w14:paraId="14089442" w14:textId="77777777" w:rsidR="00D46B15" w:rsidRDefault="00D46B15" w:rsidP="00E23D20">
            <w:pPr>
              <w:ind w:left="57"/>
            </w:pPr>
            <w:r>
              <w:t>Ieviests pilnībā</w:t>
            </w:r>
          </w:p>
        </w:tc>
        <w:tc>
          <w:tcPr>
            <w:tcW w:w="1224" w:type="dxa"/>
            <w:tcBorders>
              <w:top w:val="outset" w:sz="6" w:space="0" w:color="auto"/>
              <w:left w:val="outset" w:sz="6" w:space="0" w:color="auto"/>
              <w:bottom w:val="outset" w:sz="6" w:space="0" w:color="auto"/>
              <w:right w:val="outset" w:sz="6" w:space="0" w:color="auto"/>
            </w:tcBorders>
          </w:tcPr>
          <w:p w14:paraId="282C55AF" w14:textId="77777777" w:rsidR="00D46B15" w:rsidRDefault="00D46B15" w:rsidP="00E23D20">
            <w:pPr>
              <w:ind w:left="57"/>
            </w:pPr>
            <w:r>
              <w:t>Neparedz stingrākas prasības</w:t>
            </w:r>
          </w:p>
        </w:tc>
      </w:tr>
      <w:tr w:rsidR="00D46B15" w14:paraId="2920C143"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748B255E" w14:textId="77777777" w:rsidR="00D46B15" w:rsidRDefault="00D46B15" w:rsidP="00BC38FA">
            <w:pPr>
              <w:ind w:left="57"/>
              <w:jc w:val="center"/>
            </w:pPr>
            <w:r>
              <w:t>Direktīvas 2013/59/Euratom 92.panta 2.punkts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19258541" w14:textId="12C154D8" w:rsidR="00D46B15" w:rsidRPr="00FA7C3F" w:rsidRDefault="00D46B15" w:rsidP="00BC38FA">
            <w:pPr>
              <w:ind w:left="57"/>
              <w:jc w:val="center"/>
            </w:pPr>
            <w:r>
              <w:t xml:space="preserve">MKN960 </w:t>
            </w:r>
            <w:r w:rsidRPr="00FA7C3F">
              <w:t>40. un 42.punkts</w:t>
            </w:r>
            <w:r w:rsidR="001A3F2D">
              <w:t>;</w:t>
            </w:r>
          </w:p>
          <w:p w14:paraId="4F75DD10" w14:textId="4C2193DF" w:rsidR="00D46B15" w:rsidRDefault="00D46B15" w:rsidP="00BC38FA">
            <w:pPr>
              <w:ind w:left="57"/>
              <w:jc w:val="center"/>
            </w:pPr>
            <w:r>
              <w:t xml:space="preserve">Likuma „Par radiācijas drošību un kodoldrošību” 5.panta 7.punkts, 9.panta otrā daļa un </w:t>
            </w:r>
            <w:r w:rsidR="000174A2">
              <w:t>2.</w:t>
            </w:r>
            <w:r w:rsidR="000174A2" w:rsidRPr="00BA038B">
              <w:rPr>
                <w:vertAlign w:val="superscript"/>
              </w:rPr>
              <w:t>1</w:t>
            </w:r>
            <w:r>
              <w:t xml:space="preserve"> daļa</w:t>
            </w:r>
            <w:r w:rsidR="000174A2">
              <w:t>;</w:t>
            </w:r>
          </w:p>
          <w:p w14:paraId="77AE8F78" w14:textId="24DA1AB1" w:rsidR="00D46B15" w:rsidRPr="00FA7C3F" w:rsidRDefault="00BA038B" w:rsidP="00BC38FA">
            <w:pPr>
              <w:ind w:left="57"/>
              <w:jc w:val="center"/>
            </w:pPr>
            <w:r>
              <w:t xml:space="preserve">Viss </w:t>
            </w:r>
            <w:r w:rsidR="00D46B15">
              <w:t>MKN535</w:t>
            </w:r>
            <w:r>
              <w:t xml:space="preserve"> saturs kopumā. </w:t>
            </w:r>
          </w:p>
        </w:tc>
        <w:tc>
          <w:tcPr>
            <w:tcW w:w="1134" w:type="dxa"/>
            <w:tcBorders>
              <w:top w:val="outset" w:sz="6" w:space="0" w:color="auto"/>
              <w:left w:val="outset" w:sz="6" w:space="0" w:color="auto"/>
              <w:bottom w:val="outset" w:sz="6" w:space="0" w:color="auto"/>
              <w:right w:val="outset" w:sz="6" w:space="0" w:color="auto"/>
            </w:tcBorders>
          </w:tcPr>
          <w:p w14:paraId="7EC2D491" w14:textId="77777777" w:rsidR="00D46B15" w:rsidRDefault="00D46B15" w:rsidP="00E23D20">
            <w:pPr>
              <w:ind w:left="57"/>
            </w:pPr>
            <w:r>
              <w:t>Ieviests pilnībā</w:t>
            </w:r>
          </w:p>
        </w:tc>
        <w:tc>
          <w:tcPr>
            <w:tcW w:w="1224" w:type="dxa"/>
            <w:tcBorders>
              <w:top w:val="outset" w:sz="6" w:space="0" w:color="auto"/>
              <w:left w:val="outset" w:sz="6" w:space="0" w:color="auto"/>
              <w:bottom w:val="outset" w:sz="6" w:space="0" w:color="auto"/>
              <w:right w:val="outset" w:sz="6" w:space="0" w:color="auto"/>
            </w:tcBorders>
          </w:tcPr>
          <w:p w14:paraId="1361C720" w14:textId="77777777" w:rsidR="00D46B15" w:rsidRDefault="00D46B15" w:rsidP="00E23D20">
            <w:pPr>
              <w:ind w:left="57"/>
            </w:pPr>
            <w:r>
              <w:t>Neparedz stingrākas prasības</w:t>
            </w:r>
          </w:p>
        </w:tc>
      </w:tr>
      <w:tr w:rsidR="00D46B15" w14:paraId="75C5129C"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68A2E860" w14:textId="77777777" w:rsidR="00D46B15" w:rsidRDefault="00D46B15" w:rsidP="00BC38FA">
            <w:pPr>
              <w:ind w:left="57"/>
              <w:jc w:val="center"/>
            </w:pPr>
            <w:r>
              <w:t>Direktīvas 2013/59/Euratom 93.panta 2.punkts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4CB99E30" w14:textId="3F32A196" w:rsidR="00D46B15" w:rsidRDefault="00D46B15" w:rsidP="00BC38FA">
            <w:pPr>
              <w:ind w:left="57"/>
              <w:jc w:val="center"/>
            </w:pPr>
            <w:r>
              <w:t xml:space="preserve">MKN960 </w:t>
            </w:r>
            <w:r w:rsidRPr="00FA7C3F">
              <w:t>40.punkts</w:t>
            </w:r>
            <w:r w:rsidR="001A3F2D">
              <w:t>;</w:t>
            </w:r>
          </w:p>
          <w:p w14:paraId="07F6862F" w14:textId="5374C204" w:rsidR="00D46B15" w:rsidRDefault="00D46B15" w:rsidP="00BC38FA">
            <w:pPr>
              <w:ind w:left="57"/>
              <w:jc w:val="center"/>
            </w:pPr>
            <w:r>
              <w:t xml:space="preserve">Likuma „Par radiācijas drošību un kodoldrošību” 5.panta 7.punkts, 9.panta otrā daļa un </w:t>
            </w:r>
            <w:r w:rsidR="000174A2">
              <w:t>2.</w:t>
            </w:r>
            <w:r w:rsidR="000174A2" w:rsidRPr="00BA038B">
              <w:rPr>
                <w:vertAlign w:val="superscript"/>
              </w:rPr>
              <w:t>1</w:t>
            </w:r>
            <w:r>
              <w:t xml:space="preserve"> daļa</w:t>
            </w:r>
            <w:r w:rsidR="001A3F2D">
              <w:t>;</w:t>
            </w:r>
          </w:p>
          <w:p w14:paraId="17867E63" w14:textId="1BF3D1CB" w:rsidR="00D46B15" w:rsidRPr="00FA7C3F" w:rsidRDefault="00BA038B" w:rsidP="00BC38FA">
            <w:pPr>
              <w:ind w:left="57"/>
              <w:jc w:val="center"/>
            </w:pPr>
            <w:r>
              <w:t xml:space="preserve">Viss </w:t>
            </w:r>
            <w:r w:rsidR="00D46B15">
              <w:t>MKN535</w:t>
            </w:r>
            <w:r>
              <w:t xml:space="preserve"> saturs kopumā. </w:t>
            </w:r>
          </w:p>
        </w:tc>
        <w:tc>
          <w:tcPr>
            <w:tcW w:w="1134" w:type="dxa"/>
            <w:tcBorders>
              <w:top w:val="outset" w:sz="6" w:space="0" w:color="auto"/>
              <w:left w:val="outset" w:sz="6" w:space="0" w:color="auto"/>
              <w:bottom w:val="outset" w:sz="6" w:space="0" w:color="auto"/>
              <w:right w:val="outset" w:sz="6" w:space="0" w:color="auto"/>
            </w:tcBorders>
          </w:tcPr>
          <w:p w14:paraId="1DAB501E" w14:textId="77777777" w:rsidR="00D46B15" w:rsidRDefault="00D46B15" w:rsidP="00E23D20">
            <w:pPr>
              <w:ind w:left="57"/>
            </w:pPr>
            <w:r>
              <w:t>Ieviests pilnībā</w:t>
            </w:r>
          </w:p>
        </w:tc>
        <w:tc>
          <w:tcPr>
            <w:tcW w:w="1224" w:type="dxa"/>
            <w:tcBorders>
              <w:top w:val="outset" w:sz="6" w:space="0" w:color="auto"/>
              <w:left w:val="outset" w:sz="6" w:space="0" w:color="auto"/>
              <w:bottom w:val="outset" w:sz="6" w:space="0" w:color="auto"/>
              <w:right w:val="outset" w:sz="6" w:space="0" w:color="auto"/>
            </w:tcBorders>
          </w:tcPr>
          <w:p w14:paraId="502D528F" w14:textId="77777777" w:rsidR="00D46B15" w:rsidRDefault="00D46B15" w:rsidP="00E23D20">
            <w:pPr>
              <w:ind w:left="57"/>
            </w:pPr>
            <w:r>
              <w:t>Neparedz stingrākas prasības</w:t>
            </w:r>
          </w:p>
        </w:tc>
      </w:tr>
      <w:tr w:rsidR="00D46B15" w14:paraId="50FCFE0A"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2467E2A2" w14:textId="77777777" w:rsidR="00D46B15" w:rsidRPr="00AF7A01" w:rsidRDefault="00D46B15" w:rsidP="00BC38FA">
            <w:pPr>
              <w:ind w:left="57"/>
              <w:jc w:val="center"/>
            </w:pPr>
            <w:r w:rsidRPr="00AF7A01">
              <w:t>Direktīvas 2003/122/</w:t>
            </w:r>
            <w:r>
              <w:t>Euratom</w:t>
            </w:r>
            <w:r w:rsidRPr="00AF7A01">
              <w:t xml:space="preserve"> 8.panta 2.punkts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406E3359" w14:textId="6804101F" w:rsidR="00D46B15" w:rsidRPr="00EF383C" w:rsidRDefault="00D46B15" w:rsidP="00BC38FA">
            <w:pPr>
              <w:ind w:left="57"/>
              <w:jc w:val="center"/>
            </w:pPr>
            <w:r w:rsidRPr="00EF383C">
              <w:t>MKN960 36.</w:t>
            </w:r>
            <w:r w:rsidR="000174A2">
              <w:t xml:space="preserve">, 37., 38., 39., 40. un </w:t>
            </w:r>
            <w:r w:rsidRPr="00EF383C">
              <w:t>41.punkts</w:t>
            </w:r>
            <w:r w:rsidR="001A3F2D">
              <w:t>;</w:t>
            </w:r>
            <w:r>
              <w:t xml:space="preserve"> </w:t>
            </w:r>
          </w:p>
          <w:p w14:paraId="5EB4B6A5" w14:textId="57BD01D3" w:rsidR="00D46B15" w:rsidRPr="00EF383C" w:rsidRDefault="00D46B15" w:rsidP="00BC38FA">
            <w:pPr>
              <w:ind w:left="57"/>
              <w:jc w:val="center"/>
            </w:pPr>
            <w:r w:rsidRPr="00EF383C">
              <w:t xml:space="preserve">Likuma „Par radiācijas drošību un kodoldrošību” 9.panta </w:t>
            </w:r>
            <w:r w:rsidR="000174A2">
              <w:t>2.</w:t>
            </w:r>
            <w:r w:rsidR="000174A2" w:rsidRPr="00BA038B">
              <w:rPr>
                <w:vertAlign w:val="superscript"/>
              </w:rPr>
              <w:t>1</w:t>
            </w:r>
            <w:r w:rsidRPr="00EF383C">
              <w:t xml:space="preserve"> daļa un 30.panta otrā daļa</w:t>
            </w:r>
            <w:r w:rsidR="001A3F2D">
              <w:t>;</w:t>
            </w:r>
            <w:r>
              <w:t xml:space="preserve"> MKN535 38.</w:t>
            </w:r>
            <w:r w:rsidR="000174A2">
              <w:t>, 39., 40., 41., 42., 43.,</w:t>
            </w:r>
            <w:r>
              <w:t xml:space="preserve"> </w:t>
            </w:r>
            <w:r w:rsidR="000174A2">
              <w:t>un</w:t>
            </w:r>
            <w:r>
              <w:t xml:space="preserve"> 44.punkts.</w:t>
            </w:r>
          </w:p>
        </w:tc>
        <w:tc>
          <w:tcPr>
            <w:tcW w:w="1134" w:type="dxa"/>
            <w:tcBorders>
              <w:top w:val="outset" w:sz="6" w:space="0" w:color="auto"/>
              <w:left w:val="outset" w:sz="6" w:space="0" w:color="auto"/>
              <w:bottom w:val="outset" w:sz="6" w:space="0" w:color="auto"/>
              <w:right w:val="outset" w:sz="6" w:space="0" w:color="auto"/>
            </w:tcBorders>
          </w:tcPr>
          <w:p w14:paraId="55CFC58F" w14:textId="77777777" w:rsidR="00D46B15" w:rsidRPr="00EF383C" w:rsidRDefault="00D46B15" w:rsidP="00E23D20">
            <w:pPr>
              <w:pStyle w:val="naisc"/>
              <w:spacing w:before="0" w:after="0"/>
              <w:jc w:val="left"/>
            </w:pPr>
            <w:r w:rsidRPr="00EF383C">
              <w:t>Ieviests pilnībā</w:t>
            </w:r>
          </w:p>
        </w:tc>
        <w:tc>
          <w:tcPr>
            <w:tcW w:w="1224" w:type="dxa"/>
            <w:tcBorders>
              <w:top w:val="outset" w:sz="6" w:space="0" w:color="auto"/>
              <w:left w:val="outset" w:sz="6" w:space="0" w:color="auto"/>
              <w:bottom w:val="outset" w:sz="6" w:space="0" w:color="auto"/>
              <w:right w:val="outset" w:sz="6" w:space="0" w:color="auto"/>
            </w:tcBorders>
          </w:tcPr>
          <w:p w14:paraId="1EDAF530" w14:textId="77777777" w:rsidR="00D46B15" w:rsidRDefault="00D46B15" w:rsidP="00E23D20">
            <w:r w:rsidRPr="002D4D2E">
              <w:t>Neparedz stingrākas prasības</w:t>
            </w:r>
          </w:p>
        </w:tc>
      </w:tr>
      <w:tr w:rsidR="00D46B15" w14:paraId="68F820FC"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14AAAA0A" w14:textId="77777777" w:rsidR="00D46B15" w:rsidRPr="005375A9" w:rsidRDefault="00D46B15" w:rsidP="00BC38FA">
            <w:pPr>
              <w:ind w:left="57"/>
              <w:jc w:val="center"/>
              <w:rPr>
                <w:highlight w:val="yellow"/>
              </w:rPr>
            </w:pPr>
            <w:r w:rsidRPr="0006799E">
              <w:lastRenderedPageBreak/>
              <w:t>Direktīvas 2003/122/</w:t>
            </w:r>
            <w:r>
              <w:t>Euratom</w:t>
            </w:r>
            <w:r w:rsidRPr="0006799E">
              <w:t xml:space="preserve"> 9.panta 3.punkts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724A0464" w14:textId="3F2340FE" w:rsidR="00D46B15" w:rsidRDefault="00D46B15" w:rsidP="00BC38FA">
            <w:pPr>
              <w:ind w:left="57"/>
              <w:jc w:val="center"/>
            </w:pPr>
            <w:r w:rsidRPr="00EF383C">
              <w:t>MKN960 36.</w:t>
            </w:r>
            <w:r w:rsidR="001A3F2D">
              <w:t xml:space="preserve">, 37., 38., 39., 40. un </w:t>
            </w:r>
            <w:r w:rsidRPr="00EF383C">
              <w:t>41.punkts</w:t>
            </w:r>
            <w:r w:rsidR="001A3F2D">
              <w:t>;</w:t>
            </w:r>
          </w:p>
          <w:p w14:paraId="1C976A77" w14:textId="60D27364" w:rsidR="00D46B15" w:rsidRPr="00EF383C" w:rsidRDefault="00D46B15" w:rsidP="00BC38FA">
            <w:pPr>
              <w:ind w:left="57"/>
              <w:jc w:val="center"/>
            </w:pPr>
            <w:r w:rsidRPr="00EF383C">
              <w:t xml:space="preserve">Likuma „Par radiācijas drošību un kodoldrošību” 5.panta 7.punkts, 9.panta otrā daļa un </w:t>
            </w:r>
            <w:r w:rsidR="001A3F2D">
              <w:t>2.</w:t>
            </w:r>
            <w:r w:rsidR="001A3F2D" w:rsidRPr="00BA038B">
              <w:rPr>
                <w:vertAlign w:val="superscript"/>
              </w:rPr>
              <w:t>1</w:t>
            </w:r>
            <w:r w:rsidRPr="00EF383C">
              <w:t xml:space="preserve"> daļa</w:t>
            </w:r>
            <w:r w:rsidR="001A3F2D">
              <w:t>;</w:t>
            </w:r>
          </w:p>
          <w:p w14:paraId="77DC0DB3" w14:textId="10FB379B" w:rsidR="00D46B15" w:rsidRPr="00EF383C" w:rsidRDefault="00BA038B" w:rsidP="00BC38FA">
            <w:pPr>
              <w:ind w:left="57"/>
              <w:jc w:val="center"/>
            </w:pPr>
            <w:r>
              <w:t xml:space="preserve">Viss </w:t>
            </w:r>
            <w:r w:rsidR="00D46B15">
              <w:t>MKN535</w:t>
            </w:r>
            <w:r>
              <w:t xml:space="preserve"> saturs kopumā.</w:t>
            </w:r>
          </w:p>
        </w:tc>
        <w:tc>
          <w:tcPr>
            <w:tcW w:w="1134" w:type="dxa"/>
            <w:tcBorders>
              <w:top w:val="outset" w:sz="6" w:space="0" w:color="auto"/>
              <w:left w:val="outset" w:sz="6" w:space="0" w:color="auto"/>
              <w:bottom w:val="outset" w:sz="6" w:space="0" w:color="auto"/>
              <w:right w:val="outset" w:sz="6" w:space="0" w:color="auto"/>
            </w:tcBorders>
          </w:tcPr>
          <w:p w14:paraId="50068E41" w14:textId="77777777" w:rsidR="00D46B15" w:rsidRPr="00EF383C" w:rsidRDefault="00D46B15" w:rsidP="00E23D20">
            <w:pPr>
              <w:pStyle w:val="naisc"/>
              <w:spacing w:before="0" w:after="0"/>
              <w:jc w:val="left"/>
            </w:pPr>
            <w:r w:rsidRPr="00EF383C">
              <w:t>Ieviests pilnībā</w:t>
            </w:r>
          </w:p>
        </w:tc>
        <w:tc>
          <w:tcPr>
            <w:tcW w:w="1224" w:type="dxa"/>
            <w:tcBorders>
              <w:top w:val="outset" w:sz="6" w:space="0" w:color="auto"/>
              <w:left w:val="outset" w:sz="6" w:space="0" w:color="auto"/>
              <w:bottom w:val="outset" w:sz="6" w:space="0" w:color="auto"/>
              <w:right w:val="outset" w:sz="6" w:space="0" w:color="auto"/>
            </w:tcBorders>
          </w:tcPr>
          <w:p w14:paraId="268C21C4" w14:textId="77777777" w:rsidR="00D46B15" w:rsidRDefault="00D46B15" w:rsidP="00E23D20">
            <w:r w:rsidRPr="002D4D2E">
              <w:t>Neparedz stingrākas prasības</w:t>
            </w:r>
          </w:p>
        </w:tc>
      </w:tr>
      <w:tr w:rsidR="00D46B15" w14:paraId="7691821E" w14:textId="77777777" w:rsidTr="00E23D20">
        <w:trPr>
          <w:jc w:val="center"/>
        </w:trPr>
        <w:tc>
          <w:tcPr>
            <w:tcW w:w="2254" w:type="dxa"/>
            <w:gridSpan w:val="2"/>
            <w:tcBorders>
              <w:top w:val="outset" w:sz="6" w:space="0" w:color="auto"/>
              <w:left w:val="outset" w:sz="6" w:space="0" w:color="auto"/>
              <w:bottom w:val="outset" w:sz="6" w:space="0" w:color="auto"/>
              <w:right w:val="outset" w:sz="6" w:space="0" w:color="auto"/>
            </w:tcBorders>
            <w:vAlign w:val="center"/>
          </w:tcPr>
          <w:p w14:paraId="12165A03" w14:textId="77777777" w:rsidR="00D46B15" w:rsidRDefault="00D46B15" w:rsidP="00BC38FA">
            <w:pPr>
              <w:ind w:left="57"/>
              <w:jc w:val="center"/>
            </w:pPr>
            <w:r>
              <w:t xml:space="preserve">Direktīvas </w:t>
            </w:r>
            <w:r w:rsidRPr="006B20BA">
              <w:t>2003/122/</w:t>
            </w:r>
            <w:r>
              <w:t>Euratom 10.pants</w:t>
            </w:r>
          </w:p>
        </w:tc>
        <w:tc>
          <w:tcPr>
            <w:tcW w:w="4826" w:type="dxa"/>
            <w:gridSpan w:val="2"/>
            <w:tcBorders>
              <w:top w:val="outset" w:sz="6" w:space="0" w:color="auto"/>
              <w:left w:val="outset" w:sz="6" w:space="0" w:color="auto"/>
              <w:bottom w:val="outset" w:sz="6" w:space="0" w:color="auto"/>
              <w:right w:val="outset" w:sz="6" w:space="0" w:color="auto"/>
            </w:tcBorders>
            <w:vAlign w:val="center"/>
          </w:tcPr>
          <w:p w14:paraId="7E87DF3B" w14:textId="4A2DC8BA" w:rsidR="00D46B15" w:rsidRPr="00EF383C" w:rsidRDefault="00D46B15" w:rsidP="00BC38FA">
            <w:pPr>
              <w:ind w:left="57"/>
              <w:jc w:val="center"/>
            </w:pPr>
            <w:r w:rsidRPr="00EF383C">
              <w:t xml:space="preserve">MKN960 40. </w:t>
            </w:r>
            <w:r w:rsidR="001A3F2D">
              <w:t>un</w:t>
            </w:r>
            <w:r w:rsidRPr="00EF383C">
              <w:t xml:space="preserve"> 41.punkts</w:t>
            </w:r>
            <w:r w:rsidR="001A3F2D">
              <w:t>;</w:t>
            </w:r>
            <w:r>
              <w:t xml:space="preserve"> </w:t>
            </w:r>
          </w:p>
          <w:p w14:paraId="3D8BD8D7" w14:textId="498A0D33" w:rsidR="00D46B15" w:rsidRPr="00EF383C" w:rsidRDefault="00D46B15" w:rsidP="00BC38FA">
            <w:pPr>
              <w:ind w:left="57"/>
              <w:jc w:val="center"/>
            </w:pPr>
            <w:r w:rsidRPr="00EF383C">
              <w:t>Likuma „Par radiācijas drošību un kodoldrošību” 5.panta 7</w:t>
            </w:r>
            <w:r w:rsidR="001A3F2D">
              <w:t>.</w:t>
            </w:r>
            <w:r w:rsidRPr="00EF383C">
              <w:t>apakšpunkts un 30.panta otrā daļa</w:t>
            </w:r>
            <w:r w:rsidR="001A3F2D">
              <w:t>;</w:t>
            </w:r>
          </w:p>
          <w:p w14:paraId="390A7411" w14:textId="50294647" w:rsidR="00D46B15" w:rsidRPr="00EF383C" w:rsidRDefault="00D46B15" w:rsidP="00BC38FA">
            <w:pPr>
              <w:ind w:left="57"/>
              <w:jc w:val="center"/>
            </w:pPr>
            <w:r w:rsidRPr="00EF383C">
              <w:t>MKN152 62.2.apakšpunkts</w:t>
            </w:r>
            <w:r w:rsidR="001A3F2D">
              <w:t>;</w:t>
            </w:r>
            <w:r>
              <w:t xml:space="preserve"> MKN535 </w:t>
            </w:r>
            <w:r w:rsidRPr="00DC1025">
              <w:t>37.punkts</w:t>
            </w:r>
          </w:p>
        </w:tc>
        <w:tc>
          <w:tcPr>
            <w:tcW w:w="1134" w:type="dxa"/>
            <w:tcBorders>
              <w:top w:val="outset" w:sz="6" w:space="0" w:color="auto"/>
              <w:left w:val="outset" w:sz="6" w:space="0" w:color="auto"/>
              <w:bottom w:val="outset" w:sz="6" w:space="0" w:color="auto"/>
              <w:right w:val="outset" w:sz="6" w:space="0" w:color="auto"/>
            </w:tcBorders>
          </w:tcPr>
          <w:p w14:paraId="61138059" w14:textId="77777777" w:rsidR="00D46B15" w:rsidRPr="000B1A26" w:rsidRDefault="00D46B15" w:rsidP="00BC38FA">
            <w:pPr>
              <w:pStyle w:val="naisc"/>
              <w:spacing w:before="0" w:after="0"/>
            </w:pPr>
            <w:r>
              <w:t>Ieviests pilnībā</w:t>
            </w:r>
          </w:p>
        </w:tc>
        <w:tc>
          <w:tcPr>
            <w:tcW w:w="1224" w:type="dxa"/>
            <w:tcBorders>
              <w:top w:val="outset" w:sz="6" w:space="0" w:color="auto"/>
              <w:left w:val="outset" w:sz="6" w:space="0" w:color="auto"/>
              <w:bottom w:val="outset" w:sz="6" w:space="0" w:color="auto"/>
              <w:right w:val="outset" w:sz="6" w:space="0" w:color="auto"/>
            </w:tcBorders>
          </w:tcPr>
          <w:p w14:paraId="442FBDCF" w14:textId="77777777" w:rsidR="00D46B15" w:rsidRDefault="00D46B15" w:rsidP="00BC38FA">
            <w:pPr>
              <w:jc w:val="center"/>
            </w:pPr>
            <w:r w:rsidRPr="002D4D2E">
              <w:t>Neparedz stingrākas prasības</w:t>
            </w:r>
          </w:p>
        </w:tc>
      </w:tr>
      <w:tr w:rsidR="00D46B15" w:rsidRPr="002F73F0" w14:paraId="2E87E8EF" w14:textId="77777777" w:rsidTr="00E23D20">
        <w:trPr>
          <w:jc w:val="center"/>
        </w:trPr>
        <w:tc>
          <w:tcPr>
            <w:tcW w:w="8214" w:type="dxa"/>
            <w:gridSpan w:val="5"/>
            <w:tcBorders>
              <w:top w:val="outset" w:sz="6" w:space="0" w:color="auto"/>
              <w:left w:val="outset" w:sz="6" w:space="0" w:color="auto"/>
              <w:bottom w:val="outset" w:sz="6" w:space="0" w:color="auto"/>
              <w:right w:val="outset" w:sz="6" w:space="0" w:color="auto"/>
            </w:tcBorders>
          </w:tcPr>
          <w:p w14:paraId="4739A385" w14:textId="77777777" w:rsidR="00D46B15" w:rsidRPr="004E7F87" w:rsidRDefault="00D46B15" w:rsidP="00BC38FA">
            <w:pPr>
              <w:ind w:left="57"/>
              <w:jc w:val="both"/>
              <w:rPr>
                <w:spacing w:val="-3"/>
              </w:rPr>
            </w:pPr>
            <w:r w:rsidRPr="004E7F87">
              <w:rPr>
                <w:spacing w:val="-3"/>
              </w:rPr>
              <w:t>Kā ir izmantota ES tiesību aktā paredzētā rīcības brīvība dalībvalstij pārņemt vai ieviest noteiktas ES tiesību akta normas?</w:t>
            </w:r>
          </w:p>
          <w:p w14:paraId="09431171" w14:textId="77777777" w:rsidR="00D46B15" w:rsidRPr="004E7F87" w:rsidRDefault="00D46B15" w:rsidP="00BC38FA">
            <w:pPr>
              <w:ind w:left="57"/>
              <w:rPr>
                <w:spacing w:val="-3"/>
              </w:rPr>
            </w:pPr>
            <w:r w:rsidRPr="004E7F87">
              <w:rPr>
                <w:spacing w:val="-3"/>
              </w:rPr>
              <w:t>Kādēļ?</w:t>
            </w:r>
          </w:p>
        </w:tc>
        <w:tc>
          <w:tcPr>
            <w:tcW w:w="1224" w:type="dxa"/>
            <w:tcBorders>
              <w:top w:val="outset" w:sz="6" w:space="0" w:color="auto"/>
              <w:left w:val="outset" w:sz="6" w:space="0" w:color="auto"/>
              <w:bottom w:val="outset" w:sz="6" w:space="0" w:color="auto"/>
              <w:right w:val="outset" w:sz="6" w:space="0" w:color="auto"/>
            </w:tcBorders>
          </w:tcPr>
          <w:p w14:paraId="6D00D3A5" w14:textId="77777777" w:rsidR="00D46B15" w:rsidRPr="00D46B15" w:rsidRDefault="00D46B15" w:rsidP="00BC38FA">
            <w:pPr>
              <w:spacing w:after="120"/>
              <w:ind w:left="57"/>
              <w:jc w:val="both"/>
            </w:pPr>
            <w:r w:rsidRPr="00D46B15">
              <w:t>Nav attiecināms</w:t>
            </w:r>
          </w:p>
          <w:p w14:paraId="53C4589A" w14:textId="77777777" w:rsidR="00D46B15" w:rsidRPr="00D46B15" w:rsidRDefault="00D46B15" w:rsidP="00BC38FA">
            <w:pPr>
              <w:ind w:left="57"/>
              <w:jc w:val="both"/>
            </w:pPr>
          </w:p>
        </w:tc>
      </w:tr>
      <w:tr w:rsidR="00D46B15" w:rsidRPr="002F73F0" w14:paraId="4589E90B" w14:textId="77777777" w:rsidTr="00E23D20">
        <w:trPr>
          <w:jc w:val="center"/>
        </w:trPr>
        <w:tc>
          <w:tcPr>
            <w:tcW w:w="8214" w:type="dxa"/>
            <w:gridSpan w:val="5"/>
            <w:tcBorders>
              <w:top w:val="outset" w:sz="6" w:space="0" w:color="auto"/>
              <w:left w:val="outset" w:sz="6" w:space="0" w:color="auto"/>
              <w:bottom w:val="outset" w:sz="6" w:space="0" w:color="auto"/>
              <w:right w:val="outset" w:sz="6" w:space="0" w:color="auto"/>
            </w:tcBorders>
          </w:tcPr>
          <w:p w14:paraId="2EFFDC43" w14:textId="77777777" w:rsidR="00D46B15" w:rsidRPr="004E7F87" w:rsidRDefault="00D46B15" w:rsidP="00BC38FA">
            <w:pPr>
              <w:ind w:left="57"/>
              <w:jc w:val="both"/>
              <w:rPr>
                <w:spacing w:val="-3"/>
              </w:rPr>
            </w:pPr>
            <w:r w:rsidRPr="004E7F87">
              <w:rPr>
                <w:spacing w:val="-4"/>
              </w:rPr>
              <w:t>Saistības sniegt paziņojumu ES insti</w:t>
            </w:r>
            <w:r w:rsidRPr="004E7F87">
              <w:rPr>
                <w:spacing w:val="-4"/>
              </w:rPr>
              <w:softHyphen/>
              <w:t>tūcijām un ES dalīb</w:t>
            </w:r>
            <w:r w:rsidRPr="004E7F87">
              <w:rPr>
                <w:spacing w:val="-4"/>
              </w:rPr>
              <w:softHyphen/>
              <w:t>valstīm atbilstoši normatīvajiem aktiem, kas regulē informā</w:t>
            </w:r>
            <w:r w:rsidRPr="004E7F87">
              <w:rPr>
                <w:spacing w:val="-4"/>
              </w:rPr>
              <w:softHyphen/>
              <w:t>cijas sniegšanu par tehnisko noteikumu, valsts atbalsta piešķir</w:t>
            </w:r>
            <w:r w:rsidRPr="004E7F87">
              <w:rPr>
                <w:spacing w:val="-4"/>
              </w:rPr>
              <w:softHyphen/>
              <w:t>šanas un finanšu noteikumu (attiecībā uz monetāro politiku) projektiem</w:t>
            </w:r>
          </w:p>
        </w:tc>
        <w:tc>
          <w:tcPr>
            <w:tcW w:w="1224" w:type="dxa"/>
            <w:tcBorders>
              <w:top w:val="outset" w:sz="6" w:space="0" w:color="auto"/>
              <w:left w:val="outset" w:sz="6" w:space="0" w:color="auto"/>
              <w:bottom w:val="outset" w:sz="6" w:space="0" w:color="auto"/>
              <w:right w:val="outset" w:sz="6" w:space="0" w:color="auto"/>
            </w:tcBorders>
          </w:tcPr>
          <w:p w14:paraId="28B1BC1A" w14:textId="77777777" w:rsidR="00D46B15" w:rsidRPr="00D46B15" w:rsidRDefault="00D46B15" w:rsidP="00BC38FA">
            <w:pPr>
              <w:ind w:left="57"/>
            </w:pPr>
            <w:r w:rsidRPr="00D46B15">
              <w:rPr>
                <w:iCs/>
              </w:rPr>
              <w:t>Nav attiecināms</w:t>
            </w:r>
          </w:p>
        </w:tc>
      </w:tr>
      <w:tr w:rsidR="00D46B15" w:rsidRPr="004E7F87" w14:paraId="14829359" w14:textId="77777777" w:rsidTr="00BC38FA">
        <w:trPr>
          <w:jc w:val="center"/>
        </w:trPr>
        <w:tc>
          <w:tcPr>
            <w:tcW w:w="2254" w:type="dxa"/>
            <w:gridSpan w:val="2"/>
            <w:tcBorders>
              <w:top w:val="outset" w:sz="6" w:space="0" w:color="auto"/>
              <w:left w:val="outset" w:sz="6" w:space="0" w:color="auto"/>
              <w:bottom w:val="outset" w:sz="6" w:space="0" w:color="auto"/>
              <w:right w:val="outset" w:sz="6" w:space="0" w:color="auto"/>
            </w:tcBorders>
          </w:tcPr>
          <w:p w14:paraId="56BE1C4B" w14:textId="77777777" w:rsidR="00D46B15" w:rsidRPr="004E7F87" w:rsidRDefault="00D46B15" w:rsidP="00BC38FA">
            <w:pPr>
              <w:ind w:left="57"/>
            </w:pPr>
            <w:r w:rsidRPr="004E7F87">
              <w:t>Cita informācija</w:t>
            </w:r>
          </w:p>
        </w:tc>
        <w:tc>
          <w:tcPr>
            <w:tcW w:w="7184" w:type="dxa"/>
            <w:gridSpan w:val="4"/>
            <w:tcBorders>
              <w:top w:val="outset" w:sz="6" w:space="0" w:color="auto"/>
              <w:left w:val="outset" w:sz="6" w:space="0" w:color="auto"/>
              <w:bottom w:val="outset" w:sz="6" w:space="0" w:color="auto"/>
              <w:right w:val="outset" w:sz="6" w:space="0" w:color="auto"/>
            </w:tcBorders>
          </w:tcPr>
          <w:p w14:paraId="56504628" w14:textId="350918CA" w:rsidR="00D46B15" w:rsidRPr="00D46B15" w:rsidRDefault="00D46B15" w:rsidP="00BC38FA">
            <w:pPr>
              <w:pStyle w:val="tv2131"/>
              <w:tabs>
                <w:tab w:val="left" w:pos="352"/>
              </w:tabs>
              <w:spacing w:after="120" w:line="240" w:lineRule="auto"/>
              <w:ind w:firstLine="0"/>
              <w:jc w:val="both"/>
              <w:rPr>
                <w:color w:val="auto"/>
                <w:sz w:val="24"/>
                <w:szCs w:val="24"/>
                <w:lang w:val="lv-LV"/>
              </w:rPr>
            </w:pPr>
            <w:r w:rsidRPr="00D46B15">
              <w:rPr>
                <w:color w:val="auto"/>
                <w:sz w:val="24"/>
                <w:szCs w:val="24"/>
                <w:lang w:val="lv-LV"/>
              </w:rPr>
              <w:t xml:space="preserve">1) Atsevišķas </w:t>
            </w:r>
            <w:r w:rsidRPr="00D46B15">
              <w:rPr>
                <w:bCs/>
                <w:color w:val="auto"/>
                <w:sz w:val="24"/>
                <w:szCs w:val="24"/>
                <w:lang w:val="lv-LV"/>
              </w:rPr>
              <w:t xml:space="preserve">Direktīvas 2003/122/Euratom prasības ir pārņemtas </w:t>
            </w:r>
            <w:r w:rsidRPr="00D46B15">
              <w:rPr>
                <w:color w:val="auto"/>
                <w:sz w:val="24"/>
                <w:szCs w:val="24"/>
                <w:lang w:val="lv-LV"/>
              </w:rPr>
              <w:t>likumā</w:t>
            </w:r>
            <w:r w:rsidR="0017607D">
              <w:rPr>
                <w:color w:val="auto"/>
                <w:sz w:val="24"/>
                <w:szCs w:val="24"/>
                <w:lang w:val="lv-LV"/>
              </w:rPr>
              <w:t xml:space="preserve"> </w:t>
            </w:r>
            <w:r w:rsidR="001A3F2D">
              <w:rPr>
                <w:color w:val="auto"/>
                <w:sz w:val="24"/>
                <w:szCs w:val="24"/>
                <w:lang w:val="lv-LV"/>
              </w:rPr>
              <w:t>„</w:t>
            </w:r>
            <w:r w:rsidR="0017607D">
              <w:rPr>
                <w:color w:val="auto"/>
                <w:sz w:val="24"/>
                <w:szCs w:val="24"/>
                <w:lang w:val="lv-LV"/>
              </w:rPr>
              <w:t>Par radiācijas drošību un kodoldrošību”</w:t>
            </w:r>
            <w:r w:rsidRPr="00D46B15">
              <w:rPr>
                <w:color w:val="auto"/>
                <w:sz w:val="24"/>
                <w:szCs w:val="24"/>
                <w:lang w:val="lv-LV"/>
              </w:rPr>
              <w:t xml:space="preserve">, Ministru kabineta 2002.gada 19.marta noteikumos Nr.129 „Prasības darbībām ar radioaktīvajiem atkritumiem un ar tiem saistītajiem materiāliem”, Ministru kabineta 2002.gada 9.aprīļa noteikumos Nr.149 </w:t>
            </w:r>
            <w:r w:rsidRPr="00D46B15">
              <w:rPr>
                <w:color w:val="auto"/>
                <w:sz w:val="24"/>
                <w:szCs w:val="24"/>
                <w:shd w:val="clear" w:color="auto" w:fill="FFFFFF"/>
                <w:lang w:val="lv-LV"/>
              </w:rPr>
              <w:t>„</w:t>
            </w:r>
            <w:r w:rsidRPr="00D46B15">
              <w:rPr>
                <w:color w:val="auto"/>
                <w:sz w:val="24"/>
                <w:szCs w:val="24"/>
                <w:lang w:val="lv-LV"/>
              </w:rPr>
              <w:t>Noteikumi par aizsardzību pret jonizējošo starojumu”</w:t>
            </w:r>
            <w:r w:rsidRPr="00D46B15">
              <w:rPr>
                <w:bCs/>
                <w:color w:val="auto"/>
                <w:sz w:val="24"/>
                <w:szCs w:val="24"/>
                <w:lang w:val="lv-LV"/>
              </w:rPr>
              <w:t xml:space="preserve">, Ministru kabineta 2015.gada 22.septembra noteikumos Nr.535 </w:t>
            </w:r>
            <w:r w:rsidR="001A3F2D">
              <w:rPr>
                <w:bCs/>
                <w:color w:val="auto"/>
                <w:sz w:val="24"/>
                <w:szCs w:val="24"/>
                <w:lang w:val="lv-LV"/>
              </w:rPr>
              <w:t>„</w:t>
            </w:r>
            <w:r w:rsidRPr="00D46B15">
              <w:rPr>
                <w:bCs/>
                <w:color w:val="auto"/>
                <w:sz w:val="24"/>
                <w:szCs w:val="24"/>
                <w:lang w:val="lv-LV"/>
              </w:rPr>
              <w:t xml:space="preserve">Kārtība, kādā veic preču, bagāžas, personu un transportlīdzekļu radiometrisko kontroli robežšķērsošanas vietās, un prasības radiometriskajā kontrolē iesaistīto personu apmācībai radiācijas drošības jautājumos” un Ministru kabineta 2015.gada 22.decembra noteikumos Nr.752 </w:t>
            </w:r>
            <w:r w:rsidR="001A3F2D">
              <w:rPr>
                <w:bCs/>
                <w:color w:val="auto"/>
                <w:sz w:val="24"/>
                <w:szCs w:val="24"/>
                <w:lang w:val="lv-LV"/>
              </w:rPr>
              <w:t>„</w:t>
            </w:r>
            <w:r w:rsidRPr="00D46B15">
              <w:rPr>
                <w:bCs/>
                <w:color w:val="auto"/>
                <w:sz w:val="24"/>
                <w:szCs w:val="24"/>
                <w:lang w:val="lv-LV"/>
              </w:rPr>
              <w:t xml:space="preserve">Kārtība, kādā licencē un reģistrē darbības ar jonizējošā starojuma avotiem”. </w:t>
            </w:r>
          </w:p>
          <w:p w14:paraId="60A04F5C" w14:textId="77777777" w:rsidR="00D46B15" w:rsidRPr="00D46B15" w:rsidRDefault="00D46B15" w:rsidP="00BC38FA">
            <w:pPr>
              <w:spacing w:after="120"/>
              <w:ind w:left="57"/>
              <w:jc w:val="both"/>
            </w:pPr>
            <w:r w:rsidRPr="00D46B15">
              <w:t xml:space="preserve">2) </w:t>
            </w:r>
            <w:r w:rsidRPr="00D46B15">
              <w:rPr>
                <w:bCs/>
              </w:rPr>
              <w:t xml:space="preserve">Direktīva 2003/122/Euratom zaudēs spēku līdz ar </w:t>
            </w:r>
            <w:r w:rsidRPr="00D46B15">
              <w:t>Direktīvas 2013/59/Euratom stāšanos spēkā.</w:t>
            </w:r>
          </w:p>
          <w:p w14:paraId="01116CAB" w14:textId="77777777" w:rsidR="00D46B15" w:rsidRPr="00D46B15" w:rsidRDefault="00D46B15" w:rsidP="00BC38FA">
            <w:pPr>
              <w:spacing w:after="120"/>
              <w:ind w:left="57"/>
              <w:jc w:val="both"/>
            </w:pPr>
            <w:r w:rsidRPr="00D46B15">
              <w:t xml:space="preserve">3) Direktīvas 2013/59/Euratom prasības nacionālajos tiesību aktos  jāpārņem līdz </w:t>
            </w:r>
            <w:r w:rsidRPr="00D46B15">
              <w:rPr>
                <w:u w:val="single"/>
              </w:rPr>
              <w:t>2018.gada 6.februārim.</w:t>
            </w:r>
            <w:r w:rsidRPr="00D46B15">
              <w:t xml:space="preserve"> Līdz ar to visas Direktīvas 2013/59/Euratom prasības tiks pārņemtas vairākos tiesību aktos.</w:t>
            </w:r>
          </w:p>
        </w:tc>
      </w:tr>
    </w:tbl>
    <w:p w14:paraId="705B6BC9" w14:textId="77777777" w:rsidR="00D46B15" w:rsidRDefault="00EC3123" w:rsidP="00D46B15">
      <w:pPr>
        <w:pStyle w:val="naisc"/>
      </w:pPr>
      <w:r>
        <w:t> </w:t>
      </w:r>
      <w:r>
        <w:rPr>
          <w:b/>
          <w:bCs/>
        </w:rPr>
        <w:t> </w:t>
      </w:r>
    </w:p>
    <w:tbl>
      <w:tblPr>
        <w:tblStyle w:val="TableGrid"/>
        <w:tblW w:w="9356" w:type="dxa"/>
        <w:tblInd w:w="-147" w:type="dxa"/>
        <w:tblLayout w:type="fixed"/>
        <w:tblLook w:val="04A0" w:firstRow="1" w:lastRow="0" w:firstColumn="1" w:lastColumn="0" w:noHBand="0" w:noVBand="1"/>
      </w:tblPr>
      <w:tblGrid>
        <w:gridCol w:w="426"/>
        <w:gridCol w:w="1843"/>
        <w:gridCol w:w="7087"/>
      </w:tblGrid>
      <w:tr w:rsidR="00D46B15" w14:paraId="6AA577FC" w14:textId="77777777" w:rsidTr="00BC38FA">
        <w:tc>
          <w:tcPr>
            <w:tcW w:w="9356" w:type="dxa"/>
            <w:gridSpan w:val="3"/>
          </w:tcPr>
          <w:p w14:paraId="7E42FB09" w14:textId="77777777" w:rsidR="00D46B15" w:rsidRDefault="00D46B15" w:rsidP="00BC38FA">
            <w:pPr>
              <w:pStyle w:val="naisc"/>
              <w:spacing w:before="0" w:after="0"/>
            </w:pPr>
            <w:r w:rsidRPr="008B1E31">
              <w:rPr>
                <w:b/>
                <w:bCs/>
              </w:rPr>
              <w:t> VI. Sabiedrības līdzdalība un komunikācijas aktivitātes</w:t>
            </w:r>
          </w:p>
        </w:tc>
      </w:tr>
      <w:tr w:rsidR="00D46B15" w14:paraId="4014A382" w14:textId="77777777" w:rsidTr="00E23D20">
        <w:tc>
          <w:tcPr>
            <w:tcW w:w="426" w:type="dxa"/>
          </w:tcPr>
          <w:p w14:paraId="68F8F827" w14:textId="77777777" w:rsidR="00D46B15" w:rsidRDefault="00D46B15" w:rsidP="00BC38FA">
            <w:pPr>
              <w:pStyle w:val="naisc"/>
              <w:spacing w:before="0" w:after="0"/>
            </w:pPr>
            <w:r>
              <w:t>1.</w:t>
            </w:r>
          </w:p>
        </w:tc>
        <w:tc>
          <w:tcPr>
            <w:tcW w:w="1843" w:type="dxa"/>
          </w:tcPr>
          <w:p w14:paraId="3254E8CE" w14:textId="77777777" w:rsidR="00D46B15" w:rsidRDefault="00D46B15" w:rsidP="00BC38FA">
            <w:pPr>
              <w:pStyle w:val="naisc"/>
              <w:spacing w:before="0" w:after="0"/>
              <w:jc w:val="both"/>
            </w:pPr>
            <w:r w:rsidRPr="008B1E31">
              <w:t>Plānotās sabiedrības līdzdalības un komunikācijas aktivitātes saistībā ar projektu</w:t>
            </w:r>
          </w:p>
        </w:tc>
        <w:tc>
          <w:tcPr>
            <w:tcW w:w="7087" w:type="dxa"/>
          </w:tcPr>
          <w:p w14:paraId="7E73EB3E" w14:textId="0E138672" w:rsidR="00D46B15" w:rsidRDefault="001A3F2D" w:rsidP="00BA038B">
            <w:pPr>
              <w:ind w:left="57" w:right="57"/>
              <w:jc w:val="both"/>
            </w:pPr>
            <w:r w:rsidRPr="00F42059">
              <w:t>Saskaņā ar Ministru kabineta 2009.gada 25.augusta noteikumu Nr.970 „Sabiedrības līdzdalības kārtība attīstības plānošanas procesā” 7.4.</w:t>
            </w:r>
            <w:r w:rsidRPr="00F42059">
              <w:rPr>
                <w:vertAlign w:val="superscript"/>
              </w:rPr>
              <w:t>1</w:t>
            </w:r>
            <w:r w:rsidRPr="00F42059">
              <w:t>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p>
        </w:tc>
      </w:tr>
      <w:tr w:rsidR="00D46B15" w14:paraId="1F9CA1AB" w14:textId="77777777" w:rsidTr="00E23D20">
        <w:tc>
          <w:tcPr>
            <w:tcW w:w="426" w:type="dxa"/>
          </w:tcPr>
          <w:p w14:paraId="72D180F9" w14:textId="77777777" w:rsidR="00D46B15" w:rsidRDefault="00D46B15" w:rsidP="00BC38FA">
            <w:pPr>
              <w:pStyle w:val="naisc"/>
              <w:spacing w:before="0" w:after="0"/>
            </w:pPr>
            <w:r>
              <w:lastRenderedPageBreak/>
              <w:t>2.</w:t>
            </w:r>
          </w:p>
        </w:tc>
        <w:tc>
          <w:tcPr>
            <w:tcW w:w="1843" w:type="dxa"/>
          </w:tcPr>
          <w:p w14:paraId="6A4DCCFC" w14:textId="77777777" w:rsidR="00D46B15" w:rsidRDefault="00D46B15" w:rsidP="00BC38FA">
            <w:pPr>
              <w:pStyle w:val="naisc"/>
              <w:spacing w:before="0" w:after="0"/>
              <w:jc w:val="both"/>
            </w:pPr>
            <w:r w:rsidRPr="008B1E31">
              <w:t>Sabiedrības līdzdalība projekta izstrādē</w:t>
            </w:r>
          </w:p>
        </w:tc>
        <w:tc>
          <w:tcPr>
            <w:tcW w:w="7087" w:type="dxa"/>
          </w:tcPr>
          <w:p w14:paraId="45BDDB8E" w14:textId="072387EF" w:rsidR="00D46B15" w:rsidRDefault="001A3F2D" w:rsidP="00165D5E">
            <w:pPr>
              <w:pStyle w:val="naisc"/>
              <w:spacing w:before="0" w:after="0"/>
              <w:jc w:val="both"/>
            </w:pPr>
            <w:r w:rsidRPr="008B1E31">
              <w:rPr>
                <w:iCs/>
              </w:rPr>
              <w:t>No</w:t>
            </w:r>
            <w:r>
              <w:rPr>
                <w:iCs/>
              </w:rPr>
              <w:t>teikumu</w:t>
            </w:r>
            <w:r w:rsidRPr="008B1E31">
              <w:rPr>
                <w:iCs/>
              </w:rPr>
              <w:t xml:space="preserve"> projekts publicēts </w:t>
            </w:r>
            <w:r w:rsidR="00165D5E">
              <w:rPr>
                <w:iCs/>
              </w:rPr>
              <w:t>VARAM</w:t>
            </w:r>
            <w:r w:rsidRPr="008B1E31">
              <w:rPr>
                <w:iCs/>
              </w:rPr>
              <w:t xml:space="preserve"> tīmekļa vietnē (</w:t>
            </w:r>
            <w:hyperlink r:id="rId7" w:history="1">
              <w:r w:rsidRPr="008B1E31">
                <w:rPr>
                  <w:rStyle w:val="Hyperlink"/>
                  <w:iCs/>
                  <w:color w:val="auto"/>
                </w:rPr>
                <w:t>www.varam.gov.lv</w:t>
              </w:r>
            </w:hyperlink>
            <w:r w:rsidRPr="008B1E31">
              <w:rPr>
                <w:iCs/>
              </w:rPr>
              <w:t>) publiskai sabiedris</w:t>
            </w:r>
            <w:r>
              <w:rPr>
                <w:iCs/>
              </w:rPr>
              <w:t>kai apspriešanai no 2016.gada 18.marta līdz 2016.gada 6.aprīlim.</w:t>
            </w:r>
          </w:p>
        </w:tc>
      </w:tr>
      <w:tr w:rsidR="00D46B15" w14:paraId="5C9676FE" w14:textId="77777777" w:rsidTr="00E23D20">
        <w:tc>
          <w:tcPr>
            <w:tcW w:w="426" w:type="dxa"/>
          </w:tcPr>
          <w:p w14:paraId="56F2D0BF" w14:textId="77777777" w:rsidR="00D46B15" w:rsidRDefault="00D46B15" w:rsidP="00BC38FA">
            <w:pPr>
              <w:pStyle w:val="naisc"/>
              <w:spacing w:before="0" w:after="0"/>
            </w:pPr>
            <w:r>
              <w:t>3.</w:t>
            </w:r>
          </w:p>
        </w:tc>
        <w:tc>
          <w:tcPr>
            <w:tcW w:w="1843" w:type="dxa"/>
          </w:tcPr>
          <w:p w14:paraId="3C3F0EFF" w14:textId="77777777" w:rsidR="00D46B15" w:rsidRDefault="00D46B15" w:rsidP="00BC38FA">
            <w:pPr>
              <w:pStyle w:val="naisc"/>
              <w:spacing w:before="0" w:after="0"/>
              <w:jc w:val="both"/>
            </w:pPr>
            <w:r w:rsidRPr="008B1E31">
              <w:t>Sabiedrības līdzdalības rezultāti</w:t>
            </w:r>
          </w:p>
        </w:tc>
        <w:tc>
          <w:tcPr>
            <w:tcW w:w="7087" w:type="dxa"/>
          </w:tcPr>
          <w:p w14:paraId="0F756E4E" w14:textId="229AFE72" w:rsidR="00D46B15" w:rsidRPr="00B362BF" w:rsidRDefault="00C74F8F" w:rsidP="00A23971">
            <w:pPr>
              <w:pStyle w:val="naiskr"/>
              <w:spacing w:before="20" w:after="20"/>
              <w:jc w:val="both"/>
              <w:rPr>
                <w:b/>
              </w:rPr>
            </w:pPr>
            <w:r w:rsidRPr="00B362BF">
              <w:rPr>
                <w:b/>
              </w:rPr>
              <w:t>Tika saņemti AS “Augstsprieguma Tīkls” un Baltijas Metāllūžņu pārstrādātāju asociācijas viedok</w:t>
            </w:r>
            <w:r w:rsidR="00B362BF" w:rsidRPr="00B362BF">
              <w:rPr>
                <w:b/>
              </w:rPr>
              <w:t xml:space="preserve">ļi par noteikumu Nr.960 24.punkta redakciju. </w:t>
            </w:r>
          </w:p>
          <w:p w14:paraId="5A2F1DC8" w14:textId="3BC9158D" w:rsidR="00B362BF" w:rsidRDefault="00B362BF" w:rsidP="007C44DD">
            <w:pPr>
              <w:pStyle w:val="naiskr"/>
              <w:spacing w:before="20" w:after="20"/>
              <w:jc w:val="both"/>
            </w:pPr>
            <w:r w:rsidRPr="00B362BF">
              <w:rPr>
                <w:b/>
              </w:rPr>
              <w:t>Saņemtie viedokļi tika ņemti vērā daļēji, sagatavojot</w:t>
            </w:r>
            <w:r w:rsidR="007C44DD">
              <w:rPr>
                <w:b/>
              </w:rPr>
              <w:t xml:space="preserve"> noteikumu Nr.960 26.punkta </w:t>
            </w:r>
            <w:r w:rsidR="007C44DD" w:rsidRPr="00B362BF">
              <w:rPr>
                <w:b/>
              </w:rPr>
              <w:t>kompromisa redakciju</w:t>
            </w:r>
            <w:r w:rsidRPr="00B362BF">
              <w:rPr>
                <w:b/>
              </w:rPr>
              <w:t xml:space="preserve"> </w:t>
            </w:r>
            <w:r w:rsidR="007C44DD">
              <w:rPr>
                <w:b/>
              </w:rPr>
              <w:t>(noteikumu projekta 11.punkts)</w:t>
            </w:r>
            <w:r w:rsidR="006D0D8E">
              <w:rPr>
                <w:b/>
              </w:rPr>
              <w:t>.</w:t>
            </w:r>
          </w:p>
        </w:tc>
      </w:tr>
      <w:tr w:rsidR="00D46B15" w14:paraId="4DD9DACD" w14:textId="77777777" w:rsidTr="00E23D20">
        <w:tc>
          <w:tcPr>
            <w:tcW w:w="426" w:type="dxa"/>
          </w:tcPr>
          <w:p w14:paraId="135FD959" w14:textId="0EA05A3F" w:rsidR="00D46B15" w:rsidRDefault="00D46B15" w:rsidP="00BC38FA">
            <w:pPr>
              <w:pStyle w:val="naisc"/>
              <w:spacing w:before="0" w:after="0"/>
            </w:pPr>
            <w:r>
              <w:t>4.</w:t>
            </w:r>
          </w:p>
        </w:tc>
        <w:tc>
          <w:tcPr>
            <w:tcW w:w="1843" w:type="dxa"/>
          </w:tcPr>
          <w:p w14:paraId="5F21F476" w14:textId="77777777" w:rsidR="00D46B15" w:rsidRDefault="00D46B15" w:rsidP="00BC38FA">
            <w:pPr>
              <w:pStyle w:val="naisc"/>
              <w:spacing w:before="0" w:after="0"/>
              <w:jc w:val="both"/>
            </w:pPr>
            <w:r w:rsidRPr="008B1E31">
              <w:t>Cita informācija</w:t>
            </w:r>
          </w:p>
        </w:tc>
        <w:tc>
          <w:tcPr>
            <w:tcW w:w="7087" w:type="dxa"/>
          </w:tcPr>
          <w:p w14:paraId="34AC377F" w14:textId="473C0C80" w:rsidR="00D46B15" w:rsidRDefault="006244BE" w:rsidP="00BC38FA">
            <w:pPr>
              <w:pStyle w:val="naisc"/>
              <w:spacing w:before="0" w:after="0"/>
              <w:jc w:val="both"/>
            </w:pPr>
            <w:r>
              <w:t>Nav</w:t>
            </w:r>
          </w:p>
        </w:tc>
      </w:tr>
    </w:tbl>
    <w:p w14:paraId="39ABD83E" w14:textId="77777777" w:rsidR="00D46B15" w:rsidRDefault="00D46B15" w:rsidP="00D46B15">
      <w:pPr>
        <w:pStyle w:val="naisf"/>
        <w:spacing w:before="0" w:after="0"/>
        <w:ind w:firstLine="0"/>
      </w:pPr>
    </w:p>
    <w:tbl>
      <w:tblPr>
        <w:tblW w:w="5167"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1843"/>
        <w:gridCol w:w="7085"/>
      </w:tblGrid>
      <w:tr w:rsidR="00D46B15" w:rsidRPr="00571157" w14:paraId="0A7AC69B" w14:textId="77777777" w:rsidTr="00BC38FA">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93A056" w14:textId="77777777" w:rsidR="00D46B15" w:rsidRPr="00571157" w:rsidRDefault="00D46B15" w:rsidP="00BC38FA">
            <w:pPr>
              <w:spacing w:before="100" w:beforeAutospacing="1" w:after="100" w:afterAutospacing="1" w:line="293" w:lineRule="atLeast"/>
              <w:jc w:val="center"/>
              <w:rPr>
                <w:rFonts w:ascii="Arial" w:hAnsi="Arial" w:cs="Arial"/>
                <w:b/>
                <w:bCs/>
                <w:color w:val="414142"/>
                <w:sz w:val="20"/>
                <w:szCs w:val="20"/>
              </w:rPr>
            </w:pPr>
            <w:r w:rsidRPr="00571157">
              <w:rPr>
                <w:b/>
                <w:bCs/>
              </w:rPr>
              <w:t>VII. Tiesību akta projekta izpildes nodrošināšana un tās ietekme uz institūcijām</w:t>
            </w:r>
          </w:p>
        </w:tc>
      </w:tr>
      <w:tr w:rsidR="00D46B15" w:rsidRPr="008B1E31" w14:paraId="7E39DD24" w14:textId="77777777" w:rsidTr="00E23D20">
        <w:trPr>
          <w:trHeight w:val="42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321E71A" w14:textId="77777777" w:rsidR="00D46B15" w:rsidRPr="008B1E31" w:rsidRDefault="00D46B15" w:rsidP="00BC38FA">
            <w:r w:rsidRPr="008B1E31">
              <w:t>1.</w:t>
            </w:r>
          </w:p>
        </w:tc>
        <w:tc>
          <w:tcPr>
            <w:tcW w:w="985" w:type="pct"/>
            <w:tcBorders>
              <w:top w:val="outset" w:sz="6" w:space="0" w:color="414142"/>
              <w:left w:val="outset" w:sz="6" w:space="0" w:color="414142"/>
              <w:bottom w:val="outset" w:sz="6" w:space="0" w:color="414142"/>
              <w:right w:val="outset" w:sz="6" w:space="0" w:color="414142"/>
            </w:tcBorders>
            <w:shd w:val="clear" w:color="auto" w:fill="FFFFFF"/>
            <w:hideMark/>
          </w:tcPr>
          <w:p w14:paraId="66AB8C29" w14:textId="77777777" w:rsidR="00D46B15" w:rsidRPr="008B1E31" w:rsidRDefault="00D46B15" w:rsidP="00BC38FA">
            <w:r w:rsidRPr="008B1E31">
              <w:t>Projekta izpildē iesaistītās institūcijas</w:t>
            </w:r>
          </w:p>
        </w:tc>
        <w:tc>
          <w:tcPr>
            <w:tcW w:w="3787" w:type="pct"/>
            <w:tcBorders>
              <w:top w:val="outset" w:sz="6" w:space="0" w:color="414142"/>
              <w:left w:val="outset" w:sz="6" w:space="0" w:color="414142"/>
              <w:bottom w:val="outset" w:sz="6" w:space="0" w:color="414142"/>
              <w:right w:val="outset" w:sz="6" w:space="0" w:color="414142"/>
            </w:tcBorders>
            <w:shd w:val="clear" w:color="auto" w:fill="FFFFFF"/>
            <w:hideMark/>
          </w:tcPr>
          <w:p w14:paraId="5E2CF82E" w14:textId="65B86456" w:rsidR="00D46B15" w:rsidRPr="008B1E31" w:rsidRDefault="00D46B15" w:rsidP="00BC38FA">
            <w:r w:rsidRPr="008B1E31">
              <w:t>V</w:t>
            </w:r>
            <w:r w:rsidR="006244BE">
              <w:t>VD</w:t>
            </w:r>
          </w:p>
        </w:tc>
      </w:tr>
      <w:tr w:rsidR="00D46B15" w:rsidRPr="008B1E31" w14:paraId="3D0CC1B6" w14:textId="77777777" w:rsidTr="00E23D20">
        <w:trPr>
          <w:trHeight w:val="45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0CE5A584" w14:textId="77777777" w:rsidR="00D46B15" w:rsidRPr="008B1E31" w:rsidRDefault="00D46B15" w:rsidP="00BC38FA">
            <w:r w:rsidRPr="008B1E31">
              <w:t>2.</w:t>
            </w:r>
          </w:p>
        </w:tc>
        <w:tc>
          <w:tcPr>
            <w:tcW w:w="985" w:type="pct"/>
            <w:tcBorders>
              <w:top w:val="outset" w:sz="6" w:space="0" w:color="414142"/>
              <w:left w:val="outset" w:sz="6" w:space="0" w:color="414142"/>
              <w:bottom w:val="outset" w:sz="6" w:space="0" w:color="414142"/>
              <w:right w:val="outset" w:sz="6" w:space="0" w:color="414142"/>
            </w:tcBorders>
            <w:shd w:val="clear" w:color="auto" w:fill="FFFFFF"/>
            <w:hideMark/>
          </w:tcPr>
          <w:p w14:paraId="610B811B" w14:textId="77777777" w:rsidR="00D46B15" w:rsidRPr="008B1E31" w:rsidRDefault="00D46B15" w:rsidP="00BC38FA">
            <w:r w:rsidRPr="008B1E31">
              <w:t>Projekta izpildes ietekme uz pārvaldes funkcijām un institucionālo struktūru.</w:t>
            </w:r>
          </w:p>
          <w:p w14:paraId="1164E5F1" w14:textId="77777777" w:rsidR="00D46B15" w:rsidRPr="008B1E31" w:rsidRDefault="00D46B15" w:rsidP="00BC38FA">
            <w:pPr>
              <w:spacing w:before="100" w:beforeAutospacing="1" w:after="100" w:afterAutospacing="1" w:line="293" w:lineRule="atLeast"/>
            </w:pPr>
            <w:r w:rsidRPr="008B1E31">
              <w:t>Jaunu institūciju izveide, esošu institūciju likvidācija vai reorganizācija, to ietekme uz institūcijas cilvēkresursiem</w:t>
            </w:r>
          </w:p>
        </w:tc>
        <w:tc>
          <w:tcPr>
            <w:tcW w:w="3787" w:type="pct"/>
            <w:tcBorders>
              <w:top w:val="outset" w:sz="6" w:space="0" w:color="414142"/>
              <w:left w:val="outset" w:sz="6" w:space="0" w:color="414142"/>
              <w:bottom w:val="outset" w:sz="6" w:space="0" w:color="414142"/>
              <w:right w:val="outset" w:sz="6" w:space="0" w:color="414142"/>
            </w:tcBorders>
            <w:shd w:val="clear" w:color="auto" w:fill="FFFFFF"/>
            <w:hideMark/>
          </w:tcPr>
          <w:p w14:paraId="66D60F10" w14:textId="77777777" w:rsidR="00D46B15" w:rsidRPr="008B1E31" w:rsidRDefault="00D46B15" w:rsidP="00BC38FA">
            <w:pPr>
              <w:jc w:val="both"/>
            </w:pPr>
            <w:r>
              <w:t>Noteikumu</w:t>
            </w:r>
            <w:r w:rsidRPr="00836D9F">
              <w:t xml:space="preserve"> projekts neparedz jaunu valsts pārvaldes institūciju izveidi. </w:t>
            </w:r>
            <w:r>
              <w:t>Noteikumu</w:t>
            </w:r>
            <w:r w:rsidRPr="00836D9F">
              <w:t xml:space="preserve"> projekts neparedz esošo valsts pārvaldes institūciju likvidāciju vai reorganizāciju.</w:t>
            </w:r>
          </w:p>
        </w:tc>
      </w:tr>
      <w:tr w:rsidR="00D46B15" w:rsidRPr="00571157" w14:paraId="183C7335" w14:textId="77777777" w:rsidTr="00E23D20">
        <w:trPr>
          <w:trHeight w:val="39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D704859" w14:textId="77777777" w:rsidR="00D46B15" w:rsidRPr="00571157" w:rsidRDefault="00D46B15" w:rsidP="00BC38FA">
            <w:pPr>
              <w:rPr>
                <w:color w:val="414142"/>
              </w:rPr>
            </w:pPr>
            <w:r w:rsidRPr="00571157">
              <w:rPr>
                <w:color w:val="414142"/>
              </w:rPr>
              <w:t>3.</w:t>
            </w:r>
          </w:p>
        </w:tc>
        <w:tc>
          <w:tcPr>
            <w:tcW w:w="985" w:type="pct"/>
            <w:tcBorders>
              <w:top w:val="outset" w:sz="6" w:space="0" w:color="414142"/>
              <w:left w:val="outset" w:sz="6" w:space="0" w:color="414142"/>
              <w:bottom w:val="outset" w:sz="6" w:space="0" w:color="414142"/>
              <w:right w:val="outset" w:sz="6" w:space="0" w:color="414142"/>
            </w:tcBorders>
            <w:shd w:val="clear" w:color="auto" w:fill="FFFFFF"/>
            <w:hideMark/>
          </w:tcPr>
          <w:p w14:paraId="47944105" w14:textId="77777777" w:rsidR="00D46B15" w:rsidRPr="00BA038B" w:rsidRDefault="00D46B15" w:rsidP="00BC38FA">
            <w:r w:rsidRPr="00BA038B">
              <w:t>Cita informācija</w:t>
            </w:r>
          </w:p>
        </w:tc>
        <w:tc>
          <w:tcPr>
            <w:tcW w:w="3787" w:type="pct"/>
            <w:tcBorders>
              <w:top w:val="outset" w:sz="6" w:space="0" w:color="414142"/>
              <w:left w:val="outset" w:sz="6" w:space="0" w:color="414142"/>
              <w:bottom w:val="outset" w:sz="6" w:space="0" w:color="414142"/>
              <w:right w:val="outset" w:sz="6" w:space="0" w:color="414142"/>
            </w:tcBorders>
            <w:shd w:val="clear" w:color="auto" w:fill="FFFFFF"/>
            <w:hideMark/>
          </w:tcPr>
          <w:p w14:paraId="1D8F299F" w14:textId="6DEE2F46" w:rsidR="00D46B15" w:rsidRPr="00BA038B" w:rsidRDefault="00D46B15" w:rsidP="00BC38FA">
            <w:pPr>
              <w:spacing w:before="100" w:beforeAutospacing="1" w:after="100" w:afterAutospacing="1" w:line="293" w:lineRule="atLeast"/>
            </w:pPr>
            <w:r w:rsidRPr="00BA038B">
              <w:t>Nav</w:t>
            </w:r>
          </w:p>
        </w:tc>
      </w:tr>
    </w:tbl>
    <w:p w14:paraId="621C85CE" w14:textId="77777777" w:rsidR="00D46B15" w:rsidRDefault="00D46B15" w:rsidP="00D46B15">
      <w:pPr>
        <w:pStyle w:val="naisf"/>
        <w:spacing w:before="0" w:after="0"/>
        <w:ind w:firstLine="0"/>
      </w:pPr>
    </w:p>
    <w:p w14:paraId="48EB23A6" w14:textId="0884ED04" w:rsidR="00EC3123" w:rsidRPr="007C44DD" w:rsidRDefault="00D46B15" w:rsidP="007C44DD">
      <w:pPr>
        <w:pStyle w:val="naisf"/>
        <w:spacing w:before="0" w:after="0"/>
        <w:rPr>
          <w:i/>
        </w:rPr>
      </w:pPr>
      <w:r w:rsidRPr="008F51B1">
        <w:rPr>
          <w:i/>
        </w:rPr>
        <w:t>Anotācijas</w:t>
      </w:r>
      <w:r>
        <w:rPr>
          <w:i/>
        </w:rPr>
        <w:t xml:space="preserve"> III, IV</w:t>
      </w:r>
      <w:r w:rsidRPr="008F51B1">
        <w:rPr>
          <w:i/>
        </w:rPr>
        <w:t xml:space="preserve"> sadaļa – </w:t>
      </w:r>
      <w:r>
        <w:rPr>
          <w:i/>
        </w:rPr>
        <w:t>projekts šīs jomas neskar</w:t>
      </w:r>
      <w:r w:rsidR="00A23971">
        <w:rPr>
          <w:i/>
        </w:rPr>
        <w:t>.</w:t>
      </w:r>
    </w:p>
    <w:p w14:paraId="7FC374E3" w14:textId="77777777" w:rsidR="00EC3123" w:rsidRDefault="00EC3123" w:rsidP="00EC3123">
      <w:pPr>
        <w:pStyle w:val="naisf"/>
        <w:spacing w:before="0" w:after="0"/>
        <w:ind w:firstLine="0"/>
      </w:pPr>
    </w:p>
    <w:p w14:paraId="086823A7" w14:textId="77777777" w:rsidR="00EC3123" w:rsidRPr="00913623" w:rsidRDefault="00EC3123" w:rsidP="00EC3123">
      <w:pPr>
        <w:pStyle w:val="naisf"/>
        <w:spacing w:before="0" w:after="0"/>
        <w:ind w:firstLine="0"/>
      </w:pPr>
      <w:r w:rsidRPr="00913623">
        <w:t xml:space="preserve">Vides aizsardzības un </w:t>
      </w:r>
    </w:p>
    <w:p w14:paraId="1E2C6276" w14:textId="77777777" w:rsidR="00EC3123" w:rsidRPr="00913623" w:rsidRDefault="00EC3123" w:rsidP="00EC3123">
      <w:pPr>
        <w:pStyle w:val="naisf"/>
        <w:spacing w:before="0" w:after="0"/>
        <w:ind w:firstLine="0"/>
      </w:pPr>
      <w:r w:rsidRPr="00913623">
        <w:t xml:space="preserve">reģionālās attīstības ministrs </w:t>
      </w:r>
      <w:r w:rsidRPr="00913623">
        <w:tab/>
      </w:r>
      <w:r w:rsidRPr="00913623">
        <w:tab/>
      </w:r>
      <w:r w:rsidRPr="00913623">
        <w:tab/>
      </w:r>
      <w:r w:rsidRPr="00913623">
        <w:tab/>
      </w:r>
      <w:r>
        <w:tab/>
      </w:r>
      <w:r w:rsidRPr="00913623">
        <w:tab/>
      </w:r>
      <w:r>
        <w:t>K.Gerhards</w:t>
      </w:r>
    </w:p>
    <w:p w14:paraId="27CA0377" w14:textId="77777777" w:rsidR="00EC3123" w:rsidRPr="00913623" w:rsidRDefault="00EC3123" w:rsidP="00EC3123">
      <w:pPr>
        <w:jc w:val="both"/>
      </w:pPr>
    </w:p>
    <w:p w14:paraId="0BF3A15C" w14:textId="77777777" w:rsidR="00EC3123" w:rsidRPr="00913623" w:rsidRDefault="00EC3123" w:rsidP="00EC3123">
      <w:pPr>
        <w:jc w:val="both"/>
      </w:pPr>
    </w:p>
    <w:p w14:paraId="1C81F195" w14:textId="77777777" w:rsidR="00EC3123" w:rsidRPr="00913623" w:rsidRDefault="00EC3123" w:rsidP="00EC3123">
      <w:pPr>
        <w:jc w:val="both"/>
      </w:pPr>
      <w:r w:rsidRPr="00913623">
        <w:t xml:space="preserve">Vīza: </w:t>
      </w:r>
    </w:p>
    <w:p w14:paraId="401DAC95" w14:textId="3E16EC30" w:rsidR="00EC3123" w:rsidRPr="00913623" w:rsidRDefault="00165D5E" w:rsidP="00EC3123">
      <w:pPr>
        <w:jc w:val="both"/>
      </w:pPr>
      <w:r>
        <w:t>v</w:t>
      </w:r>
      <w:r w:rsidR="00EC3123">
        <w:t>alsts sekretārs</w:t>
      </w:r>
      <w:r w:rsidR="00EC3123">
        <w:tab/>
      </w:r>
      <w:r w:rsidR="00EC3123">
        <w:tab/>
      </w:r>
      <w:r w:rsidR="00EC3123">
        <w:tab/>
      </w:r>
      <w:r w:rsidR="00EC3123">
        <w:tab/>
      </w:r>
      <w:r w:rsidR="00EC3123">
        <w:tab/>
      </w:r>
      <w:r w:rsidR="00EC3123">
        <w:tab/>
      </w:r>
      <w:r w:rsidR="00EC3123">
        <w:tab/>
        <w:t>R.Muciņš</w:t>
      </w:r>
    </w:p>
    <w:p w14:paraId="4D72A698" w14:textId="77777777" w:rsidR="00EC3123" w:rsidRDefault="00EC3123" w:rsidP="00EC3123">
      <w:pPr>
        <w:pStyle w:val="naisf"/>
        <w:spacing w:before="0" w:after="0"/>
        <w:ind w:firstLine="0"/>
        <w:rPr>
          <w:sz w:val="20"/>
          <w:szCs w:val="20"/>
        </w:rPr>
      </w:pPr>
    </w:p>
    <w:p w14:paraId="426E0696" w14:textId="77777777" w:rsidR="00EC3123" w:rsidRPr="00160EBA" w:rsidRDefault="00EC3123" w:rsidP="00EC3123">
      <w:pPr>
        <w:pStyle w:val="naisf"/>
        <w:spacing w:before="0" w:after="0"/>
        <w:ind w:firstLine="0"/>
        <w:rPr>
          <w:sz w:val="20"/>
          <w:szCs w:val="20"/>
        </w:rPr>
      </w:pPr>
    </w:p>
    <w:p w14:paraId="11FF7B84" w14:textId="548CEA78" w:rsidR="00EC3123" w:rsidRPr="0046549D" w:rsidRDefault="000208D1" w:rsidP="00EC3123">
      <w:pPr>
        <w:jc w:val="both"/>
        <w:rPr>
          <w:sz w:val="20"/>
          <w:szCs w:val="20"/>
        </w:rPr>
      </w:pPr>
      <w:r>
        <w:rPr>
          <w:sz w:val="20"/>
          <w:szCs w:val="20"/>
        </w:rPr>
        <w:t>06</w:t>
      </w:r>
      <w:r w:rsidR="00EC3123" w:rsidRPr="0046549D">
        <w:rPr>
          <w:sz w:val="20"/>
          <w:szCs w:val="20"/>
        </w:rPr>
        <w:t>.</w:t>
      </w:r>
      <w:r w:rsidR="007C44DD">
        <w:rPr>
          <w:sz w:val="20"/>
          <w:szCs w:val="20"/>
        </w:rPr>
        <w:t>07.</w:t>
      </w:r>
      <w:r w:rsidR="00EC3123" w:rsidRPr="0046549D">
        <w:rPr>
          <w:sz w:val="20"/>
          <w:szCs w:val="20"/>
        </w:rPr>
        <w:t>201</w:t>
      </w:r>
      <w:r w:rsidR="00EC3123">
        <w:rPr>
          <w:sz w:val="20"/>
          <w:szCs w:val="20"/>
        </w:rPr>
        <w:t>6.</w:t>
      </w:r>
      <w:r w:rsidR="00EC3123" w:rsidRPr="0046549D">
        <w:rPr>
          <w:sz w:val="20"/>
          <w:szCs w:val="20"/>
        </w:rPr>
        <w:t>; 10:00</w:t>
      </w:r>
    </w:p>
    <w:p w14:paraId="11323453" w14:textId="0A3AB02A" w:rsidR="00EC3123" w:rsidRPr="0046549D" w:rsidRDefault="007C44DD" w:rsidP="00EC3123">
      <w:pPr>
        <w:jc w:val="both"/>
        <w:rPr>
          <w:sz w:val="20"/>
          <w:szCs w:val="20"/>
        </w:rPr>
      </w:pPr>
      <w:r>
        <w:rPr>
          <w:sz w:val="20"/>
          <w:szCs w:val="20"/>
        </w:rPr>
        <w:t>1993</w:t>
      </w:r>
    </w:p>
    <w:p w14:paraId="4E0DFE90" w14:textId="77777777" w:rsidR="00EC3123" w:rsidRPr="0046549D" w:rsidRDefault="00EC3123" w:rsidP="00EC3123">
      <w:pPr>
        <w:jc w:val="both"/>
        <w:rPr>
          <w:sz w:val="20"/>
          <w:szCs w:val="20"/>
        </w:rPr>
      </w:pPr>
      <w:r>
        <w:rPr>
          <w:sz w:val="20"/>
          <w:szCs w:val="20"/>
        </w:rPr>
        <w:t>I.Donina</w:t>
      </w:r>
    </w:p>
    <w:p w14:paraId="31515A84" w14:textId="086FFAF4" w:rsidR="000D6C3A" w:rsidRPr="000208D1" w:rsidRDefault="00EC3123" w:rsidP="000208D1">
      <w:pPr>
        <w:jc w:val="both"/>
        <w:rPr>
          <w:sz w:val="20"/>
          <w:szCs w:val="20"/>
        </w:rPr>
      </w:pPr>
      <w:r>
        <w:rPr>
          <w:sz w:val="20"/>
          <w:szCs w:val="20"/>
        </w:rPr>
        <w:t>67026515</w:t>
      </w:r>
      <w:r w:rsidRPr="0046549D">
        <w:rPr>
          <w:sz w:val="20"/>
          <w:szCs w:val="20"/>
        </w:rPr>
        <w:t xml:space="preserve">; </w:t>
      </w:r>
      <w:hyperlink r:id="rId8" w:history="1">
        <w:r w:rsidRPr="00EC7FB5">
          <w:rPr>
            <w:rStyle w:val="Hyperlink"/>
            <w:sz w:val="20"/>
            <w:szCs w:val="20"/>
          </w:rPr>
          <w:t>ilze.donina@varam.gov.lv</w:t>
        </w:r>
      </w:hyperlink>
      <w:r w:rsidRPr="0046549D">
        <w:rPr>
          <w:sz w:val="20"/>
          <w:szCs w:val="20"/>
        </w:rPr>
        <w:t xml:space="preserve"> </w:t>
      </w:r>
    </w:p>
    <w:sectPr w:rsidR="000D6C3A" w:rsidRPr="000208D1" w:rsidSect="00434207">
      <w:headerReference w:type="even" r:id="rId9"/>
      <w:headerReference w:type="default" r:id="rId10"/>
      <w:footerReference w:type="default" r:id="rId11"/>
      <w:footerReference w:type="first" r:id="rId12"/>
      <w:pgSz w:w="11906" w:h="16838" w:code="9"/>
      <w:pgMar w:top="1411" w:right="1138" w:bottom="1138"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885E" w14:textId="77777777" w:rsidR="00080743" w:rsidRDefault="00080743" w:rsidP="00EC3123">
      <w:r>
        <w:separator/>
      </w:r>
    </w:p>
  </w:endnote>
  <w:endnote w:type="continuationSeparator" w:id="0">
    <w:p w14:paraId="24ACF93E" w14:textId="77777777" w:rsidR="00080743" w:rsidRDefault="00080743" w:rsidP="00E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AD9C" w14:textId="0ACD941B" w:rsidR="001B630A" w:rsidRPr="00BA038B" w:rsidRDefault="001B630A" w:rsidP="001B630A">
    <w:pPr>
      <w:pStyle w:val="BodyText"/>
      <w:jc w:val="both"/>
      <w:rPr>
        <w:sz w:val="20"/>
      </w:rPr>
    </w:pPr>
    <w:r w:rsidRPr="00BA038B">
      <w:rPr>
        <w:sz w:val="20"/>
      </w:rPr>
      <w:t>V</w:t>
    </w:r>
    <w:r w:rsidR="007C44DD">
      <w:rPr>
        <w:sz w:val="20"/>
      </w:rPr>
      <w:t>ARAMAnot_</w:t>
    </w:r>
    <w:r w:rsidR="000208D1">
      <w:rPr>
        <w:sz w:val="20"/>
      </w:rPr>
      <w:t>06</w:t>
    </w:r>
    <w:r w:rsidR="007C44DD">
      <w:rPr>
        <w:sz w:val="20"/>
      </w:rPr>
      <w:t>07</w:t>
    </w:r>
    <w:r w:rsidRPr="00BA038B">
      <w:rPr>
        <w:sz w:val="20"/>
      </w:rPr>
      <w:t>16_groz960; Tiesību akta projekta sākotnējās ietekmes novērtējuma ziņojums (anotācija) par Ministru kabineta noteikumu projektu “</w:t>
    </w:r>
    <w:r w:rsidRPr="00BA038B">
      <w:rPr>
        <w:bCs/>
        <w:sz w:val="20"/>
      </w:rPr>
      <w:t>Grozījumi Ministru kabineta 2011.gada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p w14:paraId="50F222CC" w14:textId="77777777" w:rsidR="00D84C46" w:rsidRPr="001B630A" w:rsidRDefault="00914626" w:rsidP="004D2702">
    <w:pPr>
      <w:jc w:val="both"/>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D74C" w14:textId="305FFE14" w:rsidR="00EC3123" w:rsidRDefault="00EA1386" w:rsidP="001B630A">
    <w:pPr>
      <w:pStyle w:val="BodyText"/>
      <w:jc w:val="both"/>
      <w:rPr>
        <w:bCs/>
        <w:sz w:val="20"/>
      </w:rPr>
    </w:pPr>
    <w:r w:rsidRPr="001C200E">
      <w:rPr>
        <w:sz w:val="20"/>
      </w:rPr>
      <w:t>V</w:t>
    </w:r>
    <w:r w:rsidR="007C44DD">
      <w:rPr>
        <w:sz w:val="20"/>
      </w:rPr>
      <w:t>ARAMAnot_</w:t>
    </w:r>
    <w:r w:rsidR="000208D1">
      <w:rPr>
        <w:sz w:val="20"/>
      </w:rPr>
      <w:t>06</w:t>
    </w:r>
    <w:r w:rsidR="007C44DD">
      <w:rPr>
        <w:sz w:val="20"/>
      </w:rPr>
      <w:t>07</w:t>
    </w:r>
    <w:r w:rsidRPr="001C200E">
      <w:rPr>
        <w:sz w:val="20"/>
      </w:rPr>
      <w:t>16_</w:t>
    </w:r>
    <w:r w:rsidR="001B630A" w:rsidRPr="001C200E">
      <w:rPr>
        <w:sz w:val="20"/>
      </w:rPr>
      <w:t>groz960</w:t>
    </w:r>
    <w:r w:rsidRPr="001C200E">
      <w:rPr>
        <w:sz w:val="20"/>
      </w:rPr>
      <w:t xml:space="preserve">; </w:t>
    </w:r>
    <w:r w:rsidR="00EC3123" w:rsidRPr="001C200E">
      <w:rPr>
        <w:sz w:val="20"/>
      </w:rPr>
      <w:t xml:space="preserve">Tiesību akta projekta </w:t>
    </w:r>
    <w:r w:rsidR="001B630A" w:rsidRPr="001C200E">
      <w:rPr>
        <w:sz w:val="20"/>
      </w:rPr>
      <w:t xml:space="preserve">sākotnējās ietekmes novērtējuma </w:t>
    </w:r>
    <w:r w:rsidR="00EC3123" w:rsidRPr="001C200E">
      <w:rPr>
        <w:sz w:val="20"/>
      </w:rPr>
      <w:t>ziņojums (anotācija) par Ministru kabineta noteikumu projektu “</w:t>
    </w:r>
    <w:r w:rsidR="00EC3123" w:rsidRPr="001C200E">
      <w:rPr>
        <w:bCs/>
        <w:sz w:val="20"/>
      </w:rPr>
      <w:t>Grozījumi Ministru kabineta 2011.gada 13.decembra noteikumos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p w14:paraId="715143B5" w14:textId="77777777" w:rsidR="001C200E" w:rsidRPr="001C200E" w:rsidRDefault="001C200E" w:rsidP="001B630A">
    <w:pPr>
      <w:pStyle w:val="BodyText"/>
      <w:jc w:val="both"/>
      <w:rPr>
        <w:sz w:val="20"/>
      </w:rPr>
    </w:pPr>
  </w:p>
  <w:p w14:paraId="52354890" w14:textId="77777777" w:rsidR="004E0DFC" w:rsidRPr="004E0DFC" w:rsidRDefault="00914626" w:rsidP="004E0DFC">
    <w:pPr>
      <w:pStyle w:val="BodyText"/>
      <w:rPr>
        <w:szCs w:val="24"/>
      </w:rPr>
    </w:pPr>
  </w:p>
  <w:p w14:paraId="612DA0DD" w14:textId="77777777" w:rsidR="00D84C46" w:rsidRPr="004E0DFC" w:rsidRDefault="00914626" w:rsidP="004E0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C1B11" w14:textId="77777777" w:rsidR="00080743" w:rsidRDefault="00080743" w:rsidP="00EC3123">
      <w:r>
        <w:separator/>
      </w:r>
    </w:p>
  </w:footnote>
  <w:footnote w:type="continuationSeparator" w:id="0">
    <w:p w14:paraId="0533955E" w14:textId="77777777" w:rsidR="00080743" w:rsidRDefault="00080743" w:rsidP="00EC3123">
      <w:r>
        <w:continuationSeparator/>
      </w:r>
    </w:p>
  </w:footnote>
  <w:footnote w:id="1">
    <w:p w14:paraId="47256F5B" w14:textId="28E02960" w:rsidR="00D46B15" w:rsidRPr="00D46B15" w:rsidRDefault="00D46B15" w:rsidP="00D46B15">
      <w:pPr>
        <w:pStyle w:val="FootnoteText"/>
        <w:jc w:val="both"/>
      </w:pPr>
      <w:r>
        <w:rPr>
          <w:rStyle w:val="FootnoteReference"/>
        </w:rPr>
        <w:footnoteRef/>
      </w:r>
      <w:r>
        <w:t xml:space="preserve"> </w:t>
      </w:r>
      <w:r>
        <w:rPr>
          <w:lang w:val="lv-LV"/>
        </w:rPr>
        <w:t xml:space="preserve">MKN960 - Ministru kabineta 2011.gada 13.decembra noteikumi Nr.960 </w:t>
      </w:r>
      <w:r w:rsidR="000174A2">
        <w:rPr>
          <w:lang w:val="lv-LV"/>
        </w:rPr>
        <w:t>„</w:t>
      </w:r>
      <w:r w:rsidRPr="00781A54">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Pr>
          <w:lang w:val="lv-LV"/>
        </w:rPr>
        <w:t>”</w:t>
      </w:r>
    </w:p>
  </w:footnote>
  <w:footnote w:id="2">
    <w:p w14:paraId="022DE34F" w14:textId="3AA01A99" w:rsidR="00D46B15" w:rsidRPr="00781A54" w:rsidRDefault="00D46B15" w:rsidP="00D46B15">
      <w:pPr>
        <w:pStyle w:val="FootnoteText"/>
        <w:jc w:val="both"/>
        <w:rPr>
          <w:lang w:val="lv-LV"/>
        </w:rPr>
      </w:pPr>
      <w:r>
        <w:rPr>
          <w:rStyle w:val="FootnoteReference"/>
        </w:rPr>
        <w:footnoteRef/>
      </w:r>
      <w:r>
        <w:t xml:space="preserve"> </w:t>
      </w:r>
      <w:r>
        <w:rPr>
          <w:lang w:val="lv-LV"/>
        </w:rPr>
        <w:t xml:space="preserve">MKN535 - </w:t>
      </w:r>
      <w:r w:rsidRPr="00781A54">
        <w:rPr>
          <w:lang w:val="lv-LV"/>
        </w:rPr>
        <w:t xml:space="preserve">Ministru kabineta 2015.gada 22.septembra noteikumi Nr.535 </w:t>
      </w:r>
      <w:r w:rsidR="000174A2">
        <w:rPr>
          <w:lang w:val="lv-LV"/>
        </w:rPr>
        <w:t>„</w:t>
      </w:r>
      <w:r w:rsidRPr="00781A54">
        <w:rPr>
          <w:lang w:val="lv-LV"/>
        </w:rPr>
        <w:t>Kārtība, kādā veic preču, bagāžas, personu un transportlīdzekļu radiometrisko kontroli robežšķērsošanas vietās, un prasības radiometriskajā kontrolē iesaistīto personu apmācībai radiācijas drošības jautājumos”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74A0" w14:textId="77777777" w:rsidR="00D84C46" w:rsidRDefault="00EA1386" w:rsidP="00ED7A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310D7" w14:textId="77777777" w:rsidR="00D84C46" w:rsidRDefault="0091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EC81" w14:textId="77777777" w:rsidR="00D84C46" w:rsidRDefault="00EA1386" w:rsidP="00ED7A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626">
      <w:rPr>
        <w:rStyle w:val="PageNumber"/>
        <w:noProof/>
      </w:rPr>
      <w:t>7</w:t>
    </w:r>
    <w:r>
      <w:rPr>
        <w:rStyle w:val="PageNumber"/>
      </w:rPr>
      <w:fldChar w:fldCharType="end"/>
    </w:r>
  </w:p>
  <w:p w14:paraId="2E220EBF" w14:textId="77777777" w:rsidR="00D84C46" w:rsidRDefault="0091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23D"/>
    <w:multiLevelType w:val="hybridMultilevel"/>
    <w:tmpl w:val="7D2ED63A"/>
    <w:lvl w:ilvl="0" w:tplc="6D246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2B064F8"/>
    <w:multiLevelType w:val="hybridMultilevel"/>
    <w:tmpl w:val="4F1C40E4"/>
    <w:lvl w:ilvl="0" w:tplc="27F069B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CF7842"/>
    <w:multiLevelType w:val="hybridMultilevel"/>
    <w:tmpl w:val="65920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23"/>
    <w:rsid w:val="000174A2"/>
    <w:rsid w:val="000208D1"/>
    <w:rsid w:val="00047877"/>
    <w:rsid w:val="00080743"/>
    <w:rsid w:val="0009436D"/>
    <w:rsid w:val="000D6C3A"/>
    <w:rsid w:val="001001AE"/>
    <w:rsid w:val="00165D5E"/>
    <w:rsid w:val="0017607D"/>
    <w:rsid w:val="001A3F2D"/>
    <w:rsid w:val="001B630A"/>
    <w:rsid w:val="001C200E"/>
    <w:rsid w:val="001F088B"/>
    <w:rsid w:val="002D7E92"/>
    <w:rsid w:val="00320FC9"/>
    <w:rsid w:val="00326E41"/>
    <w:rsid w:val="00330C64"/>
    <w:rsid w:val="00363F16"/>
    <w:rsid w:val="00392FF4"/>
    <w:rsid w:val="003F1F84"/>
    <w:rsid w:val="00420BF9"/>
    <w:rsid w:val="004C55E0"/>
    <w:rsid w:val="004D197F"/>
    <w:rsid w:val="004E29C0"/>
    <w:rsid w:val="00540176"/>
    <w:rsid w:val="0062076F"/>
    <w:rsid w:val="006244BE"/>
    <w:rsid w:val="006D0D8E"/>
    <w:rsid w:val="006E0557"/>
    <w:rsid w:val="006F4F83"/>
    <w:rsid w:val="00713F78"/>
    <w:rsid w:val="007A74E4"/>
    <w:rsid w:val="007C44DD"/>
    <w:rsid w:val="0085365F"/>
    <w:rsid w:val="00875957"/>
    <w:rsid w:val="008B2477"/>
    <w:rsid w:val="00914626"/>
    <w:rsid w:val="00960618"/>
    <w:rsid w:val="00A13D24"/>
    <w:rsid w:val="00A23971"/>
    <w:rsid w:val="00A87601"/>
    <w:rsid w:val="00B362BF"/>
    <w:rsid w:val="00B61905"/>
    <w:rsid w:val="00BA038B"/>
    <w:rsid w:val="00BC0744"/>
    <w:rsid w:val="00C505D5"/>
    <w:rsid w:val="00C74F8F"/>
    <w:rsid w:val="00C9573C"/>
    <w:rsid w:val="00CC2C3A"/>
    <w:rsid w:val="00CD4A0E"/>
    <w:rsid w:val="00CF568D"/>
    <w:rsid w:val="00D01E51"/>
    <w:rsid w:val="00D05E90"/>
    <w:rsid w:val="00D46B15"/>
    <w:rsid w:val="00D96490"/>
    <w:rsid w:val="00E060D7"/>
    <w:rsid w:val="00E23D20"/>
    <w:rsid w:val="00EA1386"/>
    <w:rsid w:val="00EC3123"/>
    <w:rsid w:val="00F05866"/>
    <w:rsid w:val="00F34FF6"/>
    <w:rsid w:val="00FB3087"/>
    <w:rsid w:val="00FC4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369D"/>
  <w15:chartTrackingRefBased/>
  <w15:docId w15:val="{2F9B6855-8306-41F8-83EE-8B8A1C2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2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EC3123"/>
    <w:pPr>
      <w:spacing w:before="150" w:after="150"/>
      <w:jc w:val="center"/>
    </w:pPr>
    <w:rPr>
      <w:b/>
      <w:bCs/>
    </w:rPr>
  </w:style>
  <w:style w:type="paragraph" w:customStyle="1" w:styleId="naisf">
    <w:name w:val="naisf"/>
    <w:basedOn w:val="Normal"/>
    <w:rsid w:val="00EC3123"/>
    <w:pPr>
      <w:spacing w:before="75" w:after="75"/>
      <w:ind w:firstLine="375"/>
      <w:jc w:val="both"/>
    </w:pPr>
  </w:style>
  <w:style w:type="paragraph" w:customStyle="1" w:styleId="naislab">
    <w:name w:val="naislab"/>
    <w:basedOn w:val="Normal"/>
    <w:rsid w:val="00EC3123"/>
    <w:pPr>
      <w:spacing w:before="75" w:after="75"/>
      <w:jc w:val="right"/>
    </w:pPr>
  </w:style>
  <w:style w:type="paragraph" w:customStyle="1" w:styleId="naiskr">
    <w:name w:val="naiskr"/>
    <w:basedOn w:val="Normal"/>
    <w:rsid w:val="00EC3123"/>
    <w:pPr>
      <w:spacing w:before="75" w:after="75"/>
    </w:pPr>
  </w:style>
  <w:style w:type="paragraph" w:customStyle="1" w:styleId="naisc">
    <w:name w:val="naisc"/>
    <w:basedOn w:val="Normal"/>
    <w:rsid w:val="00EC3123"/>
    <w:pPr>
      <w:spacing w:before="75" w:after="75"/>
      <w:jc w:val="center"/>
    </w:pPr>
  </w:style>
  <w:style w:type="character" w:styleId="Hyperlink">
    <w:name w:val="Hyperlink"/>
    <w:rsid w:val="00EC3123"/>
    <w:rPr>
      <w:color w:val="0000FF"/>
      <w:u w:val="single"/>
    </w:rPr>
  </w:style>
  <w:style w:type="paragraph" w:styleId="Header">
    <w:name w:val="header"/>
    <w:basedOn w:val="Normal"/>
    <w:link w:val="HeaderChar"/>
    <w:rsid w:val="00EC3123"/>
    <w:pPr>
      <w:tabs>
        <w:tab w:val="center" w:pos="4153"/>
        <w:tab w:val="right" w:pos="8306"/>
      </w:tabs>
    </w:pPr>
  </w:style>
  <w:style w:type="character" w:customStyle="1" w:styleId="HeaderChar">
    <w:name w:val="Header Char"/>
    <w:basedOn w:val="DefaultParagraphFont"/>
    <w:link w:val="Header"/>
    <w:rsid w:val="00EC3123"/>
    <w:rPr>
      <w:rFonts w:ascii="Times New Roman" w:eastAsia="Times New Roman" w:hAnsi="Times New Roman" w:cs="Times New Roman"/>
      <w:sz w:val="24"/>
      <w:szCs w:val="24"/>
      <w:lang w:eastAsia="lv-LV"/>
    </w:rPr>
  </w:style>
  <w:style w:type="character" w:styleId="PageNumber">
    <w:name w:val="page number"/>
    <w:basedOn w:val="DefaultParagraphFont"/>
    <w:rsid w:val="00EC3123"/>
  </w:style>
  <w:style w:type="paragraph" w:styleId="BodyText">
    <w:name w:val="Body Text"/>
    <w:basedOn w:val="Normal"/>
    <w:link w:val="BodyTextChar"/>
    <w:semiHidden/>
    <w:rsid w:val="00EC3123"/>
    <w:rPr>
      <w:szCs w:val="20"/>
      <w:lang w:eastAsia="en-US"/>
    </w:rPr>
  </w:style>
  <w:style w:type="character" w:customStyle="1" w:styleId="BodyTextChar">
    <w:name w:val="Body Text Char"/>
    <w:basedOn w:val="DefaultParagraphFont"/>
    <w:link w:val="BodyText"/>
    <w:semiHidden/>
    <w:rsid w:val="00EC31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C3123"/>
    <w:pPr>
      <w:tabs>
        <w:tab w:val="center" w:pos="4153"/>
        <w:tab w:val="right" w:pos="8306"/>
      </w:tabs>
    </w:pPr>
  </w:style>
  <w:style w:type="character" w:customStyle="1" w:styleId="FooterChar">
    <w:name w:val="Footer Char"/>
    <w:basedOn w:val="DefaultParagraphFont"/>
    <w:link w:val="Footer"/>
    <w:uiPriority w:val="99"/>
    <w:rsid w:val="00EC312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B630A"/>
    <w:pPr>
      <w:ind w:left="720"/>
      <w:contextualSpacing/>
    </w:pPr>
  </w:style>
  <w:style w:type="paragraph" w:styleId="BodyTextIndent3">
    <w:name w:val="Body Text Indent 3"/>
    <w:basedOn w:val="Normal"/>
    <w:link w:val="BodyTextIndent3Char"/>
    <w:rsid w:val="00B61905"/>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B61905"/>
    <w:rPr>
      <w:rFonts w:ascii="Times New Roman" w:eastAsia="Times New Roman" w:hAnsi="Times New Roman" w:cs="Times New Roman"/>
      <w:sz w:val="16"/>
      <w:szCs w:val="16"/>
      <w:lang w:val="x-none" w:eastAsia="x-none"/>
    </w:rPr>
  </w:style>
  <w:style w:type="table" w:styleId="TableGrid">
    <w:name w:val="Table Grid"/>
    <w:basedOn w:val="TableNormal"/>
    <w:uiPriority w:val="39"/>
    <w:rsid w:val="0032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46B15"/>
    <w:rPr>
      <w:vertAlign w:val="superscript"/>
    </w:rPr>
  </w:style>
  <w:style w:type="paragraph" w:styleId="FootnoteText">
    <w:name w:val="footnote text"/>
    <w:basedOn w:val="Normal"/>
    <w:link w:val="FootnoteTextChar"/>
    <w:rsid w:val="00D46B15"/>
    <w:rPr>
      <w:sz w:val="20"/>
      <w:szCs w:val="20"/>
      <w:lang w:val="x-none" w:eastAsia="x-none"/>
    </w:rPr>
  </w:style>
  <w:style w:type="character" w:customStyle="1" w:styleId="FootnoteTextChar">
    <w:name w:val="Footnote Text Char"/>
    <w:basedOn w:val="DefaultParagraphFont"/>
    <w:link w:val="FootnoteText"/>
    <w:rsid w:val="00D46B15"/>
    <w:rPr>
      <w:rFonts w:ascii="Times New Roman" w:eastAsia="Times New Roman" w:hAnsi="Times New Roman" w:cs="Times New Roman"/>
      <w:sz w:val="20"/>
      <w:szCs w:val="20"/>
      <w:lang w:val="x-none" w:eastAsia="x-none"/>
    </w:rPr>
  </w:style>
  <w:style w:type="paragraph" w:customStyle="1" w:styleId="tv2131">
    <w:name w:val="tv2131"/>
    <w:basedOn w:val="Normal"/>
    <w:rsid w:val="00D46B15"/>
    <w:pPr>
      <w:spacing w:line="360" w:lineRule="auto"/>
      <w:ind w:firstLine="253"/>
    </w:pPr>
    <w:rPr>
      <w:color w:val="414142"/>
      <w:sz w:val="16"/>
      <w:szCs w:val="16"/>
      <w:lang w:val="en-US" w:eastAsia="en-US"/>
    </w:rPr>
  </w:style>
  <w:style w:type="paragraph" w:styleId="BalloonText">
    <w:name w:val="Balloon Text"/>
    <w:basedOn w:val="Normal"/>
    <w:link w:val="BalloonTextChar"/>
    <w:uiPriority w:val="99"/>
    <w:semiHidden/>
    <w:unhideWhenUsed/>
    <w:rsid w:val="004E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C0"/>
    <w:rPr>
      <w:rFonts w:ascii="Segoe UI" w:eastAsia="Times New Roman" w:hAnsi="Segoe UI" w:cs="Segoe UI"/>
      <w:sz w:val="18"/>
      <w:szCs w:val="18"/>
      <w:lang w:eastAsia="lv-LV"/>
    </w:rPr>
  </w:style>
  <w:style w:type="paragraph" w:styleId="BodyText2">
    <w:name w:val="Body Text 2"/>
    <w:basedOn w:val="Normal"/>
    <w:link w:val="BodyText2Char"/>
    <w:uiPriority w:val="99"/>
    <w:rsid w:val="00875957"/>
    <w:pPr>
      <w:spacing w:after="120" w:line="480" w:lineRule="auto"/>
    </w:pPr>
    <w:rPr>
      <w:lang w:val="en-GB" w:eastAsia="en-US"/>
    </w:rPr>
  </w:style>
  <w:style w:type="character" w:customStyle="1" w:styleId="BodyText2Char">
    <w:name w:val="Body Text 2 Char"/>
    <w:basedOn w:val="DefaultParagraphFont"/>
    <w:link w:val="BodyText2"/>
    <w:uiPriority w:val="99"/>
    <w:rsid w:val="00875957"/>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47877"/>
    <w:rPr>
      <w:sz w:val="16"/>
      <w:szCs w:val="16"/>
    </w:rPr>
  </w:style>
  <w:style w:type="paragraph" w:styleId="CommentText">
    <w:name w:val="annotation text"/>
    <w:basedOn w:val="Normal"/>
    <w:link w:val="CommentTextChar"/>
    <w:uiPriority w:val="99"/>
    <w:semiHidden/>
    <w:unhideWhenUsed/>
    <w:rsid w:val="00047877"/>
    <w:rPr>
      <w:sz w:val="20"/>
      <w:szCs w:val="20"/>
    </w:rPr>
  </w:style>
  <w:style w:type="character" w:customStyle="1" w:styleId="CommentTextChar">
    <w:name w:val="Comment Text Char"/>
    <w:basedOn w:val="DefaultParagraphFont"/>
    <w:link w:val="CommentText"/>
    <w:uiPriority w:val="99"/>
    <w:semiHidden/>
    <w:rsid w:val="000478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877"/>
    <w:rPr>
      <w:b/>
      <w:bCs/>
    </w:rPr>
  </w:style>
  <w:style w:type="character" w:customStyle="1" w:styleId="CommentSubjectChar">
    <w:name w:val="Comment Subject Char"/>
    <w:basedOn w:val="CommentTextChar"/>
    <w:link w:val="CommentSubject"/>
    <w:uiPriority w:val="99"/>
    <w:semiHidden/>
    <w:rsid w:val="0004787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9905</Words>
  <Characters>5647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Larisa Titkoviča</cp:lastModifiedBy>
  <cp:revision>2</cp:revision>
  <cp:lastPrinted>2016-05-25T15:14:00Z</cp:lastPrinted>
  <dcterms:created xsi:type="dcterms:W3CDTF">2016-08-18T09:28:00Z</dcterms:created>
  <dcterms:modified xsi:type="dcterms:W3CDTF">2016-08-18T09:28:00Z</dcterms:modified>
  <cp:contentStatus/>
</cp:coreProperties>
</file>