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AB" w:rsidRPr="005D1B10" w:rsidRDefault="0084512E" w:rsidP="00FD58D0">
      <w:pPr>
        <w:pStyle w:val="naislab"/>
        <w:spacing w:before="0" w:after="60"/>
        <w:jc w:val="center"/>
        <w:outlineLvl w:val="0"/>
        <w:rPr>
          <w:b/>
        </w:rPr>
      </w:pPr>
      <w:bookmarkStart w:id="0" w:name="_GoBack"/>
      <w:bookmarkEnd w:id="0"/>
      <w:r w:rsidRPr="005D1B10">
        <w:rPr>
          <w:b/>
        </w:rPr>
        <w:t xml:space="preserve">Ministru kabineta </w:t>
      </w:r>
      <w:r w:rsidRPr="00244F50">
        <w:rPr>
          <w:b/>
        </w:rPr>
        <w:t>noteikumu projekt</w:t>
      </w:r>
      <w:r w:rsidR="000E1718" w:rsidRPr="00244F50">
        <w:rPr>
          <w:b/>
        </w:rPr>
        <w:t>a</w:t>
      </w:r>
      <w:r w:rsidRPr="00244F50">
        <w:rPr>
          <w:b/>
        </w:rPr>
        <w:t xml:space="preserve"> </w:t>
      </w:r>
      <w:r w:rsidR="00CB4AAB" w:rsidRPr="000E1718">
        <w:rPr>
          <w:b/>
        </w:rPr>
        <w:t>„</w:t>
      </w:r>
      <w:r w:rsidRPr="000E1718">
        <w:rPr>
          <w:b/>
        </w:rPr>
        <w:t>Grozījumi Ministru kabineta 2014.</w:t>
      </w:r>
      <w:r w:rsidR="008000AA">
        <w:rPr>
          <w:b/>
        </w:rPr>
        <w:t> </w:t>
      </w:r>
      <w:r w:rsidRPr="000E1718">
        <w:rPr>
          <w:b/>
        </w:rPr>
        <w:t>gada 20.</w:t>
      </w:r>
      <w:r w:rsidR="008000AA">
        <w:rPr>
          <w:b/>
        </w:rPr>
        <w:t> </w:t>
      </w:r>
      <w:r w:rsidRPr="000E1718">
        <w:rPr>
          <w:b/>
        </w:rPr>
        <w:t>maija noteikumos Nr.</w:t>
      </w:r>
      <w:r w:rsidR="008000AA">
        <w:rPr>
          <w:b/>
        </w:rPr>
        <w:t> </w:t>
      </w:r>
      <w:r w:rsidRPr="000E1718">
        <w:rPr>
          <w:b/>
        </w:rPr>
        <w:t>250 „Noteikumi par darbībām emisijas reģistrā”</w:t>
      </w:r>
      <w:r w:rsidR="00CB4AAB" w:rsidRPr="000E1718">
        <w:rPr>
          <w:b/>
        </w:rPr>
        <w:t xml:space="preserve">” </w:t>
      </w:r>
      <w:r w:rsidR="00CB4AAB" w:rsidRPr="005D1B10">
        <w:rPr>
          <w:b/>
        </w:rPr>
        <w:t xml:space="preserve">sākotnējās ietekmes novērtējuma </w:t>
      </w:r>
      <w:smartTag w:uri="schemas-tilde-lv/tildestengine" w:element="veidnes">
        <w:smartTagPr>
          <w:attr w:name="text" w:val="ziņojums"/>
          <w:attr w:name="baseform" w:val="ziņojums"/>
          <w:attr w:name="id" w:val="-1"/>
        </w:smartTagPr>
        <w:r w:rsidR="00CB4AAB" w:rsidRPr="005D1B10">
          <w:rPr>
            <w:b/>
          </w:rPr>
          <w:t>ziņojums</w:t>
        </w:r>
      </w:smartTag>
      <w:r w:rsidR="00CB4AAB" w:rsidRPr="005D1B10">
        <w:rPr>
          <w:b/>
        </w:rPr>
        <w:t xml:space="preserve"> (anotācija)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2"/>
        <w:gridCol w:w="1644"/>
        <w:gridCol w:w="7513"/>
      </w:tblGrid>
      <w:tr w:rsidR="00F122F9" w:rsidRPr="00F122F9" w:rsidTr="006060FB">
        <w:trPr>
          <w:trHeight w:val="255"/>
          <w:jc w:val="center"/>
        </w:trPr>
        <w:tc>
          <w:tcPr>
            <w:tcW w:w="0" w:type="auto"/>
            <w:gridSpan w:val="3"/>
            <w:vAlign w:val="center"/>
          </w:tcPr>
          <w:p w:rsidR="00CB4AAB" w:rsidRPr="00F122F9" w:rsidRDefault="008000AA" w:rsidP="00042B74">
            <w:pPr>
              <w:spacing w:after="0"/>
              <w:jc w:val="center"/>
              <w:rPr>
                <w:rFonts w:ascii="Times New Roman" w:hAnsi="Times New Roman"/>
                <w:b/>
                <w:bCs/>
                <w:lang w:eastAsia="lv-LV"/>
              </w:rPr>
            </w:pPr>
            <w:r>
              <w:rPr>
                <w:rFonts w:ascii="Times New Roman" w:hAnsi="Times New Roman"/>
                <w:b/>
                <w:bCs/>
                <w:lang w:eastAsia="lv-LV"/>
              </w:rPr>
              <w:t>I. </w:t>
            </w:r>
            <w:r w:rsidR="00CB4AAB" w:rsidRPr="00F122F9">
              <w:rPr>
                <w:rFonts w:ascii="Times New Roman" w:hAnsi="Times New Roman"/>
                <w:b/>
                <w:bCs/>
                <w:lang w:eastAsia="lv-LV"/>
              </w:rPr>
              <w:t>Tiesību akta projekta izstrādes nepieciešamība</w:t>
            </w:r>
          </w:p>
        </w:tc>
      </w:tr>
      <w:tr w:rsidR="00F122F9" w:rsidRPr="00F122F9" w:rsidTr="006060FB">
        <w:trPr>
          <w:trHeight w:val="405"/>
          <w:jc w:val="center"/>
        </w:trPr>
        <w:tc>
          <w:tcPr>
            <w:tcW w:w="250" w:type="pct"/>
          </w:tcPr>
          <w:p w:rsidR="00CB4AAB" w:rsidRPr="00F122F9" w:rsidRDefault="00CB4AAB" w:rsidP="00042B74">
            <w:pPr>
              <w:spacing w:after="0"/>
              <w:jc w:val="center"/>
              <w:rPr>
                <w:rFonts w:ascii="Times New Roman" w:hAnsi="Times New Roman"/>
                <w:lang w:eastAsia="lv-LV"/>
              </w:rPr>
            </w:pPr>
            <w:r w:rsidRPr="00F122F9">
              <w:rPr>
                <w:rFonts w:ascii="Times New Roman" w:hAnsi="Times New Roman"/>
                <w:lang w:eastAsia="lv-LV"/>
              </w:rPr>
              <w:t>1.</w:t>
            </w:r>
          </w:p>
        </w:tc>
        <w:tc>
          <w:tcPr>
            <w:tcW w:w="853" w:type="pct"/>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Pamatojums</w:t>
            </w:r>
          </w:p>
        </w:tc>
        <w:tc>
          <w:tcPr>
            <w:tcW w:w="3897" w:type="pct"/>
          </w:tcPr>
          <w:p w:rsidR="00F07CD0" w:rsidRPr="00244F50" w:rsidRDefault="00811E9C" w:rsidP="00042B74">
            <w:pPr>
              <w:spacing w:after="0"/>
            </w:pPr>
            <w:r>
              <w:rPr>
                <w:rFonts w:ascii="Times New Roman" w:hAnsi="Times New Roman"/>
              </w:rPr>
              <w:t>Likuma „Par piesārņojumu”</w:t>
            </w:r>
            <w:r w:rsidR="0084512E" w:rsidRPr="00244F50">
              <w:rPr>
                <w:rFonts w:ascii="Times New Roman" w:hAnsi="Times New Roman"/>
                <w:iCs/>
              </w:rPr>
              <w:t xml:space="preserve"> 31.</w:t>
            </w:r>
            <w:r w:rsidR="0084512E" w:rsidRPr="00244F50">
              <w:rPr>
                <w:rFonts w:ascii="Times New Roman" w:hAnsi="Times New Roman"/>
                <w:iCs/>
                <w:vertAlign w:val="superscript"/>
              </w:rPr>
              <w:t>1</w:t>
            </w:r>
            <w:r w:rsidR="008000AA">
              <w:rPr>
                <w:rFonts w:ascii="Times New Roman" w:hAnsi="Times New Roman"/>
                <w:iCs/>
              </w:rPr>
              <w:t> </w:t>
            </w:r>
            <w:r w:rsidR="0084512E" w:rsidRPr="00244F50">
              <w:rPr>
                <w:rFonts w:ascii="Times New Roman" w:hAnsi="Times New Roman"/>
                <w:iCs/>
              </w:rPr>
              <w:t>panta 5.</w:t>
            </w:r>
            <w:r w:rsidR="008000AA">
              <w:rPr>
                <w:rFonts w:ascii="Times New Roman" w:hAnsi="Times New Roman"/>
                <w:iCs/>
              </w:rPr>
              <w:t> </w:t>
            </w:r>
            <w:r w:rsidR="0084512E" w:rsidRPr="00244F50">
              <w:rPr>
                <w:rFonts w:ascii="Times New Roman" w:hAnsi="Times New Roman"/>
                <w:iCs/>
              </w:rPr>
              <w:t>punkts un 32.</w:t>
            </w:r>
            <w:r w:rsidR="0084512E" w:rsidRPr="00244F50">
              <w:rPr>
                <w:rFonts w:ascii="Times New Roman" w:hAnsi="Times New Roman"/>
                <w:iCs/>
                <w:vertAlign w:val="superscript"/>
              </w:rPr>
              <w:t>3</w:t>
            </w:r>
            <w:r w:rsidR="008000AA">
              <w:rPr>
                <w:rFonts w:ascii="Times New Roman" w:hAnsi="Times New Roman"/>
                <w:iCs/>
                <w:vertAlign w:val="superscript"/>
              </w:rPr>
              <w:t> </w:t>
            </w:r>
            <w:r w:rsidR="0084512E" w:rsidRPr="00244F50">
              <w:rPr>
                <w:rFonts w:ascii="Times New Roman" w:hAnsi="Times New Roman"/>
                <w:iCs/>
              </w:rPr>
              <w:t>panta devītās daļas 1.</w:t>
            </w:r>
            <w:r w:rsidR="008000AA">
              <w:rPr>
                <w:rFonts w:ascii="Times New Roman" w:hAnsi="Times New Roman"/>
                <w:iCs/>
              </w:rPr>
              <w:t> </w:t>
            </w:r>
            <w:r w:rsidR="0084512E" w:rsidRPr="00244F50">
              <w:rPr>
                <w:rFonts w:ascii="Times New Roman" w:hAnsi="Times New Roman"/>
                <w:iCs/>
              </w:rPr>
              <w:t>punkts.</w:t>
            </w:r>
          </w:p>
        </w:tc>
      </w:tr>
      <w:tr w:rsidR="00F122F9" w:rsidRPr="00042B74" w:rsidTr="006060FB">
        <w:trPr>
          <w:trHeight w:val="465"/>
          <w:jc w:val="center"/>
        </w:trPr>
        <w:tc>
          <w:tcPr>
            <w:tcW w:w="250" w:type="pct"/>
          </w:tcPr>
          <w:p w:rsidR="00CB4AAB" w:rsidRPr="00042B74" w:rsidRDefault="00CB4AAB" w:rsidP="00042B74">
            <w:pPr>
              <w:spacing w:after="0"/>
              <w:jc w:val="center"/>
              <w:rPr>
                <w:rFonts w:ascii="Times New Roman" w:hAnsi="Times New Roman"/>
                <w:lang w:eastAsia="lv-LV"/>
              </w:rPr>
            </w:pPr>
            <w:r w:rsidRPr="00042B74">
              <w:rPr>
                <w:rFonts w:ascii="Times New Roman" w:hAnsi="Times New Roman"/>
                <w:lang w:eastAsia="lv-LV"/>
              </w:rPr>
              <w:t>2.</w:t>
            </w:r>
          </w:p>
        </w:tc>
        <w:tc>
          <w:tcPr>
            <w:tcW w:w="853" w:type="pct"/>
          </w:tcPr>
          <w:p w:rsidR="00CB4AAB" w:rsidRPr="00042B74" w:rsidRDefault="00CB4AAB" w:rsidP="00042B74">
            <w:pPr>
              <w:spacing w:after="0"/>
              <w:jc w:val="left"/>
              <w:rPr>
                <w:rFonts w:ascii="Times New Roman" w:hAnsi="Times New Roman"/>
                <w:lang w:eastAsia="lv-LV"/>
              </w:rPr>
            </w:pPr>
            <w:r w:rsidRPr="00042B74">
              <w:rPr>
                <w:rFonts w:ascii="Times New Roman" w:hAnsi="Times New Roman"/>
                <w:lang w:eastAsia="lv-LV"/>
              </w:rPr>
              <w:t>Pašreizējā situācija un problēmas, kuru risināšanai tiesību akta projekts izstrādāts, tiesiskā regulējuma mērķis un būtība</w:t>
            </w:r>
          </w:p>
        </w:tc>
        <w:tc>
          <w:tcPr>
            <w:tcW w:w="3897" w:type="pct"/>
          </w:tcPr>
          <w:p w:rsidR="00B9333B" w:rsidRPr="00042B74" w:rsidRDefault="00B9333B" w:rsidP="00042B74">
            <w:pPr>
              <w:spacing w:after="0"/>
              <w:rPr>
                <w:rFonts w:ascii="Times New Roman" w:hAnsi="Times New Roman"/>
                <w:iCs/>
              </w:rPr>
            </w:pPr>
            <w:r w:rsidRPr="00042B74">
              <w:rPr>
                <w:rFonts w:ascii="Times New Roman" w:hAnsi="Times New Roman"/>
                <w:iCs/>
              </w:rPr>
              <w:t>Ministru kabineta noteikumu projekts „Grozījumi Ministru kabineta 2014.</w:t>
            </w:r>
            <w:r w:rsidR="008000AA">
              <w:rPr>
                <w:rFonts w:ascii="Times New Roman" w:hAnsi="Times New Roman"/>
                <w:iCs/>
              </w:rPr>
              <w:t> </w:t>
            </w:r>
            <w:r w:rsidRPr="00042B74">
              <w:rPr>
                <w:rFonts w:ascii="Times New Roman" w:hAnsi="Times New Roman"/>
                <w:iCs/>
              </w:rPr>
              <w:t>gada 20.</w:t>
            </w:r>
            <w:r w:rsidR="008000AA">
              <w:rPr>
                <w:rFonts w:ascii="Times New Roman" w:hAnsi="Times New Roman"/>
                <w:iCs/>
              </w:rPr>
              <w:t> </w:t>
            </w:r>
            <w:r w:rsidRPr="00042B74">
              <w:rPr>
                <w:rFonts w:ascii="Times New Roman" w:hAnsi="Times New Roman"/>
                <w:iCs/>
              </w:rPr>
              <w:t>maija noteikumos Nr.</w:t>
            </w:r>
            <w:r w:rsidR="008000AA">
              <w:rPr>
                <w:rFonts w:ascii="Times New Roman" w:hAnsi="Times New Roman"/>
                <w:iCs/>
              </w:rPr>
              <w:t> </w:t>
            </w:r>
            <w:r w:rsidRPr="00042B74">
              <w:rPr>
                <w:rFonts w:ascii="Times New Roman" w:hAnsi="Times New Roman"/>
                <w:iCs/>
              </w:rPr>
              <w:t>250 „Noteikumi par darbībām emisijas reģistrā”” (turpmāk – noteikumu projekts) ir izstrādāts pēc Vides aizsardzības un reģionālās attīstības ministrijas (turpmāk – VARAM) iniciatīvas</w:t>
            </w:r>
            <w:r w:rsidR="0036280E" w:rsidRPr="00042B74">
              <w:rPr>
                <w:rFonts w:ascii="Times New Roman" w:hAnsi="Times New Roman"/>
                <w:iCs/>
              </w:rPr>
              <w:t xml:space="preserve"> ar mērķi</w:t>
            </w:r>
            <w:r w:rsidR="00042B74" w:rsidRPr="00042B74">
              <w:rPr>
                <w:rFonts w:ascii="Times New Roman" w:hAnsi="Times New Roman"/>
                <w:iCs/>
              </w:rPr>
              <w:t>,</w:t>
            </w:r>
            <w:r w:rsidRPr="00042B74">
              <w:rPr>
                <w:rFonts w:ascii="Times New Roman" w:hAnsi="Times New Roman"/>
                <w:iCs/>
              </w:rPr>
              <w:t xml:space="preserve"> lai:</w:t>
            </w:r>
          </w:p>
          <w:p w:rsidR="00042B74" w:rsidRPr="00042B74" w:rsidRDefault="00042B74" w:rsidP="00042B74">
            <w:pPr>
              <w:pStyle w:val="ListParagraph"/>
              <w:numPr>
                <w:ilvl w:val="0"/>
                <w:numId w:val="52"/>
              </w:numPr>
              <w:spacing w:after="0"/>
              <w:ind w:left="341" w:hanging="284"/>
              <w:contextualSpacing w:val="0"/>
              <w:rPr>
                <w:i/>
                <w:iCs/>
                <w:sz w:val="22"/>
                <w:szCs w:val="22"/>
              </w:rPr>
            </w:pPr>
            <w:r w:rsidRPr="00042B74">
              <w:rPr>
                <w:sz w:val="22"/>
                <w:szCs w:val="22"/>
              </w:rPr>
              <w:t>iekļautu nosacījumus darbībām ar gada emisiju sadales vienībām, kas ir piešķirtas valstij siltum</w:t>
            </w:r>
            <w:r w:rsidR="008000AA">
              <w:rPr>
                <w:sz w:val="22"/>
                <w:szCs w:val="22"/>
              </w:rPr>
              <w:t xml:space="preserve">nīcefekta gāzu (turpmāk – SEG) </w:t>
            </w:r>
            <w:r w:rsidRPr="00042B74">
              <w:rPr>
                <w:sz w:val="22"/>
                <w:szCs w:val="22"/>
              </w:rPr>
              <w:t>emisiju no Eiropas Savienības emisijas kvotu tirdzniecības sistēmā (turpmāk - ES ETS) neiekļautajām darbībām (turpmāk – ne-ETS darbības) saistību</w:t>
            </w:r>
            <w:r w:rsidR="008000AA">
              <w:rPr>
                <w:sz w:val="22"/>
                <w:szCs w:val="22"/>
              </w:rPr>
              <w:t xml:space="preserve"> izpildei (pārņemtu valsts</w:t>
            </w:r>
            <w:r w:rsidRPr="00042B74">
              <w:rPr>
                <w:sz w:val="22"/>
                <w:szCs w:val="22"/>
              </w:rPr>
              <w:t xml:space="preserve"> tiesību aktos</w:t>
            </w:r>
            <w:r w:rsidR="008000AA">
              <w:rPr>
                <w:sz w:val="22"/>
                <w:szCs w:val="22"/>
              </w:rPr>
              <w:t xml:space="preserve"> Eiropas Parlamenta un Padomes L</w:t>
            </w:r>
            <w:r w:rsidRPr="00042B74">
              <w:rPr>
                <w:sz w:val="22"/>
                <w:szCs w:val="22"/>
              </w:rPr>
              <w:t>ēmuma Nr.406/2009/EK prasības),</w:t>
            </w:r>
          </w:p>
          <w:p w:rsidR="00042B74" w:rsidRPr="00042B74" w:rsidRDefault="00042B74" w:rsidP="00042B74">
            <w:pPr>
              <w:pStyle w:val="ListParagraph"/>
              <w:numPr>
                <w:ilvl w:val="0"/>
                <w:numId w:val="52"/>
              </w:numPr>
              <w:spacing w:after="0"/>
              <w:ind w:left="341" w:hanging="284"/>
              <w:contextualSpacing w:val="0"/>
              <w:rPr>
                <w:i/>
                <w:iCs/>
                <w:sz w:val="22"/>
                <w:szCs w:val="22"/>
              </w:rPr>
            </w:pPr>
            <w:r w:rsidRPr="00042B74">
              <w:rPr>
                <w:sz w:val="22"/>
                <w:szCs w:val="22"/>
              </w:rPr>
              <w:t>lai iekļaut nosacījumu valsts darbībām ar Eiropas Komisijas 2013.</w:t>
            </w:r>
            <w:r w:rsidR="008000AA">
              <w:rPr>
                <w:sz w:val="22"/>
                <w:szCs w:val="22"/>
              </w:rPr>
              <w:t> </w:t>
            </w:r>
            <w:r w:rsidRPr="00042B74">
              <w:rPr>
                <w:sz w:val="22"/>
                <w:szCs w:val="22"/>
              </w:rPr>
              <w:t>gada 2.</w:t>
            </w:r>
            <w:r w:rsidR="008000AA">
              <w:rPr>
                <w:sz w:val="22"/>
                <w:szCs w:val="22"/>
              </w:rPr>
              <w:t> </w:t>
            </w:r>
            <w:r w:rsidRPr="00042B74">
              <w:rPr>
                <w:sz w:val="22"/>
                <w:szCs w:val="22"/>
              </w:rPr>
              <w:t>maija Regulas Nr.</w:t>
            </w:r>
            <w:r w:rsidR="008000AA">
              <w:rPr>
                <w:sz w:val="22"/>
                <w:szCs w:val="22"/>
              </w:rPr>
              <w:t> </w:t>
            </w:r>
            <w:r w:rsidRPr="00042B74">
              <w:rPr>
                <w:sz w:val="22"/>
                <w:szCs w:val="22"/>
              </w:rPr>
              <w:t>389/2013, ar ko izveido Savienības reģistru saskaņā ar Eiropas Parlamenta un Padomes Direktīvu 2003/87/EK un Eiropas Parlamenta un Padomes Lēmumu Nr.</w:t>
            </w:r>
            <w:r w:rsidR="008000AA">
              <w:rPr>
                <w:sz w:val="22"/>
                <w:szCs w:val="22"/>
              </w:rPr>
              <w:t> </w:t>
            </w:r>
            <w:r w:rsidRPr="00042B74">
              <w:rPr>
                <w:sz w:val="22"/>
                <w:szCs w:val="22"/>
              </w:rPr>
              <w:t>280/2004/EK un Lēmumu Nr.</w:t>
            </w:r>
            <w:r w:rsidR="008000AA">
              <w:rPr>
                <w:sz w:val="22"/>
                <w:szCs w:val="22"/>
              </w:rPr>
              <w:t> </w:t>
            </w:r>
            <w:r w:rsidRPr="00042B74">
              <w:rPr>
                <w:sz w:val="22"/>
                <w:szCs w:val="22"/>
              </w:rPr>
              <w:t>406/2009/EK un atceļ Komisijas Regulu (ES) Nr.</w:t>
            </w:r>
            <w:r w:rsidR="008000AA">
              <w:rPr>
                <w:sz w:val="22"/>
                <w:szCs w:val="22"/>
              </w:rPr>
              <w:t> </w:t>
            </w:r>
            <w:r w:rsidRPr="00042B74">
              <w:rPr>
                <w:sz w:val="22"/>
                <w:szCs w:val="22"/>
              </w:rPr>
              <w:t>920/2010 un Regulu (ES) Nr.</w:t>
            </w:r>
            <w:r w:rsidR="008000AA">
              <w:rPr>
                <w:sz w:val="22"/>
                <w:szCs w:val="22"/>
              </w:rPr>
              <w:t> </w:t>
            </w:r>
            <w:r w:rsidRPr="00042B74">
              <w:rPr>
                <w:sz w:val="22"/>
                <w:szCs w:val="22"/>
              </w:rPr>
              <w:t>1193/2011 (turpmāk – regula Nr.</w:t>
            </w:r>
            <w:r w:rsidR="008000AA">
              <w:rPr>
                <w:sz w:val="22"/>
                <w:szCs w:val="22"/>
              </w:rPr>
              <w:t> </w:t>
            </w:r>
            <w:r w:rsidRPr="00042B74">
              <w:rPr>
                <w:sz w:val="22"/>
                <w:szCs w:val="22"/>
              </w:rPr>
              <w:t>389/2013/EK) 3.</w:t>
            </w:r>
            <w:r w:rsidR="008000AA">
              <w:rPr>
                <w:sz w:val="22"/>
                <w:szCs w:val="22"/>
              </w:rPr>
              <w:t> </w:t>
            </w:r>
            <w:r w:rsidRPr="00042B74">
              <w:rPr>
                <w:sz w:val="22"/>
                <w:szCs w:val="22"/>
              </w:rPr>
              <w:t>panta 12.</w:t>
            </w:r>
            <w:r w:rsidR="008000AA">
              <w:rPr>
                <w:sz w:val="22"/>
                <w:szCs w:val="22"/>
              </w:rPr>
              <w:t> </w:t>
            </w:r>
            <w:r w:rsidRPr="00042B74">
              <w:rPr>
                <w:sz w:val="22"/>
                <w:szCs w:val="22"/>
              </w:rPr>
              <w:t>punktā minētajām Kioto vienībām</w:t>
            </w:r>
            <w:r w:rsidRPr="00042B74">
              <w:rPr>
                <w:rStyle w:val="FootnoteReference"/>
                <w:sz w:val="22"/>
                <w:szCs w:val="22"/>
              </w:rPr>
              <w:footnoteReference w:id="1"/>
            </w:r>
            <w:r w:rsidRPr="00042B74">
              <w:rPr>
                <w:sz w:val="22"/>
                <w:szCs w:val="22"/>
              </w:rPr>
              <w:t>;</w:t>
            </w:r>
          </w:p>
          <w:p w:rsidR="00042B74" w:rsidRPr="00042B74" w:rsidRDefault="00042B74" w:rsidP="00042B74">
            <w:pPr>
              <w:pStyle w:val="ListParagraph"/>
              <w:numPr>
                <w:ilvl w:val="0"/>
                <w:numId w:val="52"/>
              </w:numPr>
              <w:spacing w:after="0"/>
              <w:ind w:left="341" w:hanging="284"/>
              <w:contextualSpacing w:val="0"/>
              <w:rPr>
                <w:rFonts w:ascii="Calibri" w:hAnsi="Calibri"/>
                <w:i/>
                <w:iCs/>
                <w:sz w:val="22"/>
                <w:szCs w:val="22"/>
              </w:rPr>
            </w:pPr>
            <w:r w:rsidRPr="00042B74">
              <w:rPr>
                <w:sz w:val="22"/>
                <w:szCs w:val="22"/>
              </w:rPr>
              <w:t>noteiktu tās darbības, kas ir nepieciešamas ne-ETS darbību SEG emisiju samazināšanas mērķa izpildei;</w:t>
            </w:r>
          </w:p>
          <w:p w:rsidR="00042B74" w:rsidRPr="00042B74" w:rsidRDefault="00042B74" w:rsidP="00042B74">
            <w:pPr>
              <w:pStyle w:val="ListParagraph"/>
              <w:numPr>
                <w:ilvl w:val="0"/>
                <w:numId w:val="52"/>
              </w:numPr>
              <w:spacing w:after="0"/>
              <w:ind w:left="341" w:hanging="284"/>
              <w:contextualSpacing w:val="0"/>
              <w:rPr>
                <w:sz w:val="22"/>
                <w:szCs w:val="22"/>
              </w:rPr>
            </w:pPr>
            <w:r w:rsidRPr="00042B74">
              <w:rPr>
                <w:sz w:val="22"/>
                <w:szCs w:val="22"/>
              </w:rPr>
              <w:t>iekļautu arī nosacījumu, kā tiek veikti valsts Kioto vienību pārskaitījumi, ja ir noslēgts līgums par  Kioto vienību tirdzniecību;</w:t>
            </w:r>
          </w:p>
          <w:p w:rsidR="00042B74" w:rsidRPr="00042B74" w:rsidRDefault="00042B74" w:rsidP="00042B74">
            <w:pPr>
              <w:pStyle w:val="ListParagraph"/>
              <w:numPr>
                <w:ilvl w:val="0"/>
                <w:numId w:val="52"/>
              </w:numPr>
              <w:spacing w:after="0"/>
              <w:ind w:left="341" w:hanging="284"/>
              <w:contextualSpacing w:val="0"/>
              <w:rPr>
                <w:sz w:val="22"/>
                <w:szCs w:val="22"/>
              </w:rPr>
            </w:pPr>
            <w:r w:rsidRPr="00042B74">
              <w:rPr>
                <w:sz w:val="22"/>
                <w:szCs w:val="22"/>
              </w:rPr>
              <w:t>labotu iespējamās nepilnības saistībā ar Eiropas Savienības tiesību aktos iekļauto nosacījumu nepārņemšanu, kas Latvijai tika norādītas Eiropas Komisijas Klimata pārmaiņu ģenerāldirektorāta 2014.</w:t>
            </w:r>
            <w:r w:rsidR="008000AA">
              <w:rPr>
                <w:sz w:val="22"/>
                <w:szCs w:val="22"/>
              </w:rPr>
              <w:t> </w:t>
            </w:r>
            <w:r w:rsidRPr="00042B74">
              <w:rPr>
                <w:sz w:val="22"/>
                <w:szCs w:val="22"/>
              </w:rPr>
              <w:t>gada 10.</w:t>
            </w:r>
            <w:r w:rsidR="008000AA">
              <w:rPr>
                <w:sz w:val="22"/>
                <w:szCs w:val="22"/>
              </w:rPr>
              <w:t> </w:t>
            </w:r>
            <w:r w:rsidRPr="00042B74">
              <w:rPr>
                <w:sz w:val="22"/>
                <w:szCs w:val="22"/>
              </w:rPr>
              <w:t>aprīļa vēstulē „Par EU Pilot pieprasījumu – Aizdomas par valsts transponēšanas pasākumu neatbilstību Direktīvai 2008/101/EK” saistībā ar Eiropas Parlamenta un Padomes 2003.</w:t>
            </w:r>
            <w:r w:rsidR="008000AA">
              <w:rPr>
                <w:sz w:val="22"/>
                <w:szCs w:val="22"/>
              </w:rPr>
              <w:t> </w:t>
            </w:r>
            <w:r w:rsidRPr="00042B74">
              <w:rPr>
                <w:sz w:val="22"/>
                <w:szCs w:val="22"/>
              </w:rPr>
              <w:t>gada 13.</w:t>
            </w:r>
            <w:r w:rsidR="008000AA">
              <w:rPr>
                <w:sz w:val="22"/>
                <w:szCs w:val="22"/>
              </w:rPr>
              <w:t> </w:t>
            </w:r>
            <w:r w:rsidRPr="00042B74">
              <w:rPr>
                <w:sz w:val="22"/>
                <w:szCs w:val="22"/>
              </w:rPr>
              <w:t>oktobra Direktīvas Nr.</w:t>
            </w:r>
            <w:r w:rsidR="008000AA">
              <w:rPr>
                <w:sz w:val="22"/>
                <w:szCs w:val="22"/>
              </w:rPr>
              <w:t> </w:t>
            </w:r>
            <w:r w:rsidRPr="00042B74">
              <w:rPr>
                <w:sz w:val="22"/>
                <w:szCs w:val="22"/>
              </w:rPr>
              <w:t>2</w:t>
            </w:r>
            <w:r w:rsidR="008000AA">
              <w:rPr>
                <w:sz w:val="22"/>
                <w:szCs w:val="22"/>
              </w:rPr>
              <w:t xml:space="preserve">003/87/EK, </w:t>
            </w:r>
            <w:r w:rsidRPr="00042B74">
              <w:rPr>
                <w:sz w:val="22"/>
                <w:szCs w:val="22"/>
              </w:rPr>
              <w:t>ar kuru nosaka sistēmu siltumnīcas efektu izraisošo gāzu emisijas kvotu tirdzniecībai Kopienā un groza Padomes Direktīvu 96/61/EK (turpmāk – direktīva Nr.</w:t>
            </w:r>
            <w:r w:rsidR="008000AA">
              <w:rPr>
                <w:sz w:val="22"/>
                <w:szCs w:val="22"/>
              </w:rPr>
              <w:t> </w:t>
            </w:r>
            <w:r w:rsidRPr="00042B74">
              <w:rPr>
                <w:sz w:val="22"/>
                <w:szCs w:val="22"/>
              </w:rPr>
              <w:t xml:space="preserve">2003/87/EK) prasību neatbilstošu pārņemšanu. </w:t>
            </w:r>
          </w:p>
          <w:p w:rsidR="00CB4AAB" w:rsidRPr="00042B74" w:rsidRDefault="00CB4AAB" w:rsidP="00042B74">
            <w:pPr>
              <w:pStyle w:val="naiskr"/>
              <w:spacing w:before="0" w:after="0"/>
              <w:ind w:left="57"/>
              <w:jc w:val="both"/>
              <w:rPr>
                <w:sz w:val="22"/>
                <w:szCs w:val="22"/>
              </w:rPr>
            </w:pPr>
            <w:r w:rsidRPr="00042B74">
              <w:rPr>
                <w:sz w:val="22"/>
                <w:szCs w:val="22"/>
                <w:u w:val="single"/>
              </w:rPr>
              <w:t xml:space="preserve">Pašreizējā situācija un problēmas </w:t>
            </w:r>
          </w:p>
          <w:p w:rsidR="00594397" w:rsidRPr="00042B74" w:rsidRDefault="00594397" w:rsidP="00042B74">
            <w:pPr>
              <w:pStyle w:val="naiskr"/>
              <w:spacing w:before="0" w:after="0"/>
              <w:ind w:firstLine="227"/>
              <w:jc w:val="both"/>
              <w:rPr>
                <w:sz w:val="22"/>
                <w:szCs w:val="22"/>
              </w:rPr>
            </w:pPr>
            <w:r w:rsidRPr="00042B74">
              <w:rPr>
                <w:sz w:val="22"/>
                <w:szCs w:val="22"/>
              </w:rPr>
              <w:t>Eiropas Komisija 2014.</w:t>
            </w:r>
            <w:r w:rsidR="008000AA">
              <w:rPr>
                <w:sz w:val="22"/>
                <w:szCs w:val="22"/>
              </w:rPr>
              <w:t> </w:t>
            </w:r>
            <w:r w:rsidRPr="00042B74">
              <w:rPr>
                <w:sz w:val="22"/>
                <w:szCs w:val="22"/>
              </w:rPr>
              <w:t>gada 10.</w:t>
            </w:r>
            <w:r w:rsidR="008000AA">
              <w:rPr>
                <w:sz w:val="22"/>
                <w:szCs w:val="22"/>
              </w:rPr>
              <w:t> </w:t>
            </w:r>
            <w:r w:rsidRPr="00042B74">
              <w:rPr>
                <w:sz w:val="22"/>
                <w:szCs w:val="22"/>
              </w:rPr>
              <w:t xml:space="preserve">aprīļa vēstulē par </w:t>
            </w:r>
            <w:r w:rsidR="00B9333B" w:rsidRPr="00042B74">
              <w:rPr>
                <w:sz w:val="22"/>
                <w:szCs w:val="22"/>
              </w:rPr>
              <w:t>„</w:t>
            </w:r>
            <w:r w:rsidRPr="00042B74">
              <w:rPr>
                <w:sz w:val="22"/>
                <w:szCs w:val="22"/>
              </w:rPr>
              <w:t>EU Pilot pieprasījumu – Aizdomas par valsts transponēšanas pasākumu neatbilstību Direktīvai 2008/101/EK</w:t>
            </w:r>
            <w:r w:rsidR="00B9333B" w:rsidRPr="00042B74">
              <w:rPr>
                <w:sz w:val="22"/>
                <w:szCs w:val="22"/>
              </w:rPr>
              <w:t>”</w:t>
            </w:r>
            <w:r w:rsidRPr="00042B74">
              <w:rPr>
                <w:sz w:val="22"/>
                <w:szCs w:val="22"/>
              </w:rPr>
              <w:t xml:space="preserve"> norādīja uz Eiropas Parlamenta un Padomes 2008.</w:t>
            </w:r>
            <w:r w:rsidR="008000AA">
              <w:rPr>
                <w:sz w:val="22"/>
                <w:szCs w:val="22"/>
              </w:rPr>
              <w:t> </w:t>
            </w:r>
            <w:r w:rsidRPr="00042B74">
              <w:rPr>
                <w:sz w:val="22"/>
                <w:szCs w:val="22"/>
              </w:rPr>
              <w:t>gada 19.</w:t>
            </w:r>
            <w:r w:rsidR="008000AA">
              <w:rPr>
                <w:sz w:val="22"/>
                <w:szCs w:val="22"/>
              </w:rPr>
              <w:t> </w:t>
            </w:r>
            <w:r w:rsidRPr="00042B74">
              <w:rPr>
                <w:sz w:val="22"/>
                <w:szCs w:val="22"/>
              </w:rPr>
              <w:t xml:space="preserve">novembra </w:t>
            </w:r>
            <w:r w:rsidR="0009191E" w:rsidRPr="00042B74">
              <w:rPr>
                <w:sz w:val="22"/>
                <w:szCs w:val="22"/>
              </w:rPr>
              <w:t>D</w:t>
            </w:r>
            <w:r w:rsidRPr="00042B74">
              <w:rPr>
                <w:sz w:val="22"/>
                <w:szCs w:val="22"/>
              </w:rPr>
              <w:t>irektīvas Nr.</w:t>
            </w:r>
            <w:r w:rsidR="008000AA">
              <w:rPr>
                <w:sz w:val="22"/>
                <w:szCs w:val="22"/>
              </w:rPr>
              <w:t> </w:t>
            </w:r>
            <w:r w:rsidRPr="00042B74">
              <w:rPr>
                <w:sz w:val="22"/>
                <w:szCs w:val="22"/>
              </w:rPr>
              <w:t>2008/101/EK nos</w:t>
            </w:r>
            <w:r w:rsidR="00EC2A29" w:rsidRPr="00042B74">
              <w:rPr>
                <w:sz w:val="22"/>
                <w:szCs w:val="22"/>
              </w:rPr>
              <w:t>acījumu nepareizu transponēšanu, īpaši attiecībā uz direktīva</w:t>
            </w:r>
            <w:r w:rsidR="005279F8" w:rsidRPr="00042B74">
              <w:rPr>
                <w:sz w:val="22"/>
                <w:szCs w:val="22"/>
              </w:rPr>
              <w:t>s</w:t>
            </w:r>
            <w:r w:rsidR="00EC2A29" w:rsidRPr="00042B74">
              <w:rPr>
                <w:sz w:val="22"/>
                <w:szCs w:val="22"/>
              </w:rPr>
              <w:t xml:space="preserve"> Nr.</w:t>
            </w:r>
            <w:r w:rsidR="008000AA">
              <w:rPr>
                <w:sz w:val="22"/>
                <w:szCs w:val="22"/>
              </w:rPr>
              <w:t> </w:t>
            </w:r>
            <w:r w:rsidR="00EC2A29" w:rsidRPr="00042B74">
              <w:rPr>
                <w:sz w:val="22"/>
                <w:szCs w:val="22"/>
              </w:rPr>
              <w:t>2003/87/EK</w:t>
            </w:r>
            <w:r w:rsidR="00EC2A29" w:rsidRPr="00042B74">
              <w:rPr>
                <w:rStyle w:val="FootnoteReference"/>
                <w:sz w:val="22"/>
                <w:szCs w:val="22"/>
              </w:rPr>
              <w:footnoteReference w:id="2"/>
            </w:r>
            <w:r w:rsidR="008225CD" w:rsidRPr="00042B74">
              <w:rPr>
                <w:sz w:val="22"/>
                <w:szCs w:val="22"/>
              </w:rPr>
              <w:t>, 11</w:t>
            </w:r>
            <w:r w:rsidR="004856D4" w:rsidRPr="00042B74">
              <w:rPr>
                <w:sz w:val="22"/>
                <w:szCs w:val="22"/>
              </w:rPr>
              <w:t>.</w:t>
            </w:r>
            <w:r w:rsidR="008225CD" w:rsidRPr="00042B74">
              <w:rPr>
                <w:sz w:val="22"/>
                <w:szCs w:val="22"/>
              </w:rPr>
              <w:t>a un 11.b pantu</w:t>
            </w:r>
            <w:r w:rsidR="00B9333B" w:rsidRPr="00042B74">
              <w:rPr>
                <w:sz w:val="22"/>
                <w:szCs w:val="22"/>
              </w:rPr>
              <w:t xml:space="preserve"> Latvijas normatīvajos aktos.</w:t>
            </w:r>
          </w:p>
          <w:p w:rsidR="008225CD" w:rsidRPr="00042B74" w:rsidRDefault="008225CD" w:rsidP="00042B74">
            <w:pPr>
              <w:pStyle w:val="naiskr"/>
              <w:spacing w:before="0" w:after="0"/>
              <w:ind w:firstLine="227"/>
              <w:jc w:val="both"/>
              <w:rPr>
                <w:sz w:val="22"/>
                <w:szCs w:val="22"/>
              </w:rPr>
            </w:pPr>
            <w:r w:rsidRPr="00042B74">
              <w:rPr>
                <w:sz w:val="22"/>
                <w:szCs w:val="22"/>
              </w:rPr>
              <w:t>2013.</w:t>
            </w:r>
            <w:r w:rsidR="008000AA">
              <w:rPr>
                <w:sz w:val="22"/>
                <w:szCs w:val="22"/>
              </w:rPr>
              <w:t> </w:t>
            </w:r>
            <w:r w:rsidRPr="00042B74">
              <w:rPr>
                <w:sz w:val="22"/>
                <w:szCs w:val="22"/>
              </w:rPr>
              <w:t>gada 1.</w:t>
            </w:r>
            <w:r w:rsidR="008000AA">
              <w:rPr>
                <w:sz w:val="22"/>
                <w:szCs w:val="22"/>
              </w:rPr>
              <w:t> </w:t>
            </w:r>
            <w:r w:rsidRPr="00042B74">
              <w:rPr>
                <w:sz w:val="22"/>
                <w:szCs w:val="22"/>
              </w:rPr>
              <w:t>janvārī sākās Eiropas Parlamenta un Padomes 2009.</w:t>
            </w:r>
            <w:r w:rsidR="008000AA">
              <w:rPr>
                <w:sz w:val="22"/>
                <w:szCs w:val="22"/>
              </w:rPr>
              <w:t> </w:t>
            </w:r>
            <w:r w:rsidRPr="00042B74">
              <w:rPr>
                <w:sz w:val="22"/>
                <w:szCs w:val="22"/>
              </w:rPr>
              <w:t>gada 23.</w:t>
            </w:r>
            <w:r w:rsidR="008000AA">
              <w:rPr>
                <w:sz w:val="22"/>
                <w:szCs w:val="22"/>
              </w:rPr>
              <w:t> </w:t>
            </w:r>
            <w:r w:rsidRPr="00042B74">
              <w:rPr>
                <w:sz w:val="22"/>
                <w:szCs w:val="22"/>
              </w:rPr>
              <w:t>aprīļa lēmuma Nr.</w:t>
            </w:r>
            <w:r w:rsidR="008000AA">
              <w:rPr>
                <w:sz w:val="22"/>
                <w:szCs w:val="22"/>
              </w:rPr>
              <w:t> </w:t>
            </w:r>
            <w:r w:rsidRPr="00042B74">
              <w:rPr>
                <w:sz w:val="22"/>
                <w:szCs w:val="22"/>
              </w:rPr>
              <w:t>406/2009/EK par dalībvalstu pasākumiem siltumnīcas efektu izraisošu gāzu emisiju samazināšanai, lai izpildītu Kopienas saistības siltumnīcas efektu izraisošu gāzu emisiju samazināšanas jomā līdz 2020.</w:t>
            </w:r>
            <w:r w:rsidR="008000AA">
              <w:rPr>
                <w:sz w:val="22"/>
                <w:szCs w:val="22"/>
              </w:rPr>
              <w:t> </w:t>
            </w:r>
            <w:r w:rsidRPr="00042B74">
              <w:rPr>
                <w:sz w:val="22"/>
                <w:szCs w:val="22"/>
              </w:rPr>
              <w:t>gadam (turpmāk – lēmums Nr.</w:t>
            </w:r>
            <w:r w:rsidR="008000AA">
              <w:rPr>
                <w:sz w:val="22"/>
                <w:szCs w:val="22"/>
              </w:rPr>
              <w:t xml:space="preserve"> </w:t>
            </w:r>
            <w:r w:rsidRPr="00042B74">
              <w:rPr>
                <w:sz w:val="22"/>
                <w:szCs w:val="22"/>
              </w:rPr>
              <w:lastRenderedPageBreak/>
              <w:t xml:space="preserve">406/2009/EK) saistību 1.periods (2013.-2020.gads), </w:t>
            </w:r>
            <w:r w:rsidR="00B9333B" w:rsidRPr="00042B74">
              <w:rPr>
                <w:sz w:val="22"/>
                <w:szCs w:val="22"/>
              </w:rPr>
              <w:t xml:space="preserve">ar </w:t>
            </w:r>
            <w:r w:rsidRPr="00042B74">
              <w:rPr>
                <w:sz w:val="22"/>
                <w:szCs w:val="22"/>
              </w:rPr>
              <w:t>k</w:t>
            </w:r>
            <w:r w:rsidR="00B9333B" w:rsidRPr="00042B74">
              <w:rPr>
                <w:sz w:val="22"/>
                <w:szCs w:val="22"/>
              </w:rPr>
              <w:t>o</w:t>
            </w:r>
            <w:r w:rsidRPr="00042B74">
              <w:rPr>
                <w:sz w:val="22"/>
                <w:szCs w:val="22"/>
              </w:rPr>
              <w:t xml:space="preserve"> ikgadēji Latvijai tiek piešķirts noteikts apjoms gada emisiju sadales vienību, kā arī ikgadēji ir jānodod noteikts apjoms gada emisiju sadales vienību vai Kioto vienību, lai Eiropas Komisijai atskaitītos par to ne-ETS darbību SEG emisiju apjomu, ko Latvija ir radījusi, kā arī lai demonstrētu ne-ETS darbību SEG emisiju samazināšanas mērķa izpildi un tā progresu.</w:t>
            </w:r>
          </w:p>
          <w:p w:rsidR="00CB4AAB" w:rsidRPr="00042B74" w:rsidRDefault="00CB4AAB" w:rsidP="00042B74">
            <w:pPr>
              <w:pStyle w:val="naiskr"/>
              <w:spacing w:before="0" w:after="0"/>
              <w:ind w:firstLine="227"/>
              <w:jc w:val="both"/>
              <w:rPr>
                <w:sz w:val="22"/>
                <w:szCs w:val="22"/>
                <w:u w:val="single"/>
              </w:rPr>
            </w:pPr>
            <w:r w:rsidRPr="00042B74">
              <w:rPr>
                <w:sz w:val="22"/>
                <w:szCs w:val="22"/>
                <w:u w:val="single"/>
              </w:rPr>
              <w:t>Pastāvošais tiesiskais regulējums, tā būtība un nepilnības</w:t>
            </w:r>
          </w:p>
          <w:p w:rsidR="005539C2" w:rsidRPr="00042B74" w:rsidRDefault="005539C2" w:rsidP="00042B74">
            <w:pPr>
              <w:pStyle w:val="naiskr"/>
              <w:spacing w:before="0" w:after="0"/>
              <w:ind w:firstLine="227"/>
              <w:jc w:val="both"/>
              <w:rPr>
                <w:sz w:val="22"/>
                <w:szCs w:val="22"/>
              </w:rPr>
            </w:pPr>
            <w:r w:rsidRPr="00042B74">
              <w:rPr>
                <w:sz w:val="22"/>
                <w:szCs w:val="22"/>
              </w:rPr>
              <w:t>Latvijas normatīvajā regulējumā nav vai ir nepilnīgi pārņemtas direktīvas Nr.2003/87/EK prasības attiecībā uz ANO Vispārējās konvencijas par klimata pārmaiņām Kioto protokolā noteikto elastības mehānismu – kopīgi īstenojamie projekti un tīras attīstības mehānism</w:t>
            </w:r>
            <w:r w:rsidR="00B9333B" w:rsidRPr="00042B74">
              <w:rPr>
                <w:sz w:val="22"/>
                <w:szCs w:val="22"/>
              </w:rPr>
              <w:t>a</w:t>
            </w:r>
            <w:r w:rsidRPr="00042B74">
              <w:rPr>
                <w:sz w:val="22"/>
                <w:szCs w:val="22"/>
              </w:rPr>
              <w:t xml:space="preserve"> ietvaros izsniegtajām Kioto vienībām un to izmantojumu  ETS.</w:t>
            </w:r>
          </w:p>
          <w:p w:rsidR="008225CD" w:rsidRPr="00042B74" w:rsidRDefault="008225CD" w:rsidP="00042B74">
            <w:pPr>
              <w:pStyle w:val="naiskr"/>
              <w:spacing w:before="0" w:after="0"/>
              <w:ind w:firstLine="227"/>
              <w:jc w:val="both"/>
              <w:rPr>
                <w:sz w:val="22"/>
                <w:szCs w:val="22"/>
              </w:rPr>
            </w:pPr>
            <w:r w:rsidRPr="00042B74">
              <w:rPr>
                <w:sz w:val="22"/>
                <w:szCs w:val="22"/>
              </w:rPr>
              <w:t>Latvijas normatīvajā regulējumā nav vispār noteiktas tās tehniskās darbības, kuras ir jāveic, lai nodrošinātu ne-ETS darbību SEG emisiju samazināšanas mērķa izpildi, īpaši attiecībā uz gada emisiju sadales vienību vai Kioto vienību pārskaitījumiem.</w:t>
            </w:r>
          </w:p>
          <w:p w:rsidR="007A519C" w:rsidRPr="00042B74" w:rsidRDefault="008953CD" w:rsidP="00042B74">
            <w:pPr>
              <w:pStyle w:val="naiskr"/>
              <w:spacing w:before="0" w:after="0"/>
              <w:ind w:firstLine="227"/>
              <w:jc w:val="both"/>
              <w:rPr>
                <w:sz w:val="22"/>
                <w:szCs w:val="22"/>
              </w:rPr>
            </w:pPr>
            <w:r w:rsidRPr="00042B74">
              <w:rPr>
                <w:sz w:val="22"/>
                <w:szCs w:val="22"/>
              </w:rPr>
              <w:t xml:space="preserve">Likumā „Par Latvijas Republikas dalību Kioto protokola elastīgajos mehānismos” ir iekļauti arī nosacījumi, kas attiecas uz Kioto vienību pārskaitījumiem. </w:t>
            </w:r>
          </w:p>
        </w:tc>
      </w:tr>
      <w:tr w:rsidR="00F122F9" w:rsidRPr="00F122F9" w:rsidTr="006060FB">
        <w:trPr>
          <w:trHeight w:val="274"/>
          <w:jc w:val="center"/>
        </w:trPr>
        <w:tc>
          <w:tcPr>
            <w:tcW w:w="250" w:type="pct"/>
          </w:tcPr>
          <w:p w:rsidR="00CB4AAB" w:rsidRPr="00F122F9" w:rsidRDefault="00CB4AAB" w:rsidP="00042B74">
            <w:pPr>
              <w:spacing w:after="0"/>
              <w:jc w:val="center"/>
              <w:rPr>
                <w:rFonts w:ascii="Times New Roman" w:hAnsi="Times New Roman"/>
                <w:lang w:eastAsia="lv-LV"/>
              </w:rPr>
            </w:pPr>
            <w:r w:rsidRPr="00F122F9">
              <w:rPr>
                <w:rFonts w:ascii="Times New Roman" w:hAnsi="Times New Roman"/>
                <w:lang w:eastAsia="lv-LV"/>
              </w:rPr>
              <w:lastRenderedPageBreak/>
              <w:t>3.</w:t>
            </w:r>
          </w:p>
        </w:tc>
        <w:tc>
          <w:tcPr>
            <w:tcW w:w="853" w:type="pct"/>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Projekta izstrādē iesaistītās institūcijas</w:t>
            </w:r>
          </w:p>
        </w:tc>
        <w:tc>
          <w:tcPr>
            <w:tcW w:w="3897" w:type="pct"/>
          </w:tcPr>
          <w:p w:rsidR="00F07CD0" w:rsidRPr="00F122F9" w:rsidRDefault="008918F6" w:rsidP="00042B74">
            <w:pPr>
              <w:pStyle w:val="naiskr"/>
              <w:spacing w:before="0" w:after="0"/>
              <w:jc w:val="both"/>
              <w:rPr>
                <w:iCs/>
                <w:sz w:val="22"/>
                <w:szCs w:val="22"/>
              </w:rPr>
            </w:pPr>
            <w:r>
              <w:rPr>
                <w:iCs/>
                <w:sz w:val="22"/>
                <w:szCs w:val="22"/>
              </w:rPr>
              <w:t>VARAM</w:t>
            </w:r>
          </w:p>
        </w:tc>
      </w:tr>
      <w:tr w:rsidR="00F122F9" w:rsidRPr="00F122F9" w:rsidTr="006060FB">
        <w:trPr>
          <w:jc w:val="center"/>
        </w:trPr>
        <w:tc>
          <w:tcPr>
            <w:tcW w:w="250" w:type="pct"/>
          </w:tcPr>
          <w:p w:rsidR="00CB4AAB" w:rsidRPr="00F122F9" w:rsidRDefault="00CB4AAB" w:rsidP="00042B74">
            <w:pPr>
              <w:spacing w:after="0"/>
              <w:jc w:val="center"/>
              <w:rPr>
                <w:rFonts w:ascii="Times New Roman" w:hAnsi="Times New Roman"/>
                <w:lang w:eastAsia="lv-LV"/>
              </w:rPr>
            </w:pPr>
            <w:r w:rsidRPr="00F122F9">
              <w:rPr>
                <w:rFonts w:ascii="Times New Roman" w:hAnsi="Times New Roman"/>
                <w:lang w:eastAsia="lv-LV"/>
              </w:rPr>
              <w:t>4.</w:t>
            </w:r>
          </w:p>
        </w:tc>
        <w:tc>
          <w:tcPr>
            <w:tcW w:w="853" w:type="pct"/>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Cita informācija</w:t>
            </w:r>
          </w:p>
        </w:tc>
        <w:tc>
          <w:tcPr>
            <w:tcW w:w="3897" w:type="pct"/>
          </w:tcPr>
          <w:p w:rsidR="00CB4AAB" w:rsidRPr="00F122F9" w:rsidRDefault="00CB4AAB" w:rsidP="00042B74">
            <w:pPr>
              <w:spacing w:after="0"/>
              <w:ind w:firstLine="232"/>
              <w:jc w:val="left"/>
              <w:rPr>
                <w:rFonts w:ascii="Times New Roman" w:hAnsi="Times New Roman"/>
                <w:lang w:eastAsia="lv-LV"/>
              </w:rPr>
            </w:pPr>
            <w:r w:rsidRPr="00F122F9">
              <w:rPr>
                <w:rFonts w:ascii="Times New Roman" w:hAnsi="Times New Roman"/>
                <w:lang w:eastAsia="lv-LV"/>
              </w:rPr>
              <w:t>Nav</w:t>
            </w:r>
          </w:p>
        </w:tc>
      </w:tr>
    </w:tbl>
    <w:p w:rsidR="00CB4AAB" w:rsidRPr="00F122F9" w:rsidRDefault="00CB4AAB" w:rsidP="0034370D">
      <w:pPr>
        <w:spacing w:after="0"/>
        <w:ind w:firstLine="301"/>
        <w:jc w:val="left"/>
        <w:rPr>
          <w:rFonts w:ascii="Times New Roman" w:hAnsi="Times New Roman"/>
          <w:sz w:val="24"/>
          <w:szCs w:val="24"/>
          <w:lang w:eastAsia="lv-LV"/>
        </w:rPr>
      </w:pPr>
      <w:r w:rsidRPr="00F122F9">
        <w:rPr>
          <w:rFonts w:ascii="Times New Roman" w:hAnsi="Times New Roman"/>
          <w:sz w:val="24"/>
          <w:szCs w:val="24"/>
          <w:lang w:eastAsia="lv-LV"/>
        </w:rPr>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2"/>
        <w:gridCol w:w="1787"/>
        <w:gridCol w:w="7370"/>
      </w:tblGrid>
      <w:tr w:rsidR="00F122F9" w:rsidRPr="00F122F9" w:rsidTr="006060FB">
        <w:trPr>
          <w:trHeight w:val="433"/>
          <w:jc w:val="center"/>
        </w:trPr>
        <w:tc>
          <w:tcPr>
            <w:tcW w:w="0" w:type="auto"/>
            <w:gridSpan w:val="3"/>
            <w:vAlign w:val="center"/>
          </w:tcPr>
          <w:p w:rsidR="00CB4AAB" w:rsidRPr="00F122F9" w:rsidRDefault="00CB4AAB" w:rsidP="00042B74">
            <w:pPr>
              <w:spacing w:after="0"/>
              <w:jc w:val="center"/>
              <w:rPr>
                <w:rFonts w:ascii="Times New Roman" w:hAnsi="Times New Roman"/>
                <w:b/>
                <w:bCs/>
                <w:lang w:eastAsia="lv-LV"/>
              </w:rPr>
            </w:pPr>
            <w:r w:rsidRPr="00F122F9">
              <w:rPr>
                <w:rFonts w:ascii="Times New Roman" w:hAnsi="Times New Roman"/>
                <w:b/>
                <w:bCs/>
                <w:lang w:eastAsia="lv-LV"/>
              </w:rPr>
              <w:t>II. Tiesību akta projekta ietekme uz sabiedrību, tautsaimniecības attīstību un administratīvo slogu</w:t>
            </w:r>
          </w:p>
        </w:tc>
      </w:tr>
      <w:tr w:rsidR="00F122F9" w:rsidRPr="00F122F9" w:rsidTr="006060FB">
        <w:trPr>
          <w:trHeight w:val="274"/>
          <w:jc w:val="center"/>
        </w:trPr>
        <w:tc>
          <w:tcPr>
            <w:tcW w:w="250" w:type="pct"/>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1.</w:t>
            </w:r>
          </w:p>
        </w:tc>
        <w:tc>
          <w:tcPr>
            <w:tcW w:w="927" w:type="pct"/>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Sabiedrības mērķgrupas, kuras tiesiskais regulējums ietekmē vai varētu ietekmēt</w:t>
            </w:r>
          </w:p>
        </w:tc>
        <w:tc>
          <w:tcPr>
            <w:tcW w:w="3823" w:type="pct"/>
          </w:tcPr>
          <w:p w:rsidR="00CB4AAB" w:rsidRPr="00F122F9" w:rsidRDefault="00863F23" w:rsidP="00042B74">
            <w:pPr>
              <w:pStyle w:val="naiskr"/>
              <w:spacing w:before="0" w:after="0"/>
              <w:jc w:val="both"/>
              <w:rPr>
                <w:bCs/>
                <w:sz w:val="22"/>
                <w:szCs w:val="22"/>
                <w:u w:val="single"/>
                <w:shd w:val="clear" w:color="auto" w:fill="FFFFFF"/>
              </w:rPr>
            </w:pPr>
            <w:r w:rsidRPr="00863F23">
              <w:rPr>
                <w:bCs/>
                <w:sz w:val="22"/>
                <w:szCs w:val="22"/>
                <w:u w:val="single"/>
                <w:shd w:val="clear" w:color="auto" w:fill="FFFFFF"/>
              </w:rPr>
              <w:t>Noteikumu projekta</w:t>
            </w:r>
            <w:r w:rsidR="00CB4AAB" w:rsidRPr="00F122F9">
              <w:rPr>
                <w:bCs/>
                <w:sz w:val="22"/>
                <w:szCs w:val="22"/>
                <w:u w:val="single"/>
                <w:shd w:val="clear" w:color="auto" w:fill="FFFFFF"/>
              </w:rPr>
              <w:t xml:space="preserve"> tiesiskais regulējums ietekmē vai var ietekmēt:</w:t>
            </w:r>
          </w:p>
          <w:p w:rsidR="00CB4AAB" w:rsidRPr="00F122F9" w:rsidRDefault="003F5D80" w:rsidP="00042B74">
            <w:pPr>
              <w:pStyle w:val="naiskr"/>
              <w:numPr>
                <w:ilvl w:val="0"/>
                <w:numId w:val="26"/>
              </w:numPr>
              <w:spacing w:before="0" w:after="0"/>
              <w:ind w:left="341" w:hanging="284"/>
              <w:jc w:val="both"/>
              <w:rPr>
                <w:rStyle w:val="apple-style-span"/>
                <w:rFonts w:ascii="Calibri" w:eastAsia="Calibri" w:hAnsi="Calibri"/>
                <w:b/>
                <w:bCs/>
                <w:sz w:val="22"/>
                <w:szCs w:val="22"/>
                <w:shd w:val="clear" w:color="auto" w:fill="FFFFFF"/>
                <w:lang w:eastAsia="en-US"/>
              </w:rPr>
            </w:pPr>
            <w:r w:rsidRPr="00F122F9">
              <w:rPr>
                <w:iCs/>
                <w:sz w:val="22"/>
                <w:szCs w:val="22"/>
              </w:rPr>
              <w:t xml:space="preserve">ETS </w:t>
            </w:r>
            <w:r w:rsidR="00CB4AAB" w:rsidRPr="00F122F9">
              <w:rPr>
                <w:iCs/>
                <w:sz w:val="22"/>
                <w:szCs w:val="22"/>
              </w:rPr>
              <w:t>operatorus, k</w:t>
            </w:r>
            <w:r w:rsidR="00106130">
              <w:rPr>
                <w:iCs/>
                <w:sz w:val="22"/>
                <w:szCs w:val="22"/>
              </w:rPr>
              <w:t>as</w:t>
            </w:r>
            <w:r w:rsidR="00CB4AAB" w:rsidRPr="00F122F9">
              <w:rPr>
                <w:iCs/>
                <w:sz w:val="22"/>
                <w:szCs w:val="22"/>
              </w:rPr>
              <w:t xml:space="preserve"> veic kādu no likuma „Par piesārņojumu” 2.pielikumā minētajām darbībām un k</w:t>
            </w:r>
            <w:r w:rsidR="00106130">
              <w:rPr>
                <w:iCs/>
                <w:sz w:val="22"/>
                <w:szCs w:val="22"/>
              </w:rPr>
              <w:t>am</w:t>
            </w:r>
            <w:r w:rsidR="00CB4AAB" w:rsidRPr="00F122F9">
              <w:rPr>
                <w:iCs/>
                <w:sz w:val="22"/>
                <w:szCs w:val="22"/>
              </w:rPr>
              <w:t xml:space="preserve"> ir izsniegtas </w:t>
            </w:r>
            <w:r w:rsidR="00D97EC9">
              <w:rPr>
                <w:iCs/>
                <w:sz w:val="22"/>
                <w:szCs w:val="22"/>
              </w:rPr>
              <w:t>SEG</w:t>
            </w:r>
            <w:r w:rsidR="00CB4AAB" w:rsidRPr="00F122F9">
              <w:rPr>
                <w:iCs/>
                <w:sz w:val="22"/>
                <w:szCs w:val="22"/>
              </w:rPr>
              <w:t xml:space="preserve"> emisijas atļaujas</w:t>
            </w:r>
            <w:r w:rsidR="00D97EC9">
              <w:rPr>
                <w:iCs/>
                <w:sz w:val="22"/>
                <w:szCs w:val="22"/>
              </w:rPr>
              <w:t xml:space="preserve">, un </w:t>
            </w:r>
            <w:r w:rsidR="00E30C18" w:rsidRPr="00F122F9">
              <w:rPr>
                <w:rStyle w:val="apple-style-span"/>
                <w:sz w:val="22"/>
                <w:szCs w:val="22"/>
                <w:shd w:val="clear" w:color="auto" w:fill="FFFFFF"/>
              </w:rPr>
              <w:t xml:space="preserve">Latvijas administrācijā esošos </w:t>
            </w:r>
            <w:r w:rsidR="00E30C18">
              <w:rPr>
                <w:rStyle w:val="apple-style-span"/>
                <w:sz w:val="22"/>
                <w:szCs w:val="22"/>
                <w:shd w:val="clear" w:color="auto" w:fill="FFFFFF"/>
              </w:rPr>
              <w:t xml:space="preserve">ETS </w:t>
            </w:r>
            <w:r w:rsidR="00E30C18" w:rsidRPr="00F122F9">
              <w:rPr>
                <w:rStyle w:val="apple-style-span"/>
                <w:sz w:val="22"/>
                <w:szCs w:val="22"/>
                <w:shd w:val="clear" w:color="auto" w:fill="FFFFFF"/>
              </w:rPr>
              <w:t>gaisa kuģu operatorus</w:t>
            </w:r>
            <w:r w:rsidR="00CB4AAB" w:rsidRPr="00F122F9">
              <w:rPr>
                <w:iCs/>
                <w:sz w:val="22"/>
                <w:szCs w:val="22"/>
              </w:rPr>
              <w:t xml:space="preserve"> – attiecībā uz </w:t>
            </w:r>
            <w:r w:rsidR="00E30C18">
              <w:rPr>
                <w:iCs/>
                <w:sz w:val="22"/>
                <w:szCs w:val="22"/>
              </w:rPr>
              <w:t>ES ETS ietvaros izmantojamām Kioto vienībām</w:t>
            </w:r>
            <w:r w:rsidRPr="00F122F9">
              <w:rPr>
                <w:iCs/>
                <w:sz w:val="22"/>
                <w:szCs w:val="22"/>
              </w:rPr>
              <w:t>;</w:t>
            </w:r>
          </w:p>
          <w:p w:rsidR="002F30BB" w:rsidRPr="00863F23" w:rsidRDefault="00863F23" w:rsidP="00042B74">
            <w:pPr>
              <w:pStyle w:val="naiskr"/>
              <w:numPr>
                <w:ilvl w:val="0"/>
                <w:numId w:val="26"/>
              </w:numPr>
              <w:spacing w:before="0" w:after="0"/>
              <w:ind w:left="341" w:hanging="284"/>
              <w:jc w:val="both"/>
              <w:rPr>
                <w:sz w:val="22"/>
                <w:szCs w:val="22"/>
              </w:rPr>
            </w:pPr>
            <w:r>
              <w:rPr>
                <w:sz w:val="22"/>
                <w:szCs w:val="22"/>
              </w:rPr>
              <w:t xml:space="preserve">Emisijas reģistra </w:t>
            </w:r>
            <w:r w:rsidR="005279F8">
              <w:rPr>
                <w:sz w:val="22"/>
                <w:szCs w:val="22"/>
              </w:rPr>
              <w:t>valsts</w:t>
            </w:r>
            <w:r>
              <w:rPr>
                <w:sz w:val="22"/>
                <w:szCs w:val="22"/>
              </w:rPr>
              <w:t xml:space="preserve"> administratoru</w:t>
            </w:r>
            <w:r w:rsidR="005279F8">
              <w:rPr>
                <w:sz w:val="22"/>
                <w:szCs w:val="22"/>
              </w:rPr>
              <w:t>, kas saskaņā ar likuma „Par piesārņojumu” 32.</w:t>
            </w:r>
            <w:r w:rsidR="005279F8" w:rsidRPr="00100122">
              <w:rPr>
                <w:sz w:val="22"/>
                <w:szCs w:val="22"/>
                <w:vertAlign w:val="superscript"/>
              </w:rPr>
              <w:t>4</w:t>
            </w:r>
            <w:r w:rsidR="005279F8">
              <w:rPr>
                <w:sz w:val="22"/>
                <w:szCs w:val="22"/>
              </w:rPr>
              <w:t xml:space="preserve"> panta trešo daļu ir </w:t>
            </w:r>
            <w:r w:rsidR="005279F8" w:rsidRPr="005279F8">
              <w:rPr>
                <w:sz w:val="22"/>
                <w:szCs w:val="22"/>
              </w:rPr>
              <w:t>valsts sabiedrība ar ierobežotu atbildību “Latvijas Vides, ģeoloģijas un meteoroloģijas centrs”</w:t>
            </w:r>
            <w:r w:rsidR="005279F8">
              <w:rPr>
                <w:sz w:val="22"/>
                <w:szCs w:val="22"/>
              </w:rPr>
              <w:t xml:space="preserve">, </w:t>
            </w:r>
            <w:r>
              <w:rPr>
                <w:sz w:val="22"/>
                <w:szCs w:val="22"/>
              </w:rPr>
              <w:t xml:space="preserve"> un VARAM – attiecībā uz atbilstības nodrošināšanu ikgadējam emisiju sadales apjomam</w:t>
            </w:r>
            <w:r w:rsidR="00E30C18">
              <w:rPr>
                <w:sz w:val="22"/>
                <w:szCs w:val="22"/>
              </w:rPr>
              <w:t>.</w:t>
            </w:r>
          </w:p>
        </w:tc>
      </w:tr>
      <w:tr w:rsidR="00F122F9" w:rsidRPr="00F122F9" w:rsidTr="006060FB">
        <w:trPr>
          <w:trHeight w:val="274"/>
          <w:jc w:val="center"/>
        </w:trPr>
        <w:tc>
          <w:tcPr>
            <w:tcW w:w="250" w:type="pct"/>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2.</w:t>
            </w:r>
          </w:p>
        </w:tc>
        <w:tc>
          <w:tcPr>
            <w:tcW w:w="927" w:type="pct"/>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Tiesiskā regulējuma ietekme uz tautsaimniecību un administratīvo slogu</w:t>
            </w:r>
          </w:p>
        </w:tc>
        <w:tc>
          <w:tcPr>
            <w:tcW w:w="3823" w:type="pct"/>
          </w:tcPr>
          <w:p w:rsidR="00CB4AAB" w:rsidRPr="00CA6A84" w:rsidRDefault="00863F23" w:rsidP="00042B74">
            <w:pPr>
              <w:spacing w:after="0"/>
              <w:rPr>
                <w:rFonts w:ascii="Times New Roman" w:hAnsi="Times New Roman"/>
                <w:u w:val="single"/>
              </w:rPr>
            </w:pPr>
            <w:r w:rsidRPr="00863F23">
              <w:rPr>
                <w:rFonts w:ascii="Times New Roman" w:hAnsi="Times New Roman"/>
                <w:u w:val="single"/>
              </w:rPr>
              <w:t>Noteikumu projekta</w:t>
            </w:r>
            <w:r w:rsidR="00CB4AAB" w:rsidRPr="00CA6A84">
              <w:rPr>
                <w:rFonts w:ascii="Times New Roman" w:hAnsi="Times New Roman"/>
                <w:u w:val="single"/>
              </w:rPr>
              <w:t xml:space="preserve"> tiesiskā regulējuma paredzamā ietekme uz administratīvo slogu:</w:t>
            </w:r>
          </w:p>
          <w:p w:rsidR="00060858" w:rsidRDefault="00060858" w:rsidP="00042B74">
            <w:pPr>
              <w:spacing w:after="0"/>
              <w:rPr>
                <w:rFonts w:ascii="Times New Roman" w:hAnsi="Times New Roman"/>
              </w:rPr>
            </w:pPr>
            <w:r>
              <w:rPr>
                <w:rFonts w:ascii="Times New Roman" w:hAnsi="Times New Roman"/>
              </w:rPr>
              <w:t>Noteikumu projektam netiek paredzēta ietekme uz administratīvo slogu</w:t>
            </w:r>
            <w:r w:rsidR="00185FE6">
              <w:rPr>
                <w:rFonts w:ascii="Times New Roman" w:hAnsi="Times New Roman"/>
              </w:rPr>
              <w:t xml:space="preserve">, jo </w:t>
            </w:r>
            <w:r w:rsidR="00185FE6" w:rsidRPr="00185FE6">
              <w:rPr>
                <w:rFonts w:ascii="Times New Roman" w:hAnsi="Times New Roman"/>
              </w:rPr>
              <w:t>sabiedrības grupām un institūcijām projekta tiesiskais regulējums nemaina tiesības un pienākumus, kā arī veicamās darbības</w:t>
            </w:r>
            <w:r w:rsidR="00185FE6">
              <w:rPr>
                <w:rFonts w:ascii="Times New Roman" w:hAnsi="Times New Roman"/>
              </w:rPr>
              <w:t>.</w:t>
            </w:r>
          </w:p>
          <w:p w:rsidR="00185FE6" w:rsidRDefault="00185FE6" w:rsidP="00042B74">
            <w:pPr>
              <w:spacing w:after="0"/>
              <w:rPr>
                <w:rFonts w:ascii="Times New Roman" w:hAnsi="Times New Roman"/>
              </w:rPr>
            </w:pPr>
            <w:r>
              <w:rPr>
                <w:rFonts w:ascii="Times New Roman" w:hAnsi="Times New Roman"/>
              </w:rPr>
              <w:t>Emisijas reģistra valsts administratoram attiecībā uz darbībām ar gada emisijas sadales vienībām vai Kioto vienībām, kā arī VARAM attiecībā uz atbilstības nodrošināšanu tiek noteikti papildus pienākumi, tomēr tie tiek noteikti valsts administratora un VARAM kompetences ietvaros un ievērojot jau noteiktos pienākumus.</w:t>
            </w:r>
          </w:p>
          <w:p w:rsidR="00CB4AAB" w:rsidRPr="00CA6A84" w:rsidRDefault="00863F23" w:rsidP="00042B74">
            <w:pPr>
              <w:spacing w:after="0"/>
              <w:rPr>
                <w:rFonts w:ascii="Times New Roman" w:hAnsi="Times New Roman"/>
                <w:u w:val="single"/>
              </w:rPr>
            </w:pPr>
            <w:r w:rsidRPr="00863F23">
              <w:rPr>
                <w:rFonts w:ascii="Times New Roman" w:hAnsi="Times New Roman"/>
                <w:u w:val="single"/>
              </w:rPr>
              <w:t>Noteikumu projekta</w:t>
            </w:r>
            <w:r w:rsidR="00CB4AAB" w:rsidRPr="00CA6A84">
              <w:rPr>
                <w:rFonts w:ascii="Times New Roman" w:hAnsi="Times New Roman"/>
                <w:u w:val="single"/>
              </w:rPr>
              <w:t xml:space="preserve"> tiesiskā regulējuma ietekme uz uzņēmējdarbības vidi</w:t>
            </w:r>
          </w:p>
          <w:p w:rsidR="00863F23" w:rsidRDefault="00EF1663" w:rsidP="00042B74">
            <w:pPr>
              <w:spacing w:after="0"/>
              <w:rPr>
                <w:rFonts w:ascii="Times New Roman" w:hAnsi="Times New Roman"/>
              </w:rPr>
            </w:pPr>
            <w:r>
              <w:rPr>
                <w:rFonts w:ascii="Times New Roman" w:hAnsi="Times New Roman"/>
              </w:rPr>
              <w:t>Noteikumu projektam netiek paredzēta iet</w:t>
            </w:r>
            <w:r w:rsidR="005C5E76">
              <w:rPr>
                <w:rFonts w:ascii="Times New Roman" w:hAnsi="Times New Roman"/>
              </w:rPr>
              <w:t>e</w:t>
            </w:r>
            <w:r>
              <w:rPr>
                <w:rFonts w:ascii="Times New Roman" w:hAnsi="Times New Roman"/>
              </w:rPr>
              <w:t xml:space="preserve">kme uz uzņēmējdarbības vidi, jo tajā tikai tiek precizēti Kioto vienību izmantošanas nosacījumi ES ETS. Šie nosacījumi ir atrunāti </w:t>
            </w:r>
            <w:r w:rsidR="00060858">
              <w:rPr>
                <w:rFonts w:ascii="Times New Roman" w:hAnsi="Times New Roman"/>
              </w:rPr>
              <w:t>regulā Nr.389/2013, kur ir noteikti automātiski nosacījumi darbībām ar Kioto vienībām emisijas reģistra kontos.</w:t>
            </w:r>
          </w:p>
          <w:p w:rsidR="00060858" w:rsidRPr="00EF1663" w:rsidRDefault="00060858" w:rsidP="00042B74">
            <w:pPr>
              <w:spacing w:after="0"/>
              <w:rPr>
                <w:rFonts w:ascii="Times New Roman" w:hAnsi="Times New Roman"/>
              </w:rPr>
            </w:pPr>
            <w:r>
              <w:rPr>
                <w:rFonts w:ascii="Times New Roman" w:hAnsi="Times New Roman"/>
              </w:rPr>
              <w:t>Tomēr</w:t>
            </w:r>
            <w:r w:rsidR="00FF783F">
              <w:rPr>
                <w:rFonts w:ascii="Times New Roman" w:hAnsi="Times New Roman"/>
              </w:rPr>
              <w:t>,</w:t>
            </w:r>
            <w:r>
              <w:rPr>
                <w:rFonts w:ascii="Times New Roman" w:hAnsi="Times New Roman"/>
              </w:rPr>
              <w:t xml:space="preserve"> tā kā šie nosacījumi ir noteikti arī direktīvā Nr.2003/87/EK, jāveic to </w:t>
            </w:r>
            <w:r w:rsidR="00657C61">
              <w:rPr>
                <w:rFonts w:ascii="Times New Roman" w:hAnsi="Times New Roman"/>
              </w:rPr>
              <w:t>pārņemšana valsts tiesību aktos</w:t>
            </w:r>
            <w:r>
              <w:rPr>
                <w:rFonts w:ascii="Times New Roman" w:hAnsi="Times New Roman"/>
              </w:rPr>
              <w:t>.</w:t>
            </w:r>
          </w:p>
          <w:p w:rsidR="00863F23" w:rsidRPr="000F14C9" w:rsidRDefault="00863F23" w:rsidP="00042B74">
            <w:pPr>
              <w:spacing w:after="0"/>
              <w:rPr>
                <w:rFonts w:ascii="Times New Roman" w:hAnsi="Times New Roman"/>
                <w:lang w:eastAsia="lv-LV"/>
              </w:rPr>
            </w:pPr>
            <w:r w:rsidRPr="00863F23">
              <w:rPr>
                <w:rFonts w:ascii="Times New Roman" w:hAnsi="Times New Roman"/>
                <w:u w:val="single"/>
              </w:rPr>
              <w:t>Noteikumu projekta</w:t>
            </w:r>
            <w:r w:rsidR="00CB4AAB" w:rsidRPr="00CA6A84">
              <w:rPr>
                <w:rFonts w:ascii="Times New Roman" w:hAnsi="Times New Roman"/>
                <w:u w:val="single"/>
              </w:rPr>
              <w:t xml:space="preserve"> ietekme uz Nacionālā attīstības plāna rādītājiem, mikro vai makro līmenī</w:t>
            </w:r>
            <w:r w:rsidR="00657C61">
              <w:rPr>
                <w:rFonts w:ascii="Times New Roman" w:hAnsi="Times New Roman"/>
                <w:u w:val="single"/>
              </w:rPr>
              <w:t xml:space="preserve"> nav.</w:t>
            </w:r>
          </w:p>
        </w:tc>
      </w:tr>
      <w:tr w:rsidR="00F122F9" w:rsidRPr="00F122F9" w:rsidTr="006060FB">
        <w:trPr>
          <w:trHeight w:val="510"/>
          <w:jc w:val="center"/>
        </w:trPr>
        <w:tc>
          <w:tcPr>
            <w:tcW w:w="250" w:type="pct"/>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 xml:space="preserve">3. </w:t>
            </w:r>
          </w:p>
        </w:tc>
        <w:tc>
          <w:tcPr>
            <w:tcW w:w="927" w:type="pct"/>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Administratīvo izmaksu monetārs novērtējums</w:t>
            </w:r>
          </w:p>
        </w:tc>
        <w:tc>
          <w:tcPr>
            <w:tcW w:w="3823" w:type="pct"/>
          </w:tcPr>
          <w:p w:rsidR="0074243C" w:rsidRPr="00F122F9" w:rsidRDefault="00C72D81" w:rsidP="00042B74">
            <w:pPr>
              <w:spacing w:after="0"/>
              <w:ind w:firstLine="170"/>
              <w:rPr>
                <w:rFonts w:ascii="Times New Roman" w:hAnsi="Times New Roman"/>
              </w:rPr>
            </w:pPr>
            <w:r w:rsidRPr="00F122F9">
              <w:rPr>
                <w:rFonts w:ascii="Times New Roman" w:hAnsi="Times New Roman"/>
              </w:rPr>
              <w:t xml:space="preserve">Šobrīd netiek paredzēta </w:t>
            </w:r>
            <w:r w:rsidR="00863F23">
              <w:rPr>
                <w:rFonts w:ascii="Times New Roman" w:hAnsi="Times New Roman"/>
              </w:rPr>
              <w:t>n</w:t>
            </w:r>
            <w:r w:rsidR="00863F23" w:rsidRPr="00863F23">
              <w:rPr>
                <w:rFonts w:ascii="Times New Roman" w:hAnsi="Times New Roman"/>
              </w:rPr>
              <w:t>oteikumu projekta</w:t>
            </w:r>
            <w:r w:rsidRPr="00F122F9">
              <w:rPr>
                <w:rFonts w:ascii="Times New Roman" w:hAnsi="Times New Roman"/>
              </w:rPr>
              <w:t xml:space="preserve"> iekļauto nosacījumu ietekme uz administratīvajām izmaksām (naudas izteiksmē)</w:t>
            </w:r>
            <w:r>
              <w:rPr>
                <w:rFonts w:ascii="Times New Roman" w:hAnsi="Times New Roman"/>
              </w:rPr>
              <w:t xml:space="preserve"> </w:t>
            </w:r>
            <w:r w:rsidR="00657C61">
              <w:rPr>
                <w:rFonts w:ascii="Times New Roman" w:hAnsi="Times New Roman"/>
              </w:rPr>
              <w:t>saistībā</w:t>
            </w:r>
            <w:r>
              <w:rPr>
                <w:rFonts w:ascii="Times New Roman" w:hAnsi="Times New Roman"/>
              </w:rPr>
              <w:t xml:space="preserve"> ar uzglabāšanu</w:t>
            </w:r>
            <w:r w:rsidRPr="00F122F9">
              <w:rPr>
                <w:rFonts w:ascii="Times New Roman" w:hAnsi="Times New Roman"/>
              </w:rPr>
              <w:t>.</w:t>
            </w:r>
          </w:p>
        </w:tc>
      </w:tr>
      <w:tr w:rsidR="00F122F9" w:rsidRPr="00F122F9" w:rsidTr="006060FB">
        <w:trPr>
          <w:trHeight w:val="345"/>
          <w:jc w:val="center"/>
        </w:trPr>
        <w:tc>
          <w:tcPr>
            <w:tcW w:w="250" w:type="pct"/>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4.</w:t>
            </w:r>
          </w:p>
        </w:tc>
        <w:tc>
          <w:tcPr>
            <w:tcW w:w="927" w:type="pct"/>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Cita informācija</w:t>
            </w:r>
          </w:p>
        </w:tc>
        <w:tc>
          <w:tcPr>
            <w:tcW w:w="3823" w:type="pct"/>
          </w:tcPr>
          <w:p w:rsidR="00CB4AAB" w:rsidRPr="00F122F9" w:rsidRDefault="00CB4AAB" w:rsidP="00042B74">
            <w:pPr>
              <w:pStyle w:val="BodyTextIndent2"/>
              <w:spacing w:after="0" w:line="240" w:lineRule="auto"/>
              <w:ind w:left="0" w:firstLine="113"/>
              <w:jc w:val="both"/>
              <w:rPr>
                <w:sz w:val="22"/>
                <w:szCs w:val="22"/>
              </w:rPr>
            </w:pPr>
            <w:r w:rsidRPr="00F122F9">
              <w:rPr>
                <w:sz w:val="22"/>
                <w:szCs w:val="22"/>
              </w:rPr>
              <w:t>Nav</w:t>
            </w:r>
          </w:p>
        </w:tc>
      </w:tr>
    </w:tbl>
    <w:p w:rsidR="00CB4AAB" w:rsidRPr="00BF53CA" w:rsidRDefault="00CB4AAB" w:rsidP="000A58AB">
      <w:pPr>
        <w:shd w:val="clear" w:color="auto" w:fill="FFFFFF"/>
        <w:spacing w:after="0"/>
        <w:ind w:firstLine="300"/>
        <w:jc w:val="left"/>
        <w:rPr>
          <w:rFonts w:ascii="Times New Roman" w:hAnsi="Times New Roman"/>
          <w:sz w:val="28"/>
          <w:szCs w:val="28"/>
          <w:lang w:eastAsia="lv-LV"/>
        </w:rPr>
      </w:pPr>
      <w:r w:rsidRPr="00F122F9">
        <w:rPr>
          <w:rFonts w:ascii="Times New Roman" w:hAnsi="Times New Roman"/>
          <w:sz w:val="24"/>
          <w:szCs w:val="24"/>
          <w:lang w:eastAsia="lv-LV"/>
        </w:rPr>
        <w:lastRenderedPageBreak/>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2"/>
        <w:gridCol w:w="1787"/>
        <w:gridCol w:w="7370"/>
      </w:tblGrid>
      <w:tr w:rsidR="00F122F9" w:rsidRPr="00F122F9" w:rsidTr="006060FB">
        <w:trPr>
          <w:jc w:val="center"/>
        </w:trPr>
        <w:tc>
          <w:tcPr>
            <w:tcW w:w="5000" w:type="pct"/>
            <w:gridSpan w:val="3"/>
            <w:shd w:val="clear" w:color="auto" w:fill="FFFFFF"/>
            <w:vAlign w:val="center"/>
          </w:tcPr>
          <w:p w:rsidR="00CB4AAB" w:rsidRPr="00F122F9" w:rsidRDefault="00CB4AAB" w:rsidP="00042B74">
            <w:pPr>
              <w:spacing w:after="0"/>
              <w:jc w:val="center"/>
              <w:rPr>
                <w:rFonts w:ascii="Times New Roman" w:hAnsi="Times New Roman"/>
                <w:b/>
                <w:bCs/>
                <w:lang w:eastAsia="lv-LV"/>
              </w:rPr>
            </w:pPr>
            <w:r w:rsidRPr="00F122F9">
              <w:rPr>
                <w:rFonts w:ascii="Times New Roman" w:hAnsi="Times New Roman"/>
                <w:b/>
                <w:bCs/>
                <w:lang w:eastAsia="lv-LV"/>
              </w:rPr>
              <w:t>V. Tiesību akta projekta atbilstība Latvijas Republikas starptautiskajām saistībām</w:t>
            </w:r>
          </w:p>
        </w:tc>
      </w:tr>
      <w:tr w:rsidR="00F122F9" w:rsidRPr="00F122F9" w:rsidTr="006060FB">
        <w:trPr>
          <w:jc w:val="center"/>
        </w:trPr>
        <w:tc>
          <w:tcPr>
            <w:tcW w:w="250" w:type="pct"/>
            <w:shd w:val="clear" w:color="auto" w:fill="FFFFFF"/>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1.</w:t>
            </w:r>
          </w:p>
        </w:tc>
        <w:tc>
          <w:tcPr>
            <w:tcW w:w="927" w:type="pct"/>
            <w:shd w:val="clear" w:color="auto" w:fill="FFFFFF"/>
          </w:tcPr>
          <w:p w:rsidR="00CB4AAB" w:rsidRPr="00863F23" w:rsidRDefault="00CB4AAB" w:rsidP="00042B74">
            <w:pPr>
              <w:spacing w:after="0"/>
              <w:jc w:val="left"/>
              <w:rPr>
                <w:rFonts w:ascii="Times New Roman" w:hAnsi="Times New Roman"/>
                <w:lang w:eastAsia="lv-LV"/>
              </w:rPr>
            </w:pPr>
            <w:r w:rsidRPr="00863F23">
              <w:rPr>
                <w:rFonts w:ascii="Times New Roman" w:hAnsi="Times New Roman"/>
                <w:lang w:eastAsia="lv-LV"/>
              </w:rPr>
              <w:t>Saistības pret Eiropas Savienību</w:t>
            </w:r>
          </w:p>
        </w:tc>
        <w:tc>
          <w:tcPr>
            <w:tcW w:w="3823" w:type="pct"/>
            <w:shd w:val="clear" w:color="auto" w:fill="FFFFFF"/>
          </w:tcPr>
          <w:p w:rsidR="00CB4AAB" w:rsidRPr="003755CA" w:rsidRDefault="00287EED" w:rsidP="00042B74">
            <w:pPr>
              <w:autoSpaceDE w:val="0"/>
              <w:autoSpaceDN w:val="0"/>
              <w:adjustRightInd w:val="0"/>
              <w:spacing w:after="0"/>
              <w:ind w:left="227" w:hanging="227"/>
              <w:rPr>
                <w:rFonts w:ascii="Times New Roman" w:hAnsi="Times New Roman"/>
              </w:rPr>
            </w:pPr>
            <w:r w:rsidRPr="003755CA">
              <w:rPr>
                <w:rFonts w:ascii="Times New Roman" w:hAnsi="Times New Roman"/>
              </w:rPr>
              <w:t xml:space="preserve">Noteikumu </w:t>
            </w:r>
            <w:r w:rsidR="00CB4AAB" w:rsidRPr="003755CA">
              <w:rPr>
                <w:rFonts w:ascii="Times New Roman" w:hAnsi="Times New Roman"/>
              </w:rPr>
              <w:t>projekts sagatavots, ievērojot šādus Eiropas Savienības tiesību aktus:</w:t>
            </w:r>
          </w:p>
          <w:p w:rsidR="005279F8" w:rsidRDefault="005279F8" w:rsidP="00042B74">
            <w:pPr>
              <w:pStyle w:val="ListParagraph"/>
              <w:numPr>
                <w:ilvl w:val="0"/>
                <w:numId w:val="37"/>
              </w:numPr>
              <w:autoSpaceDE w:val="0"/>
              <w:autoSpaceDN w:val="0"/>
              <w:adjustRightInd w:val="0"/>
              <w:spacing w:after="0"/>
              <w:ind w:left="341" w:hanging="284"/>
              <w:contextualSpacing w:val="0"/>
              <w:rPr>
                <w:sz w:val="22"/>
                <w:szCs w:val="22"/>
              </w:rPr>
            </w:pPr>
            <w:r w:rsidRPr="005279F8">
              <w:rPr>
                <w:sz w:val="22"/>
                <w:szCs w:val="22"/>
              </w:rPr>
              <w:t>Eiropas Parlamenta un Padomes 2004.gada 27.oktobra direktīv</w:t>
            </w:r>
            <w:r>
              <w:rPr>
                <w:sz w:val="22"/>
                <w:szCs w:val="22"/>
              </w:rPr>
              <w:t>u</w:t>
            </w:r>
            <w:r w:rsidRPr="005279F8">
              <w:rPr>
                <w:sz w:val="22"/>
                <w:szCs w:val="22"/>
              </w:rPr>
              <w:t xml:space="preserve"> Nr.2004/101/EK, ar ko groza Direktīvu 2003/87/EK, ar kuru izveido siltumnīcefekta gāzu emisijas kvotu tirdzniecības sistēmu Kopienā, ņemot vērā Kioto Protokola projekta mehānismus</w:t>
            </w:r>
          </w:p>
          <w:p w:rsidR="005279F8" w:rsidRDefault="005279F8" w:rsidP="00042B74">
            <w:pPr>
              <w:pStyle w:val="ListParagraph"/>
              <w:numPr>
                <w:ilvl w:val="0"/>
                <w:numId w:val="37"/>
              </w:numPr>
              <w:autoSpaceDE w:val="0"/>
              <w:autoSpaceDN w:val="0"/>
              <w:adjustRightInd w:val="0"/>
              <w:spacing w:after="0"/>
              <w:ind w:left="341" w:hanging="284"/>
              <w:contextualSpacing w:val="0"/>
              <w:rPr>
                <w:sz w:val="22"/>
                <w:szCs w:val="22"/>
              </w:rPr>
            </w:pPr>
            <w:r w:rsidRPr="005279F8">
              <w:rPr>
                <w:sz w:val="22"/>
                <w:szCs w:val="22"/>
              </w:rPr>
              <w:t>Eiropas Parlamenta un Padomes 2008.gada 19.novembra Direktīvu 2008/101/EK, ar ko groza Direktīvu 2003/87/EK, lai aviācijas darbības iekļautu Kopienas siltumnīcas efektu izraisošo gāzu emisijas kvotu tirdzniecības sistēmā</w:t>
            </w:r>
          </w:p>
          <w:p w:rsidR="00CB4AAB" w:rsidRPr="00244F50" w:rsidRDefault="005279F8" w:rsidP="00042B74">
            <w:pPr>
              <w:pStyle w:val="ListParagraph"/>
              <w:numPr>
                <w:ilvl w:val="0"/>
                <w:numId w:val="37"/>
              </w:numPr>
              <w:autoSpaceDE w:val="0"/>
              <w:autoSpaceDN w:val="0"/>
              <w:adjustRightInd w:val="0"/>
              <w:spacing w:after="0"/>
              <w:ind w:left="341" w:hanging="284"/>
              <w:contextualSpacing w:val="0"/>
              <w:rPr>
                <w:sz w:val="22"/>
                <w:szCs w:val="22"/>
              </w:rPr>
            </w:pPr>
            <w:r w:rsidRPr="00244F50">
              <w:rPr>
                <w:sz w:val="22"/>
                <w:szCs w:val="22"/>
              </w:rPr>
              <w:t>Eiropas Parlamenta un Padomes 2009.gada 23.aprīļa Direktīva 2009/29/EK, ar ko Direktīvu 2003/87/EK groza, lai uzlabotu un paplašinātu Kopienas siltumnīcas efektu izraisošo gāzu emisiju kvotu tirdzniecības sistēmu</w:t>
            </w:r>
            <w:r w:rsidR="00CB4AAB" w:rsidRPr="005279F8">
              <w:rPr>
                <w:rFonts w:eastAsia="EUAlbertina-Bold-Identity-H"/>
                <w:sz w:val="22"/>
                <w:szCs w:val="22"/>
              </w:rPr>
              <w:t>;</w:t>
            </w:r>
          </w:p>
          <w:p w:rsidR="00CB4AAB" w:rsidRPr="003755CA" w:rsidRDefault="00CB4AAB" w:rsidP="00042B74">
            <w:pPr>
              <w:pStyle w:val="ListParagraph"/>
              <w:numPr>
                <w:ilvl w:val="0"/>
                <w:numId w:val="37"/>
              </w:numPr>
              <w:autoSpaceDE w:val="0"/>
              <w:autoSpaceDN w:val="0"/>
              <w:adjustRightInd w:val="0"/>
              <w:spacing w:after="0"/>
              <w:ind w:left="341" w:hanging="284"/>
              <w:contextualSpacing w:val="0"/>
              <w:rPr>
                <w:sz w:val="22"/>
                <w:szCs w:val="22"/>
              </w:rPr>
            </w:pPr>
            <w:r w:rsidRPr="003755CA">
              <w:rPr>
                <w:sz w:val="22"/>
                <w:szCs w:val="22"/>
              </w:rPr>
              <w:t>Eiropas Parlamenta un Padomes 2009.gada 29.aprīļa lēmum</w:t>
            </w:r>
            <w:r w:rsidR="005279F8">
              <w:rPr>
                <w:sz w:val="22"/>
                <w:szCs w:val="22"/>
              </w:rPr>
              <w:t>u</w:t>
            </w:r>
            <w:r w:rsidRPr="003755CA">
              <w:rPr>
                <w:sz w:val="22"/>
                <w:szCs w:val="22"/>
              </w:rPr>
              <w:t xml:space="preserve"> Nr.406/2009/EK par dalībvalstu pasākumiem siltumnīcefektu izraisošo gāzu emisiju samazināšanai, lai izpildītu Kopienas saistības siltumnīcas efektu izraisošu gāzu emisiju samazināšanas jomā līdz 2020.gadam;</w:t>
            </w:r>
          </w:p>
          <w:p w:rsidR="005279F8" w:rsidRPr="003755CA" w:rsidRDefault="005279F8" w:rsidP="00042B74">
            <w:pPr>
              <w:pStyle w:val="ListParagraph"/>
              <w:numPr>
                <w:ilvl w:val="0"/>
                <w:numId w:val="37"/>
              </w:numPr>
              <w:autoSpaceDE w:val="0"/>
              <w:autoSpaceDN w:val="0"/>
              <w:adjustRightInd w:val="0"/>
              <w:spacing w:after="0"/>
              <w:ind w:left="341" w:hanging="284"/>
              <w:contextualSpacing w:val="0"/>
              <w:rPr>
                <w:sz w:val="22"/>
                <w:szCs w:val="22"/>
                <w:lang w:eastAsia="lv-LV"/>
              </w:rPr>
            </w:pPr>
            <w:r w:rsidRPr="003755CA">
              <w:rPr>
                <w:sz w:val="22"/>
                <w:szCs w:val="22"/>
                <w:lang w:eastAsia="lv-LV"/>
              </w:rPr>
              <w:t xml:space="preserve">Eiropas Komisijas 2011.gada 7.jūnija </w:t>
            </w:r>
            <w:r>
              <w:rPr>
                <w:sz w:val="22"/>
                <w:szCs w:val="22"/>
                <w:lang w:eastAsia="lv-LV"/>
              </w:rPr>
              <w:t>R</w:t>
            </w:r>
            <w:r w:rsidRPr="003755CA">
              <w:rPr>
                <w:sz w:val="22"/>
                <w:szCs w:val="22"/>
                <w:lang w:eastAsia="lv-LV"/>
              </w:rPr>
              <w:t>egul</w:t>
            </w:r>
            <w:r>
              <w:rPr>
                <w:sz w:val="22"/>
                <w:szCs w:val="22"/>
                <w:lang w:eastAsia="lv-LV"/>
              </w:rPr>
              <w:t>u</w:t>
            </w:r>
            <w:r w:rsidRPr="003755CA">
              <w:rPr>
                <w:sz w:val="22"/>
                <w:szCs w:val="22"/>
                <w:lang w:eastAsia="lv-LV"/>
              </w:rPr>
              <w:t xml:space="preserve"> Nr.550/2011 par to, lai saskaņā ar Eiropas Parlamenta un Padomes Direktīvu 2003/87/EK noteiktu konkrētus ierobežojumus, kas piemērojami starptautisku kredītu izmantošanai no projektiem, kuri saistīti ar rūpnieciskajām gāzēm</w:t>
            </w:r>
            <w:r>
              <w:rPr>
                <w:sz w:val="22"/>
                <w:szCs w:val="22"/>
                <w:lang w:eastAsia="lv-LV"/>
              </w:rPr>
              <w:t>.</w:t>
            </w:r>
          </w:p>
          <w:p w:rsidR="00863F23" w:rsidRPr="003755CA" w:rsidRDefault="00863F23" w:rsidP="00042B74">
            <w:pPr>
              <w:pStyle w:val="ListParagraph"/>
              <w:numPr>
                <w:ilvl w:val="0"/>
                <w:numId w:val="37"/>
              </w:numPr>
              <w:autoSpaceDE w:val="0"/>
              <w:autoSpaceDN w:val="0"/>
              <w:adjustRightInd w:val="0"/>
              <w:spacing w:after="0"/>
              <w:ind w:left="341" w:hanging="284"/>
              <w:contextualSpacing w:val="0"/>
              <w:rPr>
                <w:sz w:val="22"/>
                <w:szCs w:val="22"/>
                <w:lang w:eastAsia="lv-LV"/>
              </w:rPr>
            </w:pPr>
            <w:r w:rsidRPr="003755CA">
              <w:rPr>
                <w:sz w:val="22"/>
                <w:szCs w:val="22"/>
              </w:rPr>
              <w:t xml:space="preserve">Eiropas Komisijas 2013.gada 2.maija </w:t>
            </w:r>
            <w:r w:rsidR="00657C61">
              <w:rPr>
                <w:sz w:val="22"/>
                <w:szCs w:val="22"/>
              </w:rPr>
              <w:t>R</w:t>
            </w:r>
            <w:r w:rsidRPr="003755CA">
              <w:rPr>
                <w:sz w:val="22"/>
                <w:szCs w:val="22"/>
              </w:rPr>
              <w:t>egul</w:t>
            </w:r>
            <w:r w:rsidR="005279F8">
              <w:rPr>
                <w:sz w:val="22"/>
                <w:szCs w:val="22"/>
              </w:rPr>
              <w:t>u</w:t>
            </w:r>
            <w:r w:rsidRPr="003755CA">
              <w:rPr>
                <w:sz w:val="22"/>
                <w:szCs w:val="22"/>
              </w:rPr>
              <w:t xml:space="preserve"> Nr.389/2013, ar ko izveido Savienības reģistru saskaņā ar Eiropas Parlamenta un Padomes Direktīvu 2003/87/EK un Eiropas Parlamenta un Padomes Lēmumu Nr.280/2004/EK un Lēmumu Nr.406/2009/EK un atceļ Komisijas Regulu (ES) Nr.920/2010 un Regulu (ES) Nr.1193/2011</w:t>
            </w:r>
            <w:r w:rsidR="003755CA" w:rsidRPr="003755CA">
              <w:rPr>
                <w:sz w:val="22"/>
                <w:szCs w:val="22"/>
              </w:rPr>
              <w:t>;</w:t>
            </w:r>
          </w:p>
          <w:p w:rsidR="00D53361" w:rsidRPr="003755CA" w:rsidRDefault="00863F23" w:rsidP="00042B74">
            <w:pPr>
              <w:autoSpaceDE w:val="0"/>
              <w:autoSpaceDN w:val="0"/>
              <w:adjustRightInd w:val="0"/>
              <w:spacing w:after="0"/>
              <w:rPr>
                <w:rFonts w:ascii="Times New Roman" w:hAnsi="Times New Roman"/>
                <w:lang w:eastAsia="lv-LV"/>
              </w:rPr>
            </w:pPr>
            <w:r w:rsidRPr="003755CA">
              <w:rPr>
                <w:rFonts w:ascii="Times New Roman" w:hAnsi="Times New Roman"/>
                <w:lang w:eastAsia="lv-LV"/>
              </w:rPr>
              <w:t>Anotācijas 1.tabulā ir iekļaut</w:t>
            </w:r>
            <w:r w:rsidR="00657C61">
              <w:rPr>
                <w:rFonts w:ascii="Times New Roman" w:hAnsi="Times New Roman"/>
                <w:lang w:eastAsia="lv-LV"/>
              </w:rPr>
              <w:t>as</w:t>
            </w:r>
            <w:r w:rsidRPr="003755CA">
              <w:rPr>
                <w:rFonts w:ascii="Times New Roman" w:hAnsi="Times New Roman"/>
                <w:lang w:eastAsia="lv-LV"/>
              </w:rPr>
              <w:t xml:space="preserve"> tikai t</w:t>
            </w:r>
            <w:r w:rsidR="00657C61">
              <w:rPr>
                <w:rFonts w:ascii="Times New Roman" w:hAnsi="Times New Roman"/>
                <w:lang w:eastAsia="lv-LV"/>
              </w:rPr>
              <w:t>ās</w:t>
            </w:r>
            <w:r w:rsidRPr="003755CA">
              <w:rPr>
                <w:rFonts w:ascii="Times New Roman" w:hAnsi="Times New Roman"/>
                <w:lang w:eastAsia="lv-LV"/>
              </w:rPr>
              <w:t xml:space="preserve"> minēt</w:t>
            </w:r>
            <w:r w:rsidR="00657C61">
              <w:rPr>
                <w:rFonts w:ascii="Times New Roman" w:hAnsi="Times New Roman"/>
                <w:lang w:eastAsia="lv-LV"/>
              </w:rPr>
              <w:t>o</w:t>
            </w:r>
            <w:r w:rsidRPr="003755CA">
              <w:rPr>
                <w:rFonts w:ascii="Times New Roman" w:hAnsi="Times New Roman"/>
                <w:lang w:eastAsia="lv-LV"/>
              </w:rPr>
              <w:t xml:space="preserve"> Eiropas Savienības tiesību aktu nosacījumi, kas attiecas uz noteikumu projektu.</w:t>
            </w:r>
          </w:p>
        </w:tc>
      </w:tr>
      <w:tr w:rsidR="00F122F9" w:rsidRPr="00F122F9" w:rsidTr="006060FB">
        <w:trPr>
          <w:jc w:val="center"/>
        </w:trPr>
        <w:tc>
          <w:tcPr>
            <w:tcW w:w="250" w:type="pct"/>
            <w:shd w:val="clear" w:color="auto" w:fill="FFFFFF"/>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2.</w:t>
            </w:r>
          </w:p>
        </w:tc>
        <w:tc>
          <w:tcPr>
            <w:tcW w:w="927" w:type="pct"/>
            <w:shd w:val="clear" w:color="auto" w:fill="FFFFFF"/>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Citas starptautiskās saistības</w:t>
            </w:r>
          </w:p>
        </w:tc>
        <w:tc>
          <w:tcPr>
            <w:tcW w:w="3823" w:type="pct"/>
            <w:shd w:val="clear" w:color="auto" w:fill="FFFFFF"/>
          </w:tcPr>
          <w:p w:rsidR="004B2CB9" w:rsidRPr="000022EA" w:rsidRDefault="007B685B" w:rsidP="00042B74">
            <w:pPr>
              <w:spacing w:after="0"/>
              <w:rPr>
                <w:color w:val="1F497D"/>
              </w:rPr>
            </w:pPr>
            <w:r w:rsidRPr="00FF783F">
              <w:rPr>
                <w:rFonts w:ascii="Times New Roman" w:hAnsi="Times New Roman"/>
                <w:lang w:eastAsia="lv-LV"/>
              </w:rPr>
              <w:t>Projekts šo jomu neskar.</w:t>
            </w:r>
            <w:r w:rsidR="004B2CB9">
              <w:t xml:space="preserve"> </w:t>
            </w:r>
          </w:p>
        </w:tc>
      </w:tr>
      <w:tr w:rsidR="00F122F9" w:rsidRPr="00F122F9" w:rsidTr="006060FB">
        <w:trPr>
          <w:jc w:val="center"/>
        </w:trPr>
        <w:tc>
          <w:tcPr>
            <w:tcW w:w="250" w:type="pct"/>
            <w:shd w:val="clear" w:color="auto" w:fill="FFFFFF"/>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3.</w:t>
            </w:r>
          </w:p>
        </w:tc>
        <w:tc>
          <w:tcPr>
            <w:tcW w:w="927" w:type="pct"/>
            <w:shd w:val="clear" w:color="auto" w:fill="FFFFFF"/>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Cita informācija</w:t>
            </w:r>
          </w:p>
        </w:tc>
        <w:tc>
          <w:tcPr>
            <w:tcW w:w="3823" w:type="pct"/>
            <w:shd w:val="clear" w:color="auto" w:fill="FFFFFF"/>
          </w:tcPr>
          <w:p w:rsidR="00CB4AAB" w:rsidRPr="00F122F9" w:rsidRDefault="00863F23" w:rsidP="00042B74">
            <w:pPr>
              <w:spacing w:after="0"/>
              <w:rPr>
                <w:rFonts w:ascii="Times New Roman" w:hAnsi="Times New Roman"/>
                <w:b/>
                <w:lang w:eastAsia="lv-LV"/>
              </w:rPr>
            </w:pPr>
            <w:r>
              <w:rPr>
                <w:rFonts w:ascii="Times New Roman" w:hAnsi="Times New Roman"/>
                <w:lang w:eastAsia="lv-LV"/>
              </w:rPr>
              <w:t>Nav</w:t>
            </w:r>
          </w:p>
        </w:tc>
      </w:tr>
    </w:tbl>
    <w:p w:rsidR="00CB4AAB" w:rsidRPr="006060FB" w:rsidRDefault="00CB4AAB" w:rsidP="00F122F9">
      <w:pPr>
        <w:spacing w:after="0"/>
        <w:jc w:val="left"/>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7"/>
        <w:gridCol w:w="2790"/>
        <w:gridCol w:w="2126"/>
        <w:gridCol w:w="2976"/>
      </w:tblGrid>
      <w:tr w:rsidR="00F122F9" w:rsidRPr="00F122F9" w:rsidTr="006060FB">
        <w:trPr>
          <w:trHeight w:val="284"/>
          <w:jc w:val="center"/>
        </w:trPr>
        <w:tc>
          <w:tcPr>
            <w:tcW w:w="9639" w:type="dxa"/>
            <w:gridSpan w:val="4"/>
          </w:tcPr>
          <w:p w:rsidR="00CB4AAB" w:rsidRPr="00F122F9" w:rsidRDefault="00CB4AAB" w:rsidP="006060FB">
            <w:pPr>
              <w:spacing w:after="0"/>
              <w:jc w:val="center"/>
              <w:rPr>
                <w:rFonts w:ascii="Times New Roman" w:hAnsi="Times New Roman"/>
                <w:b/>
              </w:rPr>
            </w:pPr>
            <w:r w:rsidRPr="00F122F9">
              <w:rPr>
                <w:rFonts w:ascii="Times New Roman" w:hAnsi="Times New Roman"/>
                <w:b/>
              </w:rPr>
              <w:t>1.tabula</w:t>
            </w:r>
          </w:p>
          <w:p w:rsidR="00CB4AAB" w:rsidRPr="00F122F9" w:rsidRDefault="00CB4AAB" w:rsidP="006060FB">
            <w:pPr>
              <w:spacing w:after="0"/>
              <w:ind w:left="57"/>
              <w:jc w:val="center"/>
              <w:rPr>
                <w:rFonts w:ascii="Times New Roman" w:hAnsi="Times New Roman"/>
              </w:rPr>
            </w:pPr>
            <w:r w:rsidRPr="00F122F9">
              <w:rPr>
                <w:rFonts w:ascii="Times New Roman" w:hAnsi="Times New Roman"/>
                <w:b/>
              </w:rPr>
              <w:t>Tiesību akta projekta atbilstība ES tiesību aktiem</w:t>
            </w:r>
          </w:p>
        </w:tc>
      </w:tr>
      <w:tr w:rsidR="004F51DE" w:rsidRPr="00F122F9" w:rsidTr="006060FB">
        <w:trPr>
          <w:trHeight w:val="284"/>
          <w:jc w:val="center"/>
        </w:trPr>
        <w:tc>
          <w:tcPr>
            <w:tcW w:w="1747" w:type="dxa"/>
          </w:tcPr>
          <w:p w:rsidR="004F51DE" w:rsidRPr="00F122F9" w:rsidRDefault="004F51DE" w:rsidP="006060FB">
            <w:pPr>
              <w:spacing w:after="0"/>
              <w:rPr>
                <w:rFonts w:ascii="Times New Roman" w:hAnsi="Times New Roman"/>
              </w:rPr>
            </w:pPr>
            <w:r w:rsidRPr="00F122F9">
              <w:rPr>
                <w:rFonts w:ascii="Times New Roman" w:hAnsi="Times New Roman"/>
              </w:rPr>
              <w:t>Attiecīgā Eiropas Savienības tiesību akta datums, numurs un nosaukums</w:t>
            </w:r>
          </w:p>
        </w:tc>
        <w:tc>
          <w:tcPr>
            <w:tcW w:w="7892" w:type="dxa"/>
            <w:gridSpan w:val="3"/>
            <w:vAlign w:val="center"/>
          </w:tcPr>
          <w:p w:rsidR="004F51DE" w:rsidRPr="00F122F9" w:rsidDel="004F51DE" w:rsidRDefault="004F51DE" w:rsidP="006060FB">
            <w:pPr>
              <w:autoSpaceDE w:val="0"/>
              <w:autoSpaceDN w:val="0"/>
              <w:adjustRightInd w:val="0"/>
              <w:spacing w:after="0"/>
              <w:rPr>
                <w:rFonts w:ascii="Times New Roman" w:hAnsi="Times New Roman"/>
                <w:b/>
                <w:shd w:val="clear" w:color="auto" w:fill="FFFFFF"/>
              </w:rPr>
            </w:pPr>
            <w:r w:rsidRPr="004F51DE">
              <w:rPr>
                <w:rFonts w:ascii="Times New Roman" w:hAnsi="Times New Roman"/>
                <w:b/>
                <w:shd w:val="clear" w:color="auto" w:fill="FFFFFF"/>
              </w:rPr>
              <w:t>Eiropas Parlamenta un Padomes</w:t>
            </w:r>
            <w:r>
              <w:rPr>
                <w:rFonts w:ascii="Times New Roman" w:hAnsi="Times New Roman"/>
                <w:b/>
                <w:shd w:val="clear" w:color="auto" w:fill="FFFFFF"/>
              </w:rPr>
              <w:t xml:space="preserve"> 2004.gada 27.oktobra direktīva Nr.2004/101/EK, </w:t>
            </w:r>
            <w:r w:rsidRPr="004F51DE">
              <w:rPr>
                <w:rFonts w:ascii="Times New Roman" w:hAnsi="Times New Roman"/>
                <w:b/>
                <w:shd w:val="clear" w:color="auto" w:fill="FFFFFF"/>
              </w:rPr>
              <w:t>ar ko groza Direktīvu 2003/87/EK, ar kuru izveido siltumnīcefekta gāzu emisijas kvotu tirdzniecības sistēmu Kopienā, ņemot vērā Kioto Protokola projekta mehānismus</w:t>
            </w:r>
          </w:p>
        </w:tc>
      </w:tr>
      <w:tr w:rsidR="004F51DE" w:rsidRPr="00F122F9" w:rsidTr="006060FB">
        <w:trPr>
          <w:trHeight w:val="284"/>
          <w:jc w:val="center"/>
        </w:trPr>
        <w:tc>
          <w:tcPr>
            <w:tcW w:w="1747" w:type="dxa"/>
            <w:vAlign w:val="center"/>
          </w:tcPr>
          <w:p w:rsidR="004F51DE" w:rsidRPr="00F122F9" w:rsidRDefault="004F51DE" w:rsidP="006060FB">
            <w:pPr>
              <w:spacing w:after="0"/>
              <w:jc w:val="center"/>
              <w:rPr>
                <w:rFonts w:ascii="Times New Roman" w:hAnsi="Times New Roman"/>
                <w:sz w:val="20"/>
                <w:szCs w:val="20"/>
              </w:rPr>
            </w:pPr>
            <w:r w:rsidRPr="00F122F9">
              <w:rPr>
                <w:rFonts w:ascii="Times New Roman" w:hAnsi="Times New Roman"/>
                <w:sz w:val="20"/>
                <w:szCs w:val="20"/>
              </w:rPr>
              <w:t>A</w:t>
            </w:r>
          </w:p>
        </w:tc>
        <w:tc>
          <w:tcPr>
            <w:tcW w:w="2790" w:type="dxa"/>
            <w:vAlign w:val="center"/>
          </w:tcPr>
          <w:p w:rsidR="004F51DE" w:rsidRPr="00F122F9" w:rsidRDefault="004F51DE" w:rsidP="006060FB">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2126" w:type="dxa"/>
            <w:vAlign w:val="center"/>
          </w:tcPr>
          <w:p w:rsidR="004F51DE" w:rsidRPr="00F122F9" w:rsidRDefault="004F51DE" w:rsidP="006060FB">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2976" w:type="dxa"/>
            <w:vAlign w:val="center"/>
          </w:tcPr>
          <w:p w:rsidR="004F51DE" w:rsidRPr="00F122F9" w:rsidRDefault="004F51DE" w:rsidP="006060FB">
            <w:pPr>
              <w:spacing w:after="0"/>
              <w:ind w:left="57"/>
              <w:jc w:val="center"/>
              <w:rPr>
                <w:rFonts w:ascii="Times New Roman" w:hAnsi="Times New Roman"/>
                <w:sz w:val="20"/>
                <w:szCs w:val="20"/>
              </w:rPr>
            </w:pPr>
            <w:r w:rsidRPr="00F122F9">
              <w:rPr>
                <w:rFonts w:ascii="Times New Roman" w:hAnsi="Times New Roman"/>
                <w:sz w:val="20"/>
                <w:szCs w:val="20"/>
              </w:rPr>
              <w:t>D</w:t>
            </w:r>
          </w:p>
        </w:tc>
      </w:tr>
      <w:tr w:rsidR="004F51DE" w:rsidRPr="00F122F9" w:rsidTr="006060FB">
        <w:trPr>
          <w:trHeight w:val="274"/>
          <w:jc w:val="center"/>
        </w:trPr>
        <w:tc>
          <w:tcPr>
            <w:tcW w:w="1747" w:type="dxa"/>
            <w:vAlign w:val="center"/>
          </w:tcPr>
          <w:p w:rsidR="004F51DE" w:rsidRPr="00F122F9" w:rsidRDefault="004F51DE" w:rsidP="006060FB">
            <w:pPr>
              <w:spacing w:after="0"/>
              <w:rPr>
                <w:rFonts w:ascii="Times New Roman" w:hAnsi="Times New Roman"/>
              </w:rPr>
            </w:pPr>
            <w:r>
              <w:rPr>
                <w:rFonts w:ascii="Times New Roman" w:hAnsi="Times New Roman"/>
              </w:rPr>
              <w:t>Direktīvas 2.punktā izteiktais direktīvas Nr.2003/87/EK 11.a panta 1.punkts</w:t>
            </w:r>
          </w:p>
        </w:tc>
        <w:tc>
          <w:tcPr>
            <w:tcW w:w="2790" w:type="dxa"/>
            <w:vAlign w:val="center"/>
          </w:tcPr>
          <w:p w:rsidR="00731018" w:rsidRDefault="004F51DE" w:rsidP="006060FB">
            <w:pPr>
              <w:spacing w:after="0"/>
              <w:rPr>
                <w:rFonts w:ascii="Times New Roman" w:hAnsi="Times New Roman"/>
              </w:rPr>
            </w:pPr>
            <w:r>
              <w:rPr>
                <w:rFonts w:ascii="Times New Roman" w:hAnsi="Times New Roman"/>
              </w:rPr>
              <w:t>Netiek pārņemts, jo šī norma vairs nav spēkā</w:t>
            </w:r>
            <w:r w:rsidR="00731018">
              <w:rPr>
                <w:rFonts w:ascii="Times New Roman" w:hAnsi="Times New Roman"/>
              </w:rPr>
              <w:t>, jo šī norma tika atcelta ar direktīvu Nr.2009/29/EK.</w:t>
            </w:r>
          </w:p>
          <w:p w:rsidR="004F51DE" w:rsidRPr="00D9663C" w:rsidRDefault="00731018" w:rsidP="006060FB">
            <w:pPr>
              <w:spacing w:after="0"/>
              <w:rPr>
                <w:rFonts w:ascii="Times New Roman" w:hAnsi="Times New Roman"/>
              </w:rPr>
            </w:pPr>
            <w:r>
              <w:rPr>
                <w:rFonts w:ascii="Times New Roman" w:hAnsi="Times New Roman"/>
              </w:rPr>
              <w:t>A</w:t>
            </w:r>
            <w:r w:rsidR="004F51DE">
              <w:rPr>
                <w:rFonts w:ascii="Times New Roman" w:hAnsi="Times New Roman"/>
              </w:rPr>
              <w:t>r direktīvu Nr.2009/29/EK direkt</w:t>
            </w:r>
            <w:r>
              <w:rPr>
                <w:rFonts w:ascii="Times New Roman" w:hAnsi="Times New Roman"/>
              </w:rPr>
              <w:t>īvā Nr.2004/101/EK izteiktais direktīvas Nr.2003/87/EK 11.a pants ir izteikts citā redakcijā.</w:t>
            </w:r>
          </w:p>
        </w:tc>
        <w:tc>
          <w:tcPr>
            <w:tcW w:w="2126" w:type="dxa"/>
            <w:vAlign w:val="center"/>
          </w:tcPr>
          <w:p w:rsidR="004F51DE" w:rsidRPr="00F122F9" w:rsidRDefault="009506B5" w:rsidP="006060FB">
            <w:pPr>
              <w:spacing w:after="0"/>
              <w:ind w:left="57"/>
              <w:rPr>
                <w:rFonts w:ascii="Times New Roman" w:hAnsi="Times New Roman"/>
              </w:rPr>
            </w:pPr>
            <w:r>
              <w:rPr>
                <w:rFonts w:ascii="Times New Roman" w:hAnsi="Times New Roman"/>
              </w:rPr>
              <w:t>Netiks pārņemts</w:t>
            </w:r>
          </w:p>
        </w:tc>
        <w:tc>
          <w:tcPr>
            <w:tcW w:w="2976" w:type="dxa"/>
            <w:vAlign w:val="center"/>
          </w:tcPr>
          <w:p w:rsidR="004F51DE" w:rsidRPr="00F122F9" w:rsidRDefault="004F51DE" w:rsidP="006060FB">
            <w:pPr>
              <w:pStyle w:val="naisc"/>
              <w:spacing w:before="0" w:after="0"/>
              <w:jc w:val="both"/>
              <w:rPr>
                <w:sz w:val="22"/>
                <w:szCs w:val="22"/>
              </w:rPr>
            </w:pPr>
          </w:p>
        </w:tc>
      </w:tr>
      <w:tr w:rsidR="00731018" w:rsidRPr="00F122F9" w:rsidTr="006060FB">
        <w:trPr>
          <w:trHeight w:val="274"/>
          <w:jc w:val="center"/>
        </w:trPr>
        <w:tc>
          <w:tcPr>
            <w:tcW w:w="1747" w:type="dxa"/>
            <w:vAlign w:val="center"/>
          </w:tcPr>
          <w:p w:rsidR="00731018" w:rsidRPr="00F122F9" w:rsidRDefault="00731018" w:rsidP="006060FB">
            <w:pPr>
              <w:spacing w:after="0"/>
              <w:rPr>
                <w:rFonts w:ascii="Times New Roman" w:hAnsi="Times New Roman"/>
              </w:rPr>
            </w:pPr>
            <w:r>
              <w:rPr>
                <w:rFonts w:ascii="Times New Roman" w:hAnsi="Times New Roman"/>
              </w:rPr>
              <w:t>Direktīvas 2.punktā izteiktais direktīvas Nr.2003/87/EK 11.a panta 2.punkts</w:t>
            </w:r>
          </w:p>
        </w:tc>
        <w:tc>
          <w:tcPr>
            <w:tcW w:w="2790" w:type="dxa"/>
            <w:vAlign w:val="center"/>
          </w:tcPr>
          <w:p w:rsidR="00731018" w:rsidRDefault="00731018" w:rsidP="006060FB">
            <w:pPr>
              <w:spacing w:after="0"/>
              <w:rPr>
                <w:rFonts w:ascii="Times New Roman" w:hAnsi="Times New Roman"/>
              </w:rPr>
            </w:pPr>
            <w:r>
              <w:rPr>
                <w:rFonts w:ascii="Times New Roman" w:hAnsi="Times New Roman"/>
              </w:rPr>
              <w:t>Netiek pārņemts, jo šī norma vairs nav spēkā, jo šī norma tika atcelta ar direktīvu Nr.2009/29/EK.</w:t>
            </w:r>
          </w:p>
          <w:p w:rsidR="00731018" w:rsidRPr="00D9663C" w:rsidRDefault="00731018" w:rsidP="006060FB">
            <w:pPr>
              <w:spacing w:after="0"/>
              <w:rPr>
                <w:rFonts w:ascii="Times New Roman" w:hAnsi="Times New Roman"/>
              </w:rPr>
            </w:pPr>
            <w:r>
              <w:rPr>
                <w:rFonts w:ascii="Times New Roman" w:hAnsi="Times New Roman"/>
              </w:rPr>
              <w:t xml:space="preserve">Ar direktīvu Nr.2009/29/EK direktīvā Nr.2004/101/EK </w:t>
            </w:r>
            <w:r>
              <w:rPr>
                <w:rFonts w:ascii="Times New Roman" w:hAnsi="Times New Roman"/>
              </w:rPr>
              <w:lastRenderedPageBreak/>
              <w:t>izteiktais direktīvas Nr.2003/87/EK 11.a pants ir izteikts citā redakcijā.</w:t>
            </w:r>
          </w:p>
        </w:tc>
        <w:tc>
          <w:tcPr>
            <w:tcW w:w="2126" w:type="dxa"/>
            <w:vAlign w:val="center"/>
          </w:tcPr>
          <w:p w:rsidR="00731018" w:rsidRPr="00F122F9" w:rsidRDefault="009506B5" w:rsidP="006060FB">
            <w:pPr>
              <w:spacing w:after="0"/>
              <w:ind w:left="57"/>
              <w:rPr>
                <w:rFonts w:ascii="Times New Roman" w:hAnsi="Times New Roman"/>
              </w:rPr>
            </w:pPr>
            <w:r>
              <w:rPr>
                <w:rFonts w:ascii="Times New Roman" w:hAnsi="Times New Roman"/>
              </w:rPr>
              <w:lastRenderedPageBreak/>
              <w:t>Netiks pārņemts</w:t>
            </w:r>
          </w:p>
        </w:tc>
        <w:tc>
          <w:tcPr>
            <w:tcW w:w="2976" w:type="dxa"/>
            <w:vAlign w:val="center"/>
          </w:tcPr>
          <w:p w:rsidR="00731018" w:rsidRPr="00F122F9" w:rsidRDefault="00731018" w:rsidP="006060FB">
            <w:pPr>
              <w:pStyle w:val="naisc"/>
              <w:spacing w:before="0" w:after="0"/>
              <w:jc w:val="both"/>
              <w:rPr>
                <w:sz w:val="22"/>
                <w:szCs w:val="22"/>
              </w:rPr>
            </w:pPr>
          </w:p>
        </w:tc>
      </w:tr>
      <w:tr w:rsidR="00731018" w:rsidRPr="00F122F9" w:rsidTr="006060FB">
        <w:trPr>
          <w:trHeight w:val="274"/>
          <w:jc w:val="center"/>
        </w:trPr>
        <w:tc>
          <w:tcPr>
            <w:tcW w:w="1747" w:type="dxa"/>
            <w:vAlign w:val="center"/>
          </w:tcPr>
          <w:p w:rsidR="00731018" w:rsidRPr="00F122F9" w:rsidRDefault="00731018" w:rsidP="006060FB">
            <w:pPr>
              <w:spacing w:after="0"/>
              <w:rPr>
                <w:rFonts w:ascii="Times New Roman" w:hAnsi="Times New Roman"/>
              </w:rPr>
            </w:pPr>
            <w:r>
              <w:rPr>
                <w:rFonts w:ascii="Times New Roman" w:hAnsi="Times New Roman"/>
              </w:rPr>
              <w:t>Direktīvas 2.punktā izteiktais direktīvas Nr.2003/87/EK 11.a panta 3.punkts</w:t>
            </w:r>
          </w:p>
        </w:tc>
        <w:tc>
          <w:tcPr>
            <w:tcW w:w="2790" w:type="dxa"/>
            <w:vAlign w:val="center"/>
          </w:tcPr>
          <w:p w:rsidR="00731018" w:rsidRDefault="00731018" w:rsidP="006060FB">
            <w:pPr>
              <w:spacing w:after="0"/>
              <w:rPr>
                <w:rFonts w:ascii="Times New Roman" w:hAnsi="Times New Roman"/>
              </w:rPr>
            </w:pPr>
            <w:r>
              <w:rPr>
                <w:rFonts w:ascii="Times New Roman" w:hAnsi="Times New Roman"/>
              </w:rPr>
              <w:t>Netiek pārņemts, jo šī norma vairs nav spēkā, jo šī norma tika atcelta ar direktīvu Nr.2009/29/EK.</w:t>
            </w:r>
          </w:p>
          <w:p w:rsidR="00731018" w:rsidRPr="00D9663C" w:rsidRDefault="00731018" w:rsidP="006060FB">
            <w:pPr>
              <w:spacing w:after="0"/>
              <w:rPr>
                <w:rFonts w:ascii="Times New Roman" w:hAnsi="Times New Roman"/>
              </w:rPr>
            </w:pPr>
            <w:r>
              <w:rPr>
                <w:rFonts w:ascii="Times New Roman" w:hAnsi="Times New Roman"/>
              </w:rPr>
              <w:t>Ar direktīvu Nr.2009/29/EK direktīvā Nr.2004/101/EK izteiktais direktīvas Nr.2003/87/EK 11.a pants ir izteikts citā redakcijā.</w:t>
            </w:r>
          </w:p>
        </w:tc>
        <w:tc>
          <w:tcPr>
            <w:tcW w:w="2126" w:type="dxa"/>
            <w:vAlign w:val="center"/>
          </w:tcPr>
          <w:p w:rsidR="00731018" w:rsidRPr="00F122F9" w:rsidRDefault="009506B5" w:rsidP="006060FB">
            <w:pPr>
              <w:spacing w:after="0"/>
              <w:ind w:left="57"/>
              <w:rPr>
                <w:rFonts w:ascii="Times New Roman" w:hAnsi="Times New Roman"/>
              </w:rPr>
            </w:pPr>
            <w:r>
              <w:rPr>
                <w:rFonts w:ascii="Times New Roman" w:hAnsi="Times New Roman"/>
              </w:rPr>
              <w:t>Netiks pārņemts</w:t>
            </w:r>
          </w:p>
        </w:tc>
        <w:tc>
          <w:tcPr>
            <w:tcW w:w="2976" w:type="dxa"/>
            <w:vAlign w:val="center"/>
          </w:tcPr>
          <w:p w:rsidR="00731018" w:rsidRPr="00F122F9" w:rsidRDefault="00731018" w:rsidP="006060FB">
            <w:pPr>
              <w:pStyle w:val="naisc"/>
              <w:spacing w:before="0" w:after="0"/>
              <w:jc w:val="both"/>
              <w:rPr>
                <w:sz w:val="22"/>
                <w:szCs w:val="22"/>
              </w:rPr>
            </w:pPr>
          </w:p>
        </w:tc>
      </w:tr>
      <w:tr w:rsidR="00325202" w:rsidRPr="00F122F9" w:rsidTr="006060FB">
        <w:trPr>
          <w:trHeight w:val="274"/>
          <w:jc w:val="center"/>
        </w:trPr>
        <w:tc>
          <w:tcPr>
            <w:tcW w:w="1747" w:type="dxa"/>
            <w:vAlign w:val="center"/>
          </w:tcPr>
          <w:p w:rsidR="00325202" w:rsidRDefault="00325202" w:rsidP="006060FB">
            <w:pPr>
              <w:spacing w:after="0"/>
              <w:rPr>
                <w:rFonts w:ascii="Times New Roman" w:hAnsi="Times New Roman"/>
              </w:rPr>
            </w:pPr>
            <w:r>
              <w:rPr>
                <w:rFonts w:ascii="Times New Roman" w:hAnsi="Times New Roman"/>
              </w:rPr>
              <w:t>Direktīvas 2.punktā izteiktais direktīvas Nr.2003/87/EK 11.b panta 1.punkts</w:t>
            </w:r>
          </w:p>
        </w:tc>
        <w:tc>
          <w:tcPr>
            <w:tcW w:w="2790" w:type="dxa"/>
            <w:vAlign w:val="center"/>
          </w:tcPr>
          <w:p w:rsidR="00325202" w:rsidRPr="00D9663C" w:rsidRDefault="00325202" w:rsidP="006060FB">
            <w:pPr>
              <w:spacing w:after="0"/>
              <w:rPr>
                <w:rFonts w:ascii="Times New Roman" w:hAnsi="Times New Roman"/>
              </w:rPr>
            </w:pPr>
            <w:r>
              <w:rPr>
                <w:rFonts w:ascii="Times New Roman" w:hAnsi="Times New Roman"/>
              </w:rPr>
              <w:t>T</w:t>
            </w:r>
            <w:r w:rsidRPr="008953CD">
              <w:rPr>
                <w:rFonts w:ascii="Times New Roman" w:hAnsi="Times New Roman"/>
              </w:rPr>
              <w:t>iek pārņemts, veicot grozījumus MK noteikumos Nr.510</w:t>
            </w:r>
            <w:r>
              <w:rPr>
                <w:rStyle w:val="FootnoteReference"/>
                <w:rFonts w:ascii="Times New Roman" w:hAnsi="Times New Roman"/>
              </w:rPr>
              <w:footnoteReference w:id="3"/>
            </w:r>
          </w:p>
        </w:tc>
        <w:tc>
          <w:tcPr>
            <w:tcW w:w="2126" w:type="dxa"/>
            <w:vAlign w:val="center"/>
          </w:tcPr>
          <w:p w:rsidR="00325202" w:rsidRPr="00F122F9" w:rsidRDefault="00325202" w:rsidP="006060FB">
            <w:pPr>
              <w:spacing w:after="0"/>
              <w:ind w:left="57"/>
              <w:rPr>
                <w:rFonts w:ascii="Times New Roman" w:hAnsi="Times New Roman"/>
              </w:rPr>
            </w:pPr>
            <w:r>
              <w:rPr>
                <w:rFonts w:ascii="Times New Roman" w:hAnsi="Times New Roman"/>
              </w:rPr>
              <w:t>P</w:t>
            </w:r>
            <w:r w:rsidRPr="00F122F9">
              <w:rPr>
                <w:rFonts w:ascii="Times New Roman" w:hAnsi="Times New Roman"/>
              </w:rPr>
              <w:t>ārņemts pilnībā</w:t>
            </w:r>
          </w:p>
        </w:tc>
        <w:tc>
          <w:tcPr>
            <w:tcW w:w="2976" w:type="dxa"/>
            <w:vAlign w:val="center"/>
          </w:tcPr>
          <w:p w:rsidR="00325202" w:rsidRPr="00F122F9" w:rsidRDefault="00325202" w:rsidP="006060FB">
            <w:pPr>
              <w:pStyle w:val="naisc"/>
              <w:spacing w:before="0" w:after="0"/>
              <w:jc w:val="both"/>
              <w:rPr>
                <w:sz w:val="22"/>
                <w:szCs w:val="22"/>
              </w:rPr>
            </w:pPr>
            <w:r w:rsidRPr="00244F50">
              <w:rPr>
                <w:spacing w:val="-2"/>
                <w:sz w:val="22"/>
                <w:szCs w:val="22"/>
              </w:rPr>
              <w:t>Nav noteiktas stingrākas prasības</w:t>
            </w:r>
            <w:r w:rsidRPr="00244F50" w:rsidDel="000B0D5A">
              <w:rPr>
                <w:sz w:val="22"/>
                <w:szCs w:val="22"/>
              </w:rPr>
              <w:t xml:space="preserve"> </w:t>
            </w:r>
          </w:p>
        </w:tc>
      </w:tr>
      <w:tr w:rsidR="00325202" w:rsidRPr="008918F6" w:rsidTr="006060FB">
        <w:trPr>
          <w:trHeight w:val="284"/>
          <w:jc w:val="center"/>
        </w:trPr>
        <w:tc>
          <w:tcPr>
            <w:tcW w:w="1747" w:type="dxa"/>
            <w:tcBorders>
              <w:top w:val="single" w:sz="2" w:space="0" w:color="auto"/>
              <w:left w:val="single" w:sz="2" w:space="0" w:color="auto"/>
              <w:bottom w:val="single" w:sz="2" w:space="0" w:color="auto"/>
              <w:right w:val="single" w:sz="2" w:space="0" w:color="auto"/>
            </w:tcBorders>
            <w:vAlign w:val="center"/>
          </w:tcPr>
          <w:p w:rsidR="00325202" w:rsidRPr="008953CD" w:rsidRDefault="00325202" w:rsidP="006060FB">
            <w:pPr>
              <w:spacing w:after="0"/>
              <w:rPr>
                <w:rFonts w:ascii="Times New Roman" w:hAnsi="Times New Roman"/>
              </w:rPr>
            </w:pPr>
            <w:r>
              <w:rPr>
                <w:rFonts w:ascii="Times New Roman" w:hAnsi="Times New Roman"/>
              </w:rPr>
              <w:t xml:space="preserve">Direktīvas 2.punktā izteiktais direktīvas Nr.2003/87/EK </w:t>
            </w:r>
            <w:r w:rsidRPr="008953CD">
              <w:rPr>
                <w:rFonts w:ascii="Times New Roman" w:hAnsi="Times New Roman"/>
              </w:rPr>
              <w:t>11.b panta 2.punkts</w:t>
            </w:r>
          </w:p>
        </w:tc>
        <w:tc>
          <w:tcPr>
            <w:tcW w:w="2790" w:type="dxa"/>
            <w:tcBorders>
              <w:top w:val="single" w:sz="2" w:space="0" w:color="auto"/>
              <w:left w:val="single" w:sz="2" w:space="0" w:color="auto"/>
              <w:bottom w:val="single" w:sz="2" w:space="0" w:color="auto"/>
              <w:right w:val="single" w:sz="2" w:space="0" w:color="auto"/>
            </w:tcBorders>
            <w:vAlign w:val="center"/>
          </w:tcPr>
          <w:p w:rsidR="00325202" w:rsidRPr="008953CD" w:rsidRDefault="00325202" w:rsidP="006060FB">
            <w:pPr>
              <w:spacing w:after="0"/>
              <w:rPr>
                <w:rFonts w:ascii="Times New Roman" w:hAnsi="Times New Roman"/>
              </w:rPr>
            </w:pPr>
            <w:r>
              <w:rPr>
                <w:rFonts w:ascii="Times New Roman" w:hAnsi="Times New Roman"/>
              </w:rPr>
              <w:t>T</w:t>
            </w:r>
            <w:r w:rsidRPr="008953CD">
              <w:rPr>
                <w:rFonts w:ascii="Times New Roman" w:hAnsi="Times New Roman"/>
              </w:rPr>
              <w:t>iek pārņemts, veicot grozījumus MK noteikumos Nr.510</w:t>
            </w:r>
          </w:p>
        </w:tc>
        <w:tc>
          <w:tcPr>
            <w:tcW w:w="2126" w:type="dxa"/>
            <w:tcBorders>
              <w:top w:val="single" w:sz="2" w:space="0" w:color="auto"/>
              <w:left w:val="single" w:sz="2" w:space="0" w:color="auto"/>
              <w:bottom w:val="single" w:sz="2" w:space="0" w:color="auto"/>
              <w:right w:val="single" w:sz="2" w:space="0" w:color="auto"/>
            </w:tcBorders>
            <w:vAlign w:val="center"/>
          </w:tcPr>
          <w:p w:rsidR="00325202" w:rsidRPr="008953CD" w:rsidRDefault="00325202" w:rsidP="006060FB">
            <w:pPr>
              <w:spacing w:after="0"/>
              <w:rPr>
                <w:rFonts w:ascii="Times New Roman" w:hAnsi="Times New Roman"/>
              </w:rPr>
            </w:pPr>
            <w:r>
              <w:rPr>
                <w:rFonts w:ascii="Times New Roman" w:hAnsi="Times New Roman"/>
              </w:rPr>
              <w:t>P</w:t>
            </w:r>
            <w:r w:rsidRPr="00F122F9">
              <w:rPr>
                <w:rFonts w:ascii="Times New Roman" w:hAnsi="Times New Roman"/>
              </w:rPr>
              <w:t>ārņemts pilnībā</w:t>
            </w:r>
          </w:p>
        </w:tc>
        <w:tc>
          <w:tcPr>
            <w:tcW w:w="2976" w:type="dxa"/>
            <w:tcBorders>
              <w:top w:val="single" w:sz="2" w:space="0" w:color="auto"/>
              <w:left w:val="single" w:sz="2" w:space="0" w:color="auto"/>
              <w:bottom w:val="single" w:sz="2" w:space="0" w:color="auto"/>
              <w:right w:val="single" w:sz="2" w:space="0" w:color="auto"/>
            </w:tcBorders>
            <w:vAlign w:val="center"/>
          </w:tcPr>
          <w:p w:rsidR="00325202" w:rsidRPr="008953CD" w:rsidRDefault="00325202" w:rsidP="006060FB">
            <w:pPr>
              <w:pStyle w:val="naisc"/>
              <w:spacing w:before="0" w:after="0"/>
              <w:jc w:val="both"/>
              <w:rPr>
                <w:sz w:val="22"/>
                <w:szCs w:val="22"/>
              </w:rPr>
            </w:pPr>
            <w:r w:rsidRPr="00244F50">
              <w:rPr>
                <w:spacing w:val="-2"/>
                <w:sz w:val="22"/>
                <w:szCs w:val="22"/>
              </w:rPr>
              <w:t>Nav noteiktas stingrākas prasības</w:t>
            </w:r>
            <w:r w:rsidRPr="00244F50" w:rsidDel="000B0D5A">
              <w:rPr>
                <w:sz w:val="22"/>
                <w:szCs w:val="22"/>
              </w:rPr>
              <w:t xml:space="preserve"> </w:t>
            </w:r>
          </w:p>
        </w:tc>
      </w:tr>
      <w:tr w:rsidR="00731018" w:rsidRPr="008918F6" w:rsidTr="006060FB">
        <w:trPr>
          <w:trHeight w:val="284"/>
          <w:jc w:val="center"/>
        </w:trPr>
        <w:tc>
          <w:tcPr>
            <w:tcW w:w="1747" w:type="dxa"/>
            <w:tcBorders>
              <w:top w:val="single" w:sz="2" w:space="0" w:color="auto"/>
            </w:tcBorders>
            <w:vAlign w:val="center"/>
          </w:tcPr>
          <w:p w:rsidR="00731018" w:rsidRPr="008918F6" w:rsidRDefault="00731018" w:rsidP="006060FB">
            <w:pPr>
              <w:spacing w:after="0"/>
              <w:rPr>
                <w:rFonts w:ascii="Times New Roman" w:hAnsi="Times New Roman"/>
              </w:rPr>
            </w:pPr>
            <w:r>
              <w:rPr>
                <w:rFonts w:ascii="Times New Roman" w:hAnsi="Times New Roman"/>
              </w:rPr>
              <w:t xml:space="preserve">Direktīvas 2.punktā izteiktais direktīvas Nr.2003/87/EK </w:t>
            </w:r>
            <w:r w:rsidRPr="008918F6">
              <w:rPr>
                <w:rFonts w:ascii="Times New Roman" w:hAnsi="Times New Roman"/>
              </w:rPr>
              <w:t>11.b panta 3.punkts</w:t>
            </w:r>
          </w:p>
        </w:tc>
        <w:tc>
          <w:tcPr>
            <w:tcW w:w="2790" w:type="dxa"/>
            <w:tcBorders>
              <w:top w:val="single" w:sz="2" w:space="0" w:color="auto"/>
            </w:tcBorders>
            <w:vAlign w:val="center"/>
          </w:tcPr>
          <w:p w:rsidR="00731018" w:rsidRPr="008918F6" w:rsidRDefault="00381A46" w:rsidP="006060FB">
            <w:pPr>
              <w:spacing w:after="0"/>
              <w:rPr>
                <w:rFonts w:ascii="Times New Roman" w:hAnsi="Times New Roman"/>
              </w:rPr>
            </w:pPr>
            <w:r>
              <w:rPr>
                <w:rFonts w:ascii="Times New Roman" w:hAnsi="Times New Roman"/>
              </w:rPr>
              <w:t>N</w:t>
            </w:r>
            <w:r w:rsidR="00731018" w:rsidRPr="008918F6">
              <w:rPr>
                <w:rFonts w:ascii="Times New Roman" w:hAnsi="Times New Roman"/>
              </w:rPr>
              <w:t>av jāpārņem, jo attiecas uz periodu pirms 2012.gada 31.decembrim</w:t>
            </w:r>
          </w:p>
        </w:tc>
        <w:tc>
          <w:tcPr>
            <w:tcW w:w="2126" w:type="dxa"/>
            <w:tcBorders>
              <w:top w:val="single" w:sz="2" w:space="0" w:color="auto"/>
            </w:tcBorders>
            <w:vAlign w:val="center"/>
          </w:tcPr>
          <w:p w:rsidR="00731018" w:rsidRPr="008918F6" w:rsidRDefault="009506B5" w:rsidP="006060FB">
            <w:pPr>
              <w:spacing w:after="0"/>
              <w:rPr>
                <w:rFonts w:ascii="Times New Roman" w:hAnsi="Times New Roman"/>
              </w:rPr>
            </w:pPr>
            <w:r>
              <w:rPr>
                <w:rFonts w:ascii="Times New Roman" w:hAnsi="Times New Roman"/>
              </w:rPr>
              <w:t>Netiks pārņemts</w:t>
            </w:r>
          </w:p>
        </w:tc>
        <w:tc>
          <w:tcPr>
            <w:tcW w:w="2976" w:type="dxa"/>
            <w:tcBorders>
              <w:top w:val="single" w:sz="2" w:space="0" w:color="auto"/>
            </w:tcBorders>
            <w:vAlign w:val="center"/>
          </w:tcPr>
          <w:p w:rsidR="00731018" w:rsidRPr="008918F6" w:rsidRDefault="00731018" w:rsidP="006060FB">
            <w:pPr>
              <w:pStyle w:val="naisc"/>
              <w:spacing w:before="0" w:after="0"/>
              <w:jc w:val="both"/>
              <w:rPr>
                <w:sz w:val="22"/>
                <w:szCs w:val="22"/>
              </w:rPr>
            </w:pPr>
          </w:p>
        </w:tc>
      </w:tr>
      <w:tr w:rsidR="00731018" w:rsidRPr="008918F6" w:rsidTr="006060FB">
        <w:trPr>
          <w:trHeight w:val="284"/>
          <w:jc w:val="center"/>
        </w:trPr>
        <w:tc>
          <w:tcPr>
            <w:tcW w:w="1747" w:type="dxa"/>
            <w:tcBorders>
              <w:top w:val="single" w:sz="2" w:space="0" w:color="auto"/>
            </w:tcBorders>
            <w:vAlign w:val="center"/>
          </w:tcPr>
          <w:p w:rsidR="00731018" w:rsidRPr="008918F6" w:rsidRDefault="00731018" w:rsidP="006060FB">
            <w:pPr>
              <w:spacing w:after="0"/>
              <w:rPr>
                <w:rFonts w:ascii="Times New Roman" w:hAnsi="Times New Roman"/>
              </w:rPr>
            </w:pPr>
            <w:r>
              <w:rPr>
                <w:rFonts w:ascii="Times New Roman" w:hAnsi="Times New Roman"/>
              </w:rPr>
              <w:t xml:space="preserve">Direktīvas 2.punktā izteiktais direktīvas Nr.2003/87/EK </w:t>
            </w:r>
            <w:r w:rsidRPr="008918F6">
              <w:rPr>
                <w:rFonts w:ascii="Times New Roman" w:hAnsi="Times New Roman"/>
              </w:rPr>
              <w:t>11.b panta 4.punkts</w:t>
            </w:r>
          </w:p>
        </w:tc>
        <w:tc>
          <w:tcPr>
            <w:tcW w:w="2790" w:type="dxa"/>
            <w:tcBorders>
              <w:top w:val="single" w:sz="2" w:space="0" w:color="auto"/>
            </w:tcBorders>
            <w:vAlign w:val="center"/>
          </w:tcPr>
          <w:p w:rsidR="00731018" w:rsidRPr="008918F6" w:rsidRDefault="00381A46" w:rsidP="006060FB">
            <w:pPr>
              <w:spacing w:after="0"/>
              <w:rPr>
                <w:rFonts w:ascii="Times New Roman" w:hAnsi="Times New Roman"/>
              </w:rPr>
            </w:pPr>
            <w:r>
              <w:rPr>
                <w:rFonts w:ascii="Times New Roman" w:hAnsi="Times New Roman"/>
              </w:rPr>
              <w:t>N</w:t>
            </w:r>
            <w:r w:rsidR="00731018" w:rsidRPr="008918F6">
              <w:rPr>
                <w:rFonts w:ascii="Times New Roman" w:hAnsi="Times New Roman"/>
              </w:rPr>
              <w:t>av jāpārņem, jo attiecas uz periodu pirms 2012.gada 31.decembrim</w:t>
            </w:r>
          </w:p>
        </w:tc>
        <w:tc>
          <w:tcPr>
            <w:tcW w:w="2126" w:type="dxa"/>
            <w:tcBorders>
              <w:top w:val="single" w:sz="2" w:space="0" w:color="auto"/>
            </w:tcBorders>
            <w:vAlign w:val="center"/>
          </w:tcPr>
          <w:p w:rsidR="00731018" w:rsidRPr="008918F6" w:rsidRDefault="009506B5" w:rsidP="006060FB">
            <w:pPr>
              <w:spacing w:after="0"/>
              <w:rPr>
                <w:rFonts w:ascii="Times New Roman" w:hAnsi="Times New Roman"/>
              </w:rPr>
            </w:pPr>
            <w:r>
              <w:rPr>
                <w:rFonts w:ascii="Times New Roman" w:hAnsi="Times New Roman"/>
              </w:rPr>
              <w:t>Netiks pārņemts</w:t>
            </w:r>
          </w:p>
        </w:tc>
        <w:tc>
          <w:tcPr>
            <w:tcW w:w="2976" w:type="dxa"/>
            <w:tcBorders>
              <w:top w:val="single" w:sz="2" w:space="0" w:color="auto"/>
            </w:tcBorders>
            <w:vAlign w:val="center"/>
          </w:tcPr>
          <w:p w:rsidR="00731018" w:rsidRPr="008918F6" w:rsidRDefault="00731018" w:rsidP="006060FB">
            <w:pPr>
              <w:pStyle w:val="naisc"/>
              <w:spacing w:before="0" w:after="0"/>
              <w:jc w:val="both"/>
              <w:rPr>
                <w:sz w:val="22"/>
                <w:szCs w:val="22"/>
              </w:rPr>
            </w:pPr>
          </w:p>
        </w:tc>
      </w:tr>
      <w:tr w:rsidR="00325202" w:rsidRPr="008918F6" w:rsidTr="006060FB">
        <w:trPr>
          <w:trHeight w:val="284"/>
          <w:jc w:val="center"/>
        </w:trPr>
        <w:tc>
          <w:tcPr>
            <w:tcW w:w="1747" w:type="dxa"/>
            <w:tcBorders>
              <w:top w:val="single" w:sz="2" w:space="0" w:color="auto"/>
            </w:tcBorders>
            <w:vAlign w:val="center"/>
          </w:tcPr>
          <w:p w:rsidR="00325202" w:rsidRPr="008918F6" w:rsidRDefault="00325202" w:rsidP="006060FB">
            <w:pPr>
              <w:spacing w:after="0"/>
              <w:rPr>
                <w:rFonts w:ascii="Times New Roman" w:hAnsi="Times New Roman"/>
              </w:rPr>
            </w:pPr>
            <w:r>
              <w:rPr>
                <w:rFonts w:ascii="Times New Roman" w:hAnsi="Times New Roman"/>
              </w:rPr>
              <w:t xml:space="preserve">Direktīvas 2.punktā izteiktais direktīvas Nr.2003/87/EK </w:t>
            </w:r>
            <w:r w:rsidRPr="008918F6">
              <w:rPr>
                <w:rFonts w:ascii="Times New Roman" w:hAnsi="Times New Roman"/>
              </w:rPr>
              <w:t>11.b panta 5.punkts</w:t>
            </w:r>
          </w:p>
        </w:tc>
        <w:tc>
          <w:tcPr>
            <w:tcW w:w="2790" w:type="dxa"/>
            <w:tcBorders>
              <w:top w:val="single" w:sz="2" w:space="0" w:color="auto"/>
            </w:tcBorders>
            <w:vAlign w:val="center"/>
          </w:tcPr>
          <w:p w:rsidR="00325202" w:rsidRPr="008953CD" w:rsidRDefault="00325202" w:rsidP="006060FB">
            <w:pPr>
              <w:spacing w:after="0"/>
              <w:rPr>
                <w:rFonts w:ascii="Times New Roman" w:hAnsi="Times New Roman"/>
              </w:rPr>
            </w:pPr>
            <w:r>
              <w:rPr>
                <w:rFonts w:ascii="Times New Roman" w:hAnsi="Times New Roman"/>
              </w:rPr>
              <w:t>T</w:t>
            </w:r>
            <w:r w:rsidRPr="008953CD">
              <w:rPr>
                <w:rFonts w:ascii="Times New Roman" w:hAnsi="Times New Roman"/>
              </w:rPr>
              <w:t>iek pārņemts, veicot grozījumus MK noteikumos Nr.510</w:t>
            </w:r>
          </w:p>
        </w:tc>
        <w:tc>
          <w:tcPr>
            <w:tcW w:w="2126" w:type="dxa"/>
            <w:tcBorders>
              <w:top w:val="single" w:sz="2" w:space="0" w:color="auto"/>
            </w:tcBorders>
            <w:vAlign w:val="center"/>
          </w:tcPr>
          <w:p w:rsidR="00325202" w:rsidRPr="008953CD" w:rsidRDefault="00325202" w:rsidP="006060FB">
            <w:pPr>
              <w:spacing w:after="0"/>
              <w:rPr>
                <w:rFonts w:ascii="Times New Roman" w:hAnsi="Times New Roman"/>
              </w:rPr>
            </w:pPr>
            <w:r>
              <w:rPr>
                <w:rFonts w:ascii="Times New Roman" w:hAnsi="Times New Roman"/>
              </w:rPr>
              <w:t>P</w:t>
            </w:r>
            <w:r w:rsidRPr="00F122F9">
              <w:rPr>
                <w:rFonts w:ascii="Times New Roman" w:hAnsi="Times New Roman"/>
              </w:rPr>
              <w:t>ārņemts pilnībā</w:t>
            </w:r>
          </w:p>
        </w:tc>
        <w:tc>
          <w:tcPr>
            <w:tcW w:w="2976" w:type="dxa"/>
            <w:tcBorders>
              <w:top w:val="single" w:sz="2" w:space="0" w:color="auto"/>
            </w:tcBorders>
            <w:vAlign w:val="center"/>
          </w:tcPr>
          <w:p w:rsidR="00325202" w:rsidRPr="008953CD" w:rsidRDefault="00325202" w:rsidP="006060FB">
            <w:pPr>
              <w:pStyle w:val="naisc"/>
              <w:spacing w:before="0" w:after="0"/>
              <w:jc w:val="both"/>
              <w:rPr>
                <w:sz w:val="22"/>
                <w:szCs w:val="22"/>
              </w:rPr>
            </w:pPr>
            <w:r w:rsidRPr="00244F50">
              <w:rPr>
                <w:spacing w:val="-2"/>
                <w:sz w:val="22"/>
                <w:szCs w:val="22"/>
              </w:rPr>
              <w:t>Nav noteiktas stingrākas prasības</w:t>
            </w:r>
            <w:r w:rsidRPr="00244F50" w:rsidDel="000B0D5A">
              <w:rPr>
                <w:sz w:val="22"/>
                <w:szCs w:val="22"/>
              </w:rPr>
              <w:t xml:space="preserve"> </w:t>
            </w:r>
          </w:p>
        </w:tc>
      </w:tr>
      <w:tr w:rsidR="00325202" w:rsidRPr="00F122F9" w:rsidTr="006060FB">
        <w:trPr>
          <w:trHeight w:val="284"/>
          <w:jc w:val="center"/>
        </w:trPr>
        <w:tc>
          <w:tcPr>
            <w:tcW w:w="1747" w:type="dxa"/>
            <w:tcBorders>
              <w:top w:val="single" w:sz="2" w:space="0" w:color="auto"/>
            </w:tcBorders>
            <w:vAlign w:val="center"/>
          </w:tcPr>
          <w:p w:rsidR="00325202" w:rsidRPr="008918F6" w:rsidRDefault="00325202" w:rsidP="006060FB">
            <w:pPr>
              <w:spacing w:after="0"/>
              <w:rPr>
                <w:rFonts w:ascii="Times New Roman" w:hAnsi="Times New Roman"/>
              </w:rPr>
            </w:pPr>
            <w:r>
              <w:rPr>
                <w:rFonts w:ascii="Times New Roman" w:hAnsi="Times New Roman"/>
              </w:rPr>
              <w:t xml:space="preserve">Direktīvas 2.punktā izteiktais direktīvas Nr.2003/87/EK </w:t>
            </w:r>
            <w:r w:rsidRPr="008918F6">
              <w:rPr>
                <w:rFonts w:ascii="Times New Roman" w:hAnsi="Times New Roman"/>
              </w:rPr>
              <w:t>11.b panta 6.punkts</w:t>
            </w:r>
          </w:p>
        </w:tc>
        <w:tc>
          <w:tcPr>
            <w:tcW w:w="2790" w:type="dxa"/>
            <w:tcBorders>
              <w:top w:val="single" w:sz="2" w:space="0" w:color="auto"/>
            </w:tcBorders>
            <w:vAlign w:val="center"/>
          </w:tcPr>
          <w:p w:rsidR="00325202" w:rsidRPr="008953CD" w:rsidRDefault="00325202" w:rsidP="006060FB">
            <w:pPr>
              <w:spacing w:after="0"/>
              <w:rPr>
                <w:rFonts w:ascii="Times New Roman" w:hAnsi="Times New Roman"/>
              </w:rPr>
            </w:pPr>
            <w:r>
              <w:rPr>
                <w:rFonts w:ascii="Times New Roman" w:hAnsi="Times New Roman"/>
              </w:rPr>
              <w:t>T</w:t>
            </w:r>
            <w:r w:rsidRPr="008953CD">
              <w:rPr>
                <w:rFonts w:ascii="Times New Roman" w:hAnsi="Times New Roman"/>
              </w:rPr>
              <w:t>iek pārņemts, veicot grozījumus MK noteikumos Nr.510</w:t>
            </w:r>
          </w:p>
        </w:tc>
        <w:tc>
          <w:tcPr>
            <w:tcW w:w="2126" w:type="dxa"/>
            <w:tcBorders>
              <w:top w:val="single" w:sz="2" w:space="0" w:color="auto"/>
            </w:tcBorders>
            <w:vAlign w:val="center"/>
          </w:tcPr>
          <w:p w:rsidR="00325202" w:rsidRPr="008953CD" w:rsidRDefault="00325202" w:rsidP="006060FB">
            <w:pPr>
              <w:spacing w:after="0"/>
              <w:rPr>
                <w:rFonts w:ascii="Times New Roman" w:hAnsi="Times New Roman"/>
              </w:rPr>
            </w:pPr>
            <w:r>
              <w:rPr>
                <w:rFonts w:ascii="Times New Roman" w:hAnsi="Times New Roman"/>
              </w:rPr>
              <w:t>P</w:t>
            </w:r>
            <w:r w:rsidRPr="00F122F9">
              <w:rPr>
                <w:rFonts w:ascii="Times New Roman" w:hAnsi="Times New Roman"/>
              </w:rPr>
              <w:t>ārņemts pilnībā</w:t>
            </w:r>
          </w:p>
        </w:tc>
        <w:tc>
          <w:tcPr>
            <w:tcW w:w="2976" w:type="dxa"/>
            <w:tcBorders>
              <w:top w:val="single" w:sz="2" w:space="0" w:color="auto"/>
            </w:tcBorders>
            <w:vAlign w:val="center"/>
          </w:tcPr>
          <w:p w:rsidR="00325202" w:rsidRPr="008953CD" w:rsidRDefault="00325202" w:rsidP="006060FB">
            <w:pPr>
              <w:pStyle w:val="naisc"/>
              <w:spacing w:before="0" w:after="0"/>
              <w:jc w:val="both"/>
              <w:rPr>
                <w:sz w:val="22"/>
                <w:szCs w:val="22"/>
              </w:rPr>
            </w:pPr>
            <w:r w:rsidRPr="00244F50">
              <w:rPr>
                <w:spacing w:val="-2"/>
                <w:sz w:val="22"/>
                <w:szCs w:val="22"/>
              </w:rPr>
              <w:t>Nav noteiktas stingrākas prasības</w:t>
            </w:r>
            <w:r w:rsidRPr="00244F50" w:rsidDel="000B0D5A">
              <w:rPr>
                <w:sz w:val="22"/>
                <w:szCs w:val="22"/>
              </w:rPr>
              <w:t xml:space="preserve"> </w:t>
            </w:r>
          </w:p>
        </w:tc>
      </w:tr>
      <w:tr w:rsidR="00731018" w:rsidRPr="00F122F9" w:rsidTr="006060FB">
        <w:trPr>
          <w:trHeight w:val="284"/>
          <w:jc w:val="center"/>
        </w:trPr>
        <w:tc>
          <w:tcPr>
            <w:tcW w:w="1747" w:type="dxa"/>
            <w:tcBorders>
              <w:top w:val="single" w:sz="2" w:space="0" w:color="auto"/>
            </w:tcBorders>
            <w:vAlign w:val="center"/>
          </w:tcPr>
          <w:p w:rsidR="00731018" w:rsidRDefault="00731018" w:rsidP="006060FB">
            <w:pPr>
              <w:spacing w:after="0"/>
              <w:rPr>
                <w:rFonts w:ascii="Times New Roman" w:hAnsi="Times New Roman"/>
              </w:rPr>
            </w:pPr>
            <w:r>
              <w:rPr>
                <w:rFonts w:ascii="Times New Roman" w:hAnsi="Times New Roman"/>
              </w:rPr>
              <w:t>Direktīvas 2.punktā izteiktais direktīvas Nr.2003/87/EK 11.b panta 6.punkts</w:t>
            </w:r>
          </w:p>
        </w:tc>
        <w:tc>
          <w:tcPr>
            <w:tcW w:w="2790" w:type="dxa"/>
            <w:tcBorders>
              <w:top w:val="single" w:sz="2" w:space="0" w:color="auto"/>
            </w:tcBorders>
            <w:vAlign w:val="center"/>
          </w:tcPr>
          <w:p w:rsidR="00731018" w:rsidRDefault="00381A46" w:rsidP="006060FB">
            <w:pPr>
              <w:spacing w:after="0"/>
              <w:rPr>
                <w:rFonts w:ascii="Times New Roman" w:hAnsi="Times New Roman"/>
              </w:rPr>
            </w:pPr>
            <w:r>
              <w:rPr>
                <w:rFonts w:ascii="Times New Roman" w:hAnsi="Times New Roman"/>
              </w:rPr>
              <w:t>A</w:t>
            </w:r>
            <w:r w:rsidR="00731018" w:rsidRPr="000265BB">
              <w:rPr>
                <w:rFonts w:ascii="Times New Roman" w:hAnsi="Times New Roman"/>
              </w:rPr>
              <w:t>ttiecas uz Eiropas Komisij</w:t>
            </w:r>
            <w:r>
              <w:rPr>
                <w:rFonts w:ascii="Times New Roman" w:hAnsi="Times New Roman"/>
              </w:rPr>
              <w:t>as pilnvarām</w:t>
            </w:r>
          </w:p>
        </w:tc>
        <w:tc>
          <w:tcPr>
            <w:tcW w:w="2126" w:type="dxa"/>
            <w:tcBorders>
              <w:top w:val="single" w:sz="2" w:space="0" w:color="auto"/>
            </w:tcBorders>
            <w:vAlign w:val="center"/>
          </w:tcPr>
          <w:p w:rsidR="00731018" w:rsidRPr="00F122F9" w:rsidRDefault="009506B5" w:rsidP="006060FB">
            <w:pPr>
              <w:spacing w:after="0"/>
              <w:rPr>
                <w:rFonts w:ascii="Times New Roman" w:hAnsi="Times New Roman"/>
              </w:rPr>
            </w:pPr>
            <w:r>
              <w:rPr>
                <w:rFonts w:ascii="Times New Roman" w:hAnsi="Times New Roman"/>
              </w:rPr>
              <w:t>Netiks pārņemts</w:t>
            </w:r>
          </w:p>
        </w:tc>
        <w:tc>
          <w:tcPr>
            <w:tcW w:w="2976" w:type="dxa"/>
            <w:tcBorders>
              <w:top w:val="single" w:sz="2" w:space="0" w:color="auto"/>
            </w:tcBorders>
            <w:vAlign w:val="center"/>
          </w:tcPr>
          <w:p w:rsidR="00731018" w:rsidRPr="00F122F9" w:rsidRDefault="00731018" w:rsidP="006060FB">
            <w:pPr>
              <w:pStyle w:val="naisc"/>
              <w:spacing w:before="0" w:after="0"/>
              <w:jc w:val="both"/>
              <w:rPr>
                <w:sz w:val="22"/>
                <w:szCs w:val="22"/>
              </w:rPr>
            </w:pPr>
          </w:p>
        </w:tc>
      </w:tr>
      <w:tr w:rsidR="004F51DE" w:rsidRPr="00F122F9" w:rsidTr="006060FB">
        <w:trPr>
          <w:trHeight w:val="274"/>
          <w:jc w:val="center"/>
        </w:trPr>
        <w:tc>
          <w:tcPr>
            <w:tcW w:w="1747" w:type="dxa"/>
            <w:vAlign w:val="center"/>
          </w:tcPr>
          <w:p w:rsidR="004F51DE" w:rsidRDefault="00731018" w:rsidP="006060FB">
            <w:pPr>
              <w:spacing w:after="0"/>
              <w:rPr>
                <w:rFonts w:ascii="Times New Roman" w:hAnsi="Times New Roman"/>
              </w:rPr>
            </w:pPr>
            <w:r>
              <w:rPr>
                <w:rFonts w:ascii="Times New Roman" w:hAnsi="Times New Roman"/>
              </w:rPr>
              <w:t>Direktīvas 2.punktā izteiktais direktīvas Nr.2003/87/EK 11.b panta 6.punkts</w:t>
            </w:r>
          </w:p>
        </w:tc>
        <w:tc>
          <w:tcPr>
            <w:tcW w:w="2790" w:type="dxa"/>
            <w:vAlign w:val="center"/>
          </w:tcPr>
          <w:p w:rsidR="004F51DE" w:rsidRPr="00D9663C" w:rsidRDefault="00731018" w:rsidP="006060FB">
            <w:pPr>
              <w:spacing w:after="0"/>
              <w:rPr>
                <w:rFonts w:ascii="Times New Roman" w:hAnsi="Times New Roman"/>
              </w:rPr>
            </w:pPr>
            <w:r w:rsidRPr="000265BB">
              <w:rPr>
                <w:rFonts w:ascii="Times New Roman" w:hAnsi="Times New Roman"/>
              </w:rPr>
              <w:t>attiecas uz Eiropas Komisij</w:t>
            </w:r>
            <w:r w:rsidR="00381A46">
              <w:rPr>
                <w:rFonts w:ascii="Times New Roman" w:hAnsi="Times New Roman"/>
              </w:rPr>
              <w:t>as pilnvarām</w:t>
            </w:r>
          </w:p>
        </w:tc>
        <w:tc>
          <w:tcPr>
            <w:tcW w:w="2126" w:type="dxa"/>
            <w:vAlign w:val="center"/>
          </w:tcPr>
          <w:p w:rsidR="004F51DE" w:rsidRPr="00F122F9" w:rsidRDefault="009506B5" w:rsidP="006060FB">
            <w:pPr>
              <w:spacing w:after="0"/>
              <w:ind w:left="57"/>
              <w:rPr>
                <w:rFonts w:ascii="Times New Roman" w:hAnsi="Times New Roman"/>
              </w:rPr>
            </w:pPr>
            <w:r>
              <w:rPr>
                <w:rFonts w:ascii="Times New Roman" w:hAnsi="Times New Roman"/>
              </w:rPr>
              <w:t>Netiks pārņemts</w:t>
            </w:r>
          </w:p>
        </w:tc>
        <w:tc>
          <w:tcPr>
            <w:tcW w:w="2976" w:type="dxa"/>
            <w:vAlign w:val="center"/>
          </w:tcPr>
          <w:p w:rsidR="004F51DE" w:rsidRPr="00F122F9" w:rsidRDefault="004F51DE" w:rsidP="006060FB">
            <w:pPr>
              <w:pStyle w:val="naisc"/>
              <w:spacing w:before="0" w:after="0"/>
              <w:jc w:val="both"/>
              <w:rPr>
                <w:sz w:val="22"/>
                <w:szCs w:val="22"/>
              </w:rPr>
            </w:pPr>
          </w:p>
        </w:tc>
      </w:tr>
      <w:tr w:rsidR="00F122F9" w:rsidRPr="00F122F9" w:rsidTr="006060FB">
        <w:trPr>
          <w:trHeight w:val="284"/>
          <w:jc w:val="center"/>
        </w:trPr>
        <w:tc>
          <w:tcPr>
            <w:tcW w:w="1747" w:type="dxa"/>
          </w:tcPr>
          <w:p w:rsidR="00CB4AAB" w:rsidRPr="00F122F9" w:rsidRDefault="00CB4AAB" w:rsidP="006060FB">
            <w:pPr>
              <w:spacing w:after="0"/>
              <w:rPr>
                <w:rFonts w:ascii="Times New Roman" w:hAnsi="Times New Roman"/>
              </w:rPr>
            </w:pPr>
            <w:r w:rsidRPr="00F122F9">
              <w:rPr>
                <w:rFonts w:ascii="Times New Roman" w:hAnsi="Times New Roman"/>
              </w:rPr>
              <w:t>Attiecīgā Eiropas Savienības tiesību akta datums, numurs un nosaukums</w:t>
            </w:r>
          </w:p>
        </w:tc>
        <w:tc>
          <w:tcPr>
            <w:tcW w:w="7892" w:type="dxa"/>
            <w:gridSpan w:val="3"/>
            <w:vAlign w:val="center"/>
          </w:tcPr>
          <w:p w:rsidR="00CB4AAB" w:rsidRPr="00731018" w:rsidRDefault="00CB4AAB" w:rsidP="006060FB">
            <w:pPr>
              <w:autoSpaceDE w:val="0"/>
              <w:autoSpaceDN w:val="0"/>
              <w:adjustRightInd w:val="0"/>
              <w:spacing w:after="0"/>
              <w:rPr>
                <w:shd w:val="clear" w:color="auto" w:fill="FFFFFF"/>
              </w:rPr>
            </w:pPr>
            <w:r w:rsidRPr="00731018">
              <w:rPr>
                <w:rFonts w:ascii="Times New Roman" w:hAnsi="Times New Roman"/>
                <w:b/>
                <w:shd w:val="clear" w:color="auto" w:fill="FFFFFF"/>
              </w:rPr>
              <w:t>Eiropas Parlamenta un Padomes 2008.gada 19.novembra Direktīv</w:t>
            </w:r>
            <w:r w:rsidR="00731018">
              <w:rPr>
                <w:rFonts w:ascii="Times New Roman" w:hAnsi="Times New Roman"/>
                <w:b/>
                <w:shd w:val="clear" w:color="auto" w:fill="FFFFFF"/>
              </w:rPr>
              <w:t>a</w:t>
            </w:r>
            <w:r w:rsidRPr="00731018">
              <w:rPr>
                <w:rFonts w:ascii="Times New Roman" w:hAnsi="Times New Roman"/>
                <w:b/>
                <w:shd w:val="clear" w:color="auto" w:fill="FFFFFF"/>
              </w:rPr>
              <w:t xml:space="preserve"> 2008/101/EK, ar ko groza Direktīvu</w:t>
            </w:r>
            <w:r w:rsidRPr="00731018">
              <w:rPr>
                <w:rStyle w:val="apple-converted-space"/>
                <w:rFonts w:ascii="Times New Roman" w:hAnsi="Times New Roman"/>
                <w:b/>
                <w:shd w:val="clear" w:color="auto" w:fill="FFFFFF"/>
              </w:rPr>
              <w:t> </w:t>
            </w:r>
            <w:r w:rsidRPr="00731018">
              <w:rPr>
                <w:rFonts w:ascii="Times New Roman" w:hAnsi="Times New Roman"/>
                <w:b/>
                <w:shd w:val="clear" w:color="auto" w:fill="FFFFFF"/>
              </w:rPr>
              <w:t>2003/87/EK, lai aviācijas darbības iekļautu Kopienas siltumnīcas efektu izraisošo gāzu emisijas kvotu tirdzniecības sistēmā</w:t>
            </w:r>
          </w:p>
        </w:tc>
      </w:tr>
      <w:tr w:rsidR="00F122F9" w:rsidRPr="00F122F9" w:rsidTr="006060FB">
        <w:trPr>
          <w:trHeight w:val="284"/>
          <w:jc w:val="center"/>
        </w:trPr>
        <w:tc>
          <w:tcPr>
            <w:tcW w:w="1747" w:type="dxa"/>
            <w:vAlign w:val="center"/>
          </w:tcPr>
          <w:p w:rsidR="00F07CD0" w:rsidRPr="00F122F9" w:rsidRDefault="00CB4AAB" w:rsidP="006060FB">
            <w:pPr>
              <w:spacing w:after="0"/>
              <w:jc w:val="center"/>
              <w:rPr>
                <w:rFonts w:ascii="Times New Roman" w:hAnsi="Times New Roman"/>
                <w:sz w:val="20"/>
                <w:szCs w:val="20"/>
              </w:rPr>
            </w:pPr>
            <w:r w:rsidRPr="00F122F9">
              <w:rPr>
                <w:rFonts w:ascii="Times New Roman" w:hAnsi="Times New Roman"/>
                <w:sz w:val="20"/>
                <w:szCs w:val="20"/>
              </w:rPr>
              <w:t>A</w:t>
            </w:r>
          </w:p>
        </w:tc>
        <w:tc>
          <w:tcPr>
            <w:tcW w:w="2790" w:type="dxa"/>
            <w:vAlign w:val="center"/>
          </w:tcPr>
          <w:p w:rsidR="00F07CD0" w:rsidRPr="00F122F9" w:rsidRDefault="00CB4AAB" w:rsidP="006060FB">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2126" w:type="dxa"/>
            <w:vAlign w:val="center"/>
          </w:tcPr>
          <w:p w:rsidR="00F07CD0" w:rsidRPr="00F122F9" w:rsidRDefault="00CB4AAB" w:rsidP="006060FB">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2976" w:type="dxa"/>
            <w:vAlign w:val="center"/>
          </w:tcPr>
          <w:p w:rsidR="00F07CD0" w:rsidRPr="00F122F9" w:rsidRDefault="00CB4AAB" w:rsidP="006060FB">
            <w:pPr>
              <w:spacing w:after="0"/>
              <w:ind w:left="57"/>
              <w:jc w:val="center"/>
              <w:rPr>
                <w:rFonts w:ascii="Times New Roman" w:hAnsi="Times New Roman"/>
                <w:sz w:val="20"/>
                <w:szCs w:val="20"/>
              </w:rPr>
            </w:pPr>
            <w:r w:rsidRPr="00F122F9">
              <w:rPr>
                <w:rFonts w:ascii="Times New Roman" w:hAnsi="Times New Roman"/>
                <w:sz w:val="20"/>
                <w:szCs w:val="20"/>
              </w:rPr>
              <w:t>D</w:t>
            </w:r>
          </w:p>
        </w:tc>
      </w:tr>
      <w:tr w:rsidR="00731018" w:rsidRPr="00F122F9" w:rsidTr="006060FB">
        <w:trPr>
          <w:trHeight w:val="274"/>
          <w:jc w:val="center"/>
        </w:trPr>
        <w:tc>
          <w:tcPr>
            <w:tcW w:w="1747" w:type="dxa"/>
            <w:vAlign w:val="center"/>
          </w:tcPr>
          <w:p w:rsidR="00731018" w:rsidRDefault="00731018" w:rsidP="006060FB">
            <w:pPr>
              <w:spacing w:after="0"/>
              <w:rPr>
                <w:rFonts w:ascii="Times New Roman" w:hAnsi="Times New Roman"/>
              </w:rPr>
            </w:pPr>
            <w:r>
              <w:rPr>
                <w:rFonts w:ascii="Times New Roman" w:hAnsi="Times New Roman"/>
              </w:rPr>
              <w:t>Direktīvas 8.punktā izteiktais direktīvas Nr.2003/87/EK 11a panta 1.a punkts</w:t>
            </w:r>
          </w:p>
        </w:tc>
        <w:tc>
          <w:tcPr>
            <w:tcW w:w="2790" w:type="dxa"/>
            <w:vAlign w:val="center"/>
          </w:tcPr>
          <w:p w:rsidR="00731018" w:rsidRDefault="00731018" w:rsidP="006060FB">
            <w:pPr>
              <w:spacing w:after="0"/>
              <w:rPr>
                <w:rFonts w:ascii="Times New Roman" w:hAnsi="Times New Roman"/>
              </w:rPr>
            </w:pPr>
            <w:r>
              <w:rPr>
                <w:rFonts w:ascii="Times New Roman" w:hAnsi="Times New Roman"/>
              </w:rPr>
              <w:t>Netiek pārņemts, jo šī norma vairs nav spēkā, jo šī norma tika atcelta ar direktīvu Nr.2009/29/EK.</w:t>
            </w:r>
          </w:p>
          <w:p w:rsidR="00731018" w:rsidRDefault="00731018" w:rsidP="006060FB">
            <w:pPr>
              <w:spacing w:after="0"/>
              <w:rPr>
                <w:rFonts w:ascii="Times New Roman" w:hAnsi="Times New Roman"/>
              </w:rPr>
            </w:pPr>
            <w:r>
              <w:rPr>
                <w:rFonts w:ascii="Times New Roman" w:hAnsi="Times New Roman"/>
              </w:rPr>
              <w:t xml:space="preserve">Ar direktīvu Nr.2009/29/EK </w:t>
            </w:r>
            <w:r>
              <w:rPr>
                <w:rFonts w:ascii="Times New Roman" w:hAnsi="Times New Roman"/>
              </w:rPr>
              <w:lastRenderedPageBreak/>
              <w:t>direktīvā Nr.2008/101/EK izteiktais direktīvas Nr.2003/87/EK 11.a panta 1.a punkts nav iekļauts.</w:t>
            </w:r>
          </w:p>
        </w:tc>
        <w:tc>
          <w:tcPr>
            <w:tcW w:w="2126" w:type="dxa"/>
            <w:vAlign w:val="center"/>
          </w:tcPr>
          <w:p w:rsidR="00731018" w:rsidRPr="00F122F9" w:rsidRDefault="009506B5" w:rsidP="006060FB">
            <w:pPr>
              <w:spacing w:after="0"/>
              <w:ind w:left="57"/>
              <w:rPr>
                <w:rFonts w:ascii="Times New Roman" w:hAnsi="Times New Roman"/>
              </w:rPr>
            </w:pPr>
            <w:r>
              <w:rPr>
                <w:rFonts w:ascii="Times New Roman" w:hAnsi="Times New Roman"/>
              </w:rPr>
              <w:lastRenderedPageBreak/>
              <w:t>Netiks pārņemts</w:t>
            </w:r>
          </w:p>
        </w:tc>
        <w:tc>
          <w:tcPr>
            <w:tcW w:w="2976" w:type="dxa"/>
            <w:vAlign w:val="center"/>
          </w:tcPr>
          <w:p w:rsidR="00731018" w:rsidRPr="00F122F9" w:rsidRDefault="00731018" w:rsidP="006060FB">
            <w:pPr>
              <w:pStyle w:val="naisc"/>
              <w:spacing w:before="0" w:after="0"/>
              <w:jc w:val="both"/>
              <w:rPr>
                <w:sz w:val="22"/>
                <w:szCs w:val="22"/>
              </w:rPr>
            </w:pPr>
          </w:p>
        </w:tc>
      </w:tr>
      <w:tr w:rsidR="00325202" w:rsidRPr="00F122F9" w:rsidTr="006060FB">
        <w:trPr>
          <w:trHeight w:val="274"/>
          <w:jc w:val="center"/>
        </w:trPr>
        <w:tc>
          <w:tcPr>
            <w:tcW w:w="1747" w:type="dxa"/>
            <w:vAlign w:val="center"/>
          </w:tcPr>
          <w:p w:rsidR="00325202" w:rsidRDefault="00325202" w:rsidP="006060FB">
            <w:pPr>
              <w:spacing w:after="0"/>
              <w:rPr>
                <w:rFonts w:ascii="Times New Roman" w:hAnsi="Times New Roman"/>
              </w:rPr>
            </w:pPr>
            <w:r>
              <w:rPr>
                <w:rFonts w:ascii="Times New Roman" w:hAnsi="Times New Roman"/>
              </w:rPr>
              <w:t>Direktīvas 9.punktā izteiktais direktīvas Nr.2003/87/EK 11b panta 2.punkta grozījumis</w:t>
            </w:r>
          </w:p>
        </w:tc>
        <w:tc>
          <w:tcPr>
            <w:tcW w:w="2790" w:type="dxa"/>
            <w:vAlign w:val="center"/>
          </w:tcPr>
          <w:p w:rsidR="00325202" w:rsidRDefault="00325202" w:rsidP="006060FB">
            <w:pPr>
              <w:spacing w:after="0"/>
              <w:rPr>
                <w:rFonts w:ascii="Times New Roman" w:hAnsi="Times New Roman"/>
              </w:rPr>
            </w:pPr>
            <w:r>
              <w:rPr>
                <w:rFonts w:ascii="Times New Roman" w:hAnsi="Times New Roman"/>
              </w:rPr>
              <w:t>T</w:t>
            </w:r>
            <w:r w:rsidRPr="008953CD">
              <w:rPr>
                <w:rFonts w:ascii="Times New Roman" w:hAnsi="Times New Roman"/>
              </w:rPr>
              <w:t>iek pārņemts, veicot grozījumus MK noteikumos Nr.510</w:t>
            </w:r>
          </w:p>
        </w:tc>
        <w:tc>
          <w:tcPr>
            <w:tcW w:w="2126" w:type="dxa"/>
            <w:vAlign w:val="center"/>
          </w:tcPr>
          <w:p w:rsidR="00325202" w:rsidRPr="00F122F9" w:rsidRDefault="00325202" w:rsidP="006060FB">
            <w:pPr>
              <w:spacing w:after="0"/>
              <w:ind w:left="57"/>
              <w:rPr>
                <w:rFonts w:ascii="Times New Roman" w:hAnsi="Times New Roman"/>
              </w:rPr>
            </w:pPr>
            <w:r>
              <w:rPr>
                <w:rFonts w:ascii="Times New Roman" w:hAnsi="Times New Roman"/>
              </w:rPr>
              <w:t>P</w:t>
            </w:r>
            <w:r w:rsidRPr="00F122F9">
              <w:rPr>
                <w:rFonts w:ascii="Times New Roman" w:hAnsi="Times New Roman"/>
              </w:rPr>
              <w:t>ārņemts pilnībā</w:t>
            </w:r>
          </w:p>
        </w:tc>
        <w:tc>
          <w:tcPr>
            <w:tcW w:w="2976" w:type="dxa"/>
            <w:vAlign w:val="center"/>
          </w:tcPr>
          <w:p w:rsidR="00325202" w:rsidRPr="00F122F9" w:rsidRDefault="00325202" w:rsidP="006060FB">
            <w:pPr>
              <w:pStyle w:val="naisc"/>
              <w:spacing w:before="0" w:after="0"/>
              <w:jc w:val="both"/>
              <w:rPr>
                <w:sz w:val="22"/>
                <w:szCs w:val="22"/>
              </w:rPr>
            </w:pPr>
            <w:r w:rsidRPr="00244F50">
              <w:rPr>
                <w:spacing w:val="-2"/>
                <w:sz w:val="22"/>
                <w:szCs w:val="22"/>
              </w:rPr>
              <w:t>Nav noteiktas stingrākas prasības</w:t>
            </w:r>
            <w:r w:rsidRPr="00244F50" w:rsidDel="000B0D5A">
              <w:rPr>
                <w:sz w:val="22"/>
                <w:szCs w:val="22"/>
              </w:rPr>
              <w:t xml:space="preserve"> </w:t>
            </w:r>
          </w:p>
        </w:tc>
      </w:tr>
      <w:tr w:rsidR="00731018" w:rsidRPr="00F122F9" w:rsidTr="006060FB">
        <w:trPr>
          <w:trHeight w:val="284"/>
          <w:jc w:val="center"/>
        </w:trPr>
        <w:tc>
          <w:tcPr>
            <w:tcW w:w="1747" w:type="dxa"/>
          </w:tcPr>
          <w:p w:rsidR="00731018" w:rsidRPr="00F122F9" w:rsidRDefault="005279F8" w:rsidP="006060FB">
            <w:pPr>
              <w:spacing w:after="0"/>
              <w:rPr>
                <w:rFonts w:ascii="Times New Roman" w:hAnsi="Times New Roman"/>
              </w:rPr>
            </w:pPr>
            <w:r w:rsidRPr="00F122F9">
              <w:rPr>
                <w:rFonts w:ascii="Times New Roman" w:hAnsi="Times New Roman"/>
              </w:rPr>
              <w:t>Attiecīgā Eiropas Savienības tiesību akta datums, numurs un nosaukums</w:t>
            </w:r>
          </w:p>
        </w:tc>
        <w:tc>
          <w:tcPr>
            <w:tcW w:w="7892" w:type="dxa"/>
            <w:gridSpan w:val="3"/>
            <w:vAlign w:val="center"/>
          </w:tcPr>
          <w:p w:rsidR="00731018" w:rsidRPr="00F26060" w:rsidRDefault="00731018" w:rsidP="006060FB">
            <w:pPr>
              <w:autoSpaceDE w:val="0"/>
              <w:autoSpaceDN w:val="0"/>
              <w:adjustRightInd w:val="0"/>
              <w:spacing w:after="0"/>
              <w:rPr>
                <w:rFonts w:ascii="Times New Roman" w:hAnsi="Times New Roman"/>
                <w:b/>
                <w:shd w:val="clear" w:color="auto" w:fill="FFFFFF"/>
              </w:rPr>
            </w:pPr>
            <w:r w:rsidRPr="00F26060">
              <w:rPr>
                <w:rFonts w:ascii="Times New Roman" w:hAnsi="Times New Roman"/>
                <w:b/>
                <w:shd w:val="clear" w:color="auto" w:fill="FFFFFF"/>
              </w:rPr>
              <w:t>Eiropas Parlamenta un Padom</w:t>
            </w:r>
            <w:r>
              <w:rPr>
                <w:rFonts w:ascii="Times New Roman" w:hAnsi="Times New Roman"/>
                <w:b/>
                <w:shd w:val="clear" w:color="auto" w:fill="FFFFFF"/>
              </w:rPr>
              <w:t>es 2009.gada 23.aprīļa Direktīva</w:t>
            </w:r>
            <w:r w:rsidRPr="00F26060">
              <w:rPr>
                <w:rFonts w:ascii="Times New Roman" w:hAnsi="Times New Roman"/>
                <w:b/>
                <w:shd w:val="clear" w:color="auto" w:fill="FFFFFF"/>
              </w:rPr>
              <w:t xml:space="preserve"> 2009/29/EK, ar ko Direktīvu 2003/87/EK groza, lai uzlabotu un paplašinātu Kopienas siltumnīcas efektu izraisošo gāzu emisiju kvotu tirdzniecības sistēmu</w:t>
            </w:r>
          </w:p>
        </w:tc>
      </w:tr>
      <w:tr w:rsidR="00731018" w:rsidRPr="00F122F9" w:rsidTr="006060FB">
        <w:trPr>
          <w:trHeight w:val="237"/>
          <w:jc w:val="center"/>
        </w:trPr>
        <w:tc>
          <w:tcPr>
            <w:tcW w:w="1747" w:type="dxa"/>
            <w:vAlign w:val="center"/>
          </w:tcPr>
          <w:p w:rsidR="00731018" w:rsidRPr="00F122F9" w:rsidRDefault="00731018" w:rsidP="006060FB">
            <w:pPr>
              <w:spacing w:after="0"/>
              <w:jc w:val="center"/>
              <w:rPr>
                <w:rFonts w:ascii="Times New Roman" w:hAnsi="Times New Roman"/>
                <w:sz w:val="20"/>
                <w:szCs w:val="20"/>
              </w:rPr>
            </w:pPr>
            <w:r w:rsidRPr="00F122F9">
              <w:rPr>
                <w:rFonts w:ascii="Times New Roman" w:hAnsi="Times New Roman"/>
                <w:sz w:val="20"/>
                <w:szCs w:val="20"/>
              </w:rPr>
              <w:t>A</w:t>
            </w:r>
          </w:p>
        </w:tc>
        <w:tc>
          <w:tcPr>
            <w:tcW w:w="2790" w:type="dxa"/>
            <w:vAlign w:val="center"/>
          </w:tcPr>
          <w:p w:rsidR="00731018" w:rsidRPr="00F122F9" w:rsidRDefault="00731018" w:rsidP="006060FB">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2126" w:type="dxa"/>
            <w:vAlign w:val="center"/>
          </w:tcPr>
          <w:p w:rsidR="00731018" w:rsidRPr="00F122F9" w:rsidRDefault="00731018" w:rsidP="006060FB">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2976" w:type="dxa"/>
            <w:vAlign w:val="center"/>
          </w:tcPr>
          <w:p w:rsidR="00731018" w:rsidRPr="00F122F9" w:rsidRDefault="00731018" w:rsidP="006060FB">
            <w:pPr>
              <w:spacing w:after="0"/>
              <w:ind w:left="57"/>
              <w:jc w:val="center"/>
              <w:rPr>
                <w:rFonts w:ascii="Times New Roman" w:hAnsi="Times New Roman"/>
                <w:sz w:val="20"/>
                <w:szCs w:val="20"/>
              </w:rPr>
            </w:pPr>
            <w:r w:rsidRPr="00F122F9">
              <w:rPr>
                <w:rFonts w:ascii="Times New Roman" w:hAnsi="Times New Roman"/>
                <w:sz w:val="20"/>
                <w:szCs w:val="20"/>
              </w:rPr>
              <w:t>D</w:t>
            </w:r>
          </w:p>
        </w:tc>
      </w:tr>
      <w:tr w:rsidR="00D9663C" w:rsidRPr="00F122F9" w:rsidTr="006060FB">
        <w:trPr>
          <w:trHeight w:val="274"/>
          <w:jc w:val="center"/>
        </w:trPr>
        <w:tc>
          <w:tcPr>
            <w:tcW w:w="1747" w:type="dxa"/>
            <w:vAlign w:val="center"/>
          </w:tcPr>
          <w:p w:rsidR="00D9663C" w:rsidRPr="00F122F9" w:rsidRDefault="00731018" w:rsidP="006060FB">
            <w:pPr>
              <w:spacing w:after="0"/>
              <w:rPr>
                <w:rFonts w:ascii="Times New Roman" w:hAnsi="Times New Roman"/>
              </w:rPr>
            </w:pPr>
            <w:r>
              <w:rPr>
                <w:rFonts w:ascii="Times New Roman" w:hAnsi="Times New Roman"/>
              </w:rPr>
              <w:t xml:space="preserve">Direktīvas 13.punktā izteiktā direktīvas Nr.2003/87/EK </w:t>
            </w:r>
            <w:r w:rsidR="00D9663C">
              <w:rPr>
                <w:rFonts w:ascii="Times New Roman" w:hAnsi="Times New Roman"/>
              </w:rPr>
              <w:t>11.a panta 1.punkts</w:t>
            </w:r>
          </w:p>
        </w:tc>
        <w:tc>
          <w:tcPr>
            <w:tcW w:w="2790" w:type="dxa"/>
            <w:vAlign w:val="center"/>
          </w:tcPr>
          <w:p w:rsidR="00D9663C" w:rsidRPr="00D9663C" w:rsidRDefault="00381A46" w:rsidP="006060FB">
            <w:pPr>
              <w:spacing w:after="0"/>
              <w:rPr>
                <w:rFonts w:ascii="Times New Roman" w:hAnsi="Times New Roman"/>
              </w:rPr>
            </w:pPr>
            <w:r>
              <w:rPr>
                <w:rFonts w:ascii="Times New Roman" w:hAnsi="Times New Roman"/>
              </w:rPr>
              <w:t>N</w:t>
            </w:r>
            <w:r w:rsidR="00D9663C">
              <w:rPr>
                <w:rFonts w:ascii="Times New Roman" w:hAnsi="Times New Roman"/>
              </w:rPr>
              <w:t xml:space="preserve">eattiecas uz </w:t>
            </w:r>
            <w:r>
              <w:rPr>
                <w:rFonts w:ascii="Times New Roman" w:hAnsi="Times New Roman"/>
              </w:rPr>
              <w:t xml:space="preserve">ES </w:t>
            </w:r>
            <w:r w:rsidR="00D9663C">
              <w:rPr>
                <w:rFonts w:ascii="Times New Roman" w:hAnsi="Times New Roman"/>
              </w:rPr>
              <w:t>dalībvalstīm</w:t>
            </w:r>
          </w:p>
        </w:tc>
        <w:tc>
          <w:tcPr>
            <w:tcW w:w="2126" w:type="dxa"/>
            <w:vAlign w:val="center"/>
          </w:tcPr>
          <w:p w:rsidR="00D9663C" w:rsidRPr="00F122F9" w:rsidRDefault="009506B5" w:rsidP="006060FB">
            <w:pPr>
              <w:spacing w:after="0"/>
              <w:ind w:left="57"/>
              <w:rPr>
                <w:rFonts w:ascii="Times New Roman" w:hAnsi="Times New Roman"/>
              </w:rPr>
            </w:pPr>
            <w:r>
              <w:rPr>
                <w:rFonts w:ascii="Times New Roman" w:hAnsi="Times New Roman"/>
              </w:rPr>
              <w:t>Netiks pārņemts</w:t>
            </w:r>
          </w:p>
        </w:tc>
        <w:tc>
          <w:tcPr>
            <w:tcW w:w="2976" w:type="dxa"/>
            <w:vAlign w:val="center"/>
          </w:tcPr>
          <w:p w:rsidR="00D9663C" w:rsidRPr="00F122F9" w:rsidRDefault="00D9663C" w:rsidP="006060FB">
            <w:pPr>
              <w:pStyle w:val="naisc"/>
              <w:spacing w:before="0" w:after="0"/>
              <w:jc w:val="both"/>
              <w:rPr>
                <w:sz w:val="22"/>
                <w:szCs w:val="22"/>
              </w:rPr>
            </w:pPr>
          </w:p>
        </w:tc>
      </w:tr>
      <w:tr w:rsidR="00F122F9" w:rsidRPr="00F122F9" w:rsidTr="006060FB">
        <w:trPr>
          <w:trHeight w:val="274"/>
          <w:jc w:val="center"/>
        </w:trPr>
        <w:tc>
          <w:tcPr>
            <w:tcW w:w="1747" w:type="dxa"/>
            <w:vAlign w:val="center"/>
          </w:tcPr>
          <w:p w:rsidR="00CB4AAB" w:rsidRPr="00F122F9" w:rsidRDefault="00731018" w:rsidP="006060FB">
            <w:pPr>
              <w:spacing w:after="0"/>
              <w:rPr>
                <w:rFonts w:ascii="Times New Roman" w:hAnsi="Times New Roman"/>
              </w:rPr>
            </w:pPr>
            <w:r>
              <w:rPr>
                <w:rFonts w:ascii="Times New Roman" w:hAnsi="Times New Roman"/>
              </w:rPr>
              <w:t xml:space="preserve">Direktīvas 13.punktā izteiktā direktīvas Nr.2003/87/EK </w:t>
            </w:r>
            <w:r w:rsidR="00CB4AAB" w:rsidRPr="00F122F9">
              <w:rPr>
                <w:rFonts w:ascii="Times New Roman" w:hAnsi="Times New Roman"/>
              </w:rPr>
              <w:t xml:space="preserve">11.a panta </w:t>
            </w:r>
            <w:r w:rsidR="00D9663C">
              <w:rPr>
                <w:rFonts w:ascii="Times New Roman" w:hAnsi="Times New Roman"/>
              </w:rPr>
              <w:t>2.punkts</w:t>
            </w:r>
          </w:p>
        </w:tc>
        <w:tc>
          <w:tcPr>
            <w:tcW w:w="2790" w:type="dxa"/>
            <w:vAlign w:val="center"/>
          </w:tcPr>
          <w:p w:rsidR="00CB4AAB" w:rsidRPr="00F122F9" w:rsidRDefault="007B685B" w:rsidP="006060FB">
            <w:pPr>
              <w:spacing w:after="0"/>
              <w:rPr>
                <w:rFonts w:ascii="Times New Roman" w:hAnsi="Times New Roman"/>
              </w:rPr>
            </w:pPr>
            <w:r>
              <w:rPr>
                <w:rFonts w:ascii="Times New Roman" w:hAnsi="Times New Roman"/>
              </w:rPr>
              <w:t>N</w:t>
            </w:r>
            <w:r w:rsidR="00D9663C" w:rsidRPr="00D9663C">
              <w:rPr>
                <w:rFonts w:ascii="Times New Roman" w:hAnsi="Times New Roman"/>
              </w:rPr>
              <w:t>av jāpārņem, jo attiecas uz periodu līdz 2015.gada 31.martam, un visas šeit minētās darbības ir notikušas, jo šis nosacījums ir iekļauts arī</w:t>
            </w:r>
            <w:r w:rsidR="00381A46">
              <w:rPr>
                <w:rFonts w:ascii="Times New Roman" w:hAnsi="Times New Roman"/>
              </w:rPr>
              <w:t xml:space="preserve"> </w:t>
            </w:r>
            <w:r w:rsidR="00D9663C" w:rsidRPr="00D9663C">
              <w:rPr>
                <w:rFonts w:ascii="Times New Roman" w:hAnsi="Times New Roman"/>
              </w:rPr>
              <w:t>regulas Nr.389/2013 60.pantā</w:t>
            </w:r>
          </w:p>
        </w:tc>
        <w:tc>
          <w:tcPr>
            <w:tcW w:w="2126" w:type="dxa"/>
            <w:vAlign w:val="center"/>
          </w:tcPr>
          <w:p w:rsidR="00CB4AAB" w:rsidRPr="00F122F9" w:rsidRDefault="007B685B" w:rsidP="006060FB">
            <w:pPr>
              <w:spacing w:after="0"/>
              <w:ind w:left="57"/>
              <w:rPr>
                <w:rFonts w:ascii="Times New Roman" w:hAnsi="Times New Roman"/>
              </w:rPr>
            </w:pPr>
            <w:r>
              <w:rPr>
                <w:rFonts w:ascii="Times New Roman" w:hAnsi="Times New Roman"/>
              </w:rPr>
              <w:t>Netiks pārņemts</w:t>
            </w:r>
          </w:p>
        </w:tc>
        <w:tc>
          <w:tcPr>
            <w:tcW w:w="2976" w:type="dxa"/>
            <w:vAlign w:val="center"/>
          </w:tcPr>
          <w:p w:rsidR="00CB4AAB" w:rsidRPr="00100122" w:rsidRDefault="007B685B" w:rsidP="006060FB">
            <w:pPr>
              <w:pStyle w:val="naisc"/>
              <w:spacing w:before="0" w:after="0"/>
              <w:jc w:val="both"/>
              <w:rPr>
                <w:sz w:val="22"/>
                <w:szCs w:val="22"/>
              </w:rPr>
            </w:pPr>
            <w:r w:rsidRPr="00244F50">
              <w:rPr>
                <w:spacing w:val="-2"/>
                <w:sz w:val="22"/>
                <w:szCs w:val="22"/>
              </w:rPr>
              <w:t>Nav noteiktas stingrākas prasības</w:t>
            </w:r>
            <w:r w:rsidRPr="00244F50" w:rsidDel="007B685B">
              <w:rPr>
                <w:sz w:val="22"/>
                <w:szCs w:val="22"/>
              </w:rPr>
              <w:t xml:space="preserve"> </w:t>
            </w:r>
          </w:p>
        </w:tc>
      </w:tr>
      <w:tr w:rsidR="00D9663C" w:rsidRPr="00F122F9" w:rsidTr="006060FB">
        <w:trPr>
          <w:trHeight w:val="495"/>
          <w:jc w:val="center"/>
        </w:trPr>
        <w:tc>
          <w:tcPr>
            <w:tcW w:w="1747" w:type="dxa"/>
            <w:vAlign w:val="center"/>
          </w:tcPr>
          <w:p w:rsidR="00D9663C" w:rsidRPr="00F122F9" w:rsidRDefault="00731018" w:rsidP="006060FB">
            <w:pPr>
              <w:spacing w:after="0"/>
              <w:rPr>
                <w:rFonts w:ascii="Times New Roman" w:hAnsi="Times New Roman"/>
              </w:rPr>
            </w:pPr>
            <w:r>
              <w:rPr>
                <w:rFonts w:ascii="Times New Roman" w:hAnsi="Times New Roman"/>
              </w:rPr>
              <w:t xml:space="preserve">Direktīvas 13.punktā izteiktā direktīvas Nr.2003/87/EK </w:t>
            </w:r>
            <w:r w:rsidR="00D9663C">
              <w:rPr>
                <w:rFonts w:ascii="Times New Roman" w:hAnsi="Times New Roman"/>
              </w:rPr>
              <w:t>11.</w:t>
            </w:r>
            <w:r w:rsidR="00A049CF">
              <w:rPr>
                <w:rFonts w:ascii="Times New Roman" w:hAnsi="Times New Roman"/>
              </w:rPr>
              <w:t xml:space="preserve">a </w:t>
            </w:r>
            <w:r w:rsidR="00D9663C">
              <w:rPr>
                <w:rFonts w:ascii="Times New Roman" w:hAnsi="Times New Roman"/>
              </w:rPr>
              <w:t>panta 3.punkta 1.teikums</w:t>
            </w:r>
          </w:p>
        </w:tc>
        <w:tc>
          <w:tcPr>
            <w:tcW w:w="2790" w:type="dxa"/>
            <w:vAlign w:val="center"/>
          </w:tcPr>
          <w:p w:rsidR="00D9663C" w:rsidRPr="00F122F9" w:rsidRDefault="00381A46" w:rsidP="006060FB">
            <w:pPr>
              <w:spacing w:after="0"/>
              <w:rPr>
                <w:rFonts w:ascii="Times New Roman" w:hAnsi="Times New Roman"/>
              </w:rPr>
            </w:pPr>
            <w:r>
              <w:rPr>
                <w:rFonts w:ascii="Times New Roman" w:hAnsi="Times New Roman"/>
              </w:rPr>
              <w:t>N</w:t>
            </w:r>
            <w:r w:rsidR="00D9663C">
              <w:rPr>
                <w:rFonts w:ascii="Times New Roman" w:hAnsi="Times New Roman"/>
              </w:rPr>
              <w:t xml:space="preserve">oteikumu projekta </w:t>
            </w:r>
            <w:r w:rsidR="000834E4">
              <w:rPr>
                <w:rFonts w:ascii="Times New Roman" w:hAnsi="Times New Roman"/>
              </w:rPr>
              <w:t>4</w:t>
            </w:r>
            <w:r w:rsidR="00D9663C">
              <w:rPr>
                <w:rFonts w:ascii="Times New Roman" w:hAnsi="Times New Roman"/>
              </w:rPr>
              <w:t>.punktā izteiktais noteikumu Nr.250 50.1.apakšpunkts</w:t>
            </w:r>
          </w:p>
        </w:tc>
        <w:tc>
          <w:tcPr>
            <w:tcW w:w="2126" w:type="dxa"/>
            <w:vAlign w:val="center"/>
          </w:tcPr>
          <w:p w:rsidR="00D9663C" w:rsidRPr="00F122F9" w:rsidRDefault="00532A19" w:rsidP="006060FB">
            <w:pPr>
              <w:spacing w:after="0"/>
              <w:ind w:left="57"/>
              <w:rPr>
                <w:rFonts w:ascii="Times New Roman" w:hAnsi="Times New Roman"/>
              </w:rPr>
            </w:pPr>
            <w:r>
              <w:rPr>
                <w:rFonts w:ascii="Times New Roman" w:hAnsi="Times New Roman"/>
              </w:rPr>
              <w:t>P</w:t>
            </w:r>
            <w:r w:rsidR="00D9663C" w:rsidRPr="00F122F9">
              <w:rPr>
                <w:rFonts w:ascii="Times New Roman" w:hAnsi="Times New Roman"/>
              </w:rPr>
              <w:t>ārņemts pilnībā</w:t>
            </w:r>
          </w:p>
        </w:tc>
        <w:tc>
          <w:tcPr>
            <w:tcW w:w="2976" w:type="dxa"/>
            <w:vAlign w:val="center"/>
          </w:tcPr>
          <w:p w:rsidR="00D9663C" w:rsidRPr="00100122" w:rsidRDefault="007B685B" w:rsidP="006060FB">
            <w:pPr>
              <w:pStyle w:val="naisc"/>
              <w:spacing w:before="0" w:after="0"/>
              <w:jc w:val="both"/>
              <w:rPr>
                <w:sz w:val="22"/>
                <w:szCs w:val="22"/>
              </w:rPr>
            </w:pPr>
            <w:r w:rsidRPr="00244F50">
              <w:rPr>
                <w:spacing w:val="-2"/>
                <w:sz w:val="22"/>
                <w:szCs w:val="22"/>
              </w:rPr>
              <w:t>Nav noteiktas stingrākas prasības</w:t>
            </w:r>
            <w:r w:rsidRPr="00244F50" w:rsidDel="007B685B">
              <w:rPr>
                <w:sz w:val="22"/>
                <w:szCs w:val="22"/>
              </w:rPr>
              <w:t xml:space="preserve"> </w:t>
            </w:r>
          </w:p>
        </w:tc>
      </w:tr>
      <w:tr w:rsidR="00D9663C" w:rsidRPr="00F122F9" w:rsidTr="006060FB">
        <w:trPr>
          <w:trHeight w:val="495"/>
          <w:jc w:val="center"/>
        </w:trPr>
        <w:tc>
          <w:tcPr>
            <w:tcW w:w="1747" w:type="dxa"/>
            <w:vAlign w:val="center"/>
          </w:tcPr>
          <w:p w:rsidR="00D9663C" w:rsidRPr="00F122F9" w:rsidRDefault="00731018" w:rsidP="006060FB">
            <w:pPr>
              <w:spacing w:after="0"/>
              <w:rPr>
                <w:rFonts w:ascii="Times New Roman" w:hAnsi="Times New Roman"/>
              </w:rPr>
            </w:pPr>
            <w:r>
              <w:rPr>
                <w:rFonts w:ascii="Times New Roman" w:hAnsi="Times New Roman"/>
              </w:rPr>
              <w:t xml:space="preserve">Direktīvas 13.punktā izteiktā direktīvas Nr.2003/87/EK </w:t>
            </w:r>
            <w:r w:rsidR="00D9663C">
              <w:rPr>
                <w:rFonts w:ascii="Times New Roman" w:hAnsi="Times New Roman"/>
              </w:rPr>
              <w:t>11.</w:t>
            </w:r>
            <w:r w:rsidR="00A049CF">
              <w:rPr>
                <w:rFonts w:ascii="Times New Roman" w:hAnsi="Times New Roman"/>
              </w:rPr>
              <w:t xml:space="preserve">a </w:t>
            </w:r>
            <w:r w:rsidR="00D9663C">
              <w:rPr>
                <w:rFonts w:ascii="Times New Roman" w:hAnsi="Times New Roman"/>
              </w:rPr>
              <w:t>panta 3.punkta 2.teikums</w:t>
            </w:r>
          </w:p>
        </w:tc>
        <w:tc>
          <w:tcPr>
            <w:tcW w:w="2790" w:type="dxa"/>
            <w:vAlign w:val="center"/>
          </w:tcPr>
          <w:p w:rsidR="00D9663C" w:rsidRPr="00F122F9" w:rsidRDefault="00381A46" w:rsidP="006060FB">
            <w:pPr>
              <w:spacing w:after="0"/>
              <w:rPr>
                <w:rFonts w:ascii="Times New Roman" w:hAnsi="Times New Roman"/>
              </w:rPr>
            </w:pPr>
            <w:r>
              <w:rPr>
                <w:rFonts w:ascii="Times New Roman" w:hAnsi="Times New Roman"/>
              </w:rPr>
              <w:t>N</w:t>
            </w:r>
            <w:r w:rsidR="00D9663C">
              <w:rPr>
                <w:rFonts w:ascii="Times New Roman" w:hAnsi="Times New Roman"/>
              </w:rPr>
              <w:t xml:space="preserve">oteikumu projekta </w:t>
            </w:r>
            <w:r w:rsidR="000834E4">
              <w:rPr>
                <w:rFonts w:ascii="Times New Roman" w:hAnsi="Times New Roman"/>
              </w:rPr>
              <w:t>4</w:t>
            </w:r>
            <w:r w:rsidR="00D9663C">
              <w:rPr>
                <w:rFonts w:ascii="Times New Roman" w:hAnsi="Times New Roman"/>
              </w:rPr>
              <w:t>.punktā izteiktais noteikumu Nr.250 50.2.apakšpunkts</w:t>
            </w:r>
          </w:p>
        </w:tc>
        <w:tc>
          <w:tcPr>
            <w:tcW w:w="2126" w:type="dxa"/>
            <w:vAlign w:val="center"/>
          </w:tcPr>
          <w:p w:rsidR="00D9663C" w:rsidRPr="00F122F9" w:rsidRDefault="00532A19" w:rsidP="006060FB">
            <w:pPr>
              <w:spacing w:after="0"/>
              <w:ind w:left="57"/>
              <w:rPr>
                <w:rFonts w:ascii="Times New Roman" w:hAnsi="Times New Roman"/>
              </w:rPr>
            </w:pPr>
            <w:r>
              <w:rPr>
                <w:rFonts w:ascii="Times New Roman" w:hAnsi="Times New Roman"/>
              </w:rPr>
              <w:t>P</w:t>
            </w:r>
            <w:r w:rsidR="00D9663C" w:rsidRPr="00F122F9">
              <w:rPr>
                <w:rFonts w:ascii="Times New Roman" w:hAnsi="Times New Roman"/>
              </w:rPr>
              <w:t>ārņemts pilnībā</w:t>
            </w:r>
          </w:p>
        </w:tc>
        <w:tc>
          <w:tcPr>
            <w:tcW w:w="2976" w:type="dxa"/>
            <w:vAlign w:val="center"/>
          </w:tcPr>
          <w:p w:rsidR="00D9663C" w:rsidRPr="00100122" w:rsidRDefault="007B685B" w:rsidP="006060FB">
            <w:pPr>
              <w:pStyle w:val="naisc"/>
              <w:spacing w:before="0" w:after="0"/>
              <w:jc w:val="both"/>
              <w:rPr>
                <w:sz w:val="22"/>
                <w:szCs w:val="22"/>
              </w:rPr>
            </w:pPr>
            <w:r w:rsidRPr="00244F50">
              <w:rPr>
                <w:spacing w:val="-2"/>
                <w:sz w:val="22"/>
                <w:szCs w:val="22"/>
              </w:rPr>
              <w:t>Nav noteiktas stingrākas prasības</w:t>
            </w:r>
            <w:r w:rsidRPr="00244F50" w:rsidDel="007B685B">
              <w:rPr>
                <w:sz w:val="22"/>
                <w:szCs w:val="22"/>
              </w:rPr>
              <w:t xml:space="preserve"> </w:t>
            </w:r>
          </w:p>
        </w:tc>
      </w:tr>
      <w:tr w:rsidR="00D9663C" w:rsidRPr="00F122F9" w:rsidTr="006060FB">
        <w:trPr>
          <w:trHeight w:val="495"/>
          <w:jc w:val="center"/>
        </w:trPr>
        <w:tc>
          <w:tcPr>
            <w:tcW w:w="1747" w:type="dxa"/>
            <w:vAlign w:val="center"/>
          </w:tcPr>
          <w:p w:rsidR="00D9663C" w:rsidRPr="00F122F9" w:rsidRDefault="00731018" w:rsidP="006060FB">
            <w:pPr>
              <w:spacing w:after="0"/>
              <w:rPr>
                <w:rFonts w:ascii="Times New Roman" w:hAnsi="Times New Roman"/>
              </w:rPr>
            </w:pPr>
            <w:r>
              <w:rPr>
                <w:rFonts w:ascii="Times New Roman" w:hAnsi="Times New Roman"/>
              </w:rPr>
              <w:t xml:space="preserve">Direktīvas 13.punktā izteiktā direktīvas Nr.2003/87/EK </w:t>
            </w:r>
            <w:r w:rsidR="00D9663C">
              <w:rPr>
                <w:rFonts w:ascii="Times New Roman" w:hAnsi="Times New Roman"/>
              </w:rPr>
              <w:t>11.</w:t>
            </w:r>
            <w:r w:rsidR="00A049CF">
              <w:rPr>
                <w:rFonts w:ascii="Times New Roman" w:hAnsi="Times New Roman"/>
              </w:rPr>
              <w:t xml:space="preserve">a </w:t>
            </w:r>
            <w:r w:rsidR="00D9663C">
              <w:rPr>
                <w:rFonts w:ascii="Times New Roman" w:hAnsi="Times New Roman"/>
              </w:rPr>
              <w:t>panta 4.punkta 1.teikums</w:t>
            </w:r>
          </w:p>
        </w:tc>
        <w:tc>
          <w:tcPr>
            <w:tcW w:w="2790" w:type="dxa"/>
            <w:vAlign w:val="center"/>
          </w:tcPr>
          <w:p w:rsidR="00D9663C" w:rsidRPr="00F122F9" w:rsidRDefault="00381A46" w:rsidP="006060FB">
            <w:pPr>
              <w:spacing w:after="0"/>
              <w:rPr>
                <w:rFonts w:ascii="Times New Roman" w:hAnsi="Times New Roman"/>
              </w:rPr>
            </w:pPr>
            <w:r>
              <w:rPr>
                <w:rFonts w:ascii="Times New Roman" w:hAnsi="Times New Roman"/>
              </w:rPr>
              <w:t>N</w:t>
            </w:r>
            <w:r w:rsidR="00D9663C">
              <w:rPr>
                <w:rFonts w:ascii="Times New Roman" w:hAnsi="Times New Roman"/>
              </w:rPr>
              <w:t xml:space="preserve">oteikumu projekta </w:t>
            </w:r>
            <w:r w:rsidR="000834E4">
              <w:rPr>
                <w:rFonts w:ascii="Times New Roman" w:hAnsi="Times New Roman"/>
              </w:rPr>
              <w:t>4</w:t>
            </w:r>
            <w:r w:rsidR="00D9663C">
              <w:rPr>
                <w:rFonts w:ascii="Times New Roman" w:hAnsi="Times New Roman"/>
              </w:rPr>
              <w:t>.punktā izteiktais noteikumu Nr.250 50.3.apakšpunkts</w:t>
            </w:r>
          </w:p>
        </w:tc>
        <w:tc>
          <w:tcPr>
            <w:tcW w:w="2126" w:type="dxa"/>
            <w:vAlign w:val="center"/>
          </w:tcPr>
          <w:p w:rsidR="00D9663C" w:rsidRPr="00F122F9" w:rsidRDefault="00532A19" w:rsidP="006060FB">
            <w:pPr>
              <w:spacing w:after="0"/>
              <w:ind w:left="57"/>
              <w:rPr>
                <w:rFonts w:ascii="Times New Roman" w:hAnsi="Times New Roman"/>
              </w:rPr>
            </w:pPr>
            <w:r>
              <w:rPr>
                <w:rFonts w:ascii="Times New Roman" w:hAnsi="Times New Roman"/>
              </w:rPr>
              <w:t>P</w:t>
            </w:r>
            <w:r w:rsidR="00D9663C" w:rsidRPr="00F122F9">
              <w:rPr>
                <w:rFonts w:ascii="Times New Roman" w:hAnsi="Times New Roman"/>
              </w:rPr>
              <w:t>ārņemts pilnībā</w:t>
            </w:r>
          </w:p>
        </w:tc>
        <w:tc>
          <w:tcPr>
            <w:tcW w:w="2976" w:type="dxa"/>
            <w:vAlign w:val="center"/>
          </w:tcPr>
          <w:p w:rsidR="00D9663C" w:rsidRPr="00100122" w:rsidRDefault="00FF2825" w:rsidP="006060FB">
            <w:pPr>
              <w:pStyle w:val="naisc"/>
              <w:spacing w:before="0" w:after="0"/>
              <w:jc w:val="both"/>
              <w:rPr>
                <w:sz w:val="22"/>
                <w:szCs w:val="22"/>
              </w:rPr>
            </w:pPr>
            <w:r w:rsidRPr="00244F50">
              <w:rPr>
                <w:spacing w:val="-2"/>
                <w:sz w:val="22"/>
                <w:szCs w:val="22"/>
              </w:rPr>
              <w:t>Nav noteiktas stingrākas prasības</w:t>
            </w:r>
            <w:r w:rsidRPr="00244F50" w:rsidDel="00FF2825">
              <w:rPr>
                <w:sz w:val="22"/>
                <w:szCs w:val="22"/>
              </w:rPr>
              <w:t xml:space="preserve"> </w:t>
            </w:r>
          </w:p>
        </w:tc>
      </w:tr>
      <w:tr w:rsidR="00D9663C" w:rsidRPr="00F122F9" w:rsidTr="006060FB">
        <w:trPr>
          <w:trHeight w:val="495"/>
          <w:jc w:val="center"/>
        </w:trPr>
        <w:tc>
          <w:tcPr>
            <w:tcW w:w="1747" w:type="dxa"/>
            <w:vAlign w:val="center"/>
          </w:tcPr>
          <w:p w:rsidR="00D9663C" w:rsidRPr="00F122F9" w:rsidRDefault="00731018" w:rsidP="006060FB">
            <w:pPr>
              <w:spacing w:after="0"/>
              <w:rPr>
                <w:rFonts w:ascii="Times New Roman" w:hAnsi="Times New Roman"/>
              </w:rPr>
            </w:pPr>
            <w:r>
              <w:rPr>
                <w:rFonts w:ascii="Times New Roman" w:hAnsi="Times New Roman"/>
              </w:rPr>
              <w:t xml:space="preserve">Direktīvas 13.punktā izteiktā direktīvas Nr.2003/87/EK </w:t>
            </w:r>
            <w:r w:rsidR="00D9663C">
              <w:rPr>
                <w:rFonts w:ascii="Times New Roman" w:hAnsi="Times New Roman"/>
              </w:rPr>
              <w:t>11.</w:t>
            </w:r>
            <w:r w:rsidR="00A049CF">
              <w:rPr>
                <w:rFonts w:ascii="Times New Roman" w:hAnsi="Times New Roman"/>
              </w:rPr>
              <w:t xml:space="preserve">a </w:t>
            </w:r>
            <w:r w:rsidR="00D9663C">
              <w:rPr>
                <w:rFonts w:ascii="Times New Roman" w:hAnsi="Times New Roman"/>
              </w:rPr>
              <w:t>panta 4.punkta 2.teikums</w:t>
            </w:r>
          </w:p>
        </w:tc>
        <w:tc>
          <w:tcPr>
            <w:tcW w:w="2790" w:type="dxa"/>
            <w:vAlign w:val="center"/>
          </w:tcPr>
          <w:p w:rsidR="00D9663C" w:rsidRPr="00F122F9" w:rsidRDefault="00381A46" w:rsidP="006060FB">
            <w:pPr>
              <w:spacing w:after="0"/>
              <w:rPr>
                <w:rFonts w:ascii="Times New Roman" w:hAnsi="Times New Roman"/>
              </w:rPr>
            </w:pPr>
            <w:r>
              <w:rPr>
                <w:rFonts w:ascii="Times New Roman" w:hAnsi="Times New Roman"/>
              </w:rPr>
              <w:t>N</w:t>
            </w:r>
            <w:r w:rsidR="000834E4">
              <w:rPr>
                <w:rFonts w:ascii="Times New Roman" w:hAnsi="Times New Roman"/>
              </w:rPr>
              <w:t>oteikumu projekta 4</w:t>
            </w:r>
            <w:r w:rsidR="00D9663C">
              <w:rPr>
                <w:rFonts w:ascii="Times New Roman" w:hAnsi="Times New Roman"/>
              </w:rPr>
              <w:t>.punktā izteiktais noteikumu Nr.250 50.4.apakšpunkts</w:t>
            </w:r>
          </w:p>
        </w:tc>
        <w:tc>
          <w:tcPr>
            <w:tcW w:w="2126" w:type="dxa"/>
            <w:vAlign w:val="center"/>
          </w:tcPr>
          <w:p w:rsidR="00D9663C" w:rsidRPr="00F122F9" w:rsidRDefault="00532A19" w:rsidP="006060FB">
            <w:pPr>
              <w:spacing w:after="0"/>
              <w:ind w:left="57"/>
              <w:rPr>
                <w:rFonts w:ascii="Times New Roman" w:hAnsi="Times New Roman"/>
              </w:rPr>
            </w:pPr>
            <w:r>
              <w:rPr>
                <w:rFonts w:ascii="Times New Roman" w:hAnsi="Times New Roman"/>
              </w:rPr>
              <w:t>P</w:t>
            </w:r>
            <w:r w:rsidR="00D9663C" w:rsidRPr="00F122F9">
              <w:rPr>
                <w:rFonts w:ascii="Times New Roman" w:hAnsi="Times New Roman"/>
              </w:rPr>
              <w:t>ārņemts pilnībā</w:t>
            </w:r>
          </w:p>
        </w:tc>
        <w:tc>
          <w:tcPr>
            <w:tcW w:w="2976" w:type="dxa"/>
            <w:vAlign w:val="center"/>
          </w:tcPr>
          <w:p w:rsidR="00D9663C" w:rsidRPr="00100122" w:rsidRDefault="00FF2825" w:rsidP="006060FB">
            <w:pPr>
              <w:pStyle w:val="naisc"/>
              <w:spacing w:before="0" w:after="0"/>
              <w:jc w:val="both"/>
              <w:rPr>
                <w:sz w:val="22"/>
                <w:szCs w:val="22"/>
              </w:rPr>
            </w:pPr>
            <w:r w:rsidRPr="00244F50">
              <w:rPr>
                <w:spacing w:val="-2"/>
                <w:sz w:val="22"/>
                <w:szCs w:val="22"/>
              </w:rPr>
              <w:t>Nav noteiktas stingrākas prasības</w:t>
            </w:r>
            <w:r w:rsidRPr="00244F50" w:rsidDel="00FF2825">
              <w:rPr>
                <w:sz w:val="22"/>
                <w:szCs w:val="22"/>
              </w:rPr>
              <w:t xml:space="preserve"> </w:t>
            </w:r>
          </w:p>
        </w:tc>
      </w:tr>
      <w:tr w:rsidR="00D9663C" w:rsidRPr="00F122F9" w:rsidTr="006060FB">
        <w:trPr>
          <w:trHeight w:val="495"/>
          <w:jc w:val="center"/>
        </w:trPr>
        <w:tc>
          <w:tcPr>
            <w:tcW w:w="1747" w:type="dxa"/>
            <w:vAlign w:val="center"/>
          </w:tcPr>
          <w:p w:rsidR="00D9663C" w:rsidRPr="00F122F9" w:rsidRDefault="00731018" w:rsidP="006060FB">
            <w:pPr>
              <w:spacing w:after="0"/>
              <w:rPr>
                <w:rFonts w:ascii="Times New Roman" w:hAnsi="Times New Roman"/>
              </w:rPr>
            </w:pPr>
            <w:r>
              <w:rPr>
                <w:rFonts w:ascii="Times New Roman" w:hAnsi="Times New Roman"/>
              </w:rPr>
              <w:t xml:space="preserve">Direktīvas 13.punktā izteiktā direktīvas Nr.2003/87/EK </w:t>
            </w:r>
            <w:r w:rsidR="00D9663C">
              <w:rPr>
                <w:rFonts w:ascii="Times New Roman" w:hAnsi="Times New Roman"/>
              </w:rPr>
              <w:t>11.</w:t>
            </w:r>
            <w:r w:rsidR="00A049CF">
              <w:rPr>
                <w:rFonts w:ascii="Times New Roman" w:hAnsi="Times New Roman"/>
              </w:rPr>
              <w:t xml:space="preserve">a </w:t>
            </w:r>
            <w:r w:rsidR="00D9663C">
              <w:rPr>
                <w:rFonts w:ascii="Times New Roman" w:hAnsi="Times New Roman"/>
              </w:rPr>
              <w:t>panta 5.punkts</w:t>
            </w:r>
          </w:p>
        </w:tc>
        <w:tc>
          <w:tcPr>
            <w:tcW w:w="2790" w:type="dxa"/>
            <w:vAlign w:val="center"/>
          </w:tcPr>
          <w:p w:rsidR="00D9663C" w:rsidRPr="00F122F9" w:rsidRDefault="00381A46" w:rsidP="006060FB">
            <w:pPr>
              <w:spacing w:after="0"/>
              <w:rPr>
                <w:rFonts w:ascii="Times New Roman" w:hAnsi="Times New Roman"/>
              </w:rPr>
            </w:pPr>
            <w:r>
              <w:rPr>
                <w:rFonts w:ascii="Times New Roman" w:hAnsi="Times New Roman"/>
              </w:rPr>
              <w:t>N</w:t>
            </w:r>
            <w:r w:rsidR="000834E4">
              <w:rPr>
                <w:rFonts w:ascii="Times New Roman" w:hAnsi="Times New Roman"/>
              </w:rPr>
              <w:t>oteikumu projekta 4</w:t>
            </w:r>
            <w:r w:rsidR="00D9663C">
              <w:rPr>
                <w:rFonts w:ascii="Times New Roman" w:hAnsi="Times New Roman"/>
              </w:rPr>
              <w:t>.punktā izteiktais noteikumu Nr.250 50.5.</w:t>
            </w:r>
            <w:r w:rsidR="000834E4">
              <w:rPr>
                <w:rFonts w:ascii="Times New Roman" w:hAnsi="Times New Roman"/>
              </w:rPr>
              <w:t xml:space="preserve"> un 50.6.</w:t>
            </w:r>
            <w:r w:rsidR="00D9663C">
              <w:rPr>
                <w:rFonts w:ascii="Times New Roman" w:hAnsi="Times New Roman"/>
              </w:rPr>
              <w:t>apakšpunkts</w:t>
            </w:r>
          </w:p>
        </w:tc>
        <w:tc>
          <w:tcPr>
            <w:tcW w:w="2126" w:type="dxa"/>
            <w:vAlign w:val="center"/>
          </w:tcPr>
          <w:p w:rsidR="00D9663C" w:rsidRPr="00F122F9" w:rsidRDefault="00532A19" w:rsidP="006060FB">
            <w:pPr>
              <w:spacing w:after="0"/>
              <w:ind w:left="57"/>
              <w:rPr>
                <w:rFonts w:ascii="Times New Roman" w:hAnsi="Times New Roman"/>
              </w:rPr>
            </w:pPr>
            <w:r>
              <w:rPr>
                <w:rFonts w:ascii="Times New Roman" w:hAnsi="Times New Roman"/>
              </w:rPr>
              <w:t>P</w:t>
            </w:r>
            <w:r w:rsidR="00D9663C" w:rsidRPr="00F122F9">
              <w:rPr>
                <w:rFonts w:ascii="Times New Roman" w:hAnsi="Times New Roman"/>
              </w:rPr>
              <w:t>ārņemts pilnībā</w:t>
            </w:r>
          </w:p>
        </w:tc>
        <w:tc>
          <w:tcPr>
            <w:tcW w:w="2976" w:type="dxa"/>
            <w:vAlign w:val="center"/>
          </w:tcPr>
          <w:p w:rsidR="00D9663C" w:rsidRPr="00100122" w:rsidRDefault="00FF2825" w:rsidP="006060FB">
            <w:pPr>
              <w:pStyle w:val="naisc"/>
              <w:spacing w:before="0" w:after="0"/>
              <w:jc w:val="both"/>
              <w:rPr>
                <w:sz w:val="22"/>
                <w:szCs w:val="22"/>
              </w:rPr>
            </w:pPr>
            <w:r w:rsidRPr="00244F50">
              <w:rPr>
                <w:spacing w:val="-2"/>
                <w:sz w:val="22"/>
                <w:szCs w:val="22"/>
              </w:rPr>
              <w:t>Nav noteiktas stingrākas prasības</w:t>
            </w:r>
            <w:r w:rsidRPr="00244F50" w:rsidDel="00FF2825">
              <w:rPr>
                <w:sz w:val="22"/>
                <w:szCs w:val="22"/>
              </w:rPr>
              <w:t xml:space="preserve"> </w:t>
            </w:r>
          </w:p>
        </w:tc>
      </w:tr>
      <w:tr w:rsidR="003755CA" w:rsidRPr="00F122F9" w:rsidTr="006060FB">
        <w:trPr>
          <w:trHeight w:val="495"/>
          <w:jc w:val="center"/>
        </w:trPr>
        <w:tc>
          <w:tcPr>
            <w:tcW w:w="1747" w:type="dxa"/>
            <w:tcBorders>
              <w:bottom w:val="single" w:sz="4" w:space="0" w:color="auto"/>
            </w:tcBorders>
            <w:vAlign w:val="center"/>
          </w:tcPr>
          <w:p w:rsidR="003755CA" w:rsidRPr="00F122F9" w:rsidRDefault="00731018" w:rsidP="006060FB">
            <w:pPr>
              <w:spacing w:after="0"/>
              <w:rPr>
                <w:rFonts w:ascii="Times New Roman" w:hAnsi="Times New Roman"/>
              </w:rPr>
            </w:pPr>
            <w:r>
              <w:rPr>
                <w:rFonts w:ascii="Times New Roman" w:hAnsi="Times New Roman"/>
              </w:rPr>
              <w:t xml:space="preserve">Direktīvas 13.punktā izteiktā </w:t>
            </w:r>
            <w:r>
              <w:rPr>
                <w:rFonts w:ascii="Times New Roman" w:hAnsi="Times New Roman"/>
              </w:rPr>
              <w:lastRenderedPageBreak/>
              <w:t xml:space="preserve">direktīvas Nr.2003/87/EK </w:t>
            </w:r>
            <w:r w:rsidR="003755CA">
              <w:rPr>
                <w:rFonts w:ascii="Times New Roman" w:hAnsi="Times New Roman"/>
              </w:rPr>
              <w:t>11.</w:t>
            </w:r>
            <w:r w:rsidR="00A049CF">
              <w:rPr>
                <w:rFonts w:ascii="Times New Roman" w:hAnsi="Times New Roman"/>
              </w:rPr>
              <w:t xml:space="preserve">a </w:t>
            </w:r>
            <w:r w:rsidR="003755CA">
              <w:rPr>
                <w:rFonts w:ascii="Times New Roman" w:hAnsi="Times New Roman"/>
              </w:rPr>
              <w:t>panta 6.punkts</w:t>
            </w:r>
          </w:p>
        </w:tc>
        <w:tc>
          <w:tcPr>
            <w:tcW w:w="2790" w:type="dxa"/>
            <w:tcBorders>
              <w:bottom w:val="single" w:sz="4" w:space="0" w:color="auto"/>
            </w:tcBorders>
            <w:vAlign w:val="center"/>
          </w:tcPr>
          <w:p w:rsidR="003755CA" w:rsidRPr="00F122F9" w:rsidRDefault="00381A46" w:rsidP="006060FB">
            <w:pPr>
              <w:spacing w:after="0"/>
              <w:rPr>
                <w:rFonts w:ascii="Times New Roman" w:hAnsi="Times New Roman"/>
              </w:rPr>
            </w:pPr>
            <w:r>
              <w:rPr>
                <w:rFonts w:ascii="Times New Roman" w:hAnsi="Times New Roman"/>
              </w:rPr>
              <w:lastRenderedPageBreak/>
              <w:t>N</w:t>
            </w:r>
            <w:r w:rsidR="0056046D">
              <w:rPr>
                <w:rFonts w:ascii="Times New Roman" w:hAnsi="Times New Roman"/>
              </w:rPr>
              <w:t xml:space="preserve">oteikumu projekta </w:t>
            </w:r>
            <w:r w:rsidR="00100122">
              <w:rPr>
                <w:rFonts w:ascii="Times New Roman" w:hAnsi="Times New Roman"/>
              </w:rPr>
              <w:t>4</w:t>
            </w:r>
            <w:r w:rsidR="0056046D">
              <w:rPr>
                <w:rFonts w:ascii="Times New Roman" w:hAnsi="Times New Roman"/>
              </w:rPr>
              <w:t xml:space="preserve">.punktā izteiktais noteikumu Nr.250 </w:t>
            </w:r>
            <w:r w:rsidR="0056046D">
              <w:rPr>
                <w:rFonts w:ascii="Times New Roman" w:hAnsi="Times New Roman"/>
              </w:rPr>
              <w:lastRenderedPageBreak/>
              <w:t>50.</w:t>
            </w:r>
            <w:r w:rsidR="000834E4">
              <w:rPr>
                <w:rFonts w:ascii="Times New Roman" w:hAnsi="Times New Roman"/>
              </w:rPr>
              <w:t>5 un 50.</w:t>
            </w:r>
            <w:r w:rsidR="0056046D">
              <w:rPr>
                <w:rFonts w:ascii="Times New Roman" w:hAnsi="Times New Roman"/>
              </w:rPr>
              <w:t>6.apakšpunkts</w:t>
            </w:r>
          </w:p>
        </w:tc>
        <w:tc>
          <w:tcPr>
            <w:tcW w:w="2126" w:type="dxa"/>
            <w:tcBorders>
              <w:bottom w:val="single" w:sz="4" w:space="0" w:color="auto"/>
            </w:tcBorders>
            <w:vAlign w:val="center"/>
          </w:tcPr>
          <w:p w:rsidR="003755CA" w:rsidRPr="00F122F9" w:rsidRDefault="00381A46" w:rsidP="006060FB">
            <w:pPr>
              <w:spacing w:after="0"/>
              <w:ind w:left="57"/>
              <w:rPr>
                <w:rFonts w:ascii="Times New Roman" w:hAnsi="Times New Roman"/>
              </w:rPr>
            </w:pPr>
            <w:r>
              <w:rPr>
                <w:rFonts w:ascii="Times New Roman" w:hAnsi="Times New Roman"/>
              </w:rPr>
              <w:lastRenderedPageBreak/>
              <w:t>P</w:t>
            </w:r>
            <w:r w:rsidR="009506B5" w:rsidRPr="00F122F9">
              <w:rPr>
                <w:rFonts w:ascii="Times New Roman" w:hAnsi="Times New Roman"/>
              </w:rPr>
              <w:t>ārņemts pilnībā</w:t>
            </w:r>
          </w:p>
        </w:tc>
        <w:tc>
          <w:tcPr>
            <w:tcW w:w="2976" w:type="dxa"/>
            <w:tcBorders>
              <w:bottom w:val="single" w:sz="4" w:space="0" w:color="auto"/>
            </w:tcBorders>
            <w:vAlign w:val="center"/>
          </w:tcPr>
          <w:p w:rsidR="003755CA" w:rsidRPr="00244F50" w:rsidRDefault="009506B5" w:rsidP="006060FB">
            <w:pPr>
              <w:pStyle w:val="naisc"/>
              <w:spacing w:before="0" w:after="0"/>
              <w:jc w:val="both"/>
              <w:rPr>
                <w:sz w:val="22"/>
                <w:szCs w:val="22"/>
              </w:rPr>
            </w:pPr>
            <w:r w:rsidRPr="00100122">
              <w:rPr>
                <w:spacing w:val="-2"/>
                <w:sz w:val="22"/>
                <w:szCs w:val="22"/>
              </w:rPr>
              <w:t>Nav noteiktas stingrākas prasības</w:t>
            </w:r>
          </w:p>
        </w:tc>
      </w:tr>
      <w:tr w:rsidR="003755CA" w:rsidRPr="00F122F9" w:rsidTr="006060FB">
        <w:trPr>
          <w:trHeight w:val="495"/>
          <w:jc w:val="center"/>
        </w:trPr>
        <w:tc>
          <w:tcPr>
            <w:tcW w:w="1747" w:type="dxa"/>
            <w:tcBorders>
              <w:bottom w:val="single" w:sz="4" w:space="0" w:color="auto"/>
            </w:tcBorders>
            <w:vAlign w:val="center"/>
          </w:tcPr>
          <w:p w:rsidR="003755CA" w:rsidRPr="00F122F9" w:rsidRDefault="00731018" w:rsidP="006060FB">
            <w:pPr>
              <w:spacing w:after="0"/>
              <w:rPr>
                <w:rFonts w:ascii="Times New Roman" w:hAnsi="Times New Roman"/>
              </w:rPr>
            </w:pPr>
            <w:r>
              <w:rPr>
                <w:rFonts w:ascii="Times New Roman" w:hAnsi="Times New Roman"/>
              </w:rPr>
              <w:t xml:space="preserve">Direktīvas 13.punktā izteiktā direktīvas Nr.2003/87/EK </w:t>
            </w:r>
            <w:r w:rsidR="003755CA">
              <w:rPr>
                <w:rFonts w:ascii="Times New Roman" w:hAnsi="Times New Roman"/>
              </w:rPr>
              <w:t>11.</w:t>
            </w:r>
            <w:r w:rsidR="00A049CF">
              <w:rPr>
                <w:rFonts w:ascii="Times New Roman" w:hAnsi="Times New Roman"/>
              </w:rPr>
              <w:t xml:space="preserve">a </w:t>
            </w:r>
            <w:r w:rsidR="003755CA">
              <w:rPr>
                <w:rFonts w:ascii="Times New Roman" w:hAnsi="Times New Roman"/>
              </w:rPr>
              <w:t>panta 7.punkts</w:t>
            </w:r>
          </w:p>
        </w:tc>
        <w:tc>
          <w:tcPr>
            <w:tcW w:w="2790" w:type="dxa"/>
            <w:tcBorders>
              <w:bottom w:val="single" w:sz="4" w:space="0" w:color="auto"/>
            </w:tcBorders>
            <w:vAlign w:val="center"/>
          </w:tcPr>
          <w:p w:rsidR="003755CA" w:rsidRPr="00F122F9" w:rsidRDefault="00381A46" w:rsidP="006060FB">
            <w:pPr>
              <w:spacing w:after="0"/>
              <w:rPr>
                <w:rFonts w:ascii="Times New Roman" w:hAnsi="Times New Roman"/>
              </w:rPr>
            </w:pPr>
            <w:r>
              <w:rPr>
                <w:rFonts w:ascii="Times New Roman" w:hAnsi="Times New Roman"/>
              </w:rPr>
              <w:t>N</w:t>
            </w:r>
            <w:r w:rsidR="003755CA">
              <w:rPr>
                <w:rFonts w:ascii="Times New Roman" w:hAnsi="Times New Roman"/>
              </w:rPr>
              <w:t xml:space="preserve">oteikumu projekta </w:t>
            </w:r>
            <w:r w:rsidR="00100122">
              <w:rPr>
                <w:rFonts w:ascii="Times New Roman" w:hAnsi="Times New Roman"/>
              </w:rPr>
              <w:t>4</w:t>
            </w:r>
            <w:r w:rsidR="003755CA">
              <w:rPr>
                <w:rFonts w:ascii="Times New Roman" w:hAnsi="Times New Roman"/>
              </w:rPr>
              <w:t>.punktā izteiktais noteikumu Nr.250 50.</w:t>
            </w:r>
            <w:r w:rsidR="0056046D">
              <w:rPr>
                <w:rFonts w:ascii="Times New Roman" w:hAnsi="Times New Roman"/>
              </w:rPr>
              <w:t>7</w:t>
            </w:r>
            <w:r w:rsidR="003755CA">
              <w:rPr>
                <w:rFonts w:ascii="Times New Roman" w:hAnsi="Times New Roman"/>
              </w:rPr>
              <w:t>.apakšpunkts</w:t>
            </w:r>
          </w:p>
        </w:tc>
        <w:tc>
          <w:tcPr>
            <w:tcW w:w="2126" w:type="dxa"/>
            <w:tcBorders>
              <w:bottom w:val="single" w:sz="4" w:space="0" w:color="auto"/>
            </w:tcBorders>
            <w:vAlign w:val="center"/>
          </w:tcPr>
          <w:p w:rsidR="003755CA" w:rsidRPr="00F122F9" w:rsidRDefault="00381A46" w:rsidP="006060FB">
            <w:pPr>
              <w:spacing w:after="0"/>
              <w:ind w:left="57"/>
              <w:rPr>
                <w:rFonts w:ascii="Times New Roman" w:hAnsi="Times New Roman"/>
              </w:rPr>
            </w:pPr>
            <w:r>
              <w:rPr>
                <w:rFonts w:ascii="Times New Roman" w:hAnsi="Times New Roman"/>
              </w:rPr>
              <w:t>P</w:t>
            </w:r>
            <w:r w:rsidR="003755CA" w:rsidRPr="00F122F9">
              <w:rPr>
                <w:rFonts w:ascii="Times New Roman" w:hAnsi="Times New Roman"/>
              </w:rPr>
              <w:t>ārņemts pilnībā</w:t>
            </w:r>
          </w:p>
        </w:tc>
        <w:tc>
          <w:tcPr>
            <w:tcW w:w="2976" w:type="dxa"/>
            <w:tcBorders>
              <w:bottom w:val="single" w:sz="4" w:space="0" w:color="auto"/>
            </w:tcBorders>
            <w:vAlign w:val="center"/>
          </w:tcPr>
          <w:p w:rsidR="003755CA" w:rsidRPr="00100122" w:rsidRDefault="000B0D5A" w:rsidP="006060FB">
            <w:pPr>
              <w:pStyle w:val="naisc"/>
              <w:spacing w:before="0" w:after="0"/>
              <w:jc w:val="both"/>
              <w:rPr>
                <w:sz w:val="22"/>
                <w:szCs w:val="22"/>
              </w:rPr>
            </w:pPr>
            <w:r w:rsidRPr="00244F50">
              <w:rPr>
                <w:spacing w:val="-2"/>
                <w:sz w:val="22"/>
                <w:szCs w:val="22"/>
              </w:rPr>
              <w:t>Nav noteiktas stingrākas prasības</w:t>
            </w:r>
            <w:r w:rsidRPr="00244F50" w:rsidDel="000B0D5A">
              <w:rPr>
                <w:sz w:val="22"/>
                <w:szCs w:val="22"/>
              </w:rPr>
              <w:t xml:space="preserve"> </w:t>
            </w:r>
          </w:p>
        </w:tc>
      </w:tr>
      <w:tr w:rsidR="003755CA" w:rsidRPr="00F122F9" w:rsidTr="006060FB">
        <w:trPr>
          <w:trHeight w:val="495"/>
          <w:jc w:val="center"/>
        </w:trPr>
        <w:tc>
          <w:tcPr>
            <w:tcW w:w="1747" w:type="dxa"/>
            <w:tcBorders>
              <w:bottom w:val="single" w:sz="4" w:space="0" w:color="auto"/>
            </w:tcBorders>
            <w:vAlign w:val="center"/>
          </w:tcPr>
          <w:p w:rsidR="003755CA" w:rsidRPr="00F122F9" w:rsidRDefault="00731018" w:rsidP="006060FB">
            <w:pPr>
              <w:spacing w:after="0"/>
              <w:rPr>
                <w:rFonts w:ascii="Times New Roman" w:hAnsi="Times New Roman"/>
              </w:rPr>
            </w:pPr>
            <w:r>
              <w:rPr>
                <w:rFonts w:ascii="Times New Roman" w:hAnsi="Times New Roman"/>
              </w:rPr>
              <w:t xml:space="preserve">Direktīvas 13.punktā izteiktā direktīvas Nr.2003/87/EK </w:t>
            </w:r>
            <w:r w:rsidR="003755CA" w:rsidRPr="00F122F9">
              <w:rPr>
                <w:rFonts w:ascii="Times New Roman" w:hAnsi="Times New Roman"/>
              </w:rPr>
              <w:t>11.a panta 8. punkts</w:t>
            </w:r>
          </w:p>
        </w:tc>
        <w:tc>
          <w:tcPr>
            <w:tcW w:w="2790" w:type="dxa"/>
            <w:tcBorders>
              <w:bottom w:val="single" w:sz="4" w:space="0" w:color="auto"/>
            </w:tcBorders>
            <w:vAlign w:val="center"/>
          </w:tcPr>
          <w:p w:rsidR="003755CA" w:rsidRPr="00F122F9" w:rsidRDefault="00381A46" w:rsidP="006060FB">
            <w:pPr>
              <w:spacing w:after="0"/>
              <w:rPr>
                <w:rFonts w:ascii="Times New Roman" w:hAnsi="Times New Roman"/>
              </w:rPr>
            </w:pPr>
            <w:r>
              <w:rPr>
                <w:rFonts w:ascii="Times New Roman" w:hAnsi="Times New Roman"/>
              </w:rPr>
              <w:t>P</w:t>
            </w:r>
            <w:r w:rsidR="003755CA" w:rsidRPr="00F122F9">
              <w:rPr>
                <w:rFonts w:ascii="Times New Roman" w:hAnsi="Times New Roman"/>
              </w:rPr>
              <w:t>ārņemts Noteikum</w:t>
            </w:r>
            <w:r w:rsidR="003755CA">
              <w:rPr>
                <w:rFonts w:ascii="Times New Roman" w:hAnsi="Times New Roman"/>
              </w:rPr>
              <w:t>u</w:t>
            </w:r>
            <w:r w:rsidR="003755CA" w:rsidRPr="00F122F9">
              <w:rPr>
                <w:rFonts w:ascii="Times New Roman" w:hAnsi="Times New Roman"/>
              </w:rPr>
              <w:t xml:space="preserve"> Nr.250</w:t>
            </w:r>
            <w:r w:rsidR="003755CA">
              <w:rPr>
                <w:rFonts w:ascii="Times New Roman" w:hAnsi="Times New Roman"/>
              </w:rPr>
              <w:t xml:space="preserve"> 49.punktā</w:t>
            </w:r>
            <w:r w:rsidR="003755CA" w:rsidRPr="00F122F9">
              <w:rPr>
                <w:rFonts w:ascii="Times New Roman" w:hAnsi="Times New Roman"/>
              </w:rPr>
              <w:t>;</w:t>
            </w:r>
          </w:p>
          <w:p w:rsidR="003755CA" w:rsidRPr="00F122F9" w:rsidRDefault="003755CA" w:rsidP="006060FB">
            <w:pPr>
              <w:spacing w:after="0"/>
              <w:rPr>
                <w:rFonts w:ascii="Times New Roman" w:hAnsi="Times New Roman"/>
              </w:rPr>
            </w:pPr>
            <w:r w:rsidRPr="00F122F9">
              <w:rPr>
                <w:rFonts w:ascii="Times New Roman" w:hAnsi="Times New Roman"/>
              </w:rPr>
              <w:t>Nosacījumi ir noteikti Eiropas Komisijas regulas Nr.1123/2013 1.pantā – attiecībā uz Kioto protokola vienību apmaiņas pret emisijas kvotām vai aviācijas emisijas kvotām apjomiem</w:t>
            </w:r>
          </w:p>
        </w:tc>
        <w:tc>
          <w:tcPr>
            <w:tcW w:w="2126" w:type="dxa"/>
            <w:tcBorders>
              <w:bottom w:val="single" w:sz="4" w:space="0" w:color="auto"/>
            </w:tcBorders>
            <w:vAlign w:val="center"/>
          </w:tcPr>
          <w:p w:rsidR="003755CA" w:rsidRPr="00F122F9" w:rsidRDefault="00381A46" w:rsidP="006060FB">
            <w:pPr>
              <w:spacing w:after="0"/>
              <w:ind w:left="57"/>
              <w:rPr>
                <w:rFonts w:ascii="Times New Roman" w:hAnsi="Times New Roman"/>
              </w:rPr>
            </w:pPr>
            <w:r>
              <w:rPr>
                <w:rFonts w:ascii="Times New Roman" w:hAnsi="Times New Roman"/>
              </w:rPr>
              <w:t>P</w:t>
            </w:r>
            <w:r w:rsidR="003755CA" w:rsidRPr="00F122F9">
              <w:rPr>
                <w:rFonts w:ascii="Times New Roman" w:hAnsi="Times New Roman"/>
              </w:rPr>
              <w:t>ārņemts pilnībā</w:t>
            </w:r>
          </w:p>
        </w:tc>
        <w:tc>
          <w:tcPr>
            <w:tcW w:w="2976" w:type="dxa"/>
            <w:tcBorders>
              <w:bottom w:val="single" w:sz="4" w:space="0" w:color="auto"/>
            </w:tcBorders>
            <w:vAlign w:val="center"/>
          </w:tcPr>
          <w:p w:rsidR="003755CA" w:rsidRPr="00100122" w:rsidRDefault="000B0D5A" w:rsidP="006060FB">
            <w:pPr>
              <w:pStyle w:val="naisc"/>
              <w:spacing w:before="0" w:after="0"/>
              <w:jc w:val="both"/>
              <w:rPr>
                <w:sz w:val="22"/>
                <w:szCs w:val="22"/>
              </w:rPr>
            </w:pPr>
            <w:r w:rsidRPr="00244F50">
              <w:rPr>
                <w:spacing w:val="-2"/>
                <w:sz w:val="22"/>
                <w:szCs w:val="22"/>
              </w:rPr>
              <w:t>Nav noteiktas stingrākas prasības</w:t>
            </w:r>
            <w:r w:rsidRPr="00244F50" w:rsidDel="000B0D5A">
              <w:rPr>
                <w:sz w:val="22"/>
                <w:szCs w:val="22"/>
              </w:rPr>
              <w:t xml:space="preserve"> </w:t>
            </w:r>
          </w:p>
        </w:tc>
      </w:tr>
      <w:tr w:rsidR="003755CA" w:rsidRPr="000265BB" w:rsidTr="006060FB">
        <w:trPr>
          <w:trHeight w:val="284"/>
          <w:jc w:val="center"/>
        </w:trPr>
        <w:tc>
          <w:tcPr>
            <w:tcW w:w="1747" w:type="dxa"/>
            <w:tcBorders>
              <w:bottom w:val="single" w:sz="2" w:space="0" w:color="auto"/>
            </w:tcBorders>
            <w:vAlign w:val="center"/>
          </w:tcPr>
          <w:p w:rsidR="003755CA" w:rsidRPr="000265BB" w:rsidRDefault="00731018" w:rsidP="006060FB">
            <w:pPr>
              <w:spacing w:after="0"/>
              <w:rPr>
                <w:rFonts w:ascii="Times New Roman" w:hAnsi="Times New Roman"/>
              </w:rPr>
            </w:pPr>
            <w:r>
              <w:rPr>
                <w:rFonts w:ascii="Times New Roman" w:hAnsi="Times New Roman"/>
              </w:rPr>
              <w:t xml:space="preserve">Direktīvas 13.punktā izteiktā direktīvas Nr.2003/87/EK </w:t>
            </w:r>
            <w:r w:rsidR="003755CA" w:rsidRPr="000265BB">
              <w:rPr>
                <w:rFonts w:ascii="Times New Roman" w:hAnsi="Times New Roman"/>
              </w:rPr>
              <w:t>11.a panta 9. punkts</w:t>
            </w:r>
          </w:p>
        </w:tc>
        <w:tc>
          <w:tcPr>
            <w:tcW w:w="2790" w:type="dxa"/>
            <w:tcBorders>
              <w:bottom w:val="single" w:sz="2" w:space="0" w:color="auto"/>
            </w:tcBorders>
            <w:vAlign w:val="center"/>
          </w:tcPr>
          <w:p w:rsidR="003755CA" w:rsidRPr="000265BB" w:rsidRDefault="00381A46" w:rsidP="006060FB">
            <w:pPr>
              <w:spacing w:after="0"/>
              <w:rPr>
                <w:rFonts w:ascii="Times New Roman" w:hAnsi="Times New Roman"/>
              </w:rPr>
            </w:pPr>
            <w:r>
              <w:rPr>
                <w:rFonts w:ascii="Times New Roman" w:hAnsi="Times New Roman"/>
              </w:rPr>
              <w:t>A</w:t>
            </w:r>
            <w:r w:rsidR="003755CA" w:rsidRPr="000265BB">
              <w:rPr>
                <w:rFonts w:ascii="Times New Roman" w:hAnsi="Times New Roman"/>
              </w:rPr>
              <w:t>ttiecas uz Eiropas Komisij</w:t>
            </w:r>
            <w:r>
              <w:rPr>
                <w:rFonts w:ascii="Times New Roman" w:hAnsi="Times New Roman"/>
              </w:rPr>
              <w:t>as pilnvarām</w:t>
            </w:r>
          </w:p>
        </w:tc>
        <w:tc>
          <w:tcPr>
            <w:tcW w:w="2126" w:type="dxa"/>
            <w:tcBorders>
              <w:bottom w:val="single" w:sz="2" w:space="0" w:color="auto"/>
            </w:tcBorders>
            <w:vAlign w:val="center"/>
          </w:tcPr>
          <w:p w:rsidR="003755CA" w:rsidRPr="000265BB" w:rsidRDefault="009506B5" w:rsidP="006060FB">
            <w:pPr>
              <w:spacing w:after="0"/>
              <w:rPr>
                <w:rFonts w:ascii="Times New Roman" w:hAnsi="Times New Roman"/>
              </w:rPr>
            </w:pPr>
            <w:r>
              <w:rPr>
                <w:rFonts w:ascii="Times New Roman" w:hAnsi="Times New Roman"/>
              </w:rPr>
              <w:t>Netiks pārņemts</w:t>
            </w:r>
          </w:p>
        </w:tc>
        <w:tc>
          <w:tcPr>
            <w:tcW w:w="2976" w:type="dxa"/>
            <w:tcBorders>
              <w:bottom w:val="single" w:sz="2" w:space="0" w:color="auto"/>
            </w:tcBorders>
            <w:vAlign w:val="center"/>
          </w:tcPr>
          <w:p w:rsidR="003755CA" w:rsidRPr="000265BB" w:rsidRDefault="003755CA" w:rsidP="006060FB">
            <w:pPr>
              <w:pStyle w:val="naisc"/>
              <w:spacing w:before="0" w:after="0"/>
              <w:jc w:val="both"/>
              <w:rPr>
                <w:sz w:val="22"/>
                <w:szCs w:val="22"/>
              </w:rPr>
            </w:pPr>
          </w:p>
        </w:tc>
      </w:tr>
      <w:tr w:rsidR="00325202" w:rsidRPr="00F122F9" w:rsidTr="006060FB">
        <w:trPr>
          <w:trHeight w:val="284"/>
          <w:jc w:val="center"/>
        </w:trPr>
        <w:tc>
          <w:tcPr>
            <w:tcW w:w="1747" w:type="dxa"/>
            <w:vAlign w:val="center"/>
          </w:tcPr>
          <w:p w:rsidR="00325202" w:rsidRPr="003755CA" w:rsidRDefault="00325202" w:rsidP="006060FB">
            <w:pPr>
              <w:spacing w:after="0"/>
              <w:rPr>
                <w:rFonts w:ascii="Times New Roman" w:hAnsi="Times New Roman"/>
              </w:rPr>
            </w:pPr>
            <w:r>
              <w:rPr>
                <w:rFonts w:ascii="Times New Roman" w:hAnsi="Times New Roman"/>
              </w:rPr>
              <w:t>Direktīvas 14.punktā izteiktais direktīvas Nr.2003/87/EK 11.b panta 1.punkta papildinājums</w:t>
            </w:r>
          </w:p>
        </w:tc>
        <w:tc>
          <w:tcPr>
            <w:tcW w:w="2790" w:type="dxa"/>
            <w:vAlign w:val="center"/>
          </w:tcPr>
          <w:p w:rsidR="00325202" w:rsidRPr="003755CA" w:rsidRDefault="00325202" w:rsidP="006060FB">
            <w:pPr>
              <w:spacing w:after="0"/>
              <w:rPr>
                <w:rFonts w:ascii="Times New Roman" w:hAnsi="Times New Roman"/>
              </w:rPr>
            </w:pPr>
            <w:r>
              <w:rPr>
                <w:rFonts w:ascii="Times New Roman" w:hAnsi="Times New Roman"/>
              </w:rPr>
              <w:t>T</w:t>
            </w:r>
            <w:r w:rsidRPr="008953CD">
              <w:rPr>
                <w:rFonts w:ascii="Times New Roman" w:hAnsi="Times New Roman"/>
              </w:rPr>
              <w:t>iek pārņemts, veicot grozījumus MK noteikumos Nr.510</w:t>
            </w:r>
          </w:p>
        </w:tc>
        <w:tc>
          <w:tcPr>
            <w:tcW w:w="2126" w:type="dxa"/>
            <w:vAlign w:val="center"/>
          </w:tcPr>
          <w:p w:rsidR="00325202" w:rsidRPr="003755CA" w:rsidRDefault="00325202" w:rsidP="006060FB">
            <w:pPr>
              <w:spacing w:after="0"/>
              <w:ind w:left="57"/>
              <w:rPr>
                <w:rFonts w:ascii="Times New Roman" w:hAnsi="Times New Roman"/>
              </w:rPr>
            </w:pPr>
            <w:r>
              <w:rPr>
                <w:rFonts w:ascii="Times New Roman" w:hAnsi="Times New Roman"/>
              </w:rPr>
              <w:t>P</w:t>
            </w:r>
            <w:r w:rsidRPr="00F122F9">
              <w:rPr>
                <w:rFonts w:ascii="Times New Roman" w:hAnsi="Times New Roman"/>
              </w:rPr>
              <w:t>ārņemts pilnībā</w:t>
            </w:r>
          </w:p>
        </w:tc>
        <w:tc>
          <w:tcPr>
            <w:tcW w:w="2976" w:type="dxa"/>
            <w:vAlign w:val="center"/>
          </w:tcPr>
          <w:p w:rsidR="00325202" w:rsidRPr="00F122F9" w:rsidRDefault="00325202" w:rsidP="006060FB">
            <w:pPr>
              <w:pStyle w:val="naisc"/>
              <w:spacing w:before="0" w:after="0"/>
              <w:jc w:val="both"/>
            </w:pPr>
            <w:r w:rsidRPr="00244F50">
              <w:rPr>
                <w:spacing w:val="-2"/>
                <w:sz w:val="22"/>
                <w:szCs w:val="22"/>
              </w:rPr>
              <w:t>Nav noteiktas stingrākas prasības</w:t>
            </w:r>
            <w:r w:rsidRPr="00244F50" w:rsidDel="000B0D5A">
              <w:rPr>
                <w:sz w:val="22"/>
                <w:szCs w:val="22"/>
              </w:rPr>
              <w:t xml:space="preserve"> </w:t>
            </w:r>
          </w:p>
        </w:tc>
      </w:tr>
      <w:tr w:rsidR="000265BB" w:rsidRPr="00F122F9" w:rsidTr="006060FB">
        <w:trPr>
          <w:trHeight w:val="284"/>
          <w:jc w:val="center"/>
        </w:trPr>
        <w:tc>
          <w:tcPr>
            <w:tcW w:w="1747" w:type="dxa"/>
          </w:tcPr>
          <w:p w:rsidR="000265BB" w:rsidRPr="00F122F9" w:rsidRDefault="000265BB" w:rsidP="006060FB">
            <w:pPr>
              <w:spacing w:after="0"/>
              <w:rPr>
                <w:rFonts w:ascii="Times New Roman" w:hAnsi="Times New Roman"/>
              </w:rPr>
            </w:pPr>
            <w:r w:rsidRPr="00F122F9">
              <w:rPr>
                <w:rFonts w:ascii="Times New Roman" w:hAnsi="Times New Roman"/>
              </w:rPr>
              <w:t>Attiecīgā Eiropas Savienības tiesību akta datums, numurs un nosaukums</w:t>
            </w:r>
          </w:p>
        </w:tc>
        <w:tc>
          <w:tcPr>
            <w:tcW w:w="7892" w:type="dxa"/>
            <w:gridSpan w:val="3"/>
            <w:vAlign w:val="center"/>
          </w:tcPr>
          <w:p w:rsidR="000265BB" w:rsidRPr="00F122F9" w:rsidRDefault="000265BB" w:rsidP="006060FB">
            <w:pPr>
              <w:autoSpaceDE w:val="0"/>
              <w:autoSpaceDN w:val="0"/>
              <w:adjustRightInd w:val="0"/>
              <w:spacing w:after="0"/>
              <w:ind w:firstLine="289"/>
              <w:rPr>
                <w:rFonts w:ascii="Times New Roman" w:hAnsi="Times New Roman"/>
                <w:b/>
                <w:shd w:val="clear" w:color="auto" w:fill="FFFFFF"/>
              </w:rPr>
            </w:pPr>
            <w:r w:rsidRPr="003755CA">
              <w:rPr>
                <w:rFonts w:ascii="Times New Roman" w:hAnsi="Times New Roman"/>
                <w:b/>
              </w:rPr>
              <w:t xml:space="preserve">Eiropas Komisijas 2011.gada 7.jūnija </w:t>
            </w:r>
            <w:r w:rsidR="003A3731">
              <w:rPr>
                <w:rFonts w:ascii="Times New Roman" w:hAnsi="Times New Roman"/>
                <w:b/>
              </w:rPr>
              <w:t>R</w:t>
            </w:r>
            <w:r w:rsidRPr="003755CA">
              <w:rPr>
                <w:rFonts w:ascii="Times New Roman" w:hAnsi="Times New Roman"/>
                <w:b/>
              </w:rPr>
              <w:t>egul</w:t>
            </w:r>
            <w:r w:rsidR="000834E4">
              <w:rPr>
                <w:rFonts w:ascii="Times New Roman" w:hAnsi="Times New Roman"/>
                <w:b/>
              </w:rPr>
              <w:t>a</w:t>
            </w:r>
            <w:r w:rsidRPr="003755CA">
              <w:rPr>
                <w:rFonts w:ascii="Times New Roman" w:hAnsi="Times New Roman"/>
                <w:b/>
              </w:rPr>
              <w:t xml:space="preserve"> Nr.550/2011 par to, lai saskaņā ar Eiropas Parlamenta un Padomes Direktīvu 2003/87/EK noteiktu konkrētus ierobežojumus, kas piemērojami starptautisku kredītu izmantošanai no projektiem, kuri saistīti ar rūpnieciskajām gāzēm</w:t>
            </w:r>
          </w:p>
        </w:tc>
      </w:tr>
      <w:tr w:rsidR="000265BB" w:rsidRPr="00F122F9" w:rsidTr="006060FB">
        <w:trPr>
          <w:trHeight w:val="237"/>
          <w:jc w:val="center"/>
        </w:trPr>
        <w:tc>
          <w:tcPr>
            <w:tcW w:w="1747" w:type="dxa"/>
            <w:vAlign w:val="center"/>
          </w:tcPr>
          <w:p w:rsidR="000265BB" w:rsidRPr="00F122F9" w:rsidRDefault="000265BB" w:rsidP="006060FB">
            <w:pPr>
              <w:spacing w:after="0"/>
              <w:jc w:val="center"/>
              <w:rPr>
                <w:rFonts w:ascii="Times New Roman" w:hAnsi="Times New Roman"/>
                <w:sz w:val="20"/>
                <w:szCs w:val="20"/>
              </w:rPr>
            </w:pPr>
            <w:r w:rsidRPr="00F122F9">
              <w:rPr>
                <w:rFonts w:ascii="Times New Roman" w:hAnsi="Times New Roman"/>
                <w:sz w:val="20"/>
                <w:szCs w:val="20"/>
              </w:rPr>
              <w:t>A</w:t>
            </w:r>
          </w:p>
        </w:tc>
        <w:tc>
          <w:tcPr>
            <w:tcW w:w="2790" w:type="dxa"/>
            <w:vAlign w:val="center"/>
          </w:tcPr>
          <w:p w:rsidR="000265BB" w:rsidRPr="00F122F9" w:rsidRDefault="000265BB" w:rsidP="006060FB">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2126" w:type="dxa"/>
            <w:vAlign w:val="center"/>
          </w:tcPr>
          <w:p w:rsidR="000265BB" w:rsidRPr="00F122F9" w:rsidRDefault="000265BB" w:rsidP="006060FB">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2976" w:type="dxa"/>
            <w:vAlign w:val="center"/>
          </w:tcPr>
          <w:p w:rsidR="000265BB" w:rsidRPr="00F122F9" w:rsidRDefault="000265BB" w:rsidP="006060FB">
            <w:pPr>
              <w:spacing w:after="0"/>
              <w:ind w:left="57"/>
              <w:jc w:val="center"/>
              <w:rPr>
                <w:rFonts w:ascii="Times New Roman" w:hAnsi="Times New Roman"/>
                <w:sz w:val="20"/>
                <w:szCs w:val="20"/>
              </w:rPr>
            </w:pPr>
            <w:r w:rsidRPr="00F122F9">
              <w:rPr>
                <w:rFonts w:ascii="Times New Roman" w:hAnsi="Times New Roman"/>
                <w:sz w:val="20"/>
                <w:szCs w:val="20"/>
              </w:rPr>
              <w:t>D</w:t>
            </w:r>
          </w:p>
        </w:tc>
      </w:tr>
      <w:tr w:rsidR="000265BB" w:rsidRPr="00F122F9" w:rsidTr="006060FB">
        <w:trPr>
          <w:trHeight w:val="284"/>
          <w:jc w:val="center"/>
        </w:trPr>
        <w:tc>
          <w:tcPr>
            <w:tcW w:w="1747" w:type="dxa"/>
            <w:vAlign w:val="center"/>
          </w:tcPr>
          <w:p w:rsidR="000265BB" w:rsidRPr="003755CA" w:rsidRDefault="000265BB" w:rsidP="006060FB">
            <w:pPr>
              <w:spacing w:after="0"/>
              <w:rPr>
                <w:rFonts w:ascii="Times New Roman" w:hAnsi="Times New Roman"/>
              </w:rPr>
            </w:pPr>
            <w:r w:rsidRPr="003755CA">
              <w:rPr>
                <w:rFonts w:ascii="Times New Roman" w:hAnsi="Times New Roman"/>
              </w:rPr>
              <w:t>1.pants</w:t>
            </w:r>
          </w:p>
        </w:tc>
        <w:tc>
          <w:tcPr>
            <w:tcW w:w="2790" w:type="dxa"/>
            <w:vAlign w:val="center"/>
          </w:tcPr>
          <w:p w:rsidR="000265BB" w:rsidRPr="003755CA" w:rsidRDefault="000265BB" w:rsidP="006060FB">
            <w:pPr>
              <w:spacing w:after="0"/>
              <w:rPr>
                <w:rFonts w:ascii="Times New Roman" w:hAnsi="Times New Roman"/>
              </w:rPr>
            </w:pPr>
            <w:r w:rsidRPr="003755CA">
              <w:rPr>
                <w:rFonts w:ascii="Times New Roman" w:hAnsi="Times New Roman"/>
              </w:rPr>
              <w:t>Noteikumu projekta 50.</w:t>
            </w:r>
            <w:r w:rsidR="000834E4">
              <w:rPr>
                <w:rFonts w:ascii="Times New Roman" w:hAnsi="Times New Roman"/>
              </w:rPr>
              <w:t>8</w:t>
            </w:r>
            <w:r w:rsidRPr="003755CA">
              <w:rPr>
                <w:rFonts w:ascii="Times New Roman" w:hAnsi="Times New Roman"/>
              </w:rPr>
              <w:t>.apakšpunkts</w:t>
            </w:r>
          </w:p>
        </w:tc>
        <w:tc>
          <w:tcPr>
            <w:tcW w:w="2126" w:type="dxa"/>
            <w:vAlign w:val="center"/>
          </w:tcPr>
          <w:p w:rsidR="000265BB" w:rsidRPr="00244F50" w:rsidRDefault="00BD6C70" w:rsidP="006060FB">
            <w:pPr>
              <w:spacing w:after="0"/>
              <w:ind w:left="57"/>
              <w:rPr>
                <w:rFonts w:ascii="Times New Roman" w:hAnsi="Times New Roman"/>
              </w:rPr>
            </w:pPr>
            <w:r w:rsidRPr="00244F50">
              <w:rPr>
                <w:rFonts w:ascii="Times New Roman" w:hAnsi="Times New Roman"/>
              </w:rPr>
              <w:t>Vienība tiek ieviesta pilnībā</w:t>
            </w:r>
          </w:p>
        </w:tc>
        <w:tc>
          <w:tcPr>
            <w:tcW w:w="2976" w:type="dxa"/>
            <w:vAlign w:val="center"/>
          </w:tcPr>
          <w:p w:rsidR="000265BB" w:rsidRPr="005D1B10" w:rsidRDefault="00BD6C70" w:rsidP="006060FB">
            <w:pPr>
              <w:pStyle w:val="naisc"/>
              <w:spacing w:before="0" w:after="0"/>
              <w:jc w:val="both"/>
              <w:rPr>
                <w:sz w:val="22"/>
                <w:szCs w:val="22"/>
              </w:rPr>
            </w:pPr>
            <w:r w:rsidRPr="005D1B10">
              <w:rPr>
                <w:spacing w:val="-2"/>
                <w:sz w:val="22"/>
                <w:szCs w:val="22"/>
              </w:rPr>
              <w:t>Nav noteiktas stingrākas prasības</w:t>
            </w:r>
            <w:r w:rsidRPr="00244F50" w:rsidDel="00BD6C70">
              <w:rPr>
                <w:sz w:val="22"/>
                <w:szCs w:val="22"/>
              </w:rPr>
              <w:t xml:space="preserve"> </w:t>
            </w:r>
          </w:p>
        </w:tc>
      </w:tr>
      <w:tr w:rsidR="000265BB" w:rsidRPr="00F122F9" w:rsidTr="006060FB">
        <w:trPr>
          <w:trHeight w:val="284"/>
          <w:jc w:val="center"/>
        </w:trPr>
        <w:tc>
          <w:tcPr>
            <w:tcW w:w="1747" w:type="dxa"/>
          </w:tcPr>
          <w:p w:rsidR="000265BB" w:rsidRPr="00F122F9" w:rsidRDefault="000265BB" w:rsidP="006060FB">
            <w:pPr>
              <w:spacing w:after="0"/>
              <w:rPr>
                <w:rFonts w:ascii="Times New Roman" w:hAnsi="Times New Roman"/>
              </w:rPr>
            </w:pPr>
            <w:r w:rsidRPr="00F122F9">
              <w:rPr>
                <w:rFonts w:ascii="Times New Roman" w:hAnsi="Times New Roman"/>
              </w:rPr>
              <w:t>Attiecīgā Eiropas Savienības tiesību akta datums, numurs un nosaukums</w:t>
            </w:r>
          </w:p>
        </w:tc>
        <w:tc>
          <w:tcPr>
            <w:tcW w:w="7892" w:type="dxa"/>
            <w:gridSpan w:val="3"/>
            <w:vAlign w:val="center"/>
          </w:tcPr>
          <w:p w:rsidR="000265BB" w:rsidRPr="00F122F9" w:rsidRDefault="000265BB" w:rsidP="006060FB">
            <w:pPr>
              <w:autoSpaceDE w:val="0"/>
              <w:autoSpaceDN w:val="0"/>
              <w:adjustRightInd w:val="0"/>
              <w:spacing w:after="0"/>
              <w:ind w:firstLine="289"/>
              <w:rPr>
                <w:rFonts w:ascii="Times New Roman" w:hAnsi="Times New Roman"/>
                <w:b/>
                <w:shd w:val="clear" w:color="auto" w:fill="FFFFFF"/>
              </w:rPr>
            </w:pPr>
            <w:r w:rsidRPr="00F122F9">
              <w:rPr>
                <w:rFonts w:ascii="Times New Roman" w:hAnsi="Times New Roman"/>
                <w:b/>
              </w:rPr>
              <w:t xml:space="preserve">Eiropas Parlamenta un Padomes 2009.gada 29.aprīļa </w:t>
            </w:r>
            <w:r w:rsidR="00BD6C70">
              <w:rPr>
                <w:rFonts w:ascii="Times New Roman" w:hAnsi="Times New Roman"/>
                <w:b/>
              </w:rPr>
              <w:t>L</w:t>
            </w:r>
            <w:r w:rsidRPr="00F122F9">
              <w:rPr>
                <w:rFonts w:ascii="Times New Roman" w:hAnsi="Times New Roman"/>
                <w:b/>
              </w:rPr>
              <w:t>ēmums Nr.406/2009/EK par dalībvalstu pasākumiem siltumnīcefektu izraisošo gāzu emisiju samazināšanai, lai izpildītu Kopienas saistības siltumnīcas efektu izraisošu gāzu emisiju samazināšanas jomā līdz 2020.gadam</w:t>
            </w:r>
          </w:p>
        </w:tc>
      </w:tr>
      <w:tr w:rsidR="000265BB" w:rsidRPr="00F122F9" w:rsidTr="006060FB">
        <w:trPr>
          <w:trHeight w:val="237"/>
          <w:jc w:val="center"/>
        </w:trPr>
        <w:tc>
          <w:tcPr>
            <w:tcW w:w="1747" w:type="dxa"/>
            <w:vAlign w:val="center"/>
          </w:tcPr>
          <w:p w:rsidR="000265BB" w:rsidRPr="00F122F9" w:rsidRDefault="000265BB" w:rsidP="006060FB">
            <w:pPr>
              <w:spacing w:after="0"/>
              <w:jc w:val="center"/>
              <w:rPr>
                <w:rFonts w:ascii="Times New Roman" w:hAnsi="Times New Roman"/>
                <w:sz w:val="20"/>
                <w:szCs w:val="20"/>
              </w:rPr>
            </w:pPr>
            <w:r w:rsidRPr="00F122F9">
              <w:rPr>
                <w:rFonts w:ascii="Times New Roman" w:hAnsi="Times New Roman"/>
                <w:sz w:val="20"/>
                <w:szCs w:val="20"/>
              </w:rPr>
              <w:t>A</w:t>
            </w:r>
          </w:p>
        </w:tc>
        <w:tc>
          <w:tcPr>
            <w:tcW w:w="2790" w:type="dxa"/>
            <w:vAlign w:val="center"/>
          </w:tcPr>
          <w:p w:rsidR="000265BB" w:rsidRPr="00F122F9" w:rsidRDefault="000265BB" w:rsidP="006060FB">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2126" w:type="dxa"/>
            <w:vAlign w:val="center"/>
          </w:tcPr>
          <w:p w:rsidR="000265BB" w:rsidRPr="00F122F9" w:rsidRDefault="000265BB" w:rsidP="006060FB">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2976" w:type="dxa"/>
            <w:vAlign w:val="center"/>
          </w:tcPr>
          <w:p w:rsidR="000265BB" w:rsidRPr="00F122F9" w:rsidRDefault="000265BB" w:rsidP="006060FB">
            <w:pPr>
              <w:spacing w:after="0"/>
              <w:ind w:left="57"/>
              <w:jc w:val="center"/>
              <w:rPr>
                <w:rFonts w:ascii="Times New Roman" w:hAnsi="Times New Roman"/>
                <w:sz w:val="20"/>
                <w:szCs w:val="20"/>
              </w:rPr>
            </w:pPr>
            <w:r w:rsidRPr="00F122F9">
              <w:rPr>
                <w:rFonts w:ascii="Times New Roman" w:hAnsi="Times New Roman"/>
                <w:sz w:val="20"/>
                <w:szCs w:val="20"/>
              </w:rPr>
              <w:t>D</w:t>
            </w:r>
          </w:p>
        </w:tc>
      </w:tr>
      <w:tr w:rsidR="00325202" w:rsidRPr="00A45F1D" w:rsidTr="006060FB">
        <w:trPr>
          <w:trHeight w:val="284"/>
          <w:jc w:val="center"/>
        </w:trPr>
        <w:tc>
          <w:tcPr>
            <w:tcW w:w="1747" w:type="dxa"/>
            <w:vAlign w:val="center"/>
          </w:tcPr>
          <w:p w:rsidR="00325202" w:rsidRPr="00A45F1D" w:rsidRDefault="00325202" w:rsidP="006060FB">
            <w:pPr>
              <w:spacing w:after="0"/>
              <w:rPr>
                <w:rFonts w:ascii="Times New Roman" w:hAnsi="Times New Roman"/>
              </w:rPr>
            </w:pPr>
            <w:r w:rsidRPr="00A45F1D">
              <w:rPr>
                <w:rFonts w:ascii="Times New Roman" w:hAnsi="Times New Roman"/>
              </w:rPr>
              <w:t>2.panta 1.punkts</w:t>
            </w:r>
          </w:p>
        </w:tc>
        <w:tc>
          <w:tcPr>
            <w:tcW w:w="2790" w:type="dxa"/>
            <w:vAlign w:val="center"/>
          </w:tcPr>
          <w:p w:rsidR="00325202" w:rsidRPr="00A45F1D" w:rsidRDefault="00325202" w:rsidP="006060FB">
            <w:pPr>
              <w:spacing w:after="0"/>
              <w:rPr>
                <w:rFonts w:ascii="Times New Roman" w:hAnsi="Times New Roman"/>
              </w:rPr>
            </w:pPr>
            <w:r>
              <w:rPr>
                <w:rFonts w:ascii="Times New Roman" w:hAnsi="Times New Roman"/>
              </w:rPr>
              <w:t>T</w:t>
            </w:r>
            <w:r w:rsidRPr="00A45F1D">
              <w:rPr>
                <w:rFonts w:ascii="Times New Roman" w:hAnsi="Times New Roman"/>
              </w:rPr>
              <w:t>iek pārņemts, veicot grozījumus likumā „Par piesārņojumu”</w:t>
            </w:r>
          </w:p>
        </w:tc>
        <w:tc>
          <w:tcPr>
            <w:tcW w:w="2126" w:type="dxa"/>
            <w:vAlign w:val="center"/>
          </w:tcPr>
          <w:p w:rsidR="00325202" w:rsidRPr="00A45F1D" w:rsidRDefault="00325202" w:rsidP="006060FB">
            <w:pPr>
              <w:spacing w:after="0"/>
              <w:ind w:left="57"/>
              <w:rPr>
                <w:rFonts w:ascii="Times New Roman" w:hAnsi="Times New Roman"/>
              </w:rPr>
            </w:pPr>
            <w:r>
              <w:rPr>
                <w:rFonts w:ascii="Times New Roman" w:hAnsi="Times New Roman"/>
              </w:rPr>
              <w:t>P</w:t>
            </w:r>
            <w:r w:rsidRPr="00F122F9">
              <w:rPr>
                <w:rFonts w:ascii="Times New Roman" w:hAnsi="Times New Roman"/>
              </w:rPr>
              <w:t>ārņemts pilnībā</w:t>
            </w:r>
          </w:p>
        </w:tc>
        <w:tc>
          <w:tcPr>
            <w:tcW w:w="2976" w:type="dxa"/>
            <w:vAlign w:val="center"/>
          </w:tcPr>
          <w:p w:rsidR="00325202" w:rsidRPr="00A45F1D" w:rsidRDefault="00325202" w:rsidP="006060FB">
            <w:pPr>
              <w:pStyle w:val="naisc"/>
              <w:spacing w:before="0" w:after="0"/>
              <w:jc w:val="both"/>
            </w:pPr>
            <w:r w:rsidRPr="00244F50">
              <w:rPr>
                <w:spacing w:val="-2"/>
                <w:sz w:val="22"/>
                <w:szCs w:val="22"/>
              </w:rPr>
              <w:t>Nav noteiktas stingrākas prasības</w:t>
            </w:r>
            <w:r w:rsidRPr="00244F50" w:rsidDel="000B0D5A">
              <w:rPr>
                <w:sz w:val="22"/>
                <w:szCs w:val="22"/>
              </w:rPr>
              <w:t xml:space="preserve"> </w:t>
            </w:r>
          </w:p>
        </w:tc>
      </w:tr>
      <w:tr w:rsidR="00325202" w:rsidRPr="00A45F1D" w:rsidTr="006060FB">
        <w:trPr>
          <w:trHeight w:val="284"/>
          <w:jc w:val="center"/>
        </w:trPr>
        <w:tc>
          <w:tcPr>
            <w:tcW w:w="1747" w:type="dxa"/>
            <w:vAlign w:val="center"/>
          </w:tcPr>
          <w:p w:rsidR="00325202" w:rsidRPr="00A45F1D" w:rsidRDefault="00325202" w:rsidP="006060FB">
            <w:pPr>
              <w:spacing w:after="0"/>
              <w:rPr>
                <w:rFonts w:ascii="Times New Roman" w:hAnsi="Times New Roman"/>
              </w:rPr>
            </w:pPr>
            <w:r w:rsidRPr="00A45F1D">
              <w:rPr>
                <w:rFonts w:ascii="Times New Roman" w:hAnsi="Times New Roman"/>
              </w:rPr>
              <w:t>2.panta 2.punkts</w:t>
            </w:r>
          </w:p>
        </w:tc>
        <w:tc>
          <w:tcPr>
            <w:tcW w:w="2790" w:type="dxa"/>
            <w:vAlign w:val="center"/>
          </w:tcPr>
          <w:p w:rsidR="00325202" w:rsidRPr="00A45F1D" w:rsidRDefault="00325202" w:rsidP="006060FB">
            <w:pPr>
              <w:spacing w:after="0"/>
              <w:rPr>
                <w:rFonts w:ascii="Times New Roman" w:hAnsi="Times New Roman"/>
              </w:rPr>
            </w:pPr>
            <w:r>
              <w:rPr>
                <w:rFonts w:ascii="Times New Roman" w:hAnsi="Times New Roman"/>
              </w:rPr>
              <w:t>T</w:t>
            </w:r>
            <w:r w:rsidRPr="00A45F1D">
              <w:rPr>
                <w:rFonts w:ascii="Times New Roman" w:hAnsi="Times New Roman"/>
              </w:rPr>
              <w:t>iek pārņemts, veicot grozījumus likumā „Par piesārņojumu”</w:t>
            </w:r>
          </w:p>
        </w:tc>
        <w:tc>
          <w:tcPr>
            <w:tcW w:w="2126" w:type="dxa"/>
            <w:vAlign w:val="center"/>
          </w:tcPr>
          <w:p w:rsidR="00325202" w:rsidRPr="00A45F1D" w:rsidRDefault="00325202" w:rsidP="006060FB">
            <w:pPr>
              <w:spacing w:after="0"/>
              <w:ind w:left="57"/>
              <w:rPr>
                <w:rFonts w:ascii="Times New Roman" w:hAnsi="Times New Roman"/>
              </w:rPr>
            </w:pPr>
            <w:r>
              <w:rPr>
                <w:rFonts w:ascii="Times New Roman" w:hAnsi="Times New Roman"/>
              </w:rPr>
              <w:t>P</w:t>
            </w:r>
            <w:r w:rsidRPr="00F122F9">
              <w:rPr>
                <w:rFonts w:ascii="Times New Roman" w:hAnsi="Times New Roman"/>
              </w:rPr>
              <w:t>ārņemts pilnībā</w:t>
            </w:r>
          </w:p>
        </w:tc>
        <w:tc>
          <w:tcPr>
            <w:tcW w:w="2976" w:type="dxa"/>
            <w:vAlign w:val="center"/>
          </w:tcPr>
          <w:p w:rsidR="00325202" w:rsidRPr="00A45F1D" w:rsidRDefault="00325202" w:rsidP="006060FB">
            <w:pPr>
              <w:pStyle w:val="naisc"/>
              <w:spacing w:before="0" w:after="0"/>
              <w:jc w:val="both"/>
            </w:pPr>
            <w:r w:rsidRPr="00244F50">
              <w:rPr>
                <w:spacing w:val="-2"/>
                <w:sz w:val="22"/>
                <w:szCs w:val="22"/>
              </w:rPr>
              <w:t>Nav noteiktas stingrākas prasības</w:t>
            </w:r>
            <w:r w:rsidRPr="00244F50" w:rsidDel="000B0D5A">
              <w:rPr>
                <w:sz w:val="22"/>
                <w:szCs w:val="22"/>
              </w:rPr>
              <w:t xml:space="preserve"> </w:t>
            </w:r>
          </w:p>
        </w:tc>
      </w:tr>
      <w:tr w:rsidR="00325202" w:rsidRPr="00A45F1D" w:rsidTr="006060FB">
        <w:trPr>
          <w:trHeight w:val="284"/>
          <w:jc w:val="center"/>
        </w:trPr>
        <w:tc>
          <w:tcPr>
            <w:tcW w:w="1747" w:type="dxa"/>
            <w:vAlign w:val="center"/>
          </w:tcPr>
          <w:p w:rsidR="00325202" w:rsidRPr="00A45F1D" w:rsidRDefault="00325202" w:rsidP="006060FB">
            <w:pPr>
              <w:spacing w:after="0"/>
              <w:rPr>
                <w:rFonts w:ascii="Times New Roman" w:hAnsi="Times New Roman"/>
              </w:rPr>
            </w:pPr>
            <w:r w:rsidRPr="00A45F1D">
              <w:rPr>
                <w:rFonts w:ascii="Times New Roman" w:hAnsi="Times New Roman"/>
              </w:rPr>
              <w:t>3.panta 1.punkts</w:t>
            </w:r>
          </w:p>
        </w:tc>
        <w:tc>
          <w:tcPr>
            <w:tcW w:w="2790" w:type="dxa"/>
            <w:vAlign w:val="center"/>
          </w:tcPr>
          <w:p w:rsidR="00325202" w:rsidRPr="00A45F1D" w:rsidRDefault="00325202" w:rsidP="006060FB">
            <w:pPr>
              <w:spacing w:after="0"/>
              <w:rPr>
                <w:rFonts w:ascii="Times New Roman" w:hAnsi="Times New Roman"/>
              </w:rPr>
            </w:pPr>
            <w:r>
              <w:rPr>
                <w:rFonts w:ascii="Times New Roman" w:hAnsi="Times New Roman"/>
              </w:rPr>
              <w:t>T</w:t>
            </w:r>
            <w:r w:rsidRPr="00A45F1D">
              <w:rPr>
                <w:rFonts w:ascii="Times New Roman" w:hAnsi="Times New Roman"/>
              </w:rPr>
              <w:t>iek pārņemts, veicot grozījumus likumā „Par piesārņojumu”</w:t>
            </w:r>
          </w:p>
        </w:tc>
        <w:tc>
          <w:tcPr>
            <w:tcW w:w="2126" w:type="dxa"/>
            <w:vAlign w:val="center"/>
          </w:tcPr>
          <w:p w:rsidR="00325202" w:rsidRPr="00A45F1D" w:rsidRDefault="00325202" w:rsidP="006060FB">
            <w:pPr>
              <w:spacing w:after="0"/>
              <w:ind w:left="57"/>
              <w:rPr>
                <w:rFonts w:ascii="Times New Roman" w:hAnsi="Times New Roman"/>
              </w:rPr>
            </w:pPr>
            <w:r>
              <w:rPr>
                <w:rFonts w:ascii="Times New Roman" w:hAnsi="Times New Roman"/>
              </w:rPr>
              <w:t>P</w:t>
            </w:r>
            <w:r w:rsidRPr="00F122F9">
              <w:rPr>
                <w:rFonts w:ascii="Times New Roman" w:hAnsi="Times New Roman"/>
              </w:rPr>
              <w:t>ārņemts pilnībā</w:t>
            </w:r>
          </w:p>
        </w:tc>
        <w:tc>
          <w:tcPr>
            <w:tcW w:w="2976" w:type="dxa"/>
            <w:vAlign w:val="center"/>
          </w:tcPr>
          <w:p w:rsidR="00325202" w:rsidRPr="00A45F1D" w:rsidRDefault="00325202" w:rsidP="006060FB">
            <w:pPr>
              <w:pStyle w:val="naisc"/>
              <w:spacing w:before="0" w:after="0"/>
              <w:jc w:val="both"/>
            </w:pPr>
            <w:r w:rsidRPr="00244F50">
              <w:rPr>
                <w:spacing w:val="-2"/>
                <w:sz w:val="22"/>
                <w:szCs w:val="22"/>
              </w:rPr>
              <w:t>Nav noteiktas stingrākas prasības</w:t>
            </w:r>
            <w:r w:rsidRPr="00244F50" w:rsidDel="000B0D5A">
              <w:rPr>
                <w:sz w:val="22"/>
                <w:szCs w:val="22"/>
              </w:rPr>
              <w:t xml:space="preserve"> </w:t>
            </w:r>
          </w:p>
        </w:tc>
      </w:tr>
      <w:tr w:rsidR="000265BB" w:rsidRPr="00A45F1D" w:rsidTr="006060FB">
        <w:trPr>
          <w:trHeight w:val="284"/>
          <w:jc w:val="center"/>
        </w:trPr>
        <w:tc>
          <w:tcPr>
            <w:tcW w:w="1747" w:type="dxa"/>
            <w:vAlign w:val="center"/>
          </w:tcPr>
          <w:p w:rsidR="000265BB" w:rsidRPr="00A45F1D" w:rsidRDefault="000265BB" w:rsidP="006060FB">
            <w:pPr>
              <w:spacing w:after="0"/>
              <w:rPr>
                <w:rFonts w:ascii="Times New Roman" w:hAnsi="Times New Roman"/>
              </w:rPr>
            </w:pPr>
            <w:r w:rsidRPr="00A45F1D">
              <w:rPr>
                <w:rFonts w:ascii="Times New Roman" w:hAnsi="Times New Roman"/>
              </w:rPr>
              <w:t>3.panta 2.punkta 1.rindkopa</w:t>
            </w:r>
          </w:p>
        </w:tc>
        <w:tc>
          <w:tcPr>
            <w:tcW w:w="2790" w:type="dxa"/>
            <w:vAlign w:val="center"/>
          </w:tcPr>
          <w:p w:rsidR="000265BB" w:rsidRPr="00A45F1D" w:rsidRDefault="00532A19" w:rsidP="006060FB">
            <w:pPr>
              <w:spacing w:after="0"/>
              <w:rPr>
                <w:rFonts w:ascii="Times New Roman" w:hAnsi="Times New Roman"/>
              </w:rPr>
            </w:pPr>
            <w:r>
              <w:rPr>
                <w:rFonts w:ascii="Times New Roman" w:hAnsi="Times New Roman"/>
              </w:rPr>
              <w:t>N</w:t>
            </w:r>
            <w:r w:rsidR="000265BB" w:rsidRPr="00A45F1D">
              <w:rPr>
                <w:rFonts w:ascii="Times New Roman" w:hAnsi="Times New Roman"/>
              </w:rPr>
              <w:t>eattiecas uz Latviju, jo Latvijas siltumnīcefekta gāzu emisiju ierobežojums ir pozitīvs</w:t>
            </w:r>
          </w:p>
        </w:tc>
        <w:tc>
          <w:tcPr>
            <w:tcW w:w="2126" w:type="dxa"/>
            <w:vAlign w:val="center"/>
          </w:tcPr>
          <w:p w:rsidR="000265BB" w:rsidRPr="00A45F1D" w:rsidRDefault="000265BB" w:rsidP="006060FB">
            <w:pPr>
              <w:spacing w:after="0"/>
              <w:ind w:left="57"/>
              <w:rPr>
                <w:rFonts w:ascii="Times New Roman" w:hAnsi="Times New Roman"/>
              </w:rPr>
            </w:pPr>
          </w:p>
        </w:tc>
        <w:tc>
          <w:tcPr>
            <w:tcW w:w="2976" w:type="dxa"/>
            <w:vAlign w:val="center"/>
          </w:tcPr>
          <w:p w:rsidR="000265BB" w:rsidRPr="00A45F1D" w:rsidRDefault="000265BB" w:rsidP="006060FB">
            <w:pPr>
              <w:pStyle w:val="naisc"/>
              <w:spacing w:before="0" w:after="0"/>
              <w:jc w:val="both"/>
              <w:rPr>
                <w:sz w:val="22"/>
                <w:szCs w:val="22"/>
              </w:rPr>
            </w:pPr>
          </w:p>
        </w:tc>
      </w:tr>
      <w:tr w:rsidR="00325202" w:rsidRPr="00F122F9" w:rsidTr="006060FB">
        <w:trPr>
          <w:trHeight w:val="284"/>
          <w:jc w:val="center"/>
        </w:trPr>
        <w:tc>
          <w:tcPr>
            <w:tcW w:w="1747" w:type="dxa"/>
            <w:vAlign w:val="center"/>
          </w:tcPr>
          <w:p w:rsidR="00325202" w:rsidRPr="00A45F1D" w:rsidRDefault="00325202" w:rsidP="006060FB">
            <w:pPr>
              <w:spacing w:after="0"/>
              <w:rPr>
                <w:rFonts w:ascii="Times New Roman" w:hAnsi="Times New Roman"/>
              </w:rPr>
            </w:pPr>
            <w:r w:rsidRPr="00A45F1D">
              <w:rPr>
                <w:rFonts w:ascii="Times New Roman" w:hAnsi="Times New Roman"/>
              </w:rPr>
              <w:lastRenderedPageBreak/>
              <w:t>3.panta 2.punkta 2. un 3.rindkopa</w:t>
            </w:r>
          </w:p>
        </w:tc>
        <w:tc>
          <w:tcPr>
            <w:tcW w:w="2790" w:type="dxa"/>
            <w:vAlign w:val="center"/>
          </w:tcPr>
          <w:p w:rsidR="00325202" w:rsidRPr="00A45F1D" w:rsidRDefault="00325202" w:rsidP="006060FB">
            <w:pPr>
              <w:spacing w:after="0"/>
              <w:rPr>
                <w:rFonts w:ascii="Times New Roman" w:hAnsi="Times New Roman"/>
              </w:rPr>
            </w:pPr>
            <w:r>
              <w:rPr>
                <w:rFonts w:ascii="Times New Roman" w:hAnsi="Times New Roman"/>
              </w:rPr>
              <w:t>T</w:t>
            </w:r>
            <w:r w:rsidRPr="00A45F1D">
              <w:rPr>
                <w:rFonts w:ascii="Times New Roman" w:hAnsi="Times New Roman"/>
              </w:rPr>
              <w:t>iek pārņemts, veicot grozījumus likumā „Par piesārņojumu”</w:t>
            </w:r>
          </w:p>
        </w:tc>
        <w:tc>
          <w:tcPr>
            <w:tcW w:w="2126" w:type="dxa"/>
            <w:vAlign w:val="center"/>
          </w:tcPr>
          <w:p w:rsidR="00325202" w:rsidRPr="00A45F1D" w:rsidRDefault="00325202" w:rsidP="006060FB">
            <w:pPr>
              <w:spacing w:after="0"/>
              <w:ind w:left="57"/>
              <w:rPr>
                <w:rFonts w:ascii="Times New Roman" w:hAnsi="Times New Roman"/>
              </w:rPr>
            </w:pPr>
            <w:r>
              <w:rPr>
                <w:rFonts w:ascii="Times New Roman" w:hAnsi="Times New Roman"/>
              </w:rPr>
              <w:t>P</w:t>
            </w:r>
            <w:r w:rsidRPr="00F122F9">
              <w:rPr>
                <w:rFonts w:ascii="Times New Roman" w:hAnsi="Times New Roman"/>
              </w:rPr>
              <w:t>ārņemts pilnībā</w:t>
            </w:r>
          </w:p>
        </w:tc>
        <w:tc>
          <w:tcPr>
            <w:tcW w:w="2976" w:type="dxa"/>
            <w:vAlign w:val="center"/>
          </w:tcPr>
          <w:p w:rsidR="00325202" w:rsidRPr="00F122F9" w:rsidRDefault="00325202" w:rsidP="006060FB">
            <w:pPr>
              <w:pStyle w:val="naisc"/>
              <w:spacing w:before="0" w:after="0"/>
              <w:jc w:val="both"/>
            </w:pPr>
            <w:r w:rsidRPr="00244F50">
              <w:rPr>
                <w:spacing w:val="-2"/>
                <w:sz w:val="22"/>
                <w:szCs w:val="22"/>
              </w:rPr>
              <w:t>Nav noteiktas stingrākas prasības</w:t>
            </w:r>
            <w:r w:rsidRPr="00244F50" w:rsidDel="000B0D5A">
              <w:rPr>
                <w:sz w:val="22"/>
                <w:szCs w:val="22"/>
              </w:rPr>
              <w:t xml:space="preserve"> </w:t>
            </w:r>
          </w:p>
        </w:tc>
      </w:tr>
      <w:tr w:rsidR="00080AB3" w:rsidRPr="005D1B10" w:rsidTr="006060FB">
        <w:trPr>
          <w:trHeight w:val="284"/>
          <w:jc w:val="center"/>
        </w:trPr>
        <w:tc>
          <w:tcPr>
            <w:tcW w:w="1747" w:type="dxa"/>
            <w:vAlign w:val="center"/>
          </w:tcPr>
          <w:p w:rsidR="00080AB3" w:rsidRPr="005D1B10" w:rsidRDefault="00080AB3" w:rsidP="006060FB">
            <w:pPr>
              <w:spacing w:after="0"/>
              <w:rPr>
                <w:rFonts w:ascii="Times New Roman" w:hAnsi="Times New Roman"/>
              </w:rPr>
            </w:pPr>
            <w:r w:rsidRPr="005D1B10">
              <w:rPr>
                <w:rFonts w:ascii="Times New Roman" w:hAnsi="Times New Roman"/>
              </w:rPr>
              <w:t>3.panta 2.punkta 4. un 5.rindkopa</w:t>
            </w:r>
          </w:p>
        </w:tc>
        <w:tc>
          <w:tcPr>
            <w:tcW w:w="2790" w:type="dxa"/>
            <w:vAlign w:val="center"/>
          </w:tcPr>
          <w:p w:rsidR="00080AB3" w:rsidRPr="005D1B10" w:rsidRDefault="00532A19" w:rsidP="006060FB">
            <w:pPr>
              <w:spacing w:after="0"/>
              <w:rPr>
                <w:rFonts w:ascii="Times New Roman" w:hAnsi="Times New Roman"/>
              </w:rPr>
            </w:pPr>
            <w:r>
              <w:rPr>
                <w:rFonts w:ascii="Times New Roman" w:hAnsi="Times New Roman"/>
              </w:rPr>
              <w:t>A</w:t>
            </w:r>
            <w:r w:rsidR="00080AB3" w:rsidRPr="005D1B10">
              <w:rPr>
                <w:rFonts w:ascii="Times New Roman" w:hAnsi="Times New Roman"/>
              </w:rPr>
              <w:t>ttiecas uz Eiropas Komisij</w:t>
            </w:r>
            <w:r>
              <w:rPr>
                <w:rFonts w:ascii="Times New Roman" w:hAnsi="Times New Roman"/>
              </w:rPr>
              <w:t>as pilnvarām</w:t>
            </w:r>
          </w:p>
        </w:tc>
        <w:tc>
          <w:tcPr>
            <w:tcW w:w="2126" w:type="dxa"/>
            <w:vAlign w:val="center"/>
          </w:tcPr>
          <w:p w:rsidR="00080AB3" w:rsidRPr="005D1B10" w:rsidRDefault="00080AB3" w:rsidP="006060FB">
            <w:pPr>
              <w:spacing w:after="0"/>
              <w:ind w:left="57"/>
              <w:rPr>
                <w:rFonts w:ascii="Times New Roman" w:hAnsi="Times New Roman"/>
              </w:rPr>
            </w:pPr>
          </w:p>
        </w:tc>
        <w:tc>
          <w:tcPr>
            <w:tcW w:w="2976" w:type="dxa"/>
            <w:vAlign w:val="center"/>
          </w:tcPr>
          <w:p w:rsidR="00080AB3" w:rsidRPr="005D1B10" w:rsidRDefault="00080AB3" w:rsidP="006060FB">
            <w:pPr>
              <w:pStyle w:val="naisc"/>
              <w:spacing w:before="0" w:after="0"/>
              <w:jc w:val="both"/>
              <w:rPr>
                <w:sz w:val="22"/>
                <w:szCs w:val="22"/>
              </w:rPr>
            </w:pPr>
          </w:p>
        </w:tc>
      </w:tr>
      <w:tr w:rsidR="000834E4" w:rsidRPr="005D1B10" w:rsidTr="006060FB">
        <w:trPr>
          <w:trHeight w:val="284"/>
          <w:jc w:val="center"/>
        </w:trPr>
        <w:tc>
          <w:tcPr>
            <w:tcW w:w="1747" w:type="dxa"/>
            <w:vAlign w:val="center"/>
          </w:tcPr>
          <w:p w:rsidR="000834E4" w:rsidRPr="005D1B10" w:rsidRDefault="000834E4" w:rsidP="006060FB">
            <w:pPr>
              <w:spacing w:after="0"/>
              <w:rPr>
                <w:rFonts w:ascii="Times New Roman" w:hAnsi="Times New Roman"/>
              </w:rPr>
            </w:pPr>
            <w:r w:rsidRPr="005D1B10">
              <w:rPr>
                <w:rFonts w:ascii="Times New Roman" w:hAnsi="Times New Roman"/>
              </w:rPr>
              <w:t>3.panta 3.punkta 1.teikums</w:t>
            </w:r>
          </w:p>
        </w:tc>
        <w:tc>
          <w:tcPr>
            <w:tcW w:w="2790" w:type="dxa"/>
            <w:vAlign w:val="center"/>
          </w:tcPr>
          <w:p w:rsidR="000834E4" w:rsidRPr="005D1B10" w:rsidRDefault="00532A19" w:rsidP="006060FB">
            <w:pPr>
              <w:spacing w:after="0"/>
              <w:rPr>
                <w:rFonts w:ascii="Times New Roman" w:hAnsi="Times New Roman"/>
              </w:rPr>
            </w:pPr>
            <w:r>
              <w:rPr>
                <w:rFonts w:ascii="Times New Roman" w:hAnsi="Times New Roman"/>
              </w:rPr>
              <w:t>N</w:t>
            </w:r>
            <w:r w:rsidR="000834E4" w:rsidRPr="005D1B10">
              <w:rPr>
                <w:rFonts w:ascii="Times New Roman" w:hAnsi="Times New Roman"/>
              </w:rPr>
              <w:t xml:space="preserve">oteikumu projekta 5.punktā izteiktais noteikumu Nr.250 </w:t>
            </w:r>
            <w:r w:rsidR="00100122" w:rsidRPr="005D1B10">
              <w:rPr>
                <w:rFonts w:ascii="Times New Roman" w:hAnsi="Times New Roman"/>
              </w:rPr>
              <w:t>73.</w:t>
            </w:r>
            <w:r w:rsidR="00100122" w:rsidRPr="005D1B10">
              <w:rPr>
                <w:rFonts w:ascii="Times New Roman" w:hAnsi="Times New Roman"/>
                <w:vertAlign w:val="superscript"/>
              </w:rPr>
              <w:t>3</w:t>
            </w:r>
            <w:r w:rsidR="00100122" w:rsidRPr="005D1B10">
              <w:rPr>
                <w:rFonts w:ascii="Times New Roman" w:hAnsi="Times New Roman"/>
              </w:rPr>
              <w:t>1</w:t>
            </w:r>
            <w:r w:rsidR="000834E4" w:rsidRPr="005D1B10">
              <w:rPr>
                <w:rFonts w:ascii="Times New Roman" w:hAnsi="Times New Roman"/>
              </w:rPr>
              <w:t>.apakšpunkts;</w:t>
            </w:r>
          </w:p>
          <w:p w:rsidR="000834E4" w:rsidRPr="005D1B10" w:rsidRDefault="000834E4" w:rsidP="006060FB">
            <w:pPr>
              <w:spacing w:after="0"/>
              <w:rPr>
                <w:rFonts w:ascii="Times New Roman" w:hAnsi="Times New Roman"/>
              </w:rPr>
            </w:pPr>
            <w:r w:rsidRPr="005D1B10">
              <w:rPr>
                <w:rFonts w:ascii="Times New Roman" w:hAnsi="Times New Roman"/>
              </w:rPr>
              <w:t>Eiropas Komisijas regulas Nr.389/2013 82.pants</w:t>
            </w:r>
          </w:p>
        </w:tc>
        <w:tc>
          <w:tcPr>
            <w:tcW w:w="2126" w:type="dxa"/>
            <w:vAlign w:val="center"/>
          </w:tcPr>
          <w:p w:rsidR="000834E4" w:rsidRPr="005D1B10" w:rsidRDefault="00532A19" w:rsidP="006060FB">
            <w:pPr>
              <w:spacing w:after="0"/>
              <w:ind w:left="57"/>
              <w:rPr>
                <w:rFonts w:ascii="Times New Roman" w:hAnsi="Times New Roman"/>
              </w:rPr>
            </w:pPr>
            <w:r>
              <w:rPr>
                <w:rFonts w:ascii="Times New Roman" w:hAnsi="Times New Roman"/>
              </w:rPr>
              <w:t>P</w:t>
            </w:r>
            <w:r w:rsidR="000834E4" w:rsidRPr="005D1B10">
              <w:rPr>
                <w:rFonts w:ascii="Times New Roman" w:hAnsi="Times New Roman"/>
              </w:rPr>
              <w:t>ārņemts pilnībā</w:t>
            </w:r>
          </w:p>
        </w:tc>
        <w:tc>
          <w:tcPr>
            <w:tcW w:w="2976" w:type="dxa"/>
            <w:vAlign w:val="center"/>
          </w:tcPr>
          <w:p w:rsidR="000834E4" w:rsidRPr="005D1B10" w:rsidRDefault="005279F8" w:rsidP="006060FB">
            <w:pPr>
              <w:pStyle w:val="naisc"/>
              <w:spacing w:before="0" w:after="0"/>
              <w:jc w:val="both"/>
              <w:rPr>
                <w:sz w:val="22"/>
                <w:szCs w:val="22"/>
              </w:rPr>
            </w:pPr>
            <w:r w:rsidRPr="005D1B10">
              <w:rPr>
                <w:spacing w:val="-2"/>
                <w:sz w:val="22"/>
                <w:szCs w:val="22"/>
              </w:rPr>
              <w:t>Nav noteiktas stingrākas prasības</w:t>
            </w:r>
          </w:p>
        </w:tc>
      </w:tr>
      <w:tr w:rsidR="000834E4" w:rsidRPr="005D1B10" w:rsidTr="006060FB">
        <w:trPr>
          <w:trHeight w:val="284"/>
          <w:jc w:val="center"/>
        </w:trPr>
        <w:tc>
          <w:tcPr>
            <w:tcW w:w="1747" w:type="dxa"/>
            <w:vAlign w:val="center"/>
          </w:tcPr>
          <w:p w:rsidR="000834E4" w:rsidRPr="005D1B10" w:rsidRDefault="000834E4" w:rsidP="006060FB">
            <w:pPr>
              <w:spacing w:after="0"/>
              <w:rPr>
                <w:rFonts w:ascii="Times New Roman" w:hAnsi="Times New Roman"/>
              </w:rPr>
            </w:pPr>
            <w:r w:rsidRPr="005D1B10">
              <w:rPr>
                <w:rFonts w:ascii="Times New Roman" w:hAnsi="Times New Roman"/>
              </w:rPr>
              <w:t>3.panta 3.punkta 2.rindkopa</w:t>
            </w:r>
          </w:p>
        </w:tc>
        <w:tc>
          <w:tcPr>
            <w:tcW w:w="2790" w:type="dxa"/>
            <w:vAlign w:val="center"/>
          </w:tcPr>
          <w:p w:rsidR="000834E4" w:rsidRPr="005D1B10" w:rsidRDefault="000834E4" w:rsidP="006060FB">
            <w:pPr>
              <w:spacing w:after="0"/>
              <w:rPr>
                <w:rFonts w:ascii="Times New Roman" w:hAnsi="Times New Roman"/>
              </w:rPr>
            </w:pPr>
            <w:r w:rsidRPr="005D1B10">
              <w:rPr>
                <w:rFonts w:ascii="Times New Roman" w:hAnsi="Times New Roman"/>
              </w:rPr>
              <w:t>Neattiecas uz Latviju.</w:t>
            </w:r>
          </w:p>
          <w:p w:rsidR="000834E4" w:rsidRPr="005D1B10" w:rsidRDefault="000834E4" w:rsidP="006060FB">
            <w:pPr>
              <w:spacing w:after="0"/>
              <w:rPr>
                <w:rFonts w:ascii="Times New Roman" w:hAnsi="Times New Roman"/>
              </w:rPr>
            </w:pPr>
            <w:r w:rsidRPr="005D1B10">
              <w:rPr>
                <w:rFonts w:ascii="Times New Roman" w:hAnsi="Times New Roman"/>
              </w:rPr>
              <w:t>Eiropas Komisijas regulas Nr.389/2013 83.pants</w:t>
            </w:r>
          </w:p>
        </w:tc>
        <w:tc>
          <w:tcPr>
            <w:tcW w:w="2126" w:type="dxa"/>
            <w:vAlign w:val="center"/>
          </w:tcPr>
          <w:p w:rsidR="000834E4" w:rsidRPr="005D1B10" w:rsidRDefault="000834E4" w:rsidP="006060FB">
            <w:pPr>
              <w:spacing w:after="0"/>
              <w:ind w:left="57"/>
              <w:rPr>
                <w:rFonts w:ascii="Times New Roman" w:hAnsi="Times New Roman"/>
              </w:rPr>
            </w:pPr>
          </w:p>
        </w:tc>
        <w:tc>
          <w:tcPr>
            <w:tcW w:w="2976" w:type="dxa"/>
            <w:vAlign w:val="center"/>
          </w:tcPr>
          <w:p w:rsidR="000834E4" w:rsidRPr="005D1B10" w:rsidRDefault="000834E4" w:rsidP="006060FB">
            <w:pPr>
              <w:pStyle w:val="naisc"/>
              <w:spacing w:before="0" w:after="0"/>
              <w:jc w:val="both"/>
              <w:rPr>
                <w:sz w:val="22"/>
                <w:szCs w:val="22"/>
              </w:rPr>
            </w:pPr>
          </w:p>
        </w:tc>
      </w:tr>
      <w:tr w:rsidR="005279F8" w:rsidRPr="005D1B10" w:rsidTr="006060FB">
        <w:trPr>
          <w:trHeight w:val="284"/>
          <w:jc w:val="center"/>
        </w:trPr>
        <w:tc>
          <w:tcPr>
            <w:tcW w:w="1747" w:type="dxa"/>
            <w:vAlign w:val="center"/>
          </w:tcPr>
          <w:p w:rsidR="005279F8" w:rsidRPr="005D1B10" w:rsidRDefault="005279F8" w:rsidP="006060FB">
            <w:pPr>
              <w:spacing w:after="0"/>
              <w:rPr>
                <w:rFonts w:ascii="Times New Roman" w:hAnsi="Times New Roman"/>
              </w:rPr>
            </w:pPr>
            <w:r w:rsidRPr="005D1B10">
              <w:rPr>
                <w:rFonts w:ascii="Times New Roman" w:hAnsi="Times New Roman"/>
              </w:rPr>
              <w:t>3.panta 4.punkts</w:t>
            </w:r>
          </w:p>
        </w:tc>
        <w:tc>
          <w:tcPr>
            <w:tcW w:w="2790" w:type="dxa"/>
            <w:vAlign w:val="center"/>
          </w:tcPr>
          <w:p w:rsidR="005279F8" w:rsidRPr="005D1B10" w:rsidRDefault="00532A19" w:rsidP="006060FB">
            <w:pPr>
              <w:spacing w:after="0"/>
              <w:rPr>
                <w:rFonts w:ascii="Times New Roman" w:hAnsi="Times New Roman"/>
              </w:rPr>
            </w:pPr>
            <w:r>
              <w:rPr>
                <w:rFonts w:ascii="Times New Roman" w:hAnsi="Times New Roman"/>
              </w:rPr>
              <w:t>M</w:t>
            </w:r>
            <w:r w:rsidR="005279F8" w:rsidRPr="005D1B10">
              <w:rPr>
                <w:rFonts w:ascii="Times New Roman" w:hAnsi="Times New Roman"/>
              </w:rPr>
              <w:t xml:space="preserve">oteikumu projekta 5.punktā izteiktais noteikumu Nr.250 </w:t>
            </w:r>
            <w:r w:rsidR="005D1B10" w:rsidRPr="005D1B10">
              <w:rPr>
                <w:rFonts w:ascii="Times New Roman" w:hAnsi="Times New Roman"/>
              </w:rPr>
              <w:t>73.</w:t>
            </w:r>
            <w:r w:rsidR="005D1B10" w:rsidRPr="005D1B10">
              <w:rPr>
                <w:rFonts w:ascii="Times New Roman" w:hAnsi="Times New Roman"/>
                <w:vertAlign w:val="superscript"/>
              </w:rPr>
              <w:t>2</w:t>
            </w:r>
            <w:r w:rsidR="005D1B10" w:rsidRPr="005D1B10">
              <w:rPr>
                <w:rFonts w:ascii="Times New Roman" w:hAnsi="Times New Roman"/>
              </w:rPr>
              <w:t>3</w:t>
            </w:r>
            <w:r w:rsidR="005279F8" w:rsidRPr="005D1B10">
              <w:rPr>
                <w:rFonts w:ascii="Times New Roman" w:hAnsi="Times New Roman"/>
              </w:rPr>
              <w:t>.apakšpunkts;</w:t>
            </w:r>
          </w:p>
          <w:p w:rsidR="005279F8" w:rsidRPr="005D1B10" w:rsidRDefault="005279F8" w:rsidP="006060FB">
            <w:pPr>
              <w:spacing w:after="0"/>
              <w:rPr>
                <w:rFonts w:ascii="Times New Roman" w:hAnsi="Times New Roman"/>
              </w:rPr>
            </w:pPr>
            <w:r w:rsidRPr="005D1B10">
              <w:rPr>
                <w:rFonts w:ascii="Times New Roman" w:hAnsi="Times New Roman"/>
              </w:rPr>
              <w:t>Eiropas Komisijas regulas Nr.389/2013 85.pants</w:t>
            </w:r>
          </w:p>
        </w:tc>
        <w:tc>
          <w:tcPr>
            <w:tcW w:w="2126" w:type="dxa"/>
            <w:vAlign w:val="center"/>
          </w:tcPr>
          <w:p w:rsidR="005279F8" w:rsidRPr="005D1B10" w:rsidRDefault="00532A19" w:rsidP="006060FB">
            <w:pPr>
              <w:spacing w:after="0"/>
              <w:ind w:left="57"/>
              <w:rPr>
                <w:rFonts w:ascii="Times New Roman" w:hAnsi="Times New Roman"/>
              </w:rPr>
            </w:pPr>
            <w:r>
              <w:rPr>
                <w:rFonts w:ascii="Times New Roman" w:hAnsi="Times New Roman"/>
              </w:rPr>
              <w:t>P</w:t>
            </w:r>
            <w:r w:rsidR="005279F8" w:rsidRPr="005D1B10">
              <w:rPr>
                <w:rFonts w:ascii="Times New Roman" w:hAnsi="Times New Roman"/>
              </w:rPr>
              <w:t>ārņemts pilnībā</w:t>
            </w:r>
          </w:p>
        </w:tc>
        <w:tc>
          <w:tcPr>
            <w:tcW w:w="2976" w:type="dxa"/>
          </w:tcPr>
          <w:p w:rsidR="005279F8" w:rsidRPr="005D1B10" w:rsidRDefault="005279F8" w:rsidP="006060FB">
            <w:pPr>
              <w:pStyle w:val="naisc"/>
              <w:spacing w:before="0" w:after="0"/>
              <w:jc w:val="both"/>
              <w:rPr>
                <w:sz w:val="22"/>
                <w:szCs w:val="22"/>
              </w:rPr>
            </w:pPr>
            <w:r w:rsidRPr="005D1B10">
              <w:rPr>
                <w:spacing w:val="-2"/>
                <w:sz w:val="22"/>
                <w:szCs w:val="22"/>
              </w:rPr>
              <w:t>Nav noteiktas stingrākas prasības</w:t>
            </w:r>
            <w:r w:rsidRPr="005D1B10" w:rsidDel="007B685B">
              <w:rPr>
                <w:sz w:val="22"/>
                <w:szCs w:val="22"/>
              </w:rPr>
              <w:t xml:space="preserve"> </w:t>
            </w:r>
          </w:p>
        </w:tc>
      </w:tr>
      <w:tr w:rsidR="005279F8" w:rsidRPr="005D1B10" w:rsidTr="006060FB">
        <w:trPr>
          <w:trHeight w:val="284"/>
          <w:jc w:val="center"/>
        </w:trPr>
        <w:tc>
          <w:tcPr>
            <w:tcW w:w="1747" w:type="dxa"/>
            <w:vAlign w:val="center"/>
          </w:tcPr>
          <w:p w:rsidR="005279F8" w:rsidRPr="005D1B10" w:rsidRDefault="005279F8" w:rsidP="006060FB">
            <w:pPr>
              <w:spacing w:after="0"/>
              <w:rPr>
                <w:rFonts w:ascii="Times New Roman" w:hAnsi="Times New Roman"/>
              </w:rPr>
            </w:pPr>
            <w:r w:rsidRPr="005D1B10">
              <w:rPr>
                <w:rFonts w:ascii="Times New Roman" w:hAnsi="Times New Roman"/>
              </w:rPr>
              <w:t>3.panta 5.punkts</w:t>
            </w:r>
          </w:p>
        </w:tc>
        <w:tc>
          <w:tcPr>
            <w:tcW w:w="2790" w:type="dxa"/>
            <w:vAlign w:val="center"/>
          </w:tcPr>
          <w:p w:rsidR="005279F8" w:rsidRPr="005D1B10" w:rsidRDefault="00532A19" w:rsidP="006060FB">
            <w:pPr>
              <w:spacing w:after="0"/>
              <w:rPr>
                <w:rFonts w:ascii="Times New Roman" w:hAnsi="Times New Roman"/>
              </w:rPr>
            </w:pPr>
            <w:r>
              <w:rPr>
                <w:rFonts w:ascii="Times New Roman" w:hAnsi="Times New Roman"/>
              </w:rPr>
              <w:t>N</w:t>
            </w:r>
            <w:r w:rsidR="005279F8" w:rsidRPr="005D1B10">
              <w:rPr>
                <w:rFonts w:ascii="Times New Roman" w:hAnsi="Times New Roman"/>
              </w:rPr>
              <w:t xml:space="preserve">oteikumu projekta 5.punktā izteiktais noteikumu Nr.250 </w:t>
            </w:r>
            <w:r w:rsidR="005D1B10" w:rsidRPr="005D1B10">
              <w:rPr>
                <w:rFonts w:ascii="Times New Roman" w:hAnsi="Times New Roman"/>
              </w:rPr>
              <w:t>73.</w:t>
            </w:r>
            <w:r w:rsidR="005D1B10" w:rsidRPr="005D1B10">
              <w:rPr>
                <w:rFonts w:ascii="Times New Roman" w:hAnsi="Times New Roman"/>
                <w:vertAlign w:val="superscript"/>
              </w:rPr>
              <w:t>2</w:t>
            </w:r>
            <w:r w:rsidR="005D1B10" w:rsidRPr="005D1B10">
              <w:rPr>
                <w:rFonts w:ascii="Times New Roman" w:hAnsi="Times New Roman"/>
              </w:rPr>
              <w:t>4</w:t>
            </w:r>
            <w:r w:rsidR="005279F8" w:rsidRPr="005D1B10">
              <w:rPr>
                <w:rFonts w:ascii="Times New Roman" w:hAnsi="Times New Roman"/>
              </w:rPr>
              <w:t>.apakšpunkts;</w:t>
            </w:r>
          </w:p>
          <w:p w:rsidR="005279F8" w:rsidRPr="005D1B10" w:rsidRDefault="005279F8" w:rsidP="006060FB">
            <w:pPr>
              <w:spacing w:after="0"/>
              <w:rPr>
                <w:rFonts w:ascii="Times New Roman" w:hAnsi="Times New Roman"/>
              </w:rPr>
            </w:pPr>
            <w:r w:rsidRPr="005D1B10">
              <w:rPr>
                <w:rFonts w:ascii="Times New Roman" w:hAnsi="Times New Roman"/>
              </w:rPr>
              <w:t>Eiropas Komisijas regulas Nr.389/2013 86.pants</w:t>
            </w:r>
          </w:p>
        </w:tc>
        <w:tc>
          <w:tcPr>
            <w:tcW w:w="2126" w:type="dxa"/>
            <w:vAlign w:val="center"/>
          </w:tcPr>
          <w:p w:rsidR="005279F8" w:rsidRPr="005D1B10" w:rsidRDefault="00532A19" w:rsidP="006060FB">
            <w:pPr>
              <w:spacing w:after="0"/>
              <w:ind w:left="57"/>
              <w:rPr>
                <w:rFonts w:ascii="Times New Roman" w:hAnsi="Times New Roman"/>
              </w:rPr>
            </w:pPr>
            <w:r>
              <w:rPr>
                <w:rFonts w:ascii="Times New Roman" w:hAnsi="Times New Roman"/>
              </w:rPr>
              <w:t>P</w:t>
            </w:r>
            <w:r w:rsidR="005279F8" w:rsidRPr="005D1B10">
              <w:rPr>
                <w:rFonts w:ascii="Times New Roman" w:hAnsi="Times New Roman"/>
              </w:rPr>
              <w:t>ārņemts pilnībā</w:t>
            </w:r>
          </w:p>
        </w:tc>
        <w:tc>
          <w:tcPr>
            <w:tcW w:w="2976" w:type="dxa"/>
          </w:tcPr>
          <w:p w:rsidR="005279F8" w:rsidRPr="005D1B10" w:rsidRDefault="005279F8" w:rsidP="006060FB">
            <w:pPr>
              <w:pStyle w:val="naisc"/>
              <w:spacing w:before="0" w:after="0"/>
              <w:jc w:val="both"/>
              <w:rPr>
                <w:sz w:val="22"/>
                <w:szCs w:val="22"/>
              </w:rPr>
            </w:pPr>
            <w:r w:rsidRPr="005D1B10">
              <w:rPr>
                <w:spacing w:val="-2"/>
                <w:sz w:val="22"/>
                <w:szCs w:val="22"/>
              </w:rPr>
              <w:t>Nav noteiktas stingrākas prasības</w:t>
            </w:r>
            <w:r w:rsidRPr="005D1B10" w:rsidDel="007B685B">
              <w:rPr>
                <w:sz w:val="22"/>
                <w:szCs w:val="22"/>
              </w:rPr>
              <w:t xml:space="preserve"> </w:t>
            </w:r>
          </w:p>
        </w:tc>
      </w:tr>
      <w:tr w:rsidR="000834E4" w:rsidRPr="005D1B10" w:rsidTr="006060FB">
        <w:trPr>
          <w:trHeight w:val="284"/>
          <w:jc w:val="center"/>
        </w:trPr>
        <w:tc>
          <w:tcPr>
            <w:tcW w:w="1747" w:type="dxa"/>
            <w:vAlign w:val="center"/>
          </w:tcPr>
          <w:p w:rsidR="000834E4" w:rsidRPr="005D1B10" w:rsidRDefault="000834E4" w:rsidP="006060FB">
            <w:pPr>
              <w:spacing w:after="0"/>
              <w:rPr>
                <w:rFonts w:ascii="Times New Roman" w:hAnsi="Times New Roman"/>
              </w:rPr>
            </w:pPr>
            <w:r w:rsidRPr="005D1B10">
              <w:rPr>
                <w:rFonts w:ascii="Times New Roman" w:hAnsi="Times New Roman"/>
              </w:rPr>
              <w:t>3.panta 6.punkts</w:t>
            </w:r>
          </w:p>
        </w:tc>
        <w:tc>
          <w:tcPr>
            <w:tcW w:w="2790" w:type="dxa"/>
            <w:vAlign w:val="center"/>
          </w:tcPr>
          <w:p w:rsidR="000834E4" w:rsidRPr="005D1B10" w:rsidRDefault="00532A19" w:rsidP="006060FB">
            <w:pPr>
              <w:spacing w:after="0"/>
              <w:rPr>
                <w:rFonts w:ascii="Times New Roman" w:hAnsi="Times New Roman"/>
              </w:rPr>
            </w:pPr>
            <w:r>
              <w:rPr>
                <w:rFonts w:ascii="Times New Roman" w:hAnsi="Times New Roman"/>
              </w:rPr>
              <w:t>A</w:t>
            </w:r>
            <w:r w:rsidR="000834E4" w:rsidRPr="005D1B10">
              <w:rPr>
                <w:rFonts w:ascii="Times New Roman" w:hAnsi="Times New Roman"/>
              </w:rPr>
              <w:t>ttiecas uz Eiropas Komisij</w:t>
            </w:r>
            <w:r>
              <w:rPr>
                <w:rFonts w:ascii="Times New Roman" w:hAnsi="Times New Roman"/>
              </w:rPr>
              <w:t>as pilnvarām</w:t>
            </w:r>
          </w:p>
        </w:tc>
        <w:tc>
          <w:tcPr>
            <w:tcW w:w="2126" w:type="dxa"/>
            <w:vAlign w:val="center"/>
          </w:tcPr>
          <w:p w:rsidR="000834E4" w:rsidRPr="005D1B10" w:rsidRDefault="000834E4" w:rsidP="006060FB">
            <w:pPr>
              <w:spacing w:after="0"/>
              <w:ind w:left="57"/>
              <w:rPr>
                <w:rFonts w:ascii="Times New Roman" w:hAnsi="Times New Roman"/>
              </w:rPr>
            </w:pPr>
          </w:p>
        </w:tc>
        <w:tc>
          <w:tcPr>
            <w:tcW w:w="2976" w:type="dxa"/>
            <w:vAlign w:val="center"/>
          </w:tcPr>
          <w:p w:rsidR="000834E4" w:rsidRPr="005D1B10" w:rsidRDefault="000834E4" w:rsidP="006060FB">
            <w:pPr>
              <w:pStyle w:val="naisc"/>
              <w:spacing w:before="0" w:after="0"/>
              <w:jc w:val="both"/>
              <w:rPr>
                <w:sz w:val="22"/>
                <w:szCs w:val="22"/>
              </w:rPr>
            </w:pPr>
          </w:p>
        </w:tc>
      </w:tr>
      <w:tr w:rsidR="000834E4" w:rsidRPr="005D1B10" w:rsidTr="006060FB">
        <w:trPr>
          <w:trHeight w:val="284"/>
          <w:jc w:val="center"/>
        </w:trPr>
        <w:tc>
          <w:tcPr>
            <w:tcW w:w="1747" w:type="dxa"/>
            <w:vAlign w:val="center"/>
          </w:tcPr>
          <w:p w:rsidR="000834E4" w:rsidRPr="005D1B10" w:rsidRDefault="000834E4" w:rsidP="006060FB">
            <w:pPr>
              <w:spacing w:after="0"/>
              <w:rPr>
                <w:rFonts w:ascii="Times New Roman" w:hAnsi="Times New Roman"/>
              </w:rPr>
            </w:pPr>
            <w:r w:rsidRPr="005D1B10">
              <w:rPr>
                <w:rFonts w:ascii="Times New Roman" w:hAnsi="Times New Roman"/>
              </w:rPr>
              <w:t xml:space="preserve">4.pants </w:t>
            </w:r>
          </w:p>
        </w:tc>
        <w:tc>
          <w:tcPr>
            <w:tcW w:w="2790" w:type="dxa"/>
            <w:vAlign w:val="center"/>
          </w:tcPr>
          <w:p w:rsidR="000834E4" w:rsidRPr="005D1B10" w:rsidRDefault="00532A19" w:rsidP="006060FB">
            <w:pPr>
              <w:spacing w:after="0"/>
              <w:rPr>
                <w:rFonts w:ascii="Times New Roman" w:hAnsi="Times New Roman"/>
              </w:rPr>
            </w:pPr>
            <w:r>
              <w:rPr>
                <w:rFonts w:ascii="Times New Roman" w:hAnsi="Times New Roman"/>
              </w:rPr>
              <w:t>A</w:t>
            </w:r>
            <w:r w:rsidR="000834E4" w:rsidRPr="005D1B10">
              <w:rPr>
                <w:rFonts w:ascii="Times New Roman" w:hAnsi="Times New Roman"/>
              </w:rPr>
              <w:t>ttiecas uz Eiropas Komisij</w:t>
            </w:r>
            <w:r>
              <w:rPr>
                <w:rFonts w:ascii="Times New Roman" w:hAnsi="Times New Roman"/>
              </w:rPr>
              <w:t>as pilnvarām</w:t>
            </w:r>
          </w:p>
        </w:tc>
        <w:tc>
          <w:tcPr>
            <w:tcW w:w="2126" w:type="dxa"/>
            <w:vAlign w:val="center"/>
          </w:tcPr>
          <w:p w:rsidR="000834E4" w:rsidRPr="005D1B10" w:rsidRDefault="000834E4" w:rsidP="006060FB">
            <w:pPr>
              <w:spacing w:after="0"/>
              <w:ind w:left="57"/>
              <w:rPr>
                <w:rFonts w:ascii="Times New Roman" w:hAnsi="Times New Roman"/>
              </w:rPr>
            </w:pPr>
          </w:p>
        </w:tc>
        <w:tc>
          <w:tcPr>
            <w:tcW w:w="2976" w:type="dxa"/>
            <w:vAlign w:val="center"/>
          </w:tcPr>
          <w:p w:rsidR="000834E4" w:rsidRPr="005D1B10" w:rsidRDefault="000834E4" w:rsidP="006060FB">
            <w:pPr>
              <w:pStyle w:val="naisc"/>
              <w:spacing w:before="0" w:after="0"/>
              <w:jc w:val="both"/>
              <w:rPr>
                <w:sz w:val="22"/>
                <w:szCs w:val="22"/>
              </w:rPr>
            </w:pPr>
          </w:p>
        </w:tc>
      </w:tr>
      <w:tr w:rsidR="005279F8" w:rsidRPr="005D1B10" w:rsidTr="006060FB">
        <w:trPr>
          <w:trHeight w:val="284"/>
          <w:jc w:val="center"/>
        </w:trPr>
        <w:tc>
          <w:tcPr>
            <w:tcW w:w="1747" w:type="dxa"/>
            <w:vAlign w:val="center"/>
          </w:tcPr>
          <w:p w:rsidR="005279F8" w:rsidRPr="005D1B10" w:rsidRDefault="005279F8" w:rsidP="006060FB">
            <w:pPr>
              <w:spacing w:after="0"/>
              <w:rPr>
                <w:rFonts w:ascii="Times New Roman" w:hAnsi="Times New Roman"/>
              </w:rPr>
            </w:pPr>
            <w:r w:rsidRPr="005D1B10">
              <w:rPr>
                <w:rFonts w:ascii="Times New Roman" w:hAnsi="Times New Roman"/>
              </w:rPr>
              <w:t>5.panta 1.punkta „a” apakšpunkts</w:t>
            </w:r>
          </w:p>
        </w:tc>
        <w:tc>
          <w:tcPr>
            <w:tcW w:w="2790" w:type="dxa"/>
            <w:vAlign w:val="center"/>
          </w:tcPr>
          <w:p w:rsidR="005279F8" w:rsidRPr="005D1B10" w:rsidRDefault="00532A19" w:rsidP="006060FB">
            <w:pPr>
              <w:spacing w:after="0"/>
              <w:rPr>
                <w:rFonts w:ascii="Times New Roman" w:hAnsi="Times New Roman"/>
              </w:rPr>
            </w:pPr>
            <w:r>
              <w:rPr>
                <w:rFonts w:ascii="Times New Roman" w:hAnsi="Times New Roman"/>
              </w:rPr>
              <w:t>N</w:t>
            </w:r>
            <w:r w:rsidR="005279F8" w:rsidRPr="005D1B10">
              <w:rPr>
                <w:rFonts w:ascii="Times New Roman" w:hAnsi="Times New Roman"/>
              </w:rPr>
              <w:t xml:space="preserve">oteikumu projekta 5.punktā izteiktais noteikumu Nr.250 </w:t>
            </w:r>
            <w:r w:rsidR="005D1B10" w:rsidRPr="005D1B10">
              <w:rPr>
                <w:rFonts w:ascii="Times New Roman" w:hAnsi="Times New Roman"/>
              </w:rPr>
              <w:t>73.</w:t>
            </w:r>
            <w:r w:rsidR="005D1B10" w:rsidRPr="005D1B10">
              <w:rPr>
                <w:rFonts w:ascii="Times New Roman" w:hAnsi="Times New Roman"/>
                <w:vertAlign w:val="superscript"/>
              </w:rPr>
              <w:t>5</w:t>
            </w:r>
            <w:r w:rsidR="005D1B10" w:rsidRPr="005D1B10">
              <w:rPr>
                <w:rFonts w:ascii="Times New Roman" w:hAnsi="Times New Roman"/>
              </w:rPr>
              <w:t>1</w:t>
            </w:r>
            <w:r w:rsidR="005279F8" w:rsidRPr="005D1B10">
              <w:rPr>
                <w:rFonts w:ascii="Times New Roman" w:hAnsi="Times New Roman"/>
              </w:rPr>
              <w:t>.apakšpunkts;</w:t>
            </w:r>
          </w:p>
        </w:tc>
        <w:tc>
          <w:tcPr>
            <w:tcW w:w="2126" w:type="dxa"/>
            <w:vAlign w:val="center"/>
          </w:tcPr>
          <w:p w:rsidR="005279F8" w:rsidRPr="005D1B10" w:rsidRDefault="00532A19" w:rsidP="006060FB">
            <w:pPr>
              <w:spacing w:after="0"/>
              <w:ind w:left="57"/>
              <w:rPr>
                <w:rFonts w:ascii="Times New Roman" w:hAnsi="Times New Roman"/>
              </w:rPr>
            </w:pPr>
            <w:r>
              <w:rPr>
                <w:rFonts w:ascii="Times New Roman" w:hAnsi="Times New Roman"/>
              </w:rPr>
              <w:t>P</w:t>
            </w:r>
            <w:r w:rsidR="005279F8" w:rsidRPr="005D1B10">
              <w:rPr>
                <w:rFonts w:ascii="Times New Roman" w:hAnsi="Times New Roman"/>
              </w:rPr>
              <w:t>ārņemts pilnībā</w:t>
            </w:r>
          </w:p>
        </w:tc>
        <w:tc>
          <w:tcPr>
            <w:tcW w:w="2976" w:type="dxa"/>
          </w:tcPr>
          <w:p w:rsidR="005279F8" w:rsidRPr="005D1B10" w:rsidRDefault="005279F8" w:rsidP="006060FB">
            <w:pPr>
              <w:pStyle w:val="naisc"/>
              <w:spacing w:before="0" w:after="0"/>
              <w:jc w:val="both"/>
              <w:rPr>
                <w:sz w:val="22"/>
                <w:szCs w:val="22"/>
              </w:rPr>
            </w:pPr>
            <w:r w:rsidRPr="005D1B10">
              <w:rPr>
                <w:spacing w:val="-2"/>
                <w:sz w:val="22"/>
                <w:szCs w:val="22"/>
              </w:rPr>
              <w:t>Nav noteiktas stingrākas prasības</w:t>
            </w:r>
            <w:r w:rsidRPr="005D1B10" w:rsidDel="007B685B">
              <w:rPr>
                <w:sz w:val="22"/>
                <w:szCs w:val="22"/>
              </w:rPr>
              <w:t xml:space="preserve"> </w:t>
            </w:r>
          </w:p>
        </w:tc>
      </w:tr>
      <w:tr w:rsidR="005279F8" w:rsidRPr="005D1B10" w:rsidTr="006060FB">
        <w:trPr>
          <w:trHeight w:val="284"/>
          <w:jc w:val="center"/>
        </w:trPr>
        <w:tc>
          <w:tcPr>
            <w:tcW w:w="1747" w:type="dxa"/>
            <w:vAlign w:val="center"/>
          </w:tcPr>
          <w:p w:rsidR="005279F8" w:rsidRPr="005D1B10" w:rsidRDefault="005279F8" w:rsidP="006060FB">
            <w:pPr>
              <w:spacing w:after="0"/>
              <w:rPr>
                <w:rFonts w:ascii="Times New Roman" w:hAnsi="Times New Roman"/>
              </w:rPr>
            </w:pPr>
            <w:r w:rsidRPr="005D1B10">
              <w:rPr>
                <w:rFonts w:ascii="Times New Roman" w:hAnsi="Times New Roman"/>
              </w:rPr>
              <w:t>5.panta 1.punkta „b” apakšpunkts</w:t>
            </w:r>
          </w:p>
        </w:tc>
        <w:tc>
          <w:tcPr>
            <w:tcW w:w="2790" w:type="dxa"/>
            <w:vAlign w:val="center"/>
          </w:tcPr>
          <w:p w:rsidR="005279F8" w:rsidRPr="005D1B10" w:rsidRDefault="00532A19" w:rsidP="006060FB">
            <w:pPr>
              <w:spacing w:after="0"/>
              <w:rPr>
                <w:rFonts w:ascii="Times New Roman" w:hAnsi="Times New Roman"/>
              </w:rPr>
            </w:pPr>
            <w:r>
              <w:rPr>
                <w:rFonts w:ascii="Times New Roman" w:hAnsi="Times New Roman"/>
              </w:rPr>
              <w:t>N</w:t>
            </w:r>
            <w:r w:rsidR="005279F8" w:rsidRPr="005D1B10">
              <w:rPr>
                <w:rFonts w:ascii="Times New Roman" w:hAnsi="Times New Roman"/>
              </w:rPr>
              <w:t xml:space="preserve">oteikumu projekta 5.punktā izteiktais noteikumu Nr.250 </w:t>
            </w:r>
            <w:r w:rsidR="005D1B10" w:rsidRPr="005D1B10">
              <w:rPr>
                <w:rFonts w:ascii="Times New Roman" w:hAnsi="Times New Roman"/>
              </w:rPr>
              <w:t>73.</w:t>
            </w:r>
            <w:r w:rsidR="005D1B10" w:rsidRPr="005D1B10">
              <w:rPr>
                <w:rFonts w:ascii="Times New Roman" w:hAnsi="Times New Roman"/>
                <w:vertAlign w:val="superscript"/>
              </w:rPr>
              <w:t>5</w:t>
            </w:r>
            <w:r w:rsidR="005D1B10" w:rsidRPr="005D1B10">
              <w:rPr>
                <w:rFonts w:ascii="Times New Roman" w:hAnsi="Times New Roman"/>
              </w:rPr>
              <w:t>1</w:t>
            </w:r>
            <w:r w:rsidR="005279F8" w:rsidRPr="005D1B10">
              <w:rPr>
                <w:rFonts w:ascii="Times New Roman" w:hAnsi="Times New Roman"/>
              </w:rPr>
              <w:t>.apakšpunkts;</w:t>
            </w:r>
          </w:p>
        </w:tc>
        <w:tc>
          <w:tcPr>
            <w:tcW w:w="2126" w:type="dxa"/>
            <w:vAlign w:val="center"/>
          </w:tcPr>
          <w:p w:rsidR="005279F8" w:rsidRPr="005D1B10" w:rsidRDefault="00532A19" w:rsidP="006060FB">
            <w:pPr>
              <w:spacing w:after="0"/>
              <w:ind w:left="57"/>
              <w:rPr>
                <w:rFonts w:ascii="Times New Roman" w:hAnsi="Times New Roman"/>
              </w:rPr>
            </w:pPr>
            <w:r>
              <w:rPr>
                <w:rFonts w:ascii="Times New Roman" w:hAnsi="Times New Roman"/>
              </w:rPr>
              <w:t>P</w:t>
            </w:r>
            <w:r w:rsidR="005279F8" w:rsidRPr="005D1B10">
              <w:rPr>
                <w:rFonts w:ascii="Times New Roman" w:hAnsi="Times New Roman"/>
              </w:rPr>
              <w:t>ārņemts pilnībā</w:t>
            </w:r>
          </w:p>
        </w:tc>
        <w:tc>
          <w:tcPr>
            <w:tcW w:w="2976" w:type="dxa"/>
          </w:tcPr>
          <w:p w:rsidR="005279F8" w:rsidRPr="005D1B10" w:rsidRDefault="005279F8" w:rsidP="006060FB">
            <w:pPr>
              <w:pStyle w:val="naisc"/>
              <w:spacing w:before="0" w:after="0"/>
              <w:jc w:val="both"/>
              <w:rPr>
                <w:sz w:val="22"/>
                <w:szCs w:val="22"/>
              </w:rPr>
            </w:pPr>
            <w:r w:rsidRPr="005D1B10">
              <w:rPr>
                <w:spacing w:val="-2"/>
                <w:sz w:val="22"/>
                <w:szCs w:val="22"/>
              </w:rPr>
              <w:t>Nav noteiktas stingrākas prasības</w:t>
            </w:r>
            <w:r w:rsidRPr="005D1B10" w:rsidDel="007B685B">
              <w:rPr>
                <w:sz w:val="22"/>
                <w:szCs w:val="22"/>
              </w:rPr>
              <w:t xml:space="preserve"> </w:t>
            </w:r>
          </w:p>
        </w:tc>
      </w:tr>
      <w:tr w:rsidR="005279F8" w:rsidRPr="005D1B10" w:rsidTr="006060FB">
        <w:trPr>
          <w:trHeight w:val="284"/>
          <w:jc w:val="center"/>
        </w:trPr>
        <w:tc>
          <w:tcPr>
            <w:tcW w:w="1747" w:type="dxa"/>
            <w:vAlign w:val="center"/>
          </w:tcPr>
          <w:p w:rsidR="005279F8" w:rsidRPr="005D1B10" w:rsidRDefault="005279F8" w:rsidP="006060FB">
            <w:pPr>
              <w:spacing w:after="0"/>
              <w:rPr>
                <w:rFonts w:ascii="Times New Roman" w:hAnsi="Times New Roman"/>
              </w:rPr>
            </w:pPr>
            <w:r w:rsidRPr="005D1B10">
              <w:rPr>
                <w:rFonts w:ascii="Times New Roman" w:hAnsi="Times New Roman"/>
              </w:rPr>
              <w:t>5.panta 1.punkta „c” apakšpunkts</w:t>
            </w:r>
          </w:p>
        </w:tc>
        <w:tc>
          <w:tcPr>
            <w:tcW w:w="2790" w:type="dxa"/>
            <w:vAlign w:val="center"/>
          </w:tcPr>
          <w:p w:rsidR="005279F8" w:rsidRPr="005D1B10" w:rsidRDefault="00532A19" w:rsidP="006060FB">
            <w:pPr>
              <w:spacing w:after="0"/>
              <w:rPr>
                <w:rFonts w:ascii="Times New Roman" w:hAnsi="Times New Roman"/>
              </w:rPr>
            </w:pPr>
            <w:r>
              <w:rPr>
                <w:rFonts w:ascii="Times New Roman" w:hAnsi="Times New Roman"/>
              </w:rPr>
              <w:t>N</w:t>
            </w:r>
            <w:r w:rsidR="005279F8" w:rsidRPr="005D1B10">
              <w:rPr>
                <w:rFonts w:ascii="Times New Roman" w:hAnsi="Times New Roman"/>
              </w:rPr>
              <w:t xml:space="preserve">oteikumu projekta 5.punktā izteiktais noteikumu Nr.250 </w:t>
            </w:r>
            <w:r w:rsidR="005D1B10" w:rsidRPr="005D1B10">
              <w:rPr>
                <w:rFonts w:ascii="Times New Roman" w:hAnsi="Times New Roman"/>
              </w:rPr>
              <w:t>73.</w:t>
            </w:r>
            <w:r w:rsidR="005D1B10" w:rsidRPr="005D1B10">
              <w:rPr>
                <w:rFonts w:ascii="Times New Roman" w:hAnsi="Times New Roman"/>
                <w:vertAlign w:val="superscript"/>
              </w:rPr>
              <w:t>5</w:t>
            </w:r>
            <w:r w:rsidR="005D1B10" w:rsidRPr="005D1B10">
              <w:rPr>
                <w:rFonts w:ascii="Times New Roman" w:hAnsi="Times New Roman"/>
              </w:rPr>
              <w:t>2</w:t>
            </w:r>
            <w:r w:rsidR="005279F8" w:rsidRPr="005D1B10">
              <w:rPr>
                <w:rFonts w:ascii="Times New Roman" w:hAnsi="Times New Roman"/>
              </w:rPr>
              <w:t>.apakšpunkts;</w:t>
            </w:r>
          </w:p>
        </w:tc>
        <w:tc>
          <w:tcPr>
            <w:tcW w:w="2126" w:type="dxa"/>
            <w:vAlign w:val="center"/>
          </w:tcPr>
          <w:p w:rsidR="005279F8" w:rsidRPr="005D1B10" w:rsidRDefault="00532A19" w:rsidP="006060FB">
            <w:pPr>
              <w:spacing w:after="0"/>
              <w:ind w:left="57"/>
              <w:rPr>
                <w:rFonts w:ascii="Times New Roman" w:hAnsi="Times New Roman"/>
              </w:rPr>
            </w:pPr>
            <w:r>
              <w:rPr>
                <w:rFonts w:ascii="Times New Roman" w:hAnsi="Times New Roman"/>
              </w:rPr>
              <w:t>P</w:t>
            </w:r>
            <w:r w:rsidR="005279F8" w:rsidRPr="005D1B10">
              <w:rPr>
                <w:rFonts w:ascii="Times New Roman" w:hAnsi="Times New Roman"/>
              </w:rPr>
              <w:t>ārņemts pilnībā</w:t>
            </w:r>
          </w:p>
        </w:tc>
        <w:tc>
          <w:tcPr>
            <w:tcW w:w="2976" w:type="dxa"/>
          </w:tcPr>
          <w:p w:rsidR="005279F8" w:rsidRPr="005D1B10" w:rsidRDefault="005279F8" w:rsidP="006060FB">
            <w:pPr>
              <w:pStyle w:val="naisc"/>
              <w:spacing w:before="0" w:after="0"/>
              <w:jc w:val="both"/>
              <w:rPr>
                <w:sz w:val="22"/>
                <w:szCs w:val="22"/>
              </w:rPr>
            </w:pPr>
            <w:r w:rsidRPr="005D1B10">
              <w:rPr>
                <w:spacing w:val="-2"/>
                <w:sz w:val="22"/>
                <w:szCs w:val="22"/>
              </w:rPr>
              <w:t>Nav noteiktas stingrākas prasības</w:t>
            </w:r>
            <w:r w:rsidRPr="005D1B10" w:rsidDel="007B685B">
              <w:rPr>
                <w:sz w:val="22"/>
                <w:szCs w:val="22"/>
              </w:rPr>
              <w:t xml:space="preserve"> </w:t>
            </w:r>
          </w:p>
        </w:tc>
      </w:tr>
      <w:tr w:rsidR="005279F8" w:rsidRPr="005D1B10" w:rsidTr="006060FB">
        <w:trPr>
          <w:trHeight w:val="284"/>
          <w:jc w:val="center"/>
        </w:trPr>
        <w:tc>
          <w:tcPr>
            <w:tcW w:w="1747" w:type="dxa"/>
            <w:vAlign w:val="center"/>
          </w:tcPr>
          <w:p w:rsidR="005279F8" w:rsidRPr="005D1B10" w:rsidRDefault="005279F8" w:rsidP="006060FB">
            <w:pPr>
              <w:spacing w:after="0"/>
              <w:rPr>
                <w:rFonts w:ascii="Times New Roman" w:hAnsi="Times New Roman"/>
              </w:rPr>
            </w:pPr>
            <w:r w:rsidRPr="005D1B10">
              <w:rPr>
                <w:rFonts w:ascii="Times New Roman" w:hAnsi="Times New Roman"/>
              </w:rPr>
              <w:t>5.panta 1.punkta „d” apakšpunkts</w:t>
            </w:r>
          </w:p>
        </w:tc>
        <w:tc>
          <w:tcPr>
            <w:tcW w:w="2790" w:type="dxa"/>
            <w:vAlign w:val="center"/>
          </w:tcPr>
          <w:p w:rsidR="005279F8" w:rsidRPr="005D1B10" w:rsidRDefault="00532A19" w:rsidP="006060FB">
            <w:pPr>
              <w:spacing w:after="0"/>
              <w:rPr>
                <w:rFonts w:ascii="Times New Roman" w:hAnsi="Times New Roman"/>
              </w:rPr>
            </w:pPr>
            <w:r>
              <w:rPr>
                <w:rFonts w:ascii="Times New Roman" w:hAnsi="Times New Roman"/>
              </w:rPr>
              <w:t>N</w:t>
            </w:r>
            <w:r w:rsidR="005279F8" w:rsidRPr="005D1B10">
              <w:rPr>
                <w:rFonts w:ascii="Times New Roman" w:hAnsi="Times New Roman"/>
              </w:rPr>
              <w:t xml:space="preserve">oteikumu projekta 5.punktā izteiktais noteikumu Nr.250 </w:t>
            </w:r>
            <w:r w:rsidR="005D1B10" w:rsidRPr="005D1B10">
              <w:rPr>
                <w:rFonts w:ascii="Times New Roman" w:hAnsi="Times New Roman"/>
              </w:rPr>
              <w:t>73.</w:t>
            </w:r>
            <w:r w:rsidR="005D1B10" w:rsidRPr="005D1B10">
              <w:rPr>
                <w:rFonts w:ascii="Times New Roman" w:hAnsi="Times New Roman"/>
                <w:vertAlign w:val="superscript"/>
              </w:rPr>
              <w:t>5</w:t>
            </w:r>
            <w:r w:rsidR="005D1B10" w:rsidRPr="005D1B10">
              <w:rPr>
                <w:rFonts w:ascii="Times New Roman" w:hAnsi="Times New Roman"/>
              </w:rPr>
              <w:t>3</w:t>
            </w:r>
            <w:r w:rsidR="005279F8" w:rsidRPr="005D1B10">
              <w:rPr>
                <w:rFonts w:ascii="Times New Roman" w:hAnsi="Times New Roman"/>
              </w:rPr>
              <w:t>.apakšpunkts;</w:t>
            </w:r>
          </w:p>
        </w:tc>
        <w:tc>
          <w:tcPr>
            <w:tcW w:w="2126" w:type="dxa"/>
            <w:vAlign w:val="center"/>
          </w:tcPr>
          <w:p w:rsidR="005279F8" w:rsidRPr="005D1B10" w:rsidRDefault="00532A19" w:rsidP="006060FB">
            <w:pPr>
              <w:spacing w:after="0"/>
              <w:ind w:left="57"/>
              <w:rPr>
                <w:rFonts w:ascii="Times New Roman" w:hAnsi="Times New Roman"/>
              </w:rPr>
            </w:pPr>
            <w:r>
              <w:rPr>
                <w:rFonts w:ascii="Times New Roman" w:hAnsi="Times New Roman"/>
              </w:rPr>
              <w:t>P</w:t>
            </w:r>
            <w:r w:rsidR="005279F8" w:rsidRPr="005D1B10">
              <w:rPr>
                <w:rFonts w:ascii="Times New Roman" w:hAnsi="Times New Roman"/>
              </w:rPr>
              <w:t>ārņemts pilnībā</w:t>
            </w:r>
          </w:p>
        </w:tc>
        <w:tc>
          <w:tcPr>
            <w:tcW w:w="2976" w:type="dxa"/>
          </w:tcPr>
          <w:p w:rsidR="005279F8" w:rsidRPr="005D1B10" w:rsidRDefault="005279F8" w:rsidP="006060FB">
            <w:pPr>
              <w:pStyle w:val="naisc"/>
              <w:spacing w:before="0" w:after="0"/>
              <w:jc w:val="both"/>
              <w:rPr>
                <w:sz w:val="22"/>
                <w:szCs w:val="22"/>
              </w:rPr>
            </w:pPr>
            <w:r w:rsidRPr="005D1B10">
              <w:rPr>
                <w:spacing w:val="-2"/>
                <w:sz w:val="22"/>
                <w:szCs w:val="22"/>
              </w:rPr>
              <w:t>Nav noteiktas stingrākas prasības</w:t>
            </w:r>
            <w:r w:rsidRPr="005D1B10" w:rsidDel="007B685B">
              <w:rPr>
                <w:sz w:val="22"/>
                <w:szCs w:val="22"/>
              </w:rPr>
              <w:t xml:space="preserve"> </w:t>
            </w:r>
          </w:p>
        </w:tc>
      </w:tr>
      <w:tr w:rsidR="00325202" w:rsidRPr="005D1B10" w:rsidTr="006060FB">
        <w:trPr>
          <w:trHeight w:val="284"/>
          <w:jc w:val="center"/>
        </w:trPr>
        <w:tc>
          <w:tcPr>
            <w:tcW w:w="1747" w:type="dxa"/>
            <w:vAlign w:val="center"/>
          </w:tcPr>
          <w:p w:rsidR="00325202" w:rsidRPr="005D1B10" w:rsidRDefault="00325202" w:rsidP="006060FB">
            <w:pPr>
              <w:spacing w:after="0"/>
              <w:rPr>
                <w:rFonts w:ascii="Times New Roman" w:hAnsi="Times New Roman"/>
              </w:rPr>
            </w:pPr>
            <w:r w:rsidRPr="005D1B10">
              <w:rPr>
                <w:rFonts w:ascii="Times New Roman" w:hAnsi="Times New Roman"/>
              </w:rPr>
              <w:t>5.panta 1.punkta 2.rindkopa</w:t>
            </w:r>
          </w:p>
        </w:tc>
        <w:tc>
          <w:tcPr>
            <w:tcW w:w="2790" w:type="dxa"/>
            <w:vAlign w:val="center"/>
          </w:tcPr>
          <w:p w:rsidR="00325202" w:rsidRPr="005D1B10" w:rsidRDefault="00325202" w:rsidP="006060FB">
            <w:pPr>
              <w:spacing w:after="0"/>
              <w:rPr>
                <w:rFonts w:ascii="Times New Roman" w:hAnsi="Times New Roman"/>
              </w:rPr>
            </w:pPr>
            <w:r w:rsidRPr="005D1B10">
              <w:rPr>
                <w:rFonts w:ascii="Times New Roman" w:hAnsi="Times New Roman"/>
              </w:rPr>
              <w:t>Likumprojektā „Grozījumi likumā „Par piesārņojumu”” ir noteikts, ka Ministru kabinets pieņem lēmumu par darbībām ar gada emisiju sadales vienībām un Kioto vienībām. Šis nosacījums tiks ņemts vērā, sagatavojot Ministru kabineta lēmumu, kā arī VARAM sagatavojot līgumu par darbībām ar šīm vienībām</w:t>
            </w:r>
          </w:p>
        </w:tc>
        <w:tc>
          <w:tcPr>
            <w:tcW w:w="2126" w:type="dxa"/>
            <w:vAlign w:val="center"/>
          </w:tcPr>
          <w:p w:rsidR="00325202" w:rsidRPr="005D1B10" w:rsidRDefault="00325202" w:rsidP="006060FB">
            <w:pPr>
              <w:spacing w:after="0"/>
              <w:ind w:left="57"/>
              <w:rPr>
                <w:rFonts w:ascii="Times New Roman" w:hAnsi="Times New Roman"/>
              </w:rPr>
            </w:pPr>
            <w:r>
              <w:rPr>
                <w:rFonts w:ascii="Times New Roman" w:hAnsi="Times New Roman"/>
              </w:rPr>
              <w:t>P</w:t>
            </w:r>
            <w:r w:rsidRPr="00F122F9">
              <w:rPr>
                <w:rFonts w:ascii="Times New Roman" w:hAnsi="Times New Roman"/>
              </w:rPr>
              <w:t>ārņemts pilnībā</w:t>
            </w:r>
          </w:p>
        </w:tc>
        <w:tc>
          <w:tcPr>
            <w:tcW w:w="2976" w:type="dxa"/>
            <w:vAlign w:val="center"/>
          </w:tcPr>
          <w:p w:rsidR="00325202" w:rsidRPr="005D1B10" w:rsidRDefault="00325202" w:rsidP="006060FB">
            <w:pPr>
              <w:pStyle w:val="naisc"/>
              <w:spacing w:before="0" w:after="0"/>
              <w:jc w:val="both"/>
              <w:rPr>
                <w:sz w:val="22"/>
                <w:szCs w:val="22"/>
              </w:rPr>
            </w:pPr>
            <w:r w:rsidRPr="00244F50">
              <w:rPr>
                <w:spacing w:val="-2"/>
                <w:sz w:val="22"/>
                <w:szCs w:val="22"/>
              </w:rPr>
              <w:t>Nav noteiktas stingrākas prasības</w:t>
            </w:r>
            <w:r w:rsidRPr="00244F50" w:rsidDel="000B0D5A">
              <w:rPr>
                <w:sz w:val="22"/>
                <w:szCs w:val="22"/>
              </w:rPr>
              <w:t xml:space="preserve"> </w:t>
            </w:r>
          </w:p>
        </w:tc>
      </w:tr>
      <w:tr w:rsidR="005279F8" w:rsidRPr="005D1B10" w:rsidTr="006060FB">
        <w:trPr>
          <w:trHeight w:val="284"/>
          <w:jc w:val="center"/>
        </w:trPr>
        <w:tc>
          <w:tcPr>
            <w:tcW w:w="1747" w:type="dxa"/>
            <w:vAlign w:val="center"/>
          </w:tcPr>
          <w:p w:rsidR="005279F8" w:rsidRPr="005D1B10" w:rsidRDefault="005279F8" w:rsidP="006060FB">
            <w:pPr>
              <w:spacing w:after="0"/>
              <w:rPr>
                <w:rFonts w:ascii="Times New Roman" w:hAnsi="Times New Roman"/>
              </w:rPr>
            </w:pPr>
            <w:r w:rsidRPr="005D1B10">
              <w:rPr>
                <w:rFonts w:ascii="Times New Roman" w:hAnsi="Times New Roman"/>
              </w:rPr>
              <w:t>5.panta 2.punkts</w:t>
            </w:r>
          </w:p>
        </w:tc>
        <w:tc>
          <w:tcPr>
            <w:tcW w:w="2790" w:type="dxa"/>
            <w:vAlign w:val="center"/>
          </w:tcPr>
          <w:p w:rsidR="005279F8" w:rsidRPr="005D1B10" w:rsidRDefault="00532A19" w:rsidP="006060FB">
            <w:pPr>
              <w:spacing w:after="0"/>
              <w:rPr>
                <w:rFonts w:ascii="Times New Roman" w:hAnsi="Times New Roman"/>
              </w:rPr>
            </w:pPr>
            <w:r>
              <w:rPr>
                <w:rFonts w:ascii="Times New Roman" w:hAnsi="Times New Roman"/>
              </w:rPr>
              <w:t>N</w:t>
            </w:r>
            <w:r w:rsidR="005279F8" w:rsidRPr="005D1B10">
              <w:rPr>
                <w:rFonts w:ascii="Times New Roman" w:hAnsi="Times New Roman"/>
              </w:rPr>
              <w:t xml:space="preserve">oteikumu projekta 5.punktā izteiktais noteikumu Nr.250 </w:t>
            </w:r>
            <w:r w:rsidR="005D1B10" w:rsidRPr="005D1B10">
              <w:rPr>
                <w:rFonts w:ascii="Times New Roman" w:hAnsi="Times New Roman"/>
              </w:rPr>
              <w:t>73.</w:t>
            </w:r>
            <w:r w:rsidR="005D1B10" w:rsidRPr="005D1B10">
              <w:rPr>
                <w:rFonts w:ascii="Times New Roman" w:hAnsi="Times New Roman"/>
                <w:vertAlign w:val="superscript"/>
              </w:rPr>
              <w:t>5</w:t>
            </w:r>
            <w:r w:rsidR="005D1B10" w:rsidRPr="005D1B10">
              <w:rPr>
                <w:rFonts w:ascii="Times New Roman" w:hAnsi="Times New Roman"/>
              </w:rPr>
              <w:t>4</w:t>
            </w:r>
            <w:r w:rsidR="005279F8" w:rsidRPr="005D1B10">
              <w:rPr>
                <w:rFonts w:ascii="Times New Roman" w:hAnsi="Times New Roman"/>
              </w:rPr>
              <w:t>.apakšpunkts;</w:t>
            </w:r>
          </w:p>
        </w:tc>
        <w:tc>
          <w:tcPr>
            <w:tcW w:w="2126" w:type="dxa"/>
            <w:vAlign w:val="center"/>
          </w:tcPr>
          <w:p w:rsidR="005279F8" w:rsidRPr="005D1B10" w:rsidRDefault="00532A19" w:rsidP="006060FB">
            <w:pPr>
              <w:spacing w:after="0"/>
              <w:ind w:left="57"/>
              <w:rPr>
                <w:rFonts w:ascii="Times New Roman" w:hAnsi="Times New Roman"/>
              </w:rPr>
            </w:pPr>
            <w:r>
              <w:rPr>
                <w:rFonts w:ascii="Times New Roman" w:hAnsi="Times New Roman"/>
              </w:rPr>
              <w:t>P</w:t>
            </w:r>
            <w:r w:rsidR="005279F8" w:rsidRPr="005D1B10">
              <w:rPr>
                <w:rFonts w:ascii="Times New Roman" w:hAnsi="Times New Roman"/>
              </w:rPr>
              <w:t>ārņemts pilnībā</w:t>
            </w:r>
          </w:p>
        </w:tc>
        <w:tc>
          <w:tcPr>
            <w:tcW w:w="2976" w:type="dxa"/>
          </w:tcPr>
          <w:p w:rsidR="005279F8" w:rsidRPr="005D1B10" w:rsidRDefault="005279F8" w:rsidP="006060FB">
            <w:pPr>
              <w:pStyle w:val="naisc"/>
              <w:spacing w:before="0" w:after="0"/>
              <w:jc w:val="both"/>
              <w:rPr>
                <w:sz w:val="22"/>
                <w:szCs w:val="22"/>
              </w:rPr>
            </w:pPr>
            <w:r w:rsidRPr="005D1B10">
              <w:rPr>
                <w:spacing w:val="-2"/>
                <w:sz w:val="22"/>
                <w:szCs w:val="22"/>
              </w:rPr>
              <w:t>Nav noteiktas stingrākas prasības</w:t>
            </w:r>
            <w:r w:rsidRPr="005D1B10" w:rsidDel="007B685B">
              <w:rPr>
                <w:sz w:val="22"/>
                <w:szCs w:val="22"/>
              </w:rPr>
              <w:t xml:space="preserve"> </w:t>
            </w:r>
          </w:p>
        </w:tc>
      </w:tr>
      <w:tr w:rsidR="005279F8" w:rsidRPr="005D1B10" w:rsidTr="006060FB">
        <w:trPr>
          <w:trHeight w:val="284"/>
          <w:jc w:val="center"/>
        </w:trPr>
        <w:tc>
          <w:tcPr>
            <w:tcW w:w="1747" w:type="dxa"/>
            <w:vAlign w:val="center"/>
          </w:tcPr>
          <w:p w:rsidR="005279F8" w:rsidRPr="005D1B10" w:rsidRDefault="005279F8" w:rsidP="006060FB">
            <w:pPr>
              <w:spacing w:after="0"/>
              <w:rPr>
                <w:rFonts w:ascii="Times New Roman" w:hAnsi="Times New Roman"/>
              </w:rPr>
            </w:pPr>
            <w:r w:rsidRPr="005D1B10">
              <w:rPr>
                <w:rFonts w:ascii="Times New Roman" w:hAnsi="Times New Roman"/>
              </w:rPr>
              <w:t>5.panta 3.punkts</w:t>
            </w:r>
          </w:p>
        </w:tc>
        <w:tc>
          <w:tcPr>
            <w:tcW w:w="2790" w:type="dxa"/>
            <w:vAlign w:val="center"/>
          </w:tcPr>
          <w:p w:rsidR="005279F8" w:rsidRPr="005D1B10" w:rsidRDefault="00532A19" w:rsidP="006060FB">
            <w:pPr>
              <w:spacing w:after="0"/>
              <w:rPr>
                <w:rFonts w:ascii="Times New Roman" w:hAnsi="Times New Roman"/>
              </w:rPr>
            </w:pPr>
            <w:r>
              <w:rPr>
                <w:rFonts w:ascii="Times New Roman" w:hAnsi="Times New Roman"/>
              </w:rPr>
              <w:t>N</w:t>
            </w:r>
            <w:r w:rsidR="005279F8" w:rsidRPr="005D1B10">
              <w:rPr>
                <w:rFonts w:ascii="Times New Roman" w:hAnsi="Times New Roman"/>
              </w:rPr>
              <w:t xml:space="preserve">oteikumu projekta 5.punktā izteiktais noteikumu Nr.250 </w:t>
            </w:r>
            <w:r w:rsidR="005D1B10" w:rsidRPr="005D1B10">
              <w:rPr>
                <w:rFonts w:ascii="Times New Roman" w:hAnsi="Times New Roman"/>
              </w:rPr>
              <w:t>73.</w:t>
            </w:r>
            <w:r w:rsidR="005D1B10" w:rsidRPr="005D1B10">
              <w:rPr>
                <w:rFonts w:ascii="Times New Roman" w:hAnsi="Times New Roman"/>
                <w:vertAlign w:val="superscript"/>
              </w:rPr>
              <w:t>5</w:t>
            </w:r>
            <w:r w:rsidR="005D1B10" w:rsidRPr="005D1B10">
              <w:rPr>
                <w:rFonts w:ascii="Times New Roman" w:hAnsi="Times New Roman"/>
              </w:rPr>
              <w:t>5</w:t>
            </w:r>
            <w:r w:rsidR="005279F8" w:rsidRPr="005D1B10">
              <w:rPr>
                <w:rFonts w:ascii="Times New Roman" w:hAnsi="Times New Roman"/>
              </w:rPr>
              <w:t>.apakšpunkts;</w:t>
            </w:r>
          </w:p>
        </w:tc>
        <w:tc>
          <w:tcPr>
            <w:tcW w:w="2126" w:type="dxa"/>
            <w:vAlign w:val="center"/>
          </w:tcPr>
          <w:p w:rsidR="005279F8" w:rsidRPr="005D1B10" w:rsidRDefault="00532A19" w:rsidP="006060FB">
            <w:pPr>
              <w:spacing w:after="0"/>
              <w:ind w:left="57"/>
              <w:rPr>
                <w:rFonts w:ascii="Times New Roman" w:hAnsi="Times New Roman"/>
              </w:rPr>
            </w:pPr>
            <w:r>
              <w:rPr>
                <w:rFonts w:ascii="Times New Roman" w:hAnsi="Times New Roman"/>
              </w:rPr>
              <w:t>P</w:t>
            </w:r>
            <w:r w:rsidR="005279F8" w:rsidRPr="005D1B10">
              <w:rPr>
                <w:rFonts w:ascii="Times New Roman" w:hAnsi="Times New Roman"/>
              </w:rPr>
              <w:t>ārņemts pilnībā</w:t>
            </w:r>
          </w:p>
        </w:tc>
        <w:tc>
          <w:tcPr>
            <w:tcW w:w="2976" w:type="dxa"/>
          </w:tcPr>
          <w:p w:rsidR="005279F8" w:rsidRPr="005D1B10" w:rsidRDefault="005279F8" w:rsidP="006060FB">
            <w:pPr>
              <w:pStyle w:val="naisc"/>
              <w:spacing w:before="0" w:after="0"/>
              <w:jc w:val="both"/>
              <w:rPr>
                <w:sz w:val="22"/>
                <w:szCs w:val="22"/>
              </w:rPr>
            </w:pPr>
            <w:r w:rsidRPr="005D1B10">
              <w:rPr>
                <w:spacing w:val="-2"/>
                <w:sz w:val="22"/>
                <w:szCs w:val="22"/>
              </w:rPr>
              <w:t>Nav noteiktas stingrākas prasības</w:t>
            </w:r>
            <w:r w:rsidRPr="005D1B10" w:rsidDel="007B685B">
              <w:rPr>
                <w:sz w:val="22"/>
                <w:szCs w:val="22"/>
              </w:rPr>
              <w:t xml:space="preserve"> </w:t>
            </w:r>
          </w:p>
        </w:tc>
      </w:tr>
      <w:tr w:rsidR="005279F8" w:rsidRPr="005D1B10" w:rsidTr="006060FB">
        <w:trPr>
          <w:trHeight w:val="284"/>
          <w:jc w:val="center"/>
        </w:trPr>
        <w:tc>
          <w:tcPr>
            <w:tcW w:w="1747" w:type="dxa"/>
            <w:vAlign w:val="center"/>
          </w:tcPr>
          <w:p w:rsidR="005279F8" w:rsidRPr="005D1B10" w:rsidRDefault="005279F8" w:rsidP="006060FB">
            <w:pPr>
              <w:spacing w:after="0"/>
              <w:rPr>
                <w:rFonts w:ascii="Times New Roman" w:hAnsi="Times New Roman"/>
              </w:rPr>
            </w:pPr>
            <w:r w:rsidRPr="005D1B10">
              <w:rPr>
                <w:rFonts w:ascii="Times New Roman" w:hAnsi="Times New Roman"/>
              </w:rPr>
              <w:lastRenderedPageBreak/>
              <w:t>5.panta 4.punkts</w:t>
            </w:r>
          </w:p>
        </w:tc>
        <w:tc>
          <w:tcPr>
            <w:tcW w:w="2790" w:type="dxa"/>
            <w:vAlign w:val="center"/>
          </w:tcPr>
          <w:p w:rsidR="005279F8" w:rsidRPr="005D1B10" w:rsidRDefault="00532A19" w:rsidP="006060FB">
            <w:pPr>
              <w:spacing w:after="0"/>
              <w:rPr>
                <w:rFonts w:ascii="Times New Roman" w:hAnsi="Times New Roman"/>
              </w:rPr>
            </w:pPr>
            <w:r>
              <w:rPr>
                <w:rFonts w:ascii="Times New Roman" w:hAnsi="Times New Roman"/>
              </w:rPr>
              <w:t>N</w:t>
            </w:r>
            <w:r w:rsidR="005279F8" w:rsidRPr="005D1B10">
              <w:rPr>
                <w:rFonts w:ascii="Times New Roman" w:hAnsi="Times New Roman"/>
              </w:rPr>
              <w:t xml:space="preserve">oteikumu projekta 5.punktā izteiktais noteikumu Nr.250 </w:t>
            </w:r>
            <w:r w:rsidR="005D1B10" w:rsidRPr="005D1B10">
              <w:rPr>
                <w:rFonts w:ascii="Times New Roman" w:hAnsi="Times New Roman"/>
              </w:rPr>
              <w:t>73.</w:t>
            </w:r>
            <w:r w:rsidR="005D1B10" w:rsidRPr="005D1B10">
              <w:rPr>
                <w:rFonts w:ascii="Times New Roman" w:hAnsi="Times New Roman"/>
                <w:vertAlign w:val="superscript"/>
              </w:rPr>
              <w:t>4</w:t>
            </w:r>
            <w:r w:rsidR="005279F8" w:rsidRPr="005D1B10">
              <w:rPr>
                <w:rFonts w:ascii="Times New Roman" w:hAnsi="Times New Roman"/>
              </w:rPr>
              <w:t>.punkts;</w:t>
            </w:r>
          </w:p>
          <w:p w:rsidR="005279F8" w:rsidRPr="005D1B10" w:rsidRDefault="005279F8" w:rsidP="006060FB">
            <w:pPr>
              <w:spacing w:after="0"/>
              <w:rPr>
                <w:rFonts w:ascii="Times New Roman" w:hAnsi="Times New Roman"/>
              </w:rPr>
            </w:pPr>
            <w:r w:rsidRPr="005D1B10">
              <w:rPr>
                <w:rFonts w:ascii="Times New Roman" w:hAnsi="Times New Roman"/>
              </w:rPr>
              <w:t>Eiropas Komisijas regulas Nr.389/2013 87.pants (noteikti nosacījumi kredīta tiesību pārskaitīšanai līdz 3% apmērā)</w:t>
            </w:r>
          </w:p>
        </w:tc>
        <w:tc>
          <w:tcPr>
            <w:tcW w:w="2126" w:type="dxa"/>
            <w:vAlign w:val="center"/>
          </w:tcPr>
          <w:p w:rsidR="005279F8" w:rsidRPr="005D1B10" w:rsidRDefault="00532A19" w:rsidP="006060FB">
            <w:pPr>
              <w:spacing w:after="0"/>
              <w:ind w:left="57"/>
              <w:rPr>
                <w:rFonts w:ascii="Times New Roman" w:hAnsi="Times New Roman"/>
              </w:rPr>
            </w:pPr>
            <w:r>
              <w:rPr>
                <w:rFonts w:ascii="Times New Roman" w:hAnsi="Times New Roman"/>
              </w:rPr>
              <w:t>P</w:t>
            </w:r>
            <w:r w:rsidR="005279F8" w:rsidRPr="005D1B10">
              <w:rPr>
                <w:rFonts w:ascii="Times New Roman" w:hAnsi="Times New Roman"/>
              </w:rPr>
              <w:t>ārņemts pilnībā</w:t>
            </w:r>
          </w:p>
        </w:tc>
        <w:tc>
          <w:tcPr>
            <w:tcW w:w="2976" w:type="dxa"/>
          </w:tcPr>
          <w:p w:rsidR="005279F8" w:rsidRPr="005D1B10" w:rsidRDefault="005279F8" w:rsidP="006060FB">
            <w:pPr>
              <w:pStyle w:val="naisc"/>
              <w:spacing w:before="0" w:after="0"/>
              <w:jc w:val="both"/>
              <w:rPr>
                <w:sz w:val="22"/>
                <w:szCs w:val="22"/>
              </w:rPr>
            </w:pPr>
            <w:r w:rsidRPr="005D1B10">
              <w:rPr>
                <w:spacing w:val="-2"/>
                <w:sz w:val="22"/>
                <w:szCs w:val="22"/>
              </w:rPr>
              <w:t>Nav noteiktas stingrākas prasības</w:t>
            </w:r>
            <w:r w:rsidRPr="005D1B10" w:rsidDel="007B685B">
              <w:rPr>
                <w:sz w:val="22"/>
                <w:szCs w:val="22"/>
              </w:rPr>
              <w:t xml:space="preserve"> </w:t>
            </w:r>
          </w:p>
        </w:tc>
      </w:tr>
      <w:tr w:rsidR="000834E4" w:rsidRPr="005D1B10" w:rsidTr="006060FB">
        <w:trPr>
          <w:trHeight w:val="284"/>
          <w:jc w:val="center"/>
        </w:trPr>
        <w:tc>
          <w:tcPr>
            <w:tcW w:w="1747" w:type="dxa"/>
            <w:vAlign w:val="center"/>
          </w:tcPr>
          <w:p w:rsidR="000834E4" w:rsidRPr="005D1B10" w:rsidRDefault="000834E4" w:rsidP="006060FB">
            <w:pPr>
              <w:spacing w:after="0"/>
              <w:rPr>
                <w:rFonts w:ascii="Times New Roman" w:hAnsi="Times New Roman"/>
              </w:rPr>
            </w:pPr>
            <w:r w:rsidRPr="005D1B10">
              <w:rPr>
                <w:rFonts w:ascii="Times New Roman" w:hAnsi="Times New Roman"/>
              </w:rPr>
              <w:t>5.panta 5.punkts</w:t>
            </w:r>
          </w:p>
        </w:tc>
        <w:tc>
          <w:tcPr>
            <w:tcW w:w="2790" w:type="dxa"/>
            <w:vAlign w:val="center"/>
          </w:tcPr>
          <w:p w:rsidR="000834E4" w:rsidRPr="005D1B10" w:rsidRDefault="00532A19" w:rsidP="006060FB">
            <w:pPr>
              <w:spacing w:after="0"/>
              <w:rPr>
                <w:rFonts w:ascii="Times New Roman" w:hAnsi="Times New Roman"/>
              </w:rPr>
            </w:pPr>
            <w:r>
              <w:rPr>
                <w:rFonts w:ascii="Times New Roman" w:hAnsi="Times New Roman"/>
              </w:rPr>
              <w:t>N</w:t>
            </w:r>
            <w:r w:rsidR="000834E4" w:rsidRPr="005D1B10">
              <w:rPr>
                <w:rFonts w:ascii="Times New Roman" w:hAnsi="Times New Roman"/>
              </w:rPr>
              <w:t>eattiecas uz Latviju</w:t>
            </w:r>
          </w:p>
        </w:tc>
        <w:tc>
          <w:tcPr>
            <w:tcW w:w="2126" w:type="dxa"/>
            <w:vAlign w:val="center"/>
          </w:tcPr>
          <w:p w:rsidR="000834E4" w:rsidRPr="005D1B10" w:rsidRDefault="000834E4" w:rsidP="006060FB">
            <w:pPr>
              <w:spacing w:after="0"/>
              <w:ind w:left="57"/>
              <w:rPr>
                <w:rFonts w:ascii="Times New Roman" w:hAnsi="Times New Roman"/>
              </w:rPr>
            </w:pPr>
          </w:p>
        </w:tc>
        <w:tc>
          <w:tcPr>
            <w:tcW w:w="2976" w:type="dxa"/>
            <w:vAlign w:val="center"/>
          </w:tcPr>
          <w:p w:rsidR="000834E4" w:rsidRPr="005D1B10" w:rsidRDefault="000834E4" w:rsidP="006060FB">
            <w:pPr>
              <w:pStyle w:val="naisc"/>
              <w:spacing w:before="0" w:after="0"/>
              <w:jc w:val="both"/>
              <w:rPr>
                <w:sz w:val="22"/>
                <w:szCs w:val="22"/>
              </w:rPr>
            </w:pPr>
          </w:p>
        </w:tc>
      </w:tr>
      <w:tr w:rsidR="005279F8" w:rsidRPr="005D1B10" w:rsidTr="006060FB">
        <w:trPr>
          <w:trHeight w:val="284"/>
          <w:jc w:val="center"/>
        </w:trPr>
        <w:tc>
          <w:tcPr>
            <w:tcW w:w="1747" w:type="dxa"/>
            <w:vAlign w:val="center"/>
          </w:tcPr>
          <w:p w:rsidR="005279F8" w:rsidRPr="005D1B10" w:rsidRDefault="005279F8" w:rsidP="006060FB">
            <w:pPr>
              <w:spacing w:after="0"/>
              <w:rPr>
                <w:rFonts w:ascii="Times New Roman" w:hAnsi="Times New Roman"/>
              </w:rPr>
            </w:pPr>
            <w:r w:rsidRPr="005D1B10">
              <w:rPr>
                <w:rFonts w:ascii="Times New Roman" w:hAnsi="Times New Roman"/>
              </w:rPr>
              <w:t>5.panta 6.punkts</w:t>
            </w:r>
          </w:p>
        </w:tc>
        <w:tc>
          <w:tcPr>
            <w:tcW w:w="2790" w:type="dxa"/>
            <w:vAlign w:val="center"/>
          </w:tcPr>
          <w:p w:rsidR="005279F8" w:rsidRPr="005D1B10" w:rsidRDefault="00532A19" w:rsidP="006060FB">
            <w:pPr>
              <w:spacing w:after="0"/>
              <w:rPr>
                <w:rFonts w:ascii="Times New Roman" w:hAnsi="Times New Roman"/>
              </w:rPr>
            </w:pPr>
            <w:r>
              <w:rPr>
                <w:rFonts w:ascii="Times New Roman" w:hAnsi="Times New Roman"/>
              </w:rPr>
              <w:t>N</w:t>
            </w:r>
            <w:r w:rsidR="005279F8" w:rsidRPr="005D1B10">
              <w:rPr>
                <w:rFonts w:ascii="Times New Roman" w:hAnsi="Times New Roman"/>
              </w:rPr>
              <w:t xml:space="preserve">oteikumu projekta 5.punktā izteiktais noteikumu Nr.250 </w:t>
            </w:r>
            <w:r w:rsidR="005D1B10" w:rsidRPr="005D1B10">
              <w:rPr>
                <w:rFonts w:ascii="Times New Roman" w:hAnsi="Times New Roman"/>
              </w:rPr>
              <w:t>73.</w:t>
            </w:r>
            <w:r w:rsidR="005D1B10" w:rsidRPr="005D1B10">
              <w:rPr>
                <w:rFonts w:ascii="Times New Roman" w:hAnsi="Times New Roman"/>
                <w:vertAlign w:val="superscript"/>
              </w:rPr>
              <w:t>2</w:t>
            </w:r>
            <w:r w:rsidR="005D1B10" w:rsidRPr="005D1B10">
              <w:rPr>
                <w:rFonts w:ascii="Times New Roman" w:hAnsi="Times New Roman"/>
              </w:rPr>
              <w:t>5</w:t>
            </w:r>
            <w:r w:rsidR="005279F8" w:rsidRPr="005D1B10">
              <w:rPr>
                <w:rFonts w:ascii="Times New Roman" w:hAnsi="Times New Roman"/>
              </w:rPr>
              <w:t xml:space="preserve">.apakšpunkts un </w:t>
            </w:r>
            <w:r w:rsidR="005D1B10" w:rsidRPr="005D1B10">
              <w:rPr>
                <w:rFonts w:ascii="Times New Roman" w:hAnsi="Times New Roman"/>
              </w:rPr>
              <w:t>73.</w:t>
            </w:r>
            <w:r w:rsidR="005D1B10" w:rsidRPr="005D1B10">
              <w:rPr>
                <w:rFonts w:ascii="Times New Roman" w:hAnsi="Times New Roman"/>
                <w:vertAlign w:val="superscript"/>
              </w:rPr>
              <w:t>4</w:t>
            </w:r>
            <w:r w:rsidR="005D1B10">
              <w:rPr>
                <w:rFonts w:ascii="Times New Roman" w:hAnsi="Times New Roman"/>
              </w:rPr>
              <w:t xml:space="preserve"> </w:t>
            </w:r>
            <w:r w:rsidR="005279F8" w:rsidRPr="005D1B10">
              <w:rPr>
                <w:rFonts w:ascii="Times New Roman" w:hAnsi="Times New Roman"/>
              </w:rPr>
              <w:t>punkts;</w:t>
            </w:r>
          </w:p>
          <w:p w:rsidR="005279F8" w:rsidRPr="005D1B10" w:rsidRDefault="005279F8" w:rsidP="006060FB">
            <w:pPr>
              <w:spacing w:after="0"/>
              <w:rPr>
                <w:rFonts w:ascii="Times New Roman" w:hAnsi="Times New Roman"/>
              </w:rPr>
            </w:pPr>
            <w:r w:rsidRPr="005D1B10">
              <w:rPr>
                <w:rFonts w:ascii="Times New Roman" w:hAnsi="Times New Roman"/>
              </w:rPr>
              <w:t>Eiropas Komisijas regulas Nr.389/2013 87.pants (noteikti nosacījumi kredīta tiesību pārskaitīšanai līdz 3% apmērā)</w:t>
            </w:r>
          </w:p>
        </w:tc>
        <w:tc>
          <w:tcPr>
            <w:tcW w:w="2126" w:type="dxa"/>
            <w:vAlign w:val="center"/>
          </w:tcPr>
          <w:p w:rsidR="005279F8" w:rsidRPr="005D1B10" w:rsidRDefault="00532A19" w:rsidP="006060FB">
            <w:pPr>
              <w:spacing w:after="0"/>
              <w:ind w:left="57"/>
              <w:rPr>
                <w:rFonts w:ascii="Times New Roman" w:hAnsi="Times New Roman"/>
              </w:rPr>
            </w:pPr>
            <w:r>
              <w:rPr>
                <w:rFonts w:ascii="Times New Roman" w:hAnsi="Times New Roman"/>
              </w:rPr>
              <w:t>P</w:t>
            </w:r>
            <w:r w:rsidR="005279F8" w:rsidRPr="005D1B10">
              <w:rPr>
                <w:rFonts w:ascii="Times New Roman" w:hAnsi="Times New Roman"/>
              </w:rPr>
              <w:t>ārņemts pilnībā</w:t>
            </w:r>
          </w:p>
        </w:tc>
        <w:tc>
          <w:tcPr>
            <w:tcW w:w="2976" w:type="dxa"/>
          </w:tcPr>
          <w:p w:rsidR="005279F8" w:rsidRPr="005D1B10" w:rsidRDefault="005279F8" w:rsidP="006060FB">
            <w:pPr>
              <w:pStyle w:val="naisc"/>
              <w:spacing w:before="0" w:after="0"/>
              <w:jc w:val="both"/>
              <w:rPr>
                <w:sz w:val="22"/>
                <w:szCs w:val="22"/>
              </w:rPr>
            </w:pPr>
            <w:r w:rsidRPr="005D1B10">
              <w:rPr>
                <w:spacing w:val="-2"/>
                <w:sz w:val="22"/>
                <w:szCs w:val="22"/>
              </w:rPr>
              <w:t>Nav noteiktas stingrākas prasības</w:t>
            </w:r>
            <w:r w:rsidRPr="005D1B10" w:rsidDel="007B685B">
              <w:rPr>
                <w:sz w:val="22"/>
                <w:szCs w:val="22"/>
              </w:rPr>
              <w:t xml:space="preserve"> </w:t>
            </w:r>
          </w:p>
        </w:tc>
      </w:tr>
      <w:tr w:rsidR="005279F8" w:rsidRPr="005D1B10" w:rsidTr="006060FB">
        <w:trPr>
          <w:trHeight w:val="284"/>
          <w:jc w:val="center"/>
        </w:trPr>
        <w:tc>
          <w:tcPr>
            <w:tcW w:w="1747" w:type="dxa"/>
            <w:vAlign w:val="center"/>
          </w:tcPr>
          <w:p w:rsidR="005279F8" w:rsidRPr="005D1B10" w:rsidRDefault="005279F8" w:rsidP="006060FB">
            <w:pPr>
              <w:spacing w:after="0"/>
              <w:rPr>
                <w:rFonts w:ascii="Times New Roman" w:hAnsi="Times New Roman"/>
              </w:rPr>
            </w:pPr>
            <w:r w:rsidRPr="005D1B10">
              <w:rPr>
                <w:rFonts w:ascii="Times New Roman" w:hAnsi="Times New Roman"/>
              </w:rPr>
              <w:t>5.panta 7.punkts</w:t>
            </w:r>
          </w:p>
        </w:tc>
        <w:tc>
          <w:tcPr>
            <w:tcW w:w="2790" w:type="dxa"/>
            <w:vAlign w:val="center"/>
          </w:tcPr>
          <w:p w:rsidR="005279F8" w:rsidRPr="005D1B10" w:rsidRDefault="00532A19" w:rsidP="006060FB">
            <w:pPr>
              <w:spacing w:after="0"/>
              <w:rPr>
                <w:rFonts w:ascii="Times New Roman" w:hAnsi="Times New Roman"/>
              </w:rPr>
            </w:pPr>
            <w:r>
              <w:rPr>
                <w:rFonts w:ascii="Times New Roman" w:hAnsi="Times New Roman"/>
              </w:rPr>
              <w:t>N</w:t>
            </w:r>
            <w:r w:rsidR="005279F8" w:rsidRPr="005D1B10">
              <w:rPr>
                <w:rFonts w:ascii="Times New Roman" w:hAnsi="Times New Roman"/>
              </w:rPr>
              <w:t xml:space="preserve">oteikumu projekta 5.punktā izteiktais noteikumu Nr.250 </w:t>
            </w:r>
            <w:r w:rsidR="005D1B10" w:rsidRPr="005D1B10">
              <w:rPr>
                <w:rFonts w:ascii="Times New Roman" w:hAnsi="Times New Roman"/>
              </w:rPr>
              <w:t>73.</w:t>
            </w:r>
            <w:r w:rsidR="005D1B10" w:rsidRPr="005D1B10">
              <w:rPr>
                <w:rFonts w:ascii="Times New Roman" w:hAnsi="Times New Roman"/>
                <w:vertAlign w:val="superscript"/>
              </w:rPr>
              <w:t>6</w:t>
            </w:r>
            <w:r w:rsidR="004E2FAB">
              <w:rPr>
                <w:rFonts w:ascii="Times New Roman" w:hAnsi="Times New Roman"/>
              </w:rPr>
              <w:t xml:space="preserve"> </w:t>
            </w:r>
            <w:r w:rsidR="005279F8" w:rsidRPr="005D1B10">
              <w:rPr>
                <w:rFonts w:ascii="Times New Roman" w:hAnsi="Times New Roman"/>
              </w:rPr>
              <w:t>punkts</w:t>
            </w:r>
          </w:p>
        </w:tc>
        <w:tc>
          <w:tcPr>
            <w:tcW w:w="2126" w:type="dxa"/>
            <w:vAlign w:val="center"/>
          </w:tcPr>
          <w:p w:rsidR="005279F8" w:rsidRPr="005D1B10" w:rsidRDefault="00532A19" w:rsidP="006060FB">
            <w:pPr>
              <w:spacing w:after="0"/>
              <w:ind w:left="57"/>
              <w:rPr>
                <w:rFonts w:ascii="Times New Roman" w:hAnsi="Times New Roman"/>
              </w:rPr>
            </w:pPr>
            <w:r>
              <w:rPr>
                <w:rFonts w:ascii="Times New Roman" w:hAnsi="Times New Roman"/>
              </w:rPr>
              <w:t>P</w:t>
            </w:r>
            <w:r w:rsidR="005279F8" w:rsidRPr="005D1B10">
              <w:rPr>
                <w:rFonts w:ascii="Times New Roman" w:hAnsi="Times New Roman"/>
              </w:rPr>
              <w:t>ārņemts pilnībā</w:t>
            </w:r>
          </w:p>
        </w:tc>
        <w:tc>
          <w:tcPr>
            <w:tcW w:w="2976" w:type="dxa"/>
          </w:tcPr>
          <w:p w:rsidR="005279F8" w:rsidRPr="005D1B10" w:rsidRDefault="005279F8" w:rsidP="006060FB">
            <w:pPr>
              <w:pStyle w:val="naisc"/>
              <w:spacing w:before="0" w:after="0"/>
              <w:jc w:val="both"/>
              <w:rPr>
                <w:sz w:val="22"/>
                <w:szCs w:val="22"/>
              </w:rPr>
            </w:pPr>
            <w:r w:rsidRPr="005D1B10">
              <w:rPr>
                <w:spacing w:val="-2"/>
                <w:sz w:val="22"/>
                <w:szCs w:val="22"/>
              </w:rPr>
              <w:t>Nav noteiktas stingrākas prasības</w:t>
            </w:r>
            <w:r w:rsidRPr="005D1B10" w:rsidDel="007B685B">
              <w:rPr>
                <w:sz w:val="22"/>
                <w:szCs w:val="22"/>
              </w:rPr>
              <w:t xml:space="preserve"> </w:t>
            </w:r>
          </w:p>
        </w:tc>
      </w:tr>
      <w:tr w:rsidR="00325202" w:rsidRPr="005D1B10" w:rsidTr="006060FB">
        <w:trPr>
          <w:trHeight w:val="284"/>
          <w:jc w:val="center"/>
        </w:trPr>
        <w:tc>
          <w:tcPr>
            <w:tcW w:w="1747" w:type="dxa"/>
            <w:vAlign w:val="center"/>
          </w:tcPr>
          <w:p w:rsidR="00325202" w:rsidRPr="005D1B10" w:rsidRDefault="00325202" w:rsidP="006060FB">
            <w:pPr>
              <w:spacing w:after="0"/>
              <w:rPr>
                <w:rFonts w:ascii="Times New Roman" w:hAnsi="Times New Roman"/>
              </w:rPr>
            </w:pPr>
            <w:r w:rsidRPr="005D1B10">
              <w:rPr>
                <w:rFonts w:ascii="Times New Roman" w:hAnsi="Times New Roman"/>
              </w:rPr>
              <w:t>6.panta 1. un 2.punkts</w:t>
            </w:r>
          </w:p>
        </w:tc>
        <w:tc>
          <w:tcPr>
            <w:tcW w:w="2790" w:type="dxa"/>
            <w:vAlign w:val="center"/>
          </w:tcPr>
          <w:p w:rsidR="00325202" w:rsidRPr="005D1B10" w:rsidRDefault="00325202" w:rsidP="006060FB">
            <w:pPr>
              <w:spacing w:after="0"/>
              <w:rPr>
                <w:rFonts w:ascii="Times New Roman" w:hAnsi="Times New Roman"/>
              </w:rPr>
            </w:pPr>
            <w:r>
              <w:rPr>
                <w:rFonts w:ascii="Times New Roman" w:hAnsi="Times New Roman"/>
              </w:rPr>
              <w:t>T</w:t>
            </w:r>
            <w:r w:rsidRPr="005D1B10">
              <w:rPr>
                <w:rFonts w:ascii="Times New Roman" w:hAnsi="Times New Roman"/>
              </w:rPr>
              <w:t>iek pārņemts, veicot grozījumus likumā „Par piesārņojumu”;</w:t>
            </w:r>
          </w:p>
          <w:p w:rsidR="00325202" w:rsidRPr="005D1B10" w:rsidRDefault="00325202" w:rsidP="006060FB">
            <w:pPr>
              <w:spacing w:after="0"/>
              <w:rPr>
                <w:rFonts w:ascii="Times New Roman" w:hAnsi="Times New Roman"/>
              </w:rPr>
            </w:pPr>
            <w:r w:rsidRPr="005D1B10">
              <w:rPr>
                <w:rFonts w:ascii="Times New Roman" w:hAnsi="Times New Roman"/>
              </w:rPr>
              <w:t>Eiropas Parlamenta un Padomes regulas Nr.525/2013 13. un 17.pants</w:t>
            </w:r>
          </w:p>
        </w:tc>
        <w:tc>
          <w:tcPr>
            <w:tcW w:w="2126" w:type="dxa"/>
            <w:vAlign w:val="center"/>
          </w:tcPr>
          <w:p w:rsidR="00325202" w:rsidRPr="005D1B10" w:rsidRDefault="00325202" w:rsidP="006060FB">
            <w:pPr>
              <w:spacing w:after="0"/>
              <w:ind w:left="57"/>
              <w:rPr>
                <w:rFonts w:ascii="Times New Roman" w:hAnsi="Times New Roman"/>
              </w:rPr>
            </w:pPr>
            <w:r>
              <w:rPr>
                <w:rFonts w:ascii="Times New Roman" w:hAnsi="Times New Roman"/>
              </w:rPr>
              <w:t>P</w:t>
            </w:r>
            <w:r w:rsidRPr="005D1B10">
              <w:rPr>
                <w:rFonts w:ascii="Times New Roman" w:hAnsi="Times New Roman"/>
              </w:rPr>
              <w:t>ārņemts pilnībā</w:t>
            </w:r>
          </w:p>
        </w:tc>
        <w:tc>
          <w:tcPr>
            <w:tcW w:w="2976" w:type="dxa"/>
            <w:vAlign w:val="center"/>
          </w:tcPr>
          <w:p w:rsidR="00325202" w:rsidRPr="005D1B10" w:rsidRDefault="00325202" w:rsidP="006060FB">
            <w:pPr>
              <w:pStyle w:val="naisc"/>
              <w:spacing w:before="0" w:after="0"/>
              <w:jc w:val="both"/>
              <w:rPr>
                <w:sz w:val="22"/>
                <w:szCs w:val="22"/>
              </w:rPr>
            </w:pPr>
            <w:r w:rsidRPr="005D1B10">
              <w:rPr>
                <w:spacing w:val="-2"/>
                <w:sz w:val="22"/>
                <w:szCs w:val="22"/>
              </w:rPr>
              <w:t>Nav noteiktas stingrākas prasības</w:t>
            </w:r>
            <w:r w:rsidRPr="005D1B10" w:rsidDel="007B685B">
              <w:rPr>
                <w:sz w:val="22"/>
                <w:szCs w:val="22"/>
              </w:rPr>
              <w:t xml:space="preserve"> </w:t>
            </w:r>
          </w:p>
        </w:tc>
      </w:tr>
      <w:tr w:rsidR="000834E4" w:rsidRPr="005D1B10" w:rsidTr="006060FB">
        <w:trPr>
          <w:trHeight w:val="284"/>
          <w:jc w:val="center"/>
        </w:trPr>
        <w:tc>
          <w:tcPr>
            <w:tcW w:w="1747" w:type="dxa"/>
            <w:vAlign w:val="center"/>
          </w:tcPr>
          <w:p w:rsidR="000834E4" w:rsidRPr="005D1B10" w:rsidRDefault="000834E4" w:rsidP="006060FB">
            <w:pPr>
              <w:spacing w:after="0"/>
              <w:rPr>
                <w:rFonts w:ascii="Times New Roman" w:hAnsi="Times New Roman"/>
              </w:rPr>
            </w:pPr>
            <w:r w:rsidRPr="005D1B10">
              <w:rPr>
                <w:rFonts w:ascii="Times New Roman" w:hAnsi="Times New Roman"/>
              </w:rPr>
              <w:t>6.panta 3., 4. un 5.punkts</w:t>
            </w:r>
          </w:p>
        </w:tc>
        <w:tc>
          <w:tcPr>
            <w:tcW w:w="2790" w:type="dxa"/>
            <w:vAlign w:val="center"/>
          </w:tcPr>
          <w:p w:rsidR="000834E4" w:rsidRPr="005D1B10" w:rsidRDefault="00532A19" w:rsidP="006060FB">
            <w:pPr>
              <w:spacing w:after="0"/>
              <w:rPr>
                <w:rFonts w:ascii="Times New Roman" w:hAnsi="Times New Roman"/>
              </w:rPr>
            </w:pPr>
            <w:r>
              <w:rPr>
                <w:rFonts w:ascii="Times New Roman" w:hAnsi="Times New Roman"/>
              </w:rPr>
              <w:t>A</w:t>
            </w:r>
            <w:r w:rsidR="000834E4" w:rsidRPr="005D1B10">
              <w:rPr>
                <w:rFonts w:ascii="Times New Roman" w:hAnsi="Times New Roman"/>
              </w:rPr>
              <w:t>ttiecas uz Eiropas Komisij</w:t>
            </w:r>
            <w:r>
              <w:rPr>
                <w:rFonts w:ascii="Times New Roman" w:hAnsi="Times New Roman"/>
              </w:rPr>
              <w:t>as pilnvarām</w:t>
            </w:r>
          </w:p>
        </w:tc>
        <w:tc>
          <w:tcPr>
            <w:tcW w:w="2126" w:type="dxa"/>
            <w:vAlign w:val="center"/>
          </w:tcPr>
          <w:p w:rsidR="000834E4" w:rsidRPr="005D1B10" w:rsidRDefault="000834E4" w:rsidP="006060FB">
            <w:pPr>
              <w:spacing w:after="0"/>
              <w:ind w:left="57"/>
              <w:rPr>
                <w:rFonts w:ascii="Times New Roman" w:hAnsi="Times New Roman"/>
              </w:rPr>
            </w:pPr>
          </w:p>
        </w:tc>
        <w:tc>
          <w:tcPr>
            <w:tcW w:w="2976" w:type="dxa"/>
            <w:vAlign w:val="center"/>
          </w:tcPr>
          <w:p w:rsidR="000834E4" w:rsidRPr="005D1B10" w:rsidRDefault="000834E4" w:rsidP="006060FB">
            <w:pPr>
              <w:pStyle w:val="naisc"/>
              <w:spacing w:before="0" w:after="0"/>
              <w:jc w:val="both"/>
              <w:rPr>
                <w:sz w:val="22"/>
                <w:szCs w:val="22"/>
              </w:rPr>
            </w:pPr>
          </w:p>
        </w:tc>
      </w:tr>
      <w:tr w:rsidR="005279F8" w:rsidRPr="005D1B10" w:rsidTr="006060FB">
        <w:trPr>
          <w:trHeight w:val="284"/>
          <w:jc w:val="center"/>
        </w:trPr>
        <w:tc>
          <w:tcPr>
            <w:tcW w:w="1747" w:type="dxa"/>
            <w:vAlign w:val="center"/>
          </w:tcPr>
          <w:p w:rsidR="005279F8" w:rsidRPr="005D1B10" w:rsidRDefault="005279F8" w:rsidP="006060FB">
            <w:pPr>
              <w:spacing w:after="0"/>
              <w:rPr>
                <w:rFonts w:ascii="Times New Roman" w:hAnsi="Times New Roman"/>
              </w:rPr>
            </w:pPr>
            <w:r w:rsidRPr="005D1B10">
              <w:rPr>
                <w:rFonts w:ascii="Times New Roman" w:hAnsi="Times New Roman"/>
              </w:rPr>
              <w:t>7.panta 1.punkta „a” apakšpunkts</w:t>
            </w:r>
          </w:p>
        </w:tc>
        <w:tc>
          <w:tcPr>
            <w:tcW w:w="2790" w:type="dxa"/>
            <w:vAlign w:val="center"/>
          </w:tcPr>
          <w:p w:rsidR="005279F8" w:rsidRPr="005D1B10" w:rsidRDefault="00532A19" w:rsidP="006060FB">
            <w:pPr>
              <w:spacing w:after="0"/>
              <w:rPr>
                <w:rFonts w:ascii="Times New Roman" w:hAnsi="Times New Roman"/>
              </w:rPr>
            </w:pPr>
            <w:r>
              <w:rPr>
                <w:rFonts w:ascii="Times New Roman" w:hAnsi="Times New Roman"/>
              </w:rPr>
              <w:t>N</w:t>
            </w:r>
            <w:r w:rsidR="005279F8" w:rsidRPr="005D1B10">
              <w:rPr>
                <w:rFonts w:ascii="Times New Roman" w:hAnsi="Times New Roman"/>
              </w:rPr>
              <w:t xml:space="preserve">oteikumu projekta 5.punktā izteiktais noteikumu Nr.250 </w:t>
            </w:r>
            <w:r w:rsidR="005D1B10" w:rsidRPr="005D1B10">
              <w:rPr>
                <w:rFonts w:ascii="Times New Roman" w:eastAsiaTheme="minorHAnsi" w:hAnsi="Times New Roman"/>
                <w:color w:val="000000"/>
              </w:rPr>
              <w:t>73.</w:t>
            </w:r>
            <w:r w:rsidR="005D1B10" w:rsidRPr="005D1B10">
              <w:rPr>
                <w:rFonts w:ascii="Times New Roman" w:eastAsiaTheme="minorHAnsi" w:hAnsi="Times New Roman"/>
                <w:color w:val="000000"/>
                <w:vertAlign w:val="superscript"/>
              </w:rPr>
              <w:t>7</w:t>
            </w:r>
            <w:r w:rsidR="005D1B10" w:rsidRPr="005D1B10">
              <w:rPr>
                <w:rFonts w:ascii="Times New Roman" w:eastAsiaTheme="minorHAnsi" w:hAnsi="Times New Roman"/>
                <w:color w:val="000000"/>
              </w:rPr>
              <w:t>1</w:t>
            </w:r>
            <w:r w:rsidR="005279F8" w:rsidRPr="005D1B10">
              <w:rPr>
                <w:rFonts w:ascii="Times New Roman" w:hAnsi="Times New Roman"/>
              </w:rPr>
              <w:t>.apakšpunkts</w:t>
            </w:r>
          </w:p>
        </w:tc>
        <w:tc>
          <w:tcPr>
            <w:tcW w:w="2126" w:type="dxa"/>
            <w:vAlign w:val="center"/>
          </w:tcPr>
          <w:p w:rsidR="005279F8" w:rsidRPr="005D1B10" w:rsidRDefault="009B021C" w:rsidP="006060FB">
            <w:pPr>
              <w:spacing w:after="0"/>
              <w:ind w:left="57"/>
              <w:rPr>
                <w:rFonts w:ascii="Times New Roman" w:hAnsi="Times New Roman"/>
              </w:rPr>
            </w:pPr>
            <w:r>
              <w:rPr>
                <w:rFonts w:ascii="Times New Roman" w:hAnsi="Times New Roman"/>
              </w:rPr>
              <w:t>P</w:t>
            </w:r>
            <w:r w:rsidR="005279F8" w:rsidRPr="005D1B10">
              <w:rPr>
                <w:rFonts w:ascii="Times New Roman" w:hAnsi="Times New Roman"/>
              </w:rPr>
              <w:t>ārņemts pilnībā</w:t>
            </w:r>
          </w:p>
        </w:tc>
        <w:tc>
          <w:tcPr>
            <w:tcW w:w="2976" w:type="dxa"/>
            <w:vAlign w:val="center"/>
          </w:tcPr>
          <w:p w:rsidR="005279F8" w:rsidRPr="005D1B10" w:rsidRDefault="005279F8" w:rsidP="006060FB">
            <w:pPr>
              <w:pStyle w:val="naisc"/>
              <w:spacing w:before="0" w:after="0"/>
              <w:jc w:val="both"/>
              <w:rPr>
                <w:sz w:val="22"/>
                <w:szCs w:val="22"/>
              </w:rPr>
            </w:pPr>
            <w:r w:rsidRPr="005D1B10">
              <w:rPr>
                <w:spacing w:val="-2"/>
                <w:sz w:val="22"/>
                <w:szCs w:val="22"/>
              </w:rPr>
              <w:t>Nav noteiktas stingrākas prasības</w:t>
            </w:r>
            <w:r w:rsidRPr="005D1B10" w:rsidDel="007B685B">
              <w:rPr>
                <w:sz w:val="22"/>
                <w:szCs w:val="22"/>
              </w:rPr>
              <w:t xml:space="preserve"> </w:t>
            </w:r>
          </w:p>
        </w:tc>
      </w:tr>
      <w:tr w:rsidR="005279F8" w:rsidRPr="005D1B10" w:rsidTr="006060FB">
        <w:trPr>
          <w:trHeight w:val="284"/>
          <w:jc w:val="center"/>
        </w:trPr>
        <w:tc>
          <w:tcPr>
            <w:tcW w:w="1747" w:type="dxa"/>
            <w:vAlign w:val="center"/>
          </w:tcPr>
          <w:p w:rsidR="005279F8" w:rsidRPr="005D1B10" w:rsidRDefault="005279F8" w:rsidP="006060FB">
            <w:pPr>
              <w:spacing w:after="0"/>
              <w:rPr>
                <w:rFonts w:ascii="Times New Roman" w:hAnsi="Times New Roman"/>
              </w:rPr>
            </w:pPr>
            <w:r w:rsidRPr="005D1B10">
              <w:rPr>
                <w:rFonts w:ascii="Times New Roman" w:hAnsi="Times New Roman"/>
              </w:rPr>
              <w:t>7.panta 1.punkta „b” apakšpunkts</w:t>
            </w:r>
          </w:p>
        </w:tc>
        <w:tc>
          <w:tcPr>
            <w:tcW w:w="2790" w:type="dxa"/>
            <w:vAlign w:val="center"/>
          </w:tcPr>
          <w:p w:rsidR="005279F8" w:rsidRPr="005D1B10" w:rsidRDefault="009B021C" w:rsidP="006060FB">
            <w:pPr>
              <w:spacing w:after="0"/>
              <w:rPr>
                <w:rFonts w:ascii="Times New Roman" w:hAnsi="Times New Roman"/>
              </w:rPr>
            </w:pPr>
            <w:r>
              <w:rPr>
                <w:rFonts w:ascii="Times New Roman" w:hAnsi="Times New Roman"/>
              </w:rPr>
              <w:t>N</w:t>
            </w:r>
            <w:r w:rsidR="005279F8" w:rsidRPr="005D1B10">
              <w:rPr>
                <w:rFonts w:ascii="Times New Roman" w:hAnsi="Times New Roman"/>
              </w:rPr>
              <w:t xml:space="preserve">oteikumu projekta 5.punktā izteiktais noteikumu Nr.250 </w:t>
            </w:r>
            <w:r w:rsidR="005D1B10" w:rsidRPr="005D1B10">
              <w:rPr>
                <w:rFonts w:ascii="Times New Roman" w:hAnsi="Times New Roman"/>
              </w:rPr>
              <w:t>73.</w:t>
            </w:r>
            <w:r w:rsidR="005D1B10" w:rsidRPr="005D1B10">
              <w:rPr>
                <w:rFonts w:ascii="Times New Roman" w:hAnsi="Times New Roman"/>
                <w:vertAlign w:val="superscript"/>
              </w:rPr>
              <w:t>7</w:t>
            </w:r>
            <w:r w:rsidR="005D1B10" w:rsidRPr="005D1B10">
              <w:rPr>
                <w:rFonts w:ascii="Times New Roman" w:eastAsiaTheme="minorHAnsi" w:hAnsi="Times New Roman"/>
                <w:color w:val="000000"/>
              </w:rPr>
              <w:t>2</w:t>
            </w:r>
            <w:r w:rsidR="005279F8" w:rsidRPr="005D1B10">
              <w:rPr>
                <w:rFonts w:ascii="Times New Roman" w:hAnsi="Times New Roman"/>
              </w:rPr>
              <w:t>.apakšpunkts</w:t>
            </w:r>
          </w:p>
        </w:tc>
        <w:tc>
          <w:tcPr>
            <w:tcW w:w="2126" w:type="dxa"/>
            <w:vAlign w:val="center"/>
          </w:tcPr>
          <w:p w:rsidR="005279F8" w:rsidRPr="005D1B10" w:rsidRDefault="009B021C" w:rsidP="006060FB">
            <w:pPr>
              <w:spacing w:after="0"/>
              <w:ind w:left="57"/>
              <w:rPr>
                <w:rFonts w:ascii="Times New Roman" w:hAnsi="Times New Roman"/>
              </w:rPr>
            </w:pPr>
            <w:r>
              <w:rPr>
                <w:rFonts w:ascii="Times New Roman" w:hAnsi="Times New Roman"/>
              </w:rPr>
              <w:t>P</w:t>
            </w:r>
            <w:r w:rsidR="005279F8" w:rsidRPr="005D1B10">
              <w:rPr>
                <w:rFonts w:ascii="Times New Roman" w:hAnsi="Times New Roman"/>
              </w:rPr>
              <w:t>ārņemts pilnībā</w:t>
            </w:r>
          </w:p>
        </w:tc>
        <w:tc>
          <w:tcPr>
            <w:tcW w:w="2976" w:type="dxa"/>
            <w:vAlign w:val="center"/>
          </w:tcPr>
          <w:p w:rsidR="005279F8" w:rsidRPr="005D1B10" w:rsidRDefault="005279F8" w:rsidP="006060FB">
            <w:pPr>
              <w:pStyle w:val="naisc"/>
              <w:spacing w:before="0" w:after="0"/>
              <w:jc w:val="both"/>
              <w:rPr>
                <w:sz w:val="22"/>
                <w:szCs w:val="22"/>
              </w:rPr>
            </w:pPr>
            <w:r w:rsidRPr="005D1B10">
              <w:rPr>
                <w:spacing w:val="-2"/>
                <w:sz w:val="22"/>
                <w:szCs w:val="22"/>
              </w:rPr>
              <w:t>Nav noteiktas stingrākas prasības</w:t>
            </w:r>
            <w:r w:rsidRPr="005D1B10" w:rsidDel="007B685B">
              <w:rPr>
                <w:sz w:val="22"/>
                <w:szCs w:val="22"/>
              </w:rPr>
              <w:t xml:space="preserve"> </w:t>
            </w:r>
          </w:p>
        </w:tc>
      </w:tr>
      <w:tr w:rsidR="005279F8" w:rsidRPr="005D1B10" w:rsidTr="006060FB">
        <w:trPr>
          <w:trHeight w:val="284"/>
          <w:jc w:val="center"/>
        </w:trPr>
        <w:tc>
          <w:tcPr>
            <w:tcW w:w="1747" w:type="dxa"/>
            <w:vAlign w:val="center"/>
          </w:tcPr>
          <w:p w:rsidR="005279F8" w:rsidRPr="005D1B10" w:rsidRDefault="005279F8" w:rsidP="006060FB">
            <w:pPr>
              <w:spacing w:after="0"/>
              <w:rPr>
                <w:rFonts w:ascii="Times New Roman" w:hAnsi="Times New Roman"/>
              </w:rPr>
            </w:pPr>
            <w:r w:rsidRPr="005D1B10">
              <w:rPr>
                <w:rFonts w:ascii="Times New Roman" w:hAnsi="Times New Roman"/>
              </w:rPr>
              <w:t>7.panta 1.punkta „c” apakšpunkts</w:t>
            </w:r>
          </w:p>
        </w:tc>
        <w:tc>
          <w:tcPr>
            <w:tcW w:w="2790" w:type="dxa"/>
            <w:vAlign w:val="center"/>
          </w:tcPr>
          <w:p w:rsidR="005279F8" w:rsidRPr="005D1B10" w:rsidRDefault="009B021C" w:rsidP="006060FB">
            <w:pPr>
              <w:spacing w:after="0"/>
              <w:rPr>
                <w:rFonts w:ascii="Times New Roman" w:hAnsi="Times New Roman"/>
              </w:rPr>
            </w:pPr>
            <w:r>
              <w:rPr>
                <w:rFonts w:ascii="Times New Roman" w:hAnsi="Times New Roman"/>
              </w:rPr>
              <w:t>N</w:t>
            </w:r>
            <w:r w:rsidR="005279F8" w:rsidRPr="005D1B10">
              <w:rPr>
                <w:rFonts w:ascii="Times New Roman" w:hAnsi="Times New Roman"/>
              </w:rPr>
              <w:t xml:space="preserve">oteikumu projekta 5.punktā izteiktais noteikumu Nr.250 </w:t>
            </w:r>
            <w:r w:rsidR="005D1B10" w:rsidRPr="005D1B10">
              <w:rPr>
                <w:rFonts w:ascii="Times New Roman" w:eastAsiaTheme="minorHAnsi" w:hAnsi="Times New Roman"/>
                <w:color w:val="000000"/>
              </w:rPr>
              <w:t>73.</w:t>
            </w:r>
            <w:r w:rsidR="005D1B10" w:rsidRPr="005D1B10">
              <w:rPr>
                <w:rFonts w:ascii="Times New Roman" w:eastAsiaTheme="minorHAnsi" w:hAnsi="Times New Roman"/>
                <w:color w:val="000000"/>
                <w:vertAlign w:val="superscript"/>
              </w:rPr>
              <w:t>8</w:t>
            </w:r>
            <w:r w:rsidR="005279F8" w:rsidRPr="005D1B10">
              <w:rPr>
                <w:rFonts w:ascii="Times New Roman" w:hAnsi="Times New Roman"/>
              </w:rPr>
              <w:t>.punkts</w:t>
            </w:r>
          </w:p>
        </w:tc>
        <w:tc>
          <w:tcPr>
            <w:tcW w:w="2126" w:type="dxa"/>
            <w:vAlign w:val="center"/>
          </w:tcPr>
          <w:p w:rsidR="005279F8" w:rsidRPr="005D1B10" w:rsidRDefault="009B021C" w:rsidP="006060FB">
            <w:pPr>
              <w:spacing w:after="0"/>
              <w:ind w:left="57"/>
              <w:rPr>
                <w:rFonts w:ascii="Times New Roman" w:hAnsi="Times New Roman"/>
              </w:rPr>
            </w:pPr>
            <w:r>
              <w:rPr>
                <w:rFonts w:ascii="Times New Roman" w:hAnsi="Times New Roman"/>
              </w:rPr>
              <w:t>P</w:t>
            </w:r>
            <w:r w:rsidR="005279F8" w:rsidRPr="005D1B10">
              <w:rPr>
                <w:rFonts w:ascii="Times New Roman" w:hAnsi="Times New Roman"/>
              </w:rPr>
              <w:t>ārņemts pilnībā</w:t>
            </w:r>
          </w:p>
        </w:tc>
        <w:tc>
          <w:tcPr>
            <w:tcW w:w="2976" w:type="dxa"/>
            <w:vAlign w:val="center"/>
          </w:tcPr>
          <w:p w:rsidR="005279F8" w:rsidRPr="005D1B10" w:rsidRDefault="005279F8" w:rsidP="006060FB">
            <w:pPr>
              <w:pStyle w:val="naisc"/>
              <w:spacing w:before="0" w:after="0"/>
              <w:jc w:val="both"/>
              <w:rPr>
                <w:sz w:val="22"/>
                <w:szCs w:val="22"/>
              </w:rPr>
            </w:pPr>
            <w:r w:rsidRPr="005D1B10">
              <w:rPr>
                <w:spacing w:val="-2"/>
                <w:sz w:val="22"/>
                <w:szCs w:val="22"/>
              </w:rPr>
              <w:t>Nav noteiktas stingrākas prasības</w:t>
            </w:r>
            <w:r w:rsidRPr="005D1B10" w:rsidDel="007B685B">
              <w:rPr>
                <w:sz w:val="22"/>
                <w:szCs w:val="22"/>
              </w:rPr>
              <w:t xml:space="preserve"> </w:t>
            </w:r>
          </w:p>
        </w:tc>
      </w:tr>
      <w:tr w:rsidR="005279F8" w:rsidRPr="005D1B10" w:rsidTr="006060FB">
        <w:trPr>
          <w:trHeight w:val="284"/>
          <w:jc w:val="center"/>
        </w:trPr>
        <w:tc>
          <w:tcPr>
            <w:tcW w:w="1747" w:type="dxa"/>
            <w:vAlign w:val="center"/>
          </w:tcPr>
          <w:p w:rsidR="005279F8" w:rsidRPr="005D1B10" w:rsidRDefault="005279F8" w:rsidP="006060FB">
            <w:pPr>
              <w:spacing w:after="0"/>
              <w:rPr>
                <w:rFonts w:ascii="Times New Roman" w:hAnsi="Times New Roman"/>
              </w:rPr>
            </w:pPr>
            <w:r w:rsidRPr="005D1B10">
              <w:rPr>
                <w:rFonts w:ascii="Times New Roman" w:hAnsi="Times New Roman"/>
              </w:rPr>
              <w:t>7.panta 2.punkta „a”apakšpunkts</w:t>
            </w:r>
          </w:p>
        </w:tc>
        <w:tc>
          <w:tcPr>
            <w:tcW w:w="2790" w:type="dxa"/>
            <w:vAlign w:val="center"/>
          </w:tcPr>
          <w:p w:rsidR="005279F8" w:rsidRPr="005D1B10" w:rsidRDefault="009B021C" w:rsidP="006060FB">
            <w:pPr>
              <w:spacing w:after="0"/>
              <w:rPr>
                <w:rFonts w:ascii="Times New Roman" w:hAnsi="Times New Roman"/>
              </w:rPr>
            </w:pPr>
            <w:r>
              <w:rPr>
                <w:rFonts w:ascii="Times New Roman" w:hAnsi="Times New Roman"/>
              </w:rPr>
              <w:t>N</w:t>
            </w:r>
            <w:r w:rsidR="005279F8" w:rsidRPr="005D1B10">
              <w:rPr>
                <w:rFonts w:ascii="Times New Roman" w:hAnsi="Times New Roman"/>
              </w:rPr>
              <w:t xml:space="preserve">oteikumu projekta 5.punktā izteiktais noteikumu Nr.250 </w:t>
            </w:r>
            <w:r w:rsidR="005D1B10" w:rsidRPr="005D1B10">
              <w:rPr>
                <w:rFonts w:ascii="Times New Roman" w:eastAsiaTheme="minorHAnsi" w:hAnsi="Times New Roman"/>
                <w:color w:val="000000"/>
              </w:rPr>
              <w:t>73.</w:t>
            </w:r>
            <w:r w:rsidR="005D1B10" w:rsidRPr="005D1B10">
              <w:rPr>
                <w:rFonts w:ascii="Times New Roman" w:eastAsiaTheme="minorHAnsi" w:hAnsi="Times New Roman"/>
                <w:color w:val="000000"/>
                <w:vertAlign w:val="superscript"/>
              </w:rPr>
              <w:t>7</w:t>
            </w:r>
            <w:r w:rsidR="005D1B10" w:rsidRPr="005D1B10">
              <w:rPr>
                <w:rFonts w:ascii="Times New Roman" w:eastAsiaTheme="minorHAnsi" w:hAnsi="Times New Roman"/>
                <w:color w:val="000000"/>
              </w:rPr>
              <w:t>2.1</w:t>
            </w:r>
            <w:r w:rsidR="005279F8" w:rsidRPr="005D1B10">
              <w:rPr>
                <w:rFonts w:ascii="Times New Roman" w:hAnsi="Times New Roman"/>
              </w:rPr>
              <w:t>.apakšpunkts</w:t>
            </w:r>
          </w:p>
        </w:tc>
        <w:tc>
          <w:tcPr>
            <w:tcW w:w="2126" w:type="dxa"/>
            <w:vAlign w:val="center"/>
          </w:tcPr>
          <w:p w:rsidR="005279F8" w:rsidRPr="005D1B10" w:rsidRDefault="009B021C" w:rsidP="006060FB">
            <w:pPr>
              <w:spacing w:after="0"/>
              <w:ind w:left="57"/>
              <w:rPr>
                <w:rFonts w:ascii="Times New Roman" w:hAnsi="Times New Roman"/>
              </w:rPr>
            </w:pPr>
            <w:r>
              <w:rPr>
                <w:rFonts w:ascii="Times New Roman" w:hAnsi="Times New Roman"/>
              </w:rPr>
              <w:t>P</w:t>
            </w:r>
            <w:r w:rsidR="005279F8" w:rsidRPr="005D1B10">
              <w:rPr>
                <w:rFonts w:ascii="Times New Roman" w:hAnsi="Times New Roman"/>
              </w:rPr>
              <w:t>ārņemts pilnībā</w:t>
            </w:r>
          </w:p>
        </w:tc>
        <w:tc>
          <w:tcPr>
            <w:tcW w:w="2976" w:type="dxa"/>
            <w:vAlign w:val="center"/>
          </w:tcPr>
          <w:p w:rsidR="005279F8" w:rsidRPr="005D1B10" w:rsidRDefault="005279F8" w:rsidP="006060FB">
            <w:pPr>
              <w:pStyle w:val="naisc"/>
              <w:spacing w:before="0" w:after="0"/>
              <w:jc w:val="both"/>
              <w:rPr>
                <w:sz w:val="22"/>
                <w:szCs w:val="22"/>
              </w:rPr>
            </w:pPr>
            <w:r w:rsidRPr="005D1B10">
              <w:rPr>
                <w:spacing w:val="-2"/>
                <w:sz w:val="22"/>
                <w:szCs w:val="22"/>
              </w:rPr>
              <w:t>Nav noteiktas stingrākas prasības</w:t>
            </w:r>
            <w:r w:rsidRPr="005D1B10" w:rsidDel="007B685B">
              <w:rPr>
                <w:sz w:val="22"/>
                <w:szCs w:val="22"/>
              </w:rPr>
              <w:t xml:space="preserve"> </w:t>
            </w:r>
          </w:p>
        </w:tc>
      </w:tr>
      <w:tr w:rsidR="005279F8" w:rsidRPr="005D1B10" w:rsidTr="006060FB">
        <w:trPr>
          <w:trHeight w:val="284"/>
          <w:jc w:val="center"/>
        </w:trPr>
        <w:tc>
          <w:tcPr>
            <w:tcW w:w="1747" w:type="dxa"/>
            <w:vAlign w:val="center"/>
          </w:tcPr>
          <w:p w:rsidR="005279F8" w:rsidRPr="005D1B10" w:rsidRDefault="005279F8" w:rsidP="006060FB">
            <w:pPr>
              <w:spacing w:after="0"/>
              <w:rPr>
                <w:rFonts w:ascii="Times New Roman" w:hAnsi="Times New Roman"/>
              </w:rPr>
            </w:pPr>
            <w:r w:rsidRPr="005D1B10">
              <w:rPr>
                <w:rFonts w:ascii="Times New Roman" w:hAnsi="Times New Roman"/>
              </w:rPr>
              <w:t>7.panta 2.punkta „b”apakšpunkts</w:t>
            </w:r>
          </w:p>
        </w:tc>
        <w:tc>
          <w:tcPr>
            <w:tcW w:w="2790" w:type="dxa"/>
            <w:vAlign w:val="center"/>
          </w:tcPr>
          <w:p w:rsidR="005279F8" w:rsidRPr="005D1B10" w:rsidRDefault="009B021C" w:rsidP="006060FB">
            <w:pPr>
              <w:spacing w:after="0"/>
              <w:rPr>
                <w:rFonts w:ascii="Times New Roman" w:hAnsi="Times New Roman"/>
              </w:rPr>
            </w:pPr>
            <w:r>
              <w:rPr>
                <w:rFonts w:ascii="Times New Roman" w:hAnsi="Times New Roman"/>
              </w:rPr>
              <w:t>N</w:t>
            </w:r>
            <w:r w:rsidR="005279F8" w:rsidRPr="005D1B10">
              <w:rPr>
                <w:rFonts w:ascii="Times New Roman" w:hAnsi="Times New Roman"/>
              </w:rPr>
              <w:t xml:space="preserve">oteikumu projekta 5.punktā izteiktais noteikumu Nr.250 </w:t>
            </w:r>
            <w:r w:rsidR="005D1B10" w:rsidRPr="005D1B10">
              <w:rPr>
                <w:rFonts w:ascii="Times New Roman" w:eastAsiaTheme="minorHAnsi" w:hAnsi="Times New Roman"/>
                <w:color w:val="000000"/>
              </w:rPr>
              <w:t>73.</w:t>
            </w:r>
            <w:r w:rsidR="005D1B10" w:rsidRPr="005D1B10">
              <w:rPr>
                <w:rFonts w:ascii="Times New Roman" w:eastAsiaTheme="minorHAnsi" w:hAnsi="Times New Roman"/>
                <w:color w:val="000000"/>
                <w:vertAlign w:val="superscript"/>
              </w:rPr>
              <w:t>7</w:t>
            </w:r>
            <w:r w:rsidR="005D1B10" w:rsidRPr="005D1B10">
              <w:rPr>
                <w:rFonts w:ascii="Times New Roman" w:eastAsiaTheme="minorHAnsi" w:hAnsi="Times New Roman"/>
                <w:color w:val="000000"/>
              </w:rPr>
              <w:t xml:space="preserve">2.2. </w:t>
            </w:r>
            <w:r w:rsidR="005279F8" w:rsidRPr="005D1B10">
              <w:rPr>
                <w:rFonts w:ascii="Times New Roman" w:hAnsi="Times New Roman"/>
              </w:rPr>
              <w:t>apakšpunkts</w:t>
            </w:r>
          </w:p>
        </w:tc>
        <w:tc>
          <w:tcPr>
            <w:tcW w:w="2126" w:type="dxa"/>
            <w:vAlign w:val="center"/>
          </w:tcPr>
          <w:p w:rsidR="005279F8" w:rsidRPr="005D1B10" w:rsidRDefault="009B021C" w:rsidP="006060FB">
            <w:pPr>
              <w:spacing w:after="0"/>
              <w:ind w:left="57"/>
              <w:rPr>
                <w:rFonts w:ascii="Times New Roman" w:hAnsi="Times New Roman"/>
              </w:rPr>
            </w:pPr>
            <w:r>
              <w:rPr>
                <w:rFonts w:ascii="Times New Roman" w:hAnsi="Times New Roman"/>
              </w:rPr>
              <w:t>P</w:t>
            </w:r>
            <w:r w:rsidR="005279F8" w:rsidRPr="005D1B10">
              <w:rPr>
                <w:rFonts w:ascii="Times New Roman" w:hAnsi="Times New Roman"/>
              </w:rPr>
              <w:t>ārņemts pilnībā</w:t>
            </w:r>
          </w:p>
        </w:tc>
        <w:tc>
          <w:tcPr>
            <w:tcW w:w="2976" w:type="dxa"/>
            <w:vAlign w:val="center"/>
          </w:tcPr>
          <w:p w:rsidR="005279F8" w:rsidRPr="005D1B10" w:rsidRDefault="005279F8" w:rsidP="006060FB">
            <w:pPr>
              <w:pStyle w:val="naisc"/>
              <w:spacing w:before="0" w:after="0"/>
              <w:jc w:val="both"/>
              <w:rPr>
                <w:sz w:val="22"/>
                <w:szCs w:val="22"/>
              </w:rPr>
            </w:pPr>
            <w:r w:rsidRPr="005D1B10">
              <w:rPr>
                <w:spacing w:val="-2"/>
                <w:sz w:val="22"/>
                <w:szCs w:val="22"/>
              </w:rPr>
              <w:t>Nav noteiktas stingrākas prasības</w:t>
            </w:r>
            <w:r w:rsidRPr="005D1B10" w:rsidDel="007B685B">
              <w:rPr>
                <w:sz w:val="22"/>
                <w:szCs w:val="22"/>
              </w:rPr>
              <w:t xml:space="preserve"> </w:t>
            </w:r>
          </w:p>
        </w:tc>
      </w:tr>
      <w:tr w:rsidR="000834E4" w:rsidRPr="005D1B10" w:rsidTr="006060FB">
        <w:trPr>
          <w:trHeight w:val="284"/>
          <w:jc w:val="center"/>
        </w:trPr>
        <w:tc>
          <w:tcPr>
            <w:tcW w:w="1747" w:type="dxa"/>
            <w:vAlign w:val="center"/>
          </w:tcPr>
          <w:p w:rsidR="000834E4" w:rsidRPr="005D1B10" w:rsidRDefault="000834E4" w:rsidP="006060FB">
            <w:pPr>
              <w:spacing w:after="0"/>
              <w:rPr>
                <w:rFonts w:ascii="Times New Roman" w:hAnsi="Times New Roman"/>
              </w:rPr>
            </w:pPr>
            <w:r w:rsidRPr="005D1B10">
              <w:rPr>
                <w:rFonts w:ascii="Times New Roman" w:hAnsi="Times New Roman"/>
              </w:rPr>
              <w:t>8.pants</w:t>
            </w:r>
          </w:p>
        </w:tc>
        <w:tc>
          <w:tcPr>
            <w:tcW w:w="2790" w:type="dxa"/>
            <w:vAlign w:val="center"/>
          </w:tcPr>
          <w:p w:rsidR="000834E4" w:rsidRPr="005D1B10" w:rsidRDefault="009B021C" w:rsidP="006060FB">
            <w:pPr>
              <w:spacing w:after="0"/>
              <w:rPr>
                <w:rFonts w:ascii="Times New Roman" w:hAnsi="Times New Roman"/>
              </w:rPr>
            </w:pPr>
            <w:r>
              <w:rPr>
                <w:rFonts w:ascii="Times New Roman" w:hAnsi="Times New Roman"/>
              </w:rPr>
              <w:t>A</w:t>
            </w:r>
            <w:r w:rsidR="000834E4" w:rsidRPr="005D1B10">
              <w:rPr>
                <w:rFonts w:ascii="Times New Roman" w:hAnsi="Times New Roman"/>
              </w:rPr>
              <w:t>ttiecas uz Eiropas Komisij</w:t>
            </w:r>
            <w:r>
              <w:rPr>
                <w:rFonts w:ascii="Times New Roman" w:hAnsi="Times New Roman"/>
              </w:rPr>
              <w:t>as pilnvarām</w:t>
            </w:r>
          </w:p>
        </w:tc>
        <w:tc>
          <w:tcPr>
            <w:tcW w:w="2126" w:type="dxa"/>
            <w:vAlign w:val="center"/>
          </w:tcPr>
          <w:p w:rsidR="000834E4" w:rsidRPr="005D1B10" w:rsidRDefault="000834E4" w:rsidP="006060FB">
            <w:pPr>
              <w:spacing w:after="0"/>
              <w:ind w:left="57"/>
              <w:rPr>
                <w:rFonts w:ascii="Times New Roman" w:hAnsi="Times New Roman"/>
              </w:rPr>
            </w:pPr>
          </w:p>
        </w:tc>
        <w:tc>
          <w:tcPr>
            <w:tcW w:w="2976" w:type="dxa"/>
            <w:vAlign w:val="center"/>
          </w:tcPr>
          <w:p w:rsidR="000834E4" w:rsidRPr="005D1B10" w:rsidRDefault="000834E4" w:rsidP="006060FB">
            <w:pPr>
              <w:pStyle w:val="naisc"/>
              <w:spacing w:before="0" w:after="0"/>
              <w:jc w:val="both"/>
              <w:rPr>
                <w:sz w:val="22"/>
                <w:szCs w:val="22"/>
              </w:rPr>
            </w:pPr>
          </w:p>
        </w:tc>
      </w:tr>
      <w:tr w:rsidR="000834E4" w:rsidRPr="005D1B10" w:rsidTr="006060FB">
        <w:trPr>
          <w:trHeight w:val="284"/>
          <w:jc w:val="center"/>
        </w:trPr>
        <w:tc>
          <w:tcPr>
            <w:tcW w:w="1747" w:type="dxa"/>
            <w:vAlign w:val="center"/>
          </w:tcPr>
          <w:p w:rsidR="000834E4" w:rsidRPr="005D1B10" w:rsidRDefault="000834E4" w:rsidP="006060FB">
            <w:pPr>
              <w:spacing w:after="0"/>
              <w:rPr>
                <w:rFonts w:ascii="Times New Roman" w:hAnsi="Times New Roman"/>
              </w:rPr>
            </w:pPr>
            <w:r w:rsidRPr="005D1B10">
              <w:rPr>
                <w:rFonts w:ascii="Times New Roman" w:hAnsi="Times New Roman"/>
              </w:rPr>
              <w:t>9.pants</w:t>
            </w:r>
          </w:p>
        </w:tc>
        <w:tc>
          <w:tcPr>
            <w:tcW w:w="2790" w:type="dxa"/>
            <w:vAlign w:val="center"/>
          </w:tcPr>
          <w:p w:rsidR="000834E4" w:rsidRPr="005D1B10" w:rsidRDefault="009B021C" w:rsidP="006060FB">
            <w:pPr>
              <w:spacing w:after="0"/>
              <w:rPr>
                <w:rFonts w:ascii="Times New Roman" w:hAnsi="Times New Roman"/>
              </w:rPr>
            </w:pPr>
            <w:r>
              <w:rPr>
                <w:rFonts w:ascii="Times New Roman" w:hAnsi="Times New Roman"/>
              </w:rPr>
              <w:t>A</w:t>
            </w:r>
            <w:r w:rsidR="000834E4" w:rsidRPr="005D1B10">
              <w:rPr>
                <w:rFonts w:ascii="Times New Roman" w:hAnsi="Times New Roman"/>
              </w:rPr>
              <w:t>ttiecas uz laika periodu līdz 2010.gada 31.decembrim</w:t>
            </w:r>
            <w:r>
              <w:rPr>
                <w:rFonts w:ascii="Times New Roman" w:hAnsi="Times New Roman"/>
              </w:rPr>
              <w:t>;</w:t>
            </w:r>
          </w:p>
          <w:p w:rsidR="000834E4" w:rsidRPr="005D1B10" w:rsidRDefault="009B021C" w:rsidP="006060FB">
            <w:pPr>
              <w:spacing w:after="0"/>
              <w:rPr>
                <w:rFonts w:ascii="Times New Roman" w:hAnsi="Times New Roman"/>
              </w:rPr>
            </w:pPr>
            <w:r>
              <w:rPr>
                <w:rFonts w:ascii="Times New Roman" w:hAnsi="Times New Roman"/>
              </w:rPr>
              <w:t>A</w:t>
            </w:r>
            <w:r w:rsidR="000834E4" w:rsidRPr="005D1B10">
              <w:rPr>
                <w:rFonts w:ascii="Times New Roman" w:hAnsi="Times New Roman"/>
              </w:rPr>
              <w:t>ttiecas uz Eiropas Komisij</w:t>
            </w:r>
            <w:r>
              <w:rPr>
                <w:rFonts w:ascii="Times New Roman" w:hAnsi="Times New Roman"/>
              </w:rPr>
              <w:t>as pilnvarām</w:t>
            </w:r>
          </w:p>
        </w:tc>
        <w:tc>
          <w:tcPr>
            <w:tcW w:w="2126" w:type="dxa"/>
            <w:vAlign w:val="center"/>
          </w:tcPr>
          <w:p w:rsidR="000834E4" w:rsidRPr="005D1B10" w:rsidRDefault="000834E4" w:rsidP="006060FB">
            <w:pPr>
              <w:spacing w:after="0"/>
              <w:ind w:left="57"/>
              <w:rPr>
                <w:rFonts w:ascii="Times New Roman" w:hAnsi="Times New Roman"/>
              </w:rPr>
            </w:pPr>
          </w:p>
        </w:tc>
        <w:tc>
          <w:tcPr>
            <w:tcW w:w="2976" w:type="dxa"/>
            <w:vAlign w:val="center"/>
          </w:tcPr>
          <w:p w:rsidR="000834E4" w:rsidRPr="005D1B10" w:rsidRDefault="000834E4" w:rsidP="006060FB">
            <w:pPr>
              <w:pStyle w:val="naisc"/>
              <w:spacing w:before="0" w:after="0"/>
              <w:jc w:val="both"/>
              <w:rPr>
                <w:sz w:val="22"/>
                <w:szCs w:val="22"/>
              </w:rPr>
            </w:pPr>
          </w:p>
        </w:tc>
      </w:tr>
      <w:tr w:rsidR="000834E4" w:rsidRPr="005D1B10" w:rsidTr="006060FB">
        <w:trPr>
          <w:trHeight w:val="284"/>
          <w:jc w:val="center"/>
        </w:trPr>
        <w:tc>
          <w:tcPr>
            <w:tcW w:w="1747" w:type="dxa"/>
            <w:vAlign w:val="center"/>
          </w:tcPr>
          <w:p w:rsidR="000834E4" w:rsidRPr="005D1B10" w:rsidRDefault="000834E4" w:rsidP="006060FB">
            <w:pPr>
              <w:spacing w:after="0"/>
              <w:rPr>
                <w:rFonts w:ascii="Times New Roman" w:hAnsi="Times New Roman"/>
              </w:rPr>
            </w:pPr>
            <w:r w:rsidRPr="005D1B10">
              <w:rPr>
                <w:rFonts w:ascii="Times New Roman" w:hAnsi="Times New Roman"/>
              </w:rPr>
              <w:t>10.pants</w:t>
            </w:r>
          </w:p>
        </w:tc>
        <w:tc>
          <w:tcPr>
            <w:tcW w:w="2790" w:type="dxa"/>
            <w:vAlign w:val="center"/>
          </w:tcPr>
          <w:p w:rsidR="000834E4" w:rsidRPr="005D1B10" w:rsidRDefault="009B021C" w:rsidP="006060FB">
            <w:pPr>
              <w:spacing w:after="0"/>
              <w:rPr>
                <w:rFonts w:ascii="Times New Roman" w:hAnsi="Times New Roman"/>
              </w:rPr>
            </w:pPr>
            <w:r>
              <w:rPr>
                <w:rFonts w:ascii="Times New Roman" w:hAnsi="Times New Roman"/>
              </w:rPr>
              <w:t>A</w:t>
            </w:r>
            <w:r w:rsidR="000834E4" w:rsidRPr="005D1B10">
              <w:rPr>
                <w:rFonts w:ascii="Times New Roman" w:hAnsi="Times New Roman"/>
              </w:rPr>
              <w:t>ttiecas uz Eiropas Komisij</w:t>
            </w:r>
            <w:r>
              <w:rPr>
                <w:rFonts w:ascii="Times New Roman" w:hAnsi="Times New Roman"/>
              </w:rPr>
              <w:t>as pilnvarām</w:t>
            </w:r>
          </w:p>
        </w:tc>
        <w:tc>
          <w:tcPr>
            <w:tcW w:w="2126" w:type="dxa"/>
            <w:vAlign w:val="center"/>
          </w:tcPr>
          <w:p w:rsidR="000834E4" w:rsidRPr="005D1B10" w:rsidRDefault="000834E4" w:rsidP="006060FB">
            <w:pPr>
              <w:spacing w:after="0"/>
              <w:ind w:left="57"/>
              <w:rPr>
                <w:rFonts w:ascii="Times New Roman" w:hAnsi="Times New Roman"/>
              </w:rPr>
            </w:pPr>
          </w:p>
        </w:tc>
        <w:tc>
          <w:tcPr>
            <w:tcW w:w="2976" w:type="dxa"/>
            <w:vAlign w:val="center"/>
          </w:tcPr>
          <w:p w:rsidR="000834E4" w:rsidRPr="005D1B10" w:rsidRDefault="000834E4" w:rsidP="006060FB">
            <w:pPr>
              <w:pStyle w:val="naisc"/>
              <w:spacing w:before="0" w:after="0"/>
              <w:jc w:val="both"/>
              <w:rPr>
                <w:sz w:val="22"/>
                <w:szCs w:val="22"/>
              </w:rPr>
            </w:pPr>
          </w:p>
        </w:tc>
      </w:tr>
      <w:tr w:rsidR="000834E4" w:rsidRPr="005D1B10" w:rsidTr="006060FB">
        <w:trPr>
          <w:trHeight w:val="284"/>
          <w:jc w:val="center"/>
        </w:trPr>
        <w:tc>
          <w:tcPr>
            <w:tcW w:w="1747" w:type="dxa"/>
            <w:vAlign w:val="center"/>
          </w:tcPr>
          <w:p w:rsidR="000834E4" w:rsidRPr="005D1B10" w:rsidRDefault="000834E4" w:rsidP="006060FB">
            <w:pPr>
              <w:spacing w:after="0"/>
              <w:rPr>
                <w:rFonts w:ascii="Times New Roman" w:hAnsi="Times New Roman"/>
              </w:rPr>
            </w:pPr>
            <w:r w:rsidRPr="005D1B10">
              <w:rPr>
                <w:rFonts w:ascii="Times New Roman" w:hAnsi="Times New Roman"/>
              </w:rPr>
              <w:t>11.panta 1.punkts</w:t>
            </w:r>
          </w:p>
        </w:tc>
        <w:tc>
          <w:tcPr>
            <w:tcW w:w="2790" w:type="dxa"/>
            <w:vAlign w:val="center"/>
          </w:tcPr>
          <w:p w:rsidR="000834E4" w:rsidRPr="005D1B10" w:rsidRDefault="009B021C" w:rsidP="006060FB">
            <w:pPr>
              <w:spacing w:after="0"/>
              <w:rPr>
                <w:rFonts w:ascii="Times New Roman" w:hAnsi="Times New Roman"/>
              </w:rPr>
            </w:pPr>
            <w:r>
              <w:rPr>
                <w:rFonts w:ascii="Times New Roman" w:hAnsi="Times New Roman"/>
              </w:rPr>
              <w:t>N</w:t>
            </w:r>
            <w:r w:rsidR="005D1B10" w:rsidRPr="005D1B10">
              <w:rPr>
                <w:rFonts w:ascii="Times New Roman" w:hAnsi="Times New Roman"/>
              </w:rPr>
              <w:t xml:space="preserve">oteikumu </w:t>
            </w:r>
            <w:r w:rsidR="000834E4" w:rsidRPr="005D1B10">
              <w:rPr>
                <w:rFonts w:ascii="Times New Roman" w:hAnsi="Times New Roman"/>
              </w:rPr>
              <w:t xml:space="preserve">projekta </w:t>
            </w:r>
            <w:r w:rsidR="005D2BCF" w:rsidRPr="005D1B10">
              <w:rPr>
                <w:rFonts w:ascii="Times New Roman" w:hAnsi="Times New Roman"/>
              </w:rPr>
              <w:t>2</w:t>
            </w:r>
            <w:r w:rsidR="000834E4" w:rsidRPr="005D1B10">
              <w:rPr>
                <w:rFonts w:ascii="Times New Roman" w:hAnsi="Times New Roman"/>
              </w:rPr>
              <w:t>.punkts</w:t>
            </w:r>
          </w:p>
          <w:p w:rsidR="000834E4" w:rsidRPr="005D1B10" w:rsidRDefault="000834E4" w:rsidP="006060FB">
            <w:pPr>
              <w:spacing w:after="0"/>
              <w:rPr>
                <w:rFonts w:ascii="Times New Roman" w:hAnsi="Times New Roman"/>
              </w:rPr>
            </w:pPr>
            <w:r w:rsidRPr="005D1B10">
              <w:rPr>
                <w:rFonts w:ascii="Times New Roman" w:hAnsi="Times New Roman"/>
              </w:rPr>
              <w:t>Eiropas Komisijas regula Nr.389/2013</w:t>
            </w:r>
          </w:p>
        </w:tc>
        <w:tc>
          <w:tcPr>
            <w:tcW w:w="2126" w:type="dxa"/>
            <w:vAlign w:val="center"/>
          </w:tcPr>
          <w:p w:rsidR="000834E4" w:rsidRPr="005D1B10" w:rsidRDefault="009B021C" w:rsidP="006060FB">
            <w:pPr>
              <w:spacing w:after="0"/>
              <w:ind w:left="57"/>
              <w:rPr>
                <w:rFonts w:ascii="Times New Roman" w:hAnsi="Times New Roman"/>
              </w:rPr>
            </w:pPr>
            <w:r>
              <w:rPr>
                <w:rFonts w:ascii="Times New Roman" w:hAnsi="Times New Roman"/>
              </w:rPr>
              <w:t>P</w:t>
            </w:r>
            <w:r w:rsidR="000834E4" w:rsidRPr="005D1B10">
              <w:rPr>
                <w:rFonts w:ascii="Times New Roman" w:hAnsi="Times New Roman"/>
              </w:rPr>
              <w:t>ārņemts pilnībā</w:t>
            </w:r>
          </w:p>
        </w:tc>
        <w:tc>
          <w:tcPr>
            <w:tcW w:w="2976" w:type="dxa"/>
            <w:vAlign w:val="center"/>
          </w:tcPr>
          <w:p w:rsidR="000834E4" w:rsidRPr="005D1B10" w:rsidRDefault="005279F8" w:rsidP="006060FB">
            <w:pPr>
              <w:pStyle w:val="naisc"/>
              <w:spacing w:before="0" w:after="0"/>
              <w:jc w:val="both"/>
              <w:rPr>
                <w:sz w:val="22"/>
                <w:szCs w:val="22"/>
              </w:rPr>
            </w:pPr>
            <w:r w:rsidRPr="005D1B10">
              <w:rPr>
                <w:spacing w:val="-2"/>
                <w:sz w:val="22"/>
                <w:szCs w:val="22"/>
              </w:rPr>
              <w:t>Nav noteiktas stingrākas prasības</w:t>
            </w:r>
          </w:p>
        </w:tc>
      </w:tr>
      <w:tr w:rsidR="000834E4" w:rsidRPr="005D1B10" w:rsidTr="006060FB">
        <w:trPr>
          <w:trHeight w:val="284"/>
          <w:jc w:val="center"/>
        </w:trPr>
        <w:tc>
          <w:tcPr>
            <w:tcW w:w="1747" w:type="dxa"/>
            <w:vAlign w:val="center"/>
          </w:tcPr>
          <w:p w:rsidR="000834E4" w:rsidRPr="005D1B10" w:rsidRDefault="000834E4" w:rsidP="006060FB">
            <w:pPr>
              <w:spacing w:after="0"/>
              <w:rPr>
                <w:rFonts w:ascii="Times New Roman" w:hAnsi="Times New Roman"/>
              </w:rPr>
            </w:pPr>
            <w:r w:rsidRPr="005D1B10">
              <w:rPr>
                <w:rFonts w:ascii="Times New Roman" w:hAnsi="Times New Roman"/>
              </w:rPr>
              <w:t>11.panta 2. un 3.punkts</w:t>
            </w:r>
          </w:p>
        </w:tc>
        <w:tc>
          <w:tcPr>
            <w:tcW w:w="2790" w:type="dxa"/>
            <w:vAlign w:val="center"/>
          </w:tcPr>
          <w:p w:rsidR="000834E4" w:rsidRPr="005D1B10" w:rsidRDefault="009B021C" w:rsidP="006060FB">
            <w:pPr>
              <w:spacing w:after="0"/>
              <w:rPr>
                <w:rFonts w:ascii="Times New Roman" w:hAnsi="Times New Roman"/>
              </w:rPr>
            </w:pPr>
            <w:r>
              <w:rPr>
                <w:rFonts w:ascii="Times New Roman" w:hAnsi="Times New Roman"/>
              </w:rPr>
              <w:t>A</w:t>
            </w:r>
            <w:r w:rsidR="000834E4" w:rsidRPr="005D1B10">
              <w:rPr>
                <w:rFonts w:ascii="Times New Roman" w:hAnsi="Times New Roman"/>
              </w:rPr>
              <w:t>ttiecas uz Eiropas Komisij</w:t>
            </w:r>
            <w:r>
              <w:rPr>
                <w:rFonts w:ascii="Times New Roman" w:hAnsi="Times New Roman"/>
              </w:rPr>
              <w:t>as pilnvarām</w:t>
            </w:r>
          </w:p>
        </w:tc>
        <w:tc>
          <w:tcPr>
            <w:tcW w:w="2126" w:type="dxa"/>
            <w:vAlign w:val="center"/>
          </w:tcPr>
          <w:p w:rsidR="000834E4" w:rsidRPr="005D1B10" w:rsidRDefault="000834E4" w:rsidP="006060FB">
            <w:pPr>
              <w:spacing w:after="0"/>
              <w:ind w:left="57"/>
              <w:rPr>
                <w:rFonts w:ascii="Times New Roman" w:hAnsi="Times New Roman"/>
              </w:rPr>
            </w:pPr>
          </w:p>
        </w:tc>
        <w:tc>
          <w:tcPr>
            <w:tcW w:w="2976" w:type="dxa"/>
            <w:vAlign w:val="center"/>
          </w:tcPr>
          <w:p w:rsidR="000834E4" w:rsidRPr="005D1B10" w:rsidRDefault="000834E4" w:rsidP="006060FB">
            <w:pPr>
              <w:pStyle w:val="naisc"/>
              <w:spacing w:before="0" w:after="0"/>
              <w:jc w:val="both"/>
              <w:rPr>
                <w:sz w:val="22"/>
                <w:szCs w:val="22"/>
              </w:rPr>
            </w:pPr>
          </w:p>
        </w:tc>
      </w:tr>
      <w:tr w:rsidR="000834E4" w:rsidRPr="005D1B10" w:rsidTr="006060FB">
        <w:trPr>
          <w:trHeight w:val="284"/>
          <w:jc w:val="center"/>
        </w:trPr>
        <w:tc>
          <w:tcPr>
            <w:tcW w:w="1747" w:type="dxa"/>
            <w:vAlign w:val="center"/>
          </w:tcPr>
          <w:p w:rsidR="000834E4" w:rsidRPr="005D1B10" w:rsidRDefault="000834E4" w:rsidP="006060FB">
            <w:pPr>
              <w:spacing w:after="0"/>
              <w:rPr>
                <w:rFonts w:ascii="Times New Roman" w:hAnsi="Times New Roman"/>
              </w:rPr>
            </w:pPr>
            <w:r w:rsidRPr="005D1B10">
              <w:rPr>
                <w:rFonts w:ascii="Times New Roman" w:hAnsi="Times New Roman"/>
              </w:rPr>
              <w:t>12.pants</w:t>
            </w:r>
          </w:p>
        </w:tc>
        <w:tc>
          <w:tcPr>
            <w:tcW w:w="2790" w:type="dxa"/>
            <w:vAlign w:val="center"/>
          </w:tcPr>
          <w:p w:rsidR="000834E4" w:rsidRPr="005D1B10" w:rsidRDefault="009B021C" w:rsidP="006060FB">
            <w:pPr>
              <w:spacing w:after="0"/>
              <w:rPr>
                <w:rFonts w:ascii="Times New Roman" w:hAnsi="Times New Roman"/>
              </w:rPr>
            </w:pPr>
            <w:r>
              <w:rPr>
                <w:rFonts w:ascii="Times New Roman" w:hAnsi="Times New Roman"/>
              </w:rPr>
              <w:t>A</w:t>
            </w:r>
            <w:r w:rsidR="000834E4" w:rsidRPr="005D1B10">
              <w:rPr>
                <w:rFonts w:ascii="Times New Roman" w:hAnsi="Times New Roman"/>
              </w:rPr>
              <w:t>ttiecas uz Eiropas Komisij</w:t>
            </w:r>
            <w:r>
              <w:rPr>
                <w:rFonts w:ascii="Times New Roman" w:hAnsi="Times New Roman"/>
              </w:rPr>
              <w:t xml:space="preserve">as </w:t>
            </w:r>
            <w:r>
              <w:rPr>
                <w:rFonts w:ascii="Times New Roman" w:hAnsi="Times New Roman"/>
              </w:rPr>
              <w:lastRenderedPageBreak/>
              <w:t>pilnvarām</w:t>
            </w:r>
          </w:p>
        </w:tc>
        <w:tc>
          <w:tcPr>
            <w:tcW w:w="2126" w:type="dxa"/>
            <w:vAlign w:val="center"/>
          </w:tcPr>
          <w:p w:rsidR="000834E4" w:rsidRPr="005D1B10" w:rsidRDefault="000834E4" w:rsidP="006060FB">
            <w:pPr>
              <w:spacing w:after="0"/>
              <w:ind w:left="57"/>
              <w:rPr>
                <w:rFonts w:ascii="Times New Roman" w:hAnsi="Times New Roman"/>
              </w:rPr>
            </w:pPr>
          </w:p>
        </w:tc>
        <w:tc>
          <w:tcPr>
            <w:tcW w:w="2976" w:type="dxa"/>
            <w:vAlign w:val="center"/>
          </w:tcPr>
          <w:p w:rsidR="000834E4" w:rsidRPr="005D1B10" w:rsidRDefault="000834E4" w:rsidP="006060FB">
            <w:pPr>
              <w:pStyle w:val="naisc"/>
              <w:spacing w:before="0" w:after="0"/>
              <w:jc w:val="both"/>
              <w:rPr>
                <w:sz w:val="22"/>
                <w:szCs w:val="22"/>
              </w:rPr>
            </w:pPr>
          </w:p>
        </w:tc>
      </w:tr>
      <w:tr w:rsidR="000834E4" w:rsidRPr="005D1B10" w:rsidTr="006060FB">
        <w:trPr>
          <w:trHeight w:val="284"/>
          <w:jc w:val="center"/>
        </w:trPr>
        <w:tc>
          <w:tcPr>
            <w:tcW w:w="1747" w:type="dxa"/>
            <w:vAlign w:val="center"/>
          </w:tcPr>
          <w:p w:rsidR="000834E4" w:rsidRPr="005D1B10" w:rsidRDefault="000834E4" w:rsidP="006060FB">
            <w:pPr>
              <w:spacing w:after="0"/>
              <w:rPr>
                <w:rFonts w:ascii="Times New Roman" w:hAnsi="Times New Roman"/>
              </w:rPr>
            </w:pPr>
            <w:r w:rsidRPr="005D1B10">
              <w:rPr>
                <w:rFonts w:ascii="Times New Roman" w:hAnsi="Times New Roman"/>
              </w:rPr>
              <w:t>13.pants</w:t>
            </w:r>
          </w:p>
        </w:tc>
        <w:tc>
          <w:tcPr>
            <w:tcW w:w="2790" w:type="dxa"/>
            <w:vAlign w:val="center"/>
          </w:tcPr>
          <w:p w:rsidR="000834E4" w:rsidRPr="005D1B10" w:rsidRDefault="009B021C" w:rsidP="006060FB">
            <w:pPr>
              <w:spacing w:after="0"/>
              <w:rPr>
                <w:rFonts w:ascii="Times New Roman" w:hAnsi="Times New Roman"/>
              </w:rPr>
            </w:pPr>
            <w:r>
              <w:rPr>
                <w:rFonts w:ascii="Times New Roman" w:hAnsi="Times New Roman"/>
              </w:rPr>
              <w:t>A</w:t>
            </w:r>
            <w:r w:rsidR="000834E4" w:rsidRPr="005D1B10">
              <w:rPr>
                <w:rFonts w:ascii="Times New Roman" w:hAnsi="Times New Roman"/>
              </w:rPr>
              <w:t>ttiecas uz Eiropas Komisij</w:t>
            </w:r>
            <w:r>
              <w:rPr>
                <w:rFonts w:ascii="Times New Roman" w:hAnsi="Times New Roman"/>
              </w:rPr>
              <w:t>as pilnvarām</w:t>
            </w:r>
          </w:p>
        </w:tc>
        <w:tc>
          <w:tcPr>
            <w:tcW w:w="2126" w:type="dxa"/>
            <w:vAlign w:val="center"/>
          </w:tcPr>
          <w:p w:rsidR="000834E4" w:rsidRPr="005D1B10" w:rsidRDefault="000834E4" w:rsidP="006060FB">
            <w:pPr>
              <w:spacing w:after="0"/>
              <w:ind w:left="57"/>
              <w:rPr>
                <w:rFonts w:ascii="Times New Roman" w:hAnsi="Times New Roman"/>
              </w:rPr>
            </w:pPr>
          </w:p>
        </w:tc>
        <w:tc>
          <w:tcPr>
            <w:tcW w:w="2976" w:type="dxa"/>
            <w:vAlign w:val="center"/>
          </w:tcPr>
          <w:p w:rsidR="000834E4" w:rsidRPr="005D1B10" w:rsidRDefault="000834E4" w:rsidP="006060FB">
            <w:pPr>
              <w:pStyle w:val="naisc"/>
              <w:spacing w:before="0" w:after="0"/>
              <w:jc w:val="both"/>
              <w:rPr>
                <w:sz w:val="22"/>
                <w:szCs w:val="22"/>
              </w:rPr>
            </w:pPr>
          </w:p>
        </w:tc>
      </w:tr>
      <w:tr w:rsidR="000834E4" w:rsidRPr="005D1B10" w:rsidTr="006060FB">
        <w:trPr>
          <w:trHeight w:val="284"/>
          <w:jc w:val="center"/>
        </w:trPr>
        <w:tc>
          <w:tcPr>
            <w:tcW w:w="1747" w:type="dxa"/>
            <w:vAlign w:val="center"/>
          </w:tcPr>
          <w:p w:rsidR="000834E4" w:rsidRPr="005D1B10" w:rsidRDefault="000834E4" w:rsidP="006060FB">
            <w:pPr>
              <w:spacing w:after="0"/>
              <w:rPr>
                <w:rFonts w:ascii="Times New Roman" w:hAnsi="Times New Roman"/>
              </w:rPr>
            </w:pPr>
            <w:r w:rsidRPr="005D1B10">
              <w:rPr>
                <w:rFonts w:ascii="Times New Roman" w:hAnsi="Times New Roman"/>
              </w:rPr>
              <w:t>14.pants</w:t>
            </w:r>
          </w:p>
        </w:tc>
        <w:tc>
          <w:tcPr>
            <w:tcW w:w="2790" w:type="dxa"/>
            <w:vAlign w:val="center"/>
          </w:tcPr>
          <w:p w:rsidR="000834E4" w:rsidRPr="005D1B10" w:rsidRDefault="009B021C" w:rsidP="006060FB">
            <w:pPr>
              <w:spacing w:after="0"/>
              <w:rPr>
                <w:rFonts w:ascii="Times New Roman" w:hAnsi="Times New Roman"/>
              </w:rPr>
            </w:pPr>
            <w:r>
              <w:rPr>
                <w:rFonts w:ascii="Times New Roman" w:hAnsi="Times New Roman"/>
              </w:rPr>
              <w:t>A</w:t>
            </w:r>
            <w:r w:rsidR="000834E4" w:rsidRPr="005D1B10">
              <w:rPr>
                <w:rFonts w:ascii="Times New Roman" w:hAnsi="Times New Roman"/>
              </w:rPr>
              <w:t>ttiecas uz Eiropas Komisij</w:t>
            </w:r>
            <w:r>
              <w:rPr>
                <w:rFonts w:ascii="Times New Roman" w:hAnsi="Times New Roman"/>
              </w:rPr>
              <w:t>as pilnvarām</w:t>
            </w:r>
          </w:p>
        </w:tc>
        <w:tc>
          <w:tcPr>
            <w:tcW w:w="2126" w:type="dxa"/>
            <w:vAlign w:val="center"/>
          </w:tcPr>
          <w:p w:rsidR="000834E4" w:rsidRPr="005D1B10" w:rsidRDefault="000834E4" w:rsidP="006060FB">
            <w:pPr>
              <w:spacing w:after="0"/>
              <w:ind w:left="57"/>
              <w:rPr>
                <w:rFonts w:ascii="Times New Roman" w:hAnsi="Times New Roman"/>
              </w:rPr>
            </w:pPr>
          </w:p>
        </w:tc>
        <w:tc>
          <w:tcPr>
            <w:tcW w:w="2976" w:type="dxa"/>
            <w:vAlign w:val="center"/>
          </w:tcPr>
          <w:p w:rsidR="000834E4" w:rsidRPr="005D1B10" w:rsidRDefault="000834E4" w:rsidP="006060FB">
            <w:pPr>
              <w:pStyle w:val="naisc"/>
              <w:spacing w:before="0" w:after="0"/>
              <w:jc w:val="both"/>
              <w:rPr>
                <w:sz w:val="22"/>
                <w:szCs w:val="22"/>
              </w:rPr>
            </w:pPr>
          </w:p>
        </w:tc>
      </w:tr>
      <w:tr w:rsidR="00325202" w:rsidRPr="005D1B10" w:rsidTr="006060FB">
        <w:trPr>
          <w:trHeight w:val="284"/>
          <w:jc w:val="center"/>
        </w:trPr>
        <w:tc>
          <w:tcPr>
            <w:tcW w:w="1747" w:type="dxa"/>
            <w:vAlign w:val="center"/>
          </w:tcPr>
          <w:p w:rsidR="00325202" w:rsidRPr="005D1B10" w:rsidRDefault="00325202" w:rsidP="006060FB">
            <w:pPr>
              <w:spacing w:after="0"/>
              <w:rPr>
                <w:rFonts w:ascii="Times New Roman" w:hAnsi="Times New Roman"/>
              </w:rPr>
            </w:pPr>
            <w:r w:rsidRPr="005D1B10">
              <w:rPr>
                <w:rFonts w:ascii="Times New Roman" w:hAnsi="Times New Roman"/>
              </w:rPr>
              <w:t>I pielikums</w:t>
            </w:r>
          </w:p>
        </w:tc>
        <w:tc>
          <w:tcPr>
            <w:tcW w:w="2790" w:type="dxa"/>
            <w:vAlign w:val="center"/>
          </w:tcPr>
          <w:p w:rsidR="00325202" w:rsidRPr="005D1B10" w:rsidRDefault="00325202" w:rsidP="006060FB">
            <w:pPr>
              <w:spacing w:after="0"/>
              <w:rPr>
                <w:rFonts w:ascii="Times New Roman" w:hAnsi="Times New Roman"/>
              </w:rPr>
            </w:pPr>
            <w:r>
              <w:rPr>
                <w:rFonts w:ascii="Times New Roman" w:hAnsi="Times New Roman"/>
              </w:rPr>
              <w:t>T</w:t>
            </w:r>
            <w:r w:rsidRPr="005D1B10">
              <w:rPr>
                <w:rFonts w:ascii="Times New Roman" w:hAnsi="Times New Roman"/>
              </w:rPr>
              <w:t>iek pārņemts, veicot grozījumus likumā „Par piesārņojumu”</w:t>
            </w:r>
          </w:p>
        </w:tc>
        <w:tc>
          <w:tcPr>
            <w:tcW w:w="2126" w:type="dxa"/>
            <w:vAlign w:val="center"/>
          </w:tcPr>
          <w:p w:rsidR="00325202" w:rsidRPr="005D1B10" w:rsidRDefault="00325202" w:rsidP="006060FB">
            <w:pPr>
              <w:spacing w:after="0"/>
              <w:ind w:left="57"/>
              <w:rPr>
                <w:rFonts w:ascii="Times New Roman" w:hAnsi="Times New Roman"/>
              </w:rPr>
            </w:pPr>
            <w:r>
              <w:rPr>
                <w:rFonts w:ascii="Times New Roman" w:hAnsi="Times New Roman"/>
              </w:rPr>
              <w:t>P</w:t>
            </w:r>
            <w:r w:rsidRPr="00F122F9">
              <w:rPr>
                <w:rFonts w:ascii="Times New Roman" w:hAnsi="Times New Roman"/>
              </w:rPr>
              <w:t>ārņemts pilnībā</w:t>
            </w:r>
          </w:p>
        </w:tc>
        <w:tc>
          <w:tcPr>
            <w:tcW w:w="2976" w:type="dxa"/>
            <w:vAlign w:val="center"/>
          </w:tcPr>
          <w:p w:rsidR="00325202" w:rsidRPr="005D1B10" w:rsidRDefault="00325202" w:rsidP="006060FB">
            <w:pPr>
              <w:pStyle w:val="naisc"/>
              <w:spacing w:before="0" w:after="0"/>
              <w:jc w:val="both"/>
              <w:rPr>
                <w:sz w:val="22"/>
                <w:szCs w:val="22"/>
              </w:rPr>
            </w:pPr>
            <w:r w:rsidRPr="00244F50">
              <w:rPr>
                <w:spacing w:val="-2"/>
                <w:sz w:val="22"/>
                <w:szCs w:val="22"/>
              </w:rPr>
              <w:t>Nav noteiktas stingrākas prasības</w:t>
            </w:r>
            <w:r w:rsidRPr="00244F50" w:rsidDel="000B0D5A">
              <w:rPr>
                <w:sz w:val="22"/>
                <w:szCs w:val="22"/>
              </w:rPr>
              <w:t xml:space="preserve"> </w:t>
            </w:r>
          </w:p>
        </w:tc>
      </w:tr>
      <w:tr w:rsidR="00325202" w:rsidRPr="005D1B10" w:rsidTr="006060FB">
        <w:trPr>
          <w:trHeight w:val="284"/>
          <w:jc w:val="center"/>
        </w:trPr>
        <w:tc>
          <w:tcPr>
            <w:tcW w:w="1747" w:type="dxa"/>
            <w:vAlign w:val="center"/>
          </w:tcPr>
          <w:p w:rsidR="00325202" w:rsidRPr="005D1B10" w:rsidRDefault="00325202" w:rsidP="006060FB">
            <w:pPr>
              <w:spacing w:after="0"/>
              <w:rPr>
                <w:rFonts w:ascii="Times New Roman" w:hAnsi="Times New Roman"/>
              </w:rPr>
            </w:pPr>
            <w:r w:rsidRPr="005D1B10">
              <w:rPr>
                <w:rFonts w:ascii="Times New Roman" w:hAnsi="Times New Roman"/>
              </w:rPr>
              <w:t>II pielikums</w:t>
            </w:r>
          </w:p>
        </w:tc>
        <w:tc>
          <w:tcPr>
            <w:tcW w:w="2790" w:type="dxa"/>
            <w:vAlign w:val="center"/>
          </w:tcPr>
          <w:p w:rsidR="00325202" w:rsidRPr="005D1B10" w:rsidRDefault="00325202" w:rsidP="006060FB">
            <w:pPr>
              <w:spacing w:after="0"/>
              <w:rPr>
                <w:rFonts w:ascii="Times New Roman" w:hAnsi="Times New Roman"/>
              </w:rPr>
            </w:pPr>
            <w:r>
              <w:rPr>
                <w:rFonts w:ascii="Times New Roman" w:hAnsi="Times New Roman"/>
              </w:rPr>
              <w:t>T</w:t>
            </w:r>
            <w:r w:rsidRPr="005D1B10">
              <w:rPr>
                <w:rFonts w:ascii="Times New Roman" w:hAnsi="Times New Roman"/>
              </w:rPr>
              <w:t>iek pārņemts, veicot grozījumus likumā „Par piesārņojumu”</w:t>
            </w:r>
          </w:p>
        </w:tc>
        <w:tc>
          <w:tcPr>
            <w:tcW w:w="2126" w:type="dxa"/>
            <w:vAlign w:val="center"/>
          </w:tcPr>
          <w:p w:rsidR="00325202" w:rsidRPr="005D1B10" w:rsidRDefault="00325202" w:rsidP="006060FB">
            <w:pPr>
              <w:spacing w:after="0"/>
              <w:ind w:left="57"/>
              <w:rPr>
                <w:rFonts w:ascii="Times New Roman" w:hAnsi="Times New Roman"/>
              </w:rPr>
            </w:pPr>
            <w:r>
              <w:rPr>
                <w:rFonts w:ascii="Times New Roman" w:hAnsi="Times New Roman"/>
              </w:rPr>
              <w:t>P</w:t>
            </w:r>
            <w:r w:rsidRPr="00F122F9">
              <w:rPr>
                <w:rFonts w:ascii="Times New Roman" w:hAnsi="Times New Roman"/>
              </w:rPr>
              <w:t>ārņemts pilnībā</w:t>
            </w:r>
          </w:p>
        </w:tc>
        <w:tc>
          <w:tcPr>
            <w:tcW w:w="2976" w:type="dxa"/>
            <w:vAlign w:val="center"/>
          </w:tcPr>
          <w:p w:rsidR="00325202" w:rsidRPr="005D1B10" w:rsidRDefault="00325202" w:rsidP="006060FB">
            <w:pPr>
              <w:pStyle w:val="naisc"/>
              <w:spacing w:before="0" w:after="0"/>
              <w:jc w:val="both"/>
              <w:rPr>
                <w:sz w:val="22"/>
                <w:szCs w:val="22"/>
              </w:rPr>
            </w:pPr>
            <w:r w:rsidRPr="00244F50">
              <w:rPr>
                <w:spacing w:val="-2"/>
                <w:sz w:val="22"/>
                <w:szCs w:val="22"/>
              </w:rPr>
              <w:t>Nav noteiktas stingrākas prasības</w:t>
            </w:r>
            <w:r w:rsidRPr="00244F50" w:rsidDel="000B0D5A">
              <w:rPr>
                <w:sz w:val="22"/>
                <w:szCs w:val="22"/>
              </w:rPr>
              <w:t xml:space="preserve"> </w:t>
            </w:r>
          </w:p>
        </w:tc>
      </w:tr>
      <w:tr w:rsidR="000834E4" w:rsidRPr="005D1B10" w:rsidTr="006060FB">
        <w:trPr>
          <w:trHeight w:val="284"/>
          <w:jc w:val="center"/>
        </w:trPr>
        <w:tc>
          <w:tcPr>
            <w:tcW w:w="1747" w:type="dxa"/>
            <w:vAlign w:val="center"/>
          </w:tcPr>
          <w:p w:rsidR="000834E4" w:rsidRPr="005D1B10" w:rsidRDefault="000834E4" w:rsidP="006060FB">
            <w:pPr>
              <w:spacing w:after="0"/>
              <w:rPr>
                <w:rFonts w:ascii="Times New Roman" w:hAnsi="Times New Roman"/>
              </w:rPr>
            </w:pPr>
            <w:r w:rsidRPr="005D1B10">
              <w:rPr>
                <w:rFonts w:ascii="Times New Roman" w:hAnsi="Times New Roman"/>
              </w:rPr>
              <w:t>III pielikums</w:t>
            </w:r>
          </w:p>
        </w:tc>
        <w:tc>
          <w:tcPr>
            <w:tcW w:w="2790" w:type="dxa"/>
            <w:vAlign w:val="center"/>
          </w:tcPr>
          <w:p w:rsidR="000834E4" w:rsidRPr="005D1B10" w:rsidRDefault="009B021C" w:rsidP="006060FB">
            <w:pPr>
              <w:spacing w:after="0"/>
              <w:rPr>
                <w:rFonts w:ascii="Times New Roman" w:hAnsi="Times New Roman"/>
              </w:rPr>
            </w:pPr>
            <w:r>
              <w:rPr>
                <w:rFonts w:ascii="Times New Roman" w:hAnsi="Times New Roman"/>
              </w:rPr>
              <w:t>N</w:t>
            </w:r>
            <w:r w:rsidR="000834E4" w:rsidRPr="005D1B10">
              <w:rPr>
                <w:rFonts w:ascii="Times New Roman" w:hAnsi="Times New Roman"/>
              </w:rPr>
              <w:t>eattiecas uz Latviju</w:t>
            </w:r>
          </w:p>
        </w:tc>
        <w:tc>
          <w:tcPr>
            <w:tcW w:w="2126" w:type="dxa"/>
            <w:vAlign w:val="center"/>
          </w:tcPr>
          <w:p w:rsidR="000834E4" w:rsidRPr="005D1B10" w:rsidRDefault="000834E4" w:rsidP="006060FB">
            <w:pPr>
              <w:spacing w:after="0"/>
              <w:ind w:left="57"/>
              <w:rPr>
                <w:rFonts w:ascii="Times New Roman" w:hAnsi="Times New Roman"/>
              </w:rPr>
            </w:pPr>
          </w:p>
        </w:tc>
        <w:tc>
          <w:tcPr>
            <w:tcW w:w="2976" w:type="dxa"/>
            <w:vAlign w:val="center"/>
          </w:tcPr>
          <w:p w:rsidR="000834E4" w:rsidRPr="005D1B10" w:rsidRDefault="000834E4" w:rsidP="006060FB">
            <w:pPr>
              <w:pStyle w:val="naisc"/>
              <w:spacing w:before="0" w:after="0"/>
              <w:jc w:val="both"/>
              <w:rPr>
                <w:sz w:val="22"/>
                <w:szCs w:val="22"/>
              </w:rPr>
            </w:pPr>
          </w:p>
        </w:tc>
      </w:tr>
      <w:tr w:rsidR="00244F50" w:rsidRPr="00244F50" w:rsidTr="006060FB">
        <w:trPr>
          <w:trHeight w:val="284"/>
          <w:jc w:val="center"/>
        </w:trPr>
        <w:tc>
          <w:tcPr>
            <w:tcW w:w="6663" w:type="dxa"/>
            <w:gridSpan w:val="3"/>
          </w:tcPr>
          <w:p w:rsidR="00244F50" w:rsidRPr="00244F50" w:rsidRDefault="00244F50" w:rsidP="006060FB">
            <w:pPr>
              <w:pStyle w:val="naisc"/>
              <w:spacing w:before="0" w:after="0"/>
              <w:jc w:val="left"/>
              <w:rPr>
                <w:sz w:val="22"/>
                <w:szCs w:val="22"/>
              </w:rPr>
            </w:pPr>
            <w:r w:rsidRPr="00244F50">
              <w:rPr>
                <w:sz w:val="22"/>
                <w:szCs w:val="22"/>
              </w:rPr>
              <w:t>Kā ir izmantota ES tiesību aktā paredzētā rīcības brīvība dalībvalstij pārņemt vai ieviest noteiktas ES tiesību akta normas?</w:t>
            </w:r>
          </w:p>
          <w:p w:rsidR="00244F50" w:rsidRPr="00244F50" w:rsidRDefault="00244F50" w:rsidP="006060FB">
            <w:pPr>
              <w:spacing w:after="0"/>
              <w:ind w:left="57"/>
              <w:jc w:val="left"/>
            </w:pPr>
            <w:r w:rsidRPr="005D1B10">
              <w:rPr>
                <w:rFonts w:ascii="Times New Roman" w:hAnsi="Times New Roman"/>
              </w:rPr>
              <w:t>Kādēļ?</w:t>
            </w:r>
            <w:r w:rsidRPr="005D1B10">
              <w:rPr>
                <w:rFonts w:ascii="Times New Roman" w:hAnsi="Times New Roman"/>
              </w:rPr>
              <w:tab/>
            </w:r>
          </w:p>
        </w:tc>
        <w:tc>
          <w:tcPr>
            <w:tcW w:w="2976" w:type="dxa"/>
          </w:tcPr>
          <w:p w:rsidR="00244F50" w:rsidRPr="00244F50" w:rsidRDefault="00244F50" w:rsidP="006060FB">
            <w:pPr>
              <w:pStyle w:val="naisc"/>
              <w:spacing w:before="0" w:after="0"/>
              <w:jc w:val="both"/>
              <w:rPr>
                <w:sz w:val="22"/>
                <w:szCs w:val="22"/>
              </w:rPr>
            </w:pPr>
            <w:r w:rsidRPr="00244F50">
              <w:rPr>
                <w:sz w:val="22"/>
                <w:szCs w:val="22"/>
              </w:rPr>
              <w:t>Projekts šo jomu neskar.</w:t>
            </w:r>
          </w:p>
        </w:tc>
      </w:tr>
      <w:tr w:rsidR="00244F50" w:rsidRPr="00244F50" w:rsidTr="006060FB">
        <w:trPr>
          <w:trHeight w:val="284"/>
          <w:jc w:val="center"/>
        </w:trPr>
        <w:tc>
          <w:tcPr>
            <w:tcW w:w="6663" w:type="dxa"/>
            <w:gridSpan w:val="3"/>
          </w:tcPr>
          <w:p w:rsidR="00244F50" w:rsidRPr="00244F50" w:rsidRDefault="00244F50" w:rsidP="006060FB">
            <w:pPr>
              <w:pStyle w:val="naisc"/>
              <w:spacing w:before="0" w:after="0"/>
              <w:jc w:val="left"/>
              <w:rPr>
                <w:sz w:val="22"/>
                <w:szCs w:val="22"/>
              </w:rPr>
            </w:pPr>
            <w:r w:rsidRPr="005D1B10">
              <w:rPr>
                <w:sz w:val="22"/>
                <w:szCs w:val="22"/>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2976" w:type="dxa"/>
          </w:tcPr>
          <w:p w:rsidR="00244F50" w:rsidRPr="00244F50" w:rsidRDefault="00244F50" w:rsidP="006060FB">
            <w:pPr>
              <w:pStyle w:val="naisc"/>
              <w:spacing w:before="0" w:after="0"/>
              <w:jc w:val="both"/>
              <w:rPr>
                <w:sz w:val="22"/>
                <w:szCs w:val="22"/>
              </w:rPr>
            </w:pPr>
            <w:r w:rsidRPr="00244F50">
              <w:rPr>
                <w:sz w:val="22"/>
                <w:szCs w:val="22"/>
              </w:rPr>
              <w:t>Projekts šo jomu neskar.</w:t>
            </w:r>
          </w:p>
        </w:tc>
      </w:tr>
      <w:tr w:rsidR="00244F50" w:rsidRPr="00F122F9" w:rsidTr="006060FB">
        <w:trPr>
          <w:trHeight w:val="284"/>
          <w:jc w:val="center"/>
        </w:trPr>
        <w:tc>
          <w:tcPr>
            <w:tcW w:w="1747" w:type="dxa"/>
          </w:tcPr>
          <w:p w:rsidR="00244F50" w:rsidRPr="00F122F9" w:rsidRDefault="00244F50" w:rsidP="006060FB">
            <w:pPr>
              <w:spacing w:after="0"/>
              <w:ind w:left="57"/>
              <w:rPr>
                <w:rFonts w:ascii="Times New Roman" w:hAnsi="Times New Roman"/>
              </w:rPr>
            </w:pPr>
            <w:r w:rsidRPr="00F122F9">
              <w:rPr>
                <w:rFonts w:ascii="Times New Roman" w:hAnsi="Times New Roman"/>
              </w:rPr>
              <w:t>Cita informācija</w:t>
            </w:r>
          </w:p>
        </w:tc>
        <w:tc>
          <w:tcPr>
            <w:tcW w:w="7892" w:type="dxa"/>
            <w:gridSpan w:val="3"/>
          </w:tcPr>
          <w:p w:rsidR="00244F50" w:rsidRPr="00F122F9" w:rsidRDefault="00244F50" w:rsidP="006060FB">
            <w:pPr>
              <w:pStyle w:val="naisc"/>
              <w:spacing w:before="0" w:after="0"/>
              <w:ind w:firstLine="266"/>
              <w:jc w:val="both"/>
              <w:rPr>
                <w:sz w:val="22"/>
                <w:szCs w:val="22"/>
              </w:rPr>
            </w:pPr>
            <w:r>
              <w:rPr>
                <w:iCs/>
                <w:sz w:val="22"/>
                <w:szCs w:val="22"/>
              </w:rPr>
              <w:t>Nav</w:t>
            </w:r>
          </w:p>
        </w:tc>
      </w:tr>
      <w:tr w:rsidR="00244F50" w:rsidRPr="00F122F9" w:rsidTr="006060FB">
        <w:trPr>
          <w:trHeight w:val="284"/>
          <w:jc w:val="center"/>
        </w:trPr>
        <w:tc>
          <w:tcPr>
            <w:tcW w:w="9639" w:type="dxa"/>
            <w:gridSpan w:val="4"/>
          </w:tcPr>
          <w:p w:rsidR="00244F50" w:rsidRPr="00F122F9" w:rsidRDefault="00244F50" w:rsidP="006060FB">
            <w:pPr>
              <w:pStyle w:val="naisc"/>
              <w:spacing w:before="0" w:after="0"/>
              <w:ind w:firstLine="266"/>
              <w:rPr>
                <w:b/>
                <w:sz w:val="22"/>
                <w:szCs w:val="22"/>
              </w:rPr>
            </w:pPr>
            <w:r w:rsidRPr="00F122F9">
              <w:rPr>
                <w:b/>
                <w:sz w:val="22"/>
                <w:szCs w:val="22"/>
              </w:rPr>
              <w:t>2.tabula</w:t>
            </w:r>
          </w:p>
          <w:p w:rsidR="00244F50" w:rsidRPr="00F122F9" w:rsidRDefault="00244F50" w:rsidP="006060FB">
            <w:pPr>
              <w:pStyle w:val="naisc"/>
              <w:spacing w:before="0" w:after="0"/>
              <w:ind w:firstLine="266"/>
              <w:rPr>
                <w:b/>
                <w:sz w:val="22"/>
                <w:szCs w:val="22"/>
              </w:rPr>
            </w:pPr>
            <w:r w:rsidRPr="00F122F9">
              <w:rPr>
                <w:b/>
                <w:sz w:val="22"/>
                <w:szCs w:val="22"/>
              </w:rPr>
              <w:t>Ar tiesību akta projektu izpildītās vai uzņemtās saistības, kas izriet no starptautiskajiem tiesību aktiem vai starptautiskas institūcijas vai organizācijas dokumentiem.</w:t>
            </w:r>
          </w:p>
          <w:p w:rsidR="00244F50" w:rsidRPr="00F122F9" w:rsidRDefault="00244F50" w:rsidP="006060FB">
            <w:pPr>
              <w:pStyle w:val="naisc"/>
              <w:spacing w:before="0" w:after="0"/>
              <w:ind w:firstLine="266"/>
              <w:rPr>
                <w:i/>
                <w:sz w:val="22"/>
                <w:szCs w:val="22"/>
              </w:rPr>
            </w:pPr>
            <w:r w:rsidRPr="00F122F9">
              <w:rPr>
                <w:b/>
                <w:sz w:val="22"/>
                <w:szCs w:val="22"/>
              </w:rPr>
              <w:t>Pasākumi šo saistību izpildei</w:t>
            </w:r>
          </w:p>
        </w:tc>
      </w:tr>
      <w:tr w:rsidR="00244F50" w:rsidRPr="00F122F9" w:rsidTr="006060FB">
        <w:trPr>
          <w:trHeight w:val="284"/>
          <w:jc w:val="center"/>
        </w:trPr>
        <w:tc>
          <w:tcPr>
            <w:tcW w:w="9639" w:type="dxa"/>
            <w:gridSpan w:val="4"/>
          </w:tcPr>
          <w:p w:rsidR="00244F50" w:rsidRPr="00F122F9" w:rsidRDefault="00244F50" w:rsidP="006060FB">
            <w:pPr>
              <w:pStyle w:val="naisc"/>
              <w:spacing w:before="0" w:after="0"/>
              <w:ind w:firstLine="266"/>
              <w:jc w:val="both"/>
              <w:rPr>
                <w:sz w:val="22"/>
                <w:szCs w:val="22"/>
              </w:rPr>
            </w:pPr>
            <w:r w:rsidRPr="00F122F9">
              <w:rPr>
                <w:sz w:val="22"/>
                <w:szCs w:val="22"/>
              </w:rPr>
              <w:t>Projekts šo jomu neskar</w:t>
            </w:r>
            <w:r>
              <w:rPr>
                <w:sz w:val="22"/>
                <w:szCs w:val="22"/>
              </w:rPr>
              <w:t>.</w:t>
            </w:r>
          </w:p>
        </w:tc>
      </w:tr>
    </w:tbl>
    <w:p w:rsidR="00F07CD0" w:rsidRPr="006060FB" w:rsidRDefault="00F07CD0" w:rsidP="005E117D">
      <w:pPr>
        <w:shd w:val="clear" w:color="auto" w:fill="FFFFFF"/>
        <w:spacing w:after="0"/>
        <w:jc w:val="left"/>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2"/>
        <w:gridCol w:w="2637"/>
        <w:gridCol w:w="6520"/>
      </w:tblGrid>
      <w:tr w:rsidR="00F122F9" w:rsidRPr="006060FB" w:rsidTr="006060FB">
        <w:trPr>
          <w:trHeight w:val="420"/>
          <w:jc w:val="center"/>
        </w:trPr>
        <w:tc>
          <w:tcPr>
            <w:tcW w:w="0" w:type="auto"/>
            <w:gridSpan w:val="3"/>
            <w:vAlign w:val="center"/>
          </w:tcPr>
          <w:p w:rsidR="00CB4AAB" w:rsidRPr="006060FB" w:rsidRDefault="00CB4AAB" w:rsidP="00042B74">
            <w:pPr>
              <w:pStyle w:val="tvhtml"/>
              <w:spacing w:before="0" w:beforeAutospacing="0" w:after="0" w:afterAutospacing="0"/>
              <w:jc w:val="center"/>
              <w:rPr>
                <w:b/>
                <w:bCs/>
                <w:sz w:val="22"/>
                <w:szCs w:val="22"/>
              </w:rPr>
            </w:pPr>
            <w:r w:rsidRPr="006060FB">
              <w:rPr>
                <w:b/>
                <w:bCs/>
                <w:sz w:val="22"/>
                <w:szCs w:val="22"/>
              </w:rPr>
              <w:t>VI. Sabiedrības līdzdalība un komunikācijas aktivitātes</w:t>
            </w:r>
          </w:p>
        </w:tc>
      </w:tr>
      <w:tr w:rsidR="00F122F9" w:rsidRPr="006060FB" w:rsidTr="006060FB">
        <w:trPr>
          <w:trHeight w:val="540"/>
          <w:jc w:val="center"/>
        </w:trPr>
        <w:tc>
          <w:tcPr>
            <w:tcW w:w="250" w:type="pct"/>
          </w:tcPr>
          <w:p w:rsidR="00CB4AAB" w:rsidRPr="006060FB" w:rsidRDefault="00CB4AAB" w:rsidP="00042B74">
            <w:pPr>
              <w:spacing w:after="0"/>
              <w:rPr>
                <w:rFonts w:ascii="Times New Roman" w:hAnsi="Times New Roman"/>
              </w:rPr>
            </w:pPr>
            <w:r w:rsidRPr="006060FB">
              <w:rPr>
                <w:rFonts w:ascii="Times New Roman" w:hAnsi="Times New Roman"/>
              </w:rPr>
              <w:t>1.</w:t>
            </w:r>
          </w:p>
        </w:tc>
        <w:tc>
          <w:tcPr>
            <w:tcW w:w="1368" w:type="pct"/>
          </w:tcPr>
          <w:p w:rsidR="00CB4AAB" w:rsidRPr="006060FB" w:rsidRDefault="00CB4AAB" w:rsidP="00042B74">
            <w:pPr>
              <w:spacing w:after="0"/>
              <w:rPr>
                <w:rFonts w:ascii="Times New Roman" w:hAnsi="Times New Roman"/>
              </w:rPr>
            </w:pPr>
            <w:r w:rsidRPr="006060FB">
              <w:rPr>
                <w:rFonts w:ascii="Times New Roman" w:hAnsi="Times New Roman"/>
              </w:rPr>
              <w:t>Plānotās sabiedrības līdzdalības un komunikācijas aktivitātes saistībā ar projektu</w:t>
            </w:r>
          </w:p>
        </w:tc>
        <w:tc>
          <w:tcPr>
            <w:tcW w:w="3382" w:type="pct"/>
          </w:tcPr>
          <w:p w:rsidR="00CB4AAB" w:rsidRPr="006060FB" w:rsidRDefault="00FF2825" w:rsidP="00042B74">
            <w:pPr>
              <w:spacing w:after="0"/>
              <w:ind w:left="57" w:right="57"/>
              <w:rPr>
                <w:rFonts w:ascii="Times New Roman" w:hAnsi="Times New Roman"/>
              </w:rPr>
            </w:pPr>
            <w:r w:rsidRPr="006060FB">
              <w:rPr>
                <w:rFonts w:ascii="Times New Roman" w:eastAsia="Times New Roman" w:hAnsi="Times New Roman"/>
                <w:lang w:eastAsia="lv-LV"/>
              </w:rPr>
              <w:t>Saskaņā ar Ministru kabineta 2009.gada 25.augusta noteikumu Nr.970 „Sabiedrības līdzdalības kārtība attīstības plānošanas procesā” 7.4.1apakšpunktu sabiedrības pārstāvji ir aicināti līdzdarboties, rakstiski sniedzot viedokli par noteikumu projektu tā izstrādes stadijā. Sabiedrības pārstāvji ir informēti par iespēju līdzdarboties, publicējot paziņojumu par līdzdalības procesu VARAM tīmekļa vietnē.</w:t>
            </w:r>
          </w:p>
        </w:tc>
      </w:tr>
      <w:tr w:rsidR="00F122F9" w:rsidRPr="006060FB" w:rsidTr="006060FB">
        <w:trPr>
          <w:trHeight w:val="330"/>
          <w:jc w:val="center"/>
        </w:trPr>
        <w:tc>
          <w:tcPr>
            <w:tcW w:w="250" w:type="pct"/>
          </w:tcPr>
          <w:p w:rsidR="00CB4AAB" w:rsidRPr="006060FB" w:rsidRDefault="00CB4AAB" w:rsidP="00042B74">
            <w:pPr>
              <w:spacing w:after="0"/>
              <w:rPr>
                <w:rFonts w:ascii="Times New Roman" w:hAnsi="Times New Roman"/>
              </w:rPr>
            </w:pPr>
            <w:r w:rsidRPr="006060FB">
              <w:rPr>
                <w:rFonts w:ascii="Times New Roman" w:hAnsi="Times New Roman"/>
              </w:rPr>
              <w:t>2.</w:t>
            </w:r>
          </w:p>
        </w:tc>
        <w:tc>
          <w:tcPr>
            <w:tcW w:w="1368" w:type="pct"/>
          </w:tcPr>
          <w:p w:rsidR="00CB4AAB" w:rsidRPr="006060FB" w:rsidRDefault="00CB4AAB" w:rsidP="00042B74">
            <w:pPr>
              <w:spacing w:after="0"/>
              <w:rPr>
                <w:rFonts w:ascii="Times New Roman" w:hAnsi="Times New Roman"/>
              </w:rPr>
            </w:pPr>
            <w:r w:rsidRPr="006060FB">
              <w:rPr>
                <w:rFonts w:ascii="Times New Roman" w:hAnsi="Times New Roman"/>
              </w:rPr>
              <w:t>Sabiedrības līdzdalība projekta izstrādē</w:t>
            </w:r>
          </w:p>
        </w:tc>
        <w:tc>
          <w:tcPr>
            <w:tcW w:w="3382" w:type="pct"/>
          </w:tcPr>
          <w:p w:rsidR="00FF2825" w:rsidRPr="006060FB" w:rsidRDefault="002206C5" w:rsidP="00042B74">
            <w:pPr>
              <w:spacing w:after="0"/>
              <w:ind w:left="57" w:right="57"/>
              <w:rPr>
                <w:rFonts w:ascii="Times New Roman" w:eastAsia="Times New Roman" w:hAnsi="Times New Roman"/>
                <w:lang w:eastAsia="lv-LV"/>
              </w:rPr>
            </w:pPr>
            <w:r w:rsidRPr="006060FB">
              <w:rPr>
                <w:rFonts w:ascii="Times New Roman" w:hAnsi="Times New Roman"/>
              </w:rPr>
              <w:t>Noteikumu projekts</w:t>
            </w:r>
            <w:r w:rsidR="00325202" w:rsidRPr="006060FB">
              <w:rPr>
                <w:rFonts w:ascii="Times New Roman" w:hAnsi="Times New Roman"/>
              </w:rPr>
              <w:t xml:space="preserve"> 2016.gada 17.martā</w:t>
            </w:r>
            <w:r w:rsidR="00CB4AAB" w:rsidRPr="006060FB">
              <w:rPr>
                <w:rFonts w:ascii="Times New Roman" w:hAnsi="Times New Roman"/>
              </w:rPr>
              <w:t xml:space="preserve"> publicēts Vides aizsardzības un reģionālās attīstības tīmekļa vietnē</w:t>
            </w:r>
            <w:r w:rsidR="00FF2825" w:rsidRPr="006060FB">
              <w:rPr>
                <w:rFonts w:ascii="Times New Roman" w:eastAsia="Times New Roman" w:hAnsi="Times New Roman"/>
                <w:lang w:eastAsia="lv-LV"/>
              </w:rPr>
              <w:t xml:space="preserve">: </w:t>
            </w:r>
            <w:hyperlink r:id="rId8" w:history="1">
              <w:r w:rsidR="00FF2825" w:rsidRPr="006060FB">
                <w:rPr>
                  <w:rFonts w:ascii="Times New Roman" w:eastAsia="Times New Roman" w:hAnsi="Times New Roman"/>
                  <w:lang w:eastAsia="lv-LV"/>
                </w:rPr>
                <w:t>www.varam.gov.lv</w:t>
              </w:r>
            </w:hyperlink>
            <w:r w:rsidR="00FF2825" w:rsidRPr="006060FB">
              <w:rPr>
                <w:rFonts w:ascii="Times New Roman" w:eastAsia="Times New Roman" w:hAnsi="Times New Roman"/>
                <w:lang w:eastAsia="lv-LV"/>
              </w:rPr>
              <w:t xml:space="preserve">  sabiedriskai apspriešanai.</w:t>
            </w:r>
          </w:p>
          <w:p w:rsidR="00CB4AAB" w:rsidRPr="006060FB" w:rsidRDefault="00CB4AAB" w:rsidP="00042B74">
            <w:pPr>
              <w:spacing w:after="0"/>
              <w:rPr>
                <w:rFonts w:ascii="Times New Roman" w:hAnsi="Times New Roman"/>
              </w:rPr>
            </w:pPr>
          </w:p>
        </w:tc>
      </w:tr>
      <w:tr w:rsidR="00F122F9" w:rsidRPr="006060FB" w:rsidTr="006060FB">
        <w:trPr>
          <w:trHeight w:val="465"/>
          <w:jc w:val="center"/>
        </w:trPr>
        <w:tc>
          <w:tcPr>
            <w:tcW w:w="250" w:type="pct"/>
          </w:tcPr>
          <w:p w:rsidR="00CB4AAB" w:rsidRPr="006060FB" w:rsidRDefault="00CB4AAB" w:rsidP="00042B74">
            <w:pPr>
              <w:spacing w:after="0"/>
              <w:rPr>
                <w:rFonts w:ascii="Times New Roman" w:hAnsi="Times New Roman"/>
              </w:rPr>
            </w:pPr>
            <w:r w:rsidRPr="006060FB">
              <w:rPr>
                <w:rFonts w:ascii="Times New Roman" w:hAnsi="Times New Roman"/>
              </w:rPr>
              <w:t>3.</w:t>
            </w:r>
          </w:p>
        </w:tc>
        <w:tc>
          <w:tcPr>
            <w:tcW w:w="1368" w:type="pct"/>
          </w:tcPr>
          <w:p w:rsidR="00CB4AAB" w:rsidRPr="006060FB" w:rsidRDefault="00CB4AAB" w:rsidP="00042B74">
            <w:pPr>
              <w:spacing w:after="0"/>
              <w:rPr>
                <w:rFonts w:ascii="Times New Roman" w:hAnsi="Times New Roman"/>
              </w:rPr>
            </w:pPr>
            <w:r w:rsidRPr="006060FB">
              <w:rPr>
                <w:rFonts w:ascii="Times New Roman" w:hAnsi="Times New Roman"/>
              </w:rPr>
              <w:t>Sabiedrības līdzdalības rezultāti</w:t>
            </w:r>
          </w:p>
        </w:tc>
        <w:tc>
          <w:tcPr>
            <w:tcW w:w="3382" w:type="pct"/>
          </w:tcPr>
          <w:p w:rsidR="00CB4AAB" w:rsidRPr="006060FB" w:rsidRDefault="002206C5" w:rsidP="00042B74">
            <w:pPr>
              <w:spacing w:after="0"/>
              <w:rPr>
                <w:rFonts w:ascii="Times New Roman" w:hAnsi="Times New Roman"/>
              </w:rPr>
            </w:pPr>
            <w:r w:rsidRPr="006060FB">
              <w:rPr>
                <w:rFonts w:ascii="Times New Roman" w:hAnsi="Times New Roman"/>
              </w:rPr>
              <w:t xml:space="preserve"> </w:t>
            </w:r>
            <w:r w:rsidR="00FF2825" w:rsidRPr="006060FB">
              <w:rPr>
                <w:rFonts w:ascii="Times New Roman" w:hAnsi="Times New Roman"/>
              </w:rPr>
              <w:t xml:space="preserve">Noteikumu projekta izstrādes un saskaņošanas gaitā </w:t>
            </w:r>
            <w:r w:rsidR="009506B5" w:rsidRPr="006060FB">
              <w:rPr>
                <w:rFonts w:ascii="Times New Roman" w:hAnsi="Times New Roman"/>
              </w:rPr>
              <w:t xml:space="preserve">nav </w:t>
            </w:r>
            <w:r w:rsidR="00FF2825" w:rsidRPr="006060FB">
              <w:rPr>
                <w:rFonts w:ascii="Times New Roman" w:hAnsi="Times New Roman"/>
              </w:rPr>
              <w:t>saņemti</w:t>
            </w:r>
            <w:r w:rsidR="009506B5" w:rsidRPr="006060FB">
              <w:rPr>
                <w:rFonts w:ascii="Times New Roman" w:hAnsi="Times New Roman"/>
              </w:rPr>
              <w:t xml:space="preserve"> iebildumi, priekšlikumi vai komentāri.</w:t>
            </w:r>
          </w:p>
        </w:tc>
      </w:tr>
      <w:tr w:rsidR="00F122F9" w:rsidRPr="006060FB" w:rsidTr="006060FB">
        <w:trPr>
          <w:trHeight w:val="465"/>
          <w:jc w:val="center"/>
        </w:trPr>
        <w:tc>
          <w:tcPr>
            <w:tcW w:w="250" w:type="pct"/>
          </w:tcPr>
          <w:p w:rsidR="00CB4AAB" w:rsidRPr="006060FB" w:rsidRDefault="00CB4AAB" w:rsidP="00042B74">
            <w:pPr>
              <w:spacing w:after="0"/>
              <w:rPr>
                <w:rFonts w:ascii="Times New Roman" w:hAnsi="Times New Roman"/>
              </w:rPr>
            </w:pPr>
            <w:r w:rsidRPr="006060FB">
              <w:rPr>
                <w:rFonts w:ascii="Times New Roman" w:hAnsi="Times New Roman"/>
              </w:rPr>
              <w:t>4.</w:t>
            </w:r>
          </w:p>
        </w:tc>
        <w:tc>
          <w:tcPr>
            <w:tcW w:w="1368" w:type="pct"/>
          </w:tcPr>
          <w:p w:rsidR="00CB4AAB" w:rsidRPr="006060FB" w:rsidRDefault="00CB4AAB" w:rsidP="00042B74">
            <w:pPr>
              <w:spacing w:after="0"/>
              <w:rPr>
                <w:rFonts w:ascii="Times New Roman" w:hAnsi="Times New Roman"/>
              </w:rPr>
            </w:pPr>
            <w:r w:rsidRPr="006060FB">
              <w:rPr>
                <w:rFonts w:ascii="Times New Roman" w:hAnsi="Times New Roman"/>
              </w:rPr>
              <w:t>Cita informācija</w:t>
            </w:r>
          </w:p>
        </w:tc>
        <w:tc>
          <w:tcPr>
            <w:tcW w:w="3382" w:type="pct"/>
          </w:tcPr>
          <w:p w:rsidR="00CB4AAB" w:rsidRPr="006060FB" w:rsidRDefault="00CB4AAB" w:rsidP="00042B74">
            <w:pPr>
              <w:pStyle w:val="tvhtml"/>
              <w:spacing w:before="0" w:beforeAutospacing="0" w:after="0" w:afterAutospacing="0"/>
              <w:rPr>
                <w:sz w:val="22"/>
                <w:szCs w:val="22"/>
              </w:rPr>
            </w:pPr>
            <w:r w:rsidRPr="006060FB">
              <w:rPr>
                <w:sz w:val="22"/>
                <w:szCs w:val="22"/>
              </w:rPr>
              <w:t>Nav</w:t>
            </w:r>
          </w:p>
        </w:tc>
      </w:tr>
    </w:tbl>
    <w:p w:rsidR="00CB4AAB" w:rsidRPr="006060FB" w:rsidRDefault="00CB4AAB" w:rsidP="00E01818">
      <w:pPr>
        <w:shd w:val="clear" w:color="auto" w:fill="FFFFFF"/>
        <w:spacing w:after="0"/>
        <w:ind w:firstLine="335"/>
        <w:jc w:val="left"/>
        <w:rPr>
          <w:rFonts w:ascii="Times New Roman" w:hAnsi="Times New Roman"/>
          <w:sz w:val="24"/>
          <w:szCs w:val="24"/>
          <w:lang w:eastAsia="lv-LV"/>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2"/>
        <w:gridCol w:w="2070"/>
        <w:gridCol w:w="7087"/>
      </w:tblGrid>
      <w:tr w:rsidR="00F122F9" w:rsidRPr="00F122F9" w:rsidTr="006060FB">
        <w:trPr>
          <w:trHeight w:val="375"/>
          <w:jc w:val="center"/>
        </w:trPr>
        <w:tc>
          <w:tcPr>
            <w:tcW w:w="0" w:type="auto"/>
            <w:gridSpan w:val="3"/>
            <w:vAlign w:val="center"/>
          </w:tcPr>
          <w:p w:rsidR="00CB4AAB" w:rsidRPr="00F122F9" w:rsidRDefault="00CB4AAB" w:rsidP="00042B74">
            <w:pPr>
              <w:spacing w:after="0"/>
              <w:jc w:val="center"/>
              <w:rPr>
                <w:rFonts w:ascii="Times New Roman" w:hAnsi="Times New Roman"/>
                <w:b/>
                <w:bCs/>
                <w:lang w:eastAsia="lv-LV"/>
              </w:rPr>
            </w:pPr>
            <w:r w:rsidRPr="00F122F9">
              <w:rPr>
                <w:rFonts w:ascii="Times New Roman" w:hAnsi="Times New Roman"/>
                <w:b/>
                <w:bCs/>
                <w:lang w:eastAsia="lv-LV"/>
              </w:rPr>
              <w:t>VII. Tiesību akta projekta izpildes nodrošināšana un tās ietekme uz institūcijām</w:t>
            </w:r>
          </w:p>
        </w:tc>
      </w:tr>
      <w:tr w:rsidR="00F122F9" w:rsidRPr="00F122F9" w:rsidTr="006060FB">
        <w:trPr>
          <w:trHeight w:val="420"/>
          <w:jc w:val="center"/>
        </w:trPr>
        <w:tc>
          <w:tcPr>
            <w:tcW w:w="250" w:type="pct"/>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1.</w:t>
            </w:r>
          </w:p>
        </w:tc>
        <w:tc>
          <w:tcPr>
            <w:tcW w:w="1074" w:type="pct"/>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Projekta izpildē iesaistītās institūcijas</w:t>
            </w:r>
          </w:p>
        </w:tc>
        <w:tc>
          <w:tcPr>
            <w:tcW w:w="3676" w:type="pct"/>
          </w:tcPr>
          <w:p w:rsidR="00F07CD0" w:rsidRDefault="008918F6" w:rsidP="00042B74">
            <w:pPr>
              <w:pStyle w:val="naisnod"/>
              <w:spacing w:before="0" w:after="0"/>
              <w:jc w:val="both"/>
              <w:rPr>
                <w:b w:val="0"/>
                <w:sz w:val="22"/>
                <w:szCs w:val="22"/>
              </w:rPr>
            </w:pPr>
            <w:r>
              <w:rPr>
                <w:b w:val="0"/>
                <w:sz w:val="22"/>
                <w:szCs w:val="22"/>
              </w:rPr>
              <w:t>VARAM</w:t>
            </w:r>
            <w:r w:rsidR="0093349E">
              <w:rPr>
                <w:b w:val="0"/>
                <w:sz w:val="22"/>
                <w:szCs w:val="22"/>
              </w:rPr>
              <w:t>;</w:t>
            </w:r>
          </w:p>
          <w:p w:rsidR="002206C5" w:rsidRPr="00F122F9" w:rsidRDefault="002206C5" w:rsidP="00042B74">
            <w:pPr>
              <w:pStyle w:val="naisnod"/>
              <w:spacing w:before="0" w:after="0"/>
              <w:jc w:val="both"/>
              <w:rPr>
                <w:b w:val="0"/>
                <w:sz w:val="22"/>
                <w:szCs w:val="22"/>
              </w:rPr>
            </w:pPr>
            <w:r>
              <w:rPr>
                <w:b w:val="0"/>
                <w:sz w:val="22"/>
                <w:szCs w:val="22"/>
              </w:rPr>
              <w:t>Valsts SIA „Latvijas Vides, ģeoloģijas un meteoroloģijas centrs”.</w:t>
            </w:r>
          </w:p>
        </w:tc>
      </w:tr>
      <w:tr w:rsidR="00F122F9" w:rsidRPr="00F122F9" w:rsidTr="006060FB">
        <w:trPr>
          <w:trHeight w:val="450"/>
          <w:jc w:val="center"/>
        </w:trPr>
        <w:tc>
          <w:tcPr>
            <w:tcW w:w="250" w:type="pct"/>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2.</w:t>
            </w:r>
          </w:p>
        </w:tc>
        <w:tc>
          <w:tcPr>
            <w:tcW w:w="1074" w:type="pct"/>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Projekta izpildes ietekme uz pārvaldes funkcijām un institucionālo struktūru.</w:t>
            </w:r>
          </w:p>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 xml:space="preserve">Jaunu institūciju izveide, esošu institūciju likvidācija vai reorganizācija, to ietekme uz institūcijas </w:t>
            </w:r>
            <w:r w:rsidRPr="00F122F9">
              <w:rPr>
                <w:rFonts w:ascii="Times New Roman" w:hAnsi="Times New Roman"/>
                <w:lang w:eastAsia="lv-LV"/>
              </w:rPr>
              <w:lastRenderedPageBreak/>
              <w:t>cilvēkresursiem</w:t>
            </w:r>
          </w:p>
        </w:tc>
        <w:tc>
          <w:tcPr>
            <w:tcW w:w="3676" w:type="pct"/>
          </w:tcPr>
          <w:p w:rsidR="00C23BC0" w:rsidRPr="00F122F9" w:rsidRDefault="002206C5" w:rsidP="00042B74">
            <w:pPr>
              <w:spacing w:after="0"/>
              <w:rPr>
                <w:rFonts w:ascii="Times New Roman" w:hAnsi="Times New Roman"/>
              </w:rPr>
            </w:pPr>
            <w:r>
              <w:rPr>
                <w:rFonts w:ascii="Times New Roman" w:hAnsi="Times New Roman"/>
              </w:rPr>
              <w:lastRenderedPageBreak/>
              <w:t xml:space="preserve">Noteikumu projektā </w:t>
            </w:r>
            <w:r w:rsidR="00C23BC0" w:rsidRPr="00F122F9">
              <w:rPr>
                <w:rFonts w:ascii="Times New Roman" w:hAnsi="Times New Roman"/>
              </w:rPr>
              <w:t xml:space="preserve">iekļautie nosacījumi </w:t>
            </w:r>
            <w:r>
              <w:rPr>
                <w:rFonts w:ascii="Times New Roman" w:hAnsi="Times New Roman"/>
              </w:rPr>
              <w:t xml:space="preserve">nerada </w:t>
            </w:r>
            <w:r w:rsidR="00DB3854" w:rsidRPr="00F122F9">
              <w:rPr>
                <w:rFonts w:ascii="Times New Roman" w:hAnsi="Times New Roman"/>
              </w:rPr>
              <w:t xml:space="preserve">ietekmi uz </w:t>
            </w:r>
            <w:r>
              <w:rPr>
                <w:rFonts w:ascii="Times New Roman" w:hAnsi="Times New Roman"/>
              </w:rPr>
              <w:t>pārvaldes funkcijām un neietekmē institucionālo struktūru</w:t>
            </w:r>
            <w:r w:rsidR="00DB3854" w:rsidRPr="00F122F9">
              <w:rPr>
                <w:rFonts w:ascii="Times New Roman" w:hAnsi="Times New Roman"/>
              </w:rPr>
              <w:t>.</w:t>
            </w:r>
          </w:p>
          <w:p w:rsidR="00CB4AAB" w:rsidRPr="00B75965" w:rsidRDefault="002206C5" w:rsidP="00042B74">
            <w:pPr>
              <w:spacing w:after="0"/>
              <w:rPr>
                <w:rFonts w:ascii="Times New Roman" w:hAnsi="Times New Roman"/>
              </w:rPr>
            </w:pPr>
            <w:r>
              <w:rPr>
                <w:rFonts w:ascii="Times New Roman" w:hAnsi="Times New Roman"/>
              </w:rPr>
              <w:t>Noteikumu p</w:t>
            </w:r>
            <w:r w:rsidR="00CB4AAB" w:rsidRPr="00F122F9">
              <w:rPr>
                <w:rFonts w:ascii="Times New Roman" w:hAnsi="Times New Roman"/>
              </w:rPr>
              <w:t xml:space="preserve">rojektā iekļauto nosacījumu izpildei nav nepieciešams veidot jaunas </w:t>
            </w:r>
            <w:r w:rsidR="00CB4AAB" w:rsidRPr="00B75965">
              <w:rPr>
                <w:rFonts w:ascii="Times New Roman" w:hAnsi="Times New Roman"/>
              </w:rPr>
              <w:t>institūcijas, likvidēt vai reorganizēt esošās institūcijas.</w:t>
            </w:r>
          </w:p>
          <w:p w:rsidR="00C34B19" w:rsidRPr="00F122F9" w:rsidRDefault="00C34B19" w:rsidP="00042B74">
            <w:pPr>
              <w:spacing w:after="0"/>
              <w:rPr>
                <w:rFonts w:ascii="Times New Roman" w:hAnsi="Times New Roman"/>
              </w:rPr>
            </w:pPr>
          </w:p>
        </w:tc>
      </w:tr>
      <w:tr w:rsidR="00F122F9" w:rsidRPr="00F122F9" w:rsidTr="006060FB">
        <w:trPr>
          <w:trHeight w:val="390"/>
          <w:jc w:val="center"/>
        </w:trPr>
        <w:tc>
          <w:tcPr>
            <w:tcW w:w="250" w:type="pct"/>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3.</w:t>
            </w:r>
          </w:p>
        </w:tc>
        <w:tc>
          <w:tcPr>
            <w:tcW w:w="1074" w:type="pct"/>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Cita informācija</w:t>
            </w:r>
          </w:p>
        </w:tc>
        <w:tc>
          <w:tcPr>
            <w:tcW w:w="3676" w:type="pct"/>
          </w:tcPr>
          <w:p w:rsidR="00CB4AAB" w:rsidRPr="00F122F9" w:rsidRDefault="00CB4AAB" w:rsidP="00042B74">
            <w:pPr>
              <w:spacing w:after="0"/>
              <w:jc w:val="left"/>
              <w:rPr>
                <w:rFonts w:ascii="Times New Roman" w:hAnsi="Times New Roman"/>
                <w:lang w:eastAsia="lv-LV"/>
              </w:rPr>
            </w:pPr>
            <w:r w:rsidRPr="00F122F9">
              <w:rPr>
                <w:rFonts w:ascii="Times New Roman" w:hAnsi="Times New Roman"/>
                <w:lang w:eastAsia="lv-LV"/>
              </w:rPr>
              <w:t>Nav</w:t>
            </w:r>
          </w:p>
        </w:tc>
      </w:tr>
    </w:tbl>
    <w:p w:rsidR="00F122F9" w:rsidRDefault="00F122F9" w:rsidP="00E57372">
      <w:pPr>
        <w:shd w:val="clear" w:color="auto" w:fill="FFFFFF"/>
        <w:spacing w:after="0"/>
        <w:rPr>
          <w:rFonts w:ascii="Times New Roman" w:hAnsi="Times New Roman"/>
          <w:sz w:val="20"/>
          <w:szCs w:val="20"/>
        </w:rPr>
      </w:pPr>
    </w:p>
    <w:p w:rsidR="006060FB" w:rsidRDefault="006060FB" w:rsidP="00E57372">
      <w:pPr>
        <w:shd w:val="clear" w:color="auto" w:fill="FFFFFF"/>
        <w:spacing w:after="0"/>
        <w:rPr>
          <w:rFonts w:ascii="Times New Roman" w:hAnsi="Times New Roman"/>
          <w:sz w:val="20"/>
          <w:szCs w:val="20"/>
        </w:rPr>
      </w:pPr>
    </w:p>
    <w:p w:rsidR="00FF2825" w:rsidRPr="009506B5" w:rsidRDefault="00FF2825" w:rsidP="00FF2825">
      <w:pPr>
        <w:rPr>
          <w:rFonts w:ascii="Times New Roman" w:hAnsi="Times New Roman"/>
          <w:b/>
          <w:sz w:val="24"/>
          <w:szCs w:val="24"/>
        </w:rPr>
      </w:pPr>
      <w:r w:rsidRPr="009506B5">
        <w:rPr>
          <w:rFonts w:ascii="Times New Roman" w:hAnsi="Times New Roman"/>
          <w:b/>
          <w:sz w:val="24"/>
          <w:szCs w:val="24"/>
        </w:rPr>
        <w:t>Anotācijas III</w:t>
      </w:r>
      <w:r>
        <w:rPr>
          <w:rFonts w:ascii="Times New Roman" w:hAnsi="Times New Roman"/>
          <w:b/>
          <w:sz w:val="24"/>
          <w:szCs w:val="24"/>
        </w:rPr>
        <w:t xml:space="preserve"> un IV</w:t>
      </w:r>
      <w:r w:rsidRPr="009506B5">
        <w:rPr>
          <w:rFonts w:ascii="Times New Roman" w:hAnsi="Times New Roman"/>
          <w:b/>
          <w:sz w:val="24"/>
          <w:szCs w:val="24"/>
        </w:rPr>
        <w:t xml:space="preserve"> sadaļa – projekts šo jomu neskar.</w:t>
      </w:r>
    </w:p>
    <w:p w:rsidR="00185FE6" w:rsidRDefault="00185FE6" w:rsidP="00E57372">
      <w:pPr>
        <w:shd w:val="clear" w:color="auto" w:fill="FFFFFF"/>
        <w:spacing w:after="0"/>
        <w:rPr>
          <w:rFonts w:ascii="Times New Roman" w:hAnsi="Times New Roman"/>
          <w:sz w:val="20"/>
          <w:szCs w:val="20"/>
        </w:rPr>
      </w:pPr>
    </w:p>
    <w:p w:rsidR="0093349E" w:rsidRDefault="0093349E" w:rsidP="00E57372">
      <w:pPr>
        <w:shd w:val="clear" w:color="auto" w:fill="FFFFFF"/>
        <w:spacing w:after="0"/>
        <w:rPr>
          <w:rFonts w:ascii="Times New Roman" w:hAnsi="Times New Roman"/>
          <w:sz w:val="20"/>
          <w:szCs w:val="20"/>
        </w:rPr>
      </w:pPr>
    </w:p>
    <w:p w:rsidR="006060FB" w:rsidRDefault="006060FB" w:rsidP="00E57372">
      <w:pPr>
        <w:shd w:val="clear" w:color="auto" w:fill="FFFFFF"/>
        <w:spacing w:after="0"/>
        <w:rPr>
          <w:rFonts w:ascii="Times New Roman" w:hAnsi="Times New Roman"/>
          <w:sz w:val="20"/>
          <w:szCs w:val="20"/>
        </w:rPr>
      </w:pPr>
    </w:p>
    <w:p w:rsidR="006060FB" w:rsidRDefault="006060FB" w:rsidP="00E57372">
      <w:pPr>
        <w:shd w:val="clear" w:color="auto" w:fill="FFFFFF"/>
        <w:spacing w:after="0"/>
        <w:rPr>
          <w:rFonts w:ascii="Times New Roman" w:hAnsi="Times New Roman"/>
          <w:sz w:val="20"/>
          <w:szCs w:val="20"/>
        </w:rPr>
      </w:pPr>
    </w:p>
    <w:p w:rsidR="00CB4AAB" w:rsidRDefault="00CB4AAB" w:rsidP="00FD58D0">
      <w:pPr>
        <w:shd w:val="clear" w:color="auto" w:fill="FFFFFF"/>
        <w:spacing w:after="0"/>
        <w:rPr>
          <w:rFonts w:ascii="Times New Roman" w:hAnsi="Times New Roman"/>
          <w:sz w:val="28"/>
          <w:szCs w:val="28"/>
        </w:rPr>
      </w:pPr>
      <w:r w:rsidRPr="005D1B10">
        <w:rPr>
          <w:rFonts w:ascii="Times New Roman" w:hAnsi="Times New Roman"/>
          <w:sz w:val="28"/>
          <w:szCs w:val="28"/>
        </w:rPr>
        <w:t>Vides aizsardzības un</w:t>
      </w:r>
      <w:r w:rsidR="00F33F6C">
        <w:rPr>
          <w:rFonts w:ascii="Times New Roman" w:hAnsi="Times New Roman"/>
          <w:sz w:val="28"/>
          <w:szCs w:val="28"/>
        </w:rPr>
        <w:t xml:space="preserve"> </w:t>
      </w:r>
      <w:r w:rsidRPr="005D1B10">
        <w:rPr>
          <w:rFonts w:ascii="Times New Roman" w:hAnsi="Times New Roman"/>
          <w:sz w:val="28"/>
          <w:szCs w:val="28"/>
        </w:rPr>
        <w:t>reģionālās attīstības ministrs</w:t>
      </w:r>
      <w:r w:rsidR="00F33F6C">
        <w:rPr>
          <w:rFonts w:ascii="Times New Roman" w:hAnsi="Times New Roman"/>
          <w:sz w:val="28"/>
          <w:szCs w:val="28"/>
        </w:rPr>
        <w:tab/>
      </w:r>
      <w:r w:rsidR="00F33F6C">
        <w:rPr>
          <w:rFonts w:ascii="Times New Roman" w:hAnsi="Times New Roman"/>
          <w:sz w:val="28"/>
          <w:szCs w:val="28"/>
        </w:rPr>
        <w:tab/>
      </w:r>
      <w:r w:rsidR="00F33F6C">
        <w:rPr>
          <w:rFonts w:ascii="Times New Roman" w:hAnsi="Times New Roman"/>
          <w:sz w:val="28"/>
          <w:szCs w:val="28"/>
        </w:rPr>
        <w:tab/>
      </w:r>
      <w:r w:rsidR="00F33F6C">
        <w:rPr>
          <w:rFonts w:ascii="Times New Roman" w:hAnsi="Times New Roman"/>
          <w:sz w:val="28"/>
          <w:szCs w:val="28"/>
        </w:rPr>
        <w:tab/>
      </w:r>
      <w:r w:rsidRPr="005D1B10">
        <w:rPr>
          <w:rFonts w:ascii="Times New Roman" w:hAnsi="Times New Roman"/>
          <w:sz w:val="28"/>
          <w:szCs w:val="28"/>
        </w:rPr>
        <w:t>K.Gerhards</w:t>
      </w:r>
      <w:r w:rsidRPr="005D1B10">
        <w:rPr>
          <w:rFonts w:ascii="Times New Roman" w:hAnsi="Times New Roman"/>
          <w:sz w:val="28"/>
          <w:szCs w:val="28"/>
        </w:rPr>
        <w:tab/>
      </w:r>
    </w:p>
    <w:p w:rsidR="006060FB" w:rsidRDefault="006060FB" w:rsidP="00FD58D0">
      <w:pPr>
        <w:shd w:val="clear" w:color="auto" w:fill="FFFFFF"/>
        <w:spacing w:after="0"/>
        <w:rPr>
          <w:rFonts w:ascii="Times New Roman" w:hAnsi="Times New Roman"/>
          <w:sz w:val="28"/>
          <w:szCs w:val="28"/>
        </w:rPr>
      </w:pPr>
    </w:p>
    <w:p w:rsidR="006060FB" w:rsidRPr="005D1B10" w:rsidRDefault="006060FB" w:rsidP="00FD58D0">
      <w:pPr>
        <w:shd w:val="clear" w:color="auto" w:fill="FFFFFF"/>
        <w:spacing w:after="0"/>
        <w:rPr>
          <w:rFonts w:ascii="Times New Roman" w:hAnsi="Times New Roman"/>
          <w:sz w:val="28"/>
          <w:szCs w:val="28"/>
        </w:rPr>
      </w:pPr>
    </w:p>
    <w:p w:rsidR="00CB4AAB" w:rsidRPr="005D1B10" w:rsidRDefault="00CB4AAB" w:rsidP="009A0D70">
      <w:pPr>
        <w:spacing w:after="0"/>
        <w:rPr>
          <w:rFonts w:ascii="Times New Roman" w:hAnsi="Times New Roman"/>
          <w:sz w:val="28"/>
          <w:szCs w:val="28"/>
        </w:rPr>
      </w:pPr>
      <w:r w:rsidRPr="005D1B10">
        <w:rPr>
          <w:rFonts w:ascii="Times New Roman" w:hAnsi="Times New Roman"/>
          <w:sz w:val="28"/>
          <w:szCs w:val="28"/>
        </w:rPr>
        <w:t>Vīza:</w:t>
      </w:r>
    </w:p>
    <w:p w:rsidR="00CB4AAB" w:rsidRPr="005D1B10" w:rsidRDefault="003405B9" w:rsidP="00E57372">
      <w:pPr>
        <w:spacing w:after="0"/>
        <w:rPr>
          <w:rFonts w:ascii="Times New Roman" w:hAnsi="Times New Roman"/>
          <w:sz w:val="28"/>
          <w:szCs w:val="28"/>
        </w:rPr>
      </w:pPr>
      <w:r>
        <w:rPr>
          <w:rFonts w:ascii="Times New Roman" w:hAnsi="Times New Roman"/>
          <w:sz w:val="28"/>
          <w:szCs w:val="28"/>
        </w:rPr>
        <w:t>v</w:t>
      </w:r>
      <w:r w:rsidR="00CB4AAB" w:rsidRPr="005D1B10">
        <w:rPr>
          <w:rFonts w:ascii="Times New Roman" w:hAnsi="Times New Roman"/>
          <w:sz w:val="28"/>
          <w:szCs w:val="28"/>
        </w:rPr>
        <w:t>alsts sekretār</w:t>
      </w:r>
      <w:r w:rsidR="008918F6" w:rsidRPr="005D1B10">
        <w:rPr>
          <w:rFonts w:ascii="Times New Roman" w:hAnsi="Times New Roman"/>
          <w:sz w:val="28"/>
          <w:szCs w:val="28"/>
        </w:rPr>
        <w:t>s</w:t>
      </w:r>
      <w:r w:rsidR="0006345C" w:rsidRPr="005D1B10">
        <w:rPr>
          <w:rFonts w:ascii="Times New Roman" w:hAnsi="Times New Roman"/>
          <w:sz w:val="28"/>
          <w:szCs w:val="28"/>
        </w:rPr>
        <w:t xml:space="preserve"> </w:t>
      </w:r>
      <w:r w:rsidR="00CB4AAB" w:rsidRPr="005D1B10">
        <w:rPr>
          <w:rFonts w:ascii="Times New Roman" w:hAnsi="Times New Roman"/>
          <w:sz w:val="28"/>
          <w:szCs w:val="28"/>
        </w:rPr>
        <w:tab/>
      </w:r>
      <w:r w:rsidR="00FD58D0" w:rsidRPr="005D1B10">
        <w:rPr>
          <w:rFonts w:ascii="Times New Roman" w:hAnsi="Times New Roman"/>
          <w:sz w:val="28"/>
          <w:szCs w:val="28"/>
        </w:rPr>
        <w:t xml:space="preserve">      </w:t>
      </w:r>
      <w:r w:rsidR="0006345C" w:rsidRPr="005D1B10">
        <w:rPr>
          <w:rFonts w:ascii="Times New Roman" w:hAnsi="Times New Roman"/>
          <w:sz w:val="28"/>
          <w:szCs w:val="28"/>
        </w:rPr>
        <w:tab/>
      </w:r>
      <w:r w:rsidR="0006345C" w:rsidRPr="005D1B10">
        <w:rPr>
          <w:rFonts w:ascii="Times New Roman" w:hAnsi="Times New Roman"/>
          <w:sz w:val="28"/>
          <w:szCs w:val="28"/>
        </w:rPr>
        <w:tab/>
      </w:r>
      <w:r w:rsidR="0006345C" w:rsidRPr="005D1B10">
        <w:rPr>
          <w:rFonts w:ascii="Times New Roman" w:hAnsi="Times New Roman"/>
          <w:sz w:val="28"/>
          <w:szCs w:val="28"/>
        </w:rPr>
        <w:tab/>
      </w:r>
      <w:r w:rsidR="0006345C" w:rsidRPr="005D1B10">
        <w:rPr>
          <w:rFonts w:ascii="Times New Roman" w:hAnsi="Times New Roman"/>
          <w:sz w:val="28"/>
          <w:szCs w:val="28"/>
        </w:rPr>
        <w:tab/>
      </w:r>
      <w:r w:rsidR="0006345C" w:rsidRPr="005D1B10">
        <w:rPr>
          <w:rFonts w:ascii="Times New Roman" w:hAnsi="Times New Roman"/>
          <w:sz w:val="28"/>
          <w:szCs w:val="28"/>
        </w:rPr>
        <w:tab/>
      </w:r>
      <w:r w:rsidR="0006345C" w:rsidRPr="005D1B10">
        <w:rPr>
          <w:rFonts w:ascii="Times New Roman" w:hAnsi="Times New Roman"/>
          <w:sz w:val="28"/>
          <w:szCs w:val="28"/>
        </w:rPr>
        <w:tab/>
      </w:r>
      <w:r w:rsidR="008918F6" w:rsidRPr="005D1B10">
        <w:rPr>
          <w:rFonts w:ascii="Times New Roman" w:hAnsi="Times New Roman"/>
          <w:sz w:val="28"/>
          <w:szCs w:val="28"/>
        </w:rPr>
        <w:tab/>
      </w:r>
      <w:r w:rsidR="00FF2825" w:rsidRPr="005D1B10">
        <w:rPr>
          <w:rFonts w:ascii="Times New Roman" w:hAnsi="Times New Roman"/>
          <w:sz w:val="28"/>
          <w:szCs w:val="28"/>
        </w:rPr>
        <w:t xml:space="preserve">       </w:t>
      </w:r>
      <w:r w:rsidR="008918F6" w:rsidRPr="005D1B10">
        <w:rPr>
          <w:rFonts w:ascii="Times New Roman" w:hAnsi="Times New Roman"/>
          <w:sz w:val="28"/>
          <w:szCs w:val="28"/>
        </w:rPr>
        <w:t>R.Muciņš</w:t>
      </w:r>
    </w:p>
    <w:p w:rsidR="004C1C0E" w:rsidRDefault="004C1C0E" w:rsidP="00E57372">
      <w:pPr>
        <w:spacing w:after="0"/>
        <w:rPr>
          <w:rFonts w:ascii="Times New Roman" w:hAnsi="Times New Roman"/>
          <w:sz w:val="8"/>
          <w:szCs w:val="8"/>
        </w:rPr>
      </w:pPr>
    </w:p>
    <w:p w:rsidR="0006345C" w:rsidRDefault="0006345C" w:rsidP="00E57372">
      <w:pPr>
        <w:spacing w:after="0"/>
        <w:rPr>
          <w:rFonts w:ascii="Times New Roman" w:hAnsi="Times New Roman"/>
          <w:sz w:val="8"/>
          <w:szCs w:val="8"/>
        </w:rPr>
      </w:pPr>
    </w:p>
    <w:p w:rsidR="0006345C" w:rsidRDefault="0006345C" w:rsidP="00E57372">
      <w:pPr>
        <w:spacing w:after="0"/>
        <w:rPr>
          <w:rFonts w:ascii="Times New Roman" w:hAnsi="Times New Roman"/>
          <w:sz w:val="8"/>
          <w:szCs w:val="8"/>
        </w:rPr>
      </w:pPr>
    </w:p>
    <w:p w:rsidR="00281AA7" w:rsidRDefault="00281AA7"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Default="006060FB" w:rsidP="00E57372">
      <w:pPr>
        <w:spacing w:after="0"/>
        <w:rPr>
          <w:rFonts w:ascii="Times New Roman" w:hAnsi="Times New Roman"/>
          <w:sz w:val="8"/>
          <w:szCs w:val="8"/>
        </w:rPr>
      </w:pPr>
    </w:p>
    <w:p w:rsidR="006060FB" w:rsidRPr="00F122F9" w:rsidRDefault="006060FB" w:rsidP="00E57372">
      <w:pPr>
        <w:spacing w:after="0"/>
        <w:rPr>
          <w:rFonts w:ascii="Times New Roman" w:hAnsi="Times New Roman"/>
          <w:sz w:val="8"/>
          <w:szCs w:val="8"/>
        </w:rPr>
      </w:pPr>
    </w:p>
    <w:p w:rsidR="00CB4AAB" w:rsidRDefault="00CB4AAB" w:rsidP="00E57372">
      <w:pPr>
        <w:spacing w:after="0"/>
        <w:rPr>
          <w:rFonts w:ascii="Times New Roman" w:hAnsi="Times New Roman"/>
          <w:sz w:val="8"/>
          <w:szCs w:val="8"/>
        </w:rPr>
      </w:pPr>
    </w:p>
    <w:p w:rsidR="00CB4AAB" w:rsidRPr="00F122F9" w:rsidRDefault="00F33F6C" w:rsidP="00E57372">
      <w:pPr>
        <w:spacing w:after="0"/>
        <w:rPr>
          <w:rFonts w:ascii="Times New Roman" w:hAnsi="Times New Roman"/>
          <w:sz w:val="18"/>
          <w:szCs w:val="18"/>
        </w:rPr>
      </w:pPr>
      <w:r>
        <w:rPr>
          <w:rFonts w:ascii="Times New Roman" w:hAnsi="Times New Roman"/>
          <w:sz w:val="18"/>
          <w:szCs w:val="18"/>
        </w:rPr>
        <w:t>29</w:t>
      </w:r>
      <w:r w:rsidR="00811E9C">
        <w:rPr>
          <w:rFonts w:ascii="Times New Roman" w:hAnsi="Times New Roman"/>
          <w:sz w:val="18"/>
          <w:szCs w:val="18"/>
        </w:rPr>
        <w:t>.07</w:t>
      </w:r>
      <w:r w:rsidR="004B4798">
        <w:rPr>
          <w:rFonts w:ascii="Times New Roman" w:hAnsi="Times New Roman"/>
          <w:sz w:val="18"/>
          <w:szCs w:val="18"/>
        </w:rPr>
        <w:t>.2016</w:t>
      </w:r>
      <w:r w:rsidR="00CB4AAB" w:rsidRPr="00F122F9">
        <w:rPr>
          <w:rFonts w:ascii="Times New Roman" w:hAnsi="Times New Roman"/>
          <w:sz w:val="18"/>
          <w:szCs w:val="18"/>
        </w:rPr>
        <w:t xml:space="preserve">. </w:t>
      </w:r>
      <w:r w:rsidR="00F40CBD">
        <w:rPr>
          <w:rFonts w:ascii="Times New Roman" w:hAnsi="Times New Roman"/>
          <w:sz w:val="18"/>
          <w:szCs w:val="18"/>
        </w:rPr>
        <w:t>09</w:t>
      </w:r>
      <w:r w:rsidR="00CB4AAB" w:rsidRPr="00F122F9">
        <w:rPr>
          <w:rFonts w:ascii="Times New Roman" w:hAnsi="Times New Roman"/>
          <w:sz w:val="18"/>
          <w:szCs w:val="18"/>
        </w:rPr>
        <w:t>:00</w:t>
      </w:r>
    </w:p>
    <w:p w:rsidR="006060FB" w:rsidRDefault="00F44F51" w:rsidP="00590493">
      <w:pPr>
        <w:pStyle w:val="naisf"/>
        <w:tabs>
          <w:tab w:val="left" w:pos="6840"/>
        </w:tabs>
        <w:spacing w:before="0" w:after="0"/>
        <w:ind w:firstLine="0"/>
        <w:rPr>
          <w:sz w:val="18"/>
          <w:szCs w:val="18"/>
        </w:rPr>
      </w:pPr>
      <w:r>
        <w:fldChar w:fldCharType="begin"/>
      </w:r>
      <w:r>
        <w:instrText xml:space="preserve"> NUMWORDS   \* MERGEFORMAT </w:instrText>
      </w:r>
      <w:r>
        <w:fldChar w:fldCharType="separate"/>
      </w:r>
      <w:r w:rsidR="00F33F6C" w:rsidRPr="00F33F6C">
        <w:rPr>
          <w:noProof/>
          <w:sz w:val="18"/>
          <w:szCs w:val="18"/>
        </w:rPr>
        <w:t>2833</w:t>
      </w:r>
      <w:r>
        <w:rPr>
          <w:noProof/>
          <w:sz w:val="18"/>
          <w:szCs w:val="18"/>
        </w:rPr>
        <w:fldChar w:fldCharType="end"/>
      </w:r>
    </w:p>
    <w:p w:rsidR="00FD58D0" w:rsidRPr="00F122F9" w:rsidRDefault="00CB4AAB" w:rsidP="00590493">
      <w:pPr>
        <w:pStyle w:val="naisf"/>
        <w:tabs>
          <w:tab w:val="left" w:pos="6840"/>
        </w:tabs>
        <w:spacing w:before="0" w:after="0"/>
        <w:ind w:firstLine="0"/>
        <w:rPr>
          <w:sz w:val="18"/>
          <w:szCs w:val="18"/>
        </w:rPr>
      </w:pPr>
      <w:r w:rsidRPr="00F122F9">
        <w:rPr>
          <w:sz w:val="18"/>
          <w:szCs w:val="18"/>
        </w:rPr>
        <w:t>H.Rimša</w:t>
      </w:r>
      <w:r w:rsidR="00281AA7">
        <w:rPr>
          <w:sz w:val="18"/>
          <w:szCs w:val="18"/>
        </w:rPr>
        <w:t xml:space="preserve">, </w:t>
      </w:r>
      <w:r w:rsidRPr="00F122F9">
        <w:rPr>
          <w:sz w:val="18"/>
          <w:szCs w:val="18"/>
        </w:rPr>
        <w:t xml:space="preserve">67026512, </w:t>
      </w:r>
      <w:r w:rsidR="00FD58D0" w:rsidRPr="00F122F9">
        <w:rPr>
          <w:sz w:val="18"/>
          <w:szCs w:val="18"/>
        </w:rPr>
        <w:t>26380127</w:t>
      </w:r>
    </w:p>
    <w:p w:rsidR="00CB4AAB" w:rsidRPr="00F122F9" w:rsidRDefault="00F44F51" w:rsidP="00590493">
      <w:pPr>
        <w:pStyle w:val="naisf"/>
        <w:tabs>
          <w:tab w:val="left" w:pos="6840"/>
        </w:tabs>
        <w:spacing w:before="0" w:after="0"/>
        <w:ind w:firstLine="0"/>
        <w:rPr>
          <w:sz w:val="18"/>
          <w:szCs w:val="18"/>
        </w:rPr>
      </w:pPr>
      <w:hyperlink r:id="rId9" w:history="1">
        <w:r w:rsidR="00CB4AAB" w:rsidRPr="00F122F9">
          <w:rPr>
            <w:rStyle w:val="Hyperlink"/>
            <w:color w:val="auto"/>
            <w:sz w:val="18"/>
            <w:szCs w:val="18"/>
          </w:rPr>
          <w:t>Helena.Rimsa@varam.gov.lv</w:t>
        </w:r>
      </w:hyperlink>
    </w:p>
    <w:sectPr w:rsidR="00CB4AAB" w:rsidRPr="00F122F9" w:rsidSect="006060FB">
      <w:headerReference w:type="default" r:id="rId10"/>
      <w:footerReference w:type="default" r:id="rId11"/>
      <w:footerReference w:type="first" r:id="rId12"/>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FAB" w:rsidRDefault="004E2FAB" w:rsidP="004D7C36">
      <w:pPr>
        <w:spacing w:after="0"/>
      </w:pPr>
      <w:r>
        <w:separator/>
      </w:r>
    </w:p>
  </w:endnote>
  <w:endnote w:type="continuationSeparator" w:id="0">
    <w:p w:rsidR="004E2FAB" w:rsidRDefault="004E2FAB" w:rsidP="004D7C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AB" w:rsidRPr="004D7C36" w:rsidRDefault="004E2FAB" w:rsidP="00C61BFB">
    <w:pPr>
      <w:spacing w:after="0"/>
      <w:rPr>
        <w:rFonts w:ascii="Times New Roman" w:hAnsi="Times New Roman"/>
        <w:sz w:val="8"/>
        <w:szCs w:val="8"/>
      </w:rPr>
    </w:pPr>
  </w:p>
  <w:p w:rsidR="004E2FAB" w:rsidRPr="00525B0B" w:rsidRDefault="00F44F51" w:rsidP="009327A5">
    <w:pPr>
      <w:spacing w:after="0"/>
      <w:rPr>
        <w:rFonts w:ascii="Times New Roman" w:hAnsi="Times New Roman"/>
        <w:sz w:val="18"/>
        <w:szCs w:val="18"/>
      </w:rPr>
    </w:pPr>
    <w:r>
      <w:fldChar w:fldCharType="begin"/>
    </w:r>
    <w:r>
      <w:instrText xml:space="preserve"> FILENAME   \* MERGEFORMAT </w:instrText>
    </w:r>
    <w:r>
      <w:fldChar w:fldCharType="separate"/>
    </w:r>
    <w:r w:rsidR="009B6AB8">
      <w:rPr>
        <w:rFonts w:ascii="Times New Roman" w:hAnsi="Times New Roman"/>
        <w:noProof/>
        <w:sz w:val="18"/>
        <w:szCs w:val="18"/>
      </w:rPr>
      <w:t>VARAMAnot_GrozMKN250_29072016</w:t>
    </w:r>
    <w:r>
      <w:rPr>
        <w:rFonts w:ascii="Times New Roman" w:hAnsi="Times New Roman"/>
        <w:noProof/>
        <w:sz w:val="18"/>
        <w:szCs w:val="18"/>
      </w:rPr>
      <w:fldChar w:fldCharType="end"/>
    </w:r>
    <w:r w:rsidR="009327A5" w:rsidRPr="009327A5">
      <w:rPr>
        <w:rFonts w:ascii="Times New Roman" w:hAnsi="Times New Roman"/>
        <w:sz w:val="18"/>
        <w:szCs w:val="18"/>
      </w:rPr>
      <w:t xml:space="preserve">; Ministru kabineta noteikumu projekta „Grozījumi Ministru kabineta 2014.gada 20.maija noteikumos Nr.250 „Noteikumi par darbībām emisijas reģistrā”” sākotnējās ietekmes novērtējuma </w:t>
    </w:r>
    <w:smartTag w:uri="schemas-tilde-lv/tildestengine" w:element="veidnes">
      <w:smartTagPr>
        <w:attr w:name="text" w:val="ziņojums"/>
        <w:attr w:name="baseform" w:val="ziņojums"/>
        <w:attr w:name="id" w:val="-1"/>
      </w:smartTagPr>
      <w:r w:rsidR="009327A5" w:rsidRPr="009327A5">
        <w:rPr>
          <w:rFonts w:ascii="Times New Roman" w:hAnsi="Times New Roman"/>
          <w:sz w:val="18"/>
          <w:szCs w:val="18"/>
        </w:rPr>
        <w:t>ziņojums</w:t>
      </w:r>
    </w:smartTag>
    <w:r w:rsidR="009327A5" w:rsidRPr="009327A5">
      <w:rPr>
        <w:rFonts w:ascii="Times New Roman" w:hAnsi="Times New Roman"/>
        <w:sz w:val="18"/>
        <w:szCs w:val="18"/>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AB" w:rsidRPr="004D7C36" w:rsidRDefault="004E2FAB" w:rsidP="004D7C36">
    <w:pPr>
      <w:spacing w:after="0"/>
      <w:rPr>
        <w:rFonts w:ascii="Times New Roman" w:hAnsi="Times New Roman"/>
        <w:sz w:val="8"/>
        <w:szCs w:val="8"/>
      </w:rPr>
    </w:pPr>
  </w:p>
  <w:p w:rsidR="004E2FAB" w:rsidRPr="009327A5" w:rsidRDefault="00F44F51" w:rsidP="004D7C36">
    <w:pPr>
      <w:spacing w:after="0"/>
      <w:rPr>
        <w:rFonts w:ascii="Times New Roman" w:hAnsi="Times New Roman"/>
        <w:sz w:val="18"/>
        <w:szCs w:val="18"/>
      </w:rPr>
    </w:pPr>
    <w:r>
      <w:fldChar w:fldCharType="begin"/>
    </w:r>
    <w:r>
      <w:instrText xml:space="preserve"> FILENAME   \* MERGEFORMAT </w:instrText>
    </w:r>
    <w:r>
      <w:fldChar w:fldCharType="separate"/>
    </w:r>
    <w:r w:rsidR="009B6AB8">
      <w:rPr>
        <w:rFonts w:ascii="Times New Roman" w:hAnsi="Times New Roman"/>
        <w:noProof/>
        <w:sz w:val="18"/>
        <w:szCs w:val="18"/>
      </w:rPr>
      <w:t>VARAMAnot_GrozMKN250_29072016</w:t>
    </w:r>
    <w:r>
      <w:rPr>
        <w:rFonts w:ascii="Times New Roman" w:hAnsi="Times New Roman"/>
        <w:noProof/>
        <w:sz w:val="18"/>
        <w:szCs w:val="18"/>
      </w:rPr>
      <w:fldChar w:fldCharType="end"/>
    </w:r>
    <w:r w:rsidR="004E2FAB" w:rsidRPr="009327A5">
      <w:rPr>
        <w:rFonts w:ascii="Times New Roman" w:hAnsi="Times New Roman"/>
        <w:sz w:val="18"/>
        <w:szCs w:val="18"/>
      </w:rPr>
      <w:t xml:space="preserve">; Ministru kabineta noteikumu projekta „Grozījumi Ministru kabineta 2014.gada 20.maija noteikumos Nr.250 „Noteikumi par darbībām emisijas reģistrā”” sākotnējās ietekmes novērtējuma </w:t>
    </w:r>
    <w:smartTag w:uri="schemas-tilde-lv/tildestengine" w:element="veidnes">
      <w:smartTagPr>
        <w:attr w:name="text" w:val="ziņojums"/>
        <w:attr w:name="baseform" w:val="ziņojums"/>
        <w:attr w:name="id" w:val="-1"/>
      </w:smartTagPr>
      <w:r w:rsidR="004E2FAB" w:rsidRPr="009327A5">
        <w:rPr>
          <w:rFonts w:ascii="Times New Roman" w:hAnsi="Times New Roman"/>
          <w:sz w:val="18"/>
          <w:szCs w:val="18"/>
        </w:rPr>
        <w:t>ziņojums</w:t>
      </w:r>
    </w:smartTag>
    <w:r w:rsidR="004E2FAB" w:rsidRPr="009327A5">
      <w:rPr>
        <w:rFonts w:ascii="Times New Roman" w:hAnsi="Times New Roman"/>
        <w:sz w:val="18"/>
        <w:szCs w:val="18"/>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FAB" w:rsidRDefault="004E2FAB" w:rsidP="004D7C36">
      <w:pPr>
        <w:spacing w:after="0"/>
      </w:pPr>
      <w:r>
        <w:separator/>
      </w:r>
    </w:p>
  </w:footnote>
  <w:footnote w:type="continuationSeparator" w:id="0">
    <w:p w:rsidR="004E2FAB" w:rsidRDefault="004E2FAB" w:rsidP="004D7C36">
      <w:pPr>
        <w:spacing w:after="0"/>
      </w:pPr>
      <w:r>
        <w:continuationSeparator/>
      </w:r>
    </w:p>
  </w:footnote>
  <w:footnote w:id="1">
    <w:p w:rsidR="004E2FAB" w:rsidRPr="006060FB" w:rsidRDefault="004E2FAB" w:rsidP="00042B74">
      <w:pPr>
        <w:pStyle w:val="FootnoteText"/>
        <w:jc w:val="both"/>
        <w:rPr>
          <w:sz w:val="16"/>
          <w:szCs w:val="16"/>
        </w:rPr>
      </w:pPr>
      <w:r w:rsidRPr="006060FB">
        <w:rPr>
          <w:rStyle w:val="FootnoteReference"/>
          <w:sz w:val="16"/>
          <w:szCs w:val="16"/>
        </w:rPr>
        <w:footnoteRef/>
      </w:r>
      <w:r w:rsidR="008000AA">
        <w:rPr>
          <w:sz w:val="16"/>
          <w:szCs w:val="16"/>
        </w:rPr>
        <w:t xml:space="preserve"> Saskaņā ar R</w:t>
      </w:r>
      <w:r w:rsidRPr="006060FB">
        <w:rPr>
          <w:sz w:val="16"/>
          <w:szCs w:val="16"/>
        </w:rPr>
        <w:t>egulu Nr.</w:t>
      </w:r>
      <w:r w:rsidR="008000AA">
        <w:rPr>
          <w:sz w:val="16"/>
          <w:szCs w:val="16"/>
        </w:rPr>
        <w:t> </w:t>
      </w:r>
      <w:r w:rsidRPr="006060FB">
        <w:rPr>
          <w:sz w:val="16"/>
          <w:szCs w:val="16"/>
        </w:rPr>
        <w:t>389/2013 Kioto vienības ir šādas vienības: noteiktā daudzuma vienības, emisiju samazināšanas vienības, sertificētie emisiju samazinājumi, piesaistes vienības, ilglaicīgi sertificētie emisiju samazinājumi un pagaidu sertificētie emisiju samazinājumi</w:t>
      </w:r>
    </w:p>
  </w:footnote>
  <w:footnote w:id="2">
    <w:p w:rsidR="004E2FAB" w:rsidRPr="006060FB" w:rsidRDefault="004E2FAB" w:rsidP="008225CD">
      <w:pPr>
        <w:autoSpaceDE w:val="0"/>
        <w:autoSpaceDN w:val="0"/>
        <w:adjustRightInd w:val="0"/>
        <w:spacing w:after="0"/>
        <w:rPr>
          <w:rFonts w:ascii="Times New Roman" w:hAnsi="Times New Roman"/>
          <w:sz w:val="16"/>
          <w:szCs w:val="16"/>
        </w:rPr>
      </w:pPr>
      <w:r w:rsidRPr="006060FB">
        <w:rPr>
          <w:rStyle w:val="FootnoteReference"/>
          <w:rFonts w:ascii="Times New Roman" w:hAnsi="Times New Roman"/>
          <w:sz w:val="16"/>
          <w:szCs w:val="16"/>
        </w:rPr>
        <w:footnoteRef/>
      </w:r>
      <w:r w:rsidRPr="006060FB">
        <w:rPr>
          <w:rFonts w:ascii="Times New Roman" w:hAnsi="Times New Roman"/>
          <w:sz w:val="16"/>
          <w:szCs w:val="16"/>
        </w:rPr>
        <w:t xml:space="preserve"> Grozīta ar:</w:t>
      </w:r>
    </w:p>
    <w:p w:rsidR="004E2FAB" w:rsidRPr="006060FB" w:rsidRDefault="004E2FAB" w:rsidP="008225CD">
      <w:pPr>
        <w:autoSpaceDE w:val="0"/>
        <w:autoSpaceDN w:val="0"/>
        <w:adjustRightInd w:val="0"/>
        <w:spacing w:after="0"/>
        <w:rPr>
          <w:rFonts w:ascii="Times New Roman" w:hAnsi="Times New Roman"/>
          <w:sz w:val="16"/>
          <w:szCs w:val="16"/>
        </w:rPr>
      </w:pPr>
      <w:r w:rsidRPr="006060FB">
        <w:rPr>
          <w:rFonts w:ascii="Times New Roman" w:hAnsi="Times New Roman"/>
          <w:sz w:val="16"/>
          <w:szCs w:val="16"/>
        </w:rPr>
        <w:t>Eiropas Parlamenta un Padomes 2004.gada 27.oktobra Direktīvu 2004/101/EK, ar ko groza Direktīvu 2003/87/EK, ar kuru izveido siltumnīcefekta gāzu emisijas kvotu tirdzniecības sistēmu Kopienā, ņemot vērā Kioto Protokola projekta mehānismus</w:t>
      </w:r>
    </w:p>
    <w:p w:rsidR="004E2FAB" w:rsidRPr="006060FB" w:rsidRDefault="004E2FAB" w:rsidP="008225CD">
      <w:pPr>
        <w:autoSpaceDE w:val="0"/>
        <w:autoSpaceDN w:val="0"/>
        <w:adjustRightInd w:val="0"/>
        <w:spacing w:after="0"/>
        <w:rPr>
          <w:rFonts w:ascii="Times New Roman" w:hAnsi="Times New Roman"/>
          <w:sz w:val="16"/>
          <w:szCs w:val="16"/>
          <w:shd w:val="clear" w:color="auto" w:fill="FFFFFF"/>
        </w:rPr>
      </w:pPr>
      <w:r w:rsidRPr="006060FB">
        <w:rPr>
          <w:rFonts w:ascii="Times New Roman" w:hAnsi="Times New Roman"/>
          <w:sz w:val="16"/>
          <w:szCs w:val="16"/>
          <w:shd w:val="clear" w:color="auto" w:fill="FFFFFF"/>
        </w:rPr>
        <w:t>Eiropas Parlamenta un Padomes 2008.gada 19.novembra Direktīvu 2008/101/EK, ar ko groza Direktīvu</w:t>
      </w:r>
      <w:r w:rsidRPr="006060FB">
        <w:rPr>
          <w:rStyle w:val="apple-converted-space"/>
          <w:rFonts w:ascii="Times New Roman" w:hAnsi="Times New Roman"/>
          <w:sz w:val="16"/>
          <w:szCs w:val="16"/>
          <w:shd w:val="clear" w:color="auto" w:fill="FFFFFF"/>
        </w:rPr>
        <w:t> </w:t>
      </w:r>
      <w:r w:rsidRPr="006060FB">
        <w:rPr>
          <w:rFonts w:ascii="Times New Roman" w:hAnsi="Times New Roman"/>
          <w:sz w:val="16"/>
          <w:szCs w:val="16"/>
          <w:shd w:val="clear" w:color="auto" w:fill="FFFFFF"/>
        </w:rPr>
        <w:t>2003/87/EK, lai aviācijas darbības iekļautu Kopienas siltumnīcas efektu izraisošo gāzu emisijas kvotu tirdzniecības sistēmā;</w:t>
      </w:r>
    </w:p>
    <w:p w:rsidR="004E2FAB" w:rsidRPr="006060FB" w:rsidRDefault="004E2FAB" w:rsidP="008225CD">
      <w:pPr>
        <w:autoSpaceDE w:val="0"/>
        <w:autoSpaceDN w:val="0"/>
        <w:adjustRightInd w:val="0"/>
        <w:spacing w:after="0"/>
        <w:rPr>
          <w:rFonts w:ascii="Times New Roman" w:hAnsi="Times New Roman"/>
          <w:sz w:val="16"/>
          <w:szCs w:val="16"/>
          <w:shd w:val="clear" w:color="auto" w:fill="FFFFFF"/>
        </w:rPr>
      </w:pPr>
      <w:r w:rsidRPr="006060FB">
        <w:rPr>
          <w:rFonts w:ascii="Times New Roman" w:hAnsi="Times New Roman"/>
          <w:sz w:val="16"/>
          <w:szCs w:val="16"/>
          <w:shd w:val="clear" w:color="auto" w:fill="FFFFFF"/>
        </w:rPr>
        <w:t>Eiropas Parlamenta un Padomes 2009.gada 23.aprīļa Direktīvu 2009/29/EK, ar ko Direktīvu 2003/87/EK groza, lai uzlabotu un paplašinātu Kopienas siltumnīcas efektu izraisošo gāzu emisiju kvotu tirdzniecības sistēmu;</w:t>
      </w:r>
    </w:p>
    <w:p w:rsidR="004E2FAB" w:rsidRPr="006060FB" w:rsidRDefault="004E2FAB" w:rsidP="008225CD">
      <w:pPr>
        <w:autoSpaceDE w:val="0"/>
        <w:autoSpaceDN w:val="0"/>
        <w:adjustRightInd w:val="0"/>
        <w:spacing w:after="0"/>
        <w:rPr>
          <w:rFonts w:ascii="Times New Roman" w:hAnsi="Times New Roman"/>
          <w:bCs/>
          <w:sz w:val="16"/>
          <w:szCs w:val="16"/>
          <w:shd w:val="clear" w:color="auto" w:fill="FFFFFF"/>
        </w:rPr>
      </w:pPr>
      <w:r w:rsidRPr="006060FB">
        <w:rPr>
          <w:rFonts w:ascii="Times New Roman" w:hAnsi="Times New Roman"/>
          <w:sz w:val="16"/>
          <w:szCs w:val="16"/>
          <w:shd w:val="clear" w:color="auto" w:fill="FFFFFF"/>
        </w:rPr>
        <w:t xml:space="preserve">Eiropas Parlamenta un Padomes 2013.gada 17.decembra lēmumu Nr.1359/2013/ES, </w:t>
      </w:r>
      <w:r w:rsidRPr="006060FB">
        <w:rPr>
          <w:rFonts w:ascii="Times New Roman" w:hAnsi="Times New Roman"/>
          <w:bCs/>
          <w:sz w:val="16"/>
          <w:szCs w:val="16"/>
          <w:shd w:val="clear" w:color="auto" w:fill="FFFFFF"/>
        </w:rPr>
        <w:t>ar ko groza Direktīvu 2003/87/EK, precizējot noteikumus par siltumnīcefekta gāzu emisijas kvotu izsoļu grafiku;</w:t>
      </w:r>
    </w:p>
    <w:p w:rsidR="004E2FAB" w:rsidRPr="006060FB" w:rsidRDefault="004E2FAB" w:rsidP="008225CD">
      <w:pPr>
        <w:autoSpaceDE w:val="0"/>
        <w:autoSpaceDN w:val="0"/>
        <w:adjustRightInd w:val="0"/>
        <w:spacing w:after="0"/>
        <w:rPr>
          <w:rFonts w:ascii="Times New Roman" w:hAnsi="Times New Roman"/>
          <w:sz w:val="16"/>
          <w:szCs w:val="16"/>
        </w:rPr>
      </w:pPr>
      <w:r w:rsidRPr="006060FB">
        <w:rPr>
          <w:rFonts w:ascii="Times New Roman" w:hAnsi="Times New Roman"/>
          <w:sz w:val="16"/>
          <w:szCs w:val="16"/>
          <w:shd w:val="clear" w:color="auto" w:fill="FFFFFF"/>
        </w:rPr>
        <w:t>Eiropas Parlamenta un Padomes 2014.gada regulu Nr.421/2014, ar ko groza Direktīvu 2003/87/EK, ar kuru nosaka sistēmu siltumnīcas efektu izraisošo gāzu emisijas kvotu tirdzniecībai Kopienā, jo paredzams, ka līdz 2020. gadam tiks īstenota starptautiska vienošanās par vienota un globāla tirgus mehānisma piemērošanu starptautiskās aviācijas emisijām</w:t>
      </w:r>
    </w:p>
  </w:footnote>
  <w:footnote w:id="3">
    <w:p w:rsidR="004E2FAB" w:rsidRPr="006060FB" w:rsidRDefault="004E2FAB">
      <w:pPr>
        <w:pStyle w:val="FootnoteText"/>
        <w:rPr>
          <w:sz w:val="16"/>
          <w:szCs w:val="16"/>
        </w:rPr>
      </w:pPr>
      <w:r w:rsidRPr="006060FB">
        <w:rPr>
          <w:rStyle w:val="FootnoteReference"/>
          <w:sz w:val="16"/>
          <w:szCs w:val="16"/>
        </w:rPr>
        <w:footnoteRef/>
      </w:r>
      <w:r w:rsidRPr="006060FB">
        <w:rPr>
          <w:sz w:val="16"/>
          <w:szCs w:val="16"/>
        </w:rPr>
        <w:t xml:space="preserve"> Ministru kabineta 2008.gada 7.jūlija noteikumi Nr.510 „Kioto protokola projektu mehānismu īstenošanas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AB" w:rsidRDefault="0081199F">
    <w:pPr>
      <w:pStyle w:val="Header"/>
      <w:jc w:val="center"/>
    </w:pPr>
    <w:r>
      <w:fldChar w:fldCharType="begin"/>
    </w:r>
    <w:r w:rsidR="004E2FAB">
      <w:instrText xml:space="preserve"> PAGE   \* MERGEFORMAT </w:instrText>
    </w:r>
    <w:r>
      <w:fldChar w:fldCharType="separate"/>
    </w:r>
    <w:r w:rsidR="00F44F51">
      <w:rPr>
        <w:noProof/>
      </w:rPr>
      <w:t>10</w:t>
    </w:r>
    <w:r>
      <w:rPr>
        <w:noProof/>
      </w:rPr>
      <w:fldChar w:fldCharType="end"/>
    </w:r>
  </w:p>
  <w:p w:rsidR="004E2FAB" w:rsidRDefault="004E2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7B7"/>
    <w:multiLevelType w:val="hybridMultilevel"/>
    <w:tmpl w:val="1C3C8200"/>
    <w:lvl w:ilvl="0" w:tplc="F3909B34">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5873504"/>
    <w:multiLevelType w:val="hybridMultilevel"/>
    <w:tmpl w:val="4B6865CE"/>
    <w:lvl w:ilvl="0" w:tplc="CAE8E2FA">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9806A7"/>
    <w:multiLevelType w:val="hybridMultilevel"/>
    <w:tmpl w:val="E94219F4"/>
    <w:lvl w:ilvl="0" w:tplc="1390D23E">
      <w:start w:val="1"/>
      <w:numFmt w:val="bullet"/>
      <w:lvlText w:val=""/>
      <w:lvlJc w:val="left"/>
      <w:pPr>
        <w:ind w:left="873" w:hanging="360"/>
      </w:pPr>
      <w:rPr>
        <w:rFonts w:ascii="Symbol" w:hAnsi="Symbol" w:hint="default"/>
      </w:rPr>
    </w:lvl>
    <w:lvl w:ilvl="1" w:tplc="04260003" w:tentative="1">
      <w:start w:val="1"/>
      <w:numFmt w:val="bullet"/>
      <w:lvlText w:val="o"/>
      <w:lvlJc w:val="left"/>
      <w:pPr>
        <w:ind w:left="1593" w:hanging="360"/>
      </w:pPr>
      <w:rPr>
        <w:rFonts w:ascii="Courier New" w:hAnsi="Courier New" w:hint="default"/>
      </w:rPr>
    </w:lvl>
    <w:lvl w:ilvl="2" w:tplc="04260005" w:tentative="1">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3"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A83C6C"/>
    <w:multiLevelType w:val="hybridMultilevel"/>
    <w:tmpl w:val="9B301300"/>
    <w:lvl w:ilvl="0" w:tplc="44C80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8B83234"/>
    <w:multiLevelType w:val="hybridMultilevel"/>
    <w:tmpl w:val="5D96C172"/>
    <w:lvl w:ilvl="0" w:tplc="A0406780">
      <w:start w:val="5"/>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E848FB"/>
    <w:multiLevelType w:val="hybridMultilevel"/>
    <w:tmpl w:val="A0E29260"/>
    <w:lvl w:ilvl="0" w:tplc="7B26D53A">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842337"/>
    <w:multiLevelType w:val="hybridMultilevel"/>
    <w:tmpl w:val="40346D4A"/>
    <w:lvl w:ilvl="0" w:tplc="1390D23E">
      <w:start w:val="1"/>
      <w:numFmt w:val="bullet"/>
      <w:lvlText w:val=""/>
      <w:lvlJc w:val="left"/>
      <w:pPr>
        <w:ind w:left="890" w:hanging="360"/>
      </w:pPr>
      <w:rPr>
        <w:rFonts w:ascii="Symbol" w:hAnsi="Symbol" w:hint="default"/>
      </w:rPr>
    </w:lvl>
    <w:lvl w:ilvl="1" w:tplc="04260003" w:tentative="1">
      <w:start w:val="1"/>
      <w:numFmt w:val="bullet"/>
      <w:lvlText w:val="o"/>
      <w:lvlJc w:val="left"/>
      <w:pPr>
        <w:ind w:left="1610" w:hanging="360"/>
      </w:pPr>
      <w:rPr>
        <w:rFonts w:ascii="Courier New" w:hAnsi="Courier New" w:hint="default"/>
      </w:rPr>
    </w:lvl>
    <w:lvl w:ilvl="2" w:tplc="04260005" w:tentative="1">
      <w:start w:val="1"/>
      <w:numFmt w:val="bullet"/>
      <w:lvlText w:val=""/>
      <w:lvlJc w:val="left"/>
      <w:pPr>
        <w:ind w:left="2330" w:hanging="360"/>
      </w:pPr>
      <w:rPr>
        <w:rFonts w:ascii="Wingdings" w:hAnsi="Wingdings" w:hint="default"/>
      </w:rPr>
    </w:lvl>
    <w:lvl w:ilvl="3" w:tplc="04260001" w:tentative="1">
      <w:start w:val="1"/>
      <w:numFmt w:val="bullet"/>
      <w:lvlText w:val=""/>
      <w:lvlJc w:val="left"/>
      <w:pPr>
        <w:ind w:left="3050" w:hanging="360"/>
      </w:pPr>
      <w:rPr>
        <w:rFonts w:ascii="Symbol" w:hAnsi="Symbol" w:hint="default"/>
      </w:rPr>
    </w:lvl>
    <w:lvl w:ilvl="4" w:tplc="04260003" w:tentative="1">
      <w:start w:val="1"/>
      <w:numFmt w:val="bullet"/>
      <w:lvlText w:val="o"/>
      <w:lvlJc w:val="left"/>
      <w:pPr>
        <w:ind w:left="3770" w:hanging="360"/>
      </w:pPr>
      <w:rPr>
        <w:rFonts w:ascii="Courier New" w:hAnsi="Courier New" w:hint="default"/>
      </w:rPr>
    </w:lvl>
    <w:lvl w:ilvl="5" w:tplc="04260005" w:tentative="1">
      <w:start w:val="1"/>
      <w:numFmt w:val="bullet"/>
      <w:lvlText w:val=""/>
      <w:lvlJc w:val="left"/>
      <w:pPr>
        <w:ind w:left="4490" w:hanging="360"/>
      </w:pPr>
      <w:rPr>
        <w:rFonts w:ascii="Wingdings" w:hAnsi="Wingdings" w:hint="default"/>
      </w:rPr>
    </w:lvl>
    <w:lvl w:ilvl="6" w:tplc="04260001" w:tentative="1">
      <w:start w:val="1"/>
      <w:numFmt w:val="bullet"/>
      <w:lvlText w:val=""/>
      <w:lvlJc w:val="left"/>
      <w:pPr>
        <w:ind w:left="5210" w:hanging="360"/>
      </w:pPr>
      <w:rPr>
        <w:rFonts w:ascii="Symbol" w:hAnsi="Symbol" w:hint="default"/>
      </w:rPr>
    </w:lvl>
    <w:lvl w:ilvl="7" w:tplc="04260003" w:tentative="1">
      <w:start w:val="1"/>
      <w:numFmt w:val="bullet"/>
      <w:lvlText w:val="o"/>
      <w:lvlJc w:val="left"/>
      <w:pPr>
        <w:ind w:left="5930" w:hanging="360"/>
      </w:pPr>
      <w:rPr>
        <w:rFonts w:ascii="Courier New" w:hAnsi="Courier New" w:hint="default"/>
      </w:rPr>
    </w:lvl>
    <w:lvl w:ilvl="8" w:tplc="04260005" w:tentative="1">
      <w:start w:val="1"/>
      <w:numFmt w:val="bullet"/>
      <w:lvlText w:val=""/>
      <w:lvlJc w:val="left"/>
      <w:pPr>
        <w:ind w:left="6650" w:hanging="360"/>
      </w:pPr>
      <w:rPr>
        <w:rFonts w:ascii="Wingdings" w:hAnsi="Wingdings" w:hint="default"/>
      </w:rPr>
    </w:lvl>
  </w:abstractNum>
  <w:abstractNum w:abstractNumId="8" w15:restartNumberingAfterBreak="0">
    <w:nsid w:val="102922E6"/>
    <w:multiLevelType w:val="hybridMultilevel"/>
    <w:tmpl w:val="FE1ABEE8"/>
    <w:lvl w:ilvl="0" w:tplc="155478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A37EA9"/>
    <w:multiLevelType w:val="hybridMultilevel"/>
    <w:tmpl w:val="F2508D6E"/>
    <w:lvl w:ilvl="0" w:tplc="0EFE7DDE">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10" w15:restartNumberingAfterBreak="0">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65F5CFE"/>
    <w:multiLevelType w:val="hybridMultilevel"/>
    <w:tmpl w:val="157EF7E4"/>
    <w:lvl w:ilvl="0" w:tplc="1D5487B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8814311"/>
    <w:multiLevelType w:val="hybridMultilevel"/>
    <w:tmpl w:val="343ADBA4"/>
    <w:lvl w:ilvl="0" w:tplc="EA66E610">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560B9"/>
    <w:multiLevelType w:val="hybridMultilevel"/>
    <w:tmpl w:val="BD922A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91E515C"/>
    <w:multiLevelType w:val="hybridMultilevel"/>
    <w:tmpl w:val="17BE48DA"/>
    <w:lvl w:ilvl="0" w:tplc="1390D23E">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1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B74205"/>
    <w:multiLevelType w:val="hybridMultilevel"/>
    <w:tmpl w:val="165413C0"/>
    <w:lvl w:ilvl="0" w:tplc="44C80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D18645E"/>
    <w:multiLevelType w:val="hybridMultilevel"/>
    <w:tmpl w:val="6FF6BFBA"/>
    <w:lvl w:ilvl="0" w:tplc="67A8F996">
      <w:start w:val="1"/>
      <w:numFmt w:val="bullet"/>
      <w:lvlText w:val="•"/>
      <w:lvlJc w:val="left"/>
      <w:pPr>
        <w:tabs>
          <w:tab w:val="num" w:pos="720"/>
        </w:tabs>
        <w:ind w:left="720" w:hanging="360"/>
      </w:pPr>
      <w:rPr>
        <w:rFonts w:ascii="Arial" w:hAnsi="Aria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21" w15:restartNumberingAfterBreak="0">
    <w:nsid w:val="25CE195D"/>
    <w:multiLevelType w:val="hybridMultilevel"/>
    <w:tmpl w:val="82289CA8"/>
    <w:lvl w:ilvl="0" w:tplc="D53882E0">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22" w15:restartNumberingAfterBreak="0">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3" w15:restartNumberingAfterBreak="0">
    <w:nsid w:val="2DE86AB6"/>
    <w:multiLevelType w:val="hybridMultilevel"/>
    <w:tmpl w:val="1D36E26C"/>
    <w:lvl w:ilvl="0" w:tplc="354282D8">
      <w:start w:val="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15:restartNumberingAfterBreak="0">
    <w:nsid w:val="35CE6D92"/>
    <w:multiLevelType w:val="hybridMultilevel"/>
    <w:tmpl w:val="1474F00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38E84DFA"/>
    <w:multiLevelType w:val="hybridMultilevel"/>
    <w:tmpl w:val="477CF7E0"/>
    <w:lvl w:ilvl="0" w:tplc="1390D23E">
      <w:start w:val="1"/>
      <w:numFmt w:val="bullet"/>
      <w:lvlText w:val=""/>
      <w:lvlJc w:val="left"/>
      <w:pPr>
        <w:ind w:left="530" w:hanging="360"/>
      </w:pPr>
      <w:rPr>
        <w:rFonts w:ascii="Symbol" w:hAnsi="Symbol" w:hint="default"/>
      </w:rPr>
    </w:lvl>
    <w:lvl w:ilvl="1" w:tplc="04260003" w:tentative="1">
      <w:start w:val="1"/>
      <w:numFmt w:val="bullet"/>
      <w:lvlText w:val="o"/>
      <w:lvlJc w:val="left"/>
      <w:pPr>
        <w:ind w:left="1250" w:hanging="360"/>
      </w:pPr>
      <w:rPr>
        <w:rFonts w:ascii="Courier New" w:hAnsi="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27" w15:restartNumberingAfterBreak="0">
    <w:nsid w:val="39EF344E"/>
    <w:multiLevelType w:val="hybridMultilevel"/>
    <w:tmpl w:val="636CA97C"/>
    <w:lvl w:ilvl="0" w:tplc="48229706">
      <w:start w:val="1"/>
      <w:numFmt w:val="decimal"/>
      <w:lvlText w:val="%1)"/>
      <w:lvlJc w:val="left"/>
      <w:pPr>
        <w:ind w:left="587" w:hanging="360"/>
      </w:pPr>
      <w:rPr>
        <w:rFonts w:cs="Times New Roman" w:hint="default"/>
      </w:rPr>
    </w:lvl>
    <w:lvl w:ilvl="1" w:tplc="04260019" w:tentative="1">
      <w:start w:val="1"/>
      <w:numFmt w:val="lowerLetter"/>
      <w:lvlText w:val="%2."/>
      <w:lvlJc w:val="left"/>
      <w:pPr>
        <w:ind w:left="1307" w:hanging="360"/>
      </w:pPr>
      <w:rPr>
        <w:rFonts w:cs="Times New Roman"/>
      </w:rPr>
    </w:lvl>
    <w:lvl w:ilvl="2" w:tplc="0426001B" w:tentative="1">
      <w:start w:val="1"/>
      <w:numFmt w:val="lowerRoman"/>
      <w:lvlText w:val="%3."/>
      <w:lvlJc w:val="right"/>
      <w:pPr>
        <w:ind w:left="2027" w:hanging="180"/>
      </w:pPr>
      <w:rPr>
        <w:rFonts w:cs="Times New Roman"/>
      </w:rPr>
    </w:lvl>
    <w:lvl w:ilvl="3" w:tplc="0426000F" w:tentative="1">
      <w:start w:val="1"/>
      <w:numFmt w:val="decimal"/>
      <w:lvlText w:val="%4."/>
      <w:lvlJc w:val="left"/>
      <w:pPr>
        <w:ind w:left="2747" w:hanging="360"/>
      </w:pPr>
      <w:rPr>
        <w:rFonts w:cs="Times New Roman"/>
      </w:rPr>
    </w:lvl>
    <w:lvl w:ilvl="4" w:tplc="04260019" w:tentative="1">
      <w:start w:val="1"/>
      <w:numFmt w:val="lowerLetter"/>
      <w:lvlText w:val="%5."/>
      <w:lvlJc w:val="left"/>
      <w:pPr>
        <w:ind w:left="3467" w:hanging="360"/>
      </w:pPr>
      <w:rPr>
        <w:rFonts w:cs="Times New Roman"/>
      </w:rPr>
    </w:lvl>
    <w:lvl w:ilvl="5" w:tplc="0426001B" w:tentative="1">
      <w:start w:val="1"/>
      <w:numFmt w:val="lowerRoman"/>
      <w:lvlText w:val="%6."/>
      <w:lvlJc w:val="right"/>
      <w:pPr>
        <w:ind w:left="4187" w:hanging="180"/>
      </w:pPr>
      <w:rPr>
        <w:rFonts w:cs="Times New Roman"/>
      </w:rPr>
    </w:lvl>
    <w:lvl w:ilvl="6" w:tplc="0426000F" w:tentative="1">
      <w:start w:val="1"/>
      <w:numFmt w:val="decimal"/>
      <w:lvlText w:val="%7."/>
      <w:lvlJc w:val="left"/>
      <w:pPr>
        <w:ind w:left="4907" w:hanging="360"/>
      </w:pPr>
      <w:rPr>
        <w:rFonts w:cs="Times New Roman"/>
      </w:rPr>
    </w:lvl>
    <w:lvl w:ilvl="7" w:tplc="04260019" w:tentative="1">
      <w:start w:val="1"/>
      <w:numFmt w:val="lowerLetter"/>
      <w:lvlText w:val="%8."/>
      <w:lvlJc w:val="left"/>
      <w:pPr>
        <w:ind w:left="5627" w:hanging="360"/>
      </w:pPr>
      <w:rPr>
        <w:rFonts w:cs="Times New Roman"/>
      </w:rPr>
    </w:lvl>
    <w:lvl w:ilvl="8" w:tplc="0426001B" w:tentative="1">
      <w:start w:val="1"/>
      <w:numFmt w:val="lowerRoman"/>
      <w:lvlText w:val="%9."/>
      <w:lvlJc w:val="right"/>
      <w:pPr>
        <w:ind w:left="6347" w:hanging="180"/>
      </w:pPr>
      <w:rPr>
        <w:rFonts w:cs="Times New Roman"/>
      </w:rPr>
    </w:lvl>
  </w:abstractNum>
  <w:abstractNum w:abstractNumId="28" w15:restartNumberingAfterBreak="0">
    <w:nsid w:val="3A3243D3"/>
    <w:multiLevelType w:val="hybridMultilevel"/>
    <w:tmpl w:val="8820CC0A"/>
    <w:lvl w:ilvl="0" w:tplc="1390D23E">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29" w15:restartNumberingAfterBreak="0">
    <w:nsid w:val="3AE5196F"/>
    <w:multiLevelType w:val="hybridMultilevel"/>
    <w:tmpl w:val="FEE42506"/>
    <w:lvl w:ilvl="0" w:tplc="391C7516">
      <w:start w:val="1"/>
      <w:numFmt w:val="decimal"/>
      <w:lvlText w:val="%1)"/>
      <w:lvlJc w:val="left"/>
      <w:pPr>
        <w:ind w:left="752" w:hanging="525"/>
      </w:pPr>
      <w:rPr>
        <w:rFonts w:cs="Times New Roman" w:hint="default"/>
      </w:rPr>
    </w:lvl>
    <w:lvl w:ilvl="1" w:tplc="04260019" w:tentative="1">
      <w:start w:val="1"/>
      <w:numFmt w:val="lowerLetter"/>
      <w:lvlText w:val="%2."/>
      <w:lvlJc w:val="left"/>
      <w:pPr>
        <w:ind w:left="1307" w:hanging="360"/>
      </w:pPr>
      <w:rPr>
        <w:rFonts w:cs="Times New Roman"/>
      </w:rPr>
    </w:lvl>
    <w:lvl w:ilvl="2" w:tplc="0426001B" w:tentative="1">
      <w:start w:val="1"/>
      <w:numFmt w:val="lowerRoman"/>
      <w:lvlText w:val="%3."/>
      <w:lvlJc w:val="right"/>
      <w:pPr>
        <w:ind w:left="2027" w:hanging="180"/>
      </w:pPr>
      <w:rPr>
        <w:rFonts w:cs="Times New Roman"/>
      </w:rPr>
    </w:lvl>
    <w:lvl w:ilvl="3" w:tplc="0426000F" w:tentative="1">
      <w:start w:val="1"/>
      <w:numFmt w:val="decimal"/>
      <w:lvlText w:val="%4."/>
      <w:lvlJc w:val="left"/>
      <w:pPr>
        <w:ind w:left="2747" w:hanging="360"/>
      </w:pPr>
      <w:rPr>
        <w:rFonts w:cs="Times New Roman"/>
      </w:rPr>
    </w:lvl>
    <w:lvl w:ilvl="4" w:tplc="04260019" w:tentative="1">
      <w:start w:val="1"/>
      <w:numFmt w:val="lowerLetter"/>
      <w:lvlText w:val="%5."/>
      <w:lvlJc w:val="left"/>
      <w:pPr>
        <w:ind w:left="3467" w:hanging="360"/>
      </w:pPr>
      <w:rPr>
        <w:rFonts w:cs="Times New Roman"/>
      </w:rPr>
    </w:lvl>
    <w:lvl w:ilvl="5" w:tplc="0426001B" w:tentative="1">
      <w:start w:val="1"/>
      <w:numFmt w:val="lowerRoman"/>
      <w:lvlText w:val="%6."/>
      <w:lvlJc w:val="right"/>
      <w:pPr>
        <w:ind w:left="4187" w:hanging="180"/>
      </w:pPr>
      <w:rPr>
        <w:rFonts w:cs="Times New Roman"/>
      </w:rPr>
    </w:lvl>
    <w:lvl w:ilvl="6" w:tplc="0426000F" w:tentative="1">
      <w:start w:val="1"/>
      <w:numFmt w:val="decimal"/>
      <w:lvlText w:val="%7."/>
      <w:lvlJc w:val="left"/>
      <w:pPr>
        <w:ind w:left="4907" w:hanging="360"/>
      </w:pPr>
      <w:rPr>
        <w:rFonts w:cs="Times New Roman"/>
      </w:rPr>
    </w:lvl>
    <w:lvl w:ilvl="7" w:tplc="04260019" w:tentative="1">
      <w:start w:val="1"/>
      <w:numFmt w:val="lowerLetter"/>
      <w:lvlText w:val="%8."/>
      <w:lvlJc w:val="left"/>
      <w:pPr>
        <w:ind w:left="5627" w:hanging="360"/>
      </w:pPr>
      <w:rPr>
        <w:rFonts w:cs="Times New Roman"/>
      </w:rPr>
    </w:lvl>
    <w:lvl w:ilvl="8" w:tplc="0426001B" w:tentative="1">
      <w:start w:val="1"/>
      <w:numFmt w:val="lowerRoman"/>
      <w:lvlText w:val="%9."/>
      <w:lvlJc w:val="right"/>
      <w:pPr>
        <w:ind w:left="6347" w:hanging="180"/>
      </w:pPr>
      <w:rPr>
        <w:rFonts w:cs="Times New Roman"/>
      </w:rPr>
    </w:lvl>
  </w:abstractNum>
  <w:abstractNum w:abstractNumId="30" w15:restartNumberingAfterBreak="0">
    <w:nsid w:val="3EB0279C"/>
    <w:multiLevelType w:val="hybridMultilevel"/>
    <w:tmpl w:val="1CCE603A"/>
    <w:lvl w:ilvl="0" w:tplc="D53882E0">
      <w:start w:val="1"/>
      <w:numFmt w:val="bullet"/>
      <w:lvlText w:val=""/>
      <w:lvlJc w:val="left"/>
      <w:pPr>
        <w:ind w:left="947" w:hanging="360"/>
      </w:pPr>
      <w:rPr>
        <w:rFonts w:ascii="Symbol" w:hAnsi="Symbol" w:hint="default"/>
      </w:rPr>
    </w:lvl>
    <w:lvl w:ilvl="1" w:tplc="A0406780">
      <w:start w:val="5"/>
      <w:numFmt w:val="bullet"/>
      <w:lvlText w:val="-"/>
      <w:lvlJc w:val="left"/>
      <w:pPr>
        <w:ind w:left="1667" w:hanging="360"/>
      </w:pPr>
      <w:rPr>
        <w:rFonts w:ascii="Times New Roman" w:eastAsia="Times New Roman" w:hAnsi="Times New Roman"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31"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8DC5A71"/>
    <w:multiLevelType w:val="hybridMultilevel"/>
    <w:tmpl w:val="39A84F2A"/>
    <w:lvl w:ilvl="0" w:tplc="49661AB6">
      <w:start w:val="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C0D42B7"/>
    <w:multiLevelType w:val="hybridMultilevel"/>
    <w:tmpl w:val="261EBF62"/>
    <w:lvl w:ilvl="0" w:tplc="89D4F0C4">
      <w:start w:val="46"/>
      <w:numFmt w:val="bullet"/>
      <w:lvlText w:val="-"/>
      <w:lvlJc w:val="left"/>
      <w:pPr>
        <w:ind w:left="530" w:hanging="360"/>
      </w:pPr>
      <w:rPr>
        <w:rFonts w:ascii="Times New Roman" w:eastAsia="Times New Roman" w:hAnsi="Times New Roman" w:hint="default"/>
      </w:rPr>
    </w:lvl>
    <w:lvl w:ilvl="1" w:tplc="04260003" w:tentative="1">
      <w:start w:val="1"/>
      <w:numFmt w:val="bullet"/>
      <w:lvlText w:val="o"/>
      <w:lvlJc w:val="left"/>
      <w:pPr>
        <w:ind w:left="1250" w:hanging="360"/>
      </w:pPr>
      <w:rPr>
        <w:rFonts w:ascii="Courier New" w:hAnsi="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36" w15:restartNumberingAfterBreak="0">
    <w:nsid w:val="51FB6389"/>
    <w:multiLevelType w:val="hybridMultilevel"/>
    <w:tmpl w:val="FBFEEC76"/>
    <w:lvl w:ilvl="0" w:tplc="A0406780">
      <w:start w:val="5"/>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7"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53814BF"/>
    <w:multiLevelType w:val="hybridMultilevel"/>
    <w:tmpl w:val="16BCA2E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A3225D"/>
    <w:multiLevelType w:val="hybridMultilevel"/>
    <w:tmpl w:val="0EEE3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5C8F119A"/>
    <w:multiLevelType w:val="hybridMultilevel"/>
    <w:tmpl w:val="9F925556"/>
    <w:lvl w:ilvl="0" w:tplc="383A6592">
      <w:start w:val="1"/>
      <w:numFmt w:val="decimal"/>
      <w:lvlText w:val="%1)"/>
      <w:lvlJc w:val="left"/>
      <w:pPr>
        <w:ind w:left="616" w:hanging="360"/>
      </w:pPr>
      <w:rPr>
        <w:rFonts w:eastAsia="Times New Roman" w:cs="Times New Roman" w:hint="default"/>
        <w:sz w:val="22"/>
        <w:szCs w:val="22"/>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42" w15:restartNumberingAfterBreak="0">
    <w:nsid w:val="5D891C0F"/>
    <w:multiLevelType w:val="hybridMultilevel"/>
    <w:tmpl w:val="A230A664"/>
    <w:lvl w:ilvl="0" w:tplc="D4A681EC">
      <w:start w:val="1"/>
      <w:numFmt w:val="lowerLetter"/>
      <w:lvlText w:val="%1."/>
      <w:lvlJc w:val="left"/>
      <w:pPr>
        <w:ind w:left="947" w:hanging="72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43"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44" w15:restartNumberingAfterBreak="0">
    <w:nsid w:val="5ED32202"/>
    <w:multiLevelType w:val="hybridMultilevel"/>
    <w:tmpl w:val="B8E48524"/>
    <w:lvl w:ilvl="0" w:tplc="D53882E0">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45" w15:restartNumberingAfterBreak="0">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6" w15:restartNumberingAfterBreak="0">
    <w:nsid w:val="61832C73"/>
    <w:multiLevelType w:val="hybridMultilevel"/>
    <w:tmpl w:val="DBA262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66BA471A"/>
    <w:multiLevelType w:val="hybridMultilevel"/>
    <w:tmpl w:val="F2B25362"/>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9EF2446"/>
    <w:multiLevelType w:val="hybridMultilevel"/>
    <w:tmpl w:val="730E5F4A"/>
    <w:lvl w:ilvl="0" w:tplc="1390D23E">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50" w15:restartNumberingAfterBreak="0">
    <w:nsid w:val="7C9120D9"/>
    <w:multiLevelType w:val="hybridMultilevel"/>
    <w:tmpl w:val="CABC0CBE"/>
    <w:lvl w:ilvl="0" w:tplc="1390D23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7"/>
  </w:num>
  <w:num w:numId="3">
    <w:abstractNumId w:val="50"/>
  </w:num>
  <w:num w:numId="4">
    <w:abstractNumId w:val="22"/>
  </w:num>
  <w:num w:numId="5">
    <w:abstractNumId w:val="45"/>
  </w:num>
  <w:num w:numId="6">
    <w:abstractNumId w:val="19"/>
  </w:num>
  <w:num w:numId="7">
    <w:abstractNumId w:val="14"/>
  </w:num>
  <w:num w:numId="8">
    <w:abstractNumId w:val="3"/>
  </w:num>
  <w:num w:numId="9">
    <w:abstractNumId w:val="37"/>
  </w:num>
  <w:num w:numId="10">
    <w:abstractNumId w:val="47"/>
  </w:num>
  <w:num w:numId="11">
    <w:abstractNumId w:val="31"/>
  </w:num>
  <w:num w:numId="12">
    <w:abstractNumId w:val="16"/>
  </w:num>
  <w:num w:numId="13">
    <w:abstractNumId w:val="32"/>
  </w:num>
  <w:num w:numId="14">
    <w:abstractNumId w:val="34"/>
  </w:num>
  <w:num w:numId="15">
    <w:abstractNumId w:val="39"/>
  </w:num>
  <w:num w:numId="16">
    <w:abstractNumId w:val="43"/>
  </w:num>
  <w:num w:numId="17">
    <w:abstractNumId w:val="24"/>
  </w:num>
  <w:num w:numId="18">
    <w:abstractNumId w:val="10"/>
  </w:num>
  <w:num w:numId="19">
    <w:abstractNumId w:val="40"/>
  </w:num>
  <w:num w:numId="20">
    <w:abstractNumId w:val="20"/>
  </w:num>
  <w:num w:numId="21">
    <w:abstractNumId w:val="28"/>
  </w:num>
  <w:num w:numId="22">
    <w:abstractNumId w:val="13"/>
  </w:num>
  <w:num w:numId="23">
    <w:abstractNumId w:val="15"/>
  </w:num>
  <w:num w:numId="24">
    <w:abstractNumId w:val="49"/>
  </w:num>
  <w:num w:numId="25">
    <w:abstractNumId w:val="35"/>
  </w:num>
  <w:num w:numId="26">
    <w:abstractNumId w:val="44"/>
  </w:num>
  <w:num w:numId="27">
    <w:abstractNumId w:val="27"/>
  </w:num>
  <w:num w:numId="28">
    <w:abstractNumId w:val="25"/>
  </w:num>
  <w:num w:numId="29">
    <w:abstractNumId w:val="29"/>
  </w:num>
  <w:num w:numId="30">
    <w:abstractNumId w:val="21"/>
  </w:num>
  <w:num w:numId="31">
    <w:abstractNumId w:val="30"/>
  </w:num>
  <w:num w:numId="32">
    <w:abstractNumId w:val="1"/>
  </w:num>
  <w:num w:numId="33">
    <w:abstractNumId w:val="23"/>
  </w:num>
  <w:num w:numId="34">
    <w:abstractNumId w:val="6"/>
  </w:num>
  <w:num w:numId="35">
    <w:abstractNumId w:val="33"/>
  </w:num>
  <w:num w:numId="36">
    <w:abstractNumId w:val="36"/>
  </w:num>
  <w:num w:numId="37">
    <w:abstractNumId w:val="41"/>
  </w:num>
  <w:num w:numId="38">
    <w:abstractNumId w:val="0"/>
  </w:num>
  <w:num w:numId="39">
    <w:abstractNumId w:val="2"/>
  </w:num>
  <w:num w:numId="40">
    <w:abstractNumId w:val="12"/>
  </w:num>
  <w:num w:numId="41">
    <w:abstractNumId w:val="17"/>
  </w:num>
  <w:num w:numId="42">
    <w:abstractNumId w:val="11"/>
  </w:num>
  <w:num w:numId="43">
    <w:abstractNumId w:val="4"/>
  </w:num>
  <w:num w:numId="44">
    <w:abstractNumId w:val="9"/>
  </w:num>
  <w:num w:numId="45">
    <w:abstractNumId w:val="42"/>
  </w:num>
  <w:num w:numId="46">
    <w:abstractNumId w:val="46"/>
  </w:num>
  <w:num w:numId="47">
    <w:abstractNumId w:val="8"/>
  </w:num>
  <w:num w:numId="48">
    <w:abstractNumId w:val="38"/>
  </w:num>
  <w:num w:numId="49">
    <w:abstractNumId w:val="18"/>
  </w:num>
  <w:num w:numId="50">
    <w:abstractNumId w:val="5"/>
  </w:num>
  <w:num w:numId="51">
    <w:abstractNumId w:val="48"/>
  </w:num>
  <w:num w:numId="52">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hideSpellingErrors/>
  <w:hideGrammaticalErrors/>
  <w:defaultTabStop w:val="720"/>
  <w:drawingGridHorizontalSpacing w:val="110"/>
  <w:displayHorizontalDrawingGridEvery w:val="2"/>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6A32CD"/>
    <w:rsid w:val="000022EA"/>
    <w:rsid w:val="0000357E"/>
    <w:rsid w:val="00003841"/>
    <w:rsid w:val="00005263"/>
    <w:rsid w:val="0000734C"/>
    <w:rsid w:val="00010007"/>
    <w:rsid w:val="000204BD"/>
    <w:rsid w:val="00021F25"/>
    <w:rsid w:val="00023CCB"/>
    <w:rsid w:val="00026472"/>
    <w:rsid w:val="000265BB"/>
    <w:rsid w:val="00027F43"/>
    <w:rsid w:val="0003736E"/>
    <w:rsid w:val="0003767B"/>
    <w:rsid w:val="0004253C"/>
    <w:rsid w:val="00042B74"/>
    <w:rsid w:val="00045D4D"/>
    <w:rsid w:val="00054B73"/>
    <w:rsid w:val="00056F61"/>
    <w:rsid w:val="000576A2"/>
    <w:rsid w:val="00057819"/>
    <w:rsid w:val="0005794B"/>
    <w:rsid w:val="00060163"/>
    <w:rsid w:val="0006049C"/>
    <w:rsid w:val="00060858"/>
    <w:rsid w:val="0006345C"/>
    <w:rsid w:val="00063EC8"/>
    <w:rsid w:val="0006763E"/>
    <w:rsid w:val="000731AD"/>
    <w:rsid w:val="00075007"/>
    <w:rsid w:val="00077E67"/>
    <w:rsid w:val="000803FF"/>
    <w:rsid w:val="00080AB3"/>
    <w:rsid w:val="0008176E"/>
    <w:rsid w:val="00081A58"/>
    <w:rsid w:val="000834E4"/>
    <w:rsid w:val="00085C58"/>
    <w:rsid w:val="00087922"/>
    <w:rsid w:val="00090A98"/>
    <w:rsid w:val="00090B46"/>
    <w:rsid w:val="00090B58"/>
    <w:rsid w:val="0009191E"/>
    <w:rsid w:val="00092875"/>
    <w:rsid w:val="00095EE4"/>
    <w:rsid w:val="000A5328"/>
    <w:rsid w:val="000A58AB"/>
    <w:rsid w:val="000A6199"/>
    <w:rsid w:val="000B00B7"/>
    <w:rsid w:val="000B0D5A"/>
    <w:rsid w:val="000B34B9"/>
    <w:rsid w:val="000B4B09"/>
    <w:rsid w:val="000B51AB"/>
    <w:rsid w:val="000C3537"/>
    <w:rsid w:val="000C3F9F"/>
    <w:rsid w:val="000C5291"/>
    <w:rsid w:val="000D0AD8"/>
    <w:rsid w:val="000D2F76"/>
    <w:rsid w:val="000D481C"/>
    <w:rsid w:val="000D4A73"/>
    <w:rsid w:val="000E002A"/>
    <w:rsid w:val="000E05CA"/>
    <w:rsid w:val="000E1718"/>
    <w:rsid w:val="000E2B45"/>
    <w:rsid w:val="000E6416"/>
    <w:rsid w:val="000E73F7"/>
    <w:rsid w:val="000F09DB"/>
    <w:rsid w:val="000F14C9"/>
    <w:rsid w:val="000F513E"/>
    <w:rsid w:val="00100122"/>
    <w:rsid w:val="0010256C"/>
    <w:rsid w:val="00104A4D"/>
    <w:rsid w:val="00104D1D"/>
    <w:rsid w:val="00106130"/>
    <w:rsid w:val="00106528"/>
    <w:rsid w:val="00107093"/>
    <w:rsid w:val="00122EF5"/>
    <w:rsid w:val="00127EA7"/>
    <w:rsid w:val="001344FB"/>
    <w:rsid w:val="00137AEB"/>
    <w:rsid w:val="00137D4F"/>
    <w:rsid w:val="001424BB"/>
    <w:rsid w:val="0014289A"/>
    <w:rsid w:val="00142CF5"/>
    <w:rsid w:val="00145C8C"/>
    <w:rsid w:val="001473AE"/>
    <w:rsid w:val="001524D8"/>
    <w:rsid w:val="00157133"/>
    <w:rsid w:val="00157710"/>
    <w:rsid w:val="001604B9"/>
    <w:rsid w:val="00160970"/>
    <w:rsid w:val="00161F22"/>
    <w:rsid w:val="00165328"/>
    <w:rsid w:val="00167E1C"/>
    <w:rsid w:val="001707E7"/>
    <w:rsid w:val="0018092B"/>
    <w:rsid w:val="001811C2"/>
    <w:rsid w:val="0018158A"/>
    <w:rsid w:val="001849BF"/>
    <w:rsid w:val="00185FE6"/>
    <w:rsid w:val="001872D0"/>
    <w:rsid w:val="001926BF"/>
    <w:rsid w:val="00192C85"/>
    <w:rsid w:val="00194048"/>
    <w:rsid w:val="00196651"/>
    <w:rsid w:val="001B0A68"/>
    <w:rsid w:val="001C098C"/>
    <w:rsid w:val="001C288A"/>
    <w:rsid w:val="001C37E7"/>
    <w:rsid w:val="001D32BA"/>
    <w:rsid w:val="001D5A67"/>
    <w:rsid w:val="001D6769"/>
    <w:rsid w:val="001D6E29"/>
    <w:rsid w:val="001D70DB"/>
    <w:rsid w:val="001F16CF"/>
    <w:rsid w:val="001F6E99"/>
    <w:rsid w:val="00201F24"/>
    <w:rsid w:val="002044F6"/>
    <w:rsid w:val="00205F15"/>
    <w:rsid w:val="00206DFD"/>
    <w:rsid w:val="00212A4F"/>
    <w:rsid w:val="00214180"/>
    <w:rsid w:val="00215ACA"/>
    <w:rsid w:val="00217609"/>
    <w:rsid w:val="00217FC8"/>
    <w:rsid w:val="002206C5"/>
    <w:rsid w:val="00220870"/>
    <w:rsid w:val="002214F7"/>
    <w:rsid w:val="00223978"/>
    <w:rsid w:val="00230AF7"/>
    <w:rsid w:val="002326CD"/>
    <w:rsid w:val="00233691"/>
    <w:rsid w:val="002372A4"/>
    <w:rsid w:val="002407E2"/>
    <w:rsid w:val="00244F50"/>
    <w:rsid w:val="002459DA"/>
    <w:rsid w:val="002608F1"/>
    <w:rsid w:val="0026240C"/>
    <w:rsid w:val="00277367"/>
    <w:rsid w:val="00281AA7"/>
    <w:rsid w:val="0028217A"/>
    <w:rsid w:val="00284C5D"/>
    <w:rsid w:val="00287EED"/>
    <w:rsid w:val="002937C4"/>
    <w:rsid w:val="00294A2F"/>
    <w:rsid w:val="002A06D2"/>
    <w:rsid w:val="002B034D"/>
    <w:rsid w:val="002B3E8E"/>
    <w:rsid w:val="002C4331"/>
    <w:rsid w:val="002C453A"/>
    <w:rsid w:val="002C6DBC"/>
    <w:rsid w:val="002C7797"/>
    <w:rsid w:val="002D2B3E"/>
    <w:rsid w:val="002D4D53"/>
    <w:rsid w:val="002E4B3E"/>
    <w:rsid w:val="002E5386"/>
    <w:rsid w:val="002E5FF2"/>
    <w:rsid w:val="002F0C8F"/>
    <w:rsid w:val="002F30BB"/>
    <w:rsid w:val="002F38D0"/>
    <w:rsid w:val="00307433"/>
    <w:rsid w:val="003162E4"/>
    <w:rsid w:val="003176D9"/>
    <w:rsid w:val="00317EFB"/>
    <w:rsid w:val="0032070E"/>
    <w:rsid w:val="00322017"/>
    <w:rsid w:val="0032396A"/>
    <w:rsid w:val="00325202"/>
    <w:rsid w:val="00333FAA"/>
    <w:rsid w:val="00336675"/>
    <w:rsid w:val="003405B9"/>
    <w:rsid w:val="0034370D"/>
    <w:rsid w:val="00351AAB"/>
    <w:rsid w:val="00356575"/>
    <w:rsid w:val="0035716E"/>
    <w:rsid w:val="0036017A"/>
    <w:rsid w:val="00362787"/>
    <w:rsid w:val="0036280E"/>
    <w:rsid w:val="003658F7"/>
    <w:rsid w:val="00374001"/>
    <w:rsid w:val="003755CA"/>
    <w:rsid w:val="00375924"/>
    <w:rsid w:val="00380243"/>
    <w:rsid w:val="00381A46"/>
    <w:rsid w:val="00383D36"/>
    <w:rsid w:val="003859B6"/>
    <w:rsid w:val="00386AE8"/>
    <w:rsid w:val="003878E1"/>
    <w:rsid w:val="00391B99"/>
    <w:rsid w:val="00392A8F"/>
    <w:rsid w:val="003A057F"/>
    <w:rsid w:val="003A3731"/>
    <w:rsid w:val="003A7EFE"/>
    <w:rsid w:val="003B6E58"/>
    <w:rsid w:val="003C4D52"/>
    <w:rsid w:val="003D3065"/>
    <w:rsid w:val="003D4EB3"/>
    <w:rsid w:val="003E4275"/>
    <w:rsid w:val="003E4EB2"/>
    <w:rsid w:val="003E7EBE"/>
    <w:rsid w:val="003F0CD3"/>
    <w:rsid w:val="003F5D80"/>
    <w:rsid w:val="00404329"/>
    <w:rsid w:val="004050B7"/>
    <w:rsid w:val="00406107"/>
    <w:rsid w:val="00406B06"/>
    <w:rsid w:val="00410241"/>
    <w:rsid w:val="00410902"/>
    <w:rsid w:val="00410CDD"/>
    <w:rsid w:val="00417DFE"/>
    <w:rsid w:val="00417E2B"/>
    <w:rsid w:val="00422921"/>
    <w:rsid w:val="00424F34"/>
    <w:rsid w:val="00430CCF"/>
    <w:rsid w:val="00432216"/>
    <w:rsid w:val="004338E5"/>
    <w:rsid w:val="004367B2"/>
    <w:rsid w:val="0044078B"/>
    <w:rsid w:val="0044629A"/>
    <w:rsid w:val="00450746"/>
    <w:rsid w:val="00451F24"/>
    <w:rsid w:val="00452056"/>
    <w:rsid w:val="004525F5"/>
    <w:rsid w:val="004550F6"/>
    <w:rsid w:val="004561F3"/>
    <w:rsid w:val="00456D95"/>
    <w:rsid w:val="00462ED9"/>
    <w:rsid w:val="00467527"/>
    <w:rsid w:val="004679AD"/>
    <w:rsid w:val="00471D1C"/>
    <w:rsid w:val="004726B9"/>
    <w:rsid w:val="00475B65"/>
    <w:rsid w:val="004765E0"/>
    <w:rsid w:val="00477910"/>
    <w:rsid w:val="00481B53"/>
    <w:rsid w:val="00482BA0"/>
    <w:rsid w:val="00482F95"/>
    <w:rsid w:val="00483329"/>
    <w:rsid w:val="004844FA"/>
    <w:rsid w:val="004856D4"/>
    <w:rsid w:val="0049563D"/>
    <w:rsid w:val="00495C34"/>
    <w:rsid w:val="004A550A"/>
    <w:rsid w:val="004B29DD"/>
    <w:rsid w:val="004B2CB9"/>
    <w:rsid w:val="004B374F"/>
    <w:rsid w:val="004B4798"/>
    <w:rsid w:val="004B4856"/>
    <w:rsid w:val="004B5C27"/>
    <w:rsid w:val="004B6CB6"/>
    <w:rsid w:val="004C1C0E"/>
    <w:rsid w:val="004C43F7"/>
    <w:rsid w:val="004C49D6"/>
    <w:rsid w:val="004D397A"/>
    <w:rsid w:val="004D7C36"/>
    <w:rsid w:val="004E2FAB"/>
    <w:rsid w:val="004E72BB"/>
    <w:rsid w:val="004F0372"/>
    <w:rsid w:val="004F18C0"/>
    <w:rsid w:val="004F20B9"/>
    <w:rsid w:val="004F2C02"/>
    <w:rsid w:val="004F2CB3"/>
    <w:rsid w:val="004F3B23"/>
    <w:rsid w:val="004F4CB2"/>
    <w:rsid w:val="004F51DE"/>
    <w:rsid w:val="0050347B"/>
    <w:rsid w:val="00503B07"/>
    <w:rsid w:val="00506393"/>
    <w:rsid w:val="00515421"/>
    <w:rsid w:val="00516C54"/>
    <w:rsid w:val="00516C6F"/>
    <w:rsid w:val="0051728B"/>
    <w:rsid w:val="00520D98"/>
    <w:rsid w:val="00525B0B"/>
    <w:rsid w:val="005279F8"/>
    <w:rsid w:val="00532A19"/>
    <w:rsid w:val="005403CC"/>
    <w:rsid w:val="0054088D"/>
    <w:rsid w:val="0054093C"/>
    <w:rsid w:val="00542D64"/>
    <w:rsid w:val="005461CC"/>
    <w:rsid w:val="00551016"/>
    <w:rsid w:val="00552B20"/>
    <w:rsid w:val="005532AD"/>
    <w:rsid w:val="005539C2"/>
    <w:rsid w:val="0055418D"/>
    <w:rsid w:val="00556CDE"/>
    <w:rsid w:val="0056046D"/>
    <w:rsid w:val="0056592D"/>
    <w:rsid w:val="00566D01"/>
    <w:rsid w:val="005702CB"/>
    <w:rsid w:val="00572C7E"/>
    <w:rsid w:val="00574736"/>
    <w:rsid w:val="005764D9"/>
    <w:rsid w:val="0057701F"/>
    <w:rsid w:val="005804F8"/>
    <w:rsid w:val="00590493"/>
    <w:rsid w:val="00594397"/>
    <w:rsid w:val="00595B59"/>
    <w:rsid w:val="005A0323"/>
    <w:rsid w:val="005A110D"/>
    <w:rsid w:val="005B1274"/>
    <w:rsid w:val="005B1694"/>
    <w:rsid w:val="005B2FED"/>
    <w:rsid w:val="005B32B4"/>
    <w:rsid w:val="005B331F"/>
    <w:rsid w:val="005C5937"/>
    <w:rsid w:val="005C5E76"/>
    <w:rsid w:val="005D0338"/>
    <w:rsid w:val="005D13EB"/>
    <w:rsid w:val="005D1B10"/>
    <w:rsid w:val="005D2BCF"/>
    <w:rsid w:val="005D54FB"/>
    <w:rsid w:val="005D623F"/>
    <w:rsid w:val="005D628E"/>
    <w:rsid w:val="005E117D"/>
    <w:rsid w:val="005E1415"/>
    <w:rsid w:val="005F0098"/>
    <w:rsid w:val="005F16C8"/>
    <w:rsid w:val="005F2936"/>
    <w:rsid w:val="005F2FD8"/>
    <w:rsid w:val="00600452"/>
    <w:rsid w:val="00602636"/>
    <w:rsid w:val="006037C3"/>
    <w:rsid w:val="00604DCA"/>
    <w:rsid w:val="006060FB"/>
    <w:rsid w:val="00613285"/>
    <w:rsid w:val="00620FA6"/>
    <w:rsid w:val="00622195"/>
    <w:rsid w:val="00623B0E"/>
    <w:rsid w:val="006249BD"/>
    <w:rsid w:val="00624E24"/>
    <w:rsid w:val="00625772"/>
    <w:rsid w:val="006317BF"/>
    <w:rsid w:val="00634911"/>
    <w:rsid w:val="00634A03"/>
    <w:rsid w:val="00643958"/>
    <w:rsid w:val="00651E6F"/>
    <w:rsid w:val="00653212"/>
    <w:rsid w:val="00657C61"/>
    <w:rsid w:val="006601A5"/>
    <w:rsid w:val="00660684"/>
    <w:rsid w:val="00662161"/>
    <w:rsid w:val="0066267E"/>
    <w:rsid w:val="00663998"/>
    <w:rsid w:val="00665626"/>
    <w:rsid w:val="00671F04"/>
    <w:rsid w:val="0067238A"/>
    <w:rsid w:val="00674310"/>
    <w:rsid w:val="006760E9"/>
    <w:rsid w:val="006762E7"/>
    <w:rsid w:val="006768F2"/>
    <w:rsid w:val="006769BE"/>
    <w:rsid w:val="006826AF"/>
    <w:rsid w:val="00682846"/>
    <w:rsid w:val="00682AE5"/>
    <w:rsid w:val="00687104"/>
    <w:rsid w:val="006877F1"/>
    <w:rsid w:val="00687DA1"/>
    <w:rsid w:val="0069177C"/>
    <w:rsid w:val="006952F9"/>
    <w:rsid w:val="006A0F48"/>
    <w:rsid w:val="006A25FA"/>
    <w:rsid w:val="006A32CD"/>
    <w:rsid w:val="006B2C34"/>
    <w:rsid w:val="006B2DC9"/>
    <w:rsid w:val="006B5AED"/>
    <w:rsid w:val="006B6658"/>
    <w:rsid w:val="006C1C03"/>
    <w:rsid w:val="006C4161"/>
    <w:rsid w:val="006D654B"/>
    <w:rsid w:val="006E0736"/>
    <w:rsid w:val="006E43C7"/>
    <w:rsid w:val="006E58C0"/>
    <w:rsid w:val="006F1A15"/>
    <w:rsid w:val="006F2CEE"/>
    <w:rsid w:val="006F6F15"/>
    <w:rsid w:val="00700D2E"/>
    <w:rsid w:val="00712302"/>
    <w:rsid w:val="0071517C"/>
    <w:rsid w:val="00717D42"/>
    <w:rsid w:val="0072372D"/>
    <w:rsid w:val="007241FD"/>
    <w:rsid w:val="007266B0"/>
    <w:rsid w:val="00727BBA"/>
    <w:rsid w:val="00731018"/>
    <w:rsid w:val="00741C87"/>
    <w:rsid w:val="00741CA1"/>
    <w:rsid w:val="007420F7"/>
    <w:rsid w:val="0074243C"/>
    <w:rsid w:val="00742CA3"/>
    <w:rsid w:val="00743CB3"/>
    <w:rsid w:val="00744BF9"/>
    <w:rsid w:val="007458AE"/>
    <w:rsid w:val="0074752B"/>
    <w:rsid w:val="00750422"/>
    <w:rsid w:val="0075216C"/>
    <w:rsid w:val="00760A92"/>
    <w:rsid w:val="00760A9F"/>
    <w:rsid w:val="00760F89"/>
    <w:rsid w:val="007618BB"/>
    <w:rsid w:val="007643DF"/>
    <w:rsid w:val="00766075"/>
    <w:rsid w:val="0076657B"/>
    <w:rsid w:val="00766E7D"/>
    <w:rsid w:val="007707F1"/>
    <w:rsid w:val="00770980"/>
    <w:rsid w:val="00771393"/>
    <w:rsid w:val="0077404F"/>
    <w:rsid w:val="00776A44"/>
    <w:rsid w:val="00777ECE"/>
    <w:rsid w:val="0078297A"/>
    <w:rsid w:val="00782C59"/>
    <w:rsid w:val="00785ED0"/>
    <w:rsid w:val="007874A2"/>
    <w:rsid w:val="007916EA"/>
    <w:rsid w:val="00791C34"/>
    <w:rsid w:val="007A1002"/>
    <w:rsid w:val="007A3B64"/>
    <w:rsid w:val="007A44F4"/>
    <w:rsid w:val="007A519C"/>
    <w:rsid w:val="007A60EA"/>
    <w:rsid w:val="007B1AC9"/>
    <w:rsid w:val="007B685B"/>
    <w:rsid w:val="007C27C0"/>
    <w:rsid w:val="007C56FC"/>
    <w:rsid w:val="007C582C"/>
    <w:rsid w:val="007D0181"/>
    <w:rsid w:val="007D081F"/>
    <w:rsid w:val="007D2850"/>
    <w:rsid w:val="007E432A"/>
    <w:rsid w:val="007F73EC"/>
    <w:rsid w:val="007F74DA"/>
    <w:rsid w:val="008000AA"/>
    <w:rsid w:val="0080011A"/>
    <w:rsid w:val="00801DA7"/>
    <w:rsid w:val="00805918"/>
    <w:rsid w:val="0081199F"/>
    <w:rsid w:val="00811E9C"/>
    <w:rsid w:val="008148E0"/>
    <w:rsid w:val="00815F14"/>
    <w:rsid w:val="008225CD"/>
    <w:rsid w:val="00824CFF"/>
    <w:rsid w:val="0082656B"/>
    <w:rsid w:val="008265CF"/>
    <w:rsid w:val="008350E4"/>
    <w:rsid w:val="00840C2F"/>
    <w:rsid w:val="0084262E"/>
    <w:rsid w:val="00842C83"/>
    <w:rsid w:val="0084512E"/>
    <w:rsid w:val="00854E93"/>
    <w:rsid w:val="00855B55"/>
    <w:rsid w:val="00863F23"/>
    <w:rsid w:val="00865B7C"/>
    <w:rsid w:val="00870977"/>
    <w:rsid w:val="0087220F"/>
    <w:rsid w:val="00874A3E"/>
    <w:rsid w:val="00875362"/>
    <w:rsid w:val="00875B6C"/>
    <w:rsid w:val="00876FD1"/>
    <w:rsid w:val="00882CDB"/>
    <w:rsid w:val="0088482E"/>
    <w:rsid w:val="0088536E"/>
    <w:rsid w:val="00887248"/>
    <w:rsid w:val="00890902"/>
    <w:rsid w:val="008918F6"/>
    <w:rsid w:val="008953CD"/>
    <w:rsid w:val="008974AA"/>
    <w:rsid w:val="00897B19"/>
    <w:rsid w:val="008A09A1"/>
    <w:rsid w:val="008A4B7F"/>
    <w:rsid w:val="008B16AB"/>
    <w:rsid w:val="008B369D"/>
    <w:rsid w:val="008C1760"/>
    <w:rsid w:val="008C2970"/>
    <w:rsid w:val="008D0FA1"/>
    <w:rsid w:val="008D1DB4"/>
    <w:rsid w:val="008D4729"/>
    <w:rsid w:val="008E181D"/>
    <w:rsid w:val="008E2048"/>
    <w:rsid w:val="008E2339"/>
    <w:rsid w:val="008F0837"/>
    <w:rsid w:val="008F184D"/>
    <w:rsid w:val="008F43FF"/>
    <w:rsid w:val="008F652A"/>
    <w:rsid w:val="008F7A3D"/>
    <w:rsid w:val="008F7F73"/>
    <w:rsid w:val="00906338"/>
    <w:rsid w:val="009067AA"/>
    <w:rsid w:val="00907F32"/>
    <w:rsid w:val="009118FD"/>
    <w:rsid w:val="00912060"/>
    <w:rsid w:val="00914539"/>
    <w:rsid w:val="009216D3"/>
    <w:rsid w:val="00927C4D"/>
    <w:rsid w:val="009327A5"/>
    <w:rsid w:val="0093349E"/>
    <w:rsid w:val="009335AE"/>
    <w:rsid w:val="00933785"/>
    <w:rsid w:val="00934850"/>
    <w:rsid w:val="00935F0F"/>
    <w:rsid w:val="0094491A"/>
    <w:rsid w:val="009506B5"/>
    <w:rsid w:val="00955789"/>
    <w:rsid w:val="009618CD"/>
    <w:rsid w:val="0096225F"/>
    <w:rsid w:val="00963A54"/>
    <w:rsid w:val="00965793"/>
    <w:rsid w:val="00965DA4"/>
    <w:rsid w:val="00970497"/>
    <w:rsid w:val="009731CE"/>
    <w:rsid w:val="009756E1"/>
    <w:rsid w:val="00976424"/>
    <w:rsid w:val="00976EF1"/>
    <w:rsid w:val="00982FEC"/>
    <w:rsid w:val="00983DE2"/>
    <w:rsid w:val="009844A2"/>
    <w:rsid w:val="009846E7"/>
    <w:rsid w:val="00984958"/>
    <w:rsid w:val="0098768A"/>
    <w:rsid w:val="00987D4D"/>
    <w:rsid w:val="009909FE"/>
    <w:rsid w:val="00995ACA"/>
    <w:rsid w:val="009A0D70"/>
    <w:rsid w:val="009A22CD"/>
    <w:rsid w:val="009B021C"/>
    <w:rsid w:val="009B0263"/>
    <w:rsid w:val="009B6AB8"/>
    <w:rsid w:val="009C063C"/>
    <w:rsid w:val="009C76C6"/>
    <w:rsid w:val="009D192D"/>
    <w:rsid w:val="009D50D1"/>
    <w:rsid w:val="009E2FE7"/>
    <w:rsid w:val="009E394F"/>
    <w:rsid w:val="009E76FB"/>
    <w:rsid w:val="009E7A63"/>
    <w:rsid w:val="009F1438"/>
    <w:rsid w:val="009F26D0"/>
    <w:rsid w:val="009F7EAD"/>
    <w:rsid w:val="00A041F4"/>
    <w:rsid w:val="00A049CF"/>
    <w:rsid w:val="00A07EB9"/>
    <w:rsid w:val="00A11276"/>
    <w:rsid w:val="00A13006"/>
    <w:rsid w:val="00A153E5"/>
    <w:rsid w:val="00A162A2"/>
    <w:rsid w:val="00A16417"/>
    <w:rsid w:val="00A170DE"/>
    <w:rsid w:val="00A21A17"/>
    <w:rsid w:val="00A22586"/>
    <w:rsid w:val="00A251E6"/>
    <w:rsid w:val="00A267A9"/>
    <w:rsid w:val="00A32E15"/>
    <w:rsid w:val="00A415E2"/>
    <w:rsid w:val="00A4200E"/>
    <w:rsid w:val="00A42CA7"/>
    <w:rsid w:val="00A43A1F"/>
    <w:rsid w:val="00A45982"/>
    <w:rsid w:val="00A45F1D"/>
    <w:rsid w:val="00A46330"/>
    <w:rsid w:val="00A47534"/>
    <w:rsid w:val="00A50C8D"/>
    <w:rsid w:val="00A56BFB"/>
    <w:rsid w:val="00A630B7"/>
    <w:rsid w:val="00A6520F"/>
    <w:rsid w:val="00A65A19"/>
    <w:rsid w:val="00A7409E"/>
    <w:rsid w:val="00A74BE4"/>
    <w:rsid w:val="00A75432"/>
    <w:rsid w:val="00A77DFF"/>
    <w:rsid w:val="00A801B7"/>
    <w:rsid w:val="00A80527"/>
    <w:rsid w:val="00A81984"/>
    <w:rsid w:val="00A82961"/>
    <w:rsid w:val="00A85AC2"/>
    <w:rsid w:val="00A8634F"/>
    <w:rsid w:val="00A93CAD"/>
    <w:rsid w:val="00A964C7"/>
    <w:rsid w:val="00A964CA"/>
    <w:rsid w:val="00AA1A32"/>
    <w:rsid w:val="00AA3A63"/>
    <w:rsid w:val="00AA588C"/>
    <w:rsid w:val="00AA73AA"/>
    <w:rsid w:val="00AA78FF"/>
    <w:rsid w:val="00AB259C"/>
    <w:rsid w:val="00AB295A"/>
    <w:rsid w:val="00AB6D62"/>
    <w:rsid w:val="00AB77DE"/>
    <w:rsid w:val="00AC2DCE"/>
    <w:rsid w:val="00AC4125"/>
    <w:rsid w:val="00AC4AC7"/>
    <w:rsid w:val="00AC4ED9"/>
    <w:rsid w:val="00AC73FF"/>
    <w:rsid w:val="00AD02CB"/>
    <w:rsid w:val="00AD12A9"/>
    <w:rsid w:val="00AD31C8"/>
    <w:rsid w:val="00AD43BF"/>
    <w:rsid w:val="00AD50B6"/>
    <w:rsid w:val="00AD64AC"/>
    <w:rsid w:val="00AD6C3A"/>
    <w:rsid w:val="00AD7E93"/>
    <w:rsid w:val="00AE301B"/>
    <w:rsid w:val="00AE5847"/>
    <w:rsid w:val="00AF4DD3"/>
    <w:rsid w:val="00AF6864"/>
    <w:rsid w:val="00B05A7D"/>
    <w:rsid w:val="00B20CFF"/>
    <w:rsid w:val="00B21A42"/>
    <w:rsid w:val="00B22D26"/>
    <w:rsid w:val="00B4475D"/>
    <w:rsid w:val="00B4619D"/>
    <w:rsid w:val="00B55B88"/>
    <w:rsid w:val="00B563C3"/>
    <w:rsid w:val="00B609FF"/>
    <w:rsid w:val="00B6142B"/>
    <w:rsid w:val="00B63F0E"/>
    <w:rsid w:val="00B669C9"/>
    <w:rsid w:val="00B72256"/>
    <w:rsid w:val="00B73564"/>
    <w:rsid w:val="00B75965"/>
    <w:rsid w:val="00B861EA"/>
    <w:rsid w:val="00B90CE9"/>
    <w:rsid w:val="00B9333B"/>
    <w:rsid w:val="00BA0BFE"/>
    <w:rsid w:val="00BA24F0"/>
    <w:rsid w:val="00BA4011"/>
    <w:rsid w:val="00BA4CAF"/>
    <w:rsid w:val="00BA589E"/>
    <w:rsid w:val="00BB0A2E"/>
    <w:rsid w:val="00BB0EE1"/>
    <w:rsid w:val="00BB0F8B"/>
    <w:rsid w:val="00BB2497"/>
    <w:rsid w:val="00BB49FA"/>
    <w:rsid w:val="00BB4BB8"/>
    <w:rsid w:val="00BC0C61"/>
    <w:rsid w:val="00BC2EF0"/>
    <w:rsid w:val="00BD491E"/>
    <w:rsid w:val="00BD6C70"/>
    <w:rsid w:val="00BF07A2"/>
    <w:rsid w:val="00BF305D"/>
    <w:rsid w:val="00BF3945"/>
    <w:rsid w:val="00BF53CA"/>
    <w:rsid w:val="00BF7184"/>
    <w:rsid w:val="00BF7554"/>
    <w:rsid w:val="00C00CDA"/>
    <w:rsid w:val="00C066AE"/>
    <w:rsid w:val="00C066C0"/>
    <w:rsid w:val="00C117E3"/>
    <w:rsid w:val="00C16C56"/>
    <w:rsid w:val="00C203EB"/>
    <w:rsid w:val="00C23BC0"/>
    <w:rsid w:val="00C23FA8"/>
    <w:rsid w:val="00C24D44"/>
    <w:rsid w:val="00C26FF7"/>
    <w:rsid w:val="00C319AC"/>
    <w:rsid w:val="00C319EF"/>
    <w:rsid w:val="00C34B19"/>
    <w:rsid w:val="00C35630"/>
    <w:rsid w:val="00C40886"/>
    <w:rsid w:val="00C42B66"/>
    <w:rsid w:val="00C55AE2"/>
    <w:rsid w:val="00C572AE"/>
    <w:rsid w:val="00C60343"/>
    <w:rsid w:val="00C61BFB"/>
    <w:rsid w:val="00C63262"/>
    <w:rsid w:val="00C715D5"/>
    <w:rsid w:val="00C71EAF"/>
    <w:rsid w:val="00C72650"/>
    <w:rsid w:val="00C72D81"/>
    <w:rsid w:val="00C7654B"/>
    <w:rsid w:val="00C82F50"/>
    <w:rsid w:val="00C83ABF"/>
    <w:rsid w:val="00C85246"/>
    <w:rsid w:val="00C855B1"/>
    <w:rsid w:val="00C975E5"/>
    <w:rsid w:val="00CA002C"/>
    <w:rsid w:val="00CA5158"/>
    <w:rsid w:val="00CA6A84"/>
    <w:rsid w:val="00CB4AAB"/>
    <w:rsid w:val="00CB5F51"/>
    <w:rsid w:val="00CC0981"/>
    <w:rsid w:val="00CC3B6A"/>
    <w:rsid w:val="00CC4056"/>
    <w:rsid w:val="00CC51F3"/>
    <w:rsid w:val="00CD1677"/>
    <w:rsid w:val="00CD5D36"/>
    <w:rsid w:val="00CD6F84"/>
    <w:rsid w:val="00CD7286"/>
    <w:rsid w:val="00CE0479"/>
    <w:rsid w:val="00CE4AB2"/>
    <w:rsid w:val="00CF0DBF"/>
    <w:rsid w:val="00CF4796"/>
    <w:rsid w:val="00CF48C9"/>
    <w:rsid w:val="00CF61E7"/>
    <w:rsid w:val="00CF61F9"/>
    <w:rsid w:val="00CF6CD7"/>
    <w:rsid w:val="00CF6F28"/>
    <w:rsid w:val="00D03CF2"/>
    <w:rsid w:val="00D04122"/>
    <w:rsid w:val="00D04125"/>
    <w:rsid w:val="00D127C1"/>
    <w:rsid w:val="00D138F8"/>
    <w:rsid w:val="00D15EC4"/>
    <w:rsid w:val="00D216F7"/>
    <w:rsid w:val="00D22B05"/>
    <w:rsid w:val="00D24D7B"/>
    <w:rsid w:val="00D27DF2"/>
    <w:rsid w:val="00D318B7"/>
    <w:rsid w:val="00D33079"/>
    <w:rsid w:val="00D36CD7"/>
    <w:rsid w:val="00D36FC9"/>
    <w:rsid w:val="00D4628F"/>
    <w:rsid w:val="00D5153C"/>
    <w:rsid w:val="00D53361"/>
    <w:rsid w:val="00D53B1A"/>
    <w:rsid w:val="00D55671"/>
    <w:rsid w:val="00D557B2"/>
    <w:rsid w:val="00D56C78"/>
    <w:rsid w:val="00D716DA"/>
    <w:rsid w:val="00D832EB"/>
    <w:rsid w:val="00D83518"/>
    <w:rsid w:val="00D85002"/>
    <w:rsid w:val="00D8537B"/>
    <w:rsid w:val="00D877F3"/>
    <w:rsid w:val="00D90307"/>
    <w:rsid w:val="00D9122C"/>
    <w:rsid w:val="00D9400F"/>
    <w:rsid w:val="00D9663C"/>
    <w:rsid w:val="00D96CAC"/>
    <w:rsid w:val="00D97EC9"/>
    <w:rsid w:val="00DA33FD"/>
    <w:rsid w:val="00DA5789"/>
    <w:rsid w:val="00DB029F"/>
    <w:rsid w:val="00DB0F41"/>
    <w:rsid w:val="00DB1104"/>
    <w:rsid w:val="00DB3189"/>
    <w:rsid w:val="00DB3854"/>
    <w:rsid w:val="00DB64CD"/>
    <w:rsid w:val="00DB68EA"/>
    <w:rsid w:val="00DC0546"/>
    <w:rsid w:val="00DC346E"/>
    <w:rsid w:val="00DC3DC9"/>
    <w:rsid w:val="00DC6D6D"/>
    <w:rsid w:val="00DD05D6"/>
    <w:rsid w:val="00DD12A3"/>
    <w:rsid w:val="00DE680F"/>
    <w:rsid w:val="00DE799C"/>
    <w:rsid w:val="00DF1F7E"/>
    <w:rsid w:val="00DF1FA9"/>
    <w:rsid w:val="00DF5F32"/>
    <w:rsid w:val="00E0091A"/>
    <w:rsid w:val="00E01818"/>
    <w:rsid w:val="00E02D15"/>
    <w:rsid w:val="00E11204"/>
    <w:rsid w:val="00E235F5"/>
    <w:rsid w:val="00E30085"/>
    <w:rsid w:val="00E303E7"/>
    <w:rsid w:val="00E30C18"/>
    <w:rsid w:val="00E31C26"/>
    <w:rsid w:val="00E33009"/>
    <w:rsid w:val="00E35628"/>
    <w:rsid w:val="00E42D90"/>
    <w:rsid w:val="00E43F9B"/>
    <w:rsid w:val="00E50093"/>
    <w:rsid w:val="00E52517"/>
    <w:rsid w:val="00E52F14"/>
    <w:rsid w:val="00E56319"/>
    <w:rsid w:val="00E572C9"/>
    <w:rsid w:val="00E57372"/>
    <w:rsid w:val="00E60BF8"/>
    <w:rsid w:val="00E61CD7"/>
    <w:rsid w:val="00E62321"/>
    <w:rsid w:val="00E636B5"/>
    <w:rsid w:val="00E6633C"/>
    <w:rsid w:val="00E71286"/>
    <w:rsid w:val="00E72719"/>
    <w:rsid w:val="00E76263"/>
    <w:rsid w:val="00E8263E"/>
    <w:rsid w:val="00E83003"/>
    <w:rsid w:val="00E8529B"/>
    <w:rsid w:val="00EA11DB"/>
    <w:rsid w:val="00EA17EB"/>
    <w:rsid w:val="00EA249F"/>
    <w:rsid w:val="00EC2A29"/>
    <w:rsid w:val="00EC4A98"/>
    <w:rsid w:val="00ED4A2A"/>
    <w:rsid w:val="00EE1096"/>
    <w:rsid w:val="00EE2278"/>
    <w:rsid w:val="00EE407D"/>
    <w:rsid w:val="00EF1663"/>
    <w:rsid w:val="00EF23FC"/>
    <w:rsid w:val="00EF536D"/>
    <w:rsid w:val="00EF64BE"/>
    <w:rsid w:val="00F05E39"/>
    <w:rsid w:val="00F07CD0"/>
    <w:rsid w:val="00F122F9"/>
    <w:rsid w:val="00F1355F"/>
    <w:rsid w:val="00F1498A"/>
    <w:rsid w:val="00F236F4"/>
    <w:rsid w:val="00F2457F"/>
    <w:rsid w:val="00F25417"/>
    <w:rsid w:val="00F315C4"/>
    <w:rsid w:val="00F33F6C"/>
    <w:rsid w:val="00F34AF3"/>
    <w:rsid w:val="00F3654E"/>
    <w:rsid w:val="00F37BCF"/>
    <w:rsid w:val="00F40CBD"/>
    <w:rsid w:val="00F424CC"/>
    <w:rsid w:val="00F44F51"/>
    <w:rsid w:val="00F5054D"/>
    <w:rsid w:val="00F506FE"/>
    <w:rsid w:val="00F55A53"/>
    <w:rsid w:val="00F62D9A"/>
    <w:rsid w:val="00F66214"/>
    <w:rsid w:val="00F67711"/>
    <w:rsid w:val="00F70677"/>
    <w:rsid w:val="00F73385"/>
    <w:rsid w:val="00F763D2"/>
    <w:rsid w:val="00F772BF"/>
    <w:rsid w:val="00F80A7A"/>
    <w:rsid w:val="00F8213A"/>
    <w:rsid w:val="00F8482A"/>
    <w:rsid w:val="00F93018"/>
    <w:rsid w:val="00FA0A11"/>
    <w:rsid w:val="00FA23D4"/>
    <w:rsid w:val="00FA27BC"/>
    <w:rsid w:val="00FA2BD1"/>
    <w:rsid w:val="00FA4857"/>
    <w:rsid w:val="00FB0DBE"/>
    <w:rsid w:val="00FB2B94"/>
    <w:rsid w:val="00FC63E0"/>
    <w:rsid w:val="00FD3ABC"/>
    <w:rsid w:val="00FD58D0"/>
    <w:rsid w:val="00FD6516"/>
    <w:rsid w:val="00FE1F8C"/>
    <w:rsid w:val="00FE2FBE"/>
    <w:rsid w:val="00FE7DE5"/>
    <w:rsid w:val="00FF098F"/>
    <w:rsid w:val="00FF2825"/>
    <w:rsid w:val="00FF4929"/>
    <w:rsid w:val="00FF5450"/>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4577"/>
    <o:shapelayout v:ext="edit">
      <o:idmap v:ext="edit" data="1"/>
    </o:shapelayout>
  </w:shapeDefaults>
  <w:decimalSymbol w:val=","/>
  <w:listSeparator w:val=";"/>
  <w15:docId w15:val="{36538EB2-0E56-41ED-898D-9795168D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6A"/>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32CD"/>
    <w:rPr>
      <w:rFonts w:cs="Times New Roman"/>
    </w:rPr>
  </w:style>
  <w:style w:type="paragraph" w:customStyle="1" w:styleId="labojumupamats">
    <w:name w:val="labojumu_pamats"/>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basedOn w:val="DefaultParagraphFont"/>
    <w:uiPriority w:val="99"/>
    <w:rsid w:val="006A32CD"/>
    <w:rPr>
      <w:rFonts w:cs="Times New Roman"/>
      <w:color w:val="0000FF"/>
      <w:u w:val="single"/>
    </w:rPr>
  </w:style>
  <w:style w:type="paragraph" w:customStyle="1" w:styleId="tvhtml">
    <w:name w:val="tv_html"/>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locked/>
    <w:rsid w:val="00E57372"/>
    <w:rPr>
      <w:rFonts w:ascii="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E57372"/>
    <w:rPr>
      <w:rFonts w:ascii="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E57372"/>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E57372"/>
    <w:pPr>
      <w:spacing w:after="0"/>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locked/>
    <w:rsid w:val="00E57372"/>
    <w:rPr>
      <w:rFonts w:ascii="Tahoma" w:hAnsi="Tahoma" w:cs="Tahoma"/>
      <w:sz w:val="16"/>
      <w:szCs w:val="16"/>
      <w:lang w:eastAsia="lv-LV"/>
    </w:rPr>
  </w:style>
  <w:style w:type="table" w:styleId="TableGrid">
    <w:name w:val="Table Grid"/>
    <w:basedOn w:val="TableNormal"/>
    <w:uiPriority w:val="99"/>
    <w:rsid w:val="00E5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E57372"/>
    <w:pPr>
      <w:spacing w:after="0"/>
      <w:jc w:val="left"/>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E57372"/>
    <w:rPr>
      <w:rFonts w:ascii="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locked/>
    <w:rsid w:val="00E57372"/>
    <w:rPr>
      <w:rFonts w:ascii="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E57372"/>
    <w:rPr>
      <w:rFonts w:ascii="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locked/>
    <w:rsid w:val="00E57372"/>
    <w:rPr>
      <w:rFonts w:ascii="Tahoma" w:hAnsi="Tahoma" w:cs="Tahoma"/>
      <w:sz w:val="20"/>
      <w:szCs w:val="20"/>
      <w:shd w:val="clear" w:color="auto" w:fill="000080"/>
      <w:lang w:eastAsia="lv-LV"/>
    </w:rPr>
  </w:style>
  <w:style w:type="paragraph" w:styleId="ListParagraph">
    <w:name w:val="List Paragraph"/>
    <w:basedOn w:val="Normal"/>
    <w:uiPriority w:val="34"/>
    <w:qFormat/>
    <w:rsid w:val="00E57372"/>
    <w:pPr>
      <w:ind w:left="720" w:firstLine="720"/>
      <w:contextualSpacing/>
    </w:pPr>
    <w:rPr>
      <w:rFonts w:ascii="Times New Roman" w:eastAsia="Times New Roman" w:hAnsi="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b/>
      <w:bCs/>
      <w:sz w:val="28"/>
      <w:szCs w:val="28"/>
    </w:rPr>
  </w:style>
  <w:style w:type="character" w:customStyle="1" w:styleId="BodyText2Char">
    <w:name w:val="Body Text 2 Char"/>
    <w:basedOn w:val="DefaultParagraphFont"/>
    <w:link w:val="BodyText2"/>
    <w:uiPriority w:val="99"/>
    <w:locked/>
    <w:rsid w:val="00E57372"/>
    <w:rPr>
      <w:rFonts w:ascii="Times New Roman" w:hAnsi="Times New Roman" w:cs="Times New Roman"/>
      <w:b/>
      <w:bCs/>
      <w:sz w:val="28"/>
      <w:szCs w:val="28"/>
    </w:rPr>
  </w:style>
  <w:style w:type="paragraph" w:customStyle="1" w:styleId="Default">
    <w:name w:val="Default"/>
    <w:uiPriority w:val="99"/>
    <w:rsid w:val="00E57372"/>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E57372"/>
    <w:rPr>
      <w:rFonts w:ascii="Courier New"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E57372"/>
    <w:rPr>
      <w:rFonts w:ascii="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sz w:val="12"/>
      <w:szCs w:val="12"/>
      <w:lang w:eastAsia="lv-LV"/>
    </w:rPr>
  </w:style>
  <w:style w:type="paragraph" w:styleId="Revision">
    <w:name w:val="Revision"/>
    <w:hidden/>
    <w:uiPriority w:val="99"/>
    <w:semiHidden/>
    <w:rsid w:val="00E57372"/>
    <w:rPr>
      <w:rFonts w:ascii="Times New Roman" w:eastAsia="Times New Roman" w:hAnsi="Times New Roman"/>
      <w:sz w:val="24"/>
      <w:szCs w:val="24"/>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h2">
    <w:name w:val="h2"/>
    <w:basedOn w:val="Normal"/>
    <w:uiPriority w:val="99"/>
    <w:rsid w:val="00DB68EA"/>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bdc">
    <w:name w:val="bdc"/>
    <w:basedOn w:val="Normal"/>
    <w:uiPriority w:val="99"/>
    <w:rsid w:val="00912060"/>
    <w:pPr>
      <w:spacing w:before="100" w:beforeAutospacing="1" w:after="100" w:afterAutospacing="1"/>
      <w:jc w:val="left"/>
    </w:pPr>
    <w:rPr>
      <w:rFonts w:ascii="Times New Roman" w:eastAsia="Times New Roman" w:hAnsi="Times New Roman"/>
      <w:b/>
      <w:bCs/>
      <w:sz w:val="24"/>
      <w:szCs w:val="24"/>
      <w:lang w:eastAsia="lv-LV"/>
    </w:rPr>
  </w:style>
  <w:style w:type="character" w:styleId="Strong">
    <w:name w:val="Strong"/>
    <w:uiPriority w:val="22"/>
    <w:qFormat/>
    <w:locked/>
    <w:rsid w:val="00AA78FF"/>
    <w:rPr>
      <w:b/>
      <w:bCs/>
    </w:rPr>
  </w:style>
  <w:style w:type="character" w:styleId="PlaceholderText">
    <w:name w:val="Placeholder Text"/>
    <w:basedOn w:val="DefaultParagraphFont"/>
    <w:uiPriority w:val="99"/>
    <w:semiHidden/>
    <w:rsid w:val="00167E1C"/>
    <w:rPr>
      <w:color w:val="808080"/>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C16C56"/>
    <w:pPr>
      <w:spacing w:after="160" w:line="240" w:lineRule="exact"/>
      <w:textAlignment w:val="baseline"/>
    </w:pPr>
    <w:rPr>
      <w:vertAlign w:val="superscript"/>
      <w:lang w:eastAsia="lv-LV"/>
    </w:rPr>
  </w:style>
  <w:style w:type="character" w:customStyle="1" w:styleId="NormalIPChar">
    <w:name w:val="Normal _IP Char"/>
    <w:basedOn w:val="DefaultParagraphFont"/>
    <w:link w:val="NormalIP"/>
    <w:uiPriority w:val="99"/>
    <w:locked/>
    <w:rsid w:val="004B2CB9"/>
  </w:style>
  <w:style w:type="paragraph" w:customStyle="1" w:styleId="NormalIP">
    <w:name w:val="Normal _IP"/>
    <w:basedOn w:val="Normal"/>
    <w:link w:val="NormalIPChar"/>
    <w:uiPriority w:val="99"/>
    <w:rsid w:val="004B2CB9"/>
    <w:pPr>
      <w:spacing w:before="80" w:after="80"/>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5447">
      <w:bodyDiv w:val="1"/>
      <w:marLeft w:val="0"/>
      <w:marRight w:val="0"/>
      <w:marTop w:val="0"/>
      <w:marBottom w:val="0"/>
      <w:divBdr>
        <w:top w:val="none" w:sz="0" w:space="0" w:color="auto"/>
        <w:left w:val="none" w:sz="0" w:space="0" w:color="auto"/>
        <w:bottom w:val="none" w:sz="0" w:space="0" w:color="auto"/>
        <w:right w:val="none" w:sz="0" w:space="0" w:color="auto"/>
      </w:divBdr>
    </w:div>
    <w:div w:id="977341896">
      <w:bodyDiv w:val="1"/>
      <w:marLeft w:val="0"/>
      <w:marRight w:val="0"/>
      <w:marTop w:val="0"/>
      <w:marBottom w:val="0"/>
      <w:divBdr>
        <w:top w:val="none" w:sz="0" w:space="0" w:color="auto"/>
        <w:left w:val="none" w:sz="0" w:space="0" w:color="auto"/>
        <w:bottom w:val="none" w:sz="0" w:space="0" w:color="auto"/>
        <w:right w:val="none" w:sz="0" w:space="0" w:color="auto"/>
      </w:divBdr>
    </w:div>
    <w:div w:id="1513186217">
      <w:bodyDiv w:val="1"/>
      <w:marLeft w:val="0"/>
      <w:marRight w:val="0"/>
      <w:marTop w:val="0"/>
      <w:marBottom w:val="0"/>
      <w:divBdr>
        <w:top w:val="none" w:sz="0" w:space="0" w:color="auto"/>
        <w:left w:val="none" w:sz="0" w:space="0" w:color="auto"/>
        <w:bottom w:val="none" w:sz="0" w:space="0" w:color="auto"/>
        <w:right w:val="none" w:sz="0" w:space="0" w:color="auto"/>
      </w:divBdr>
    </w:div>
    <w:div w:id="1885822089">
      <w:marLeft w:val="0"/>
      <w:marRight w:val="0"/>
      <w:marTop w:val="0"/>
      <w:marBottom w:val="0"/>
      <w:divBdr>
        <w:top w:val="none" w:sz="0" w:space="0" w:color="auto"/>
        <w:left w:val="none" w:sz="0" w:space="0" w:color="auto"/>
        <w:bottom w:val="none" w:sz="0" w:space="0" w:color="auto"/>
        <w:right w:val="none" w:sz="0" w:space="0" w:color="auto"/>
      </w:divBdr>
    </w:div>
    <w:div w:id="1885822091">
      <w:marLeft w:val="0"/>
      <w:marRight w:val="0"/>
      <w:marTop w:val="0"/>
      <w:marBottom w:val="0"/>
      <w:divBdr>
        <w:top w:val="none" w:sz="0" w:space="0" w:color="auto"/>
        <w:left w:val="none" w:sz="0" w:space="0" w:color="auto"/>
        <w:bottom w:val="none" w:sz="0" w:space="0" w:color="auto"/>
        <w:right w:val="none" w:sz="0" w:space="0" w:color="auto"/>
      </w:divBdr>
    </w:div>
    <w:div w:id="1885822093">
      <w:marLeft w:val="0"/>
      <w:marRight w:val="0"/>
      <w:marTop w:val="0"/>
      <w:marBottom w:val="0"/>
      <w:divBdr>
        <w:top w:val="none" w:sz="0" w:space="0" w:color="auto"/>
        <w:left w:val="none" w:sz="0" w:space="0" w:color="auto"/>
        <w:bottom w:val="none" w:sz="0" w:space="0" w:color="auto"/>
        <w:right w:val="none" w:sz="0" w:space="0" w:color="auto"/>
      </w:divBdr>
    </w:div>
    <w:div w:id="1885822094">
      <w:marLeft w:val="0"/>
      <w:marRight w:val="0"/>
      <w:marTop w:val="0"/>
      <w:marBottom w:val="0"/>
      <w:divBdr>
        <w:top w:val="none" w:sz="0" w:space="0" w:color="auto"/>
        <w:left w:val="none" w:sz="0" w:space="0" w:color="auto"/>
        <w:bottom w:val="none" w:sz="0" w:space="0" w:color="auto"/>
        <w:right w:val="none" w:sz="0" w:space="0" w:color="auto"/>
      </w:divBdr>
      <w:divsChild>
        <w:div w:id="1885822088">
          <w:marLeft w:val="0"/>
          <w:marRight w:val="0"/>
          <w:marTop w:val="0"/>
          <w:marBottom w:val="0"/>
          <w:divBdr>
            <w:top w:val="none" w:sz="0" w:space="0" w:color="auto"/>
            <w:left w:val="none" w:sz="0" w:space="0" w:color="auto"/>
            <w:bottom w:val="none" w:sz="0" w:space="0" w:color="auto"/>
            <w:right w:val="none" w:sz="0" w:space="0" w:color="auto"/>
          </w:divBdr>
          <w:divsChild>
            <w:div w:id="1885822099">
              <w:marLeft w:val="0"/>
              <w:marRight w:val="0"/>
              <w:marTop w:val="0"/>
              <w:marBottom w:val="0"/>
              <w:divBdr>
                <w:top w:val="none" w:sz="0" w:space="0" w:color="auto"/>
                <w:left w:val="none" w:sz="0" w:space="0" w:color="auto"/>
                <w:bottom w:val="none" w:sz="0" w:space="0" w:color="auto"/>
                <w:right w:val="none" w:sz="0" w:space="0" w:color="auto"/>
              </w:divBdr>
              <w:divsChild>
                <w:div w:id="1885822090">
                  <w:marLeft w:val="150"/>
                  <w:marRight w:val="150"/>
                  <w:marTop w:val="480"/>
                  <w:marBottom w:val="0"/>
                  <w:divBdr>
                    <w:top w:val="single" w:sz="6" w:space="28" w:color="D4D4D4"/>
                    <w:left w:val="none" w:sz="0" w:space="0" w:color="auto"/>
                    <w:bottom w:val="none" w:sz="0" w:space="0" w:color="auto"/>
                    <w:right w:val="none" w:sz="0" w:space="0" w:color="auto"/>
                  </w:divBdr>
                </w:div>
                <w:div w:id="1885822097">
                  <w:marLeft w:val="0"/>
                  <w:marRight w:val="0"/>
                  <w:marTop w:val="240"/>
                  <w:marBottom w:val="0"/>
                  <w:divBdr>
                    <w:top w:val="none" w:sz="0" w:space="0" w:color="auto"/>
                    <w:left w:val="none" w:sz="0" w:space="0" w:color="auto"/>
                    <w:bottom w:val="none" w:sz="0" w:space="0" w:color="auto"/>
                    <w:right w:val="none" w:sz="0" w:space="0" w:color="auto"/>
                  </w:divBdr>
                </w:div>
                <w:div w:id="188582210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85822101">
          <w:marLeft w:val="0"/>
          <w:marRight w:val="0"/>
          <w:marTop w:val="0"/>
          <w:marBottom w:val="0"/>
          <w:divBdr>
            <w:top w:val="none" w:sz="0" w:space="0" w:color="auto"/>
            <w:left w:val="none" w:sz="0" w:space="0" w:color="auto"/>
            <w:bottom w:val="none" w:sz="0" w:space="0" w:color="auto"/>
            <w:right w:val="none" w:sz="0" w:space="0" w:color="auto"/>
          </w:divBdr>
          <w:divsChild>
            <w:div w:id="1885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2095">
      <w:marLeft w:val="0"/>
      <w:marRight w:val="0"/>
      <w:marTop w:val="0"/>
      <w:marBottom w:val="0"/>
      <w:divBdr>
        <w:top w:val="none" w:sz="0" w:space="0" w:color="auto"/>
        <w:left w:val="none" w:sz="0" w:space="0" w:color="auto"/>
        <w:bottom w:val="none" w:sz="0" w:space="0" w:color="auto"/>
        <w:right w:val="none" w:sz="0" w:space="0" w:color="auto"/>
      </w:divBdr>
    </w:div>
    <w:div w:id="1885822096">
      <w:marLeft w:val="0"/>
      <w:marRight w:val="0"/>
      <w:marTop w:val="0"/>
      <w:marBottom w:val="0"/>
      <w:divBdr>
        <w:top w:val="none" w:sz="0" w:space="0" w:color="auto"/>
        <w:left w:val="none" w:sz="0" w:space="0" w:color="auto"/>
        <w:bottom w:val="none" w:sz="0" w:space="0" w:color="auto"/>
        <w:right w:val="none" w:sz="0" w:space="0" w:color="auto"/>
      </w:divBdr>
    </w:div>
    <w:div w:id="1885822098">
      <w:marLeft w:val="0"/>
      <w:marRight w:val="0"/>
      <w:marTop w:val="0"/>
      <w:marBottom w:val="0"/>
      <w:divBdr>
        <w:top w:val="none" w:sz="0" w:space="0" w:color="auto"/>
        <w:left w:val="none" w:sz="0" w:space="0" w:color="auto"/>
        <w:bottom w:val="none" w:sz="0" w:space="0" w:color="auto"/>
        <w:right w:val="none" w:sz="0" w:space="0" w:color="auto"/>
      </w:divBdr>
    </w:div>
    <w:div w:id="1885822102">
      <w:marLeft w:val="0"/>
      <w:marRight w:val="0"/>
      <w:marTop w:val="0"/>
      <w:marBottom w:val="0"/>
      <w:divBdr>
        <w:top w:val="none" w:sz="0" w:space="0" w:color="auto"/>
        <w:left w:val="none" w:sz="0" w:space="0" w:color="auto"/>
        <w:bottom w:val="none" w:sz="0" w:space="0" w:color="auto"/>
        <w:right w:val="none" w:sz="0" w:space="0" w:color="auto"/>
      </w:divBdr>
    </w:div>
    <w:div w:id="1958483436">
      <w:bodyDiv w:val="1"/>
      <w:marLeft w:val="0"/>
      <w:marRight w:val="0"/>
      <w:marTop w:val="0"/>
      <w:marBottom w:val="0"/>
      <w:divBdr>
        <w:top w:val="none" w:sz="0" w:space="0" w:color="auto"/>
        <w:left w:val="none" w:sz="0" w:space="0" w:color="auto"/>
        <w:bottom w:val="none" w:sz="0" w:space="0" w:color="auto"/>
        <w:right w:val="none" w:sz="0" w:space="0" w:color="auto"/>
      </w:divBdr>
    </w:div>
    <w:div w:id="21302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a.Rims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577B-C10D-4856-B4DC-C7850A9F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2870</Words>
  <Characters>21121</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Anotācija Ministru kabineta noteikumu projekts „Grozījumi Ministru kabineta 2014.gada 20.maija noteikumos Nr.250 „Noteikumi par darbībām emisijas reģistrā””</vt:lpstr>
    </vt:vector>
  </TitlesOfParts>
  <Manager>Helena.Rimsa@varam.gov.lv</Manager>
  <Company>Vides aizsardzības un reģionālās attīstības ministrija</Company>
  <LinksUpToDate>false</LinksUpToDate>
  <CharactersWithSpaces>23944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projekts „Grozījumi Ministru kabineta 2014.gada 20.maija noteikumos Nr.250 „Noteikumi par darbībām emisijas reģistrā””</dc:title>
  <dc:subject>anotācija Ministru kabineta noteikumu projektam</dc:subject>
  <dc:creator>Helena Rimsa</dc:creator>
  <cp:lastModifiedBy>Larisa Titkoviča</cp:lastModifiedBy>
  <cp:revision>2</cp:revision>
  <cp:lastPrinted>2015-05-15T14:33:00Z</cp:lastPrinted>
  <dcterms:created xsi:type="dcterms:W3CDTF">2016-08-25T08:23:00Z</dcterms:created>
  <dcterms:modified xsi:type="dcterms:W3CDTF">2016-08-25T08:23:00Z</dcterms:modified>
  <cp:category>Vides politika</cp:category>
  <cp:contentStatus/>
</cp:coreProperties>
</file>