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6F" w:rsidRPr="00D57F5F" w:rsidRDefault="00D60B6F" w:rsidP="00D60B6F">
      <w:pPr>
        <w:jc w:val="right"/>
        <w:rPr>
          <w:sz w:val="20"/>
          <w:szCs w:val="20"/>
        </w:rPr>
      </w:pPr>
      <w:r w:rsidRPr="00D57F5F">
        <w:rPr>
          <w:sz w:val="20"/>
          <w:szCs w:val="20"/>
        </w:rPr>
        <w:t xml:space="preserve">Informatīvā </w:t>
      </w:r>
      <w:r w:rsidRPr="00D57F5F">
        <w:rPr>
          <w:rFonts w:eastAsia="Times New Roman"/>
          <w:sz w:val="20"/>
          <w:szCs w:val="20"/>
          <w:lang w:eastAsia="zh-CN"/>
        </w:rPr>
        <w:t xml:space="preserve">ziņojuma </w:t>
      </w:r>
      <w:r w:rsidRPr="00D57F5F">
        <w:rPr>
          <w:sz w:val="20"/>
          <w:szCs w:val="20"/>
        </w:rPr>
        <w:t xml:space="preserve">„Par priekšlikumu sniegšanu par </w:t>
      </w:r>
    </w:p>
    <w:p w:rsidR="00D60B6F" w:rsidRPr="00D57F5F" w:rsidRDefault="00D60B6F" w:rsidP="00D60B6F">
      <w:pPr>
        <w:jc w:val="right"/>
        <w:rPr>
          <w:rStyle w:val="spelle"/>
          <w:sz w:val="20"/>
          <w:szCs w:val="20"/>
        </w:rPr>
      </w:pPr>
      <w:r w:rsidRPr="00D57F5F">
        <w:rPr>
          <w:sz w:val="20"/>
          <w:szCs w:val="20"/>
        </w:rPr>
        <w:t xml:space="preserve">turpmāko rīcību ar </w:t>
      </w:r>
      <w:r w:rsidRPr="00D57F5F">
        <w:rPr>
          <w:rStyle w:val="spelle"/>
          <w:sz w:val="20"/>
          <w:szCs w:val="20"/>
        </w:rPr>
        <w:t xml:space="preserve">sabiedrību ar ierobežotu atbildību </w:t>
      </w:r>
    </w:p>
    <w:p w:rsidR="00D60B6F" w:rsidRPr="00D57F5F" w:rsidRDefault="00D60B6F" w:rsidP="00D60B6F">
      <w:pPr>
        <w:jc w:val="right"/>
        <w:rPr>
          <w:sz w:val="20"/>
          <w:szCs w:val="20"/>
        </w:rPr>
      </w:pPr>
      <w:r w:rsidRPr="00D57F5F">
        <w:rPr>
          <w:rStyle w:val="spelle"/>
          <w:sz w:val="20"/>
          <w:szCs w:val="20"/>
        </w:rPr>
        <w:t>”Vides investīciju fonds”</w:t>
      </w:r>
      <w:r w:rsidRPr="00D57F5F">
        <w:rPr>
          <w:sz w:val="20"/>
          <w:szCs w:val="20"/>
        </w:rPr>
        <w:t>” pielikums</w:t>
      </w:r>
    </w:p>
    <w:p w:rsidR="00F724ED" w:rsidRPr="00D57F5F" w:rsidRDefault="00F724ED" w:rsidP="00D60B6F">
      <w:pPr>
        <w:jc w:val="right"/>
        <w:rPr>
          <w:b/>
        </w:rPr>
      </w:pPr>
    </w:p>
    <w:p w:rsidR="00D60B6F" w:rsidRPr="00D57F5F" w:rsidRDefault="00D60B6F" w:rsidP="00D60B6F">
      <w:pPr>
        <w:jc w:val="right"/>
        <w:rPr>
          <w:b/>
        </w:rPr>
      </w:pPr>
      <w:r w:rsidRPr="00D57F5F">
        <w:rPr>
          <w:b/>
        </w:rPr>
        <w:t xml:space="preserve"> </w:t>
      </w:r>
    </w:p>
    <w:p w:rsidR="000B396B" w:rsidRPr="00D57F5F" w:rsidRDefault="00673D79" w:rsidP="00CC1FA5">
      <w:pPr>
        <w:ind w:firstLine="709"/>
        <w:rPr>
          <w:color w:val="000000"/>
        </w:rPr>
      </w:pPr>
      <w:r w:rsidRPr="00D57F5F">
        <w:rPr>
          <w:b/>
        </w:rPr>
        <w:t xml:space="preserve">Galvenie fakti par ESKO </w:t>
      </w:r>
    </w:p>
    <w:p w:rsidR="00E64DB4" w:rsidRDefault="00E64DB4" w:rsidP="00E665E3">
      <w:pPr>
        <w:autoSpaceDE w:val="0"/>
        <w:autoSpaceDN w:val="0"/>
        <w:adjustRightInd w:val="0"/>
        <w:ind w:firstLine="709"/>
        <w:jc w:val="both"/>
        <w:rPr>
          <w:color w:val="000000"/>
        </w:rPr>
      </w:pPr>
    </w:p>
    <w:p w:rsidR="00673D79" w:rsidRPr="00D57F5F" w:rsidRDefault="00673D79" w:rsidP="00E665E3">
      <w:pPr>
        <w:autoSpaceDE w:val="0"/>
        <w:autoSpaceDN w:val="0"/>
        <w:adjustRightInd w:val="0"/>
        <w:ind w:firstLine="709"/>
        <w:jc w:val="both"/>
        <w:rPr>
          <w:color w:val="000000"/>
        </w:rPr>
      </w:pPr>
      <w:proofErr w:type="spellStart"/>
      <w:r w:rsidRPr="00D57F5F">
        <w:rPr>
          <w:color w:val="000000"/>
        </w:rPr>
        <w:t>Energoservisa</w:t>
      </w:r>
      <w:proofErr w:type="spellEnd"/>
      <w:r w:rsidRPr="00D57F5F">
        <w:rPr>
          <w:color w:val="000000"/>
        </w:rPr>
        <w:t xml:space="preserve"> uzņēmuma</w:t>
      </w:r>
      <w:r w:rsidR="00AE11B4" w:rsidRPr="00D57F5F">
        <w:rPr>
          <w:color w:val="000000"/>
        </w:rPr>
        <w:t xml:space="preserve"> (turpmāk – ESKO)</w:t>
      </w:r>
      <w:r w:rsidRPr="00D57F5F">
        <w:rPr>
          <w:color w:val="000000"/>
        </w:rPr>
        <w:t xml:space="preserve"> definīcija: Uzņēmums, kas sniedz energopakalpojumus un/vai citus energoefektivitātes palielināšanas pasākumus patērētāja iekārtās vai telpās, un, to darot, uzņemas noteiktu finansiālu risku. Maksājums par sniegtajiem pakalpojumiem (pilnībā vai daļēji) pamatojas uz sasniegumiem energoefektivitātes palielināšanas jomā, kā arī uz to, vai ir izpildīti citi darbības kritēriji, par kuriem panākta vienošanās (</w:t>
      </w:r>
      <w:r w:rsidR="00133CB4" w:rsidRPr="00133CB4">
        <w:t>Eiropas Parlamenta un</w:t>
      </w:r>
      <w:r w:rsidR="00133CB4">
        <w:t xml:space="preserve"> Padomes Direktīva 2006/32/EK (</w:t>
      </w:r>
      <w:proofErr w:type="gramStart"/>
      <w:r w:rsidR="00133CB4">
        <w:t>2006.gada</w:t>
      </w:r>
      <w:proofErr w:type="gramEnd"/>
      <w:r w:rsidR="00133CB4">
        <w:t xml:space="preserve"> 5.</w:t>
      </w:r>
      <w:r w:rsidR="00133CB4" w:rsidRPr="00133CB4">
        <w:t xml:space="preserve">aprīlis), </w:t>
      </w:r>
      <w:r w:rsidR="00133CB4" w:rsidRPr="00133CB4">
        <w:rPr>
          <w:i/>
        </w:rPr>
        <w:t>par enerģijas galapatēriņa efektivitāti un energoefektivitātes pakalpojumiem un ar ko atceļ Padomes Direktīvu 93/76/EEK</w:t>
      </w:r>
      <w:r w:rsidRPr="00D57F5F">
        <w:rPr>
          <w:color w:val="000000"/>
        </w:rPr>
        <w:t>).</w:t>
      </w:r>
    </w:p>
    <w:p w:rsidR="00EB7AA4" w:rsidRPr="00D57F5F" w:rsidRDefault="00673D79" w:rsidP="00E665E3">
      <w:pPr>
        <w:autoSpaceDE w:val="0"/>
        <w:autoSpaceDN w:val="0"/>
        <w:adjustRightInd w:val="0"/>
        <w:ind w:firstLine="709"/>
        <w:jc w:val="both"/>
        <w:rPr>
          <w:color w:val="000000"/>
        </w:rPr>
      </w:pPr>
      <w:r w:rsidRPr="00D57F5F">
        <w:rPr>
          <w:color w:val="000000"/>
        </w:rPr>
        <w:t xml:space="preserve">Latvijā gandrīz 90% ēku ir būvētas pirms 1990. gada, tādējādi tām piemīt gan augsts enerģijas patēriņa līmenis, gan arī to tehniskais stāvoklis ir samērā slikts. Līdzīga situācija ir arī </w:t>
      </w:r>
      <w:r w:rsidR="00CB1B89" w:rsidRPr="00D57F5F">
        <w:rPr>
          <w:color w:val="000000"/>
        </w:rPr>
        <w:t xml:space="preserve">ar </w:t>
      </w:r>
      <w:r w:rsidRPr="00D57F5F">
        <w:rPr>
          <w:color w:val="000000"/>
        </w:rPr>
        <w:t xml:space="preserve">pārējo </w:t>
      </w:r>
      <w:r w:rsidR="00227AF5" w:rsidRPr="00D57F5F">
        <w:rPr>
          <w:color w:val="000000"/>
        </w:rPr>
        <w:t xml:space="preserve">pašvaldību </w:t>
      </w:r>
      <w:r w:rsidR="00CB1B89" w:rsidRPr="00D57F5F">
        <w:rPr>
          <w:color w:val="000000"/>
        </w:rPr>
        <w:t>infrastruktūru, līdz ar to Latvijā, tai skaitā pašvaldību infrastruktūrā ir būtisks energoefektivit</w:t>
      </w:r>
      <w:r w:rsidR="00271511" w:rsidRPr="00D57F5F">
        <w:rPr>
          <w:color w:val="000000"/>
        </w:rPr>
        <w:t>ātes potenciāls, kas īpaš</w:t>
      </w:r>
      <w:r w:rsidR="00CB1B89" w:rsidRPr="00D57F5F">
        <w:rPr>
          <w:color w:val="000000"/>
        </w:rPr>
        <w:t xml:space="preserve">i </w:t>
      </w:r>
      <w:r w:rsidR="00271511" w:rsidRPr="00D57F5F">
        <w:rPr>
          <w:color w:val="000000"/>
        </w:rPr>
        <w:t>būtiski ir</w:t>
      </w:r>
      <w:r w:rsidR="00260EAD">
        <w:rPr>
          <w:color w:val="000000"/>
        </w:rPr>
        <w:t>,</w:t>
      </w:r>
      <w:r w:rsidR="00271511" w:rsidRPr="00D57F5F">
        <w:rPr>
          <w:color w:val="000000"/>
        </w:rPr>
        <w:t xml:space="preserve"> ņemot vērā faktu, ka</w:t>
      </w:r>
      <w:r w:rsidRPr="00D57F5F">
        <w:rPr>
          <w:color w:val="000000"/>
        </w:rPr>
        <w:t xml:space="preserve"> Latvija</w:t>
      </w:r>
      <w:r w:rsidR="00271511" w:rsidRPr="00D57F5F">
        <w:rPr>
          <w:color w:val="000000"/>
        </w:rPr>
        <w:t>, ar iestāšanos ES</w:t>
      </w:r>
      <w:r w:rsidRPr="00D57F5F">
        <w:rPr>
          <w:color w:val="000000"/>
        </w:rPr>
        <w:t xml:space="preserve"> ir pievienojusies kopējiem </w:t>
      </w:r>
      <w:r w:rsidR="00821B45" w:rsidRPr="00D57F5F">
        <w:rPr>
          <w:color w:val="000000"/>
        </w:rPr>
        <w:t xml:space="preserve">ES </w:t>
      </w:r>
      <w:r w:rsidRPr="00D57F5F">
        <w:rPr>
          <w:color w:val="000000"/>
        </w:rPr>
        <w:t xml:space="preserve">mērķiem </w:t>
      </w:r>
      <w:r w:rsidR="00821B45" w:rsidRPr="00D57F5F">
        <w:rPr>
          <w:color w:val="000000"/>
        </w:rPr>
        <w:t xml:space="preserve">klimata pārmaiņu samazināšanā. Minēto mērķu ietvaros līdz </w:t>
      </w:r>
      <w:proofErr w:type="gramStart"/>
      <w:r w:rsidR="00821B45" w:rsidRPr="00D57F5F">
        <w:rPr>
          <w:color w:val="000000"/>
        </w:rPr>
        <w:t>2020.</w:t>
      </w:r>
      <w:r w:rsidRPr="00D57F5F">
        <w:rPr>
          <w:color w:val="000000"/>
        </w:rPr>
        <w:t>gadam</w:t>
      </w:r>
      <w:proofErr w:type="gramEnd"/>
      <w:r w:rsidRPr="00D57F5F">
        <w:rPr>
          <w:color w:val="000000"/>
        </w:rPr>
        <w:t xml:space="preserve"> </w:t>
      </w:r>
      <w:r w:rsidR="00821B45" w:rsidRPr="00D57F5F">
        <w:rPr>
          <w:color w:val="000000"/>
        </w:rPr>
        <w:t>plānotais CO</w:t>
      </w:r>
      <w:r w:rsidR="00821B45" w:rsidRPr="00D57F5F">
        <w:rPr>
          <w:color w:val="000000"/>
          <w:vertAlign w:val="subscript"/>
        </w:rPr>
        <w:t>2</w:t>
      </w:r>
      <w:r w:rsidR="00821B45" w:rsidRPr="00D57F5F">
        <w:rPr>
          <w:color w:val="000000"/>
        </w:rPr>
        <w:t xml:space="preserve"> emisiju samazinājums sasniedz</w:t>
      </w:r>
      <w:r w:rsidRPr="00D57F5F">
        <w:rPr>
          <w:color w:val="000000"/>
        </w:rPr>
        <w:t xml:space="preserve"> 20%, bet līdz 2050. gadam – l</w:t>
      </w:r>
      <w:r w:rsidR="00821B45" w:rsidRPr="00D57F5F">
        <w:rPr>
          <w:color w:val="000000"/>
        </w:rPr>
        <w:t>īdz pat 80% - 95% salīdzinājumā</w:t>
      </w:r>
      <w:r w:rsidRPr="00D57F5F">
        <w:rPr>
          <w:color w:val="000000"/>
        </w:rPr>
        <w:t xml:space="preserve"> ar 1990. gada emisiju līmeni. </w:t>
      </w:r>
    </w:p>
    <w:p w:rsidR="00404E4A" w:rsidRDefault="00EB7AA4" w:rsidP="00D57F5F">
      <w:pPr>
        <w:autoSpaceDE w:val="0"/>
        <w:autoSpaceDN w:val="0"/>
        <w:adjustRightInd w:val="0"/>
        <w:ind w:firstLine="709"/>
        <w:jc w:val="both"/>
      </w:pPr>
      <w:r w:rsidRPr="00EB7AA4">
        <w:t xml:space="preserve">Koncepcija par Eiropas Parlamenta un Padomes </w:t>
      </w:r>
      <w:proofErr w:type="gramStart"/>
      <w:r w:rsidRPr="00EB7AA4">
        <w:t>2012.gada</w:t>
      </w:r>
      <w:proofErr w:type="gramEnd"/>
      <w:r w:rsidRPr="00EB7AA4">
        <w:t xml:space="preserve"> 25.oktobra Direktīvas 2012/27/ES </w:t>
      </w:r>
      <w:r w:rsidRPr="00BE1F70">
        <w:rPr>
          <w:i/>
        </w:rPr>
        <w:t xml:space="preserve">par energoefektivitāti, ar ko groza Direktīvas 2009/125/EK un 2010/30/ES, un atceļ Direktīvas 2004/8/EK un 2006/32/EK </w:t>
      </w:r>
      <w:r w:rsidRPr="00EB7AA4">
        <w:t xml:space="preserve">(turpmāk </w:t>
      </w:r>
      <w:r w:rsidRPr="00404E4A">
        <w:t>– Direktīva 2012/27ES), prasību pārņemšanu normatīvajos aktos nosaka, ka Latvijai saistībā ar Direktīvas 2012/27/ES ieviešanu jāsasniedz indikatīvais valsts energoefektivitātes mērķis, kura ietvaros jānodrošina divi saistoši mērķi: katru gadu jāsasniedz 1,</w:t>
      </w:r>
      <w:r w:rsidRPr="00D57F5F">
        <w:t>5% valsts galalietotājiem piegādātās enerģijas ietaupījums un katru gadu jārenovē 3% valstij piederošo ēku platības. Tā kā valsts ēkas veido daļu no valsts enerģijas galapatēriņa, tad centrālās valdības ēku 3% renovācijas mērķa izpilde dod ieguldījumu kopējā galapatēriņa 1,5% ietaupījuma mērķa sasniegšanā</w:t>
      </w:r>
      <w:r>
        <w:t>, līdz ar to būtiski ir plānot energoefektivitātes pasākumus arī citās nozarēs, tai skaitā pašvaldību infrastruktūrā.</w:t>
      </w:r>
      <w:r w:rsidRPr="00EB7AA4">
        <w:t xml:space="preserve"> Direktīvas 2012/27/ES prasības kopumā ir vērstas uz tādas nacionālās energoefektivitātes sistēmas izveidi, kas ļauj valstij veikt enerģijas ietaupījumus visās enerģētikas jomās – enerģijas ražošanā, pārvadē un galalietotājos.</w:t>
      </w:r>
    </w:p>
    <w:p w:rsidR="00404E4A" w:rsidRPr="00EB7AA4" w:rsidRDefault="00404E4A" w:rsidP="00D57F5F">
      <w:pPr>
        <w:autoSpaceDE w:val="0"/>
        <w:autoSpaceDN w:val="0"/>
        <w:adjustRightInd w:val="0"/>
        <w:ind w:firstLine="709"/>
        <w:jc w:val="both"/>
      </w:pPr>
      <w:r>
        <w:t xml:space="preserve">Nacionāla līmeņa vidēja termiņa plānošanas dokuments </w:t>
      </w:r>
      <w:r w:rsidR="00720C74">
        <w:t>Nacionālais attīstības plāns</w:t>
      </w:r>
      <w:r w:rsidR="00720C74" w:rsidRPr="00D57F5F">
        <w:t xml:space="preserve"> </w:t>
      </w:r>
      <w:r w:rsidRPr="00D57F5F">
        <w:t>NAP 2020</w:t>
      </w:r>
      <w:r w:rsidR="00D05747">
        <w:t xml:space="preserve"> (</w:t>
      </w:r>
      <w:r w:rsidR="00720C74">
        <w:t>turpmāk - KPFI</w:t>
      </w:r>
      <w:r w:rsidR="00D05747">
        <w:t>)</w:t>
      </w:r>
      <w:r w:rsidRPr="00404E4A">
        <w:rPr>
          <w:bCs/>
        </w:rPr>
        <w:t xml:space="preserve">, kas </w:t>
      </w:r>
      <w:r w:rsidRPr="00404E4A">
        <w:t xml:space="preserve">ir cieši saistīts ar </w:t>
      </w:r>
      <w:r w:rsidRPr="00D57F5F">
        <w:t xml:space="preserve">„Latvijas Ilgtspējīgas attīstības stratēģiju līdz </w:t>
      </w:r>
      <w:proofErr w:type="gramStart"/>
      <w:r w:rsidRPr="00D57F5F">
        <w:t>2030.gadam</w:t>
      </w:r>
      <w:proofErr w:type="gramEnd"/>
      <w:r w:rsidRPr="00D57F5F">
        <w:t>”</w:t>
      </w:r>
      <w:r w:rsidRPr="00404E4A">
        <w:t xml:space="preserve"> un </w:t>
      </w:r>
      <w:r w:rsidRPr="00D57F5F">
        <w:t>N</w:t>
      </w:r>
      <w:r w:rsidR="00031196">
        <w:t xml:space="preserve">acionālo </w:t>
      </w:r>
      <w:r w:rsidRPr="00D57F5F">
        <w:t>R</w:t>
      </w:r>
      <w:r w:rsidR="00031196">
        <w:t>īcības plānu</w:t>
      </w:r>
      <w:r w:rsidRPr="00404E4A">
        <w:t>,</w:t>
      </w:r>
      <w:r>
        <w:rPr>
          <w:bCs/>
        </w:rPr>
        <w:t xml:space="preserve"> ietver rīcības virzienu „Energoefektivitāte un enerģijas ražošana”, kā arī mērķu sasniegšanas rādītāju attiecībā uz tautsaimniecības energoefektivitāti – samazināt enerģijas patēriņu iekšzemes kopprodukta radīšanai no 0,37 </w:t>
      </w:r>
      <w:proofErr w:type="spellStart"/>
      <w:r>
        <w:rPr>
          <w:bCs/>
        </w:rPr>
        <w:t>toe</w:t>
      </w:r>
      <w:proofErr w:type="spellEnd"/>
      <w:r>
        <w:rPr>
          <w:bCs/>
        </w:rPr>
        <w:t xml:space="preserve">/1000EUR (2010.gadā) līdz 0,28 </w:t>
      </w:r>
      <w:proofErr w:type="spellStart"/>
      <w:r>
        <w:rPr>
          <w:bCs/>
        </w:rPr>
        <w:t>toe</w:t>
      </w:r>
      <w:proofErr w:type="spellEnd"/>
      <w:r>
        <w:rPr>
          <w:bCs/>
        </w:rPr>
        <w:t xml:space="preserve">/1000EUR (2020.gadā). Laikā līdz </w:t>
      </w:r>
      <w:proofErr w:type="gramStart"/>
      <w:r>
        <w:rPr>
          <w:bCs/>
        </w:rPr>
        <w:t>2020.gadam</w:t>
      </w:r>
      <w:proofErr w:type="gramEnd"/>
      <w:r>
        <w:rPr>
          <w:bCs/>
        </w:rPr>
        <w:t xml:space="preserve"> veicami šādi </w:t>
      </w:r>
      <w:r w:rsidR="00260EAD">
        <w:rPr>
          <w:bCs/>
        </w:rPr>
        <w:t>u</w:t>
      </w:r>
      <w:r>
        <w:rPr>
          <w:bCs/>
        </w:rPr>
        <w:t>zdevumi: [202] Energoefektivitātes programmas valsts un pašvaldību sabiedrisko ēku sektorā; [203] Atbalsta programmas dzīvojamo ēku energoefektivitātei un pārejai uz atjaunojamiem energoresursiem; [204] Atbalsts inovatīvu enerģētikas un energoefektivitātes tehnoloģiju projektiem</w:t>
      </w:r>
      <w:r>
        <w:t>.</w:t>
      </w:r>
    </w:p>
    <w:p w:rsidR="00673D79" w:rsidRDefault="00EB7AA4" w:rsidP="00E665E3">
      <w:pPr>
        <w:autoSpaceDE w:val="0"/>
        <w:autoSpaceDN w:val="0"/>
        <w:adjustRightInd w:val="0"/>
        <w:ind w:firstLine="709"/>
        <w:jc w:val="both"/>
      </w:pPr>
      <w:r>
        <w:t>Līdz šim veiktās investīcijas gan no valsts budžeta programmām (Klimata pārmaiņu finanšu instruments – turpmāk KPF</w:t>
      </w:r>
      <w:r w:rsidR="00511FD0">
        <w:t>I</w:t>
      </w:r>
      <w:r>
        <w:t>), gan ES fondu līdzekļiem 2007.-</w:t>
      </w:r>
      <w:proofErr w:type="gramStart"/>
      <w:r>
        <w:t>2013.gada</w:t>
      </w:r>
      <w:proofErr w:type="gramEnd"/>
      <w:r>
        <w:t xml:space="preserve"> plānošanas perioda ietvaros</w:t>
      </w:r>
      <w:r w:rsidR="00673D79" w:rsidRPr="00D57F5F">
        <w:rPr>
          <w:color w:val="000000"/>
        </w:rPr>
        <w:t>,</w:t>
      </w:r>
      <w:r>
        <w:rPr>
          <w:color w:val="000000"/>
        </w:rPr>
        <w:t xml:space="preserve"> kā arī veiktie sākotnējie novērtējumi Ekonomikas ministrijas un VARAM pārraudzībā esošo specifisko atbalsta mērķu plānošanā 2014.-2020.gada ES fondu plānošanas periodā, pierāda, ka </w:t>
      </w:r>
      <w:r w:rsidR="00673D79" w:rsidRPr="00D57F5F">
        <w:rPr>
          <w:color w:val="000000"/>
        </w:rPr>
        <w:t>investīciju vajadzības</w:t>
      </w:r>
      <w:r w:rsidR="00F470DE">
        <w:rPr>
          <w:color w:val="000000"/>
        </w:rPr>
        <w:t xml:space="preserve"> energoefektivitātes jomā</w:t>
      </w:r>
      <w:r w:rsidR="00673D79" w:rsidRPr="00D57F5F">
        <w:rPr>
          <w:color w:val="000000"/>
        </w:rPr>
        <w:t xml:space="preserve"> nav iespējams atrisināt institūciju budžet</w:t>
      </w:r>
      <w:r w:rsidR="00F470DE">
        <w:rPr>
          <w:color w:val="000000"/>
        </w:rPr>
        <w:t>u ietvaros</w:t>
      </w:r>
      <w:r w:rsidR="00404E4A">
        <w:rPr>
          <w:color w:val="000000"/>
        </w:rPr>
        <w:t>. Arī</w:t>
      </w:r>
      <w:r w:rsidR="00673D79" w:rsidRPr="00D57F5F">
        <w:rPr>
          <w:color w:val="000000"/>
        </w:rPr>
        <w:t xml:space="preserve"> ES fondu </w:t>
      </w:r>
      <w:r w:rsidR="00404E4A">
        <w:rPr>
          <w:color w:val="000000"/>
        </w:rPr>
        <w:t>ietvaros pieejamais finansējuma apjoms</w:t>
      </w:r>
      <w:r w:rsidR="00404E4A" w:rsidRPr="00D57F5F">
        <w:rPr>
          <w:color w:val="000000"/>
        </w:rPr>
        <w:t xml:space="preserve"> </w:t>
      </w:r>
      <w:r w:rsidR="00673D79" w:rsidRPr="00D57F5F">
        <w:rPr>
          <w:color w:val="000000"/>
        </w:rPr>
        <w:t>publiskajām ēkām</w:t>
      </w:r>
      <w:r w:rsidR="00404E4A">
        <w:rPr>
          <w:color w:val="000000"/>
        </w:rPr>
        <w:t xml:space="preserve"> nav pietiekams, jo, piemēram, </w:t>
      </w:r>
      <w:r w:rsidR="00404E4A">
        <w:t>NAP 2020 rīcības virziena „Energoefektivitāte un enerģijas ražošana” mērķu sasniegšanai vien norādītais nepieciešamais finansējuma apjoms ir 1 239 179,06 EUR</w:t>
      </w:r>
      <w:r w:rsidR="00673D79" w:rsidRPr="00D57F5F">
        <w:rPr>
          <w:color w:val="000000"/>
        </w:rPr>
        <w:t xml:space="preserve">. Daudzās ES valstīs (Vācijā, Austrijā, Čehijā, Ungārijā utt.) jau </w:t>
      </w:r>
      <w:proofErr w:type="gramStart"/>
      <w:r w:rsidR="00673D79" w:rsidRPr="00D57F5F">
        <w:rPr>
          <w:color w:val="000000"/>
        </w:rPr>
        <w:t>vairāk kā</w:t>
      </w:r>
      <w:proofErr w:type="gramEnd"/>
      <w:r w:rsidR="00673D79" w:rsidRPr="00D57F5F">
        <w:rPr>
          <w:color w:val="000000"/>
        </w:rPr>
        <w:t xml:space="preserve"> 20 gadu garumā investīciju trūkums energoefektivitātes paaugstināšanai tiek kompensēts plaši piesaistot ESKO uzņēmumu pakalpojumus un finanšu resursus. </w:t>
      </w:r>
      <w:r w:rsidR="00CB47DD" w:rsidRPr="00D57F5F">
        <w:rPr>
          <w:color w:val="000000"/>
        </w:rPr>
        <w:t>ESKO</w:t>
      </w:r>
      <w:r w:rsidR="00673D79" w:rsidRPr="00D57F5F">
        <w:rPr>
          <w:color w:val="000000"/>
        </w:rPr>
        <w:t xml:space="preserve"> uzņēmums ir uzņēmējdarbības veids, kas, piesaistot investīciju fondu u.c. līdzekļus, </w:t>
      </w:r>
      <w:r w:rsidR="00673D79" w:rsidRPr="00D57F5F">
        <w:rPr>
          <w:color w:val="000000"/>
        </w:rPr>
        <w:lastRenderedPageBreak/>
        <w:t>sniedz plašu</w:t>
      </w:r>
      <w:r w:rsidR="007030D5">
        <w:rPr>
          <w:color w:val="000000"/>
        </w:rPr>
        <w:t>,</w:t>
      </w:r>
      <w:r w:rsidR="00673D79" w:rsidRPr="00D57F5F">
        <w:rPr>
          <w:color w:val="000000"/>
        </w:rPr>
        <w:t xml:space="preserve"> ar </w:t>
      </w:r>
      <w:r w:rsidR="00673D79" w:rsidRPr="00D57F5F">
        <w:t xml:space="preserve">enerģētikas nozari saistītu pakalpojumu klāstu, t.sk., īstenojot energotaupības projektus, enerģētikas infrastruktūras ārpakalpojumus, enerģijas ražošanu un piegādi, kā arī risku pārvaldību. </w:t>
      </w:r>
      <w:r w:rsidR="007030D5">
        <w:t>Minēto priekšrocību dēļ</w:t>
      </w:r>
      <w:r w:rsidR="007030D5" w:rsidRPr="00D57F5F">
        <w:t xml:space="preserve"> </w:t>
      </w:r>
      <w:r w:rsidR="00673D79" w:rsidRPr="00D57F5F">
        <w:t xml:space="preserve">ESKO </w:t>
      </w:r>
      <w:r w:rsidR="007030D5">
        <w:t>mehānisms</w:t>
      </w:r>
      <w:r w:rsidR="007030D5" w:rsidRPr="00D57F5F">
        <w:t xml:space="preserve"> </w:t>
      </w:r>
      <w:r w:rsidR="00673D79" w:rsidRPr="00D57F5F">
        <w:t>ļauj atjaunot</w:t>
      </w:r>
      <w:r w:rsidR="007030D5">
        <w:t xml:space="preserve"> dažāda veida</w:t>
      </w:r>
      <w:r w:rsidR="00673D79" w:rsidRPr="00D57F5F">
        <w:t xml:space="preserve"> infrastruktūru, kuru renovācijai nepietiek līdzekļu</w:t>
      </w:r>
      <w:r w:rsidR="007030D5">
        <w:t xml:space="preserve"> ikgadējā budžeta vai citu atbalsta mehānismu ietvaros</w:t>
      </w:r>
      <w:r w:rsidR="00673D79" w:rsidRPr="00D57F5F">
        <w:t>.</w:t>
      </w:r>
      <w:r w:rsidR="007030D5">
        <w:t xml:space="preserve"> ESKO mehānisma būtiskākā priekšrocība ir tā ilgtspēja, jo</w:t>
      </w:r>
      <w:r w:rsidR="00673D79" w:rsidRPr="00D57F5F">
        <w:t xml:space="preserve"> ESKO</w:t>
      </w:r>
      <w:r w:rsidR="007030D5">
        <w:t xml:space="preserve"> uzņēmums</w:t>
      </w:r>
      <w:r w:rsidR="00673D79" w:rsidRPr="00D57F5F">
        <w:t xml:space="preserve"> finansiāli ir ieinteresēt</w:t>
      </w:r>
      <w:r w:rsidR="003F366B">
        <w:t>s</w:t>
      </w:r>
      <w:r w:rsidR="00673D79" w:rsidRPr="00D57F5F">
        <w:t xml:space="preserve"> pēc iespējas labāku energoefektivitātes rādītāju sasniegšanā, </w:t>
      </w:r>
      <w:r w:rsidR="007030D5">
        <w:t xml:space="preserve">un </w:t>
      </w:r>
      <w:r w:rsidR="00673D79" w:rsidRPr="00D57F5F">
        <w:t xml:space="preserve">pasūtītājam tā darbība </w:t>
      </w:r>
      <w:r w:rsidR="007030D5">
        <w:t>nerada finansiālas saistības un</w:t>
      </w:r>
      <w:r w:rsidR="007030D5" w:rsidRPr="00D57F5F">
        <w:t xml:space="preserve"> </w:t>
      </w:r>
      <w:r w:rsidR="00673D79" w:rsidRPr="00D57F5F">
        <w:t>būtisku</w:t>
      </w:r>
      <w:r w:rsidR="007030D5">
        <w:t>s</w:t>
      </w:r>
      <w:r w:rsidR="00673D79" w:rsidRPr="00D57F5F">
        <w:t xml:space="preserve"> risku</w:t>
      </w:r>
      <w:r w:rsidR="007030D5">
        <w:t xml:space="preserve">s, jo veikto investīciju </w:t>
      </w:r>
      <w:r w:rsidR="00D021FD">
        <w:t>atmaksāšanos nodrošina sasniegtā enerģijas ietaupījuma izmaksas.</w:t>
      </w:r>
      <w:r w:rsidR="00673D79" w:rsidRPr="00D57F5F">
        <w:t xml:space="preserve"> Šo iemeslu dēļ ES ar dažādu politikas instrumentu palīdzību</w:t>
      </w:r>
      <w:r w:rsidR="00D021FD">
        <w:t xml:space="preserve"> tiek veicināta</w:t>
      </w:r>
      <w:r w:rsidR="00673D79" w:rsidRPr="00D57F5F">
        <w:t xml:space="preserve"> </w:t>
      </w:r>
      <w:r w:rsidR="00D021FD">
        <w:t xml:space="preserve">plaša </w:t>
      </w:r>
      <w:r w:rsidR="00673D79" w:rsidRPr="00D57F5F">
        <w:t>ESKO iesaist</w:t>
      </w:r>
      <w:r w:rsidR="00E04120">
        <w:t>e</w:t>
      </w:r>
      <w:r w:rsidR="00673D79" w:rsidRPr="00D57F5F">
        <w:t xml:space="preserve"> energoefektivitātes projektu īstenošanā.</w:t>
      </w:r>
    </w:p>
    <w:p w:rsidR="00C25F8C" w:rsidRPr="00DE49EF" w:rsidRDefault="00C25F8C" w:rsidP="00C25F8C">
      <w:pPr>
        <w:pStyle w:val="ListParagraph"/>
        <w:ind w:left="34" w:firstLine="675"/>
        <w:jc w:val="both"/>
        <w:rPr>
          <w:iCs/>
        </w:rPr>
      </w:pPr>
      <w:r w:rsidRPr="00DE49EF">
        <w:rPr>
          <w:iCs/>
        </w:rPr>
        <w:t xml:space="preserve">Pašvaldībām saskaņā ar gadskārtējā valsts budžeta likumā noteiktajiem aizņēmuma mērķiem ir iespējā saņemt aizņēmumu Valsts kasē savā īpašumā un apsaimniekošanā esošo apgaismes ķermeņu nomaiņai. Līdz ar to pašvaldībām ir iespējams realizēt minētās jomas investīciju projektus. Savukārt pašvaldību kapitālsabiedrībām šobrīd bez pašvaldības galvojuma nav iespējas saņemt uz izdevīgiem nosacījumiem aizņēmumu Valsts kasē, kā arī tām nav noteikti tik stingri ierobežojumi uzņemties citas ilgtermiņa saistības, kā tas noteikts pašvaldībām. Līdz ar to ESKO projektu ieviešana varētu būt attiecināma tikai uz pašvaldību kapitālsabiedrībām (bez pašvaldības galvojuma), kuras ESKO projekta ietvaros var uzņemties saistības savā īpašumā vai valdījumā esošo apgaismes ķermeņu nomaiņai, ievērojot </w:t>
      </w:r>
      <w:r w:rsidRPr="00DE49EF">
        <w:rPr>
          <w:iCs/>
          <w:lang w:eastAsia="lv-LV"/>
        </w:rPr>
        <w:t>Publiskas personas finanšu līdzekļu un mantas izšķērdēšanas novēršanas likumā noteiktās normas par likumīgu un lietderīgu rīcību ar finanšu līdzekļiem un mantu.</w:t>
      </w:r>
      <w:r w:rsidRPr="00DE49EF">
        <w:rPr>
          <w:iCs/>
        </w:rPr>
        <w:t xml:space="preserve"> </w:t>
      </w:r>
    </w:p>
    <w:p w:rsidR="00C25F8C" w:rsidRPr="00DE49EF" w:rsidRDefault="00C25F8C" w:rsidP="00C25F8C">
      <w:pPr>
        <w:pStyle w:val="naisc"/>
        <w:spacing w:before="0" w:after="0"/>
        <w:ind w:firstLine="709"/>
        <w:jc w:val="both"/>
        <w:rPr>
          <w:color w:val="0D0D0D" w:themeColor="text1" w:themeTint="F2"/>
        </w:rPr>
      </w:pPr>
      <w:r w:rsidRPr="00DE49EF">
        <w:rPr>
          <w:iCs/>
        </w:rPr>
        <w:t xml:space="preserve">Saskaņā ar likuma “Publiskas personas finanšu līdzekļu un mantas izšķērdēšanas novēršanas likums” </w:t>
      </w:r>
      <w:proofErr w:type="gramStart"/>
      <w:r w:rsidRPr="00DE49EF">
        <w:rPr>
          <w:iCs/>
        </w:rPr>
        <w:t>2.panta</w:t>
      </w:r>
      <w:proofErr w:type="gramEnd"/>
      <w:r w:rsidRPr="00DE49EF">
        <w:rPr>
          <w:iCs/>
        </w:rPr>
        <w:t xml:space="preserve"> trešo daļu un 3.pantu, pašvaldību kapitālsabiedrībām ir jāpārliecinās, ka ESKO shēma ir ekonomiski un saimnieciski izdevīgākais risinājums. Tādējādi pašvaldību kapitālsabiedrībām un VIF, izvērtējot piedāvājumus ESKO shēmas ietvaros, ir jāpārliecinās, ka kopējās izmaksas, t.sk. VIF resursu izmaksas pēc nākotnes</w:t>
      </w:r>
      <w:r w:rsidR="005B0E38" w:rsidRPr="00DE49EF">
        <w:rPr>
          <w:iCs/>
        </w:rPr>
        <w:t xml:space="preserve"> naudas</w:t>
      </w:r>
      <w:r w:rsidRPr="00DE49EF">
        <w:rPr>
          <w:iCs/>
        </w:rPr>
        <w:t xml:space="preserve"> plūsmu izpirkšanas, būs zemākas nekā tiešās finansēšanas gadījumā. Tikai tad, ja šis nosacījums ir izpildīts, ir pamatota ESKO modeļa izmantošana projektu īstenošanai un VIF resursu piesaiste nākotnes </w:t>
      </w:r>
      <w:r w:rsidR="005B0E38" w:rsidRPr="00DE49EF">
        <w:rPr>
          <w:iCs/>
        </w:rPr>
        <w:t xml:space="preserve">naudas </w:t>
      </w:r>
      <w:r w:rsidRPr="00DE49EF">
        <w:rPr>
          <w:iCs/>
        </w:rPr>
        <w:t>plūsmu izpirkšanā. Gadījumā, ja ESKO shēmas īstenošana ir atzīstama par ekonomiski un saimnieciski izdevīgāko risinājumu, tad VIF būs nepieciešams regulāri veikt pašvaldību kapitālsabiedrību finanšu pieejamības izvērtējumu un novērst VIF darbības dublēšanu ar citām institūcijām finanšu tirgū, kuras veic citas finanšu institūcijas, tajā skaitā bankas.</w:t>
      </w:r>
    </w:p>
    <w:p w:rsidR="00673D79" w:rsidRPr="00D57F5F" w:rsidRDefault="00673D79" w:rsidP="00E665E3">
      <w:pPr>
        <w:autoSpaceDE w:val="0"/>
        <w:autoSpaceDN w:val="0"/>
        <w:adjustRightInd w:val="0"/>
        <w:ind w:firstLine="709"/>
        <w:jc w:val="both"/>
      </w:pPr>
      <w:r w:rsidRPr="00D57F5F">
        <w:t xml:space="preserve">Kvalitatīva ESKO uzņēmumu iesaiste pašvaldību </w:t>
      </w:r>
      <w:r w:rsidR="00583CE2" w:rsidRPr="00440EF1">
        <w:t xml:space="preserve">kapitālsabiedrību īpašumā vai valdījumā </w:t>
      </w:r>
      <w:r w:rsidR="003E0C54" w:rsidRPr="00440EF1">
        <w:t>esošās infrastruktūras</w:t>
      </w:r>
      <w:r w:rsidR="003E0C54">
        <w:t xml:space="preserve"> </w:t>
      </w:r>
      <w:r w:rsidRPr="00D57F5F">
        <w:t xml:space="preserve">energoefektīvas rekonstrukcijas projektos risina divas līdz šim būtiskākās problēmas </w:t>
      </w:r>
      <w:r w:rsidR="00D021FD">
        <w:t>energoefektivitātes</w:t>
      </w:r>
      <w:r w:rsidR="00D021FD" w:rsidRPr="00D57F5F">
        <w:t xml:space="preserve"> </w:t>
      </w:r>
      <w:r w:rsidRPr="00D57F5F">
        <w:t xml:space="preserve">jomā – būtiski palielina finanšu resursu pieejamību publiskā sektora </w:t>
      </w:r>
      <w:r w:rsidR="00D021FD">
        <w:t xml:space="preserve">infrastruktūras (tai skaitā </w:t>
      </w:r>
      <w:r w:rsidRPr="00D57F5F">
        <w:t>ēku</w:t>
      </w:r>
      <w:r w:rsidR="00D021FD">
        <w:t>)</w:t>
      </w:r>
      <w:r w:rsidRPr="00D57F5F">
        <w:t xml:space="preserve"> renovācijai (ESKO resursus investīcijām </w:t>
      </w:r>
      <w:r w:rsidR="00D021FD" w:rsidRPr="009A1B17">
        <w:t xml:space="preserve">lielākoties </w:t>
      </w:r>
      <w:r w:rsidR="00D021FD" w:rsidRPr="00377C1E">
        <w:t xml:space="preserve">gūst </w:t>
      </w:r>
      <w:r w:rsidRPr="00D57F5F">
        <w:t>dažāda veida finanšu institūcijās, kas tradicionāli uzskata valsts un pašvaldīb</w:t>
      </w:r>
      <w:r w:rsidR="003E0C54">
        <w:t xml:space="preserve">u </w:t>
      </w:r>
      <w:r w:rsidR="003E0C54" w:rsidRPr="002C4F03">
        <w:t>kapitālsabiedrības</w:t>
      </w:r>
      <w:r w:rsidRPr="002C4F03">
        <w:t xml:space="preserve"> </w:t>
      </w:r>
      <w:r w:rsidRPr="00D57F5F">
        <w:t xml:space="preserve">par mazāk riskantajiem investīciju saņēmējiem) </w:t>
      </w:r>
      <w:r w:rsidR="00D021FD">
        <w:t>un</w:t>
      </w:r>
      <w:r w:rsidRPr="00D57F5F">
        <w:t xml:space="preserve"> būtiski samazina tos darbu izpildes kvalitātes riskus, kas var rasties publiskajā sektorā šādu projektu vadības kompetences trūkuma dēļ. Tādējādi, līdz ar ESKO iesaisti, samazinās arī resursu izlietojums piešķirto </w:t>
      </w:r>
      <w:proofErr w:type="spellStart"/>
      <w:r w:rsidRPr="00D57F5F">
        <w:t>grantu</w:t>
      </w:r>
      <w:proofErr w:type="spellEnd"/>
      <w:r w:rsidRPr="00D57F5F">
        <w:t xml:space="preserve"> uzraudzībai, jo ESKO uzņemas finansiālo risku</w:t>
      </w:r>
      <w:r w:rsidR="003E0C54">
        <w:t xml:space="preserve"> projektu īstenošanā</w:t>
      </w:r>
      <w:r w:rsidR="00AC6995">
        <w:t xml:space="preserve">. </w:t>
      </w:r>
      <w:r w:rsidR="00747E8B" w:rsidRPr="00D57F5F">
        <w:t>Ietaupījuma garantiju jautājums ir viens no būtiskākajiem jautājumiem ikvienā ESKO projektā. Šādas garantijas ļauj būtiski mazināt riskus, kas var rasties, ja projekts nerada pietiekami daudz ietaupījumu, lai tas varētu atmaksāties.</w:t>
      </w:r>
      <w:r w:rsidR="00AC6995">
        <w:t xml:space="preserve"> Neskatoties uz ESKO priekšrocībām, Latvijā līdz šim nav izveidojies stabils un strādājošs ESKO mehānisms, kas lielā mērā saistīts ar </w:t>
      </w:r>
      <w:r w:rsidR="008C6624">
        <w:t>mērķtiecīgas atbalsta politikas un pilotprojektu trūkumu.</w:t>
      </w:r>
    </w:p>
    <w:p w:rsidR="00821B45" w:rsidRPr="00D57F5F" w:rsidRDefault="00821B45" w:rsidP="00821B45">
      <w:pPr>
        <w:autoSpaceDE w:val="0"/>
        <w:autoSpaceDN w:val="0"/>
        <w:adjustRightInd w:val="0"/>
        <w:ind w:firstLine="709"/>
        <w:jc w:val="both"/>
        <w:rPr>
          <w:color w:val="000000"/>
        </w:rPr>
      </w:pPr>
      <w:r w:rsidRPr="00D57F5F">
        <w:rPr>
          <w:color w:val="000000"/>
        </w:rPr>
        <w:t>KPFI konkursa „Siltumnīcefekta gāzu emisiju samazināšana pašvaldību publisko teritoriju apgaismojuma infrastruktūrā” IV kārt</w:t>
      </w:r>
      <w:r w:rsidR="008C6624">
        <w:rPr>
          <w:color w:val="000000"/>
        </w:rPr>
        <w:t>as ietvaros</w:t>
      </w:r>
      <w:r w:rsidRPr="00D57F5F">
        <w:rPr>
          <w:color w:val="000000"/>
        </w:rPr>
        <w:t xml:space="preserve"> finansējums</w:t>
      </w:r>
      <w:r w:rsidR="008C6624">
        <w:rPr>
          <w:color w:val="000000"/>
        </w:rPr>
        <w:t>, tā trūkuma dēļ,</w:t>
      </w:r>
      <w:r w:rsidRPr="00D57F5F">
        <w:rPr>
          <w:color w:val="000000"/>
        </w:rPr>
        <w:t xml:space="preserve"> </w:t>
      </w:r>
      <w:r w:rsidR="008C6624" w:rsidRPr="00893AF3">
        <w:rPr>
          <w:color w:val="000000"/>
        </w:rPr>
        <w:t xml:space="preserve">netika piešķirts </w:t>
      </w:r>
      <w:r w:rsidR="008C6624">
        <w:rPr>
          <w:color w:val="000000"/>
        </w:rPr>
        <w:t xml:space="preserve">vairākiem </w:t>
      </w:r>
      <w:r w:rsidRPr="00D57F5F">
        <w:rPr>
          <w:color w:val="000000"/>
        </w:rPr>
        <w:t xml:space="preserve">projektiem kopsummā par 7,7 miljoniem </w:t>
      </w:r>
      <w:proofErr w:type="spellStart"/>
      <w:r w:rsidRPr="00D57F5F">
        <w:rPr>
          <w:i/>
          <w:color w:val="000000"/>
        </w:rPr>
        <w:t>euro</w:t>
      </w:r>
      <w:proofErr w:type="spellEnd"/>
      <w:r w:rsidRPr="00D57F5F">
        <w:rPr>
          <w:color w:val="000000"/>
        </w:rPr>
        <w:t xml:space="preserve"> un minētie projekti</w:t>
      </w:r>
      <w:r w:rsidR="008C6624">
        <w:rPr>
          <w:color w:val="000000"/>
        </w:rPr>
        <w:t>, ņemot vērā to gatavības stadiju, infrastruktūras stāvokli un izmaksu apmēru</w:t>
      </w:r>
      <w:r w:rsidRPr="00D57F5F">
        <w:rPr>
          <w:color w:val="000000"/>
        </w:rPr>
        <w:t xml:space="preserve"> varētu būt</w:t>
      </w:r>
      <w:r w:rsidR="008C6624">
        <w:rPr>
          <w:color w:val="000000"/>
        </w:rPr>
        <w:t xml:space="preserve"> piemēroti</w:t>
      </w:r>
      <w:r w:rsidRPr="00D57F5F">
        <w:rPr>
          <w:color w:val="000000"/>
        </w:rPr>
        <w:t xml:space="preserve"> pilotprojekti ESKO </w:t>
      </w:r>
      <w:r w:rsidR="008C6624">
        <w:rPr>
          <w:color w:val="000000"/>
        </w:rPr>
        <w:t>mehānisma praktiskās iespējamības un funkcionalitātes pierādīšanai</w:t>
      </w:r>
      <w:r w:rsidR="00772B46">
        <w:rPr>
          <w:color w:val="000000"/>
        </w:rPr>
        <w:t xml:space="preserve"> un attīstības veicināšanai</w:t>
      </w:r>
      <w:r w:rsidRPr="00D57F5F">
        <w:rPr>
          <w:color w:val="000000"/>
        </w:rPr>
        <w:t>.</w:t>
      </w:r>
    </w:p>
    <w:p w:rsidR="000B396B" w:rsidRDefault="000B396B">
      <w:pPr>
        <w:rPr>
          <w:b/>
        </w:rPr>
      </w:pPr>
    </w:p>
    <w:p w:rsidR="00772B46" w:rsidRPr="00D57F5F" w:rsidRDefault="00772B46">
      <w:pPr>
        <w:rPr>
          <w:b/>
        </w:rPr>
      </w:pPr>
    </w:p>
    <w:p w:rsidR="00772B46" w:rsidRDefault="00772B46" w:rsidP="00CC1FA5">
      <w:pPr>
        <w:ind w:firstLine="709"/>
        <w:rPr>
          <w:b/>
        </w:rPr>
      </w:pPr>
      <w:r>
        <w:rPr>
          <w:b/>
        </w:rPr>
        <w:lastRenderedPageBreak/>
        <w:t>SIA „Vides investīciju fonds” (turpmāk – VIF)</w:t>
      </w:r>
      <w:r w:rsidRPr="00D57F5F">
        <w:rPr>
          <w:b/>
        </w:rPr>
        <w:t xml:space="preserve"> </w:t>
      </w:r>
      <w:r w:rsidR="00673D79" w:rsidRPr="00D57F5F">
        <w:rPr>
          <w:b/>
        </w:rPr>
        <w:t>plānot</w:t>
      </w:r>
      <w:r>
        <w:rPr>
          <w:b/>
        </w:rPr>
        <w:t>ais</w:t>
      </w:r>
      <w:r w:rsidR="00673D79" w:rsidRPr="00D57F5F">
        <w:rPr>
          <w:b/>
        </w:rPr>
        <w:t xml:space="preserve"> ESKO </w:t>
      </w:r>
      <w:r>
        <w:rPr>
          <w:b/>
        </w:rPr>
        <w:t xml:space="preserve">mehānisma ieviešanas scenārijs </w:t>
      </w:r>
    </w:p>
    <w:p w:rsidR="00E64DB4" w:rsidRDefault="00E64DB4" w:rsidP="00E665E3">
      <w:pPr>
        <w:ind w:firstLine="709"/>
        <w:jc w:val="both"/>
      </w:pPr>
    </w:p>
    <w:p w:rsidR="00772B46" w:rsidRDefault="00772B46" w:rsidP="00E665E3">
      <w:pPr>
        <w:ind w:firstLine="709"/>
        <w:jc w:val="both"/>
      </w:pPr>
      <w:r w:rsidRPr="00D57F5F">
        <w:t>Kā jebkurš finansēšanas mehānisms arī ESKO ir iedalāms vairākos darbības posmos jeb etapos</w:t>
      </w:r>
      <w:r>
        <w:t>:</w:t>
      </w:r>
    </w:p>
    <w:p w:rsidR="00673D79" w:rsidRPr="00D57F5F" w:rsidRDefault="000B396B" w:rsidP="00E665E3">
      <w:pPr>
        <w:ind w:firstLine="709"/>
        <w:jc w:val="both"/>
      </w:pPr>
      <w:r w:rsidRPr="00D57F5F">
        <w:rPr>
          <w:i/>
        </w:rPr>
        <w:t>Pirmais etaps</w:t>
      </w:r>
      <w:r w:rsidRPr="00D57F5F">
        <w:t xml:space="preserve"> ESKO ieviešanā ir </w:t>
      </w:r>
      <w:r w:rsidRPr="00583CE2">
        <w:t>pašvaldības</w:t>
      </w:r>
      <w:r w:rsidR="007177DF" w:rsidRPr="00583CE2">
        <w:t xml:space="preserve"> </w:t>
      </w:r>
      <w:r w:rsidR="00D776EF" w:rsidRPr="00583CE2">
        <w:t xml:space="preserve">kā </w:t>
      </w:r>
      <w:r w:rsidRPr="00583CE2">
        <w:t xml:space="preserve">pašvaldības kapitālsabiedrības </w:t>
      </w:r>
      <w:r w:rsidR="00D776EF" w:rsidRPr="00583CE2">
        <w:t>daļu turētāja</w:t>
      </w:r>
      <w:r w:rsidR="00583CE2" w:rsidRPr="00583CE2">
        <w:t>,</w:t>
      </w:r>
      <w:r w:rsidR="00583CE2">
        <w:rPr>
          <w:b/>
        </w:rPr>
        <w:t xml:space="preserve"> </w:t>
      </w:r>
      <w:r w:rsidR="00583CE2" w:rsidRPr="0027540C">
        <w:t>kā arī pašvaldības kapitālsabiedrības</w:t>
      </w:r>
      <w:r w:rsidR="00D776EF">
        <w:t xml:space="preserve"> l</w:t>
      </w:r>
      <w:r w:rsidRPr="00D57F5F">
        <w:t xml:space="preserve">ēmums, </w:t>
      </w:r>
      <w:r w:rsidR="00772B46">
        <w:t>par nepieciešamību</w:t>
      </w:r>
      <w:r w:rsidRPr="00D57F5F">
        <w:t xml:space="preserve"> uzlabot </w:t>
      </w:r>
      <w:r w:rsidR="00772B46">
        <w:t xml:space="preserve">tās īpašumā </w:t>
      </w:r>
      <w:r w:rsidR="003C2E73" w:rsidRPr="0027540C">
        <w:t>vai valdījumā</w:t>
      </w:r>
      <w:r w:rsidR="003C2E73">
        <w:t xml:space="preserve"> </w:t>
      </w:r>
      <w:r w:rsidR="00772B46">
        <w:t>esošas</w:t>
      </w:r>
      <w:r w:rsidR="003C2E73">
        <w:t xml:space="preserve"> </w:t>
      </w:r>
      <w:r w:rsidR="00574D18">
        <w:t xml:space="preserve">publiskās teritorijas </w:t>
      </w:r>
      <w:r w:rsidR="003C2E73">
        <w:t>apgaismojuma</w:t>
      </w:r>
      <w:r w:rsidR="00772B46">
        <w:t xml:space="preserve"> </w:t>
      </w:r>
      <w:r w:rsidRPr="00D57F5F">
        <w:t>infrastruktūr</w:t>
      </w:r>
      <w:r w:rsidR="00772B46">
        <w:t>as tehnisko stāvokli un energoefektivitāti</w:t>
      </w:r>
      <w:r w:rsidR="00481D5C" w:rsidRPr="00D57F5F">
        <w:t xml:space="preserve">, uzlabojot </w:t>
      </w:r>
      <w:r w:rsidR="00772B46">
        <w:t xml:space="preserve">gan </w:t>
      </w:r>
      <w:r w:rsidR="00481D5C" w:rsidRPr="00D57F5F">
        <w:t>tās</w:t>
      </w:r>
      <w:r w:rsidRPr="00D57F5F">
        <w:t xml:space="preserve"> </w:t>
      </w:r>
      <w:r w:rsidR="002D4846">
        <w:t>energoefektivitāti</w:t>
      </w:r>
      <w:r w:rsidR="00772B46">
        <w:t xml:space="preserve"> gan</w:t>
      </w:r>
      <w:r w:rsidR="002D4846">
        <w:t>,</w:t>
      </w:r>
      <w:r w:rsidR="00481D5C" w:rsidRPr="00D57F5F">
        <w:t xml:space="preserve"> samazinot kaitīgos izmešus</w:t>
      </w:r>
      <w:r w:rsidR="00772B46">
        <w:t xml:space="preserve"> atmosfērā. Pieņemot šādu lēmumu ierobežota finansējuma apstākļos</w:t>
      </w:r>
      <w:r w:rsidR="009A00D1">
        <w:t>, lēmuma pieņēmējs nolemj plānoto pasākumu īstenošanā</w:t>
      </w:r>
      <w:r w:rsidR="00481D5C" w:rsidRPr="00D57F5F">
        <w:t xml:space="preserve"> </w:t>
      </w:r>
      <w:r w:rsidRPr="00D57F5F">
        <w:t>piesaist</w:t>
      </w:r>
      <w:r w:rsidR="00481D5C" w:rsidRPr="00D57F5F">
        <w:t>ī</w:t>
      </w:r>
      <w:r w:rsidRPr="00D57F5F">
        <w:t xml:space="preserve">t ESKO </w:t>
      </w:r>
      <w:r w:rsidR="00462D91" w:rsidRPr="00D57F5F">
        <w:t>uzņēmumu</w:t>
      </w:r>
      <w:r w:rsidRPr="00D57F5F">
        <w:t xml:space="preserve">. </w:t>
      </w:r>
      <w:r w:rsidR="00EF41A4" w:rsidRPr="00D57F5F">
        <w:t xml:space="preserve">VIF loma </w:t>
      </w:r>
      <w:r w:rsidR="009A00D1">
        <w:t>pirmajā</w:t>
      </w:r>
      <w:r w:rsidR="009A00D1" w:rsidRPr="00D57F5F">
        <w:t xml:space="preserve"> </w:t>
      </w:r>
      <w:r w:rsidR="00EF41A4" w:rsidRPr="00D57F5F">
        <w:t xml:space="preserve">etapā ir minimāla, ja neskaita </w:t>
      </w:r>
      <w:r w:rsidR="009A00D1">
        <w:t xml:space="preserve">sniegto </w:t>
      </w:r>
      <w:r w:rsidR="00EF41A4" w:rsidRPr="00D57F5F">
        <w:t>publi</w:t>
      </w:r>
      <w:r w:rsidR="009A00D1">
        <w:t>citāti</w:t>
      </w:r>
      <w:r w:rsidR="00EF41A4" w:rsidRPr="00D57F5F">
        <w:t xml:space="preserve"> </w:t>
      </w:r>
      <w:r w:rsidR="009A00D1">
        <w:t>VIF</w:t>
      </w:r>
      <w:r w:rsidR="00EF41A4" w:rsidRPr="00D57F5F">
        <w:t xml:space="preserve"> </w:t>
      </w:r>
      <w:r w:rsidR="009A00D1">
        <w:t>tīmekļa vietnē</w:t>
      </w:r>
      <w:r w:rsidR="00EF41A4" w:rsidRPr="00D57F5F">
        <w:t xml:space="preserve"> par ESKO principiem, to piemērošanas kārtību un </w:t>
      </w:r>
      <w:r w:rsidR="009A00D1">
        <w:t>citiem ieviešanas aspektiem</w:t>
      </w:r>
      <w:r w:rsidR="00EF41A4" w:rsidRPr="00D57F5F">
        <w:t>.</w:t>
      </w:r>
    </w:p>
    <w:p w:rsidR="0096315A" w:rsidRPr="00D57F5F" w:rsidRDefault="0069769F" w:rsidP="009A00D1">
      <w:pPr>
        <w:ind w:firstLine="709"/>
        <w:jc w:val="both"/>
      </w:pPr>
      <w:r w:rsidRPr="00D57F5F">
        <w:rPr>
          <w:i/>
        </w:rPr>
        <w:t>Otr</w:t>
      </w:r>
      <w:r w:rsidR="009A00D1">
        <w:rPr>
          <w:i/>
        </w:rPr>
        <w:t>ajā</w:t>
      </w:r>
      <w:r w:rsidRPr="00D57F5F">
        <w:rPr>
          <w:i/>
        </w:rPr>
        <w:t xml:space="preserve"> etap</w:t>
      </w:r>
      <w:r w:rsidR="009A00D1">
        <w:rPr>
          <w:i/>
        </w:rPr>
        <w:t>ā</w:t>
      </w:r>
      <w:r w:rsidRPr="00D57F5F">
        <w:t xml:space="preserve"> </w:t>
      </w:r>
      <w:r w:rsidR="009A00D1">
        <w:t>tiek veikta sadarbības</w:t>
      </w:r>
      <w:r w:rsidR="009A00D1" w:rsidRPr="00D57F5F">
        <w:t xml:space="preserve"> </w:t>
      </w:r>
      <w:r w:rsidR="006F0831" w:rsidRPr="00D57F5F">
        <w:t>līguma noslēgšana</w:t>
      </w:r>
      <w:r w:rsidR="0096315A" w:rsidRPr="00D57F5F">
        <w:t xml:space="preserve"> </w:t>
      </w:r>
      <w:r w:rsidR="0096315A" w:rsidRPr="00C41739">
        <w:t xml:space="preserve">starp </w:t>
      </w:r>
      <w:r w:rsidR="007177DF" w:rsidRPr="00C41739">
        <w:t xml:space="preserve">pašvaldības </w:t>
      </w:r>
      <w:r w:rsidR="0096315A" w:rsidRPr="00C41739">
        <w:t>kapitālsabiedrību</w:t>
      </w:r>
      <w:r w:rsidR="009A00D1" w:rsidRPr="00C41739">
        <w:t xml:space="preserve"> </w:t>
      </w:r>
      <w:r w:rsidR="0096315A" w:rsidRPr="00C41739">
        <w:t>un VIF</w:t>
      </w:r>
      <w:r w:rsidR="0096315A" w:rsidRPr="00D57F5F">
        <w:t xml:space="preserve"> par</w:t>
      </w:r>
      <w:r w:rsidR="009A00D1">
        <w:t xml:space="preserve"> turpmāko</w:t>
      </w:r>
      <w:r w:rsidR="0096315A" w:rsidRPr="00D57F5F">
        <w:t xml:space="preserve"> sadarbību ESKO projekta ieviešanā. VIF </w:t>
      </w:r>
      <w:r w:rsidR="001956FC">
        <w:t>uzdevums</w:t>
      </w:r>
      <w:r w:rsidR="001956FC" w:rsidRPr="00D57F5F">
        <w:t xml:space="preserve"> </w:t>
      </w:r>
      <w:r w:rsidR="001956FC">
        <w:t>šajā ESKO mehānisma posmā ir</w:t>
      </w:r>
      <w:r w:rsidR="00D67ABC">
        <w:t xml:space="preserve"> sadarboties ar pašvaldības kapitālsabiedrību</w:t>
      </w:r>
      <w:r w:rsidR="0096315A" w:rsidRPr="00E456BD">
        <w:t>,</w:t>
      </w:r>
      <w:r w:rsidR="0096315A" w:rsidRPr="00D57F5F">
        <w:t xml:space="preserve"> lai nodrošinātu sekmīgu ESKO iepirkumu, kas ir </w:t>
      </w:r>
      <w:r w:rsidR="001956FC">
        <w:t xml:space="preserve">būtisks </w:t>
      </w:r>
      <w:r w:rsidR="0096315A" w:rsidRPr="00D57F5F">
        <w:t>pamats sekmīgai sadarbībai</w:t>
      </w:r>
      <w:r w:rsidR="001956FC">
        <w:t>, kā arī</w:t>
      </w:r>
      <w:r w:rsidR="0096315A" w:rsidRPr="00D57F5F">
        <w:t xml:space="preserve"> </w:t>
      </w:r>
      <w:r w:rsidR="001956FC">
        <w:t>nodrošinātu, ka</w:t>
      </w:r>
      <w:r w:rsidR="001956FC" w:rsidRPr="00D57F5F">
        <w:t xml:space="preserve"> </w:t>
      </w:r>
      <w:r w:rsidR="0096315A" w:rsidRPr="00D57F5F">
        <w:t>ti</w:t>
      </w:r>
      <w:r w:rsidR="001956FC">
        <w:t>ek</w:t>
      </w:r>
      <w:r w:rsidR="0096315A" w:rsidRPr="00D57F5F">
        <w:t xml:space="preserve"> </w:t>
      </w:r>
      <w:r w:rsidR="001956FC">
        <w:t>veikta svarīgāko aspektu ievērošana augstas energoefektivitātes nodrošināšanai projekta ietvaros, palīdzot projekta īstenotājam atbildēt uz jautājumiem</w:t>
      </w:r>
      <w:r w:rsidR="0096315A" w:rsidRPr="00D57F5F">
        <w:t>:</w:t>
      </w:r>
    </w:p>
    <w:p w:rsidR="0096315A" w:rsidRPr="00D57F5F" w:rsidRDefault="0096315A" w:rsidP="0096315A">
      <w:pPr>
        <w:pStyle w:val="ListParagraph"/>
        <w:numPr>
          <w:ilvl w:val="0"/>
          <w:numId w:val="2"/>
        </w:numPr>
        <w:jc w:val="both"/>
      </w:pPr>
      <w:r w:rsidRPr="00D57F5F">
        <w:t xml:space="preserve">Vai ir veikts kvalitatīvs </w:t>
      </w:r>
      <w:proofErr w:type="spellStart"/>
      <w:r w:rsidRPr="00D57F5F">
        <w:t>energoaudits</w:t>
      </w:r>
      <w:proofErr w:type="spellEnd"/>
      <w:r w:rsidRPr="00D57F5F">
        <w:t xml:space="preserve">? </w:t>
      </w:r>
    </w:p>
    <w:p w:rsidR="0096315A" w:rsidRPr="00D57F5F" w:rsidRDefault="0096315A" w:rsidP="0096315A">
      <w:pPr>
        <w:pStyle w:val="ListParagraph"/>
        <w:numPr>
          <w:ilvl w:val="0"/>
          <w:numId w:val="2"/>
        </w:numPr>
        <w:jc w:val="both"/>
      </w:pPr>
      <w:r w:rsidRPr="00D57F5F">
        <w:t>Kādi ir vēlamie energoefektivitātes uzlabošanas pasākumi konkrēt</w:t>
      </w:r>
      <w:r w:rsidR="001956FC">
        <w:t>aj</w:t>
      </w:r>
      <w:r w:rsidRPr="00D57F5F">
        <w:t xml:space="preserve">os objektos? </w:t>
      </w:r>
    </w:p>
    <w:p w:rsidR="0096315A" w:rsidRPr="00D57F5F" w:rsidRDefault="0096315A" w:rsidP="0096315A">
      <w:pPr>
        <w:pStyle w:val="ListParagraph"/>
        <w:numPr>
          <w:ilvl w:val="0"/>
          <w:numId w:val="2"/>
        </w:numPr>
        <w:jc w:val="both"/>
      </w:pPr>
      <w:r w:rsidRPr="00D57F5F">
        <w:t xml:space="preserve">Kādas ietaupījuma un citas garantijas var </w:t>
      </w:r>
      <w:r w:rsidR="001956FC">
        <w:t xml:space="preserve">tikt </w:t>
      </w:r>
      <w:r w:rsidRPr="00D57F5F">
        <w:t>pieprasīt</w:t>
      </w:r>
      <w:r w:rsidR="001956FC">
        <w:t>as</w:t>
      </w:r>
      <w:r w:rsidRPr="00D57F5F">
        <w:t xml:space="preserve"> no ESKO</w:t>
      </w:r>
      <w:r w:rsidR="001956FC">
        <w:t xml:space="preserve"> projekta īstenotāja risku mazināšanai</w:t>
      </w:r>
      <w:r w:rsidRPr="00D57F5F">
        <w:t xml:space="preserve">? </w:t>
      </w:r>
    </w:p>
    <w:p w:rsidR="0096315A" w:rsidRPr="00D57F5F" w:rsidRDefault="0096315A" w:rsidP="0096315A">
      <w:pPr>
        <w:pStyle w:val="ListParagraph"/>
        <w:numPr>
          <w:ilvl w:val="0"/>
          <w:numId w:val="2"/>
        </w:numPr>
        <w:jc w:val="both"/>
      </w:pPr>
      <w:r w:rsidRPr="00D57F5F">
        <w:t xml:space="preserve">Kāda veida motivācija var tikt piedāvāta </w:t>
      </w:r>
      <w:r w:rsidR="00D67ABC">
        <w:t>projekta īstenotāja</w:t>
      </w:r>
      <w:r w:rsidRPr="00D57F5F">
        <w:t xml:space="preserve"> darbiniekiem iesaistīties enerģijas taupīšanas projektā?</w:t>
      </w:r>
    </w:p>
    <w:p w:rsidR="0096315A" w:rsidRPr="00D57F5F" w:rsidRDefault="006F0831" w:rsidP="00E665E3">
      <w:pPr>
        <w:ind w:firstLine="709"/>
        <w:jc w:val="both"/>
      </w:pPr>
      <w:r w:rsidRPr="00D57F5F">
        <w:t xml:space="preserve">Šajā etapā VIF </w:t>
      </w:r>
      <w:r w:rsidR="00EE4267">
        <w:t>sniedz</w:t>
      </w:r>
      <w:r w:rsidR="00EE4267" w:rsidRPr="00D57F5F">
        <w:t xml:space="preserve"> </w:t>
      </w:r>
      <w:r w:rsidRPr="00D57F5F">
        <w:t>pašvaldības kapitālsabiedrībai</w:t>
      </w:r>
      <w:r w:rsidR="00EE4267">
        <w:t xml:space="preserve"> konsultatīvo atbalstu </w:t>
      </w:r>
      <w:r w:rsidRPr="00D57F5F">
        <w:t>esošā</w:t>
      </w:r>
      <w:r w:rsidR="00EE4267">
        <w:t xml:space="preserve">s infrastruktūras </w:t>
      </w:r>
      <w:proofErr w:type="spellStart"/>
      <w:r w:rsidRPr="00D57F5F">
        <w:t>energostāvokļa</w:t>
      </w:r>
      <w:proofErr w:type="spellEnd"/>
      <w:r w:rsidRPr="00D57F5F">
        <w:t xml:space="preserve"> novērtēšan</w:t>
      </w:r>
      <w:r w:rsidR="00EE4267">
        <w:t>ai</w:t>
      </w:r>
      <w:r w:rsidRPr="00D57F5F">
        <w:t>, sasniedzamo rezultātu definēšan</w:t>
      </w:r>
      <w:r w:rsidR="00EE4267">
        <w:t>ai</w:t>
      </w:r>
      <w:r w:rsidRPr="00D57F5F">
        <w:t xml:space="preserve"> un iepirkuma dokumentācijas izstrād</w:t>
      </w:r>
      <w:r w:rsidR="00EE4267">
        <w:t>ei</w:t>
      </w:r>
      <w:r w:rsidRPr="00D57F5F">
        <w:t xml:space="preserve">. </w:t>
      </w:r>
      <w:r w:rsidR="0096315A" w:rsidRPr="00D57F5F">
        <w:t xml:space="preserve">VIF </w:t>
      </w:r>
      <w:r w:rsidR="00EE4267">
        <w:t>konsultatīvais atbalsts paredz ne tikai sniegt atbildes uz dažādiem projekta īstenotāja jautājumiem</w:t>
      </w:r>
      <w:r w:rsidR="0096315A" w:rsidRPr="00D57F5F">
        <w:t>, bet piedāvātu arī jau izstrādātus</w:t>
      </w:r>
      <w:r w:rsidR="00DF510E">
        <w:t>, standartizētu</w:t>
      </w:r>
      <w:r w:rsidR="0096315A" w:rsidRPr="00D57F5F">
        <w:t xml:space="preserve"> iepirkuma dokumentācijas un līgum</w:t>
      </w:r>
      <w:r w:rsidR="00DF510E">
        <w:t>u</w:t>
      </w:r>
      <w:r w:rsidR="0096315A" w:rsidRPr="00D57F5F">
        <w:t xml:space="preserve"> paraugus. Viens no iepirkuma</w:t>
      </w:r>
      <w:r w:rsidR="00DF510E">
        <w:t xml:space="preserve"> nosacījumos iekļautajiem</w:t>
      </w:r>
      <w:r w:rsidR="0096315A" w:rsidRPr="00D57F5F">
        <w:t xml:space="preserve"> punktiem būtu</w:t>
      </w:r>
      <w:r w:rsidR="00DF510E">
        <w:t xml:space="preserve"> arī nosacījums</w:t>
      </w:r>
      <w:r w:rsidR="0096315A" w:rsidRPr="00D57F5F">
        <w:t>, ka VIF</w:t>
      </w:r>
      <w:r w:rsidR="00DF510E">
        <w:t>, plānoto rezultātu sasniegšanas gadījumā,</w:t>
      </w:r>
      <w:r w:rsidR="0096315A" w:rsidRPr="00D57F5F">
        <w:t xml:space="preserve"> nodrošina </w:t>
      </w:r>
      <w:proofErr w:type="spellStart"/>
      <w:r w:rsidR="0096315A" w:rsidRPr="00D57F5F">
        <w:t>forfaitingu</w:t>
      </w:r>
      <w:proofErr w:type="spellEnd"/>
      <w:r w:rsidR="0096315A" w:rsidRPr="00D57F5F">
        <w:t xml:space="preserve"> ESKO uzņēmumam – </w:t>
      </w:r>
      <w:r w:rsidR="00DF510E">
        <w:t>jeb</w:t>
      </w:r>
      <w:r w:rsidR="0096315A" w:rsidRPr="00D57F5F">
        <w:t xml:space="preserve"> nākotnes naudas plūsmas nopirkšanu (skatīt 1. shēmu {6}).</w:t>
      </w:r>
    </w:p>
    <w:p w:rsidR="000B396B" w:rsidRPr="00D57F5F" w:rsidRDefault="0096315A" w:rsidP="004460FD">
      <w:pPr>
        <w:ind w:firstLine="709"/>
        <w:jc w:val="both"/>
      </w:pPr>
      <w:r w:rsidRPr="00D57F5F">
        <w:rPr>
          <w:i/>
        </w:rPr>
        <w:t>Trešais</w:t>
      </w:r>
      <w:r w:rsidR="000B396B" w:rsidRPr="00D57F5F">
        <w:rPr>
          <w:i/>
        </w:rPr>
        <w:t xml:space="preserve"> etaps</w:t>
      </w:r>
      <w:r w:rsidR="000B396B" w:rsidRPr="00D57F5F">
        <w:t xml:space="preserve"> </w:t>
      </w:r>
      <w:r w:rsidR="00DF510E">
        <w:t>-</w:t>
      </w:r>
      <w:r w:rsidR="00DF510E" w:rsidRPr="00D57F5F">
        <w:t xml:space="preserve"> </w:t>
      </w:r>
      <w:r w:rsidR="000B396B" w:rsidRPr="00D57F5F">
        <w:t>iepirkuma izsludināšana</w:t>
      </w:r>
      <w:r w:rsidR="00EF41A4" w:rsidRPr="00D57F5F">
        <w:t xml:space="preserve"> un izvērtēšana</w:t>
      </w:r>
      <w:r w:rsidR="000B396B" w:rsidRPr="00D57F5F">
        <w:t xml:space="preserve">. </w:t>
      </w:r>
      <w:r w:rsidR="00DF510E">
        <w:t>Jau šobrīd Publiskā iepirkuma likuma</w:t>
      </w:r>
      <w:r w:rsidR="00DF510E" w:rsidRPr="00D57F5F">
        <w:t xml:space="preserve"> </w:t>
      </w:r>
      <w:proofErr w:type="gramStart"/>
      <w:r w:rsidR="000B396B" w:rsidRPr="00D57F5F">
        <w:t>67.pants</w:t>
      </w:r>
      <w:proofErr w:type="gramEnd"/>
      <w:r w:rsidR="000B396B" w:rsidRPr="00D57F5F">
        <w:t xml:space="preserve"> dod tiesības pasūtītājam slēgt iepirkuma līgumu uz laiku, kas ilgāks par 5 gadiem, ja šāds termiņš ir būtiski nepieciešams līguma izpildes nodrošināšanai ar līguma priekšmetu tieši saistītu tehnisku vai ekonomisku apstākļu dēļ. </w:t>
      </w:r>
      <w:r w:rsidR="00DF510E">
        <w:t>Minētajā</w:t>
      </w:r>
      <w:r w:rsidR="00DF510E" w:rsidRPr="00D57F5F">
        <w:t xml:space="preserve"> </w:t>
      </w:r>
      <w:r w:rsidR="000B396B" w:rsidRPr="00D57F5F">
        <w:t xml:space="preserve">gadījumā pirms iepirkuma uzsākšanas pasūtītājam, kas ir tiešās pārvaldes iestāde, nepieciešams saņemt Ministru kabineta atļauju, bet pasūtītājam, kas ir pastarpinātās pārvaldes iestāde, </w:t>
      </w:r>
      <w:r w:rsidR="000B396B" w:rsidRPr="00D57F5F">
        <w:rPr>
          <w:color w:val="000000"/>
        </w:rPr>
        <w:t>–</w:t>
      </w:r>
      <w:r w:rsidR="000B396B" w:rsidRPr="00D57F5F">
        <w:t xml:space="preserve"> attiecīgās atvasinātās publiskās personas orgā</w:t>
      </w:r>
      <w:r w:rsidR="00D67ABC">
        <w:t>na atļauju. Tādējādi pašvaldībās</w:t>
      </w:r>
      <w:r w:rsidR="000B396B" w:rsidRPr="00D57F5F">
        <w:t xml:space="preserve"> šādu ilgtermiņa līgumu slēgšana ir tehniski vieglāk īstenojama</w:t>
      </w:r>
      <w:r w:rsidR="00DF510E">
        <w:t xml:space="preserve">. Ņemot vērā minēto, secināms, ka </w:t>
      </w:r>
      <w:r w:rsidR="000B396B" w:rsidRPr="00D57F5F">
        <w:t>esoš</w:t>
      </w:r>
      <w:r w:rsidR="004460FD">
        <w:t>ais</w:t>
      </w:r>
      <w:r w:rsidR="000B396B" w:rsidRPr="00D57F5F">
        <w:t xml:space="preserve"> iepirkumu</w:t>
      </w:r>
      <w:r w:rsidR="00DF510E">
        <w:t xml:space="preserve"> jom</w:t>
      </w:r>
      <w:r w:rsidR="004460FD">
        <w:t>as</w:t>
      </w:r>
      <w:r w:rsidR="00DF510E">
        <w:t xml:space="preserve"> </w:t>
      </w:r>
      <w:r w:rsidR="004460FD">
        <w:t>normatīvais regulējums</w:t>
      </w:r>
      <w:r w:rsidR="00D67ABC">
        <w:t xml:space="preserve"> ļauj pašvaldīb</w:t>
      </w:r>
      <w:r w:rsidR="006E5CB3">
        <w:t>u</w:t>
      </w:r>
      <w:r w:rsidR="00D67ABC">
        <w:t xml:space="preserve"> kapitālsabiedrībām</w:t>
      </w:r>
      <w:r w:rsidR="000B396B" w:rsidRPr="00D57F5F">
        <w:t xml:space="preserve"> piesaistīt ESKO uzņēmumu kopīga projekta īstenošanai. Ņemot vērā, ka ESKO projekts vienmēr sastāv no dažādām komponentēm (inženiertehniskie pakalpojumi, būvniecība un montāža, finanšu pakalpojumi, apsaimniekošanas pakalpojumi), ir </w:t>
      </w:r>
      <w:r w:rsidR="004460FD">
        <w:t>būtiski</w:t>
      </w:r>
      <w:r w:rsidR="004460FD" w:rsidRPr="00D57F5F">
        <w:t xml:space="preserve"> </w:t>
      </w:r>
      <w:r w:rsidR="000B396B" w:rsidRPr="00D57F5F">
        <w:t>traktēt ESKO publisko iepirkumu kā pakalpojuma iepirkumu. Atbilstoši Publisko iepirkumu likuma 2.pielikumam (Pakalpojumu līgumu nomenklatūra), šo pakalpojumu var traktēt gan kā integrēto inženiertehnisko pakalpojumu (12.sadaļa), vai arī kā ēku apkopes un īpašuma apsaimniekošanas pakalpojumu (14.sadaļa). Šāds traktējums ir iespējams</w:t>
      </w:r>
      <w:r w:rsidR="004460FD">
        <w:t xml:space="preserve">, jo </w:t>
      </w:r>
      <w:r w:rsidR="000B396B" w:rsidRPr="00D57F5F">
        <w:t xml:space="preserve">ESKO projekta un attiecīgi arī ESKO iepirkuma mērķis nav, piemēram, pasūtīt konkrēta veida būvdarbus, bet gan samazināt enerģijas patēriņu un nodrošināt labākus iekštelpu klimata rādītājus konkrētos objektos. </w:t>
      </w:r>
    </w:p>
    <w:p w:rsidR="006F0831" w:rsidRPr="00D57F5F" w:rsidRDefault="004460FD" w:rsidP="00E665E3">
      <w:pPr>
        <w:ind w:firstLine="709"/>
        <w:jc w:val="both"/>
      </w:pPr>
      <w:r>
        <w:t>Ņemot vērā, ka šāda veida iepirkums</w:t>
      </w:r>
      <w:r w:rsidR="00EF41A4" w:rsidRPr="00D57F5F">
        <w:t xml:space="preserve"> ir publiskais iepirkums, tad piedāvājum</w:t>
      </w:r>
      <w:r w:rsidR="00FA65FD" w:rsidRPr="00D57F5F">
        <w:t>us</w:t>
      </w:r>
      <w:r w:rsidR="00EF41A4" w:rsidRPr="00D57F5F">
        <w:t xml:space="preserve"> var </w:t>
      </w:r>
      <w:r w:rsidR="00FA65FD" w:rsidRPr="00D57F5F">
        <w:t>iesniegt</w:t>
      </w:r>
      <w:r w:rsidR="00EF41A4" w:rsidRPr="00D57F5F">
        <w:t xml:space="preserve"> ikviena komercsabiedrība</w:t>
      </w:r>
      <w:r w:rsidR="00FA65FD" w:rsidRPr="00D57F5F">
        <w:t>, kurai ir kapacitāte realizēt ESKO projektu</w:t>
      </w:r>
      <w:r>
        <w:t xml:space="preserve">, </w:t>
      </w:r>
      <w:r w:rsidR="003D1921">
        <w:t>papildus</w:t>
      </w:r>
      <w:r>
        <w:t xml:space="preserve"> nodrošin</w:t>
      </w:r>
      <w:r w:rsidR="003D1921">
        <w:t>ot</w:t>
      </w:r>
      <w:r>
        <w:t xml:space="preserve"> vislabāko </w:t>
      </w:r>
      <w:r>
        <w:lastRenderedPageBreak/>
        <w:t>izmaksu-rezultātu attiecību projekta realizācijā</w:t>
      </w:r>
      <w:r w:rsidR="00FA65FD" w:rsidRPr="00D57F5F">
        <w:t>.</w:t>
      </w:r>
      <w:r w:rsidR="00EF41A4" w:rsidRPr="00D57F5F">
        <w:t xml:space="preserve"> </w:t>
      </w:r>
      <w:r w:rsidR="006F0831" w:rsidRPr="00D57F5F">
        <w:t>Šajā etapā VIF neiesaistās un to neietekmē, tādejādi nodrošinot, ka realizētie pasākumi nav selektīvi un neveidoj</w:t>
      </w:r>
      <w:r w:rsidR="003D1921">
        <w:t>a</w:t>
      </w:r>
      <w:r w:rsidR="006F0831" w:rsidRPr="00D57F5F">
        <w:t>s komercdarbības atbalsts.</w:t>
      </w:r>
    </w:p>
    <w:p w:rsidR="002D01E3" w:rsidRPr="00D57F5F" w:rsidRDefault="006F0831" w:rsidP="00E665E3">
      <w:pPr>
        <w:ind w:firstLine="709"/>
        <w:jc w:val="both"/>
      </w:pPr>
      <w:r w:rsidRPr="00D57F5F">
        <w:rPr>
          <w:i/>
        </w:rPr>
        <w:t>Ceturtais</w:t>
      </w:r>
      <w:r w:rsidR="00FA65FD" w:rsidRPr="00D57F5F">
        <w:rPr>
          <w:i/>
        </w:rPr>
        <w:t xml:space="preserve"> etaps</w:t>
      </w:r>
      <w:r w:rsidR="009F4B4B">
        <w:t xml:space="preserve"> ir ESKO ieviešana. P</w:t>
      </w:r>
      <w:r w:rsidR="00FA65FD" w:rsidRPr="00D57F5F">
        <w:t>ašvaldības kapitālsabiedrība</w:t>
      </w:r>
      <w:r w:rsidR="003D1921">
        <w:t xml:space="preserve"> </w:t>
      </w:r>
      <w:r w:rsidR="00FA65FD" w:rsidRPr="00D57F5F">
        <w:t xml:space="preserve">noslēdz </w:t>
      </w:r>
      <w:r w:rsidR="0069769F" w:rsidRPr="00D57F5F">
        <w:t xml:space="preserve">trīspusējo </w:t>
      </w:r>
      <w:r w:rsidR="00FA65FD" w:rsidRPr="00D57F5F">
        <w:t xml:space="preserve">līgumu ar ESKO </w:t>
      </w:r>
      <w:r w:rsidR="008D7F34" w:rsidRPr="00D57F5F">
        <w:t>uzņēmumu</w:t>
      </w:r>
      <w:r w:rsidR="003D1921">
        <w:t xml:space="preserve"> un VIF par projekta ieviešanu,</w:t>
      </w:r>
      <w:r w:rsidR="00FA65FD" w:rsidRPr="00D57F5F">
        <w:t xml:space="preserve"> pamatojoties uz publiskā iepirkuma rezultātiem</w:t>
      </w:r>
      <w:r w:rsidR="009F4B4B">
        <w:t>, un ESKO uzņēmums uzsāk</w:t>
      </w:r>
      <w:r w:rsidR="00FA65FD" w:rsidRPr="00D57F5F">
        <w:t xml:space="preserve"> realizēt</w:t>
      </w:r>
      <w:r w:rsidR="003D1921">
        <w:t xml:space="preserve"> iepirkumā paredzētos</w:t>
      </w:r>
      <w:r w:rsidR="00FA65FD" w:rsidRPr="00D57F5F">
        <w:t xml:space="preserve"> energoefektivitātes paaugstināšanas pasākumus</w:t>
      </w:r>
      <w:r w:rsidR="002D01E3" w:rsidRPr="00D57F5F">
        <w:t xml:space="preserve"> (1.shēma {2})</w:t>
      </w:r>
      <w:r w:rsidR="00FA65FD" w:rsidRPr="00D57F5F">
        <w:t xml:space="preserve">. </w:t>
      </w:r>
      <w:r w:rsidR="002D01E3" w:rsidRPr="00D57F5F">
        <w:t xml:space="preserve">Šajā etapā ESKO </w:t>
      </w:r>
      <w:r w:rsidR="00462D91" w:rsidRPr="00D57F5F">
        <w:t>uzņēmums</w:t>
      </w:r>
      <w:r w:rsidR="002D01E3" w:rsidRPr="00D57F5F">
        <w:t xml:space="preserve"> izmanto savus finanšu resursus vai</w:t>
      </w:r>
      <w:r w:rsidR="003D1921">
        <w:t xml:space="preserve"> tā piesaistītus</w:t>
      </w:r>
      <w:r w:rsidR="002D01E3" w:rsidRPr="00D57F5F">
        <w:t xml:space="preserve"> īstermiņa kredīta resursus</w:t>
      </w:r>
      <w:r w:rsidR="00260B13">
        <w:t xml:space="preserve"> (piemēram, komercbankās) </w:t>
      </w:r>
      <w:r w:rsidR="002D01E3" w:rsidRPr="00D57F5F">
        <w:t>(1. shēma {1})</w:t>
      </w:r>
      <w:r w:rsidR="00260B13">
        <w:t xml:space="preserve"> projekta būvdarbu veikšanai</w:t>
      </w:r>
      <w:r w:rsidR="002D01E3" w:rsidRPr="00D57F5F">
        <w:t xml:space="preserve">. Saskaņā ar ESKO līgumu, </w:t>
      </w:r>
      <w:r w:rsidR="002D01E3" w:rsidRPr="009A0B55">
        <w:t>pašvaldības kapitālsabiedrība</w:t>
      </w:r>
      <w:r w:rsidR="00260B13" w:rsidRPr="005572E2">
        <w:t>,</w:t>
      </w:r>
      <w:r w:rsidR="00260B13">
        <w:t xml:space="preserve"> pēc projekta aktivitāšu īstenošanas</w:t>
      </w:r>
      <w:r w:rsidR="002D01E3" w:rsidRPr="00D57F5F">
        <w:t xml:space="preserve"> sāk </w:t>
      </w:r>
      <w:r w:rsidR="00260B13">
        <w:t xml:space="preserve">veikt </w:t>
      </w:r>
      <w:r w:rsidR="00260B13" w:rsidRPr="0010066E">
        <w:t xml:space="preserve">regulārus </w:t>
      </w:r>
      <w:r w:rsidR="002D01E3" w:rsidRPr="00D57F5F">
        <w:t>maksā</w:t>
      </w:r>
      <w:r w:rsidR="00260B13">
        <w:t>jumus</w:t>
      </w:r>
      <w:r w:rsidR="002D01E3" w:rsidRPr="00D57F5F">
        <w:t xml:space="preserve"> ESKO </w:t>
      </w:r>
      <w:r w:rsidR="00462D91" w:rsidRPr="00D57F5F">
        <w:t>uzņēmumam</w:t>
      </w:r>
      <w:r w:rsidR="002D01E3" w:rsidRPr="00D57F5F">
        <w:t xml:space="preserve"> par energoefektivitātes pasākumu ieviešanu</w:t>
      </w:r>
      <w:r w:rsidR="00260B13">
        <w:t xml:space="preserve"> atbilstoši plānotajam energoefektivitātes apjomam</w:t>
      </w:r>
      <w:r w:rsidR="002D01E3" w:rsidRPr="00D57F5F">
        <w:t xml:space="preserve">. </w:t>
      </w:r>
    </w:p>
    <w:p w:rsidR="002D01E3" w:rsidRPr="00D57F5F" w:rsidRDefault="006F0831" w:rsidP="00E665E3">
      <w:pPr>
        <w:ind w:firstLine="709"/>
        <w:jc w:val="both"/>
      </w:pPr>
      <w:r w:rsidRPr="00D57F5F">
        <w:rPr>
          <w:i/>
        </w:rPr>
        <w:t>Piektais</w:t>
      </w:r>
      <w:r w:rsidR="002D01E3" w:rsidRPr="00D57F5F">
        <w:rPr>
          <w:i/>
        </w:rPr>
        <w:t xml:space="preserve"> etaps</w:t>
      </w:r>
      <w:r w:rsidR="002D01E3" w:rsidRPr="00D57F5F">
        <w:t xml:space="preserve"> ir ESKO finansēšana. </w:t>
      </w:r>
      <w:r w:rsidR="00747E8B" w:rsidRPr="00D57F5F">
        <w:t xml:space="preserve">ESKO </w:t>
      </w:r>
      <w:r w:rsidR="00462D91" w:rsidRPr="00D57F5F">
        <w:t>uzņēmums</w:t>
      </w:r>
      <w:r w:rsidR="00747E8B" w:rsidRPr="00D57F5F">
        <w:t xml:space="preserve"> var visa līguma laikā nepiesaistīt papildus finansējumu, taču, j</w:t>
      </w:r>
      <w:r w:rsidR="002D01E3" w:rsidRPr="00D57F5F">
        <w:t xml:space="preserve">a ESKO </w:t>
      </w:r>
      <w:r w:rsidR="00462D91" w:rsidRPr="00D57F5F">
        <w:t>uzņēmums</w:t>
      </w:r>
      <w:r w:rsidR="002D01E3" w:rsidRPr="00D57F5F">
        <w:t xml:space="preserve"> nolemj, ka ir nepieciešams piesaistīt papildus finansējumu, tad ESKO shēmā aktīvi iesaistās VIF. Pirmais solis </w:t>
      </w:r>
      <w:r w:rsidR="00260B13">
        <w:t>šajā procesā ir</w:t>
      </w:r>
      <w:r w:rsidR="00260B13" w:rsidRPr="00D57F5F">
        <w:t xml:space="preserve"> </w:t>
      </w:r>
      <w:r w:rsidR="002D01E3" w:rsidRPr="00D57F5F">
        <w:t xml:space="preserve">realizēto energoefektivitātes pasākumu efektivitātes novērtēšana (1.shēma {4}). Ja </w:t>
      </w:r>
      <w:r w:rsidR="00747E8B" w:rsidRPr="00D57F5F">
        <w:rPr>
          <w:shd w:val="clear" w:color="auto" w:fill="FFFFFF" w:themeFill="background1"/>
        </w:rPr>
        <w:t xml:space="preserve">realizētie energoefektivitātes pasākumi atbilst </w:t>
      </w:r>
      <w:r w:rsidR="00747E8B" w:rsidRPr="009A0B55">
        <w:rPr>
          <w:shd w:val="clear" w:color="auto" w:fill="FFFFFF" w:themeFill="background1"/>
        </w:rPr>
        <w:t>pašvaldības kapitālsabiedrības</w:t>
      </w:r>
      <w:r w:rsidR="00260B13">
        <w:rPr>
          <w:shd w:val="clear" w:color="auto" w:fill="FFFFFF" w:themeFill="background1"/>
        </w:rPr>
        <w:t xml:space="preserve"> </w:t>
      </w:r>
      <w:r w:rsidR="00747E8B" w:rsidRPr="00D57F5F">
        <w:rPr>
          <w:shd w:val="clear" w:color="auto" w:fill="FFFFFF" w:themeFill="background1"/>
        </w:rPr>
        <w:t>iepirkumā noteiktaj</w:t>
      </w:r>
      <w:r w:rsidR="00260B13">
        <w:rPr>
          <w:shd w:val="clear" w:color="auto" w:fill="FFFFFF" w:themeFill="background1"/>
        </w:rPr>
        <w:t>ie</w:t>
      </w:r>
      <w:r w:rsidR="00747E8B" w:rsidRPr="00D57F5F">
        <w:rPr>
          <w:shd w:val="clear" w:color="auto" w:fill="FFFFFF" w:themeFill="background1"/>
        </w:rPr>
        <w:t xml:space="preserve">m, tad VIF </w:t>
      </w:r>
      <w:r w:rsidRPr="00D57F5F">
        <w:rPr>
          <w:shd w:val="clear" w:color="auto" w:fill="FFFFFF" w:themeFill="background1"/>
        </w:rPr>
        <w:t>veic</w:t>
      </w:r>
      <w:r w:rsidR="00747E8B" w:rsidRPr="00D57F5F">
        <w:rPr>
          <w:shd w:val="clear" w:color="auto" w:fill="FFFFFF" w:themeFill="background1"/>
        </w:rPr>
        <w:t xml:space="preserve"> ESKO </w:t>
      </w:r>
      <w:r w:rsidRPr="00D57F5F">
        <w:rPr>
          <w:shd w:val="clear" w:color="auto" w:fill="FFFFFF" w:themeFill="background1"/>
        </w:rPr>
        <w:t>uzņēmuma</w:t>
      </w:r>
      <w:r w:rsidR="00747E8B" w:rsidRPr="00D57F5F">
        <w:rPr>
          <w:shd w:val="clear" w:color="auto" w:fill="FFFFFF" w:themeFill="background1"/>
        </w:rPr>
        <w:t xml:space="preserve"> </w:t>
      </w:r>
      <w:proofErr w:type="spellStart"/>
      <w:r w:rsidR="00747E8B" w:rsidRPr="00D57F5F">
        <w:rPr>
          <w:shd w:val="clear" w:color="auto" w:fill="FFFFFF" w:themeFill="background1"/>
        </w:rPr>
        <w:t>forf</w:t>
      </w:r>
      <w:r w:rsidRPr="00D57F5F">
        <w:rPr>
          <w:shd w:val="clear" w:color="auto" w:fill="FFFFFF" w:themeFill="background1"/>
        </w:rPr>
        <w:t>a</w:t>
      </w:r>
      <w:r w:rsidR="00747E8B" w:rsidRPr="00D57F5F">
        <w:rPr>
          <w:shd w:val="clear" w:color="auto" w:fill="FFFFFF" w:themeFill="background1"/>
        </w:rPr>
        <w:t>itingu</w:t>
      </w:r>
      <w:proofErr w:type="spellEnd"/>
      <w:r w:rsidR="00747E8B" w:rsidRPr="00D57F5F">
        <w:rPr>
          <w:shd w:val="clear" w:color="auto" w:fill="FFFFFF" w:themeFill="background1"/>
        </w:rPr>
        <w:t xml:space="preserve"> (1.shēma {6}).</w:t>
      </w:r>
      <w:r w:rsidR="00747E8B" w:rsidRPr="00D57F5F">
        <w:t xml:space="preserve"> </w:t>
      </w:r>
      <w:proofErr w:type="spellStart"/>
      <w:r w:rsidR="00747E8B" w:rsidRPr="00D57F5F">
        <w:t>Forf</w:t>
      </w:r>
      <w:r w:rsidRPr="00D57F5F">
        <w:t>a</w:t>
      </w:r>
      <w:r w:rsidR="00747E8B" w:rsidRPr="00D57F5F">
        <w:t>itings</w:t>
      </w:r>
      <w:proofErr w:type="spellEnd"/>
      <w:r w:rsidR="00260B13">
        <w:t xml:space="preserve"> - </w:t>
      </w:r>
      <w:r w:rsidR="00747E8B" w:rsidRPr="00D57F5F">
        <w:t>ilgtermiņa projekta refinansēšana finanšu institūcijā pret nākotnes naudas plūsmas diskontētu pārdošanu</w:t>
      </w:r>
      <w:r w:rsidR="00731158">
        <w:t xml:space="preserve"> </w:t>
      </w:r>
      <w:r w:rsidR="00731158">
        <w:rPr>
          <w:shd w:val="clear" w:color="auto" w:fill="FFFFFF" w:themeFill="background1"/>
        </w:rPr>
        <w:t xml:space="preserve">(turpmāk – </w:t>
      </w:r>
      <w:proofErr w:type="spellStart"/>
      <w:r w:rsidR="00731158">
        <w:rPr>
          <w:shd w:val="clear" w:color="auto" w:fill="FFFFFF" w:themeFill="background1"/>
        </w:rPr>
        <w:t>fortfaitings</w:t>
      </w:r>
      <w:proofErr w:type="spellEnd"/>
      <w:r w:rsidR="00731158">
        <w:rPr>
          <w:shd w:val="clear" w:color="auto" w:fill="FFFFFF" w:themeFill="background1"/>
        </w:rPr>
        <w:t>)</w:t>
      </w:r>
      <w:r w:rsidR="00747E8B" w:rsidRPr="00D57F5F">
        <w:t xml:space="preserve">. Pamatojoties uz noslēgto līgumu </w:t>
      </w:r>
      <w:r w:rsidRPr="00D57F5F">
        <w:t xml:space="preserve">un </w:t>
      </w:r>
      <w:proofErr w:type="spellStart"/>
      <w:r w:rsidRPr="00D57F5F">
        <w:t>forfaitingu</w:t>
      </w:r>
      <w:proofErr w:type="spellEnd"/>
      <w:r w:rsidRPr="00D57F5F">
        <w:t xml:space="preserve"> </w:t>
      </w:r>
      <w:r w:rsidR="00747E8B" w:rsidRPr="00D57F5F">
        <w:t xml:space="preserve">ar ESKO </w:t>
      </w:r>
      <w:r w:rsidR="00462D91" w:rsidRPr="00D57F5F">
        <w:t>uzņēmumu</w:t>
      </w:r>
      <w:r w:rsidRPr="00D57F5F">
        <w:t>,</w:t>
      </w:r>
      <w:r w:rsidR="00747E8B" w:rsidRPr="00D57F5F">
        <w:t xml:space="preserve"> turpmāk </w:t>
      </w:r>
      <w:r w:rsidR="00747E8B" w:rsidRPr="009A0B55">
        <w:t>pašvaldības kapitālsabiedrība</w:t>
      </w:r>
      <w:r w:rsidR="00260B13">
        <w:t xml:space="preserve"> </w:t>
      </w:r>
      <w:r w:rsidR="00747E8B" w:rsidRPr="00D57F5F">
        <w:t>maksājumus saistībā ar ESKO līgum</w:t>
      </w:r>
      <w:r w:rsidR="00260B13">
        <w:t>ā paredzēto apjomu</w:t>
      </w:r>
      <w:r w:rsidR="00747E8B" w:rsidRPr="00D57F5F">
        <w:t xml:space="preserve"> veic VIF (1.shēma {7})</w:t>
      </w:r>
      <w:r w:rsidR="00260B13">
        <w:t xml:space="preserve">, tādējādi </w:t>
      </w:r>
      <w:r w:rsidR="009177A1">
        <w:t xml:space="preserve">ilgtermiņā atmaksājot finansējumu, ko VIF izlietojis ESKO uzņēmuma </w:t>
      </w:r>
      <w:proofErr w:type="spellStart"/>
      <w:r w:rsidR="009177A1">
        <w:t>forfaitingā</w:t>
      </w:r>
      <w:proofErr w:type="spellEnd"/>
      <w:r w:rsidR="00747E8B" w:rsidRPr="00D57F5F">
        <w:t>.</w:t>
      </w:r>
      <w:r w:rsidR="009177A1">
        <w:t xml:space="preserve"> Būtiskākā priekšrocība šajā mehānismā </w:t>
      </w:r>
      <w:r w:rsidR="00CC1AD2">
        <w:t>ir, ka projekta īstenotāja</w:t>
      </w:r>
      <w:r w:rsidR="009177A1">
        <w:t xml:space="preserve"> maksājuma apjoms nepārsniedz finansiālo ietaupījumu, ko dod veiktie energoefektivitātes pa</w:t>
      </w:r>
      <w:r w:rsidR="00C93EF7">
        <w:t>sā</w:t>
      </w:r>
      <w:r w:rsidR="009177A1">
        <w:t>kumi.</w:t>
      </w:r>
      <w:r w:rsidR="00747E8B" w:rsidRPr="00D57F5F">
        <w:t xml:space="preserve"> Rietumeiropā šād</w:t>
      </w:r>
      <w:r w:rsidR="009177A1">
        <w:t>a veida</w:t>
      </w:r>
      <w:r w:rsidR="00747E8B" w:rsidRPr="00D57F5F">
        <w:t xml:space="preserve"> pakalpojums ir izplatīts, savukārt Austrumeiropā ESKO projektiem </w:t>
      </w:r>
      <w:r w:rsidR="009177A1">
        <w:t>šādu atmaksas mehānismu</w:t>
      </w:r>
      <w:r w:rsidR="009177A1" w:rsidRPr="00D57F5F">
        <w:t xml:space="preserve"> </w:t>
      </w:r>
      <w:r w:rsidR="00747E8B" w:rsidRPr="00D57F5F">
        <w:t>piedāvā tikai īpašas institūcijas</w:t>
      </w:r>
      <w:r w:rsidR="009177A1">
        <w:t>, piemēra</w:t>
      </w:r>
      <w:r w:rsidR="00747E8B" w:rsidRPr="00D57F5F">
        <w:t xml:space="preserve"> Eiropas Rekonstrukcijas un attīstības banka (ERAB) un </w:t>
      </w:r>
      <w:r w:rsidR="009177A1">
        <w:t>atsevišķi</w:t>
      </w:r>
      <w:r w:rsidR="00747E8B" w:rsidRPr="00D57F5F">
        <w:t xml:space="preserve"> pakalpojumu sniedzēji.</w:t>
      </w:r>
      <w:r w:rsidRPr="00D57F5F">
        <w:t xml:space="preserve"> Tā kā iepirkuma dokumentācijā </w:t>
      </w:r>
      <w:r w:rsidR="00747E8B" w:rsidRPr="00D57F5F">
        <w:t xml:space="preserve">būs norādīts, ka </w:t>
      </w:r>
      <w:r w:rsidRPr="00D57F5F">
        <w:t xml:space="preserve">VIF nodrošinās </w:t>
      </w:r>
      <w:proofErr w:type="spellStart"/>
      <w:r w:rsidR="00747E8B" w:rsidRPr="00D57F5F">
        <w:t>forf</w:t>
      </w:r>
      <w:r w:rsidRPr="00D57F5F">
        <w:t>aitingu</w:t>
      </w:r>
      <w:proofErr w:type="spellEnd"/>
      <w:r w:rsidRPr="00D57F5F">
        <w:t xml:space="preserve"> izpildoties</w:t>
      </w:r>
      <w:r w:rsidR="009177A1">
        <w:t xml:space="preserve"> iepirkumā noteiktajiem energoefektivitātes</w:t>
      </w:r>
      <w:r w:rsidRPr="00D57F5F">
        <w:t xml:space="preserve"> nosacījumiem</w:t>
      </w:r>
      <w:r w:rsidR="00747E8B" w:rsidRPr="00D57F5F">
        <w:t>, tad VIF loma</w:t>
      </w:r>
      <w:r w:rsidR="009177A1">
        <w:t xml:space="preserve"> ESKO ieviešanā</w:t>
      </w:r>
      <w:r w:rsidR="00747E8B" w:rsidRPr="00D57F5F">
        <w:t xml:space="preserve"> bū</w:t>
      </w:r>
      <w:r w:rsidRPr="00D57F5F">
        <w:t>s</w:t>
      </w:r>
      <w:r w:rsidR="00747E8B" w:rsidRPr="00D57F5F">
        <w:t xml:space="preserve"> ESKO tirgus attīstīb</w:t>
      </w:r>
      <w:r w:rsidR="009177A1">
        <w:t>as veicināšana</w:t>
      </w:r>
      <w:r w:rsidR="00747E8B" w:rsidRPr="00D57F5F">
        <w:t xml:space="preserve"> un energoefektivitātes pasākumu ieviešan</w:t>
      </w:r>
      <w:r w:rsidR="009177A1">
        <w:t>a,</w:t>
      </w:r>
      <w:r w:rsidR="00747E8B" w:rsidRPr="00D57F5F">
        <w:t xml:space="preserve"> garantējot </w:t>
      </w:r>
      <w:r w:rsidR="009177A1">
        <w:t>ātrāku līdzekļu apriti ESKO uzņēmumam, ko pēc tam ir iespējams ieguldīt jaunu projektu ieviešanā</w:t>
      </w:r>
      <w:r w:rsidR="00747E8B" w:rsidRPr="00D57F5F">
        <w:t>.</w:t>
      </w:r>
    </w:p>
    <w:p w:rsidR="001C0B6E" w:rsidRPr="00D57F5F" w:rsidRDefault="000A7E41" w:rsidP="00E665E3">
      <w:pPr>
        <w:ind w:firstLine="709"/>
        <w:jc w:val="both"/>
      </w:pPr>
      <w:r>
        <w:t>Izvērtējot energopakalpojumu līgumu nosacījumus</w:t>
      </w:r>
      <w:r w:rsidR="0001202A">
        <w:t>,</w:t>
      </w:r>
      <w:r>
        <w:t xml:space="preserve"> citās Eiropas valstīs, secināms, ka faktiski </w:t>
      </w:r>
      <w:r w:rsidR="001C0B6E" w:rsidRPr="00D57F5F">
        <w:t xml:space="preserve">pastāv divi galvenie energopakalpojumu līguma tipi – t.s. </w:t>
      </w:r>
      <w:r>
        <w:t>„</w:t>
      </w:r>
      <w:r w:rsidR="001C0B6E" w:rsidRPr="00D57F5F">
        <w:t>dalīto ietaupījumu energopakalpojumu līgums</w:t>
      </w:r>
      <w:r>
        <w:t>”</w:t>
      </w:r>
      <w:r w:rsidR="001C0B6E" w:rsidRPr="00D57F5F">
        <w:t xml:space="preserve"> un </w:t>
      </w:r>
      <w:r>
        <w:t>„</w:t>
      </w:r>
      <w:r w:rsidR="001C0B6E" w:rsidRPr="00D57F5F">
        <w:t>garantēto ietaupījumu energopakalpojumu līgums</w:t>
      </w:r>
      <w:r>
        <w:t>”</w:t>
      </w:r>
      <w:r w:rsidR="001C0B6E" w:rsidRPr="00D57F5F">
        <w:t xml:space="preserve">. Abos gadījumos ESKO uzņēmums nodrošina pilnu nepieciešamo pakalpojumu klāstu, kas rada plānoto enerģijas un izmaksu ietaupījumu. </w:t>
      </w:r>
    </w:p>
    <w:p w:rsidR="001C0B6E" w:rsidRDefault="001C0B6E" w:rsidP="00E665E3">
      <w:pPr>
        <w:ind w:firstLine="709"/>
        <w:jc w:val="both"/>
      </w:pPr>
      <w:r w:rsidRPr="00D57F5F">
        <w:t>VIF plāno attīstīt dalīto ietaupījumu modeli, kas paredz, ka ESKO uzņēmums nodrošina vai piesaista visu vai lielāko daļu projekta īstenošanai nepieciešamo finansējumu. Šajā gadījumā ESKO uzņēmums atgūst savas investīcijas un gūst saprātīgu peļņas apjomu</w:t>
      </w:r>
      <w:r w:rsidR="000A7E41">
        <w:t>, bet</w:t>
      </w:r>
      <w:r w:rsidRPr="00D57F5F">
        <w:t xml:space="preserve"> </w:t>
      </w:r>
      <w:r w:rsidR="000A7E41">
        <w:t>k</w:t>
      </w:r>
      <w:r w:rsidRPr="00D57F5F">
        <w:t>lients</w:t>
      </w:r>
      <w:r w:rsidR="000A7E41">
        <w:t xml:space="preserve"> (pašvaldība</w:t>
      </w:r>
      <w:r w:rsidR="006E5CB3">
        <w:t xml:space="preserve">s </w:t>
      </w:r>
      <w:r w:rsidR="006E5CB3" w:rsidRPr="00EF0579">
        <w:t>kapitālsabiedrība</w:t>
      </w:r>
      <w:r w:rsidR="006E5CB3">
        <w:t>)</w:t>
      </w:r>
      <w:r w:rsidRPr="00D57F5F">
        <w:t xml:space="preserve"> </w:t>
      </w:r>
      <w:r w:rsidR="000A7E41">
        <w:t>neveic</w:t>
      </w:r>
      <w:r w:rsidRPr="00D57F5F">
        <w:t xml:space="preserve"> invest</w:t>
      </w:r>
      <w:r w:rsidR="000A7E41">
        <w:t>īcijas</w:t>
      </w:r>
      <w:r w:rsidRPr="00D57F5F">
        <w:t xml:space="preserve"> energotaupības pasākumos, bet saņem finansiālu labumu no ietaupītās enerģijas gan projekta atmaksāšanās laikā (piemēram, 10%-20% no iegūtā ietaupījuma), gan visu ietaupījum</w:t>
      </w:r>
      <w:r w:rsidR="000A7E41">
        <w:t>a apjomu</w:t>
      </w:r>
      <w:r w:rsidRPr="00D57F5F">
        <w:t xml:space="preserve"> pēc projekta atmaksāšanās perioda</w:t>
      </w:r>
      <w:r w:rsidR="000A7E41">
        <w:t xml:space="preserve"> beigām</w:t>
      </w:r>
      <w:r w:rsidRPr="00D57F5F">
        <w:t>. Piemēram, ielu apgaismojuma efektivitātes paaugstināšanas projektos</w:t>
      </w:r>
      <w:r w:rsidR="000A7E41">
        <w:t>,</w:t>
      </w:r>
      <w:r w:rsidRPr="00D57F5F">
        <w:t xml:space="preserve"> klients (pašvaldība</w:t>
      </w:r>
      <w:r w:rsidR="006E5CB3">
        <w:t>s</w:t>
      </w:r>
      <w:r w:rsidR="000A7E41">
        <w:t xml:space="preserve"> </w:t>
      </w:r>
      <w:r w:rsidR="006E5CB3">
        <w:t>kapitālsabiedrība</w:t>
      </w:r>
      <w:r w:rsidRPr="00D57F5F">
        <w:t xml:space="preserve">) var pamatoti cerēt, ka saņems visu ietaupījumu jau 3.-4. gadā pēc projekta īstenošanas, jo šāda veida projektiem </w:t>
      </w:r>
      <w:r w:rsidR="000A7E41">
        <w:t>prognozējams</w:t>
      </w:r>
      <w:r w:rsidR="000A7E41" w:rsidRPr="00D57F5F">
        <w:t xml:space="preserve"> </w:t>
      </w:r>
      <w:r w:rsidRPr="00D57F5F">
        <w:t xml:space="preserve">salīdzinoši neliels </w:t>
      </w:r>
      <w:r w:rsidR="000A7E41">
        <w:t xml:space="preserve">investīciju </w:t>
      </w:r>
      <w:r w:rsidRPr="00D57F5F">
        <w:t>atmaksāšanās periods</w:t>
      </w:r>
      <w:r w:rsidR="00C93EF7">
        <w:t>,</w:t>
      </w:r>
      <w:r w:rsidR="000A7E41">
        <w:t xml:space="preserve"> un</w:t>
      </w:r>
      <w:r w:rsidR="00C93EF7">
        <w:t>,</w:t>
      </w:r>
      <w:r w:rsidRPr="00D57F5F">
        <w:t xml:space="preserve"> slēdzot šād</w:t>
      </w:r>
      <w:r w:rsidR="000A7E41">
        <w:t>a veida</w:t>
      </w:r>
      <w:r w:rsidRPr="00D57F5F">
        <w:t xml:space="preserve"> līgumu, klients vienmēr saglabās pozitīvu naudas plūsmu attiecībā uz konkrēt</w:t>
      </w:r>
      <w:r w:rsidR="000A7E41">
        <w:t>ā</w:t>
      </w:r>
      <w:r w:rsidRPr="00D57F5F">
        <w:t xml:space="preserve"> objektu ekspluatāciju.</w:t>
      </w:r>
    </w:p>
    <w:p w:rsidR="00E23482" w:rsidRPr="00D57F5F" w:rsidRDefault="00EA6F86" w:rsidP="006E5CB3">
      <w:pPr>
        <w:ind w:firstLine="709"/>
        <w:jc w:val="both"/>
      </w:pPr>
      <w:r w:rsidRPr="00D57F5F">
        <w:t xml:space="preserve">VIF, iesaistoties ESKO projektos, neparedz piedāvāt atvieglotus nosacījumus ESKO uzņēmumiem, jo viens no VIF finanšu avotiem ESKO projektu </w:t>
      </w:r>
      <w:proofErr w:type="spellStart"/>
      <w:r w:rsidRPr="00D57F5F">
        <w:t>forfaitingam</w:t>
      </w:r>
      <w:proofErr w:type="spellEnd"/>
      <w:r w:rsidRPr="00D57F5F">
        <w:t xml:space="preserve"> būtu starptautisko finansētāju kredīta resursu piesaiste (</w:t>
      </w:r>
      <w:r w:rsidR="00E468E8">
        <w:t xml:space="preserve">Eiropas Rekonstrukcijas un attīstības banka - </w:t>
      </w:r>
      <w:r w:rsidRPr="00D57F5F">
        <w:t>E</w:t>
      </w:r>
      <w:r w:rsidR="00E23482">
        <w:t>RA</w:t>
      </w:r>
      <w:r w:rsidRPr="00D57F5F">
        <w:t xml:space="preserve">B, </w:t>
      </w:r>
      <w:r w:rsidR="008130CA">
        <w:t xml:space="preserve">Ziemeļvalstu Vides finanšu </w:t>
      </w:r>
      <w:proofErr w:type="spellStart"/>
      <w:r w:rsidR="008130CA">
        <w:t>koorporācija</w:t>
      </w:r>
      <w:proofErr w:type="spellEnd"/>
      <w:r w:rsidR="00E00F2D" w:rsidRPr="00D57F5F">
        <w:t xml:space="preserve"> </w:t>
      </w:r>
      <w:r w:rsidR="00E00F2D">
        <w:t xml:space="preserve">- </w:t>
      </w:r>
      <w:r w:rsidRPr="00D57F5F">
        <w:t>NEFCO un citi) uz tirgus nosacījumiem</w:t>
      </w:r>
      <w:r w:rsidR="00DD177E">
        <w:t xml:space="preserve">. </w:t>
      </w:r>
      <w:r w:rsidR="00E23482">
        <w:t xml:space="preserve">VIF iesaiste pilotprojektu īstenošanā radītu ESKO mehānisma darbības uzsākšanos un, pierādot mehānisma </w:t>
      </w:r>
      <w:r w:rsidR="00E23482">
        <w:lastRenderedPageBreak/>
        <w:t xml:space="preserve">dzīvotspēju, radītu </w:t>
      </w:r>
      <w:proofErr w:type="spellStart"/>
      <w:r w:rsidR="00E23482">
        <w:t>komercsektora</w:t>
      </w:r>
      <w:proofErr w:type="spellEnd"/>
      <w:r w:rsidR="00E23482">
        <w:t xml:space="preserve"> intereses palielinājumu un kopējo investīciju pieejamību šāda veida projektu realizācijā.</w:t>
      </w:r>
    </w:p>
    <w:p w:rsidR="00462D91" w:rsidRPr="00D57F5F" w:rsidRDefault="00462D91" w:rsidP="00E665E3">
      <w:pPr>
        <w:ind w:firstLine="709"/>
        <w:jc w:val="both"/>
      </w:pPr>
      <w:r w:rsidRPr="00D57F5F">
        <w:t xml:space="preserve">Galvenie </w:t>
      </w:r>
      <w:proofErr w:type="spellStart"/>
      <w:r w:rsidRPr="00D57F5F">
        <w:t>forfaitinga</w:t>
      </w:r>
      <w:proofErr w:type="spellEnd"/>
      <w:r w:rsidRPr="00D57F5F">
        <w:t xml:space="preserve"> nosacījumi:</w:t>
      </w:r>
    </w:p>
    <w:p w:rsidR="00462D91" w:rsidRPr="00D57F5F" w:rsidRDefault="00462D91" w:rsidP="00E665E3">
      <w:pPr>
        <w:pStyle w:val="ListParagraph"/>
        <w:numPr>
          <w:ilvl w:val="0"/>
          <w:numId w:val="3"/>
        </w:numPr>
        <w:ind w:left="1134"/>
        <w:jc w:val="both"/>
      </w:pPr>
      <w:r w:rsidRPr="00D57F5F">
        <w:rPr>
          <w:b/>
        </w:rPr>
        <w:t>Mērķis</w:t>
      </w:r>
      <w:r w:rsidRPr="00D57F5F">
        <w:t xml:space="preserve"> –</w:t>
      </w:r>
      <w:r w:rsidR="00481D5C" w:rsidRPr="00D57F5F">
        <w:t xml:space="preserve"> </w:t>
      </w:r>
      <w:r w:rsidRPr="00D57F5F">
        <w:t xml:space="preserve">energoefektivitātes paaugstināšana </w:t>
      </w:r>
      <w:r w:rsidR="00481D5C" w:rsidRPr="00D57F5F">
        <w:t xml:space="preserve">pašvaldības kapitālsabiedrības infrastruktūrā </w:t>
      </w:r>
      <w:r w:rsidRPr="00D57F5F">
        <w:t>(publiskais apgaismojums, apkures sistēmu renovācija, samazinot zudumus, apkures katlu nomaiņa, u.c.).</w:t>
      </w:r>
    </w:p>
    <w:p w:rsidR="00462D91" w:rsidRPr="00D57F5F" w:rsidRDefault="00462D91" w:rsidP="00E665E3">
      <w:pPr>
        <w:pStyle w:val="ListParagraph"/>
        <w:numPr>
          <w:ilvl w:val="0"/>
          <w:numId w:val="3"/>
        </w:numPr>
        <w:ind w:left="1134"/>
        <w:jc w:val="both"/>
      </w:pPr>
      <w:r w:rsidRPr="00D57F5F">
        <w:rPr>
          <w:b/>
        </w:rPr>
        <w:t>Darbības periods</w:t>
      </w:r>
      <w:r w:rsidRPr="00D57F5F">
        <w:t xml:space="preserve"> – līdz 20 gadiem.</w:t>
      </w:r>
    </w:p>
    <w:p w:rsidR="00462D91" w:rsidRPr="00D57F5F" w:rsidRDefault="00462D91" w:rsidP="00E665E3">
      <w:pPr>
        <w:pStyle w:val="ListParagraph"/>
        <w:numPr>
          <w:ilvl w:val="0"/>
          <w:numId w:val="3"/>
        </w:numPr>
        <w:ind w:left="1134"/>
        <w:jc w:val="both"/>
      </w:pPr>
      <w:r w:rsidRPr="00D57F5F">
        <w:rPr>
          <w:b/>
        </w:rPr>
        <w:t>Finansējuma izmaksas</w:t>
      </w:r>
      <w:r w:rsidRPr="00D57F5F">
        <w:t xml:space="preserve"> – 3% līdz 4% gadā par piešķirto finansējumu.</w:t>
      </w:r>
    </w:p>
    <w:p w:rsidR="008D7F34" w:rsidRPr="00D57F5F" w:rsidRDefault="008D7F34" w:rsidP="00E665E3">
      <w:pPr>
        <w:pStyle w:val="ListParagraph"/>
        <w:numPr>
          <w:ilvl w:val="0"/>
          <w:numId w:val="3"/>
        </w:numPr>
        <w:ind w:left="1134"/>
        <w:jc w:val="both"/>
      </w:pPr>
      <w:r w:rsidRPr="00D57F5F">
        <w:rPr>
          <w:b/>
        </w:rPr>
        <w:t>Verifikācijas periods</w:t>
      </w:r>
      <w:r w:rsidRPr="00D57F5F">
        <w:t xml:space="preserve"> – 1</w:t>
      </w:r>
      <w:r w:rsidR="006F0831" w:rsidRPr="00D57F5F">
        <w:t xml:space="preserve"> līdz </w:t>
      </w:r>
      <w:r w:rsidRPr="00D57F5F">
        <w:t xml:space="preserve">2 mēneši publiskajam apgaismojumam, vismaz 1 gads apkures sistēmas renovācijai un apkures katlu nomaiņai </w:t>
      </w:r>
    </w:p>
    <w:p w:rsidR="0047424D" w:rsidRPr="00D57F5F" w:rsidRDefault="0047424D" w:rsidP="00E665E3">
      <w:pPr>
        <w:pStyle w:val="ListParagraph"/>
        <w:numPr>
          <w:ilvl w:val="0"/>
          <w:numId w:val="3"/>
        </w:numPr>
        <w:ind w:left="1134"/>
        <w:jc w:val="both"/>
      </w:pPr>
      <w:r w:rsidRPr="00D57F5F">
        <w:rPr>
          <w:b/>
        </w:rPr>
        <w:t>Finansējuma avots</w:t>
      </w:r>
      <w:r w:rsidRPr="00D57F5F">
        <w:t xml:space="preserve"> – VIF pašu kapitāls plus piesaistītie kredīta resursi</w:t>
      </w:r>
    </w:p>
    <w:p w:rsidR="0047424D" w:rsidRDefault="0047424D" w:rsidP="00E02559">
      <w:pPr>
        <w:ind w:firstLine="709"/>
        <w:jc w:val="both"/>
      </w:pPr>
    </w:p>
    <w:p w:rsidR="0047424D" w:rsidRPr="00D57F5F" w:rsidRDefault="0047424D" w:rsidP="00E665E3">
      <w:pPr>
        <w:ind w:firstLine="709"/>
        <w:jc w:val="both"/>
        <w:rPr>
          <w:b/>
        </w:rPr>
      </w:pPr>
      <w:r w:rsidRPr="00D57F5F">
        <w:rPr>
          <w:b/>
        </w:rPr>
        <w:t>Piemērs:</w:t>
      </w:r>
    </w:p>
    <w:p w:rsidR="00087436" w:rsidRPr="00D57F5F" w:rsidRDefault="0047424D" w:rsidP="00E665E3">
      <w:pPr>
        <w:ind w:firstLine="709"/>
        <w:jc w:val="both"/>
      </w:pPr>
      <w:r w:rsidRPr="00D57F5F">
        <w:t>Pašvaldība</w:t>
      </w:r>
      <w:r w:rsidR="007E368E">
        <w:t xml:space="preserve">s </w:t>
      </w:r>
      <w:r w:rsidR="0072399A">
        <w:t xml:space="preserve">kapitālsabiedrībai </w:t>
      </w:r>
      <w:r w:rsidR="007E368E" w:rsidRPr="0072399A">
        <w:t>ir nepieciešams</w:t>
      </w:r>
      <w:r w:rsidR="00220547" w:rsidRPr="00D57F5F">
        <w:t xml:space="preserve"> </w:t>
      </w:r>
      <w:r w:rsidRPr="00D57F5F">
        <w:t xml:space="preserve">nomainīt </w:t>
      </w:r>
      <w:r w:rsidRPr="0072399A">
        <w:t>p</w:t>
      </w:r>
      <w:r w:rsidR="00C9002C">
        <w:t>ublisk</w:t>
      </w:r>
      <w:r w:rsidR="00C47EC4">
        <w:t>o teritoriju</w:t>
      </w:r>
      <w:r w:rsidRPr="00D57F5F">
        <w:t xml:space="preserve"> apgaismojumu (1000 lampas)</w:t>
      </w:r>
      <w:r w:rsidR="00220547">
        <w:t xml:space="preserve">, </w:t>
      </w:r>
      <w:r w:rsidRPr="00D57F5F">
        <w:t>tādejādi samazin</w:t>
      </w:r>
      <w:r w:rsidR="00220547">
        <w:t>o</w:t>
      </w:r>
      <w:r w:rsidRPr="00D57F5F">
        <w:t>t ikmēneša maksājumu par elektrību un apkopi. Pašvaldība</w:t>
      </w:r>
      <w:r w:rsidR="008B6A21">
        <w:t>s kapitālsabiedrība, kas attiecīgajā administratīvajā teritorijā nodrošina publiskā</w:t>
      </w:r>
      <w:r w:rsidR="00D86906">
        <w:t>s teritorijas</w:t>
      </w:r>
      <w:r w:rsidR="008B6A21">
        <w:t xml:space="preserve"> apgaismojuma uzturēšanu un attīstību</w:t>
      </w:r>
      <w:r w:rsidRPr="00D57F5F">
        <w:t xml:space="preserve"> nolemj sadarboties ar VIF, noslēdzot vienošanos ar VIF par sadarbību ESKO projektā, kas paredz, ka, ja ESKO projekts sasniegs vismaz 80% elektrības ekonomiju, tad VIF no ESKO uzņēmuma atpērk nākotnes naudas plūsmu</w:t>
      </w:r>
      <w:r w:rsidR="00220547">
        <w:t xml:space="preserve"> un pašvaldība</w:t>
      </w:r>
      <w:r w:rsidR="008B6A21">
        <w:t>s kapitālsabiedrība</w:t>
      </w:r>
      <w:r w:rsidR="00220547">
        <w:t xml:space="preserve"> no iegūtā ietaupījuma daļu maksā VIF izpirktās naudas plūsmas segšanai</w:t>
      </w:r>
      <w:r w:rsidRPr="00D57F5F">
        <w:t>. Pašvaldība</w:t>
      </w:r>
      <w:r w:rsidR="008B6A21">
        <w:t>s kapitālsabiedrība</w:t>
      </w:r>
      <w:r w:rsidRPr="00D57F5F">
        <w:t xml:space="preserve"> izsludina iepirkumu ESKO projektam un izvērtē piedāvājumus. Ar labāko pretendentu</w:t>
      </w:r>
      <w:r w:rsidR="00220547">
        <w:t>, kas nodrošina augstāko projekta efektivitāti ar zemākajām izmaksām un īsākajā atmaksāšanas termiņā,</w:t>
      </w:r>
      <w:r w:rsidRPr="00D57F5F">
        <w:t xml:space="preserve"> pašvaldība</w:t>
      </w:r>
      <w:r w:rsidR="008B6A21">
        <w:t>s kapitālsabiedrība</w:t>
      </w:r>
      <w:r w:rsidR="00087436" w:rsidRPr="00D57F5F">
        <w:t xml:space="preserve"> un VIF</w:t>
      </w:r>
      <w:r w:rsidRPr="00D57F5F">
        <w:t xml:space="preserve"> noslēdz līgumu par ESKO projekta ieviešanu. ESKO uzņēmums par saviem līdzekļiem veic 1000 lampu nomaiņu, paraksta pieņemšanas</w:t>
      </w:r>
      <w:r w:rsidR="00220547">
        <w:t xml:space="preserve"> </w:t>
      </w:r>
      <w:r w:rsidRPr="00D57F5F">
        <w:t>- nodošanas aktu</w:t>
      </w:r>
      <w:r w:rsidR="008B6A21">
        <w:t xml:space="preserve"> ar pašvaldības kapitālsabiedrību</w:t>
      </w:r>
      <w:r w:rsidR="00220547">
        <w:t xml:space="preserve"> un</w:t>
      </w:r>
      <w:r w:rsidR="00220547" w:rsidRPr="00D57F5F">
        <w:t xml:space="preserve"> </w:t>
      </w:r>
      <w:r w:rsidR="008B6A21">
        <w:t>tā</w:t>
      </w:r>
      <w:r w:rsidR="00087436" w:rsidRPr="00D57F5F">
        <w:t xml:space="preserve"> </w:t>
      </w:r>
      <w:r w:rsidR="00220547">
        <w:t>uz</w:t>
      </w:r>
      <w:r w:rsidR="00087436" w:rsidRPr="00D57F5F">
        <w:t>sāk maksāt ESKO uzņēmumam ikmēneša maksājumu no gaismekļu nomaiņas ekonomijas</w:t>
      </w:r>
      <w:r w:rsidR="00220547">
        <w:t xml:space="preserve"> (piemēram, 80% no ietaupījuma apmēra, bet 20% ir pašvaldības </w:t>
      </w:r>
      <w:r w:rsidR="00A02303">
        <w:t xml:space="preserve">kapitālsabiedrības </w:t>
      </w:r>
      <w:r w:rsidR="00220547">
        <w:t>tiešais ietaupījums jau no projekta īstenošanas brīža)</w:t>
      </w:r>
      <w:r w:rsidR="00087436" w:rsidRPr="00D57F5F">
        <w:t xml:space="preserve">. Saskaņā ar iepirkuma nolikumu un līgumu, ESKO uzņēmums pēc </w:t>
      </w:r>
      <w:r w:rsidR="00220547">
        <w:t>3</w:t>
      </w:r>
      <w:r w:rsidR="00220547" w:rsidRPr="00D57F5F">
        <w:t xml:space="preserve"> </w:t>
      </w:r>
      <w:r w:rsidR="00087436" w:rsidRPr="00D57F5F">
        <w:t xml:space="preserve">mēnešiem ir tiesīgs </w:t>
      </w:r>
      <w:r w:rsidR="00220547">
        <w:t>lūgt</w:t>
      </w:r>
      <w:r w:rsidR="00220547" w:rsidRPr="00D57F5F">
        <w:t xml:space="preserve"> </w:t>
      </w:r>
      <w:proofErr w:type="spellStart"/>
      <w:r w:rsidR="00087436" w:rsidRPr="00D57F5F">
        <w:t>forfaitingu</w:t>
      </w:r>
      <w:proofErr w:type="spellEnd"/>
      <w:r w:rsidR="00087436" w:rsidRPr="00D57F5F">
        <w:t xml:space="preserve">. </w:t>
      </w:r>
      <w:r w:rsidR="00220547">
        <w:t xml:space="preserve">Lūdzot </w:t>
      </w:r>
      <w:proofErr w:type="spellStart"/>
      <w:r w:rsidR="00220547">
        <w:t>forfaitingu</w:t>
      </w:r>
      <w:proofErr w:type="spellEnd"/>
      <w:r w:rsidR="00220547">
        <w:t xml:space="preserve">, </w:t>
      </w:r>
      <w:r w:rsidR="00087436" w:rsidRPr="00D57F5F">
        <w:t xml:space="preserve">ESKO uzņēmums iesniedz rakstisku pieprasījumu </w:t>
      </w:r>
      <w:r w:rsidR="00220547">
        <w:t xml:space="preserve">VIF </w:t>
      </w:r>
      <w:r w:rsidR="00087436" w:rsidRPr="00D57F5F">
        <w:t xml:space="preserve">un, ja VIF, izvērtējot pirmo 3 mēnešu ESKO projekta darbības rezultātus, </w:t>
      </w:r>
      <w:r w:rsidR="00220547">
        <w:t xml:space="preserve">secina, ka </w:t>
      </w:r>
      <w:r w:rsidR="00087436" w:rsidRPr="00D57F5F">
        <w:t>tie atbilst līgumā paredzētajam</w:t>
      </w:r>
      <w:r w:rsidR="00220547">
        <w:t xml:space="preserve"> - </w:t>
      </w:r>
      <w:r w:rsidR="00087436" w:rsidRPr="00D57F5F">
        <w:t xml:space="preserve">VIF veic </w:t>
      </w:r>
      <w:proofErr w:type="spellStart"/>
      <w:r w:rsidR="00087436" w:rsidRPr="00D57F5F">
        <w:t>forfaitingu</w:t>
      </w:r>
      <w:proofErr w:type="spellEnd"/>
      <w:r w:rsidR="00087436" w:rsidRPr="00D57F5F">
        <w:t xml:space="preserve">, </w:t>
      </w:r>
      <w:r w:rsidR="00220547">
        <w:t>jeb</w:t>
      </w:r>
      <w:r w:rsidR="00087436" w:rsidRPr="00D57F5F">
        <w:t xml:space="preserve"> no ESKO uzņēmuma</w:t>
      </w:r>
      <w:r w:rsidR="00220547">
        <w:t xml:space="preserve"> nopērk</w:t>
      </w:r>
      <w:r w:rsidR="00087436" w:rsidRPr="00D57F5F">
        <w:t xml:space="preserve"> nākotnes naudas plūsmu</w:t>
      </w:r>
      <w:r w:rsidR="009F75EA">
        <w:t>,</w:t>
      </w:r>
      <w:r w:rsidR="00087436" w:rsidRPr="00D57F5F">
        <w:t xml:space="preserve"> un turpmāk pašvaldība</w:t>
      </w:r>
      <w:r w:rsidR="00220547">
        <w:t>s</w:t>
      </w:r>
      <w:r w:rsidR="00A02303">
        <w:t xml:space="preserve"> kapitālsabiedrības</w:t>
      </w:r>
      <w:r w:rsidR="00087436" w:rsidRPr="00D57F5F">
        <w:t xml:space="preserve"> ikmēne</w:t>
      </w:r>
      <w:r w:rsidR="00220547">
        <w:t>ša maksājumi</w:t>
      </w:r>
      <w:r w:rsidR="00087436" w:rsidRPr="00D57F5F">
        <w:t xml:space="preserve"> </w:t>
      </w:r>
      <w:r w:rsidR="00220547">
        <w:t>tiek veikti</w:t>
      </w:r>
      <w:r w:rsidR="00087436" w:rsidRPr="00D57F5F">
        <w:t xml:space="preserve"> VIF. ESKO uzņēmums</w:t>
      </w:r>
      <w:r w:rsidR="00DE46D8">
        <w:t xml:space="preserve">, pēc </w:t>
      </w:r>
      <w:proofErr w:type="spellStart"/>
      <w:r w:rsidR="00DE46D8">
        <w:t>forfaitinga</w:t>
      </w:r>
      <w:proofErr w:type="spellEnd"/>
      <w:r w:rsidR="00DE46D8">
        <w:t xml:space="preserve"> veikšanas,</w:t>
      </w:r>
      <w:r w:rsidR="00087436" w:rsidRPr="00D57F5F">
        <w:t xml:space="preserve"> </w:t>
      </w:r>
      <w:r w:rsidR="00DE46D8">
        <w:t>maksājumus no</w:t>
      </w:r>
      <w:r w:rsidR="00087436" w:rsidRPr="00D57F5F">
        <w:t xml:space="preserve"> pašvaldības</w:t>
      </w:r>
      <w:r w:rsidR="00DE46D8">
        <w:t xml:space="preserve"> </w:t>
      </w:r>
      <w:r w:rsidR="00A02303">
        <w:t xml:space="preserve">kapitālsabiedrības </w:t>
      </w:r>
      <w:r w:rsidR="00DE46D8">
        <w:t>vairs nesaņem</w:t>
      </w:r>
      <w:r w:rsidR="00087436" w:rsidRPr="00D57F5F">
        <w:t xml:space="preserve">, taču </w:t>
      </w:r>
      <w:r w:rsidR="00DE46D8">
        <w:t>tam ir</w:t>
      </w:r>
      <w:r w:rsidR="00DE46D8" w:rsidRPr="00D57F5F">
        <w:t xml:space="preserve"> </w:t>
      </w:r>
      <w:r w:rsidR="00087436" w:rsidRPr="00D57F5F">
        <w:t>jānodrošina ESKO projektā iegādāto gaismekļu uzturēšana un nomaiņa garantijas perioda laikā.</w:t>
      </w:r>
    </w:p>
    <w:p w:rsidR="00462D91" w:rsidRDefault="00462D91" w:rsidP="001C0B6E">
      <w:pPr>
        <w:jc w:val="both"/>
      </w:pPr>
    </w:p>
    <w:p w:rsidR="00FF00DA" w:rsidRPr="00E37029" w:rsidRDefault="00E02559" w:rsidP="00E02559">
      <w:pPr>
        <w:ind w:firstLine="709"/>
        <w:jc w:val="both"/>
      </w:pPr>
      <w:r w:rsidRPr="00E37029">
        <w:t>VIF</w:t>
      </w:r>
      <w:r w:rsidR="007F7097" w:rsidRPr="00E37029">
        <w:t>,</w:t>
      </w:r>
      <w:r w:rsidRPr="00E37029">
        <w:t xml:space="preserve"> slēdzot līgumu par dalību ESKO </w:t>
      </w:r>
      <w:r w:rsidR="007C2F71" w:rsidRPr="00E37029">
        <w:t>mehānisma projektā</w:t>
      </w:r>
      <w:r w:rsidR="007F7097" w:rsidRPr="00E37029">
        <w:t xml:space="preserve"> </w:t>
      </w:r>
      <w:r w:rsidRPr="00E37029">
        <w:t>un nosakot pašvaldības kapitālsabiedrības saistību (maksājuma) apmēru</w:t>
      </w:r>
      <w:r w:rsidR="007F7097" w:rsidRPr="00E37029">
        <w:t>,</w:t>
      </w:r>
      <w:r w:rsidRPr="00E37029">
        <w:t xml:space="preserve"> ņems vērā šādus faktorus</w:t>
      </w:r>
      <w:r w:rsidR="007F7097" w:rsidRPr="00E37029">
        <w:t>:</w:t>
      </w:r>
    </w:p>
    <w:p w:rsidR="007F7097" w:rsidRPr="00E37029" w:rsidRDefault="00C8659A" w:rsidP="00C8659A">
      <w:pPr>
        <w:ind w:firstLine="709"/>
        <w:jc w:val="both"/>
      </w:pPr>
      <w:r w:rsidRPr="00E37029">
        <w:t xml:space="preserve">1) enerģijas patēriņa ekonomija pēc projekta realizācijas, kWh – jo lielāka ekonomija pie mazākām izmaksām, jo mazāks saistību apmērs vai īsāks līguma termiņš; </w:t>
      </w:r>
    </w:p>
    <w:p w:rsidR="007F7097" w:rsidRPr="00E37029" w:rsidRDefault="00C8659A" w:rsidP="00E02559">
      <w:pPr>
        <w:ind w:firstLine="709"/>
        <w:jc w:val="both"/>
      </w:pPr>
      <w:r w:rsidRPr="00E37029">
        <w:t xml:space="preserve">2) </w:t>
      </w:r>
      <w:r w:rsidR="00F642D7" w:rsidRPr="00E37029">
        <w:t>Projekta kopējās izmaksas;</w:t>
      </w:r>
      <w:r w:rsidRPr="00E37029">
        <w:t xml:space="preserve"> </w:t>
      </w:r>
    </w:p>
    <w:p w:rsidR="00C8659A" w:rsidRPr="00E37029" w:rsidRDefault="00F642D7" w:rsidP="00E02559">
      <w:pPr>
        <w:ind w:firstLine="709"/>
        <w:jc w:val="both"/>
      </w:pPr>
      <w:r w:rsidRPr="00E37029">
        <w:t xml:space="preserve">3) </w:t>
      </w:r>
      <w:r w:rsidR="0083088A" w:rsidRPr="00E37029">
        <w:t>ESKO līguma termiņš;</w:t>
      </w:r>
      <w:r w:rsidRPr="00E37029">
        <w:t xml:space="preserve"> </w:t>
      </w:r>
    </w:p>
    <w:p w:rsidR="00C8659A" w:rsidRPr="00E37029" w:rsidRDefault="0083088A" w:rsidP="00E02559">
      <w:pPr>
        <w:ind w:firstLine="709"/>
        <w:jc w:val="both"/>
      </w:pPr>
      <w:r w:rsidRPr="00E37029">
        <w:t xml:space="preserve">4) </w:t>
      </w:r>
      <w:r w:rsidR="00CA3C2D" w:rsidRPr="00E37029">
        <w:t>VIF piesaistīto resursu cena – kredīta procentu maksājumi par piesaistītājiem resursiem (ja attiecināms).</w:t>
      </w:r>
      <w:r w:rsidRPr="00E37029">
        <w:t xml:space="preserve">  </w:t>
      </w:r>
    </w:p>
    <w:p w:rsidR="00C8659A" w:rsidRPr="00E37029" w:rsidRDefault="00C8659A" w:rsidP="00E02559">
      <w:pPr>
        <w:ind w:firstLine="709"/>
        <w:jc w:val="both"/>
      </w:pPr>
    </w:p>
    <w:p w:rsidR="00CA3C2D" w:rsidRPr="00E37029" w:rsidRDefault="00AC67E9" w:rsidP="00E02559">
      <w:pPr>
        <w:ind w:firstLine="709"/>
        <w:jc w:val="both"/>
      </w:pPr>
      <w:r w:rsidRPr="00E37029">
        <w:t>Plānotais ESKO projekta atmaksāšanas termiņš ir atkarīgs no šādiem apstākļiem un nosacījumiem:</w:t>
      </w:r>
    </w:p>
    <w:p w:rsidR="00CA3C2D" w:rsidRPr="00E37029" w:rsidRDefault="00AC67E9" w:rsidP="00E02559">
      <w:pPr>
        <w:ind w:firstLine="709"/>
        <w:jc w:val="both"/>
      </w:pPr>
      <w:r w:rsidRPr="00E37029">
        <w:t xml:space="preserve">1) </w:t>
      </w:r>
      <w:r w:rsidR="00942E2D" w:rsidRPr="00E37029">
        <w:t>esošais enerģijas patēriņš un efektivitāte – jo sliktāka ir esošā situācija, jo īsāks ir ESKO projekta atmaksāšanās termiņš;</w:t>
      </w:r>
    </w:p>
    <w:p w:rsidR="00AC67E9" w:rsidRPr="00E37029" w:rsidRDefault="00942E2D" w:rsidP="00E02559">
      <w:pPr>
        <w:ind w:firstLine="709"/>
        <w:jc w:val="both"/>
      </w:pPr>
      <w:r w:rsidRPr="00E37029">
        <w:t>2) papildus paredzamie darbi projektā – ja ir nepieciešams nomainīt arī infrastr</w:t>
      </w:r>
      <w:r w:rsidR="000060DD" w:rsidRPr="00E37029">
        <w:t>uktūru (apgaismes stabi, elektrības</w:t>
      </w:r>
      <w:r w:rsidRPr="00E37029">
        <w:t xml:space="preserve"> apgādes līnijas), tad ESKO projekta atmaksāšanas termiņš pagarinā</w:t>
      </w:r>
      <w:r w:rsidR="000060DD" w:rsidRPr="00E37029">
        <w:t>sie</w:t>
      </w:r>
      <w:r w:rsidRPr="00E37029">
        <w:t>s;</w:t>
      </w:r>
    </w:p>
    <w:p w:rsidR="00AC67E9" w:rsidRPr="00E37029" w:rsidRDefault="00942E2D" w:rsidP="00E02559">
      <w:pPr>
        <w:ind w:firstLine="709"/>
        <w:jc w:val="both"/>
      </w:pPr>
      <w:r w:rsidRPr="00E37029">
        <w:lastRenderedPageBreak/>
        <w:t xml:space="preserve">3) </w:t>
      </w:r>
      <w:r w:rsidR="00CC7E4E" w:rsidRPr="00E37029">
        <w:t xml:space="preserve">infrastruktūras atrašanās vieta un projekta </w:t>
      </w:r>
      <w:r w:rsidR="0079441B" w:rsidRPr="00E37029">
        <w:t>apjoms (</w:t>
      </w:r>
      <w:r w:rsidR="00CC7E4E" w:rsidRPr="00E37029">
        <w:t>lielums</w:t>
      </w:r>
      <w:r w:rsidR="0079441B" w:rsidRPr="00E37029">
        <w:t>)</w:t>
      </w:r>
      <w:r w:rsidR="00CC7E4E" w:rsidRPr="00E37029">
        <w:t xml:space="preserve"> – jo lielāks projekts vai vairāki līdzīgi projekti blakus, jo mazākas izmaksas būs ESKO uzņēmumam</w:t>
      </w:r>
      <w:r w:rsidR="0079441B" w:rsidRPr="00E37029">
        <w:t>,</w:t>
      </w:r>
      <w:r w:rsidR="00CC7E4E" w:rsidRPr="00E37029">
        <w:t xml:space="preserve"> veicot infrastruktūras apkopi</w:t>
      </w:r>
      <w:r w:rsidR="0079441B" w:rsidRPr="00E37029">
        <w:t>.</w:t>
      </w:r>
      <w:r w:rsidRPr="00E37029">
        <w:t xml:space="preserve"> </w:t>
      </w:r>
    </w:p>
    <w:p w:rsidR="009826C7" w:rsidRPr="00E37029" w:rsidRDefault="009826C7" w:rsidP="00E02559">
      <w:pPr>
        <w:ind w:firstLine="709"/>
        <w:jc w:val="both"/>
      </w:pPr>
      <w:r w:rsidRPr="00E37029">
        <w:t xml:space="preserve">Noslēgtā </w:t>
      </w:r>
      <w:r w:rsidR="007C2F71" w:rsidRPr="00E37029">
        <w:t>ESKO līguma darbības termiņš, kā</w:t>
      </w:r>
      <w:r w:rsidRPr="00E37029">
        <w:t xml:space="preserve"> jau minēts, ir atkarīgs no ESKO projekta atmaksāšanās termiņa un plānotā enerģijas ietaupījuma apjoma projektā.</w:t>
      </w:r>
    </w:p>
    <w:p w:rsidR="00CA3C2D" w:rsidRDefault="00CA3C2D" w:rsidP="00E02559">
      <w:pPr>
        <w:ind w:firstLine="709"/>
        <w:jc w:val="both"/>
        <w:rPr>
          <w:b/>
        </w:rPr>
      </w:pPr>
    </w:p>
    <w:p w:rsidR="00CA3C2D" w:rsidRPr="00F642D7" w:rsidRDefault="00CA3C2D" w:rsidP="00E02559">
      <w:pPr>
        <w:ind w:firstLine="709"/>
        <w:jc w:val="both"/>
        <w:rPr>
          <w:b/>
        </w:rPr>
      </w:pPr>
    </w:p>
    <w:p w:rsidR="00C8659A" w:rsidRPr="00F642D7" w:rsidRDefault="00C8659A" w:rsidP="00E02559">
      <w:pPr>
        <w:ind w:firstLine="709"/>
        <w:jc w:val="both"/>
        <w:rPr>
          <w:b/>
        </w:rPr>
      </w:pPr>
    </w:p>
    <w:p w:rsidR="007F7097" w:rsidRPr="00F642D7" w:rsidRDefault="007F7097" w:rsidP="00E02559">
      <w:pPr>
        <w:ind w:firstLine="709"/>
        <w:jc w:val="both"/>
        <w:rPr>
          <w:b/>
        </w:rPr>
      </w:pPr>
    </w:p>
    <w:p w:rsidR="007F7097" w:rsidRPr="00F642D7" w:rsidRDefault="007F7097" w:rsidP="00E02559">
      <w:pPr>
        <w:ind w:firstLine="709"/>
        <w:jc w:val="both"/>
        <w:rPr>
          <w:b/>
        </w:rPr>
      </w:pPr>
    </w:p>
    <w:p w:rsidR="00FF00DA" w:rsidRPr="00F642D7" w:rsidRDefault="00FF00DA" w:rsidP="001C0B6E">
      <w:pPr>
        <w:jc w:val="both"/>
        <w:rPr>
          <w:b/>
          <w:sz w:val="28"/>
          <w:szCs w:val="28"/>
        </w:rPr>
      </w:pPr>
    </w:p>
    <w:p w:rsidR="00FF00DA" w:rsidRPr="00E02559" w:rsidRDefault="00FF00DA" w:rsidP="001C0B6E">
      <w:pPr>
        <w:jc w:val="both"/>
        <w:rPr>
          <w:b/>
          <w:sz w:val="28"/>
          <w:szCs w:val="28"/>
        </w:rPr>
      </w:pPr>
    </w:p>
    <w:p w:rsidR="00FF00DA" w:rsidRPr="00E02559" w:rsidRDefault="00FF00DA" w:rsidP="001C0B6E">
      <w:pPr>
        <w:jc w:val="both"/>
        <w:rPr>
          <w:b/>
          <w:sz w:val="28"/>
          <w:szCs w:val="28"/>
        </w:rPr>
      </w:pPr>
    </w:p>
    <w:p w:rsidR="00FF00DA" w:rsidRPr="00E02559" w:rsidRDefault="00FF00DA" w:rsidP="001C0B6E">
      <w:pPr>
        <w:jc w:val="both"/>
        <w:rPr>
          <w:b/>
          <w:sz w:val="28"/>
          <w:szCs w:val="28"/>
        </w:rPr>
      </w:pPr>
    </w:p>
    <w:p w:rsidR="00FF00DA" w:rsidRPr="00E02559" w:rsidRDefault="00FF00DA" w:rsidP="001C0B6E">
      <w:pPr>
        <w:jc w:val="both"/>
        <w:rPr>
          <w:b/>
          <w:sz w:val="28"/>
          <w:szCs w:val="28"/>
        </w:rPr>
      </w:pPr>
    </w:p>
    <w:p w:rsidR="008826DF" w:rsidRPr="00E02559" w:rsidRDefault="008826DF" w:rsidP="001C0B6E">
      <w:pPr>
        <w:jc w:val="both"/>
        <w:rPr>
          <w:b/>
          <w:sz w:val="28"/>
          <w:szCs w:val="28"/>
        </w:rPr>
      </w:pPr>
    </w:p>
    <w:p w:rsidR="008826DF" w:rsidRPr="00E02559" w:rsidRDefault="008826DF" w:rsidP="001C0B6E">
      <w:pPr>
        <w:jc w:val="both"/>
        <w:rPr>
          <w:b/>
          <w:sz w:val="28"/>
          <w:szCs w:val="28"/>
        </w:rPr>
      </w:pPr>
    </w:p>
    <w:p w:rsidR="008826DF" w:rsidRDefault="008826DF" w:rsidP="001C0B6E">
      <w:pPr>
        <w:jc w:val="both"/>
      </w:pPr>
    </w:p>
    <w:p w:rsidR="008826DF" w:rsidRDefault="008826DF" w:rsidP="001C0B6E">
      <w:pPr>
        <w:jc w:val="both"/>
      </w:pPr>
    </w:p>
    <w:p w:rsidR="00FF00DA" w:rsidRDefault="00FF00DA" w:rsidP="001C0B6E">
      <w:pPr>
        <w:jc w:val="both"/>
      </w:pPr>
    </w:p>
    <w:p w:rsidR="008C068F" w:rsidRDefault="008C068F" w:rsidP="001C0B6E">
      <w:pPr>
        <w:jc w:val="both"/>
      </w:pPr>
    </w:p>
    <w:p w:rsidR="008C068F" w:rsidRDefault="008C068F" w:rsidP="001C0B6E">
      <w:pPr>
        <w:jc w:val="both"/>
      </w:pPr>
    </w:p>
    <w:p w:rsidR="008C068F" w:rsidRDefault="008C068F" w:rsidP="001C0B6E">
      <w:pPr>
        <w:jc w:val="both"/>
      </w:pPr>
    </w:p>
    <w:p w:rsidR="008C068F" w:rsidRDefault="008C068F" w:rsidP="001C0B6E">
      <w:pPr>
        <w:jc w:val="both"/>
      </w:pPr>
    </w:p>
    <w:p w:rsidR="008C068F" w:rsidRDefault="008C068F" w:rsidP="001C0B6E">
      <w:pPr>
        <w:jc w:val="both"/>
      </w:pPr>
    </w:p>
    <w:p w:rsidR="008C068F" w:rsidRDefault="008C068F" w:rsidP="001C0B6E">
      <w:pPr>
        <w:jc w:val="both"/>
      </w:pPr>
    </w:p>
    <w:p w:rsidR="008C068F" w:rsidRDefault="008C068F" w:rsidP="001C0B6E">
      <w:pPr>
        <w:jc w:val="both"/>
      </w:pPr>
    </w:p>
    <w:p w:rsidR="008C068F" w:rsidRDefault="008C068F" w:rsidP="001C0B6E">
      <w:pPr>
        <w:jc w:val="both"/>
      </w:pPr>
    </w:p>
    <w:p w:rsidR="008C068F" w:rsidRDefault="008C068F" w:rsidP="001C0B6E">
      <w:pPr>
        <w:jc w:val="both"/>
      </w:pPr>
    </w:p>
    <w:p w:rsidR="008C068F" w:rsidRDefault="008C068F" w:rsidP="001C0B6E">
      <w:pPr>
        <w:jc w:val="both"/>
      </w:pPr>
    </w:p>
    <w:p w:rsidR="008C068F" w:rsidRDefault="008C068F" w:rsidP="001C0B6E">
      <w:pPr>
        <w:jc w:val="both"/>
      </w:pPr>
    </w:p>
    <w:p w:rsidR="008C068F" w:rsidRDefault="008C068F" w:rsidP="001C0B6E">
      <w:pPr>
        <w:jc w:val="both"/>
      </w:pPr>
    </w:p>
    <w:p w:rsidR="008C068F" w:rsidRDefault="008C068F" w:rsidP="001C0B6E">
      <w:pPr>
        <w:jc w:val="both"/>
      </w:pPr>
    </w:p>
    <w:p w:rsidR="008C068F" w:rsidRDefault="008C068F" w:rsidP="001C0B6E">
      <w:pPr>
        <w:jc w:val="both"/>
      </w:pPr>
    </w:p>
    <w:p w:rsidR="008C068F" w:rsidRDefault="008C068F" w:rsidP="001C0B6E">
      <w:pPr>
        <w:jc w:val="both"/>
      </w:pPr>
    </w:p>
    <w:p w:rsidR="008A0C49" w:rsidRDefault="008A0C49" w:rsidP="001C0B6E">
      <w:pPr>
        <w:jc w:val="both"/>
      </w:pPr>
    </w:p>
    <w:p w:rsidR="008A0C49" w:rsidRDefault="008A0C49" w:rsidP="001C0B6E">
      <w:pPr>
        <w:jc w:val="both"/>
      </w:pPr>
    </w:p>
    <w:p w:rsidR="008A0C49" w:rsidRDefault="008A0C49" w:rsidP="001C0B6E">
      <w:pPr>
        <w:jc w:val="both"/>
      </w:pPr>
    </w:p>
    <w:p w:rsidR="008A0C49" w:rsidRDefault="008A0C49" w:rsidP="001C0B6E">
      <w:pPr>
        <w:jc w:val="both"/>
      </w:pPr>
    </w:p>
    <w:p w:rsidR="008A0C49" w:rsidRDefault="008A0C49" w:rsidP="001C0B6E">
      <w:pPr>
        <w:jc w:val="both"/>
      </w:pPr>
    </w:p>
    <w:p w:rsidR="008A0C49" w:rsidRDefault="008A0C49" w:rsidP="001C0B6E">
      <w:pPr>
        <w:jc w:val="both"/>
      </w:pPr>
    </w:p>
    <w:p w:rsidR="008A0C49" w:rsidRDefault="008A0C49" w:rsidP="001C0B6E">
      <w:pPr>
        <w:jc w:val="both"/>
      </w:pPr>
    </w:p>
    <w:p w:rsidR="008A0C49" w:rsidRDefault="008A0C49" w:rsidP="001C0B6E">
      <w:pPr>
        <w:jc w:val="both"/>
      </w:pPr>
    </w:p>
    <w:p w:rsidR="00B71DF8" w:rsidRDefault="00B71DF8" w:rsidP="001C0B6E">
      <w:pPr>
        <w:jc w:val="both"/>
      </w:pPr>
    </w:p>
    <w:p w:rsidR="00B71DF8" w:rsidRDefault="00B71DF8" w:rsidP="001C0B6E">
      <w:pPr>
        <w:jc w:val="both"/>
      </w:pPr>
    </w:p>
    <w:p w:rsidR="00612930" w:rsidRDefault="00612930" w:rsidP="001C0B6E">
      <w:pPr>
        <w:jc w:val="both"/>
      </w:pPr>
    </w:p>
    <w:p w:rsidR="00612930" w:rsidRDefault="00612930" w:rsidP="001C0B6E">
      <w:pPr>
        <w:jc w:val="both"/>
      </w:pPr>
    </w:p>
    <w:p w:rsidR="00612930" w:rsidRDefault="00612930" w:rsidP="001C0B6E">
      <w:pPr>
        <w:jc w:val="both"/>
      </w:pPr>
    </w:p>
    <w:p w:rsidR="00612930" w:rsidRDefault="00612930" w:rsidP="001C0B6E">
      <w:pPr>
        <w:jc w:val="both"/>
      </w:pPr>
      <w:bookmarkStart w:id="0" w:name="_GoBack"/>
      <w:bookmarkEnd w:id="0"/>
    </w:p>
    <w:p w:rsidR="008C068F" w:rsidRDefault="008C068F" w:rsidP="001C0B6E">
      <w:pPr>
        <w:jc w:val="both"/>
      </w:pPr>
    </w:p>
    <w:p w:rsidR="00DE6456" w:rsidRPr="00D57F5F" w:rsidRDefault="00E23482" w:rsidP="00DF2DB8">
      <w:pPr>
        <w:pStyle w:val="ListParagraph"/>
        <w:ind w:left="644"/>
      </w:pPr>
      <w:r w:rsidRPr="00D57F5F">
        <w:lastRenderedPageBreak/>
        <w:t>1.</w:t>
      </w:r>
      <w:r w:rsidR="00DF2DB8" w:rsidRPr="00D57F5F">
        <w:t>S</w:t>
      </w:r>
      <w:r w:rsidR="002D01E3" w:rsidRPr="00D57F5F">
        <w:t xml:space="preserve">hēma </w:t>
      </w:r>
      <w:r>
        <w:t>„</w:t>
      </w:r>
      <w:r w:rsidR="00DE6456" w:rsidRPr="00D57F5F">
        <w:t>VIF ESKO shēma</w:t>
      </w:r>
      <w:r>
        <w:t>”</w:t>
      </w:r>
    </w:p>
    <w:p w:rsidR="00170E67" w:rsidRPr="00D57F5F" w:rsidRDefault="00170E67" w:rsidP="00170E67">
      <w:pPr>
        <w:ind w:left="360"/>
        <w:rPr>
          <w:b/>
        </w:rPr>
      </w:pPr>
    </w:p>
    <w:p w:rsidR="00DE6456" w:rsidRDefault="00D919E3" w:rsidP="00270F22">
      <w:pPr>
        <w:tabs>
          <w:tab w:val="left" w:pos="6379"/>
        </w:tabs>
      </w:pPr>
      <w:r w:rsidRPr="00EB7AA4">
        <w:rPr>
          <w:noProof/>
          <w:lang w:eastAsia="lv-LV"/>
        </w:rPr>
        <w:drawing>
          <wp:inline distT="0" distB="0" distL="0" distR="0" wp14:anchorId="75232FA9" wp14:editId="61E85E47">
            <wp:extent cx="6115050" cy="51320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283" cy="5137304"/>
                    </a:xfrm>
                    <a:prstGeom prst="rect">
                      <a:avLst/>
                    </a:prstGeom>
                    <a:noFill/>
                  </pic:spPr>
                </pic:pic>
              </a:graphicData>
            </a:graphic>
          </wp:inline>
        </w:drawing>
      </w:r>
    </w:p>
    <w:p w:rsidR="00270F22" w:rsidRDefault="00270F22" w:rsidP="00270F22">
      <w:pPr>
        <w:tabs>
          <w:tab w:val="left" w:pos="6379"/>
        </w:tabs>
      </w:pPr>
    </w:p>
    <w:p w:rsidR="00DE61BF" w:rsidRDefault="00DE61BF"/>
    <w:p w:rsidR="00170E67" w:rsidRPr="00D57F5F" w:rsidRDefault="00E23482">
      <w:r>
        <w:t>2.shēma „ESKO modeļa darbība laikā”</w:t>
      </w:r>
    </w:p>
    <w:p w:rsidR="00B6193D" w:rsidRDefault="00B6193D" w:rsidP="00F07ACE">
      <w:pPr>
        <w:jc w:val="both"/>
        <w:rPr>
          <w:b/>
        </w:rPr>
      </w:pPr>
    </w:p>
    <w:p w:rsidR="00B6193D" w:rsidRDefault="00B6193D" w:rsidP="00B6193D">
      <w:r>
        <w:rPr>
          <w:noProof/>
          <w:lang w:eastAsia="lv-LV"/>
        </w:rPr>
        <w:drawing>
          <wp:inline distT="0" distB="0" distL="0" distR="0">
            <wp:extent cx="6076950" cy="2505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2505075"/>
                    </a:xfrm>
                    <a:prstGeom prst="rect">
                      <a:avLst/>
                    </a:prstGeom>
                    <a:noFill/>
                    <a:ln>
                      <a:noFill/>
                    </a:ln>
                  </pic:spPr>
                </pic:pic>
              </a:graphicData>
            </a:graphic>
          </wp:inline>
        </w:drawing>
      </w:r>
    </w:p>
    <w:p w:rsidR="00B6193D" w:rsidRDefault="00B6193D" w:rsidP="00F07ACE">
      <w:pPr>
        <w:jc w:val="both"/>
        <w:rPr>
          <w:b/>
        </w:rPr>
      </w:pPr>
    </w:p>
    <w:p w:rsidR="00F07ACE" w:rsidRPr="00B4146E" w:rsidRDefault="005720D8" w:rsidP="004F2366">
      <w:pPr>
        <w:ind w:firstLine="709"/>
        <w:jc w:val="both"/>
        <w:rPr>
          <w:b/>
        </w:rPr>
      </w:pPr>
      <w:r w:rsidRPr="00B4146E">
        <w:rPr>
          <w:b/>
        </w:rPr>
        <w:lastRenderedPageBreak/>
        <w:t xml:space="preserve">ESKO </w:t>
      </w:r>
      <w:r w:rsidR="00D826E0" w:rsidRPr="00B4146E">
        <w:rPr>
          <w:b/>
        </w:rPr>
        <w:t xml:space="preserve">piemērošanas </w:t>
      </w:r>
      <w:r w:rsidRPr="00B4146E">
        <w:rPr>
          <w:b/>
        </w:rPr>
        <w:t xml:space="preserve">teorētiskais salīdzinājums </w:t>
      </w:r>
      <w:r w:rsidR="00D826E0" w:rsidRPr="00B4146E">
        <w:rPr>
          <w:b/>
        </w:rPr>
        <w:t>ar aiz</w:t>
      </w:r>
      <w:r w:rsidR="001A7694" w:rsidRPr="00B4146E">
        <w:rPr>
          <w:b/>
        </w:rPr>
        <w:t>dev</w:t>
      </w:r>
      <w:r w:rsidR="00D826E0" w:rsidRPr="00B4146E">
        <w:rPr>
          <w:b/>
        </w:rPr>
        <w:t xml:space="preserve">umiem, </w:t>
      </w:r>
      <w:r w:rsidR="00F07ACE" w:rsidRPr="00B4146E">
        <w:rPr>
          <w:b/>
        </w:rPr>
        <w:t xml:space="preserve">īstenojot apgaismes ķermeņu nomaiņas </w:t>
      </w:r>
      <w:r w:rsidR="00D826E0" w:rsidRPr="00B4146E">
        <w:rPr>
          <w:b/>
        </w:rPr>
        <w:t>projektu</w:t>
      </w:r>
      <w:r w:rsidR="00F07ACE" w:rsidRPr="00B4146E">
        <w:rPr>
          <w:b/>
        </w:rPr>
        <w:t>s</w:t>
      </w:r>
      <w:r w:rsidR="00D826E0" w:rsidRPr="00B4146E">
        <w:rPr>
          <w:b/>
        </w:rPr>
        <w:t xml:space="preserve"> </w:t>
      </w:r>
    </w:p>
    <w:p w:rsidR="005720D8" w:rsidRPr="00605710" w:rsidRDefault="005720D8" w:rsidP="005720D8">
      <w:pPr>
        <w:ind w:firstLine="709"/>
        <w:jc w:val="both"/>
      </w:pPr>
      <w:r w:rsidRPr="00605710">
        <w:t xml:space="preserve">ESKO ir pakalpojuma līgums, </w:t>
      </w:r>
      <w:r w:rsidR="00C332BB" w:rsidRPr="00605710">
        <w:t>turpretī</w:t>
      </w:r>
      <w:r w:rsidRPr="00605710">
        <w:t xml:space="preserve"> aizdevums ir finansēšanas līgums. Būtiskākās atšķirības</w:t>
      </w:r>
      <w:r w:rsidR="0003572D" w:rsidRPr="00605710">
        <w:t>,</w:t>
      </w:r>
      <w:r w:rsidRPr="00605710">
        <w:t xml:space="preserve"> noslēdzot ESKO līgumu</w:t>
      </w:r>
      <w:r w:rsidR="0003572D" w:rsidRPr="00605710">
        <w:t>,</w:t>
      </w:r>
      <w:r w:rsidRPr="00605710">
        <w:t xml:space="preserve"> salīdzinājumā ar aizdevumu</w:t>
      </w:r>
      <w:r w:rsidR="001A7694" w:rsidRPr="00605710">
        <w:t xml:space="preserve"> līgumu ir</w:t>
      </w:r>
      <w:r w:rsidRPr="00605710">
        <w:t>:</w:t>
      </w:r>
    </w:p>
    <w:p w:rsidR="005720D8" w:rsidRPr="00605710" w:rsidRDefault="005720D8" w:rsidP="005720D8">
      <w:pPr>
        <w:pStyle w:val="ListParagraph"/>
        <w:numPr>
          <w:ilvl w:val="0"/>
          <w:numId w:val="5"/>
        </w:numPr>
        <w:ind w:left="1134"/>
        <w:jc w:val="both"/>
      </w:pPr>
      <w:r w:rsidRPr="00605710">
        <w:t>ESKO uzņēmums nodrošina iegādāto iekārtu darbību visā ESKO līguma darbības laikā;</w:t>
      </w:r>
    </w:p>
    <w:p w:rsidR="005720D8" w:rsidRPr="00605710" w:rsidRDefault="00E24794" w:rsidP="005720D8">
      <w:pPr>
        <w:pStyle w:val="ListParagraph"/>
        <w:numPr>
          <w:ilvl w:val="0"/>
          <w:numId w:val="5"/>
        </w:numPr>
        <w:ind w:left="1134"/>
        <w:jc w:val="both"/>
      </w:pPr>
      <w:r w:rsidRPr="00605710">
        <w:t>ESKO uzņēmums garantē enerģijas</w:t>
      </w:r>
      <w:r w:rsidR="005720D8" w:rsidRPr="00605710">
        <w:t xml:space="preserve"> ietaupījumu salīdzinājumā ar situāciju pirms projekta </w:t>
      </w:r>
      <w:r w:rsidRPr="00605710">
        <w:t>īstenošanas</w:t>
      </w:r>
      <w:r w:rsidR="005720D8" w:rsidRPr="00605710">
        <w:t>;</w:t>
      </w:r>
    </w:p>
    <w:p w:rsidR="005720D8" w:rsidRPr="00605710" w:rsidRDefault="005720D8" w:rsidP="00F0263E">
      <w:pPr>
        <w:pStyle w:val="ListParagraph"/>
        <w:numPr>
          <w:ilvl w:val="0"/>
          <w:numId w:val="5"/>
        </w:numPr>
        <w:ind w:left="1134"/>
        <w:jc w:val="both"/>
      </w:pPr>
      <w:r w:rsidRPr="00605710">
        <w:t xml:space="preserve">ESKO </w:t>
      </w:r>
      <w:r w:rsidR="00702E16" w:rsidRPr="00605710">
        <w:t xml:space="preserve">līguma </w:t>
      </w:r>
      <w:r w:rsidRPr="00605710">
        <w:t xml:space="preserve">gadījumā lēmumus par nomaināmo infrastruktūru pieņem ESKO uzņēmuma speciālisti, kam ir lielāka </w:t>
      </w:r>
      <w:r w:rsidR="00C332BB" w:rsidRPr="00605710">
        <w:t xml:space="preserve">profesionālā </w:t>
      </w:r>
      <w:r w:rsidRPr="00605710">
        <w:t xml:space="preserve">pieredze nekā </w:t>
      </w:r>
      <w:r w:rsidR="00FB5ECB" w:rsidRPr="00605710">
        <w:t>pašvaldības</w:t>
      </w:r>
      <w:r w:rsidRPr="00605710">
        <w:t xml:space="preserve"> </w:t>
      </w:r>
      <w:r w:rsidR="00FB5ECB" w:rsidRPr="00605710">
        <w:t xml:space="preserve">kapitālsabiedrībai vai vietējā pašvaldībā esošajiem </w:t>
      </w:r>
      <w:r w:rsidRPr="00605710">
        <w:t xml:space="preserve">speciālistiem </w:t>
      </w:r>
      <w:r w:rsidR="00C332BB" w:rsidRPr="00605710">
        <w:t xml:space="preserve">attiecīgo </w:t>
      </w:r>
      <w:r w:rsidRPr="00605710">
        <w:t>tehnoloģiju jomā.</w:t>
      </w:r>
    </w:p>
    <w:p w:rsidR="005720D8" w:rsidRPr="00213BC9" w:rsidRDefault="00DF4B24" w:rsidP="00F0263E">
      <w:pPr>
        <w:ind w:firstLine="709"/>
        <w:jc w:val="both"/>
      </w:pPr>
      <w:r w:rsidRPr="00DC2348">
        <w:t>S</w:t>
      </w:r>
      <w:r w:rsidR="005720D8" w:rsidRPr="00DC2348">
        <w:t>alīdzinot projektus</w:t>
      </w:r>
      <w:r w:rsidRPr="00DC2348">
        <w:t>, kurus paredzēts īstenot</w:t>
      </w:r>
      <w:r w:rsidR="00A26A74" w:rsidRPr="00DC2348">
        <w:t>,</w:t>
      </w:r>
      <w:r w:rsidRPr="00DC2348">
        <w:t xml:space="preserve"> piemērojot</w:t>
      </w:r>
      <w:r w:rsidR="005720D8" w:rsidRPr="00DC2348">
        <w:t xml:space="preserve"> </w:t>
      </w:r>
      <w:r w:rsidRPr="00DC2348">
        <w:t xml:space="preserve">ESKO, </w:t>
      </w:r>
      <w:r w:rsidR="005720D8" w:rsidRPr="00DC2348">
        <w:t>ar projektiem, kuru</w:t>
      </w:r>
      <w:r w:rsidRPr="00DC2348">
        <w:t xml:space="preserve"> īstenošanai</w:t>
      </w:r>
      <w:r w:rsidR="005720D8" w:rsidRPr="00DC2348">
        <w:t xml:space="preserve"> </w:t>
      </w:r>
      <w:r w:rsidRPr="00DC2348">
        <w:t>tiks ņem</w:t>
      </w:r>
      <w:r w:rsidR="005720D8" w:rsidRPr="00DC2348">
        <w:t>t</w:t>
      </w:r>
      <w:r w:rsidRPr="00DC2348">
        <w:t>i</w:t>
      </w:r>
      <w:r w:rsidR="005720D8" w:rsidRPr="00DC2348">
        <w:t xml:space="preserve"> aizdevum</w:t>
      </w:r>
      <w:r w:rsidRPr="00DC2348">
        <w:t>i</w:t>
      </w:r>
      <w:r w:rsidR="005720D8" w:rsidRPr="00DC2348">
        <w:t>, ir jāņem vērā arī netiešās izmaksas projekta dzīves laikā. Aprēķinos netiek ņemta vērā inflācija projekta dzīves ciklā.</w:t>
      </w:r>
      <w:r w:rsidR="00CF3B9C" w:rsidRPr="00CF3B9C">
        <w:rPr>
          <w:b/>
        </w:rPr>
        <w:t xml:space="preserve"> </w:t>
      </w:r>
      <w:r w:rsidR="00CF3B9C" w:rsidRPr="00213BC9">
        <w:t xml:space="preserve">Tā kā, realizējot projektu ar ESKO, ikmēneša maksājumi nepalielinās un parasti pat samazinās, tad pašvaldības kapitālsabiedrībai saistību (maksājuma) apmēru, slēdzot ESKO līgumu, nav nepieciešams rēķināt, jo kopējās saistības nepalielināsies un parasti pat pašvaldību kapitālsabiedrību finansiālie rādītāji uzlabosies. Galvenais faktors, kas ietekmēs ESKO maksājumu pašvaldību kapitālsabiedrībām, ir plānotais elektroenerģijas patēriņa samazinājums. Jo lielāks ir plānotais elektroenerģijas patēriņa samazinājums, jo mazāks un </w:t>
      </w:r>
      <w:r w:rsidR="00DC2348" w:rsidRPr="00213BC9">
        <w:t xml:space="preserve">uz </w:t>
      </w:r>
      <w:r w:rsidR="00CF3B9C" w:rsidRPr="00213BC9">
        <w:t>īsāku termiņu būs ESKO maksājums. Otrs būtisks aspekts ESKO projektu izmaksu samazināšanai ir to apjoms un skaits, jo ESKO projektu efektivitāte un priekšrocība parādās, ja tiek realizēti daudzi līdzīgi projekti, kas nodrošinātu, ka samazinātos gan administratīvās izmaksas, gan uzturēšanas izmaksas, jo ESKO uzņēmums varētu plānot savu darbību ilgu periodu uz priekšu.</w:t>
      </w:r>
    </w:p>
    <w:p w:rsidR="005720D8" w:rsidRPr="00605710" w:rsidRDefault="005720D8" w:rsidP="005720D8">
      <w:pPr>
        <w:ind w:firstLine="709"/>
        <w:jc w:val="both"/>
      </w:pPr>
      <w:r w:rsidRPr="00605710">
        <w:t>Galvenie pieņēmumi:</w:t>
      </w:r>
    </w:p>
    <w:p w:rsidR="005720D8" w:rsidRPr="00605710" w:rsidRDefault="005720D8" w:rsidP="005720D8">
      <w:pPr>
        <w:tabs>
          <w:tab w:val="right" w:pos="7938"/>
        </w:tabs>
        <w:ind w:firstLine="709"/>
        <w:jc w:val="both"/>
      </w:pPr>
      <w:r w:rsidRPr="00605710">
        <w:t>Apgaismojuma stundu skaits gadā</w:t>
      </w:r>
      <w:r w:rsidR="00296BC6" w:rsidRPr="00605710">
        <w:t>,</w:t>
      </w:r>
      <w:r w:rsidRPr="00605710">
        <w:t xml:space="preserve"> vidēji</w:t>
      </w:r>
      <w:r w:rsidR="00296BC6" w:rsidRPr="00605710">
        <w:t xml:space="preserve"> (h)</w:t>
      </w:r>
      <w:r w:rsidRPr="00605710">
        <w:tab/>
        <w:t>3 900</w:t>
      </w:r>
    </w:p>
    <w:p w:rsidR="005720D8" w:rsidRPr="00605710" w:rsidRDefault="005720D8" w:rsidP="005720D8">
      <w:pPr>
        <w:tabs>
          <w:tab w:val="right" w:pos="7938"/>
        </w:tabs>
        <w:ind w:firstLine="709"/>
        <w:jc w:val="both"/>
      </w:pPr>
      <w:r w:rsidRPr="00605710">
        <w:t>Esošais elektroenerģijas patēriņš (kWh)</w:t>
      </w:r>
      <w:r w:rsidRPr="00605710">
        <w:tab/>
        <w:t>200 000</w:t>
      </w:r>
    </w:p>
    <w:p w:rsidR="005720D8" w:rsidRPr="00605710" w:rsidRDefault="005720D8" w:rsidP="005720D8">
      <w:pPr>
        <w:tabs>
          <w:tab w:val="right" w:pos="7938"/>
        </w:tabs>
        <w:ind w:firstLine="709"/>
        <w:jc w:val="both"/>
      </w:pPr>
      <w:r w:rsidRPr="00605710">
        <w:t>Elektroenerģijas patēriņš pēc projekta īstenošanas (kWh)</w:t>
      </w:r>
      <w:r w:rsidRPr="00605710">
        <w:tab/>
        <w:t>90 000</w:t>
      </w:r>
    </w:p>
    <w:p w:rsidR="005720D8" w:rsidRPr="00605710" w:rsidRDefault="005720D8" w:rsidP="005720D8">
      <w:pPr>
        <w:tabs>
          <w:tab w:val="right" w:pos="7938"/>
        </w:tabs>
        <w:ind w:firstLine="709"/>
        <w:jc w:val="both"/>
      </w:pPr>
      <w:r w:rsidRPr="00605710">
        <w:t>Uzturēšanas izmaksas % no investīcijām</w:t>
      </w:r>
      <w:r w:rsidRPr="00605710">
        <w:tab/>
        <w:t>1.5%</w:t>
      </w:r>
    </w:p>
    <w:p w:rsidR="005720D8" w:rsidRPr="00605710" w:rsidRDefault="005720D8" w:rsidP="005720D8">
      <w:pPr>
        <w:tabs>
          <w:tab w:val="right" w:pos="7938"/>
        </w:tabs>
        <w:ind w:firstLine="709"/>
        <w:jc w:val="both"/>
      </w:pPr>
      <w:r w:rsidRPr="00605710">
        <w:t>ESKO maksājums % no ekonomijas</w:t>
      </w:r>
      <w:r w:rsidRPr="00605710">
        <w:tab/>
        <w:t>90.0%</w:t>
      </w:r>
    </w:p>
    <w:p w:rsidR="005720D8" w:rsidRPr="00605710" w:rsidRDefault="005720D8" w:rsidP="00F0263E">
      <w:pPr>
        <w:tabs>
          <w:tab w:val="right" w:pos="7938"/>
        </w:tabs>
        <w:ind w:firstLine="709"/>
        <w:jc w:val="both"/>
      </w:pPr>
      <w:r w:rsidRPr="00605710">
        <w:t>Elektr</w:t>
      </w:r>
      <w:r w:rsidR="00296BC6" w:rsidRPr="00605710">
        <w:t xml:space="preserve">oenerģijas </w:t>
      </w:r>
      <w:r w:rsidRPr="00605710">
        <w:t xml:space="preserve">cena, </w:t>
      </w:r>
      <w:proofErr w:type="spellStart"/>
      <w:r w:rsidRPr="00605710">
        <w:rPr>
          <w:i/>
        </w:rPr>
        <w:t>euro</w:t>
      </w:r>
      <w:proofErr w:type="spellEnd"/>
      <w:r w:rsidRPr="00605710">
        <w:t>/1000kWh</w:t>
      </w:r>
      <w:r w:rsidRPr="00605710">
        <w:tab/>
        <w:t>158</w:t>
      </w:r>
    </w:p>
    <w:p w:rsidR="005720D8" w:rsidRPr="00605710" w:rsidRDefault="005720D8" w:rsidP="005720D8">
      <w:pPr>
        <w:ind w:firstLine="709"/>
        <w:jc w:val="both"/>
      </w:pPr>
      <w:r w:rsidRPr="007D4759">
        <w:rPr>
          <w:b/>
        </w:rPr>
        <w:t>Plānotā ekonomija projektu</w:t>
      </w:r>
      <w:r w:rsidR="00997954" w:rsidRPr="007D4759">
        <w:rPr>
          <w:b/>
        </w:rPr>
        <w:t xml:space="preserve"> īstenošanai</w:t>
      </w:r>
      <w:r w:rsidR="00A26A74" w:rsidRPr="007D4759">
        <w:rPr>
          <w:b/>
        </w:rPr>
        <w:t>,</w:t>
      </w:r>
      <w:r w:rsidRPr="007D4759">
        <w:rPr>
          <w:b/>
        </w:rPr>
        <w:t xml:space="preserve"> ņemot </w:t>
      </w:r>
      <w:r w:rsidR="00997954" w:rsidRPr="007D4759">
        <w:rPr>
          <w:b/>
        </w:rPr>
        <w:t xml:space="preserve">aizņēmumu </w:t>
      </w:r>
      <w:r w:rsidRPr="007D4759">
        <w:rPr>
          <w:b/>
        </w:rPr>
        <w:t xml:space="preserve">193 000 </w:t>
      </w:r>
      <w:proofErr w:type="spellStart"/>
      <w:r w:rsidRPr="007D4759">
        <w:rPr>
          <w:b/>
          <w:i/>
        </w:rPr>
        <w:t>euro</w:t>
      </w:r>
      <w:proofErr w:type="spellEnd"/>
      <w:r w:rsidRPr="007D4759">
        <w:rPr>
          <w:b/>
        </w:rPr>
        <w:t xml:space="preserve"> apmērā pie zemām tirgus pr</w:t>
      </w:r>
      <w:r w:rsidR="00997954" w:rsidRPr="007D4759">
        <w:rPr>
          <w:b/>
        </w:rPr>
        <w:t>ocentu likmēm (0.2% gadā)</w:t>
      </w:r>
      <w:r w:rsidR="00997954" w:rsidRPr="00605710">
        <w:t>.</w:t>
      </w:r>
    </w:p>
    <w:p w:rsidR="00997954" w:rsidRDefault="00997954" w:rsidP="00997954">
      <w:pPr>
        <w:ind w:firstLine="709"/>
        <w:jc w:val="right"/>
      </w:pPr>
      <w:r>
        <w:t>(</w:t>
      </w:r>
      <w:proofErr w:type="spellStart"/>
      <w:r w:rsidRPr="00997954">
        <w:rPr>
          <w:i/>
        </w:rPr>
        <w:t>euro</w:t>
      </w:r>
      <w:proofErr w:type="spellEnd"/>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75"/>
        <w:gridCol w:w="1710"/>
        <w:gridCol w:w="2068"/>
        <w:gridCol w:w="1599"/>
        <w:gridCol w:w="1600"/>
        <w:gridCol w:w="1476"/>
      </w:tblGrid>
      <w:tr w:rsidR="005720D8" w:rsidTr="005720D8">
        <w:trPr>
          <w:trHeight w:val="170"/>
        </w:trPr>
        <w:tc>
          <w:tcPr>
            <w:tcW w:w="94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rPr>
                <w:rFonts w:eastAsia="Times New Roman"/>
                <w:sz w:val="20"/>
                <w:szCs w:val="20"/>
                <w:lang w:eastAsia="lv-LV"/>
              </w:rPr>
            </w:pPr>
            <w:r>
              <w:rPr>
                <w:rFonts w:eastAsia="Times New Roman"/>
                <w:sz w:val="20"/>
                <w:szCs w:val="20"/>
                <w:lang w:eastAsia="lv-LV"/>
              </w:rPr>
              <w:t>Gads</w:t>
            </w:r>
          </w:p>
        </w:tc>
        <w:tc>
          <w:tcPr>
            <w:tcW w:w="1150" w:type="dxa"/>
            <w:tcBorders>
              <w:top w:val="single" w:sz="4" w:space="0" w:color="auto"/>
              <w:left w:val="single" w:sz="4" w:space="0" w:color="auto"/>
              <w:bottom w:val="single" w:sz="4" w:space="0" w:color="auto"/>
              <w:right w:val="single" w:sz="4" w:space="0" w:color="auto"/>
            </w:tcBorders>
            <w:vAlign w:val="bottom"/>
            <w:hideMark/>
          </w:tcPr>
          <w:p w:rsidR="005720D8" w:rsidRDefault="005720D8" w:rsidP="00352586">
            <w:pPr>
              <w:jc w:val="center"/>
              <w:rPr>
                <w:rFonts w:eastAsia="Times New Roman"/>
                <w:sz w:val="20"/>
                <w:szCs w:val="20"/>
                <w:lang w:eastAsia="lv-LV"/>
              </w:rPr>
            </w:pPr>
            <w:r>
              <w:rPr>
                <w:rFonts w:eastAsia="Times New Roman"/>
                <w:sz w:val="20"/>
                <w:szCs w:val="20"/>
                <w:lang w:eastAsia="lv-LV"/>
              </w:rPr>
              <w:t>Elektr</w:t>
            </w:r>
            <w:r w:rsidR="00352586">
              <w:rPr>
                <w:rFonts w:eastAsia="Times New Roman"/>
                <w:sz w:val="20"/>
                <w:szCs w:val="20"/>
                <w:lang w:eastAsia="lv-LV"/>
              </w:rPr>
              <w:t>oenerģij</w:t>
            </w:r>
            <w:r>
              <w:rPr>
                <w:rFonts w:eastAsia="Times New Roman"/>
                <w:sz w:val="20"/>
                <w:szCs w:val="20"/>
                <w:lang w:eastAsia="lv-LV"/>
              </w:rPr>
              <w:t>as ietaupījums</w:t>
            </w:r>
          </w:p>
        </w:tc>
        <w:tc>
          <w:tcPr>
            <w:tcW w:w="1653" w:type="dxa"/>
            <w:tcBorders>
              <w:top w:val="single" w:sz="4" w:space="0" w:color="auto"/>
              <w:left w:val="single" w:sz="4" w:space="0" w:color="auto"/>
              <w:bottom w:val="single" w:sz="4" w:space="0" w:color="auto"/>
              <w:right w:val="single" w:sz="4" w:space="0" w:color="auto"/>
            </w:tcBorders>
            <w:vAlign w:val="bottom"/>
            <w:hideMark/>
          </w:tcPr>
          <w:p w:rsidR="005720D8" w:rsidRDefault="00352586">
            <w:pPr>
              <w:jc w:val="center"/>
              <w:rPr>
                <w:rFonts w:eastAsia="Times New Roman"/>
                <w:sz w:val="20"/>
                <w:szCs w:val="20"/>
                <w:lang w:eastAsia="lv-LV"/>
              </w:rPr>
            </w:pPr>
            <w:r>
              <w:rPr>
                <w:rFonts w:eastAsia="Times New Roman"/>
                <w:sz w:val="20"/>
                <w:szCs w:val="20"/>
                <w:lang w:eastAsia="lv-LV"/>
              </w:rPr>
              <w:t>Aizņēmum</w:t>
            </w:r>
            <w:r w:rsidR="005720D8">
              <w:rPr>
                <w:rFonts w:eastAsia="Times New Roman"/>
                <w:sz w:val="20"/>
                <w:szCs w:val="20"/>
                <w:lang w:eastAsia="lv-LV"/>
              </w:rPr>
              <w:t>a atmaksa 15 gadi</w:t>
            </w:r>
          </w:p>
        </w:tc>
        <w:tc>
          <w:tcPr>
            <w:tcW w:w="1278" w:type="dxa"/>
            <w:tcBorders>
              <w:top w:val="single" w:sz="4" w:space="0" w:color="auto"/>
              <w:left w:val="single" w:sz="4" w:space="0" w:color="auto"/>
              <w:bottom w:val="single" w:sz="4" w:space="0" w:color="auto"/>
              <w:right w:val="single" w:sz="4" w:space="0" w:color="auto"/>
            </w:tcBorders>
            <w:vAlign w:val="bottom"/>
            <w:hideMark/>
          </w:tcPr>
          <w:p w:rsidR="005720D8" w:rsidRDefault="005720D8">
            <w:pPr>
              <w:jc w:val="center"/>
              <w:rPr>
                <w:rFonts w:eastAsia="Times New Roman"/>
                <w:sz w:val="20"/>
                <w:szCs w:val="20"/>
                <w:lang w:eastAsia="lv-LV"/>
              </w:rPr>
            </w:pPr>
            <w:r>
              <w:rPr>
                <w:rFonts w:eastAsia="Times New Roman"/>
                <w:sz w:val="20"/>
                <w:szCs w:val="20"/>
                <w:lang w:eastAsia="lv-LV"/>
              </w:rPr>
              <w:t>Procentu maksājumi</w:t>
            </w:r>
          </w:p>
        </w:tc>
        <w:tc>
          <w:tcPr>
            <w:tcW w:w="1279" w:type="dxa"/>
            <w:tcBorders>
              <w:top w:val="single" w:sz="4" w:space="0" w:color="auto"/>
              <w:left w:val="single" w:sz="4" w:space="0" w:color="auto"/>
              <w:bottom w:val="single" w:sz="4" w:space="0" w:color="auto"/>
              <w:right w:val="single" w:sz="4" w:space="0" w:color="auto"/>
            </w:tcBorders>
            <w:vAlign w:val="bottom"/>
            <w:hideMark/>
          </w:tcPr>
          <w:p w:rsidR="005720D8" w:rsidRDefault="005720D8">
            <w:pPr>
              <w:jc w:val="center"/>
              <w:rPr>
                <w:rFonts w:eastAsia="Times New Roman"/>
                <w:sz w:val="20"/>
                <w:szCs w:val="20"/>
                <w:lang w:eastAsia="lv-LV"/>
              </w:rPr>
            </w:pPr>
            <w:r>
              <w:rPr>
                <w:rFonts w:eastAsia="Times New Roman"/>
                <w:sz w:val="20"/>
                <w:szCs w:val="20"/>
                <w:lang w:eastAsia="lv-LV"/>
              </w:rPr>
              <w:t>Uzturēšanas izmaksas</w:t>
            </w:r>
          </w:p>
        </w:tc>
        <w:tc>
          <w:tcPr>
            <w:tcW w:w="1180" w:type="dxa"/>
            <w:tcBorders>
              <w:top w:val="single" w:sz="4" w:space="0" w:color="auto"/>
              <w:left w:val="single" w:sz="4" w:space="0" w:color="auto"/>
              <w:bottom w:val="single" w:sz="4" w:space="0" w:color="auto"/>
              <w:right w:val="single" w:sz="4" w:space="0" w:color="auto"/>
            </w:tcBorders>
            <w:vAlign w:val="bottom"/>
            <w:hideMark/>
          </w:tcPr>
          <w:p w:rsidR="005720D8" w:rsidRDefault="005720D8">
            <w:pPr>
              <w:jc w:val="center"/>
              <w:rPr>
                <w:rFonts w:eastAsia="Times New Roman"/>
                <w:b/>
                <w:bCs/>
                <w:sz w:val="20"/>
                <w:szCs w:val="20"/>
                <w:lang w:eastAsia="lv-LV"/>
              </w:rPr>
            </w:pPr>
            <w:r>
              <w:rPr>
                <w:rFonts w:eastAsia="Times New Roman"/>
                <w:b/>
                <w:bCs/>
                <w:sz w:val="20"/>
                <w:szCs w:val="20"/>
                <w:lang w:eastAsia="lv-LV"/>
              </w:rPr>
              <w:t>Ekonomija kopā</w:t>
            </w:r>
          </w:p>
        </w:tc>
      </w:tr>
      <w:tr w:rsidR="005720D8" w:rsidTr="005720D8">
        <w:trPr>
          <w:trHeight w:val="170"/>
        </w:trPr>
        <w:tc>
          <w:tcPr>
            <w:tcW w:w="940"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2016</w:t>
            </w:r>
          </w:p>
        </w:tc>
        <w:tc>
          <w:tcPr>
            <w:tcW w:w="115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rPr>
                <w:rFonts w:eastAsia="Times New Roman"/>
                <w:sz w:val="20"/>
                <w:szCs w:val="20"/>
                <w:lang w:eastAsia="lv-LV"/>
              </w:rPr>
            </w:pPr>
            <w:r>
              <w:rPr>
                <w:rFonts w:eastAsia="Times New Roman"/>
                <w:sz w:val="20"/>
                <w:szCs w:val="20"/>
                <w:lang w:eastAsia="lv-LV"/>
              </w:rPr>
              <w:t> </w:t>
            </w:r>
          </w:p>
        </w:tc>
        <w:tc>
          <w:tcPr>
            <w:tcW w:w="1653"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rPr>
                <w:rFonts w:eastAsia="Times New Roman"/>
                <w:sz w:val="20"/>
                <w:szCs w:val="20"/>
                <w:lang w:eastAsia="lv-LV"/>
              </w:rPr>
            </w:pPr>
            <w:r>
              <w:rPr>
                <w:rFonts w:eastAsia="Times New Roman"/>
                <w:sz w:val="20"/>
                <w:szCs w:val="20"/>
                <w:lang w:eastAsia="lv-LV"/>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-386</w:t>
            </w:r>
          </w:p>
        </w:tc>
        <w:tc>
          <w:tcPr>
            <w:tcW w:w="127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-2 895</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color w:val="FF0000"/>
                <w:sz w:val="20"/>
                <w:szCs w:val="20"/>
                <w:lang w:eastAsia="lv-LV"/>
              </w:rPr>
              <w:t xml:space="preserve">-3 281 </w:t>
            </w:r>
          </w:p>
        </w:tc>
      </w:tr>
      <w:tr w:rsidR="005720D8" w:rsidTr="005720D8">
        <w:trPr>
          <w:trHeight w:val="170"/>
        </w:trPr>
        <w:tc>
          <w:tcPr>
            <w:tcW w:w="940"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2017</w:t>
            </w:r>
          </w:p>
        </w:tc>
        <w:tc>
          <w:tcPr>
            <w:tcW w:w="115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17 380</w:t>
            </w:r>
          </w:p>
        </w:tc>
        <w:tc>
          <w:tcPr>
            <w:tcW w:w="1653"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-12 867</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-386</w:t>
            </w:r>
          </w:p>
        </w:tc>
        <w:tc>
          <w:tcPr>
            <w:tcW w:w="127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-2 895</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 xml:space="preserve">1 232 </w:t>
            </w:r>
          </w:p>
        </w:tc>
      </w:tr>
      <w:tr w:rsidR="005720D8" w:rsidTr="005720D8">
        <w:trPr>
          <w:trHeight w:val="170"/>
        </w:trPr>
        <w:tc>
          <w:tcPr>
            <w:tcW w:w="940"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2018</w:t>
            </w:r>
          </w:p>
        </w:tc>
        <w:tc>
          <w:tcPr>
            <w:tcW w:w="115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17 380</w:t>
            </w:r>
          </w:p>
        </w:tc>
        <w:tc>
          <w:tcPr>
            <w:tcW w:w="1653"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-12 867</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-360</w:t>
            </w:r>
          </w:p>
        </w:tc>
        <w:tc>
          <w:tcPr>
            <w:tcW w:w="127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-2 895</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 xml:space="preserve">1 258 </w:t>
            </w:r>
          </w:p>
        </w:tc>
      </w:tr>
      <w:tr w:rsidR="005720D8" w:rsidTr="005720D8">
        <w:trPr>
          <w:trHeight w:val="170"/>
        </w:trPr>
        <w:tc>
          <w:tcPr>
            <w:tcW w:w="940"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2019</w:t>
            </w:r>
          </w:p>
        </w:tc>
        <w:tc>
          <w:tcPr>
            <w:tcW w:w="115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17 380</w:t>
            </w:r>
          </w:p>
        </w:tc>
        <w:tc>
          <w:tcPr>
            <w:tcW w:w="1653"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-12 867</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-335</w:t>
            </w:r>
          </w:p>
        </w:tc>
        <w:tc>
          <w:tcPr>
            <w:tcW w:w="127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-2 895</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 xml:space="preserve">1 284 </w:t>
            </w:r>
          </w:p>
        </w:tc>
      </w:tr>
      <w:tr w:rsidR="005720D8" w:rsidTr="005720D8">
        <w:trPr>
          <w:trHeight w:val="170"/>
        </w:trPr>
        <w:tc>
          <w:tcPr>
            <w:tcW w:w="940"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2020</w:t>
            </w:r>
          </w:p>
        </w:tc>
        <w:tc>
          <w:tcPr>
            <w:tcW w:w="115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17 380</w:t>
            </w:r>
          </w:p>
        </w:tc>
        <w:tc>
          <w:tcPr>
            <w:tcW w:w="1653"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-12 867</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-309</w:t>
            </w:r>
          </w:p>
        </w:tc>
        <w:tc>
          <w:tcPr>
            <w:tcW w:w="127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-2 895</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 xml:space="preserve">1 310 </w:t>
            </w:r>
          </w:p>
        </w:tc>
      </w:tr>
      <w:tr w:rsidR="005720D8" w:rsidTr="005720D8">
        <w:trPr>
          <w:trHeight w:val="170"/>
        </w:trPr>
        <w:tc>
          <w:tcPr>
            <w:tcW w:w="940"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2021</w:t>
            </w:r>
          </w:p>
        </w:tc>
        <w:tc>
          <w:tcPr>
            <w:tcW w:w="115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17 380</w:t>
            </w:r>
          </w:p>
        </w:tc>
        <w:tc>
          <w:tcPr>
            <w:tcW w:w="1653"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-12 867</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-283</w:t>
            </w:r>
          </w:p>
        </w:tc>
        <w:tc>
          <w:tcPr>
            <w:tcW w:w="127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-2 895</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 xml:space="preserve">1 335 </w:t>
            </w:r>
          </w:p>
        </w:tc>
      </w:tr>
      <w:tr w:rsidR="005720D8" w:rsidTr="005720D8">
        <w:trPr>
          <w:trHeight w:val="170"/>
        </w:trPr>
        <w:tc>
          <w:tcPr>
            <w:tcW w:w="940"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2022</w:t>
            </w:r>
          </w:p>
        </w:tc>
        <w:tc>
          <w:tcPr>
            <w:tcW w:w="115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17 380</w:t>
            </w:r>
          </w:p>
        </w:tc>
        <w:tc>
          <w:tcPr>
            <w:tcW w:w="1653"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-12 867</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-257</w:t>
            </w:r>
          </w:p>
        </w:tc>
        <w:tc>
          <w:tcPr>
            <w:tcW w:w="127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-2 895</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 xml:space="preserve">1 361 </w:t>
            </w:r>
          </w:p>
        </w:tc>
      </w:tr>
      <w:tr w:rsidR="005720D8" w:rsidTr="005720D8">
        <w:trPr>
          <w:trHeight w:val="170"/>
        </w:trPr>
        <w:tc>
          <w:tcPr>
            <w:tcW w:w="940"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2023</w:t>
            </w:r>
          </w:p>
        </w:tc>
        <w:tc>
          <w:tcPr>
            <w:tcW w:w="115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17 380</w:t>
            </w:r>
          </w:p>
        </w:tc>
        <w:tc>
          <w:tcPr>
            <w:tcW w:w="1653"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-12 867</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-232</w:t>
            </w:r>
          </w:p>
        </w:tc>
        <w:tc>
          <w:tcPr>
            <w:tcW w:w="127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-2 895</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 xml:space="preserve">1 387 </w:t>
            </w:r>
          </w:p>
        </w:tc>
      </w:tr>
      <w:tr w:rsidR="005720D8" w:rsidTr="005720D8">
        <w:trPr>
          <w:trHeight w:val="170"/>
        </w:trPr>
        <w:tc>
          <w:tcPr>
            <w:tcW w:w="940"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2024</w:t>
            </w:r>
          </w:p>
        </w:tc>
        <w:tc>
          <w:tcPr>
            <w:tcW w:w="115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17 380</w:t>
            </w:r>
          </w:p>
        </w:tc>
        <w:tc>
          <w:tcPr>
            <w:tcW w:w="1653"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-12 867</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-206</w:t>
            </w:r>
          </w:p>
        </w:tc>
        <w:tc>
          <w:tcPr>
            <w:tcW w:w="127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-2 895</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 xml:space="preserve">1 412 </w:t>
            </w:r>
          </w:p>
        </w:tc>
      </w:tr>
      <w:tr w:rsidR="005720D8" w:rsidTr="005720D8">
        <w:trPr>
          <w:trHeight w:val="170"/>
        </w:trPr>
        <w:tc>
          <w:tcPr>
            <w:tcW w:w="940"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2025</w:t>
            </w:r>
          </w:p>
        </w:tc>
        <w:tc>
          <w:tcPr>
            <w:tcW w:w="115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17 380</w:t>
            </w:r>
          </w:p>
        </w:tc>
        <w:tc>
          <w:tcPr>
            <w:tcW w:w="1653"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-12 867</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-180</w:t>
            </w:r>
          </w:p>
        </w:tc>
        <w:tc>
          <w:tcPr>
            <w:tcW w:w="127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-2 895</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 xml:space="preserve">1 438 </w:t>
            </w:r>
          </w:p>
        </w:tc>
      </w:tr>
      <w:tr w:rsidR="005720D8" w:rsidTr="005720D8">
        <w:trPr>
          <w:trHeight w:val="170"/>
        </w:trPr>
        <w:tc>
          <w:tcPr>
            <w:tcW w:w="940"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2026</w:t>
            </w:r>
          </w:p>
        </w:tc>
        <w:tc>
          <w:tcPr>
            <w:tcW w:w="115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17 380</w:t>
            </w:r>
          </w:p>
        </w:tc>
        <w:tc>
          <w:tcPr>
            <w:tcW w:w="1653"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-12 867</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-154</w:t>
            </w:r>
          </w:p>
        </w:tc>
        <w:tc>
          <w:tcPr>
            <w:tcW w:w="127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-2 895</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 xml:space="preserve">1 464 </w:t>
            </w:r>
          </w:p>
        </w:tc>
      </w:tr>
      <w:tr w:rsidR="005720D8" w:rsidTr="005720D8">
        <w:trPr>
          <w:trHeight w:val="170"/>
        </w:trPr>
        <w:tc>
          <w:tcPr>
            <w:tcW w:w="940"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2027</w:t>
            </w:r>
          </w:p>
        </w:tc>
        <w:tc>
          <w:tcPr>
            <w:tcW w:w="115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17 380</w:t>
            </w:r>
          </w:p>
        </w:tc>
        <w:tc>
          <w:tcPr>
            <w:tcW w:w="1653"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-12 867</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-129</w:t>
            </w:r>
          </w:p>
        </w:tc>
        <w:tc>
          <w:tcPr>
            <w:tcW w:w="127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-2 895</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 xml:space="preserve">1 490 </w:t>
            </w:r>
          </w:p>
        </w:tc>
      </w:tr>
      <w:tr w:rsidR="005720D8" w:rsidTr="005720D8">
        <w:trPr>
          <w:trHeight w:val="170"/>
        </w:trPr>
        <w:tc>
          <w:tcPr>
            <w:tcW w:w="940"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2028</w:t>
            </w:r>
          </w:p>
        </w:tc>
        <w:tc>
          <w:tcPr>
            <w:tcW w:w="115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17 380</w:t>
            </w:r>
          </w:p>
        </w:tc>
        <w:tc>
          <w:tcPr>
            <w:tcW w:w="1653"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-12 867</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-103</w:t>
            </w:r>
          </w:p>
        </w:tc>
        <w:tc>
          <w:tcPr>
            <w:tcW w:w="127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-2 895</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 xml:space="preserve">1 515 </w:t>
            </w:r>
          </w:p>
        </w:tc>
      </w:tr>
      <w:tr w:rsidR="005720D8" w:rsidTr="005720D8">
        <w:trPr>
          <w:trHeight w:val="170"/>
        </w:trPr>
        <w:tc>
          <w:tcPr>
            <w:tcW w:w="940"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2029</w:t>
            </w:r>
          </w:p>
        </w:tc>
        <w:tc>
          <w:tcPr>
            <w:tcW w:w="115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17 380</w:t>
            </w:r>
          </w:p>
        </w:tc>
        <w:tc>
          <w:tcPr>
            <w:tcW w:w="1653"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-12 867</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-77</w:t>
            </w:r>
          </w:p>
        </w:tc>
        <w:tc>
          <w:tcPr>
            <w:tcW w:w="127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-2 895</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 xml:space="preserve">1 541 </w:t>
            </w:r>
          </w:p>
        </w:tc>
      </w:tr>
      <w:tr w:rsidR="005720D8" w:rsidTr="005720D8">
        <w:trPr>
          <w:trHeight w:val="170"/>
        </w:trPr>
        <w:tc>
          <w:tcPr>
            <w:tcW w:w="940"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2030</w:t>
            </w:r>
          </w:p>
        </w:tc>
        <w:tc>
          <w:tcPr>
            <w:tcW w:w="115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17 380</w:t>
            </w:r>
          </w:p>
        </w:tc>
        <w:tc>
          <w:tcPr>
            <w:tcW w:w="1653"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-12 867</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-51</w:t>
            </w:r>
          </w:p>
        </w:tc>
        <w:tc>
          <w:tcPr>
            <w:tcW w:w="127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-2 895</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 xml:space="preserve">1 567 </w:t>
            </w:r>
          </w:p>
        </w:tc>
      </w:tr>
      <w:tr w:rsidR="005720D8" w:rsidTr="005720D8">
        <w:trPr>
          <w:trHeight w:val="170"/>
        </w:trPr>
        <w:tc>
          <w:tcPr>
            <w:tcW w:w="940"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2031</w:t>
            </w:r>
          </w:p>
        </w:tc>
        <w:tc>
          <w:tcPr>
            <w:tcW w:w="115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17 380</w:t>
            </w:r>
          </w:p>
        </w:tc>
        <w:tc>
          <w:tcPr>
            <w:tcW w:w="1653"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-12 867</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-26</w:t>
            </w:r>
          </w:p>
        </w:tc>
        <w:tc>
          <w:tcPr>
            <w:tcW w:w="127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-2 895</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 xml:space="preserve">1 593 </w:t>
            </w:r>
          </w:p>
        </w:tc>
      </w:tr>
      <w:tr w:rsidR="005720D8" w:rsidTr="005720D8">
        <w:trPr>
          <w:trHeight w:val="170"/>
        </w:trPr>
        <w:tc>
          <w:tcPr>
            <w:tcW w:w="94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rPr>
                <w:rFonts w:eastAsia="Times New Roman"/>
                <w:b/>
                <w:bCs/>
                <w:sz w:val="20"/>
                <w:szCs w:val="20"/>
                <w:lang w:eastAsia="lv-LV"/>
              </w:rPr>
            </w:pPr>
            <w:r>
              <w:rPr>
                <w:rFonts w:eastAsia="Times New Roman"/>
                <w:b/>
                <w:bCs/>
                <w:sz w:val="20"/>
                <w:szCs w:val="20"/>
                <w:lang w:eastAsia="lv-LV"/>
              </w:rPr>
              <w:t>KOPĀ</w:t>
            </w:r>
          </w:p>
        </w:tc>
        <w:tc>
          <w:tcPr>
            <w:tcW w:w="115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b/>
                <w:bCs/>
                <w:sz w:val="20"/>
                <w:szCs w:val="20"/>
                <w:lang w:eastAsia="lv-LV"/>
              </w:rPr>
            </w:pPr>
            <w:r>
              <w:rPr>
                <w:rFonts w:eastAsia="Times New Roman"/>
                <w:b/>
                <w:bCs/>
                <w:sz w:val="20"/>
                <w:szCs w:val="20"/>
                <w:lang w:eastAsia="lv-LV"/>
              </w:rPr>
              <w:t>260 700</w:t>
            </w:r>
          </w:p>
        </w:tc>
        <w:tc>
          <w:tcPr>
            <w:tcW w:w="1653"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b/>
                <w:bCs/>
                <w:sz w:val="20"/>
                <w:szCs w:val="20"/>
                <w:lang w:eastAsia="lv-LV"/>
              </w:rPr>
            </w:pPr>
            <w:r>
              <w:rPr>
                <w:rFonts w:eastAsia="Times New Roman"/>
                <w:b/>
                <w:bCs/>
                <w:sz w:val="20"/>
                <w:szCs w:val="20"/>
                <w:lang w:eastAsia="lv-LV"/>
              </w:rPr>
              <w:t>-193 000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b/>
                <w:bCs/>
                <w:sz w:val="20"/>
                <w:szCs w:val="20"/>
                <w:lang w:eastAsia="lv-LV"/>
              </w:rPr>
            </w:pPr>
            <w:r>
              <w:rPr>
                <w:rFonts w:eastAsia="Times New Roman"/>
                <w:b/>
                <w:bCs/>
                <w:sz w:val="20"/>
                <w:szCs w:val="20"/>
                <w:lang w:eastAsia="lv-LV"/>
              </w:rPr>
              <w:t>-3 474</w:t>
            </w:r>
          </w:p>
        </w:tc>
        <w:tc>
          <w:tcPr>
            <w:tcW w:w="127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b/>
                <w:bCs/>
                <w:sz w:val="20"/>
                <w:szCs w:val="20"/>
                <w:lang w:eastAsia="lv-LV"/>
              </w:rPr>
            </w:pPr>
            <w:r>
              <w:rPr>
                <w:rFonts w:eastAsia="Times New Roman"/>
                <w:b/>
                <w:bCs/>
                <w:sz w:val="20"/>
                <w:szCs w:val="20"/>
                <w:lang w:eastAsia="lv-LV"/>
              </w:rPr>
              <w:t>-46 320</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b/>
                <w:bCs/>
                <w:sz w:val="20"/>
                <w:szCs w:val="20"/>
                <w:lang w:eastAsia="lv-LV"/>
              </w:rPr>
            </w:pPr>
            <w:r>
              <w:rPr>
                <w:rFonts w:eastAsia="Times New Roman"/>
                <w:b/>
                <w:bCs/>
                <w:sz w:val="20"/>
                <w:szCs w:val="20"/>
                <w:lang w:eastAsia="lv-LV"/>
              </w:rPr>
              <w:t xml:space="preserve">17 906 </w:t>
            </w:r>
          </w:p>
        </w:tc>
      </w:tr>
    </w:tbl>
    <w:p w:rsidR="005720D8" w:rsidRDefault="005720D8" w:rsidP="005720D8">
      <w:pPr>
        <w:jc w:val="both"/>
      </w:pPr>
    </w:p>
    <w:p w:rsidR="005720D8" w:rsidRPr="00E50AD2" w:rsidRDefault="005720D8" w:rsidP="005720D8">
      <w:pPr>
        <w:ind w:firstLine="709"/>
        <w:jc w:val="both"/>
        <w:rPr>
          <w:b/>
        </w:rPr>
      </w:pPr>
      <w:r w:rsidRPr="00E50AD2">
        <w:rPr>
          <w:b/>
        </w:rPr>
        <w:lastRenderedPageBreak/>
        <w:t xml:space="preserve">Plānotā ekonomija projektu </w:t>
      </w:r>
      <w:r w:rsidR="002B57DC" w:rsidRPr="00E50AD2">
        <w:rPr>
          <w:b/>
        </w:rPr>
        <w:t>īstenošanai</w:t>
      </w:r>
      <w:r w:rsidR="00BC4B87">
        <w:rPr>
          <w:b/>
        </w:rPr>
        <w:t>,</w:t>
      </w:r>
      <w:r w:rsidRPr="00E50AD2">
        <w:rPr>
          <w:b/>
        </w:rPr>
        <w:t xml:space="preserve"> ņemot </w:t>
      </w:r>
      <w:r w:rsidR="002B57DC" w:rsidRPr="00E50AD2">
        <w:rPr>
          <w:b/>
        </w:rPr>
        <w:t>aizņēmumu</w:t>
      </w:r>
      <w:r w:rsidRPr="00E50AD2">
        <w:rPr>
          <w:b/>
        </w:rPr>
        <w:t xml:space="preserve"> 193 000 </w:t>
      </w:r>
      <w:proofErr w:type="spellStart"/>
      <w:r w:rsidRPr="00E50AD2">
        <w:rPr>
          <w:b/>
          <w:i/>
        </w:rPr>
        <w:t>euro</w:t>
      </w:r>
      <w:proofErr w:type="spellEnd"/>
      <w:r w:rsidRPr="00E50AD2">
        <w:rPr>
          <w:b/>
          <w:i/>
        </w:rPr>
        <w:t xml:space="preserve"> </w:t>
      </w:r>
      <w:r w:rsidRPr="00E50AD2">
        <w:rPr>
          <w:b/>
        </w:rPr>
        <w:t xml:space="preserve">apmērā pie vidējām tirgus procentu likmēm (3% gadā). </w:t>
      </w:r>
    </w:p>
    <w:p w:rsidR="00352586" w:rsidRDefault="00352586" w:rsidP="00352586">
      <w:pPr>
        <w:ind w:firstLine="709"/>
        <w:jc w:val="right"/>
      </w:pPr>
      <w:r>
        <w:t>(</w:t>
      </w:r>
      <w:proofErr w:type="spellStart"/>
      <w:r w:rsidRPr="00352586">
        <w:rPr>
          <w:i/>
        </w:rPr>
        <w:t>euro</w:t>
      </w:r>
      <w:proofErr w:type="spellEnd"/>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10"/>
        <w:gridCol w:w="1480"/>
        <w:gridCol w:w="2127"/>
        <w:gridCol w:w="1645"/>
        <w:gridCol w:w="1647"/>
        <w:gridCol w:w="1519"/>
      </w:tblGrid>
      <w:tr w:rsidR="005720D8" w:rsidTr="005720D8">
        <w:trPr>
          <w:trHeight w:val="170"/>
        </w:trPr>
        <w:tc>
          <w:tcPr>
            <w:tcW w:w="121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rPr>
                <w:rFonts w:eastAsia="Times New Roman"/>
                <w:sz w:val="20"/>
                <w:szCs w:val="20"/>
                <w:lang w:eastAsia="lv-LV"/>
              </w:rPr>
            </w:pPr>
            <w:r>
              <w:rPr>
                <w:rFonts w:eastAsia="Times New Roman"/>
                <w:sz w:val="20"/>
                <w:szCs w:val="20"/>
                <w:lang w:eastAsia="lv-LV"/>
              </w:rPr>
              <w:t>Gads</w:t>
            </w:r>
          </w:p>
        </w:tc>
        <w:tc>
          <w:tcPr>
            <w:tcW w:w="1490" w:type="dxa"/>
            <w:tcBorders>
              <w:top w:val="single" w:sz="4" w:space="0" w:color="auto"/>
              <w:left w:val="single" w:sz="4" w:space="0" w:color="auto"/>
              <w:bottom w:val="single" w:sz="4" w:space="0" w:color="auto"/>
              <w:right w:val="single" w:sz="4" w:space="0" w:color="auto"/>
            </w:tcBorders>
            <w:vAlign w:val="bottom"/>
            <w:hideMark/>
          </w:tcPr>
          <w:p w:rsidR="005720D8" w:rsidRDefault="005720D8" w:rsidP="009B1702">
            <w:pPr>
              <w:jc w:val="center"/>
              <w:rPr>
                <w:rFonts w:eastAsia="Times New Roman"/>
                <w:sz w:val="20"/>
                <w:szCs w:val="20"/>
                <w:lang w:eastAsia="lv-LV"/>
              </w:rPr>
            </w:pPr>
            <w:r>
              <w:rPr>
                <w:rFonts w:eastAsia="Times New Roman"/>
                <w:sz w:val="20"/>
                <w:szCs w:val="20"/>
                <w:lang w:eastAsia="lv-LV"/>
              </w:rPr>
              <w:t>Elektr</w:t>
            </w:r>
            <w:r w:rsidR="009B1702">
              <w:rPr>
                <w:rFonts w:eastAsia="Times New Roman"/>
                <w:sz w:val="20"/>
                <w:szCs w:val="20"/>
                <w:lang w:eastAsia="lv-LV"/>
              </w:rPr>
              <w:t>oenerģij</w:t>
            </w:r>
            <w:r>
              <w:rPr>
                <w:rFonts w:eastAsia="Times New Roman"/>
                <w:sz w:val="20"/>
                <w:szCs w:val="20"/>
                <w:lang w:eastAsia="lv-LV"/>
              </w:rPr>
              <w:t>as ietaupījums</w:t>
            </w:r>
          </w:p>
        </w:tc>
        <w:tc>
          <w:tcPr>
            <w:tcW w:w="2142" w:type="dxa"/>
            <w:tcBorders>
              <w:top w:val="single" w:sz="4" w:space="0" w:color="auto"/>
              <w:left w:val="single" w:sz="4" w:space="0" w:color="auto"/>
              <w:bottom w:val="single" w:sz="4" w:space="0" w:color="auto"/>
              <w:right w:val="single" w:sz="4" w:space="0" w:color="auto"/>
            </w:tcBorders>
            <w:vAlign w:val="bottom"/>
            <w:hideMark/>
          </w:tcPr>
          <w:p w:rsidR="005720D8" w:rsidRDefault="009B1702" w:rsidP="009B1702">
            <w:pPr>
              <w:jc w:val="center"/>
              <w:rPr>
                <w:rFonts w:eastAsia="Times New Roman"/>
                <w:sz w:val="20"/>
                <w:szCs w:val="20"/>
                <w:lang w:eastAsia="lv-LV"/>
              </w:rPr>
            </w:pPr>
            <w:r>
              <w:rPr>
                <w:rFonts w:eastAsia="Times New Roman"/>
                <w:sz w:val="20"/>
                <w:szCs w:val="20"/>
                <w:lang w:eastAsia="lv-LV"/>
              </w:rPr>
              <w:t>Aizņēmum</w:t>
            </w:r>
            <w:r w:rsidR="005720D8">
              <w:rPr>
                <w:rFonts w:eastAsia="Times New Roman"/>
                <w:sz w:val="20"/>
                <w:szCs w:val="20"/>
                <w:lang w:eastAsia="lv-LV"/>
              </w:rPr>
              <w:t>a atmaksa 15 gadi</w:t>
            </w:r>
          </w:p>
        </w:tc>
        <w:tc>
          <w:tcPr>
            <w:tcW w:w="1656" w:type="dxa"/>
            <w:tcBorders>
              <w:top w:val="single" w:sz="4" w:space="0" w:color="auto"/>
              <w:left w:val="single" w:sz="4" w:space="0" w:color="auto"/>
              <w:bottom w:val="single" w:sz="4" w:space="0" w:color="auto"/>
              <w:right w:val="single" w:sz="4" w:space="0" w:color="auto"/>
            </w:tcBorders>
            <w:vAlign w:val="bottom"/>
            <w:hideMark/>
          </w:tcPr>
          <w:p w:rsidR="005720D8" w:rsidRDefault="005720D8">
            <w:pPr>
              <w:jc w:val="center"/>
              <w:rPr>
                <w:rFonts w:eastAsia="Times New Roman"/>
                <w:sz w:val="20"/>
                <w:szCs w:val="20"/>
                <w:lang w:eastAsia="lv-LV"/>
              </w:rPr>
            </w:pPr>
            <w:r>
              <w:rPr>
                <w:rFonts w:eastAsia="Times New Roman"/>
                <w:sz w:val="20"/>
                <w:szCs w:val="20"/>
                <w:lang w:eastAsia="lv-LV"/>
              </w:rPr>
              <w:t>Procentu maksājumi</w:t>
            </w:r>
          </w:p>
        </w:tc>
        <w:tc>
          <w:tcPr>
            <w:tcW w:w="1658" w:type="dxa"/>
            <w:tcBorders>
              <w:top w:val="single" w:sz="4" w:space="0" w:color="auto"/>
              <w:left w:val="single" w:sz="4" w:space="0" w:color="auto"/>
              <w:bottom w:val="single" w:sz="4" w:space="0" w:color="auto"/>
              <w:right w:val="single" w:sz="4" w:space="0" w:color="auto"/>
            </w:tcBorders>
            <w:vAlign w:val="bottom"/>
            <w:hideMark/>
          </w:tcPr>
          <w:p w:rsidR="005720D8" w:rsidRDefault="005720D8">
            <w:pPr>
              <w:jc w:val="center"/>
              <w:rPr>
                <w:rFonts w:eastAsia="Times New Roman"/>
                <w:sz w:val="20"/>
                <w:szCs w:val="20"/>
                <w:lang w:eastAsia="lv-LV"/>
              </w:rPr>
            </w:pPr>
            <w:r>
              <w:rPr>
                <w:rFonts w:eastAsia="Times New Roman"/>
                <w:sz w:val="20"/>
                <w:szCs w:val="20"/>
                <w:lang w:eastAsia="lv-LV"/>
              </w:rPr>
              <w:t>Uzturēšanas izmaksas</w:t>
            </w:r>
          </w:p>
        </w:tc>
        <w:tc>
          <w:tcPr>
            <w:tcW w:w="1529" w:type="dxa"/>
            <w:tcBorders>
              <w:top w:val="single" w:sz="4" w:space="0" w:color="auto"/>
              <w:left w:val="single" w:sz="4" w:space="0" w:color="auto"/>
              <w:bottom w:val="single" w:sz="4" w:space="0" w:color="auto"/>
              <w:right w:val="single" w:sz="4" w:space="0" w:color="auto"/>
            </w:tcBorders>
            <w:vAlign w:val="bottom"/>
            <w:hideMark/>
          </w:tcPr>
          <w:p w:rsidR="005720D8" w:rsidRDefault="005720D8">
            <w:pPr>
              <w:jc w:val="center"/>
              <w:rPr>
                <w:rFonts w:eastAsia="Times New Roman"/>
                <w:b/>
                <w:bCs/>
                <w:sz w:val="20"/>
                <w:szCs w:val="20"/>
                <w:lang w:eastAsia="lv-LV"/>
              </w:rPr>
            </w:pPr>
            <w:r>
              <w:rPr>
                <w:rFonts w:eastAsia="Times New Roman"/>
                <w:b/>
                <w:bCs/>
                <w:sz w:val="20"/>
                <w:szCs w:val="20"/>
                <w:lang w:eastAsia="lv-LV"/>
              </w:rPr>
              <w:t>Ekonomija kopā</w:t>
            </w:r>
          </w:p>
        </w:tc>
      </w:tr>
      <w:tr w:rsidR="005720D8" w:rsidTr="005720D8">
        <w:trPr>
          <w:trHeight w:val="170"/>
        </w:trPr>
        <w:tc>
          <w:tcPr>
            <w:tcW w:w="1219"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2016</w:t>
            </w:r>
          </w:p>
        </w:tc>
        <w:tc>
          <w:tcPr>
            <w:tcW w:w="149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rPr>
                <w:rFonts w:eastAsia="Times New Roman"/>
                <w:sz w:val="20"/>
                <w:szCs w:val="20"/>
                <w:lang w:eastAsia="lv-LV"/>
              </w:rPr>
            </w:pPr>
            <w:r>
              <w:rPr>
                <w:rFonts w:eastAsia="Times New Roman"/>
                <w:sz w:val="20"/>
                <w:szCs w:val="20"/>
                <w:lang w:eastAsia="lv-LV"/>
              </w:rPr>
              <w:t> </w:t>
            </w:r>
          </w:p>
        </w:tc>
        <w:tc>
          <w:tcPr>
            <w:tcW w:w="2142"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rPr>
                <w:rFonts w:eastAsia="Times New Roman"/>
                <w:sz w:val="20"/>
                <w:szCs w:val="20"/>
                <w:lang w:eastAsia="lv-LV"/>
              </w:rPr>
            </w:pPr>
            <w:r>
              <w:rPr>
                <w:rFonts w:eastAsia="Times New Roman"/>
                <w:sz w:val="20"/>
                <w:szCs w:val="20"/>
                <w:lang w:eastAsia="lv-LV"/>
              </w:rPr>
              <w:t> </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-5 790</w:t>
            </w:r>
          </w:p>
        </w:tc>
        <w:tc>
          <w:tcPr>
            <w:tcW w:w="165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-2 895</w:t>
            </w:r>
          </w:p>
        </w:tc>
        <w:tc>
          <w:tcPr>
            <w:tcW w:w="152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color w:val="FF0000"/>
                <w:sz w:val="20"/>
                <w:szCs w:val="20"/>
                <w:lang w:eastAsia="lv-LV"/>
              </w:rPr>
              <w:t xml:space="preserve">-8 685 </w:t>
            </w:r>
          </w:p>
        </w:tc>
      </w:tr>
      <w:tr w:rsidR="005720D8" w:rsidTr="005720D8">
        <w:trPr>
          <w:trHeight w:val="170"/>
        </w:trPr>
        <w:tc>
          <w:tcPr>
            <w:tcW w:w="1219"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2017</w:t>
            </w:r>
          </w:p>
        </w:tc>
        <w:tc>
          <w:tcPr>
            <w:tcW w:w="149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17 380</w:t>
            </w:r>
          </w:p>
        </w:tc>
        <w:tc>
          <w:tcPr>
            <w:tcW w:w="2142"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-12 867</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-5 790</w:t>
            </w:r>
          </w:p>
        </w:tc>
        <w:tc>
          <w:tcPr>
            <w:tcW w:w="165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-2 895</w:t>
            </w:r>
          </w:p>
        </w:tc>
        <w:tc>
          <w:tcPr>
            <w:tcW w:w="152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color w:val="FF0000"/>
                <w:sz w:val="20"/>
                <w:szCs w:val="20"/>
                <w:lang w:eastAsia="lv-LV"/>
              </w:rPr>
              <w:t xml:space="preserve">-4 172 </w:t>
            </w:r>
          </w:p>
        </w:tc>
      </w:tr>
      <w:tr w:rsidR="005720D8" w:rsidTr="005720D8">
        <w:trPr>
          <w:trHeight w:val="170"/>
        </w:trPr>
        <w:tc>
          <w:tcPr>
            <w:tcW w:w="1219"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2018</w:t>
            </w:r>
          </w:p>
        </w:tc>
        <w:tc>
          <w:tcPr>
            <w:tcW w:w="149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17 380</w:t>
            </w:r>
          </w:p>
        </w:tc>
        <w:tc>
          <w:tcPr>
            <w:tcW w:w="2142"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-12 867</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-5 404</w:t>
            </w:r>
          </w:p>
        </w:tc>
        <w:tc>
          <w:tcPr>
            <w:tcW w:w="165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-2 895</w:t>
            </w:r>
          </w:p>
        </w:tc>
        <w:tc>
          <w:tcPr>
            <w:tcW w:w="152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color w:val="FF0000"/>
                <w:sz w:val="20"/>
                <w:szCs w:val="20"/>
                <w:lang w:eastAsia="lv-LV"/>
              </w:rPr>
              <w:t xml:space="preserve">-3 786 </w:t>
            </w:r>
          </w:p>
        </w:tc>
      </w:tr>
      <w:tr w:rsidR="005720D8" w:rsidTr="005720D8">
        <w:trPr>
          <w:trHeight w:val="170"/>
        </w:trPr>
        <w:tc>
          <w:tcPr>
            <w:tcW w:w="1219"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2019</w:t>
            </w:r>
          </w:p>
        </w:tc>
        <w:tc>
          <w:tcPr>
            <w:tcW w:w="149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17 380</w:t>
            </w:r>
          </w:p>
        </w:tc>
        <w:tc>
          <w:tcPr>
            <w:tcW w:w="2142"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-12 867</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-5 018</w:t>
            </w:r>
          </w:p>
        </w:tc>
        <w:tc>
          <w:tcPr>
            <w:tcW w:w="165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-2 895</w:t>
            </w:r>
          </w:p>
        </w:tc>
        <w:tc>
          <w:tcPr>
            <w:tcW w:w="152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color w:val="FF0000"/>
                <w:sz w:val="20"/>
                <w:szCs w:val="20"/>
                <w:lang w:eastAsia="lv-LV"/>
              </w:rPr>
              <w:t xml:space="preserve">-3 400 </w:t>
            </w:r>
          </w:p>
        </w:tc>
      </w:tr>
      <w:tr w:rsidR="005720D8" w:rsidTr="005720D8">
        <w:trPr>
          <w:trHeight w:val="170"/>
        </w:trPr>
        <w:tc>
          <w:tcPr>
            <w:tcW w:w="1219"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2020</w:t>
            </w:r>
          </w:p>
        </w:tc>
        <w:tc>
          <w:tcPr>
            <w:tcW w:w="149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17 380</w:t>
            </w:r>
          </w:p>
        </w:tc>
        <w:tc>
          <w:tcPr>
            <w:tcW w:w="2142"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-12 867</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-4 632</w:t>
            </w:r>
          </w:p>
        </w:tc>
        <w:tc>
          <w:tcPr>
            <w:tcW w:w="165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-2 895</w:t>
            </w:r>
          </w:p>
        </w:tc>
        <w:tc>
          <w:tcPr>
            <w:tcW w:w="152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color w:val="FF0000"/>
                <w:sz w:val="20"/>
                <w:szCs w:val="20"/>
                <w:lang w:eastAsia="lv-LV"/>
              </w:rPr>
              <w:t xml:space="preserve">-3 014 </w:t>
            </w:r>
          </w:p>
        </w:tc>
      </w:tr>
      <w:tr w:rsidR="005720D8" w:rsidTr="005720D8">
        <w:trPr>
          <w:trHeight w:val="170"/>
        </w:trPr>
        <w:tc>
          <w:tcPr>
            <w:tcW w:w="1219"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2021</w:t>
            </w:r>
          </w:p>
        </w:tc>
        <w:tc>
          <w:tcPr>
            <w:tcW w:w="149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17 380</w:t>
            </w:r>
          </w:p>
        </w:tc>
        <w:tc>
          <w:tcPr>
            <w:tcW w:w="2142"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-12 867</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-4 246</w:t>
            </w:r>
          </w:p>
        </w:tc>
        <w:tc>
          <w:tcPr>
            <w:tcW w:w="165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-2 895</w:t>
            </w:r>
          </w:p>
        </w:tc>
        <w:tc>
          <w:tcPr>
            <w:tcW w:w="152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color w:val="FF0000"/>
                <w:sz w:val="20"/>
                <w:szCs w:val="20"/>
                <w:lang w:eastAsia="lv-LV"/>
              </w:rPr>
              <w:t xml:space="preserve">-2 628 </w:t>
            </w:r>
          </w:p>
        </w:tc>
      </w:tr>
      <w:tr w:rsidR="005720D8" w:rsidTr="005720D8">
        <w:trPr>
          <w:trHeight w:val="170"/>
        </w:trPr>
        <w:tc>
          <w:tcPr>
            <w:tcW w:w="1219"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2022</w:t>
            </w:r>
          </w:p>
        </w:tc>
        <w:tc>
          <w:tcPr>
            <w:tcW w:w="149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17 380</w:t>
            </w:r>
          </w:p>
        </w:tc>
        <w:tc>
          <w:tcPr>
            <w:tcW w:w="2142"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-12 867</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-3 860</w:t>
            </w:r>
          </w:p>
        </w:tc>
        <w:tc>
          <w:tcPr>
            <w:tcW w:w="165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-2 895</w:t>
            </w:r>
          </w:p>
        </w:tc>
        <w:tc>
          <w:tcPr>
            <w:tcW w:w="152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color w:val="FF0000"/>
                <w:sz w:val="20"/>
                <w:szCs w:val="20"/>
                <w:lang w:eastAsia="lv-LV"/>
              </w:rPr>
              <w:t xml:space="preserve">-2 242 </w:t>
            </w:r>
          </w:p>
        </w:tc>
      </w:tr>
      <w:tr w:rsidR="005720D8" w:rsidTr="005720D8">
        <w:trPr>
          <w:trHeight w:val="170"/>
        </w:trPr>
        <w:tc>
          <w:tcPr>
            <w:tcW w:w="1219"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2023</w:t>
            </w:r>
          </w:p>
        </w:tc>
        <w:tc>
          <w:tcPr>
            <w:tcW w:w="149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17 380</w:t>
            </w:r>
          </w:p>
        </w:tc>
        <w:tc>
          <w:tcPr>
            <w:tcW w:w="2142"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-12 867</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-3 474</w:t>
            </w:r>
          </w:p>
        </w:tc>
        <w:tc>
          <w:tcPr>
            <w:tcW w:w="165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-2 895</w:t>
            </w:r>
          </w:p>
        </w:tc>
        <w:tc>
          <w:tcPr>
            <w:tcW w:w="152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color w:val="FF0000"/>
                <w:sz w:val="20"/>
                <w:szCs w:val="20"/>
                <w:lang w:eastAsia="lv-LV"/>
              </w:rPr>
              <w:t xml:space="preserve">-1 856 </w:t>
            </w:r>
          </w:p>
        </w:tc>
      </w:tr>
      <w:tr w:rsidR="005720D8" w:rsidTr="005720D8">
        <w:trPr>
          <w:trHeight w:val="170"/>
        </w:trPr>
        <w:tc>
          <w:tcPr>
            <w:tcW w:w="1219"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2024</w:t>
            </w:r>
          </w:p>
        </w:tc>
        <w:tc>
          <w:tcPr>
            <w:tcW w:w="149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17 380</w:t>
            </w:r>
          </w:p>
        </w:tc>
        <w:tc>
          <w:tcPr>
            <w:tcW w:w="2142"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-12 867</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-3 088</w:t>
            </w:r>
          </w:p>
        </w:tc>
        <w:tc>
          <w:tcPr>
            <w:tcW w:w="165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-2 895</w:t>
            </w:r>
          </w:p>
        </w:tc>
        <w:tc>
          <w:tcPr>
            <w:tcW w:w="152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color w:val="FF0000"/>
                <w:sz w:val="20"/>
                <w:szCs w:val="20"/>
                <w:lang w:eastAsia="lv-LV"/>
              </w:rPr>
              <w:t xml:space="preserve">-1 470 </w:t>
            </w:r>
          </w:p>
        </w:tc>
      </w:tr>
      <w:tr w:rsidR="005720D8" w:rsidTr="005720D8">
        <w:trPr>
          <w:trHeight w:val="170"/>
        </w:trPr>
        <w:tc>
          <w:tcPr>
            <w:tcW w:w="1219"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2025</w:t>
            </w:r>
          </w:p>
        </w:tc>
        <w:tc>
          <w:tcPr>
            <w:tcW w:w="149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17 380</w:t>
            </w:r>
          </w:p>
        </w:tc>
        <w:tc>
          <w:tcPr>
            <w:tcW w:w="2142"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-12 867</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-2 702</w:t>
            </w:r>
          </w:p>
        </w:tc>
        <w:tc>
          <w:tcPr>
            <w:tcW w:w="165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-2 895</w:t>
            </w:r>
          </w:p>
        </w:tc>
        <w:tc>
          <w:tcPr>
            <w:tcW w:w="152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color w:val="FF0000"/>
                <w:sz w:val="20"/>
                <w:szCs w:val="20"/>
                <w:lang w:eastAsia="lv-LV"/>
              </w:rPr>
              <w:t xml:space="preserve">-1 084 </w:t>
            </w:r>
          </w:p>
        </w:tc>
      </w:tr>
      <w:tr w:rsidR="005720D8" w:rsidTr="005720D8">
        <w:trPr>
          <w:trHeight w:val="170"/>
        </w:trPr>
        <w:tc>
          <w:tcPr>
            <w:tcW w:w="1219"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2026</w:t>
            </w:r>
          </w:p>
        </w:tc>
        <w:tc>
          <w:tcPr>
            <w:tcW w:w="149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17 380</w:t>
            </w:r>
          </w:p>
        </w:tc>
        <w:tc>
          <w:tcPr>
            <w:tcW w:w="2142"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-12 867</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-2 316</w:t>
            </w:r>
          </w:p>
        </w:tc>
        <w:tc>
          <w:tcPr>
            <w:tcW w:w="165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-2 895</w:t>
            </w:r>
          </w:p>
        </w:tc>
        <w:tc>
          <w:tcPr>
            <w:tcW w:w="152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color w:val="FF0000"/>
                <w:sz w:val="20"/>
                <w:szCs w:val="20"/>
                <w:lang w:eastAsia="lv-LV"/>
              </w:rPr>
              <w:t xml:space="preserve">-698 </w:t>
            </w:r>
          </w:p>
        </w:tc>
      </w:tr>
      <w:tr w:rsidR="005720D8" w:rsidTr="005720D8">
        <w:trPr>
          <w:trHeight w:val="170"/>
        </w:trPr>
        <w:tc>
          <w:tcPr>
            <w:tcW w:w="1219"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2027</w:t>
            </w:r>
          </w:p>
        </w:tc>
        <w:tc>
          <w:tcPr>
            <w:tcW w:w="149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17 380</w:t>
            </w:r>
          </w:p>
        </w:tc>
        <w:tc>
          <w:tcPr>
            <w:tcW w:w="2142"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-12 867</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-1 930</w:t>
            </w:r>
          </w:p>
        </w:tc>
        <w:tc>
          <w:tcPr>
            <w:tcW w:w="165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-2 895</w:t>
            </w:r>
          </w:p>
        </w:tc>
        <w:tc>
          <w:tcPr>
            <w:tcW w:w="152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color w:val="FF0000"/>
                <w:sz w:val="20"/>
                <w:szCs w:val="20"/>
                <w:lang w:eastAsia="lv-LV"/>
              </w:rPr>
              <w:t xml:space="preserve">-312 </w:t>
            </w:r>
          </w:p>
        </w:tc>
      </w:tr>
      <w:tr w:rsidR="005720D8" w:rsidTr="005720D8">
        <w:trPr>
          <w:trHeight w:val="170"/>
        </w:trPr>
        <w:tc>
          <w:tcPr>
            <w:tcW w:w="1219"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2028</w:t>
            </w:r>
          </w:p>
        </w:tc>
        <w:tc>
          <w:tcPr>
            <w:tcW w:w="149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17 380</w:t>
            </w:r>
          </w:p>
        </w:tc>
        <w:tc>
          <w:tcPr>
            <w:tcW w:w="2142"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-12 867</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-1 544</w:t>
            </w:r>
          </w:p>
        </w:tc>
        <w:tc>
          <w:tcPr>
            <w:tcW w:w="165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-2 895</w:t>
            </w:r>
          </w:p>
        </w:tc>
        <w:tc>
          <w:tcPr>
            <w:tcW w:w="152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 xml:space="preserve">74 </w:t>
            </w:r>
          </w:p>
        </w:tc>
      </w:tr>
      <w:tr w:rsidR="005720D8" w:rsidTr="005720D8">
        <w:trPr>
          <w:trHeight w:val="170"/>
        </w:trPr>
        <w:tc>
          <w:tcPr>
            <w:tcW w:w="1219"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2029</w:t>
            </w:r>
          </w:p>
        </w:tc>
        <w:tc>
          <w:tcPr>
            <w:tcW w:w="149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17 380</w:t>
            </w:r>
          </w:p>
        </w:tc>
        <w:tc>
          <w:tcPr>
            <w:tcW w:w="2142"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-12 867</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-1 158</w:t>
            </w:r>
          </w:p>
        </w:tc>
        <w:tc>
          <w:tcPr>
            <w:tcW w:w="165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-2 895</w:t>
            </w:r>
          </w:p>
        </w:tc>
        <w:tc>
          <w:tcPr>
            <w:tcW w:w="152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 xml:space="preserve">460 </w:t>
            </w:r>
          </w:p>
        </w:tc>
      </w:tr>
      <w:tr w:rsidR="005720D8" w:rsidTr="005720D8">
        <w:trPr>
          <w:trHeight w:val="170"/>
        </w:trPr>
        <w:tc>
          <w:tcPr>
            <w:tcW w:w="1219"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2030</w:t>
            </w:r>
          </w:p>
        </w:tc>
        <w:tc>
          <w:tcPr>
            <w:tcW w:w="149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17 380</w:t>
            </w:r>
          </w:p>
        </w:tc>
        <w:tc>
          <w:tcPr>
            <w:tcW w:w="2142"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-12 867</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-772</w:t>
            </w:r>
          </w:p>
        </w:tc>
        <w:tc>
          <w:tcPr>
            <w:tcW w:w="165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-2 895</w:t>
            </w:r>
          </w:p>
        </w:tc>
        <w:tc>
          <w:tcPr>
            <w:tcW w:w="152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 xml:space="preserve">846 </w:t>
            </w:r>
          </w:p>
        </w:tc>
      </w:tr>
      <w:tr w:rsidR="005720D8" w:rsidTr="005720D8">
        <w:trPr>
          <w:trHeight w:val="170"/>
        </w:trPr>
        <w:tc>
          <w:tcPr>
            <w:tcW w:w="1219"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2031</w:t>
            </w:r>
          </w:p>
        </w:tc>
        <w:tc>
          <w:tcPr>
            <w:tcW w:w="149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17 380</w:t>
            </w:r>
          </w:p>
        </w:tc>
        <w:tc>
          <w:tcPr>
            <w:tcW w:w="2142"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-12 867</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-386</w:t>
            </w:r>
          </w:p>
        </w:tc>
        <w:tc>
          <w:tcPr>
            <w:tcW w:w="165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-2 895</w:t>
            </w:r>
          </w:p>
        </w:tc>
        <w:tc>
          <w:tcPr>
            <w:tcW w:w="152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 xml:space="preserve">1 232 </w:t>
            </w:r>
          </w:p>
        </w:tc>
      </w:tr>
      <w:tr w:rsidR="005720D8" w:rsidTr="005720D8">
        <w:trPr>
          <w:trHeight w:val="170"/>
        </w:trPr>
        <w:tc>
          <w:tcPr>
            <w:tcW w:w="121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rPr>
                <w:rFonts w:eastAsia="Times New Roman"/>
                <w:b/>
                <w:bCs/>
                <w:sz w:val="20"/>
                <w:szCs w:val="20"/>
                <w:lang w:eastAsia="lv-LV"/>
              </w:rPr>
            </w:pPr>
            <w:r>
              <w:rPr>
                <w:rFonts w:eastAsia="Times New Roman"/>
                <w:b/>
                <w:bCs/>
                <w:sz w:val="20"/>
                <w:szCs w:val="20"/>
                <w:lang w:eastAsia="lv-LV"/>
              </w:rPr>
              <w:t>KOPĀ</w:t>
            </w:r>
          </w:p>
        </w:tc>
        <w:tc>
          <w:tcPr>
            <w:tcW w:w="149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b/>
                <w:bCs/>
                <w:sz w:val="20"/>
                <w:szCs w:val="20"/>
                <w:lang w:eastAsia="lv-LV"/>
              </w:rPr>
            </w:pPr>
            <w:r>
              <w:rPr>
                <w:rFonts w:eastAsia="Times New Roman"/>
                <w:b/>
                <w:bCs/>
                <w:sz w:val="20"/>
                <w:szCs w:val="20"/>
                <w:lang w:eastAsia="lv-LV"/>
              </w:rPr>
              <w:t>260 700</w:t>
            </w:r>
          </w:p>
        </w:tc>
        <w:tc>
          <w:tcPr>
            <w:tcW w:w="2142"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b/>
                <w:bCs/>
                <w:sz w:val="20"/>
                <w:szCs w:val="20"/>
                <w:lang w:eastAsia="lv-LV"/>
              </w:rPr>
            </w:pPr>
            <w:r>
              <w:rPr>
                <w:rFonts w:eastAsia="Times New Roman"/>
                <w:b/>
                <w:bCs/>
                <w:sz w:val="20"/>
                <w:szCs w:val="20"/>
                <w:lang w:eastAsia="lv-LV"/>
              </w:rPr>
              <w:t>-193 000</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b/>
                <w:bCs/>
                <w:sz w:val="20"/>
                <w:szCs w:val="20"/>
                <w:lang w:eastAsia="lv-LV"/>
              </w:rPr>
            </w:pPr>
            <w:r>
              <w:rPr>
                <w:rFonts w:eastAsia="Times New Roman"/>
                <w:b/>
                <w:bCs/>
                <w:sz w:val="20"/>
                <w:szCs w:val="20"/>
                <w:lang w:eastAsia="lv-LV"/>
              </w:rPr>
              <w:t>-52 110</w:t>
            </w:r>
          </w:p>
        </w:tc>
        <w:tc>
          <w:tcPr>
            <w:tcW w:w="165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b/>
                <w:bCs/>
                <w:sz w:val="20"/>
                <w:szCs w:val="20"/>
                <w:lang w:eastAsia="lv-LV"/>
              </w:rPr>
            </w:pPr>
            <w:r>
              <w:rPr>
                <w:rFonts w:eastAsia="Times New Roman"/>
                <w:b/>
                <w:bCs/>
                <w:sz w:val="20"/>
                <w:szCs w:val="20"/>
                <w:lang w:eastAsia="lv-LV"/>
              </w:rPr>
              <w:t>-46 320</w:t>
            </w:r>
          </w:p>
        </w:tc>
        <w:tc>
          <w:tcPr>
            <w:tcW w:w="152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b/>
                <w:bCs/>
                <w:sz w:val="20"/>
                <w:szCs w:val="20"/>
                <w:lang w:eastAsia="lv-LV"/>
              </w:rPr>
            </w:pPr>
            <w:r>
              <w:rPr>
                <w:rFonts w:eastAsia="Times New Roman"/>
                <w:b/>
                <w:bCs/>
                <w:color w:val="FF0000"/>
                <w:sz w:val="20"/>
                <w:szCs w:val="20"/>
                <w:lang w:eastAsia="lv-LV"/>
              </w:rPr>
              <w:t xml:space="preserve">-30 730 </w:t>
            </w:r>
          </w:p>
        </w:tc>
      </w:tr>
    </w:tbl>
    <w:p w:rsidR="005720D8" w:rsidRDefault="005720D8" w:rsidP="005720D8">
      <w:pPr>
        <w:jc w:val="both"/>
      </w:pPr>
    </w:p>
    <w:p w:rsidR="005720D8" w:rsidRPr="00E50AD2" w:rsidRDefault="003C30F7" w:rsidP="005720D8">
      <w:pPr>
        <w:ind w:firstLine="709"/>
        <w:jc w:val="both"/>
        <w:rPr>
          <w:b/>
        </w:rPr>
      </w:pPr>
      <w:r w:rsidRPr="00E50AD2">
        <w:rPr>
          <w:b/>
        </w:rPr>
        <w:t>Plānotā ekonomija</w:t>
      </w:r>
      <w:r w:rsidR="005720D8" w:rsidRPr="00E50AD2">
        <w:rPr>
          <w:b/>
        </w:rPr>
        <w:t xml:space="preserve"> projektu </w:t>
      </w:r>
      <w:r w:rsidR="005B0917" w:rsidRPr="00E50AD2">
        <w:rPr>
          <w:b/>
        </w:rPr>
        <w:t>īstenošan</w:t>
      </w:r>
      <w:r w:rsidRPr="00E50AD2">
        <w:rPr>
          <w:b/>
        </w:rPr>
        <w:t>ā</w:t>
      </w:r>
      <w:r w:rsidR="00885520">
        <w:rPr>
          <w:b/>
        </w:rPr>
        <w:t>,</w:t>
      </w:r>
      <w:r w:rsidR="005720D8" w:rsidRPr="00E50AD2">
        <w:rPr>
          <w:b/>
        </w:rPr>
        <w:t xml:space="preserve"> </w:t>
      </w:r>
      <w:r w:rsidR="005B0917" w:rsidRPr="00E50AD2">
        <w:rPr>
          <w:b/>
        </w:rPr>
        <w:t xml:space="preserve">piemērojot </w:t>
      </w:r>
      <w:r w:rsidR="005720D8" w:rsidRPr="00E50AD2">
        <w:rPr>
          <w:b/>
        </w:rPr>
        <w:t>ESKO mehānismu.</w:t>
      </w:r>
    </w:p>
    <w:p w:rsidR="001C1EBC" w:rsidRDefault="001C1EBC" w:rsidP="001C1EBC">
      <w:pPr>
        <w:ind w:firstLine="709"/>
        <w:jc w:val="right"/>
      </w:pPr>
      <w:r>
        <w:t>(</w:t>
      </w:r>
      <w:proofErr w:type="spellStart"/>
      <w:r w:rsidRPr="001C1EBC">
        <w:rPr>
          <w:i/>
        </w:rPr>
        <w:t>euro</w:t>
      </w:r>
      <w:proofErr w:type="spellEnd"/>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75"/>
        <w:gridCol w:w="1710"/>
        <w:gridCol w:w="2068"/>
        <w:gridCol w:w="1599"/>
        <w:gridCol w:w="1600"/>
        <w:gridCol w:w="1476"/>
      </w:tblGrid>
      <w:tr w:rsidR="005720D8" w:rsidTr="005720D8">
        <w:trPr>
          <w:trHeight w:val="113"/>
        </w:trPr>
        <w:tc>
          <w:tcPr>
            <w:tcW w:w="94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rPr>
                <w:rFonts w:eastAsia="Times New Roman"/>
                <w:sz w:val="20"/>
                <w:szCs w:val="20"/>
                <w:lang w:eastAsia="lv-LV"/>
              </w:rPr>
            </w:pPr>
            <w:r>
              <w:rPr>
                <w:rFonts w:eastAsia="Times New Roman"/>
                <w:sz w:val="20"/>
                <w:szCs w:val="20"/>
                <w:lang w:eastAsia="lv-LV"/>
              </w:rPr>
              <w:t>Gads</w:t>
            </w:r>
          </w:p>
        </w:tc>
        <w:tc>
          <w:tcPr>
            <w:tcW w:w="1150" w:type="dxa"/>
            <w:tcBorders>
              <w:top w:val="single" w:sz="4" w:space="0" w:color="auto"/>
              <w:left w:val="single" w:sz="4" w:space="0" w:color="auto"/>
              <w:bottom w:val="single" w:sz="4" w:space="0" w:color="auto"/>
              <w:right w:val="single" w:sz="4" w:space="0" w:color="auto"/>
            </w:tcBorders>
            <w:vAlign w:val="bottom"/>
            <w:hideMark/>
          </w:tcPr>
          <w:p w:rsidR="005720D8" w:rsidRDefault="005720D8" w:rsidP="005B0917">
            <w:pPr>
              <w:jc w:val="center"/>
              <w:rPr>
                <w:rFonts w:eastAsia="Times New Roman"/>
                <w:sz w:val="20"/>
                <w:szCs w:val="20"/>
                <w:lang w:eastAsia="lv-LV"/>
              </w:rPr>
            </w:pPr>
            <w:r>
              <w:rPr>
                <w:rFonts w:eastAsia="Times New Roman"/>
                <w:sz w:val="20"/>
                <w:szCs w:val="20"/>
                <w:lang w:eastAsia="lv-LV"/>
              </w:rPr>
              <w:t>Elektr</w:t>
            </w:r>
            <w:r w:rsidR="005B0917">
              <w:rPr>
                <w:rFonts w:eastAsia="Times New Roman"/>
                <w:sz w:val="20"/>
                <w:szCs w:val="20"/>
                <w:lang w:eastAsia="lv-LV"/>
              </w:rPr>
              <w:t>oenerģij</w:t>
            </w:r>
            <w:r>
              <w:rPr>
                <w:rFonts w:eastAsia="Times New Roman"/>
                <w:sz w:val="20"/>
                <w:szCs w:val="20"/>
                <w:lang w:eastAsia="lv-LV"/>
              </w:rPr>
              <w:t>as ietaupījums</w:t>
            </w:r>
          </w:p>
        </w:tc>
        <w:tc>
          <w:tcPr>
            <w:tcW w:w="1653" w:type="dxa"/>
            <w:tcBorders>
              <w:top w:val="single" w:sz="4" w:space="0" w:color="auto"/>
              <w:left w:val="single" w:sz="4" w:space="0" w:color="auto"/>
              <w:bottom w:val="single" w:sz="4" w:space="0" w:color="auto"/>
              <w:right w:val="single" w:sz="4" w:space="0" w:color="auto"/>
            </w:tcBorders>
            <w:vAlign w:val="bottom"/>
            <w:hideMark/>
          </w:tcPr>
          <w:p w:rsidR="005720D8" w:rsidRDefault="005720D8">
            <w:pPr>
              <w:jc w:val="center"/>
              <w:rPr>
                <w:rFonts w:eastAsia="Times New Roman"/>
                <w:sz w:val="20"/>
                <w:szCs w:val="20"/>
                <w:lang w:eastAsia="lv-LV"/>
              </w:rPr>
            </w:pPr>
            <w:r>
              <w:rPr>
                <w:rFonts w:eastAsia="Times New Roman"/>
                <w:sz w:val="20"/>
                <w:szCs w:val="20"/>
                <w:lang w:eastAsia="lv-LV"/>
              </w:rPr>
              <w:t>ESKO maksājums</w:t>
            </w:r>
          </w:p>
        </w:tc>
        <w:tc>
          <w:tcPr>
            <w:tcW w:w="1278" w:type="dxa"/>
            <w:tcBorders>
              <w:top w:val="single" w:sz="4" w:space="0" w:color="auto"/>
              <w:left w:val="single" w:sz="4" w:space="0" w:color="auto"/>
              <w:bottom w:val="single" w:sz="4" w:space="0" w:color="auto"/>
              <w:right w:val="single" w:sz="4" w:space="0" w:color="auto"/>
            </w:tcBorders>
            <w:vAlign w:val="bottom"/>
            <w:hideMark/>
          </w:tcPr>
          <w:p w:rsidR="005720D8" w:rsidRDefault="005720D8">
            <w:pPr>
              <w:jc w:val="center"/>
              <w:rPr>
                <w:rFonts w:eastAsia="Times New Roman"/>
                <w:sz w:val="20"/>
                <w:szCs w:val="20"/>
                <w:lang w:eastAsia="lv-LV"/>
              </w:rPr>
            </w:pPr>
            <w:r>
              <w:rPr>
                <w:rFonts w:eastAsia="Times New Roman"/>
                <w:sz w:val="20"/>
                <w:szCs w:val="20"/>
                <w:lang w:eastAsia="lv-LV"/>
              </w:rPr>
              <w:t>Procentu maksājumi</w:t>
            </w:r>
          </w:p>
        </w:tc>
        <w:tc>
          <w:tcPr>
            <w:tcW w:w="1279" w:type="dxa"/>
            <w:tcBorders>
              <w:top w:val="single" w:sz="4" w:space="0" w:color="auto"/>
              <w:left w:val="single" w:sz="4" w:space="0" w:color="auto"/>
              <w:bottom w:val="single" w:sz="4" w:space="0" w:color="auto"/>
              <w:right w:val="single" w:sz="4" w:space="0" w:color="auto"/>
            </w:tcBorders>
            <w:vAlign w:val="bottom"/>
            <w:hideMark/>
          </w:tcPr>
          <w:p w:rsidR="005720D8" w:rsidRDefault="005720D8">
            <w:pPr>
              <w:jc w:val="center"/>
              <w:rPr>
                <w:rFonts w:eastAsia="Times New Roman"/>
                <w:sz w:val="20"/>
                <w:szCs w:val="20"/>
                <w:lang w:eastAsia="lv-LV"/>
              </w:rPr>
            </w:pPr>
            <w:r>
              <w:rPr>
                <w:rFonts w:eastAsia="Times New Roman"/>
                <w:sz w:val="20"/>
                <w:szCs w:val="20"/>
                <w:lang w:eastAsia="lv-LV"/>
              </w:rPr>
              <w:t>Uzturēšanas izmaksas</w:t>
            </w:r>
          </w:p>
        </w:tc>
        <w:tc>
          <w:tcPr>
            <w:tcW w:w="1180" w:type="dxa"/>
            <w:tcBorders>
              <w:top w:val="single" w:sz="4" w:space="0" w:color="auto"/>
              <w:left w:val="single" w:sz="4" w:space="0" w:color="auto"/>
              <w:bottom w:val="single" w:sz="4" w:space="0" w:color="auto"/>
              <w:right w:val="single" w:sz="4" w:space="0" w:color="auto"/>
            </w:tcBorders>
            <w:vAlign w:val="bottom"/>
            <w:hideMark/>
          </w:tcPr>
          <w:p w:rsidR="005720D8" w:rsidRDefault="005720D8">
            <w:pPr>
              <w:jc w:val="center"/>
              <w:rPr>
                <w:rFonts w:eastAsia="Times New Roman"/>
                <w:b/>
                <w:bCs/>
                <w:sz w:val="20"/>
                <w:szCs w:val="20"/>
                <w:lang w:eastAsia="lv-LV"/>
              </w:rPr>
            </w:pPr>
            <w:r>
              <w:rPr>
                <w:rFonts w:eastAsia="Times New Roman"/>
                <w:b/>
                <w:bCs/>
                <w:sz w:val="20"/>
                <w:szCs w:val="20"/>
                <w:lang w:eastAsia="lv-LV"/>
              </w:rPr>
              <w:t>Ekonomija kopā</w:t>
            </w:r>
          </w:p>
        </w:tc>
      </w:tr>
      <w:tr w:rsidR="005720D8" w:rsidTr="005720D8">
        <w:trPr>
          <w:trHeight w:val="113"/>
        </w:trPr>
        <w:tc>
          <w:tcPr>
            <w:tcW w:w="940"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2016</w:t>
            </w:r>
          </w:p>
        </w:tc>
        <w:tc>
          <w:tcPr>
            <w:tcW w:w="115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rPr>
                <w:rFonts w:eastAsia="Times New Roman"/>
                <w:sz w:val="20"/>
                <w:szCs w:val="20"/>
                <w:lang w:eastAsia="lv-LV"/>
              </w:rPr>
            </w:pPr>
            <w:r>
              <w:rPr>
                <w:rFonts w:eastAsia="Times New Roman"/>
                <w:sz w:val="20"/>
                <w:szCs w:val="20"/>
                <w:lang w:eastAsia="lv-LV"/>
              </w:rPr>
              <w:t> </w:t>
            </w:r>
          </w:p>
        </w:tc>
        <w:tc>
          <w:tcPr>
            <w:tcW w:w="1653"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rPr>
                <w:rFonts w:eastAsia="Times New Roman"/>
                <w:sz w:val="20"/>
                <w:szCs w:val="20"/>
                <w:lang w:eastAsia="lv-LV"/>
              </w:rPr>
            </w:pPr>
            <w:r>
              <w:rPr>
                <w:rFonts w:eastAsia="Times New Roman"/>
                <w:sz w:val="20"/>
                <w:szCs w:val="20"/>
                <w:lang w:eastAsia="lv-LV"/>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0</w:t>
            </w:r>
          </w:p>
        </w:tc>
        <w:tc>
          <w:tcPr>
            <w:tcW w:w="127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0</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 xml:space="preserve">0 </w:t>
            </w:r>
          </w:p>
        </w:tc>
      </w:tr>
      <w:tr w:rsidR="005720D8" w:rsidTr="005720D8">
        <w:trPr>
          <w:trHeight w:val="113"/>
        </w:trPr>
        <w:tc>
          <w:tcPr>
            <w:tcW w:w="940"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2017</w:t>
            </w:r>
          </w:p>
        </w:tc>
        <w:tc>
          <w:tcPr>
            <w:tcW w:w="115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17 380</w:t>
            </w:r>
          </w:p>
        </w:tc>
        <w:tc>
          <w:tcPr>
            <w:tcW w:w="1653"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-15 642</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0</w:t>
            </w:r>
          </w:p>
        </w:tc>
        <w:tc>
          <w:tcPr>
            <w:tcW w:w="127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0</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 xml:space="preserve">1 738 </w:t>
            </w:r>
          </w:p>
        </w:tc>
      </w:tr>
      <w:tr w:rsidR="005720D8" w:rsidTr="005720D8">
        <w:trPr>
          <w:trHeight w:val="113"/>
        </w:trPr>
        <w:tc>
          <w:tcPr>
            <w:tcW w:w="940"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2018</w:t>
            </w:r>
          </w:p>
        </w:tc>
        <w:tc>
          <w:tcPr>
            <w:tcW w:w="115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17 380</w:t>
            </w:r>
          </w:p>
        </w:tc>
        <w:tc>
          <w:tcPr>
            <w:tcW w:w="1653"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-15 642</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0</w:t>
            </w:r>
          </w:p>
        </w:tc>
        <w:tc>
          <w:tcPr>
            <w:tcW w:w="127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0</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 xml:space="preserve">1 738 </w:t>
            </w:r>
          </w:p>
        </w:tc>
      </w:tr>
      <w:tr w:rsidR="005720D8" w:rsidTr="005720D8">
        <w:trPr>
          <w:trHeight w:val="113"/>
        </w:trPr>
        <w:tc>
          <w:tcPr>
            <w:tcW w:w="940"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2019</w:t>
            </w:r>
          </w:p>
        </w:tc>
        <w:tc>
          <w:tcPr>
            <w:tcW w:w="115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17 380</w:t>
            </w:r>
          </w:p>
        </w:tc>
        <w:tc>
          <w:tcPr>
            <w:tcW w:w="1653"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-15 642</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0</w:t>
            </w:r>
          </w:p>
        </w:tc>
        <w:tc>
          <w:tcPr>
            <w:tcW w:w="127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0</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 xml:space="preserve">1 738 </w:t>
            </w:r>
          </w:p>
        </w:tc>
      </w:tr>
      <w:tr w:rsidR="005720D8" w:rsidTr="005720D8">
        <w:trPr>
          <w:trHeight w:val="113"/>
        </w:trPr>
        <w:tc>
          <w:tcPr>
            <w:tcW w:w="940"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2020</w:t>
            </w:r>
          </w:p>
        </w:tc>
        <w:tc>
          <w:tcPr>
            <w:tcW w:w="115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17 380</w:t>
            </w:r>
          </w:p>
        </w:tc>
        <w:tc>
          <w:tcPr>
            <w:tcW w:w="1653"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-15 642</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0</w:t>
            </w:r>
          </w:p>
        </w:tc>
        <w:tc>
          <w:tcPr>
            <w:tcW w:w="127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0</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 xml:space="preserve">1 738 </w:t>
            </w:r>
          </w:p>
        </w:tc>
      </w:tr>
      <w:tr w:rsidR="005720D8" w:rsidTr="005720D8">
        <w:trPr>
          <w:trHeight w:val="113"/>
        </w:trPr>
        <w:tc>
          <w:tcPr>
            <w:tcW w:w="940"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2021</w:t>
            </w:r>
          </w:p>
        </w:tc>
        <w:tc>
          <w:tcPr>
            <w:tcW w:w="115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17 380</w:t>
            </w:r>
          </w:p>
        </w:tc>
        <w:tc>
          <w:tcPr>
            <w:tcW w:w="1653"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-15 642</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0</w:t>
            </w:r>
          </w:p>
        </w:tc>
        <w:tc>
          <w:tcPr>
            <w:tcW w:w="127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0</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 xml:space="preserve">1 738 </w:t>
            </w:r>
          </w:p>
        </w:tc>
      </w:tr>
      <w:tr w:rsidR="005720D8" w:rsidTr="005720D8">
        <w:trPr>
          <w:trHeight w:val="113"/>
        </w:trPr>
        <w:tc>
          <w:tcPr>
            <w:tcW w:w="940"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2022</w:t>
            </w:r>
          </w:p>
        </w:tc>
        <w:tc>
          <w:tcPr>
            <w:tcW w:w="115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17 380</w:t>
            </w:r>
          </w:p>
        </w:tc>
        <w:tc>
          <w:tcPr>
            <w:tcW w:w="1653"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-15 642</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0</w:t>
            </w:r>
          </w:p>
        </w:tc>
        <w:tc>
          <w:tcPr>
            <w:tcW w:w="127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0</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 xml:space="preserve">1 738 </w:t>
            </w:r>
          </w:p>
        </w:tc>
      </w:tr>
      <w:tr w:rsidR="005720D8" w:rsidTr="005720D8">
        <w:trPr>
          <w:trHeight w:val="113"/>
        </w:trPr>
        <w:tc>
          <w:tcPr>
            <w:tcW w:w="940"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2023</w:t>
            </w:r>
          </w:p>
        </w:tc>
        <w:tc>
          <w:tcPr>
            <w:tcW w:w="115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17 380</w:t>
            </w:r>
          </w:p>
        </w:tc>
        <w:tc>
          <w:tcPr>
            <w:tcW w:w="1653"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-15 642</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0</w:t>
            </w:r>
          </w:p>
        </w:tc>
        <w:tc>
          <w:tcPr>
            <w:tcW w:w="127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0</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 xml:space="preserve">1 738 </w:t>
            </w:r>
          </w:p>
        </w:tc>
      </w:tr>
      <w:tr w:rsidR="005720D8" w:rsidTr="005720D8">
        <w:trPr>
          <w:trHeight w:val="113"/>
        </w:trPr>
        <w:tc>
          <w:tcPr>
            <w:tcW w:w="940"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2024</w:t>
            </w:r>
          </w:p>
        </w:tc>
        <w:tc>
          <w:tcPr>
            <w:tcW w:w="115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17 380</w:t>
            </w:r>
          </w:p>
        </w:tc>
        <w:tc>
          <w:tcPr>
            <w:tcW w:w="1653"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-15 642</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0</w:t>
            </w:r>
          </w:p>
        </w:tc>
        <w:tc>
          <w:tcPr>
            <w:tcW w:w="127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0</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 xml:space="preserve">1 738 </w:t>
            </w:r>
          </w:p>
        </w:tc>
      </w:tr>
      <w:tr w:rsidR="005720D8" w:rsidTr="005720D8">
        <w:trPr>
          <w:trHeight w:val="113"/>
        </w:trPr>
        <w:tc>
          <w:tcPr>
            <w:tcW w:w="940"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2025</w:t>
            </w:r>
          </w:p>
        </w:tc>
        <w:tc>
          <w:tcPr>
            <w:tcW w:w="115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17 380</w:t>
            </w:r>
          </w:p>
        </w:tc>
        <w:tc>
          <w:tcPr>
            <w:tcW w:w="1653"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-15 642</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0</w:t>
            </w:r>
          </w:p>
        </w:tc>
        <w:tc>
          <w:tcPr>
            <w:tcW w:w="127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0</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 xml:space="preserve">1 738 </w:t>
            </w:r>
          </w:p>
        </w:tc>
      </w:tr>
      <w:tr w:rsidR="005720D8" w:rsidTr="005720D8">
        <w:trPr>
          <w:trHeight w:val="113"/>
        </w:trPr>
        <w:tc>
          <w:tcPr>
            <w:tcW w:w="940"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2026</w:t>
            </w:r>
          </w:p>
        </w:tc>
        <w:tc>
          <w:tcPr>
            <w:tcW w:w="115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17 380</w:t>
            </w:r>
          </w:p>
        </w:tc>
        <w:tc>
          <w:tcPr>
            <w:tcW w:w="1653"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-15 642</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0</w:t>
            </w:r>
          </w:p>
        </w:tc>
        <w:tc>
          <w:tcPr>
            <w:tcW w:w="127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0</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 xml:space="preserve">1 738 </w:t>
            </w:r>
          </w:p>
        </w:tc>
      </w:tr>
      <w:tr w:rsidR="005720D8" w:rsidTr="005720D8">
        <w:trPr>
          <w:trHeight w:val="113"/>
        </w:trPr>
        <w:tc>
          <w:tcPr>
            <w:tcW w:w="940"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2027</w:t>
            </w:r>
          </w:p>
        </w:tc>
        <w:tc>
          <w:tcPr>
            <w:tcW w:w="115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17 380</w:t>
            </w:r>
          </w:p>
        </w:tc>
        <w:tc>
          <w:tcPr>
            <w:tcW w:w="1653"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-15 642</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0</w:t>
            </w:r>
          </w:p>
        </w:tc>
        <w:tc>
          <w:tcPr>
            <w:tcW w:w="127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0</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 xml:space="preserve">1 738 </w:t>
            </w:r>
          </w:p>
        </w:tc>
      </w:tr>
      <w:tr w:rsidR="005720D8" w:rsidTr="005720D8">
        <w:trPr>
          <w:trHeight w:val="113"/>
        </w:trPr>
        <w:tc>
          <w:tcPr>
            <w:tcW w:w="940"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2028</w:t>
            </w:r>
          </w:p>
        </w:tc>
        <w:tc>
          <w:tcPr>
            <w:tcW w:w="115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17 380</w:t>
            </w:r>
          </w:p>
        </w:tc>
        <w:tc>
          <w:tcPr>
            <w:tcW w:w="1653"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-15 642</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0</w:t>
            </w:r>
          </w:p>
        </w:tc>
        <w:tc>
          <w:tcPr>
            <w:tcW w:w="127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0</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 xml:space="preserve">1 738 </w:t>
            </w:r>
          </w:p>
        </w:tc>
      </w:tr>
      <w:tr w:rsidR="005720D8" w:rsidTr="005720D8">
        <w:trPr>
          <w:trHeight w:val="113"/>
        </w:trPr>
        <w:tc>
          <w:tcPr>
            <w:tcW w:w="940"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2029</w:t>
            </w:r>
          </w:p>
        </w:tc>
        <w:tc>
          <w:tcPr>
            <w:tcW w:w="115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17 380</w:t>
            </w:r>
          </w:p>
        </w:tc>
        <w:tc>
          <w:tcPr>
            <w:tcW w:w="1653"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-15 642</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0</w:t>
            </w:r>
          </w:p>
        </w:tc>
        <w:tc>
          <w:tcPr>
            <w:tcW w:w="127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0</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 xml:space="preserve">1 738 </w:t>
            </w:r>
          </w:p>
        </w:tc>
      </w:tr>
      <w:tr w:rsidR="005720D8" w:rsidTr="005720D8">
        <w:trPr>
          <w:trHeight w:val="113"/>
        </w:trPr>
        <w:tc>
          <w:tcPr>
            <w:tcW w:w="940"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2030</w:t>
            </w:r>
          </w:p>
        </w:tc>
        <w:tc>
          <w:tcPr>
            <w:tcW w:w="115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17 380</w:t>
            </w:r>
          </w:p>
        </w:tc>
        <w:tc>
          <w:tcPr>
            <w:tcW w:w="1653"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-15 642</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0</w:t>
            </w:r>
          </w:p>
        </w:tc>
        <w:tc>
          <w:tcPr>
            <w:tcW w:w="127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0</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 xml:space="preserve">1 738 </w:t>
            </w:r>
          </w:p>
        </w:tc>
      </w:tr>
      <w:tr w:rsidR="005720D8" w:rsidTr="005720D8">
        <w:trPr>
          <w:trHeight w:val="113"/>
        </w:trPr>
        <w:tc>
          <w:tcPr>
            <w:tcW w:w="940" w:type="dxa"/>
            <w:tcBorders>
              <w:top w:val="single" w:sz="4" w:space="0" w:color="auto"/>
              <w:left w:val="single" w:sz="4" w:space="0" w:color="auto"/>
              <w:bottom w:val="single" w:sz="4" w:space="0" w:color="auto"/>
              <w:right w:val="single" w:sz="4" w:space="0" w:color="auto"/>
            </w:tcBorders>
            <w:noWrap/>
            <w:vAlign w:val="center"/>
            <w:hideMark/>
          </w:tcPr>
          <w:p w:rsidR="005720D8" w:rsidRDefault="005720D8">
            <w:pPr>
              <w:jc w:val="center"/>
              <w:rPr>
                <w:rFonts w:eastAsia="Times New Roman"/>
                <w:sz w:val="20"/>
                <w:szCs w:val="20"/>
                <w:lang w:eastAsia="lv-LV"/>
              </w:rPr>
            </w:pPr>
            <w:r>
              <w:rPr>
                <w:rFonts w:eastAsia="Times New Roman"/>
                <w:sz w:val="20"/>
                <w:szCs w:val="20"/>
                <w:lang w:eastAsia="lv-LV"/>
              </w:rPr>
              <w:t>2031</w:t>
            </w:r>
          </w:p>
        </w:tc>
        <w:tc>
          <w:tcPr>
            <w:tcW w:w="115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17 380</w:t>
            </w:r>
          </w:p>
        </w:tc>
        <w:tc>
          <w:tcPr>
            <w:tcW w:w="1653"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-15 642</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0</w:t>
            </w:r>
          </w:p>
        </w:tc>
        <w:tc>
          <w:tcPr>
            <w:tcW w:w="127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0</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sz w:val="20"/>
                <w:szCs w:val="20"/>
                <w:lang w:eastAsia="lv-LV"/>
              </w:rPr>
            </w:pPr>
            <w:r>
              <w:rPr>
                <w:rFonts w:eastAsia="Times New Roman"/>
                <w:sz w:val="20"/>
                <w:szCs w:val="20"/>
                <w:lang w:eastAsia="lv-LV"/>
              </w:rPr>
              <w:t xml:space="preserve">1 738 </w:t>
            </w:r>
          </w:p>
        </w:tc>
      </w:tr>
      <w:tr w:rsidR="005720D8" w:rsidTr="005720D8">
        <w:trPr>
          <w:trHeight w:val="113"/>
        </w:trPr>
        <w:tc>
          <w:tcPr>
            <w:tcW w:w="94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rPr>
                <w:rFonts w:eastAsia="Times New Roman"/>
                <w:b/>
                <w:bCs/>
                <w:sz w:val="20"/>
                <w:szCs w:val="20"/>
                <w:lang w:eastAsia="lv-LV"/>
              </w:rPr>
            </w:pPr>
            <w:r>
              <w:rPr>
                <w:rFonts w:eastAsia="Times New Roman"/>
                <w:b/>
                <w:bCs/>
                <w:sz w:val="20"/>
                <w:szCs w:val="20"/>
                <w:lang w:eastAsia="lv-LV"/>
              </w:rPr>
              <w:t>KOPĀ</w:t>
            </w:r>
          </w:p>
        </w:tc>
        <w:tc>
          <w:tcPr>
            <w:tcW w:w="115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b/>
                <w:bCs/>
                <w:sz w:val="20"/>
                <w:szCs w:val="20"/>
                <w:lang w:eastAsia="lv-LV"/>
              </w:rPr>
            </w:pPr>
            <w:r>
              <w:rPr>
                <w:rFonts w:eastAsia="Times New Roman"/>
                <w:b/>
                <w:bCs/>
                <w:sz w:val="20"/>
                <w:szCs w:val="20"/>
                <w:lang w:eastAsia="lv-LV"/>
              </w:rPr>
              <w:t>260 700</w:t>
            </w:r>
          </w:p>
        </w:tc>
        <w:tc>
          <w:tcPr>
            <w:tcW w:w="1653"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b/>
                <w:bCs/>
                <w:sz w:val="20"/>
                <w:szCs w:val="20"/>
                <w:lang w:eastAsia="lv-LV"/>
              </w:rPr>
            </w:pPr>
            <w:r>
              <w:rPr>
                <w:rFonts w:eastAsia="Times New Roman"/>
                <w:b/>
                <w:bCs/>
                <w:sz w:val="20"/>
                <w:szCs w:val="20"/>
                <w:lang w:eastAsia="lv-LV"/>
              </w:rPr>
              <w:t>-234 630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b/>
                <w:bCs/>
                <w:sz w:val="20"/>
                <w:szCs w:val="20"/>
                <w:lang w:eastAsia="lv-LV"/>
              </w:rPr>
            </w:pPr>
            <w:r>
              <w:rPr>
                <w:rFonts w:eastAsia="Times New Roman"/>
                <w:b/>
                <w:bCs/>
                <w:sz w:val="20"/>
                <w:szCs w:val="20"/>
                <w:lang w:eastAsia="lv-LV"/>
              </w:rPr>
              <w:t>0</w:t>
            </w:r>
          </w:p>
        </w:tc>
        <w:tc>
          <w:tcPr>
            <w:tcW w:w="1279"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b/>
                <w:bCs/>
                <w:sz w:val="20"/>
                <w:szCs w:val="20"/>
                <w:lang w:eastAsia="lv-LV"/>
              </w:rPr>
            </w:pPr>
            <w:r>
              <w:rPr>
                <w:rFonts w:eastAsia="Times New Roman"/>
                <w:b/>
                <w:bCs/>
                <w:sz w:val="20"/>
                <w:szCs w:val="20"/>
                <w:lang w:eastAsia="lv-LV"/>
              </w:rPr>
              <w:t>0</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5720D8" w:rsidRDefault="005720D8">
            <w:pPr>
              <w:jc w:val="right"/>
              <w:rPr>
                <w:rFonts w:eastAsia="Times New Roman"/>
                <w:b/>
                <w:bCs/>
                <w:sz w:val="20"/>
                <w:szCs w:val="20"/>
                <w:lang w:eastAsia="lv-LV"/>
              </w:rPr>
            </w:pPr>
            <w:r>
              <w:rPr>
                <w:rFonts w:eastAsia="Times New Roman"/>
                <w:b/>
                <w:bCs/>
                <w:sz w:val="20"/>
                <w:szCs w:val="20"/>
                <w:lang w:eastAsia="lv-LV"/>
              </w:rPr>
              <w:t xml:space="preserve">26 070 </w:t>
            </w:r>
          </w:p>
        </w:tc>
      </w:tr>
    </w:tbl>
    <w:p w:rsidR="005720D8" w:rsidRDefault="005720D8" w:rsidP="005720D8">
      <w:pPr>
        <w:jc w:val="both"/>
      </w:pPr>
    </w:p>
    <w:p w:rsidR="00F07ACE" w:rsidRPr="00D82A27" w:rsidRDefault="00F07ACE" w:rsidP="005720D8">
      <w:pPr>
        <w:ind w:firstLine="709"/>
        <w:jc w:val="both"/>
      </w:pPr>
      <w:r w:rsidRPr="00D82A27">
        <w:t xml:space="preserve">Plānotās ekonomijas aprēķinos, kad projektu īstenošanā tiek piemērots ESKO mehānisms, uzturēšanas izmaksas ir iekļautas ESKO maksājumos. Šajā aprēķinu variantā ir paredzēts, ka ESKO uzņēmums veiks </w:t>
      </w:r>
      <w:r w:rsidR="006F19C6" w:rsidRPr="00D82A27">
        <w:t>visus uzturēšanas izdevumu maksājumus, t.i. par apgaismes iekārtu apkopi un nomaiņu, par apgaismes iekārtu vadības bloka uzturēšanu un par patērēto elektroenerģiju.</w:t>
      </w:r>
    </w:p>
    <w:p w:rsidR="009D1582" w:rsidRPr="00D2460D" w:rsidRDefault="009D1582" w:rsidP="009D1582">
      <w:pPr>
        <w:ind w:firstLine="709"/>
        <w:jc w:val="both"/>
      </w:pPr>
      <w:r w:rsidRPr="00D2460D">
        <w:t xml:space="preserve">Pašvaldības kapitālsabiedrības kopējo saistību (maksājuma) apmēru ESKO finansējuma shēma </w:t>
      </w:r>
      <w:r w:rsidR="008C4F18" w:rsidRPr="00D2460D">
        <w:t>pēc būtības</w:t>
      </w:r>
      <w:r w:rsidRPr="00D2460D">
        <w:t xml:space="preserve"> neietekmēs,</w:t>
      </w:r>
      <w:r w:rsidR="008C4F18" w:rsidRPr="00D2460D">
        <w:t xml:space="preserve"> </w:t>
      </w:r>
      <w:proofErr w:type="gramStart"/>
      <w:r w:rsidR="008C4F18" w:rsidRPr="00D2460D">
        <w:t>t.i.</w:t>
      </w:r>
      <w:proofErr w:type="gramEnd"/>
      <w:r w:rsidR="008C4F18" w:rsidRPr="00D2460D">
        <w:t xml:space="preserve"> ietekme būs formāla,</w:t>
      </w:r>
      <w:r w:rsidRPr="00D2460D">
        <w:t xml:space="preserve"> jo ESKO finansējuma shēmas pamata princips paredz, ka projektus finansē no ekonomijas, kas rodas, realizējot projektu. ESKO uzņēmumi attiecīgi uzņemas risku par ekonomijas sasniegšanu. Ņemot vērā, ka ESKO maksājums ir aptuveni vienāds ESKO līguma </w:t>
      </w:r>
      <w:r w:rsidR="000D51F3" w:rsidRPr="00D2460D">
        <w:t xml:space="preserve">darbības </w:t>
      </w:r>
      <w:r w:rsidRPr="00D2460D">
        <w:t xml:space="preserve">laikā, tad sākotnēji ESKO uzņēmumam ir būtiski mazāka peļņa, bet ESKO līguma darbības beigās peļņa ir lielāka. ESKO uzņēmumam, tikai pārdodot iekārtas un pēc </w:t>
      </w:r>
      <w:r w:rsidRPr="00D2460D">
        <w:lastRenderedPageBreak/>
        <w:t xml:space="preserve">tam slēdzot apkopes līgumu, teorētiski ir iespējams iegūt lielāku peļņu, taču tajā pašā laikā būtiski pieaug risks, ka apkopes līgums tiek noslēgts ar citu uzņēmumu un tad peļņa ir būtiski mazāka. </w:t>
      </w:r>
    </w:p>
    <w:p w:rsidR="009D1582" w:rsidRPr="00D2460D" w:rsidRDefault="009D1582" w:rsidP="009D1582">
      <w:pPr>
        <w:ind w:firstLine="709"/>
        <w:jc w:val="both"/>
      </w:pPr>
      <w:r w:rsidRPr="00D2460D">
        <w:t>ESKO finansējuma shēmu ietekmē procentu likmes finanšu tirgos, jo parasti ESKO uzņēmums plāno ņemt aizņēmumu kredītiestādēs. ESKO uzņēmums</w:t>
      </w:r>
      <w:r w:rsidR="000D51F3" w:rsidRPr="00D2460D">
        <w:t>,</w:t>
      </w:r>
      <w:r w:rsidRPr="00D2460D">
        <w:t xml:space="preserve"> piesaistot kredītresursus</w:t>
      </w:r>
      <w:r w:rsidR="000D51F3" w:rsidRPr="00D2460D">
        <w:t>,</w:t>
      </w:r>
      <w:r w:rsidRPr="00D2460D">
        <w:t xml:space="preserve"> neplāno no tā gūt papildus peļņu, ko kompensētu ar lielāku tirgus daļu un efektīvāku resursu izlietojumu, jo administratīvās izmaksas ir būtiski lielākas vienam projektam, nekā realizējot vairākus projektus un piesaistot aizņēmumu.</w:t>
      </w:r>
    </w:p>
    <w:p w:rsidR="00C465BB" w:rsidRPr="00D2460D" w:rsidRDefault="009D1582" w:rsidP="009D1582">
      <w:pPr>
        <w:ind w:firstLine="709"/>
        <w:jc w:val="both"/>
      </w:pPr>
      <w:r w:rsidRPr="00D2460D">
        <w:t>Mainoties procentu likmēm tirgos</w:t>
      </w:r>
      <w:r w:rsidR="000D51F3" w:rsidRPr="00D2460D">
        <w:t>,</w:t>
      </w:r>
      <w:r w:rsidRPr="00D2460D">
        <w:t xml:space="preserve"> tas neietekmēs ikmēneša ESKO maksājumu pašvaldības kapitālsabiedrībai, taču tas ietekmēs ilgumu uz cik ilgu periodu tiks slēgts ESKO līgums. Pašvaldības kapitālsabiedrība ir tieši ieinteresēta, lai ESKO līgums būtu noslēgts uz īsāku periodu, jo pēc ESKO līguma</w:t>
      </w:r>
      <w:r w:rsidR="000D51F3" w:rsidRPr="00D2460D">
        <w:t xml:space="preserve"> darbības</w:t>
      </w:r>
      <w:r w:rsidRPr="00D2460D">
        <w:t xml:space="preserve"> beigām būtiski samazinātos pašvaldību kapitālsabiedrību ikmēneša maksājumi, kas būtu salīdzināmi ar ekonomiju no ietaupītās elektroenerģijas.</w:t>
      </w:r>
    </w:p>
    <w:p w:rsidR="005720D8" w:rsidRPr="00DC2348" w:rsidRDefault="005720D8" w:rsidP="00F0263E">
      <w:pPr>
        <w:ind w:firstLine="709"/>
        <w:jc w:val="both"/>
      </w:pPr>
      <w:r w:rsidRPr="00DC2348">
        <w:t>ESKO uzņēmums</w:t>
      </w:r>
      <w:r w:rsidR="007F174F" w:rsidRPr="00DC2348">
        <w:t>,</w:t>
      </w:r>
      <w:r w:rsidRPr="00DC2348">
        <w:t xml:space="preserve"> slēdzot līgumu</w:t>
      </w:r>
      <w:r w:rsidR="007F174F" w:rsidRPr="00DC2348">
        <w:t>,</w:t>
      </w:r>
      <w:r w:rsidRPr="00DC2348">
        <w:t xml:space="preserve"> uzņemas ilgtermiņa risku par iekārtu darbību un projekta atdevi, tādejādi, pie zemām </w:t>
      </w:r>
      <w:r w:rsidR="006D4015" w:rsidRPr="00DC2348">
        <w:t xml:space="preserve">aizdevumu </w:t>
      </w:r>
      <w:r w:rsidRPr="00DC2348">
        <w:t xml:space="preserve">procentu likmēm, ja salīdzina tikai </w:t>
      </w:r>
      <w:r w:rsidR="006D4015" w:rsidRPr="00DC2348">
        <w:t>aizdevumu</w:t>
      </w:r>
      <w:r w:rsidRPr="00DC2348">
        <w:t xml:space="preserve"> procentu </w:t>
      </w:r>
      <w:r w:rsidR="006D4015" w:rsidRPr="00DC2348">
        <w:t xml:space="preserve">likmes </w:t>
      </w:r>
      <w:r w:rsidRPr="00DC2348">
        <w:t xml:space="preserve">un pamatsummas maksājumus </w:t>
      </w:r>
      <w:r w:rsidR="006D4015" w:rsidRPr="00DC2348">
        <w:t xml:space="preserve">ar </w:t>
      </w:r>
      <w:r w:rsidRPr="00DC2348">
        <w:t>ESKO finansē</w:t>
      </w:r>
      <w:r w:rsidR="006D4015" w:rsidRPr="00DC2348">
        <w:t>šanas shēmu</w:t>
      </w:r>
      <w:r w:rsidRPr="00DC2348">
        <w:t xml:space="preserve">, tad </w:t>
      </w:r>
      <w:r w:rsidR="006D4015" w:rsidRPr="00DC2348">
        <w:t>aizdevums</w:t>
      </w:r>
      <w:r w:rsidRPr="00DC2348">
        <w:t xml:space="preserve"> būs izdevīgāks nekā ESKO finansējum</w:t>
      </w:r>
      <w:r w:rsidR="006D4015" w:rsidRPr="00DC2348">
        <w:t>a shēma</w:t>
      </w:r>
      <w:r w:rsidRPr="00DC2348">
        <w:t xml:space="preserve">, taču, mainoties </w:t>
      </w:r>
      <w:r w:rsidR="006D4015" w:rsidRPr="00DC2348">
        <w:t xml:space="preserve">tirgū </w:t>
      </w:r>
      <w:r w:rsidRPr="00DC2348">
        <w:t xml:space="preserve">procentu likmēm, </w:t>
      </w:r>
      <w:r w:rsidR="006D4015" w:rsidRPr="00DC2348">
        <w:t>aizdevumu</w:t>
      </w:r>
      <w:r w:rsidRPr="00DC2348">
        <w:t xml:space="preserve"> izdevīgums strauji sarūk un var </w:t>
      </w:r>
      <w:r w:rsidR="006D4015" w:rsidRPr="00DC2348">
        <w:t>iz</w:t>
      </w:r>
      <w:r w:rsidRPr="00DC2348">
        <w:t>veidoties situācija, ka tas jau ir būtiski neizdevīgāks. Ja aprēķinos papildus iekļauj uzturēšanas izmaksas, tad faktiski ESKO finansējum</w:t>
      </w:r>
      <w:r w:rsidR="006D4015" w:rsidRPr="00DC2348">
        <w:t>a shēma</w:t>
      </w:r>
      <w:r w:rsidRPr="00DC2348">
        <w:t xml:space="preserve"> vienmēr </w:t>
      </w:r>
      <w:r w:rsidR="006D4015" w:rsidRPr="00DC2348">
        <w:t>iz</w:t>
      </w:r>
      <w:r w:rsidRPr="00DC2348">
        <w:t>nāks izdevīgāk</w:t>
      </w:r>
      <w:r w:rsidR="006D4015" w:rsidRPr="00DC2348">
        <w:t>a</w:t>
      </w:r>
      <w:r w:rsidRPr="00DC2348">
        <w:t xml:space="preserve">, jo ESKO gadījumā uzņēmumam ir noslēgts ilgtermiņa </w:t>
      </w:r>
      <w:r w:rsidR="007F174F" w:rsidRPr="00DC2348">
        <w:t xml:space="preserve">pakalpojuma </w:t>
      </w:r>
      <w:r w:rsidRPr="00DC2348">
        <w:t>līgums.</w:t>
      </w:r>
    </w:p>
    <w:p w:rsidR="005720D8" w:rsidRPr="00DC2348" w:rsidRDefault="005720D8" w:rsidP="005720D8">
      <w:pPr>
        <w:ind w:firstLine="709"/>
        <w:jc w:val="both"/>
      </w:pPr>
      <w:r w:rsidRPr="00DC2348">
        <w:t xml:space="preserve">Papildus jāvērš uzmanība, ka Eiropas Savienības direktīvas 2012/27/ES (2012. gada 25. oktobris) 5. panta 7. daļa paredz, ka: “Dalībvalstis, pienācīgi ņemot vērā publisko struktūru attiecīgo kompetenci un administratīvo organizāciju, mudina publiskās struktūras, tostarp reģionāla un vietēja līmeņa struktūras, un sociālo mājokļu struktūras, kas ir publisko tiesību subjekti vajadzības gadījumā izmantot energopakalpojumu uzņēmumus un energoefektivitātes līgumu slēgšanu, lai finansētu renovācijas un īstenotu plānus energoefektivitātes uzturēšanai un uzlabošanai ilgtermiņā.”. Papildus </w:t>
      </w:r>
      <w:r w:rsidR="006F3AAD" w:rsidRPr="00DC2348">
        <w:t xml:space="preserve">minētās direktīvas </w:t>
      </w:r>
      <w:r w:rsidRPr="00DC2348">
        <w:t>18. panta 2. daļa paredz, ka: “Dalībvalstis atbalsta energopakalpojumu tirgus pareizu darbību, vajadzības gadījumā veicot pasākumus, lai novērstu regulatīvus un neregulatīvus šķēršļus, kas traucē slēgt energoefektivitātes līgumus un ieviest citus energoefektivitātes pakalpojumu paraugus enerģijas taupīšanas pasākumu apzināšanai un/vai īstenošanai”. Tāpat dalībvalstis var izveidot valsts energoefektivitātes fondus ESKO mehānisma veicināšanai. Fonda mērķis būtu atbalstīt valstu iniciatīvas energoefektivitātes jomā.</w:t>
      </w:r>
    </w:p>
    <w:p w:rsidR="005720D8" w:rsidRDefault="005720D8" w:rsidP="005720D8">
      <w:pPr>
        <w:ind w:firstLine="709"/>
        <w:jc w:val="both"/>
      </w:pPr>
    </w:p>
    <w:p w:rsidR="00170E67" w:rsidRPr="00D57F5F" w:rsidRDefault="00170E67"/>
    <w:sectPr w:rsidR="00170E67" w:rsidRPr="00D57F5F" w:rsidSect="005537D8">
      <w:headerReference w:type="default" r:id="rId9"/>
      <w:footerReference w:type="default" r:id="rId10"/>
      <w:footerReference w:type="first" r:id="rId11"/>
      <w:pgSz w:w="11906" w:h="16838"/>
      <w:pgMar w:top="964" w:right="1134"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25C" w:rsidRDefault="0073625C" w:rsidP="00F724ED">
      <w:r>
        <w:separator/>
      </w:r>
    </w:p>
  </w:endnote>
  <w:endnote w:type="continuationSeparator" w:id="0">
    <w:p w:rsidR="0073625C" w:rsidRDefault="0073625C" w:rsidP="00F7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385" w:rsidRDefault="00353635" w:rsidP="00F06385">
    <w:pPr>
      <w:pStyle w:val="Footer"/>
      <w:jc w:val="both"/>
    </w:pPr>
    <w:r>
      <w:t>VARAMPiel_</w:t>
    </w:r>
    <w:r w:rsidR="00131FAC">
      <w:t>2</w:t>
    </w:r>
    <w:r w:rsidR="003A01FB">
      <w:t>3</w:t>
    </w:r>
    <w:r w:rsidR="008E4548">
      <w:t>0</w:t>
    </w:r>
    <w:r w:rsidR="0050411E">
      <w:t>8</w:t>
    </w:r>
    <w:r w:rsidR="00F06385">
      <w:t>16_VSS-992_VIF; Informatīvā</w:t>
    </w:r>
    <w:r w:rsidR="00F06385" w:rsidRPr="0002731B">
      <w:t xml:space="preserve"> ziņojum</w:t>
    </w:r>
    <w:r w:rsidR="00F06385">
      <w:t>a</w:t>
    </w:r>
    <w:r w:rsidR="00F06385" w:rsidRPr="0002731B">
      <w:t xml:space="preserve"> „Par priekšlikumu sniegšanu par turpmāko rīcību</w:t>
    </w:r>
    <w:r w:rsidR="00F06385">
      <w:t xml:space="preserve"> </w:t>
    </w:r>
    <w:r w:rsidR="00F06385" w:rsidRPr="0002731B">
      <w:t xml:space="preserve">ar </w:t>
    </w:r>
    <w:r w:rsidR="00F06385" w:rsidRPr="0002731B">
      <w:rPr>
        <w:rStyle w:val="spelle"/>
      </w:rPr>
      <w:t>sabiedrību ar ierobežotu atbildību ”Vides investīciju fonds”</w:t>
    </w:r>
    <w:r w:rsidR="00F06385">
      <w:rPr>
        <w:rStyle w:val="spelle"/>
      </w:rPr>
      <w:t>” pielikums</w:t>
    </w:r>
  </w:p>
  <w:p w:rsidR="00F06385" w:rsidRDefault="00F063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385" w:rsidRDefault="00353635" w:rsidP="00F06385">
    <w:pPr>
      <w:pStyle w:val="Footer"/>
      <w:jc w:val="both"/>
    </w:pPr>
    <w:r>
      <w:t>VARAMPiel_</w:t>
    </w:r>
    <w:r w:rsidR="00131FAC">
      <w:t>2</w:t>
    </w:r>
    <w:r w:rsidR="003A01FB">
      <w:t>3</w:t>
    </w:r>
    <w:r w:rsidR="008E4548">
      <w:t>0</w:t>
    </w:r>
    <w:r w:rsidR="0050411E">
      <w:t>8</w:t>
    </w:r>
    <w:r w:rsidR="00F06385">
      <w:t>16_VSS-992_VIF; Informatīvā</w:t>
    </w:r>
    <w:r w:rsidR="00F06385" w:rsidRPr="0002731B">
      <w:t xml:space="preserve"> ziņojum</w:t>
    </w:r>
    <w:r w:rsidR="00F06385">
      <w:t>a</w:t>
    </w:r>
    <w:r w:rsidR="00F06385" w:rsidRPr="0002731B">
      <w:t xml:space="preserve"> „Par priekšlikumu sniegšanu par turpmāko rīcību</w:t>
    </w:r>
    <w:r w:rsidR="00F06385">
      <w:t xml:space="preserve"> </w:t>
    </w:r>
    <w:r w:rsidR="00F06385" w:rsidRPr="0002731B">
      <w:t xml:space="preserve">ar </w:t>
    </w:r>
    <w:r w:rsidR="00F06385" w:rsidRPr="0002731B">
      <w:rPr>
        <w:rStyle w:val="spelle"/>
      </w:rPr>
      <w:t>sabiedrību ar ierobežotu atbildību ”Vides investīciju fonds”</w:t>
    </w:r>
    <w:r w:rsidR="00F06385">
      <w:rPr>
        <w:rStyle w:val="spelle"/>
      </w:rPr>
      <w:t>” 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25C" w:rsidRDefault="0073625C" w:rsidP="00F724ED">
      <w:r>
        <w:separator/>
      </w:r>
    </w:p>
  </w:footnote>
  <w:footnote w:type="continuationSeparator" w:id="0">
    <w:p w:rsidR="0073625C" w:rsidRDefault="0073625C" w:rsidP="00F72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066865"/>
      <w:docPartObj>
        <w:docPartGallery w:val="Page Numbers (Top of Page)"/>
        <w:docPartUnique/>
      </w:docPartObj>
    </w:sdtPr>
    <w:sdtEndPr>
      <w:rPr>
        <w:noProof/>
      </w:rPr>
    </w:sdtEndPr>
    <w:sdtContent>
      <w:p w:rsidR="00220547" w:rsidRDefault="00220547">
        <w:pPr>
          <w:pStyle w:val="Header"/>
          <w:jc w:val="center"/>
        </w:pPr>
        <w:r>
          <w:fldChar w:fldCharType="begin"/>
        </w:r>
        <w:r>
          <w:instrText xml:space="preserve"> PAGE   \* MERGEFORMAT </w:instrText>
        </w:r>
        <w:r>
          <w:fldChar w:fldCharType="separate"/>
        </w:r>
        <w:r w:rsidR="00612930">
          <w:rPr>
            <w:noProof/>
          </w:rPr>
          <w:t>10</w:t>
        </w:r>
        <w:r>
          <w:rPr>
            <w:noProof/>
          </w:rPr>
          <w:fldChar w:fldCharType="end"/>
        </w:r>
      </w:p>
    </w:sdtContent>
  </w:sdt>
  <w:p w:rsidR="00220547" w:rsidRDefault="00220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914D1"/>
    <w:multiLevelType w:val="hybridMultilevel"/>
    <w:tmpl w:val="91CCBE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F217DF"/>
    <w:multiLevelType w:val="hybridMultilevel"/>
    <w:tmpl w:val="B33ECC40"/>
    <w:lvl w:ilvl="0" w:tplc="78EEA14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412E48CA"/>
    <w:multiLevelType w:val="hybridMultilevel"/>
    <w:tmpl w:val="9084AC4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41995186"/>
    <w:multiLevelType w:val="hybridMultilevel"/>
    <w:tmpl w:val="829AB8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BC624A1"/>
    <w:multiLevelType w:val="hybridMultilevel"/>
    <w:tmpl w:val="CD724D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56"/>
    <w:rsid w:val="000006DB"/>
    <w:rsid w:val="000060DD"/>
    <w:rsid w:val="0001202A"/>
    <w:rsid w:val="00031196"/>
    <w:rsid w:val="0003572D"/>
    <w:rsid w:val="00087436"/>
    <w:rsid w:val="0009121B"/>
    <w:rsid w:val="000A7E41"/>
    <w:rsid w:val="000B396B"/>
    <w:rsid w:val="000D51F3"/>
    <w:rsid w:val="000F4464"/>
    <w:rsid w:val="00121E8A"/>
    <w:rsid w:val="001269B0"/>
    <w:rsid w:val="00131FAC"/>
    <w:rsid w:val="00133CB4"/>
    <w:rsid w:val="00170E67"/>
    <w:rsid w:val="00176FCE"/>
    <w:rsid w:val="00182FC7"/>
    <w:rsid w:val="001956FC"/>
    <w:rsid w:val="001A7694"/>
    <w:rsid w:val="001B5A5B"/>
    <w:rsid w:val="001C0B6E"/>
    <w:rsid w:val="001C1EBC"/>
    <w:rsid w:val="00213BC9"/>
    <w:rsid w:val="00220547"/>
    <w:rsid w:val="00227AF5"/>
    <w:rsid w:val="00242033"/>
    <w:rsid w:val="002451D2"/>
    <w:rsid w:val="00260B13"/>
    <w:rsid w:val="00260EAD"/>
    <w:rsid w:val="00263BBA"/>
    <w:rsid w:val="00270F22"/>
    <w:rsid w:val="00271511"/>
    <w:rsid w:val="00271D80"/>
    <w:rsid w:val="0027540C"/>
    <w:rsid w:val="002812B1"/>
    <w:rsid w:val="00287294"/>
    <w:rsid w:val="00294956"/>
    <w:rsid w:val="00296BC6"/>
    <w:rsid w:val="002B57DC"/>
    <w:rsid w:val="002C4F03"/>
    <w:rsid w:val="002D01E3"/>
    <w:rsid w:val="002D4846"/>
    <w:rsid w:val="00352586"/>
    <w:rsid w:val="00353635"/>
    <w:rsid w:val="00356174"/>
    <w:rsid w:val="00363299"/>
    <w:rsid w:val="00380EEA"/>
    <w:rsid w:val="003A01FB"/>
    <w:rsid w:val="003C2E73"/>
    <w:rsid w:val="003C30F7"/>
    <w:rsid w:val="003C5EDC"/>
    <w:rsid w:val="003D1921"/>
    <w:rsid w:val="003E0C54"/>
    <w:rsid w:val="003E4A82"/>
    <w:rsid w:val="003F366B"/>
    <w:rsid w:val="00404E4A"/>
    <w:rsid w:val="00440EF1"/>
    <w:rsid w:val="004460FD"/>
    <w:rsid w:val="004564EF"/>
    <w:rsid w:val="00462AE6"/>
    <w:rsid w:val="00462D91"/>
    <w:rsid w:val="0047424D"/>
    <w:rsid w:val="00481D5C"/>
    <w:rsid w:val="004978F7"/>
    <w:rsid w:val="004F2366"/>
    <w:rsid w:val="0050411E"/>
    <w:rsid w:val="00511FD0"/>
    <w:rsid w:val="00521BEF"/>
    <w:rsid w:val="005537D8"/>
    <w:rsid w:val="005572E2"/>
    <w:rsid w:val="00561A07"/>
    <w:rsid w:val="005720D8"/>
    <w:rsid w:val="00572FFB"/>
    <w:rsid w:val="00574D18"/>
    <w:rsid w:val="00583CE2"/>
    <w:rsid w:val="005B0917"/>
    <w:rsid w:val="005B0E38"/>
    <w:rsid w:val="005E2542"/>
    <w:rsid w:val="005F1022"/>
    <w:rsid w:val="00605710"/>
    <w:rsid w:val="00612930"/>
    <w:rsid w:val="00653233"/>
    <w:rsid w:val="0065586C"/>
    <w:rsid w:val="00673D79"/>
    <w:rsid w:val="00693462"/>
    <w:rsid w:val="00694569"/>
    <w:rsid w:val="0069769F"/>
    <w:rsid w:val="006A3BDD"/>
    <w:rsid w:val="006C129B"/>
    <w:rsid w:val="006D4015"/>
    <w:rsid w:val="006E5CB3"/>
    <w:rsid w:val="006F0831"/>
    <w:rsid w:val="006F19C6"/>
    <w:rsid w:val="006F3AAD"/>
    <w:rsid w:val="00702E16"/>
    <w:rsid w:val="007030D5"/>
    <w:rsid w:val="007177DF"/>
    <w:rsid w:val="00720C74"/>
    <w:rsid w:val="0072399A"/>
    <w:rsid w:val="00731158"/>
    <w:rsid w:val="0073625C"/>
    <w:rsid w:val="00747E8B"/>
    <w:rsid w:val="00772B46"/>
    <w:rsid w:val="0079441B"/>
    <w:rsid w:val="007C2F71"/>
    <w:rsid w:val="007D4759"/>
    <w:rsid w:val="007E368E"/>
    <w:rsid w:val="007F174F"/>
    <w:rsid w:val="007F7097"/>
    <w:rsid w:val="008130CA"/>
    <w:rsid w:val="00821B45"/>
    <w:rsid w:val="0083088A"/>
    <w:rsid w:val="00865D56"/>
    <w:rsid w:val="00875378"/>
    <w:rsid w:val="008826DF"/>
    <w:rsid w:val="00885520"/>
    <w:rsid w:val="008874E0"/>
    <w:rsid w:val="008900C0"/>
    <w:rsid w:val="008A0C49"/>
    <w:rsid w:val="008B6A21"/>
    <w:rsid w:val="008C068F"/>
    <w:rsid w:val="008C4F18"/>
    <w:rsid w:val="008C6624"/>
    <w:rsid w:val="008D7F03"/>
    <w:rsid w:val="008D7F34"/>
    <w:rsid w:val="008E4548"/>
    <w:rsid w:val="009177A1"/>
    <w:rsid w:val="00923E1E"/>
    <w:rsid w:val="00942E2D"/>
    <w:rsid w:val="0096315A"/>
    <w:rsid w:val="009826C7"/>
    <w:rsid w:val="0099486D"/>
    <w:rsid w:val="00997954"/>
    <w:rsid w:val="009A00D1"/>
    <w:rsid w:val="009A0B55"/>
    <w:rsid w:val="009B1702"/>
    <w:rsid w:val="009D1582"/>
    <w:rsid w:val="009D1942"/>
    <w:rsid w:val="009F3EB6"/>
    <w:rsid w:val="009F4B4B"/>
    <w:rsid w:val="009F75EA"/>
    <w:rsid w:val="00A02303"/>
    <w:rsid w:val="00A06938"/>
    <w:rsid w:val="00A26A07"/>
    <w:rsid w:val="00A26A74"/>
    <w:rsid w:val="00A27F23"/>
    <w:rsid w:val="00AB7481"/>
    <w:rsid w:val="00AC01FD"/>
    <w:rsid w:val="00AC67E9"/>
    <w:rsid w:val="00AC6995"/>
    <w:rsid w:val="00AD6845"/>
    <w:rsid w:val="00AE11B4"/>
    <w:rsid w:val="00B4146E"/>
    <w:rsid w:val="00B6193D"/>
    <w:rsid w:val="00B67E63"/>
    <w:rsid w:val="00B71DF8"/>
    <w:rsid w:val="00B73E13"/>
    <w:rsid w:val="00B95D82"/>
    <w:rsid w:val="00BA6502"/>
    <w:rsid w:val="00BC4B87"/>
    <w:rsid w:val="00BE1F70"/>
    <w:rsid w:val="00C13489"/>
    <w:rsid w:val="00C25F8C"/>
    <w:rsid w:val="00C33108"/>
    <w:rsid w:val="00C332BB"/>
    <w:rsid w:val="00C41739"/>
    <w:rsid w:val="00C465BB"/>
    <w:rsid w:val="00C47EC4"/>
    <w:rsid w:val="00C8659A"/>
    <w:rsid w:val="00C9002C"/>
    <w:rsid w:val="00C907D8"/>
    <w:rsid w:val="00C93EF7"/>
    <w:rsid w:val="00CA3C2D"/>
    <w:rsid w:val="00CA6810"/>
    <w:rsid w:val="00CB1B89"/>
    <w:rsid w:val="00CB47DD"/>
    <w:rsid w:val="00CC1AD2"/>
    <w:rsid w:val="00CC1FA5"/>
    <w:rsid w:val="00CC7E4E"/>
    <w:rsid w:val="00CD098B"/>
    <w:rsid w:val="00CF3B9C"/>
    <w:rsid w:val="00D021F5"/>
    <w:rsid w:val="00D021FD"/>
    <w:rsid w:val="00D05747"/>
    <w:rsid w:val="00D2460D"/>
    <w:rsid w:val="00D57D34"/>
    <w:rsid w:val="00D57F5F"/>
    <w:rsid w:val="00D60B6F"/>
    <w:rsid w:val="00D67ABC"/>
    <w:rsid w:val="00D776EF"/>
    <w:rsid w:val="00D826E0"/>
    <w:rsid w:val="00D82A27"/>
    <w:rsid w:val="00D86906"/>
    <w:rsid w:val="00D919E3"/>
    <w:rsid w:val="00DA3AA2"/>
    <w:rsid w:val="00DB241C"/>
    <w:rsid w:val="00DC2348"/>
    <w:rsid w:val="00DD177E"/>
    <w:rsid w:val="00DE46D8"/>
    <w:rsid w:val="00DE49EF"/>
    <w:rsid w:val="00DE61BF"/>
    <w:rsid w:val="00DE6456"/>
    <w:rsid w:val="00DF2DB8"/>
    <w:rsid w:val="00DF4B24"/>
    <w:rsid w:val="00DF510E"/>
    <w:rsid w:val="00E00F2D"/>
    <w:rsid w:val="00E02559"/>
    <w:rsid w:val="00E04120"/>
    <w:rsid w:val="00E23482"/>
    <w:rsid w:val="00E24794"/>
    <w:rsid w:val="00E37029"/>
    <w:rsid w:val="00E456BD"/>
    <w:rsid w:val="00E468E8"/>
    <w:rsid w:val="00E50AD2"/>
    <w:rsid w:val="00E64DB4"/>
    <w:rsid w:val="00E665E3"/>
    <w:rsid w:val="00E71621"/>
    <w:rsid w:val="00EA6F86"/>
    <w:rsid w:val="00EB7AA4"/>
    <w:rsid w:val="00EE4267"/>
    <w:rsid w:val="00EF0579"/>
    <w:rsid w:val="00EF3389"/>
    <w:rsid w:val="00EF41A4"/>
    <w:rsid w:val="00F0263E"/>
    <w:rsid w:val="00F06385"/>
    <w:rsid w:val="00F0735E"/>
    <w:rsid w:val="00F07ACE"/>
    <w:rsid w:val="00F2213A"/>
    <w:rsid w:val="00F470DE"/>
    <w:rsid w:val="00F503E0"/>
    <w:rsid w:val="00F642D7"/>
    <w:rsid w:val="00F724ED"/>
    <w:rsid w:val="00F93E47"/>
    <w:rsid w:val="00FA65FD"/>
    <w:rsid w:val="00FB3447"/>
    <w:rsid w:val="00FB5ECB"/>
    <w:rsid w:val="00FD2C30"/>
    <w:rsid w:val="00FF00DA"/>
    <w:rsid w:val="00FF2C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318C12-8290-4704-9D98-6695D315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456"/>
    <w:rPr>
      <w:rFonts w:ascii="Tahoma" w:hAnsi="Tahoma" w:cs="Tahoma"/>
      <w:sz w:val="16"/>
      <w:szCs w:val="16"/>
    </w:rPr>
  </w:style>
  <w:style w:type="character" w:customStyle="1" w:styleId="BalloonTextChar">
    <w:name w:val="Balloon Text Char"/>
    <w:basedOn w:val="DefaultParagraphFont"/>
    <w:link w:val="BalloonText"/>
    <w:uiPriority w:val="99"/>
    <w:semiHidden/>
    <w:rsid w:val="00DE6456"/>
    <w:rPr>
      <w:rFonts w:ascii="Tahoma" w:hAnsi="Tahoma" w:cs="Tahoma"/>
      <w:sz w:val="16"/>
      <w:szCs w:val="16"/>
    </w:rPr>
  </w:style>
  <w:style w:type="table" w:styleId="TableGrid">
    <w:name w:val="Table Grid"/>
    <w:basedOn w:val="TableNormal"/>
    <w:uiPriority w:val="59"/>
    <w:rsid w:val="00DE6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233"/>
    <w:pPr>
      <w:ind w:left="720"/>
      <w:contextualSpacing/>
    </w:pPr>
  </w:style>
  <w:style w:type="paragraph" w:customStyle="1" w:styleId="Default">
    <w:name w:val="Default"/>
    <w:rsid w:val="00673D79"/>
    <w:pPr>
      <w:autoSpaceDE w:val="0"/>
      <w:autoSpaceDN w:val="0"/>
      <w:adjustRightInd w:val="0"/>
    </w:pPr>
    <w:rPr>
      <w:rFonts w:ascii="Calibri" w:hAnsi="Calibri" w:cs="Calibri"/>
      <w:color w:val="000000"/>
    </w:rPr>
  </w:style>
  <w:style w:type="paragraph" w:styleId="Footer">
    <w:name w:val="footer"/>
    <w:basedOn w:val="Normal"/>
    <w:link w:val="FooterChar"/>
    <w:uiPriority w:val="99"/>
    <w:unhideWhenUsed/>
    <w:rsid w:val="00D60B6F"/>
    <w:pPr>
      <w:tabs>
        <w:tab w:val="center" w:pos="4153"/>
        <w:tab w:val="right" w:pos="8306"/>
      </w:tabs>
    </w:pPr>
    <w:rPr>
      <w:rFonts w:eastAsia="Times New Roman"/>
      <w:lang w:eastAsia="zh-CN"/>
    </w:rPr>
  </w:style>
  <w:style w:type="character" w:customStyle="1" w:styleId="FooterChar">
    <w:name w:val="Footer Char"/>
    <w:basedOn w:val="DefaultParagraphFont"/>
    <w:link w:val="Footer"/>
    <w:uiPriority w:val="99"/>
    <w:rsid w:val="00D60B6F"/>
    <w:rPr>
      <w:rFonts w:eastAsia="Times New Roman"/>
      <w:lang w:eastAsia="zh-CN"/>
    </w:rPr>
  </w:style>
  <w:style w:type="character" w:customStyle="1" w:styleId="spelle">
    <w:name w:val="spelle"/>
    <w:basedOn w:val="DefaultParagraphFont"/>
    <w:rsid w:val="00D60B6F"/>
  </w:style>
  <w:style w:type="paragraph" w:styleId="Header">
    <w:name w:val="header"/>
    <w:basedOn w:val="Normal"/>
    <w:link w:val="HeaderChar"/>
    <w:uiPriority w:val="99"/>
    <w:unhideWhenUsed/>
    <w:rsid w:val="00F724ED"/>
    <w:pPr>
      <w:tabs>
        <w:tab w:val="center" w:pos="4153"/>
        <w:tab w:val="right" w:pos="8306"/>
      </w:tabs>
    </w:pPr>
  </w:style>
  <w:style w:type="character" w:customStyle="1" w:styleId="HeaderChar">
    <w:name w:val="Header Char"/>
    <w:basedOn w:val="DefaultParagraphFont"/>
    <w:link w:val="Header"/>
    <w:uiPriority w:val="99"/>
    <w:rsid w:val="00F724ED"/>
  </w:style>
  <w:style w:type="character" w:styleId="Strong">
    <w:name w:val="Strong"/>
    <w:basedOn w:val="DefaultParagraphFont"/>
    <w:uiPriority w:val="22"/>
    <w:qFormat/>
    <w:rsid w:val="00E00F2D"/>
    <w:rPr>
      <w:b/>
      <w:bCs/>
    </w:rPr>
  </w:style>
  <w:style w:type="paragraph" w:customStyle="1" w:styleId="naisc">
    <w:name w:val="naisc"/>
    <w:basedOn w:val="Normal"/>
    <w:rsid w:val="00C25F8C"/>
    <w:pPr>
      <w:spacing w:before="75" w:after="75"/>
      <w:jc w:val="center"/>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3300">
      <w:bodyDiv w:val="1"/>
      <w:marLeft w:val="0"/>
      <w:marRight w:val="0"/>
      <w:marTop w:val="0"/>
      <w:marBottom w:val="0"/>
      <w:divBdr>
        <w:top w:val="none" w:sz="0" w:space="0" w:color="auto"/>
        <w:left w:val="none" w:sz="0" w:space="0" w:color="auto"/>
        <w:bottom w:val="none" w:sz="0" w:space="0" w:color="auto"/>
        <w:right w:val="none" w:sz="0" w:space="0" w:color="auto"/>
      </w:divBdr>
    </w:div>
    <w:div w:id="1215003916">
      <w:bodyDiv w:val="1"/>
      <w:marLeft w:val="0"/>
      <w:marRight w:val="0"/>
      <w:marTop w:val="0"/>
      <w:marBottom w:val="0"/>
      <w:divBdr>
        <w:top w:val="none" w:sz="0" w:space="0" w:color="auto"/>
        <w:left w:val="none" w:sz="0" w:space="0" w:color="auto"/>
        <w:bottom w:val="none" w:sz="0" w:space="0" w:color="auto"/>
        <w:right w:val="none" w:sz="0" w:space="0" w:color="auto"/>
      </w:divBdr>
    </w:div>
    <w:div w:id="1270235606">
      <w:bodyDiv w:val="1"/>
      <w:marLeft w:val="0"/>
      <w:marRight w:val="0"/>
      <w:marTop w:val="0"/>
      <w:marBottom w:val="0"/>
      <w:divBdr>
        <w:top w:val="none" w:sz="0" w:space="0" w:color="auto"/>
        <w:left w:val="none" w:sz="0" w:space="0" w:color="auto"/>
        <w:bottom w:val="none" w:sz="0" w:space="0" w:color="auto"/>
        <w:right w:val="none" w:sz="0" w:space="0" w:color="auto"/>
      </w:divBdr>
    </w:div>
    <w:div w:id="1705711339">
      <w:bodyDiv w:val="1"/>
      <w:marLeft w:val="0"/>
      <w:marRight w:val="0"/>
      <w:marTop w:val="0"/>
      <w:marBottom w:val="0"/>
      <w:divBdr>
        <w:top w:val="none" w:sz="0" w:space="0" w:color="auto"/>
        <w:left w:val="none" w:sz="0" w:space="0" w:color="auto"/>
        <w:bottom w:val="none" w:sz="0" w:space="0" w:color="auto"/>
        <w:right w:val="none" w:sz="0" w:space="0" w:color="auto"/>
      </w:divBdr>
    </w:div>
    <w:div w:id="1899825999">
      <w:bodyDiv w:val="1"/>
      <w:marLeft w:val="0"/>
      <w:marRight w:val="0"/>
      <w:marTop w:val="0"/>
      <w:marBottom w:val="0"/>
      <w:divBdr>
        <w:top w:val="none" w:sz="0" w:space="0" w:color="auto"/>
        <w:left w:val="none" w:sz="0" w:space="0" w:color="auto"/>
        <w:bottom w:val="none" w:sz="0" w:space="0" w:color="auto"/>
        <w:right w:val="none" w:sz="0" w:space="0" w:color="auto"/>
      </w:divBdr>
    </w:div>
    <w:div w:id="200149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10</Pages>
  <Words>18931</Words>
  <Characters>10792</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dc:creator>
  <cp:lastModifiedBy>Olita Zālīte - Vīlipa</cp:lastModifiedBy>
  <cp:revision>8</cp:revision>
  <cp:lastPrinted>2015-06-08T07:24:00Z</cp:lastPrinted>
  <dcterms:created xsi:type="dcterms:W3CDTF">2016-08-23T07:38:00Z</dcterms:created>
  <dcterms:modified xsi:type="dcterms:W3CDTF">2016-08-25T09:58:00Z</dcterms:modified>
</cp:coreProperties>
</file>