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F51702" w:rsidRDefault="009F0273" w:rsidP="00D07576">
      <w:pPr>
        <w:spacing w:before="120" w:after="120"/>
        <w:jc w:val="center"/>
        <w:rPr>
          <w:bCs/>
          <w:sz w:val="28"/>
          <w:szCs w:val="28"/>
        </w:rPr>
      </w:pPr>
      <w:r w:rsidRPr="00F51702">
        <w:rPr>
          <w:bCs/>
          <w:sz w:val="28"/>
          <w:szCs w:val="28"/>
        </w:rPr>
        <w:t xml:space="preserve">Ministru kabineta noteikumu projekta </w:t>
      </w:r>
    </w:p>
    <w:p w:rsidR="009F0273" w:rsidRPr="00F51702" w:rsidRDefault="009F0273" w:rsidP="009F0273">
      <w:pPr>
        <w:pStyle w:val="naisc"/>
        <w:spacing w:before="0" w:beforeAutospacing="0" w:after="120" w:afterAutospacing="0"/>
        <w:jc w:val="center"/>
        <w:rPr>
          <w:b/>
          <w:sz w:val="28"/>
          <w:szCs w:val="28"/>
        </w:rPr>
      </w:pPr>
      <w:r w:rsidRPr="00F51702">
        <w:rPr>
          <w:b/>
          <w:bCs/>
          <w:sz w:val="28"/>
          <w:szCs w:val="28"/>
        </w:rPr>
        <w:t>”Grozījum</w:t>
      </w:r>
      <w:r w:rsidR="00D07F03" w:rsidRPr="00F51702">
        <w:rPr>
          <w:b/>
          <w:bCs/>
          <w:sz w:val="28"/>
          <w:szCs w:val="28"/>
        </w:rPr>
        <w:t>i</w:t>
      </w:r>
      <w:r w:rsidRPr="00F51702">
        <w:rPr>
          <w:b/>
          <w:bCs/>
          <w:sz w:val="28"/>
          <w:szCs w:val="28"/>
        </w:rPr>
        <w:t xml:space="preserve"> Ministru kabineta </w:t>
      </w:r>
      <w:proofErr w:type="gramStart"/>
      <w:r w:rsidRPr="00F51702">
        <w:rPr>
          <w:b/>
          <w:bCs/>
          <w:sz w:val="28"/>
          <w:szCs w:val="28"/>
        </w:rPr>
        <w:t>2006</w:t>
      </w:r>
      <w:r w:rsidR="001B6B58">
        <w:rPr>
          <w:b/>
          <w:bCs/>
          <w:sz w:val="28"/>
          <w:szCs w:val="28"/>
        </w:rPr>
        <w:t>.gada</w:t>
      </w:r>
      <w:proofErr w:type="gramEnd"/>
      <w:r w:rsidR="001B6B58">
        <w:rPr>
          <w:b/>
          <w:bCs/>
          <w:sz w:val="28"/>
          <w:szCs w:val="28"/>
        </w:rPr>
        <w:t xml:space="preserve"> 31.oktobra noteikumos Nr.</w:t>
      </w:r>
      <w:r w:rsidRPr="00F51702">
        <w:rPr>
          <w:b/>
          <w:bCs/>
          <w:sz w:val="28"/>
          <w:szCs w:val="28"/>
        </w:rPr>
        <w:t>899 ”Ambulatorajai ārstēšanai paredzēto zāļu un medicīnisko ierīču iegādes izdevumu kompensācijas kārtība””</w:t>
      </w:r>
    </w:p>
    <w:p w:rsidR="00BB5084" w:rsidRDefault="009F0273" w:rsidP="00F35854">
      <w:pPr>
        <w:spacing w:before="150" w:after="150"/>
        <w:jc w:val="center"/>
        <w:rPr>
          <w:sz w:val="28"/>
          <w:szCs w:val="28"/>
        </w:rPr>
      </w:pPr>
      <w:r w:rsidRPr="00F51702">
        <w:rPr>
          <w:bCs/>
          <w:sz w:val="28"/>
          <w:szCs w:val="28"/>
        </w:rPr>
        <w:t>sākotnējās ietekmes novērtējuma ziņojums (anotācija)</w:t>
      </w:r>
      <w:r w:rsidRPr="00F51702">
        <w:rPr>
          <w:sz w:val="28"/>
          <w:szCs w:val="28"/>
        </w:rPr>
        <w:t> </w:t>
      </w:r>
    </w:p>
    <w:p w:rsidR="00F35854" w:rsidRPr="00F51702" w:rsidRDefault="00F35854" w:rsidP="00F35854">
      <w:pPr>
        <w:spacing w:before="150" w:after="150"/>
        <w:jc w:val="cente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252"/>
        <w:gridCol w:w="6549"/>
      </w:tblGrid>
      <w:tr w:rsidR="00D07F03" w:rsidRPr="00F51702" w:rsidTr="007512D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D07F03">
            <w:pPr>
              <w:spacing w:before="100" w:beforeAutospacing="1" w:after="100" w:afterAutospacing="1" w:line="360" w:lineRule="auto"/>
              <w:ind w:firstLine="300"/>
              <w:jc w:val="center"/>
              <w:rPr>
                <w:b/>
                <w:bCs/>
              </w:rPr>
            </w:pPr>
            <w:r w:rsidRPr="00F51702">
              <w:rPr>
                <w:b/>
                <w:bCs/>
              </w:rPr>
              <w:t>I. Tiesību akta projekta izstrādes nepieciešamība</w:t>
            </w:r>
          </w:p>
        </w:tc>
      </w:tr>
      <w:tr w:rsidR="00D07F03" w:rsidRPr="00F51702" w:rsidTr="007512D2">
        <w:trPr>
          <w:trHeight w:val="40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1.</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Pamatojums</w:t>
            </w:r>
          </w:p>
        </w:tc>
        <w:tc>
          <w:tcPr>
            <w:tcW w:w="3586" w:type="pct"/>
            <w:tcBorders>
              <w:top w:val="outset" w:sz="6" w:space="0" w:color="414142"/>
              <w:left w:val="outset" w:sz="6" w:space="0" w:color="414142"/>
              <w:bottom w:val="outset" w:sz="6" w:space="0" w:color="414142"/>
              <w:right w:val="outset" w:sz="6" w:space="0" w:color="414142"/>
            </w:tcBorders>
            <w:hideMark/>
          </w:tcPr>
          <w:p w:rsidR="0069761A" w:rsidRDefault="00B979D4" w:rsidP="00361422">
            <w:pPr>
              <w:spacing w:after="120"/>
              <w:ind w:left="113" w:right="142"/>
              <w:jc w:val="both"/>
            </w:pPr>
            <w:r>
              <w:t xml:space="preserve">1. </w:t>
            </w:r>
            <w:r w:rsidR="00B6097D" w:rsidRPr="00F51702">
              <w:t xml:space="preserve">Farmācijas likuma </w:t>
            </w:r>
            <w:proofErr w:type="gramStart"/>
            <w:r w:rsidR="00B6097D" w:rsidRPr="00F51702">
              <w:t>5.panta</w:t>
            </w:r>
            <w:proofErr w:type="gramEnd"/>
            <w:r w:rsidR="00B6097D" w:rsidRPr="00F51702">
              <w:t xml:space="preserve"> 20.punkts</w:t>
            </w:r>
            <w:r w:rsidR="00243343" w:rsidRPr="00F51702">
              <w:t>.</w:t>
            </w:r>
          </w:p>
          <w:p w:rsidR="000F441A" w:rsidRDefault="00B979D4" w:rsidP="007551BE">
            <w:pPr>
              <w:spacing w:after="120"/>
              <w:ind w:left="113" w:right="142"/>
              <w:jc w:val="both"/>
              <w:outlineLvl w:val="2"/>
            </w:pPr>
            <w:r>
              <w:t xml:space="preserve">2. </w:t>
            </w:r>
            <w:r w:rsidR="000F441A">
              <w:t>Patvēruma likums</w:t>
            </w:r>
          </w:p>
          <w:p w:rsidR="008B3DE9" w:rsidRPr="007551BE" w:rsidRDefault="000F441A" w:rsidP="002832E9">
            <w:pPr>
              <w:spacing w:after="120"/>
              <w:ind w:left="113" w:right="142"/>
              <w:jc w:val="both"/>
              <w:outlineLvl w:val="2"/>
              <w:rPr>
                <w:b/>
                <w:bCs/>
                <w:sz w:val="27"/>
                <w:szCs w:val="27"/>
              </w:rPr>
            </w:pPr>
            <w:r>
              <w:t xml:space="preserve">3. </w:t>
            </w:r>
            <w:r w:rsidR="002832E9">
              <w:t xml:space="preserve">Ar </w:t>
            </w:r>
            <w:r w:rsidR="008B3DE9" w:rsidRPr="008B3DE9">
              <w:t xml:space="preserve">Ministru kabineta </w:t>
            </w:r>
            <w:proofErr w:type="gramStart"/>
            <w:r w:rsidR="008B3DE9" w:rsidRPr="008B3DE9">
              <w:t>2015.</w:t>
            </w:r>
            <w:r w:rsidR="00B979D4">
              <w:t>gada</w:t>
            </w:r>
            <w:proofErr w:type="gramEnd"/>
            <w:r w:rsidR="00B979D4">
              <w:t xml:space="preserve"> 2.decembra rīkojum</w:t>
            </w:r>
            <w:r w:rsidR="002832E9">
              <w:t>u</w:t>
            </w:r>
            <w:r w:rsidR="00B979D4">
              <w:t xml:space="preserve"> Nr.759</w:t>
            </w:r>
            <w:r w:rsidR="002832E9">
              <w:t xml:space="preserve"> apstiprinātais</w:t>
            </w:r>
            <w:r w:rsidR="00B979D4">
              <w:t xml:space="preserve"> ”</w:t>
            </w:r>
            <w:r w:rsidR="008B3DE9" w:rsidRPr="008B3DE9">
              <w:t>Rīcības plāns personu, kurām nepieciešama starptautiskā aizsardzība, pārvietošanai un uzņemšanai Latvijā”</w:t>
            </w:r>
            <w:r w:rsidR="00361422">
              <w:t xml:space="preserve"> (turpmāk – </w:t>
            </w:r>
            <w:r w:rsidR="002832E9">
              <w:t>Rīcības plāns</w:t>
            </w:r>
            <w:r w:rsidR="00361422">
              <w:t>)</w:t>
            </w:r>
            <w:r w:rsidR="008B3DE9" w:rsidRPr="008B3DE9">
              <w:t xml:space="preserve">. </w:t>
            </w:r>
          </w:p>
        </w:tc>
      </w:tr>
      <w:tr w:rsidR="00D07F03" w:rsidRPr="00F51702"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2.</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right w:val="outset" w:sz="6" w:space="0" w:color="414142"/>
            </w:tcBorders>
            <w:hideMark/>
          </w:tcPr>
          <w:p w:rsidR="00E56C69" w:rsidRPr="00FE0D20" w:rsidRDefault="00E56C69" w:rsidP="00421F3D">
            <w:pPr>
              <w:autoSpaceDE w:val="0"/>
              <w:autoSpaceDN w:val="0"/>
              <w:adjustRightInd w:val="0"/>
              <w:spacing w:after="120"/>
              <w:ind w:left="113" w:right="142"/>
              <w:jc w:val="both"/>
            </w:pPr>
            <w:r w:rsidRPr="00FE0D20">
              <w:rPr>
                <w:rFonts w:eastAsia="Calibri"/>
              </w:rPr>
              <w:t>Ambulatorajai ārstēšanai paredzēto zāļu un medicīnisko ierīču iegādes izdevumu kompensācijas kārtība</w:t>
            </w:r>
            <w:r w:rsidR="0069761A" w:rsidRPr="00FE0D20">
              <w:rPr>
                <w:rFonts w:eastAsia="Calibri"/>
              </w:rPr>
              <w:t>, kas ir noteikta ar</w:t>
            </w:r>
            <w:proofErr w:type="gramStart"/>
            <w:r w:rsidR="0069761A" w:rsidRPr="00FE0D20">
              <w:rPr>
                <w:rFonts w:eastAsia="Calibri"/>
              </w:rPr>
              <w:t xml:space="preserve"> </w:t>
            </w:r>
            <w:r w:rsidRPr="00FE0D20">
              <w:rPr>
                <w:rFonts w:eastAsia="Calibri"/>
              </w:rPr>
              <w:t xml:space="preserve"> </w:t>
            </w:r>
            <w:proofErr w:type="gramEnd"/>
            <w:r w:rsidR="0069761A" w:rsidRPr="00FE0D20">
              <w:t>Ministru kabineta 2006.gada 31.oktobra noteikumiem Nr.899 ”Ambulatorajai ārstēšanai paredzēto zāļu un medicīnisko ierīču iegādes izdevumu kompensācijas kārtība”</w:t>
            </w:r>
            <w:r w:rsidR="00B11522" w:rsidRPr="00FE0D20">
              <w:t xml:space="preserve"> (turpmāk – Noteikumi Nr.899)</w:t>
            </w:r>
            <w:r w:rsidR="0069761A" w:rsidRPr="00FE0D20">
              <w:t xml:space="preserve">, </w:t>
            </w:r>
            <w:r w:rsidRPr="00FE0D20">
              <w:rPr>
                <w:rFonts w:eastAsia="Calibri"/>
              </w:rPr>
              <w:t xml:space="preserve">paredz pasākumu kopumu </w:t>
            </w:r>
            <w:r w:rsidR="00015D64" w:rsidRPr="00FE0D20">
              <w:rPr>
                <w:rFonts w:eastAsia="Calibri"/>
              </w:rPr>
              <w:t xml:space="preserve">pilnai vai </w:t>
            </w:r>
            <w:r w:rsidRPr="00FE0D20">
              <w:rPr>
                <w:rFonts w:eastAsia="Calibri"/>
              </w:rPr>
              <w:t xml:space="preserve">daļējai zāļu un medicīnisko ierīču iegādes izdevumu kompensācijai pacientiem ar smagām un hroniskām slimībām, kā arī visu ārsta izrakstīto recepšu zāļu iegādes izdevumu kompensāciju 50% apmērā </w:t>
            </w:r>
            <w:r w:rsidRPr="00FE0D20">
              <w:t>bērniem līdz 24 mēnešu vecumam, kuriem nav noteikta diagnoze ar citu kompensācijas apmēru, un 25 % apmērā – grūtniecēm un sievietēm pēcdzemdību periodā līdz 42 dienām, kurām nav noteikta diagnoze ar citu kompensācijas apmēru.</w:t>
            </w:r>
          </w:p>
          <w:p w:rsidR="00143771" w:rsidRPr="00FE0D20" w:rsidRDefault="0095469D" w:rsidP="0095469D">
            <w:pPr>
              <w:spacing w:after="120"/>
              <w:ind w:left="113" w:right="142"/>
              <w:jc w:val="both"/>
            </w:pPr>
            <w:r w:rsidRPr="00FE0D20">
              <w:t>1.</w:t>
            </w:r>
            <w:r w:rsidR="00E34805" w:rsidRPr="00FE0D20">
              <w:t xml:space="preserve"> Saskaņā ar Patvēruma likuma </w:t>
            </w:r>
            <w:proofErr w:type="gramStart"/>
            <w:r w:rsidR="00E34805" w:rsidRPr="00FE0D20">
              <w:t>11.panta</w:t>
            </w:r>
            <w:proofErr w:type="gramEnd"/>
            <w:r w:rsidR="00E34805" w:rsidRPr="00FE0D20">
              <w:t xml:space="preserve"> </w:t>
            </w:r>
            <w:r w:rsidR="00EC37BA">
              <w:t>otrās daļas</w:t>
            </w:r>
            <w:r w:rsidR="00E34805" w:rsidRPr="00FE0D20">
              <w:t xml:space="preserve"> 8.punktu patvēruma meklētājam ir tiesības normatīvajos aktos noteiktajā kārtībā par valsts līdzekļiem saņemt neatliekamo medicīnisko palīdzību, primāro veselības aprūpi, ambulatoro un stacionāro psihiatrisko palīdzību, kā arī visu medicīnisko palīdzību nepilngadīgām personām. </w:t>
            </w:r>
            <w:r w:rsidR="002832E9" w:rsidRPr="00FE0D20">
              <w:t>Savukārt</w:t>
            </w:r>
            <w:r w:rsidR="00143771" w:rsidRPr="00FE0D20">
              <w:t xml:space="preserve"> </w:t>
            </w:r>
            <w:r w:rsidR="00E34805" w:rsidRPr="00FE0D20">
              <w:t xml:space="preserve">Rīcības plāna </w:t>
            </w:r>
            <w:r w:rsidR="00143771" w:rsidRPr="00FE0D20">
              <w:t>2.7.apakšpunktā noteikts, ka Veselības ministrija ir atbildīgā institūcija, kas nodrošina, lai patvēruma meklētājiem kopš uzņemšanas brīža būtu pieejama neatliekamā medicīniskā palīdzība, kā arī primārā, sekundārā un ambulatorā veselības aprūpe.</w:t>
            </w:r>
            <w:r w:rsidR="00881406" w:rsidRPr="00FE0D20">
              <w:t xml:space="preserve"> </w:t>
            </w:r>
          </w:p>
          <w:p w:rsidR="00C01E0D" w:rsidRPr="00FE0D20" w:rsidRDefault="00881406" w:rsidP="00881406">
            <w:pPr>
              <w:spacing w:after="120"/>
              <w:ind w:left="113" w:right="142"/>
              <w:jc w:val="both"/>
            </w:pPr>
            <w:r w:rsidRPr="00FE0D20">
              <w:t>Ambulatorajai ārstēšanai paredzēto zāļu un medicīnisko ierīču iegādi par valsts budžeta līdzekļiem nosaka Noteikumi Nr.899. Tādējādi, l</w:t>
            </w:r>
            <w:r w:rsidR="0095469D" w:rsidRPr="00FE0D20">
              <w:t xml:space="preserve">ai </w:t>
            </w:r>
            <w:r w:rsidR="0095469D" w:rsidRPr="00FE0D20">
              <w:rPr>
                <w:rFonts w:eastAsia="Calibri"/>
                <w:lang w:bidi="gu-IN"/>
              </w:rPr>
              <w:t xml:space="preserve">mazinātu nevienlīdzību veselības pakalpojumu pieejamībā cilvēkiem ar zemiem ienākumiem un samazinātu pacientu tiešmaksājumus par veselības aprūpes pakalpojumiem, </w:t>
            </w:r>
            <w:r w:rsidR="00E34805" w:rsidRPr="00FE0D20">
              <w:rPr>
                <w:rFonts w:eastAsia="Calibri"/>
                <w:lang w:bidi="gu-IN"/>
              </w:rPr>
              <w:lastRenderedPageBreak/>
              <w:t>kā arī</w:t>
            </w:r>
            <w:r w:rsidR="0095469D" w:rsidRPr="00FE0D20">
              <w:rPr>
                <w:rFonts w:eastAsia="Calibri"/>
                <w:lang w:bidi="gu-IN"/>
              </w:rPr>
              <w:t xml:space="preserve"> pildītu</w:t>
            </w:r>
            <w:r w:rsidRPr="00FE0D20">
              <w:rPr>
                <w:rFonts w:eastAsia="Calibri"/>
                <w:lang w:bidi="gu-IN"/>
              </w:rPr>
              <w:t xml:space="preserve"> Patvēruma likumā un Rīcības plānā noteikto</w:t>
            </w:r>
            <w:r w:rsidR="0095469D" w:rsidRPr="00FE0D20">
              <w:rPr>
                <w:rFonts w:eastAsia="Calibri"/>
                <w:lang w:bidi="gu-IN"/>
              </w:rPr>
              <w:t xml:space="preserve"> </w:t>
            </w:r>
            <w:r w:rsidRPr="00FE0D20">
              <w:rPr>
                <w:rFonts w:eastAsia="Calibri"/>
                <w:lang w:bidi="gu-IN"/>
              </w:rPr>
              <w:t xml:space="preserve">attiecībā uz </w:t>
            </w:r>
            <w:r w:rsidR="0095469D" w:rsidRPr="00FE0D20">
              <w:t>ambulatoro veselības aprūpi personām, kurām ir nepieciešama starptautiskā aizsardzība, </w:t>
            </w:r>
            <w:r w:rsidR="0095469D" w:rsidRPr="00FE0D20">
              <w:rPr>
                <w:rFonts w:eastAsia="Calibri"/>
                <w:lang w:bidi="gu-IN"/>
              </w:rPr>
              <w:t xml:space="preserve">Ministru kabineta noteikumu projekts ”Grozījumi </w:t>
            </w:r>
            <w:r w:rsidR="0095469D" w:rsidRPr="00FE0D20">
              <w:t xml:space="preserve">Ministru kabineta </w:t>
            </w:r>
            <w:proofErr w:type="gramStart"/>
            <w:r w:rsidR="0095469D" w:rsidRPr="00FE0D20">
              <w:t>2006.gada</w:t>
            </w:r>
            <w:proofErr w:type="gramEnd"/>
            <w:r w:rsidR="0095469D" w:rsidRPr="00FE0D20">
              <w:t xml:space="preserve"> 31.oktobra noteikumos Nr.899 ”Ambulatorajai ārstēšanai paredzēto zāļu un medicīnisko ierīču iegādes izdevumu kompensācijas kārtība”” (turpmāk – Noteikumu projekts)</w:t>
            </w:r>
            <w:r w:rsidR="0095469D" w:rsidRPr="00FE0D20">
              <w:rPr>
                <w:rFonts w:eastAsia="Calibri"/>
                <w:lang w:bidi="gu-IN"/>
              </w:rPr>
              <w:t xml:space="preserve"> paredz </w:t>
            </w:r>
            <w:r w:rsidR="0095469D" w:rsidRPr="00FE0D20">
              <w:rPr>
                <w:lang w:bidi="gu-IN"/>
              </w:rPr>
              <w:t>pielīdzināt patvēruma meklētāju tiesības zāļu iegādes izdevumu kompensācijai trūcīgo personu tiesībām (Noteikumu projekta 1.1. un 1.2.apakšpunkts).</w:t>
            </w:r>
          </w:p>
          <w:p w:rsidR="00FE0D20" w:rsidRDefault="00486B9B" w:rsidP="00FE0D20">
            <w:pPr>
              <w:spacing w:after="120"/>
              <w:ind w:left="113" w:right="142"/>
              <w:jc w:val="both"/>
              <w:rPr>
                <w:rFonts w:eastAsiaTheme="minorHAnsi"/>
                <w:color w:val="000000"/>
              </w:rPr>
            </w:pPr>
            <w:r w:rsidRPr="00FE0D20">
              <w:rPr>
                <w:rFonts w:eastAsia="Calibri"/>
                <w:lang w:bidi="gu-IN"/>
              </w:rPr>
              <w:t>2</w:t>
            </w:r>
            <w:r w:rsidR="005C602B" w:rsidRPr="00FE0D20">
              <w:rPr>
                <w:rFonts w:eastAsia="Calibri"/>
                <w:lang w:bidi="gu-IN"/>
              </w:rPr>
              <w:t xml:space="preserve">. </w:t>
            </w:r>
            <w:r w:rsidR="0059362C" w:rsidRPr="00FE0D20">
              <w:rPr>
                <w:rFonts w:eastAsia="Calibri"/>
                <w:lang w:bidi="gu-IN"/>
              </w:rPr>
              <w:t>Nacionālais veselības d</w:t>
            </w:r>
            <w:r w:rsidR="0059362C" w:rsidRPr="00FE0D20">
              <w:rPr>
                <w:rFonts w:eastAsiaTheme="minorHAnsi"/>
                <w:color w:val="000000"/>
              </w:rPr>
              <w:t>ienests ir ierosinājis zāles grupēt līdzvērtīgas terapeitiskās efektivitātes zāļu grupā, neņemot vērā zāļu iepakojuma lielumu, vienlaikus aprēķinā saglabājot miligramu attiecību un izmaksu atšķirības dažādām zāļu formām. Ņemot vērā to, ka aptiekās iespējams dalīt lielos iepakojumus, tiktu veicināta lētāku iepakojumu lietošana, sekmēta lielāka cenu konkurence dārgāku iepakojumu zālēm, līdz ar to arī racionālāka valsts budžeta, arī pacienta līdzekļu lietošana</w:t>
            </w:r>
            <w:r w:rsidR="00FE0D20">
              <w:rPr>
                <w:rFonts w:eastAsiaTheme="minorHAnsi"/>
                <w:color w:val="000000"/>
              </w:rPr>
              <w:t>.</w:t>
            </w:r>
            <w:r w:rsidR="0059362C" w:rsidRPr="00FE0D20">
              <w:rPr>
                <w:rFonts w:eastAsiaTheme="minorHAnsi"/>
                <w:color w:val="000000"/>
              </w:rPr>
              <w:t xml:space="preserve"> </w:t>
            </w:r>
          </w:p>
          <w:p w:rsidR="00FE0D20" w:rsidRDefault="002C7EBA" w:rsidP="00FE0D20">
            <w:pPr>
              <w:spacing w:after="120"/>
              <w:ind w:left="113" w:right="142"/>
              <w:jc w:val="both"/>
            </w:pPr>
            <w:r>
              <w:t>Pašreiz kompensējamo zāļu sarakstā</w:t>
            </w:r>
            <w:r w:rsidR="00E21250">
              <w:t xml:space="preserve"> (turpmāk – KZS)</w:t>
            </w:r>
            <w:r>
              <w:t xml:space="preserve"> iekļaujot</w:t>
            </w:r>
            <w:r w:rsidR="005A2980">
              <w:t xml:space="preserve"> zāles ar</w:t>
            </w:r>
            <w:proofErr w:type="gramStart"/>
            <w:r w:rsidR="005A2980">
              <w:t xml:space="preserve"> </w:t>
            </w:r>
            <w:r>
              <w:t xml:space="preserve"> </w:t>
            </w:r>
            <w:proofErr w:type="gramEnd"/>
            <w:r>
              <w:t>vienād</w:t>
            </w:r>
            <w:r w:rsidR="005A2980">
              <w:t>u vispārīgo</w:t>
            </w:r>
            <w:r>
              <w:t xml:space="preserve"> nosaukum</w:t>
            </w:r>
            <w:r w:rsidR="005A2980">
              <w:t>u</w:t>
            </w:r>
            <w:r>
              <w:t>, zāļu form</w:t>
            </w:r>
            <w:r w:rsidR="005A2980">
              <w:t>u</w:t>
            </w:r>
            <w:r>
              <w:t xml:space="preserve"> un dev</w:t>
            </w:r>
            <w:r w:rsidR="00B3602C">
              <w:t>u, bet</w:t>
            </w:r>
            <w:r>
              <w:t xml:space="preserve"> dažāda lieluma iepakojum</w:t>
            </w:r>
            <w:r w:rsidR="00B3602C">
              <w:t>o</w:t>
            </w:r>
            <w:r>
              <w:t>s, katram iepakojuma lielumam tie</w:t>
            </w:r>
            <w:r w:rsidR="00B3602C">
              <w:t xml:space="preserve">k noteikta sava references cena, paredzot, ka lielāka iepakojuma vienas vienības cena ir zemāka par mazāka iepakojuma vienas vienības cenu. </w:t>
            </w:r>
            <w:r>
              <w:t xml:space="preserve">  </w:t>
            </w:r>
            <w:r w:rsidR="00FE0D20">
              <w:t>Z</w:t>
            </w:r>
            <w:r w:rsidR="00FE0D20" w:rsidRPr="00FE0D20">
              <w:t>āļu iegādes</w:t>
            </w:r>
            <w:r w:rsidR="00E21250">
              <w:t xml:space="preserve"> izdevumu</w:t>
            </w:r>
            <w:r w:rsidR="00FE0D20" w:rsidRPr="00FE0D20">
              <w:t xml:space="preserve"> kompensācijas sistēmas (turpmāk – ZIKS) ietvaros zāles lieto pacienti ar smagām, ilgstoši ārstējamām, hroniskām slimībām. Tādējādi </w:t>
            </w:r>
            <w:r w:rsidR="00FE0D20">
              <w:t xml:space="preserve">ir pamatota </w:t>
            </w:r>
            <w:r w:rsidR="00FE0D20" w:rsidRPr="00FE0D20">
              <w:t>lielāku</w:t>
            </w:r>
            <w:r w:rsidR="00FE0D20">
              <w:t>, garākam ārstēšanas kursam paredzētu</w:t>
            </w:r>
            <w:r w:rsidR="00FE0D20" w:rsidRPr="00FE0D20">
              <w:t xml:space="preserve"> zāļu iepako</w:t>
            </w:r>
            <w:r w:rsidR="00FE0D20">
              <w:t xml:space="preserve">jumu izrakstīšana un lietošana, </w:t>
            </w:r>
            <w:r w:rsidR="00FE0D20" w:rsidRPr="00FE0D20">
              <w:t xml:space="preserve">dalot iepakojumu gadījumā, ja tomēr nepieciešams mazāks zāļu daudzums. Nosacījumus zāļu iepakojumu dalīšanai paredz Ministru kabineta </w:t>
            </w:r>
            <w:proofErr w:type="gramStart"/>
            <w:r w:rsidR="00FE0D20" w:rsidRPr="00FE0D20">
              <w:t>2006.gada</w:t>
            </w:r>
            <w:proofErr w:type="gramEnd"/>
            <w:r w:rsidR="00FE0D20" w:rsidRPr="00FE0D20">
              <w:t xml:space="preserve"> 17.janvāra noteikumu Nr.57 „Noteikumi par zāļu marķēšanas kārtību un zāļu lietošanas instrukcijai izvirzāmajām prasībām” (turpmāk – noteikumi Nr.57) 27.punkts. Saskaņā ar noteikumiem Nr.57 aptiekā, kuras speciālās atļaujas (licences) pielikumā nav norādīts speciālās darbības nosacījums – zāļu izgatavošana –, </w:t>
            </w:r>
            <w:proofErr w:type="gramStart"/>
            <w:r w:rsidR="00FE0D20" w:rsidRPr="00FE0D20">
              <w:t>rūpnieciski ražotas zāles</w:t>
            </w:r>
            <w:proofErr w:type="gramEnd"/>
            <w:r w:rsidR="00FE0D20" w:rsidRPr="00FE0D20">
              <w:t xml:space="preserve"> atļauts dalīt atbilstoši receptē norādītajam, nebojājot zāļu primāro iepakojumu. Kā liecina līdzšinējā aptieku pieredze, zāļu sekundārā iepakojuma atvēršana, lai izsniegtu pacientam daļu no iepakojumā ievietotajām zālēm, nerada papildus izdevumus un sadārdzinājumu pacientiem un aptiekām</w:t>
            </w:r>
            <w:r w:rsidR="00FE0D20">
              <w:t xml:space="preserve">. Tā kā </w:t>
            </w:r>
            <w:r w:rsidR="00FE0D20" w:rsidRPr="00FE0D20">
              <w:t>ZIKS mērķis ir pieejamo valsts budžeta līdzekļu ietvaros nodrošināt zāles iespējami lielākam pacientu skaitam, šim mērķim vairāk atbilst lielāka un lētāka iepakojuma dalīšana, nekā mazāka un dārgāka iepakojuma iegāde</w:t>
            </w:r>
            <w:r w:rsidR="00FE0D20">
              <w:t>.</w:t>
            </w:r>
            <w:r w:rsidR="002704C1">
              <w:t xml:space="preserve"> </w:t>
            </w:r>
          </w:p>
          <w:p w:rsidR="00B27CC9" w:rsidRPr="00D90F4C" w:rsidRDefault="00FE0D20" w:rsidP="00D90F4C">
            <w:pPr>
              <w:spacing w:after="120"/>
              <w:ind w:left="113" w:right="142"/>
              <w:jc w:val="both"/>
              <w:rPr>
                <w:rFonts w:eastAsiaTheme="minorHAnsi"/>
                <w:color w:val="000000"/>
              </w:rPr>
            </w:pPr>
            <w:r w:rsidRPr="00FE0D20">
              <w:t xml:space="preserve">Pacientam joprojām būs pieejamas līdz šim lietotās zāles (ieskaitot zāļu formu, devu un devu skaitu) par references cenu. </w:t>
            </w:r>
            <w:r w:rsidRPr="00FE0D20">
              <w:lastRenderedPageBreak/>
              <w:t xml:space="preserve">Gadījumā, ja izrakstītais daudzums būs mazāks par KZS pieejamo zāļu iepakojumu ar references cenu, farmaceitam ir tiesības dalīt sekundāro iepakojumu, izsniedzot pacientam </w:t>
            </w:r>
            <w:r w:rsidR="002704C1">
              <w:t>nepieciešamo zāļu daudzumu</w:t>
            </w:r>
            <w:r w:rsidR="009E59A2">
              <w:t>. Pašreiz sagatavotais noteikumu projekts „Aptieku darbības noteikumi” paredz nosacījumu, ka aptiekā drīkstēs dalīt tikai cietās zāļu formas. Tādējādi nav pamata bažām par ziežu un šķidro zāļu formu dalīšanu.</w:t>
            </w:r>
            <w:r w:rsidR="00D90F4C">
              <w:t xml:space="preserve"> </w:t>
            </w:r>
            <w:r w:rsidR="0059362C" w:rsidRPr="00FE0D20">
              <w:rPr>
                <w:rFonts w:eastAsiaTheme="minorHAnsi"/>
                <w:color w:val="000000"/>
              </w:rPr>
              <w:t>(Noteikumu projekta 1.</w:t>
            </w:r>
            <w:r w:rsidR="00486B9B" w:rsidRPr="00FE0D20">
              <w:rPr>
                <w:rFonts w:eastAsiaTheme="minorHAnsi"/>
                <w:color w:val="000000"/>
              </w:rPr>
              <w:t>3</w:t>
            </w:r>
            <w:r w:rsidR="00E521D7" w:rsidRPr="00FE0D20">
              <w:rPr>
                <w:rFonts w:eastAsiaTheme="minorHAnsi"/>
                <w:color w:val="000000"/>
              </w:rPr>
              <w:t xml:space="preserve">., </w:t>
            </w:r>
            <w:r w:rsidR="0059362C" w:rsidRPr="00FE0D20">
              <w:rPr>
                <w:rFonts w:eastAsiaTheme="minorHAnsi"/>
                <w:color w:val="000000"/>
              </w:rPr>
              <w:t>1.</w:t>
            </w:r>
            <w:r w:rsidR="00486B9B" w:rsidRPr="00FE0D20">
              <w:rPr>
                <w:rFonts w:eastAsiaTheme="minorHAnsi"/>
                <w:color w:val="000000"/>
              </w:rPr>
              <w:t>4</w:t>
            </w:r>
            <w:r w:rsidR="0059362C" w:rsidRPr="00FE0D20">
              <w:rPr>
                <w:rFonts w:eastAsiaTheme="minorHAnsi"/>
                <w:color w:val="000000"/>
              </w:rPr>
              <w:t>.</w:t>
            </w:r>
            <w:r w:rsidR="00E521D7" w:rsidRPr="00FE0D20">
              <w:rPr>
                <w:rFonts w:eastAsiaTheme="minorHAnsi"/>
                <w:color w:val="000000"/>
              </w:rPr>
              <w:t>un 1.5.</w:t>
            </w:r>
            <w:r w:rsidR="0059362C" w:rsidRPr="00FE0D20">
              <w:rPr>
                <w:rFonts w:eastAsiaTheme="minorHAnsi"/>
                <w:color w:val="000000"/>
              </w:rPr>
              <w:t>apakšpunkts).</w:t>
            </w:r>
          </w:p>
          <w:p w:rsidR="00B27CC9" w:rsidRDefault="00486B9B" w:rsidP="00486B9B">
            <w:pPr>
              <w:spacing w:after="120"/>
              <w:ind w:left="113" w:right="142"/>
              <w:jc w:val="both"/>
              <w:rPr>
                <w:rFonts w:eastAsiaTheme="minorHAnsi"/>
                <w:color w:val="000000"/>
              </w:rPr>
            </w:pPr>
            <w:r w:rsidRPr="00FE0D20">
              <w:rPr>
                <w:rFonts w:eastAsiaTheme="minorHAnsi"/>
                <w:color w:val="000000"/>
              </w:rPr>
              <w:t>3</w:t>
            </w:r>
            <w:r w:rsidR="00B27CC9" w:rsidRPr="00FE0D20">
              <w:rPr>
                <w:rFonts w:eastAsiaTheme="minorHAnsi"/>
                <w:color w:val="000000"/>
              </w:rPr>
              <w:t xml:space="preserve">. </w:t>
            </w:r>
            <w:r w:rsidR="00AD7690" w:rsidRPr="00FE0D20">
              <w:rPr>
                <w:rFonts w:eastAsiaTheme="minorHAnsi"/>
                <w:color w:val="000000"/>
              </w:rPr>
              <w:t xml:space="preserve">Noteikumu Nr.899 67.punkts nosaka tās ārstniecības iestādes, kurām ir tiesības iesniegt </w:t>
            </w:r>
            <w:r w:rsidR="003B65EB" w:rsidRPr="00FE0D20">
              <w:t>ārstniecības nozares speciālistu konsilij</w:t>
            </w:r>
            <w:r w:rsidR="00AD7690" w:rsidRPr="00FE0D20">
              <w:t>u</w:t>
            </w:r>
            <w:r w:rsidR="003B65EB" w:rsidRPr="00FE0D20">
              <w:t xml:space="preserve"> lēmum</w:t>
            </w:r>
            <w:r w:rsidR="00AD7690" w:rsidRPr="00FE0D20">
              <w:t>us</w:t>
            </w:r>
            <w:r w:rsidR="003B65EB" w:rsidRPr="00FE0D20">
              <w:t xml:space="preserve"> par </w:t>
            </w:r>
            <w:r w:rsidR="00AD7690" w:rsidRPr="00FE0D20">
              <w:t xml:space="preserve">kompensējamo </w:t>
            </w:r>
            <w:r w:rsidR="003B65EB" w:rsidRPr="00FE0D20">
              <w:t>zāļu</w:t>
            </w:r>
            <w:r w:rsidR="00AD7690" w:rsidRPr="00FE0D20">
              <w:t xml:space="preserve"> C sarakstā iekļauto zāļu</w:t>
            </w:r>
            <w:r w:rsidR="003B65EB" w:rsidRPr="00FE0D20">
              <w:t xml:space="preserve"> vai medicīnisko ierīču lietošanas nepi</w:t>
            </w:r>
            <w:r w:rsidR="00AD7690" w:rsidRPr="00FE0D20">
              <w:t>eciešamību konkrētam pacientam.</w:t>
            </w:r>
            <w:r w:rsidR="00AD7690" w:rsidRPr="00FE0D20">
              <w:rPr>
                <w:rFonts w:eastAsiaTheme="minorHAnsi"/>
                <w:color w:val="000000"/>
              </w:rPr>
              <w:t xml:space="preserve"> </w:t>
            </w:r>
            <w:r w:rsidR="00B27CC9" w:rsidRPr="00FE0D20">
              <w:rPr>
                <w:rFonts w:eastAsiaTheme="minorHAnsi"/>
                <w:color w:val="000000"/>
              </w:rPr>
              <w:t>Nacionālais veselības dienests</w:t>
            </w:r>
            <w:r w:rsidR="003B65EB" w:rsidRPr="00FE0D20">
              <w:rPr>
                <w:rFonts w:eastAsiaTheme="minorHAnsi"/>
                <w:color w:val="000000"/>
              </w:rPr>
              <w:t xml:space="preserve"> ir ierosinājis Noteikumu Nr.899 67.punktā aizstāt vārdus </w:t>
            </w:r>
            <w:r w:rsidR="00B11522" w:rsidRPr="00FE0D20">
              <w:t>”Rīgas Hematoloģijas centrs” ar vārdiem ”Liepājas reģionālā slimnīca”</w:t>
            </w:r>
            <w:r w:rsidR="00AD7690" w:rsidRPr="00FE0D20">
              <w:t>, ņemot vērā</w:t>
            </w:r>
            <w:r w:rsidR="00B27CC9" w:rsidRPr="00FE0D20">
              <w:rPr>
                <w:rFonts w:eastAsiaTheme="minorHAnsi"/>
                <w:color w:val="000000"/>
              </w:rPr>
              <w:t>, ka iep</w:t>
            </w:r>
            <w:r w:rsidR="00AD7690" w:rsidRPr="00FE0D20">
              <w:rPr>
                <w:rFonts w:eastAsiaTheme="minorHAnsi"/>
                <w:color w:val="000000"/>
              </w:rPr>
              <w:t>riekšējā līguma termiņš ar SIA ”</w:t>
            </w:r>
            <w:r w:rsidR="00B27CC9" w:rsidRPr="00FE0D20">
              <w:rPr>
                <w:rFonts w:eastAsiaTheme="minorHAnsi"/>
                <w:color w:val="000000"/>
              </w:rPr>
              <w:t xml:space="preserve">Rīgas Hematoloģijas centrs” beidzās un </w:t>
            </w:r>
            <w:r w:rsidR="00A24BE0" w:rsidRPr="00FE0D20">
              <w:rPr>
                <w:rFonts w:eastAsiaTheme="minorHAnsi"/>
                <w:color w:val="000000"/>
              </w:rPr>
              <w:t xml:space="preserve">turpmāk līgums tiek slēgts ar SIA </w:t>
            </w:r>
            <w:r w:rsidR="00B6370D" w:rsidRPr="00FE0D20">
              <w:rPr>
                <w:rFonts w:eastAsiaTheme="minorHAnsi"/>
                <w:color w:val="000000"/>
              </w:rPr>
              <w:t>”</w:t>
            </w:r>
            <w:r w:rsidR="00A24BE0" w:rsidRPr="00FE0D20">
              <w:t>Rīgas Austrumu klīniskā universitātes slimnīca</w:t>
            </w:r>
            <w:r w:rsidR="00B6370D" w:rsidRPr="00FE0D20">
              <w:t>” (kuras struktūrā pārgāja SIA ”Rīgas Hematoloģijas centrs”)</w:t>
            </w:r>
            <w:r w:rsidR="00A24BE0" w:rsidRPr="00FE0D20">
              <w:t>, kas jau</w:t>
            </w:r>
            <w:proofErr w:type="gramStart"/>
            <w:r w:rsidR="00A24BE0" w:rsidRPr="00FE0D20">
              <w:t xml:space="preserve">  </w:t>
            </w:r>
            <w:proofErr w:type="gramEnd"/>
            <w:r w:rsidR="00B6370D" w:rsidRPr="00FE0D20">
              <w:t>minēta</w:t>
            </w:r>
            <w:r w:rsidR="00A24BE0" w:rsidRPr="00FE0D20">
              <w:t xml:space="preserve"> Noteikumu Nr.899 67.punktā</w:t>
            </w:r>
            <w:r w:rsidR="00B27CC9" w:rsidRPr="00FE0D20">
              <w:rPr>
                <w:rFonts w:eastAsiaTheme="minorHAnsi"/>
                <w:color w:val="000000"/>
              </w:rPr>
              <w:t xml:space="preserve">. </w:t>
            </w:r>
            <w:r w:rsidR="00AD7690" w:rsidRPr="00FE0D20">
              <w:rPr>
                <w:rFonts w:eastAsiaTheme="minorHAnsi"/>
                <w:color w:val="000000"/>
              </w:rPr>
              <w:t>Savukārt SIA ”</w:t>
            </w:r>
            <w:r w:rsidR="00B27CC9" w:rsidRPr="00FE0D20">
              <w:rPr>
                <w:rFonts w:eastAsiaTheme="minorHAnsi"/>
                <w:color w:val="000000"/>
              </w:rPr>
              <w:t xml:space="preserve">Liepājas reģionālā slimnīca” ir atvērta Ķīmijterapijas/Hematoloģijas un </w:t>
            </w:r>
            <w:proofErr w:type="spellStart"/>
            <w:r w:rsidR="00B27CC9" w:rsidRPr="00FE0D20">
              <w:rPr>
                <w:rFonts w:eastAsiaTheme="minorHAnsi"/>
                <w:color w:val="000000"/>
              </w:rPr>
              <w:t>Paliatīvās</w:t>
            </w:r>
            <w:proofErr w:type="spellEnd"/>
            <w:r w:rsidR="00B27CC9" w:rsidRPr="00FE0D20">
              <w:rPr>
                <w:rFonts w:eastAsiaTheme="minorHAnsi"/>
                <w:color w:val="000000"/>
              </w:rPr>
              <w:t xml:space="preserve"> aprūpes nodaļa. Nodaļā ir gan ķīmijterapijas Dienas stacionārs (</w:t>
            </w:r>
            <w:r w:rsidR="00D6126E" w:rsidRPr="00FE0D20">
              <w:rPr>
                <w:rFonts w:eastAsiaTheme="minorHAnsi"/>
                <w:color w:val="000000"/>
              </w:rPr>
              <w:t>seši</w:t>
            </w:r>
            <w:r w:rsidR="00B27CC9" w:rsidRPr="00FE0D20">
              <w:rPr>
                <w:rFonts w:eastAsiaTheme="minorHAnsi"/>
                <w:color w:val="000000"/>
              </w:rPr>
              <w:t xml:space="preserve"> ķīmijterapijas krēsli), gan stacionāra g</w:t>
            </w:r>
            <w:r w:rsidR="00D6126E" w:rsidRPr="00FE0D20">
              <w:rPr>
                <w:rFonts w:eastAsiaTheme="minorHAnsi"/>
                <w:color w:val="000000"/>
              </w:rPr>
              <w:t>ultas (14 gultas). Papildus ir divas</w:t>
            </w:r>
            <w:r w:rsidR="00B27CC9" w:rsidRPr="00FE0D20">
              <w:rPr>
                <w:rFonts w:eastAsiaTheme="minorHAnsi"/>
                <w:color w:val="000000"/>
              </w:rPr>
              <w:t xml:space="preserve"> staru terapijas gultas un </w:t>
            </w:r>
            <w:r w:rsidR="00D6126E" w:rsidRPr="00FE0D20">
              <w:rPr>
                <w:rFonts w:eastAsiaTheme="minorHAnsi"/>
                <w:color w:val="000000"/>
              </w:rPr>
              <w:t>septiņas</w:t>
            </w:r>
            <w:r w:rsidR="00B27CC9" w:rsidRPr="00FE0D20">
              <w:rPr>
                <w:rFonts w:eastAsiaTheme="minorHAnsi"/>
                <w:color w:val="000000"/>
              </w:rPr>
              <w:t xml:space="preserve"> </w:t>
            </w:r>
            <w:proofErr w:type="spellStart"/>
            <w:r w:rsidR="00B27CC9" w:rsidRPr="00FE0D20">
              <w:rPr>
                <w:rFonts w:eastAsiaTheme="minorHAnsi"/>
                <w:color w:val="000000"/>
              </w:rPr>
              <w:t>paliatīvās</w:t>
            </w:r>
            <w:proofErr w:type="spellEnd"/>
            <w:r w:rsidR="00B27CC9" w:rsidRPr="00FE0D20">
              <w:rPr>
                <w:rFonts w:eastAsiaTheme="minorHAnsi"/>
                <w:color w:val="000000"/>
              </w:rPr>
              <w:t xml:space="preserve"> aprūpes gultas. Stacionārā tiek veikta visa veida ķīmijterapija (visām </w:t>
            </w:r>
            <w:proofErr w:type="spellStart"/>
            <w:r w:rsidR="00B27CC9" w:rsidRPr="00FE0D20">
              <w:rPr>
                <w:rFonts w:eastAsiaTheme="minorHAnsi"/>
                <w:color w:val="000000"/>
              </w:rPr>
              <w:t>onko-hematoloģiskām</w:t>
            </w:r>
            <w:proofErr w:type="spellEnd"/>
            <w:r w:rsidR="00B27CC9" w:rsidRPr="00FE0D20">
              <w:rPr>
                <w:rFonts w:eastAsiaTheme="minorHAnsi"/>
                <w:color w:val="000000"/>
              </w:rPr>
              <w:t xml:space="preserve"> diagnozēm). Nodaļā tiek nodrošināta arī 24 vai </w:t>
            </w:r>
            <w:r w:rsidR="00AD7690" w:rsidRPr="00FE0D20">
              <w:rPr>
                <w:rFonts w:eastAsiaTheme="minorHAnsi"/>
                <w:color w:val="000000"/>
              </w:rPr>
              <w:t>46 stundu ķīmijterapijas ievade (Noteikumu projekta 1.</w:t>
            </w:r>
            <w:r w:rsidR="00FE0D20" w:rsidRPr="00FE0D20">
              <w:rPr>
                <w:rFonts w:eastAsiaTheme="minorHAnsi"/>
                <w:color w:val="000000"/>
              </w:rPr>
              <w:t>6</w:t>
            </w:r>
            <w:r w:rsidR="00AD7690" w:rsidRPr="00FE0D20">
              <w:rPr>
                <w:rFonts w:eastAsiaTheme="minorHAnsi"/>
                <w:color w:val="000000"/>
              </w:rPr>
              <w:t>.apakšpunkts).</w:t>
            </w:r>
          </w:p>
          <w:p w:rsidR="003676D9" w:rsidRPr="00FE0D20" w:rsidRDefault="003676D9" w:rsidP="00486B9B">
            <w:pPr>
              <w:spacing w:after="120"/>
              <w:ind w:left="113" w:right="142"/>
              <w:jc w:val="both"/>
              <w:rPr>
                <w:rFonts w:eastAsiaTheme="minorHAnsi"/>
                <w:color w:val="000000"/>
              </w:rPr>
            </w:pPr>
            <w:r>
              <w:rPr>
                <w:rFonts w:eastAsiaTheme="minorHAnsi"/>
                <w:color w:val="000000"/>
              </w:rPr>
              <w:t>4. Noteikumu Nr.899 93.1.apakšpunkts paredz, ka ārstu konsilija lēmumā, kurš nepieciešams gadījumos, kad tiek lemts par zāļu iegādes izdevumu kompensāciju individuālām personām, norāda personas kodu. Ņemot vērā, ka normatīvie akti neparedz personas koda piešķiršanu patvēruma meklētājiem, Tieslietu ministrijas ir ierosinājusi veikt grozījumus Noteikumu Nr.899 93.1.apakšpunktā (Noteikumu projekta 1.7.apakšpunkts).</w:t>
            </w:r>
          </w:p>
          <w:p w:rsidR="00F74A77" w:rsidRPr="00FE0D20" w:rsidRDefault="003676D9" w:rsidP="00421F3D">
            <w:pPr>
              <w:spacing w:after="120"/>
              <w:ind w:left="113" w:right="142"/>
              <w:jc w:val="both"/>
              <w:rPr>
                <w:rFonts w:eastAsiaTheme="minorHAnsi"/>
                <w:color w:val="000000"/>
              </w:rPr>
            </w:pPr>
            <w:r>
              <w:rPr>
                <w:rFonts w:eastAsiaTheme="minorHAnsi"/>
                <w:color w:val="000000"/>
              </w:rPr>
              <w:t>5</w:t>
            </w:r>
            <w:r w:rsidR="009A478F" w:rsidRPr="00FE0D20">
              <w:rPr>
                <w:rFonts w:eastAsiaTheme="minorHAnsi"/>
                <w:color w:val="000000"/>
              </w:rPr>
              <w:t>. Nacionālais veselības dienests ir ierosinājis svītrot Noteikumu Nr.899 94.punktā vārdus ”vai medicīnisko ierīču”, jo Noteikumu Nr.899 92.1.apakšpunkts nosaka, ka ”diagnoze nav iekļauta šo noteikumu 1.pielikumā, un attiecīgās slimības ārstēšanā bez konkrēto zāļu lietošanas nav iespējams uzturēt pacienta dzīvības funkcijas (šajā apakšpunktā noteiktajā gadījumā netiek apmaksāta medicīnisko ierīču iegāde)</w:t>
            </w:r>
            <w:r w:rsidR="00C94FA3" w:rsidRPr="00FE0D20">
              <w:rPr>
                <w:rFonts w:eastAsiaTheme="minorHAnsi"/>
                <w:color w:val="000000"/>
              </w:rPr>
              <w:t>” (Noteikumu projekta 1.</w:t>
            </w:r>
            <w:r>
              <w:rPr>
                <w:rFonts w:eastAsiaTheme="minorHAnsi"/>
                <w:color w:val="000000"/>
              </w:rPr>
              <w:t>8</w:t>
            </w:r>
            <w:r w:rsidR="00C94FA3" w:rsidRPr="00FE0D20">
              <w:rPr>
                <w:rFonts w:eastAsiaTheme="minorHAnsi"/>
                <w:color w:val="000000"/>
              </w:rPr>
              <w:t>.apakšpunkts).</w:t>
            </w:r>
          </w:p>
          <w:p w:rsidR="005154EB" w:rsidRDefault="003676D9" w:rsidP="00EA6DC0">
            <w:pPr>
              <w:spacing w:after="120"/>
              <w:ind w:left="113" w:right="142"/>
              <w:jc w:val="both"/>
              <w:rPr>
                <w:rFonts w:eastAsiaTheme="minorHAnsi"/>
                <w:color w:val="000000"/>
              </w:rPr>
            </w:pPr>
            <w:r>
              <w:rPr>
                <w:rFonts w:eastAsia="Calibri"/>
                <w:lang w:bidi="gu-IN"/>
              </w:rPr>
              <w:t>6</w:t>
            </w:r>
            <w:r w:rsidR="00F74A77" w:rsidRPr="00FE0D20">
              <w:rPr>
                <w:rFonts w:eastAsia="Calibri"/>
                <w:lang w:bidi="gu-IN"/>
              </w:rPr>
              <w:t>. Nacionālais veselības d</w:t>
            </w:r>
            <w:r w:rsidR="00F74A77" w:rsidRPr="00FE0D20">
              <w:rPr>
                <w:rFonts w:eastAsiaTheme="minorHAnsi"/>
                <w:color w:val="000000"/>
              </w:rPr>
              <w:t>ienests ir ierosinājis precizēt Noteikumu Nr.899 1.pielikuma diagnožu sadaļu ”9.</w:t>
            </w:r>
            <w:r w:rsidR="002D59A7">
              <w:rPr>
                <w:rFonts w:eastAsiaTheme="minorHAnsi"/>
                <w:color w:val="000000"/>
              </w:rPr>
              <w:t xml:space="preserve"> Gremošanas sistēmas slimības”.  </w:t>
            </w:r>
          </w:p>
          <w:p w:rsidR="00EA6DC0" w:rsidRDefault="002D59A7" w:rsidP="00EA6DC0">
            <w:pPr>
              <w:spacing w:after="120"/>
              <w:ind w:left="113" w:right="142"/>
              <w:jc w:val="both"/>
              <w:rPr>
                <w:rFonts w:eastAsiaTheme="minorHAnsi"/>
                <w:color w:val="000000"/>
              </w:rPr>
            </w:pPr>
            <w:r w:rsidRPr="00FE0D20">
              <w:lastRenderedPageBreak/>
              <w:t>Noteikumu Nr.899 1.pielikuma pašreizējā redakcija tik</w:t>
            </w:r>
            <w:r>
              <w:t>a</w:t>
            </w:r>
            <w:r w:rsidRPr="00FE0D20">
              <w:t xml:space="preserve"> apstiprināta ar Ministru kabineta </w:t>
            </w:r>
            <w:proofErr w:type="gramStart"/>
            <w:r w:rsidRPr="00FE0D20">
              <w:t>2014.gada</w:t>
            </w:r>
            <w:proofErr w:type="gramEnd"/>
            <w:r w:rsidRPr="00FE0D20">
              <w:t xml:space="preserve"> 21.oktobra noteikumiem Nr.652 „Grozījumi Ministru kabineta 2006.gada 31.oktobra noteikumos Nr.899 „Ambulatorajai ārstēšanai paredzēto zāļu un medicīnisko ierīču iegādes izdevumu kompensācijas kārtība””</w:t>
            </w:r>
            <w:r>
              <w:t xml:space="preserve"> (turpmāk – Noteikumi Nr.652). Noteikumi Nr.652 tika izstrādāti, lai saskaņotu Noteikumu Nr.899 1.pielikum</w:t>
            </w:r>
            <w:r w:rsidR="008D3AF2">
              <w:t>a redakciju</w:t>
            </w:r>
            <w:r>
              <w:t xml:space="preserve"> ar </w:t>
            </w:r>
            <w:r w:rsidRPr="00FE0D20">
              <w:rPr>
                <w:color w:val="000000" w:themeColor="text1"/>
              </w:rPr>
              <w:t>Starptautisk</w:t>
            </w:r>
            <w:r w:rsidR="008D3AF2">
              <w:rPr>
                <w:color w:val="000000" w:themeColor="text1"/>
              </w:rPr>
              <w:t>ās</w:t>
            </w:r>
            <w:r w:rsidRPr="00FE0D20">
              <w:rPr>
                <w:color w:val="000000" w:themeColor="text1"/>
              </w:rPr>
              <w:t xml:space="preserve"> statistisk</w:t>
            </w:r>
            <w:r w:rsidR="008D3AF2">
              <w:rPr>
                <w:color w:val="000000" w:themeColor="text1"/>
              </w:rPr>
              <w:t>ās</w:t>
            </w:r>
            <w:r w:rsidRPr="00FE0D20">
              <w:rPr>
                <w:color w:val="000000" w:themeColor="text1"/>
              </w:rPr>
              <w:t xml:space="preserve"> slimību un veselības problēmu klasifikācija</w:t>
            </w:r>
            <w:r w:rsidR="008D3AF2">
              <w:rPr>
                <w:color w:val="000000" w:themeColor="text1"/>
              </w:rPr>
              <w:t>s</w:t>
            </w:r>
            <w:r w:rsidRPr="00FE0D20">
              <w:rPr>
                <w:color w:val="000000" w:themeColor="text1"/>
              </w:rPr>
              <w:t xml:space="preserve"> (10.redakcija (SSK–10))</w:t>
            </w:r>
            <w:r w:rsidR="008D3AF2">
              <w:rPr>
                <w:color w:val="000000" w:themeColor="text1"/>
              </w:rPr>
              <w:t xml:space="preserve"> </w:t>
            </w:r>
            <w:r w:rsidR="008D3AF2">
              <w:t>aktualizēto</w:t>
            </w:r>
            <w:r w:rsidR="008D3AF2">
              <w:rPr>
                <w:color w:val="000000" w:themeColor="text1"/>
              </w:rPr>
              <w:t xml:space="preserve"> versiju. Izstrādājot Noteikumus Nr.652, tika paredzēts veikt 1.pielikuma redakcionālas izmaiņas (precizēt slimību un slimību grupu nosaukumus un attiecīgos k</w:t>
            </w:r>
            <w:r w:rsidR="00153B6F">
              <w:rPr>
                <w:color w:val="000000" w:themeColor="text1"/>
              </w:rPr>
              <w:t>odus), nemainot to pēc būtības un nesvītrojot iekļautās diagnozes. Tādējādi nebija paredzēts un nebija pamata no Noteikumu Nr.899 1.pielikuma svītrot 9.3., 9.4.un 9.5.apakšpunktu. Noteikumu projekts paredz no jauna iekļaut 1.pielikumā kļūdas dēļ svītrotās diagnozes</w:t>
            </w:r>
            <w:r w:rsidRPr="00FE0D20">
              <w:rPr>
                <w:rFonts w:eastAsiaTheme="minorHAnsi"/>
                <w:color w:val="000000"/>
              </w:rPr>
              <w:t xml:space="preserve"> (Noteikumu projekta 1.</w:t>
            </w:r>
            <w:r w:rsidR="003676D9">
              <w:rPr>
                <w:rFonts w:eastAsiaTheme="minorHAnsi"/>
                <w:color w:val="000000"/>
              </w:rPr>
              <w:t>9</w:t>
            </w:r>
            <w:r w:rsidRPr="00FE0D20">
              <w:rPr>
                <w:rFonts w:eastAsiaTheme="minorHAnsi"/>
                <w:color w:val="000000"/>
              </w:rPr>
              <w:t>.apakšpunkts).</w:t>
            </w:r>
          </w:p>
          <w:p w:rsidR="008A402F" w:rsidRPr="00FE0D20" w:rsidRDefault="003676D9" w:rsidP="00294219">
            <w:pPr>
              <w:spacing w:after="120"/>
              <w:ind w:left="113" w:right="142"/>
              <w:jc w:val="both"/>
              <w:rPr>
                <w:rFonts w:eastAsiaTheme="minorHAnsi"/>
                <w:color w:val="000000"/>
              </w:rPr>
            </w:pPr>
            <w:r>
              <w:t xml:space="preserve">7. </w:t>
            </w:r>
            <w:r w:rsidR="00294219">
              <w:t>Paredzēts, ka grozījumi, kas paredzēti</w:t>
            </w:r>
            <w:r w:rsidR="00C7179C" w:rsidRPr="00466496">
              <w:t xml:space="preserve"> 1.</w:t>
            </w:r>
            <w:r w:rsidR="00486B9B" w:rsidRPr="00466496">
              <w:t>3</w:t>
            </w:r>
            <w:r w:rsidR="00C7179C" w:rsidRPr="00466496">
              <w:t>.</w:t>
            </w:r>
            <w:r w:rsidR="00466496">
              <w:t>,</w:t>
            </w:r>
            <w:r w:rsidR="00C7179C" w:rsidRPr="00466496">
              <w:t xml:space="preserve"> 1.</w:t>
            </w:r>
            <w:r w:rsidR="00486B9B" w:rsidRPr="00466496">
              <w:t>4</w:t>
            </w:r>
            <w:r w:rsidR="00C7179C" w:rsidRPr="00466496">
              <w:t>.</w:t>
            </w:r>
            <w:r w:rsidR="00466496">
              <w:t xml:space="preserve"> un 1.5.</w:t>
            </w:r>
            <w:r w:rsidR="00C7179C" w:rsidRPr="00466496">
              <w:t>apakšpunkt</w:t>
            </w:r>
            <w:r w:rsidR="00294219">
              <w:t>ā</w:t>
            </w:r>
            <w:r w:rsidR="00C7179C" w:rsidRPr="00466496">
              <w:t xml:space="preserve"> stājas spēkā </w:t>
            </w:r>
            <w:proofErr w:type="gramStart"/>
            <w:r w:rsidR="00C7179C" w:rsidRPr="00466496">
              <w:t>2017.gada</w:t>
            </w:r>
            <w:proofErr w:type="gramEnd"/>
            <w:r w:rsidR="00C7179C" w:rsidRPr="00466496">
              <w:t xml:space="preserve"> 1.aprīlī.</w:t>
            </w:r>
            <w:r w:rsidR="00BF436D" w:rsidRPr="00466496">
              <w:t xml:space="preserve"> Saskaņā ar</w:t>
            </w:r>
            <w:r w:rsidR="00BF436D" w:rsidRPr="00FE0D20">
              <w:t xml:space="preserve"> Noteikumu Nr.899 </w:t>
            </w:r>
            <w:r w:rsidR="007A4F17" w:rsidRPr="00FE0D20">
              <w:t>62.</w:t>
            </w:r>
            <w:r w:rsidR="00BF23A9">
              <w:rPr>
                <w:vertAlign w:val="superscript"/>
              </w:rPr>
              <w:t>1</w:t>
            </w:r>
            <w:r w:rsidR="007A4F17" w:rsidRPr="00FE0D20">
              <w:t xml:space="preserve"> </w:t>
            </w:r>
            <w:r w:rsidR="00BF23A9">
              <w:t xml:space="preserve">un </w:t>
            </w:r>
            <w:r w:rsidR="00BF23A9" w:rsidRPr="00FE0D20">
              <w:t>62.</w:t>
            </w:r>
            <w:r w:rsidR="00BF23A9" w:rsidRPr="00FE0D20">
              <w:rPr>
                <w:vertAlign w:val="superscript"/>
              </w:rPr>
              <w:t>2</w:t>
            </w:r>
            <w:proofErr w:type="gramStart"/>
            <w:r w:rsidR="00BF23A9" w:rsidRPr="00FE0D20">
              <w:t xml:space="preserve"> </w:t>
            </w:r>
            <w:r w:rsidR="00BF23A9">
              <w:t xml:space="preserve"> </w:t>
            </w:r>
            <w:proofErr w:type="gramEnd"/>
            <w:r w:rsidR="007A4F17" w:rsidRPr="00FE0D20">
              <w:t>punktu kompensācijas bāzes cenas un aptiekas cenas noteikšanu A saraksta zālēm Nacionālais veselības dienests veic četras reizes gadā – uz 1.janvāri</w:t>
            </w:r>
            <w:r w:rsidR="00BF23A9">
              <w:t xml:space="preserve"> (iesniedzējs pieteikumu iesniedz līdz iepriekšējā gada 30.septembrim)</w:t>
            </w:r>
            <w:r w:rsidR="007A4F17" w:rsidRPr="00FE0D20">
              <w:t>, 1.aprīli</w:t>
            </w:r>
            <w:r w:rsidR="00BF23A9">
              <w:t xml:space="preserve"> (pieteikums līdz 30.decembrim)</w:t>
            </w:r>
            <w:r w:rsidR="007A4F17" w:rsidRPr="00FE0D20">
              <w:t>, 1.jūliju</w:t>
            </w:r>
            <w:r w:rsidR="00BF23A9">
              <w:t xml:space="preserve"> (pieteikums līdz 31.martam)</w:t>
            </w:r>
            <w:r w:rsidR="007A4F17" w:rsidRPr="00FE0D20">
              <w:t xml:space="preserve"> un 1.oktobri</w:t>
            </w:r>
            <w:r w:rsidR="00BF23A9">
              <w:t xml:space="preserve"> (pieteikums līdz 30.jūnijam)</w:t>
            </w:r>
            <w:r w:rsidR="007A4F17" w:rsidRPr="00FE0D20">
              <w:t>.</w:t>
            </w:r>
            <w:r w:rsidR="00BF23A9">
              <w:t xml:space="preserve"> Tādējādi, ja noteikumu projekts tiek apstiprināts š.g. oktobrī, iesniedzējam ir laiks iesniegt pieteikumu cenu izmaiņām līdz </w:t>
            </w:r>
            <w:proofErr w:type="gramStart"/>
            <w:r w:rsidR="00BF23A9">
              <w:t>2016.gada</w:t>
            </w:r>
            <w:proofErr w:type="gramEnd"/>
            <w:r w:rsidR="00BF23A9">
              <w:t xml:space="preserve"> 30.decembrim. Visi iesniegtie pieteikumi tiks izvērtēti un jaunās izmaiņas stāsies spēkā </w:t>
            </w:r>
            <w:proofErr w:type="gramStart"/>
            <w:r w:rsidR="00BF23A9">
              <w:t>2017.gada</w:t>
            </w:r>
            <w:proofErr w:type="gramEnd"/>
            <w:r w:rsidR="00BF23A9">
              <w:t xml:space="preserve"> 1.aprīlī.</w:t>
            </w:r>
            <w:r w:rsidR="00202C04" w:rsidRPr="00FE0D20">
              <w:t xml:space="preserve"> </w:t>
            </w:r>
            <w:r w:rsidR="00212E92" w:rsidRPr="00FE0D20">
              <w:rPr>
                <w:vanish/>
              </w:rPr>
              <w:t>5</w:t>
            </w:r>
            <w:r w:rsidR="002E7799" w:rsidRPr="00FE0D20">
              <w:rPr>
                <w:vanish/>
              </w:rPr>
              <w:t xml:space="preserve"> </w:t>
            </w:r>
          </w:p>
        </w:tc>
      </w:tr>
      <w:tr w:rsidR="00D07F03" w:rsidRPr="00F51702"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Projekta izstrādē iesaistītās institūcijas</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F51702" w:rsidRDefault="00BD175D" w:rsidP="00486B9B">
            <w:pPr>
              <w:ind w:left="115" w:right="140"/>
            </w:pPr>
            <w:r w:rsidRPr="00F51702">
              <w:t>Nacionālais veselības dienests</w:t>
            </w:r>
          </w:p>
        </w:tc>
      </w:tr>
      <w:tr w:rsidR="00D07F03" w:rsidRPr="00F51702" w:rsidTr="007512D2">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4.</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CC4E8E" w:rsidRPr="00F51702" w:rsidRDefault="007150CE" w:rsidP="00740E6A">
            <w:pPr>
              <w:spacing w:after="120"/>
              <w:ind w:left="142" w:right="142"/>
              <w:jc w:val="both"/>
            </w:pPr>
            <w:r>
              <w:t>Anotācijas III sadaļa netiek aizpildīta. Līdzekļi, kas tiks iztērēti zāļu iegādes izdevumu kompensācija</w:t>
            </w:r>
            <w:r w:rsidR="00740E6A">
              <w:t>i</w:t>
            </w:r>
            <w:r>
              <w:t xml:space="preserve"> patvēruma meklētājiem, tiks pieprasīti no līdzekļiem neparedzētajiem gadījumiem.</w:t>
            </w:r>
          </w:p>
        </w:tc>
      </w:tr>
    </w:tbl>
    <w:p w:rsidR="00136B00" w:rsidRDefault="00136B00" w:rsidP="00A51F1F">
      <w:pPr>
        <w:pStyle w:val="naisf"/>
        <w:spacing w:before="0" w:after="0"/>
        <w:rPr>
          <w:sz w:val="4"/>
          <w:szCs w:val="4"/>
        </w:rPr>
      </w:pPr>
    </w:p>
    <w:p w:rsidR="00F35854" w:rsidRPr="00F51702" w:rsidRDefault="00F35854" w:rsidP="00A51F1F">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1983"/>
        <w:gridCol w:w="6691"/>
      </w:tblGrid>
      <w:tr w:rsidR="00D07F03" w:rsidRPr="00F51702"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871F6C">
            <w:pPr>
              <w:spacing w:before="120" w:after="120"/>
              <w:ind w:firstLine="301"/>
              <w:jc w:val="center"/>
              <w:rPr>
                <w:b/>
                <w:bCs/>
              </w:rPr>
            </w:pPr>
            <w:r w:rsidRPr="00F51702">
              <w:rPr>
                <w:b/>
                <w:bCs/>
              </w:rPr>
              <w:t>II. Tiesību akta projekta ietekme uz sabiedrību, tautsaimniecības attīstību un administratīvo slogu</w:t>
            </w:r>
          </w:p>
        </w:tc>
      </w:tr>
      <w:tr w:rsidR="00D07F03" w:rsidRPr="00F51702" w:rsidTr="00F51A3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 xml:space="preserve">Sabiedrības mērķgrupas, kuras tiesiskais regulējums ietekmē </w:t>
            </w:r>
            <w:r w:rsidRPr="00F51702">
              <w:lastRenderedPageBreak/>
              <w:t>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rsidR="00CF5264" w:rsidRPr="00F51702" w:rsidRDefault="00CF5264" w:rsidP="00CF5264">
            <w:pPr>
              <w:spacing w:after="120"/>
              <w:ind w:left="115" w:right="140"/>
              <w:jc w:val="both"/>
            </w:pPr>
            <w:r w:rsidRPr="00F51702">
              <w:lastRenderedPageBreak/>
              <w:t>1. Pacienti, kuri saņem</w:t>
            </w:r>
            <w:r w:rsidR="00A568F0">
              <w:t xml:space="preserve"> kompensējamās zāles un medicīniskās ierīces kompensācijas kārtības ietvaros </w:t>
            </w:r>
            <w:r w:rsidRPr="00F51702">
              <w:t xml:space="preserve">– </w:t>
            </w:r>
            <w:r w:rsidR="002F1828" w:rsidRPr="00F51702">
              <w:t>620</w:t>
            </w:r>
            <w:r w:rsidRPr="00F51702">
              <w:t> 000 pacientu</w:t>
            </w:r>
            <w:r w:rsidR="00A568F0">
              <w:t xml:space="preserve"> vidēji gadā</w:t>
            </w:r>
            <w:r w:rsidRPr="00F51702">
              <w:t xml:space="preserve">. </w:t>
            </w:r>
          </w:p>
          <w:p w:rsidR="0061680B" w:rsidRPr="00F51702" w:rsidRDefault="00023D9D" w:rsidP="00E21250">
            <w:pPr>
              <w:spacing w:after="120"/>
              <w:ind w:left="115" w:right="140"/>
              <w:jc w:val="both"/>
            </w:pPr>
            <w:r w:rsidRPr="00F51702">
              <w:t>2</w:t>
            </w:r>
            <w:r w:rsidR="006A7F20" w:rsidRPr="00F51702">
              <w:t xml:space="preserve">. </w:t>
            </w:r>
            <w:r w:rsidR="00CF5264" w:rsidRPr="00F51702">
              <w:t xml:space="preserve">Iesniedzēji (iesniedzējs – zāļu vai medicīnisko ierīču </w:t>
            </w:r>
            <w:r w:rsidR="00CF5264" w:rsidRPr="00F51702">
              <w:lastRenderedPageBreak/>
              <w:t xml:space="preserve">reģistrācijas apliecības turētājs (īpašnieks) vai viņa pilnvarots pārstāvis vai zāļu vai medicīnisko ierīču vairumtirgotājs vai viņa pilnvarots pārstāvis) – 80 iesniedzēji, kuru pārstāvētās zāles vai medicīniskās ierīces ir iekļautas </w:t>
            </w:r>
            <w:r w:rsidR="00E21250">
              <w:t>KZS</w:t>
            </w:r>
            <w:r w:rsidR="00CF5264" w:rsidRPr="00F51702">
              <w:t>.</w:t>
            </w:r>
          </w:p>
        </w:tc>
      </w:tr>
      <w:tr w:rsidR="0061680B" w:rsidRPr="00F51702" w:rsidTr="00F51A3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871F6C">
            <w:pPr>
              <w:jc w:val="center"/>
            </w:pPr>
            <w:r w:rsidRPr="00F51702">
              <w:lastRenderedPageBreak/>
              <w:t>2.</w:t>
            </w:r>
          </w:p>
        </w:tc>
        <w:tc>
          <w:tcPr>
            <w:tcW w:w="1086"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07F03">
            <w:r w:rsidRPr="00F51702">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D2011">
            <w:pPr>
              <w:ind w:left="115" w:right="140"/>
              <w:jc w:val="both"/>
            </w:pPr>
            <w:r w:rsidRPr="00F51702">
              <w:t>Noteikumu projekts šo jomu neskar.</w:t>
            </w:r>
          </w:p>
        </w:tc>
      </w:tr>
      <w:tr w:rsidR="0061680B" w:rsidRPr="00F51702" w:rsidTr="00385C82">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871F6C">
            <w:pPr>
              <w:jc w:val="center"/>
            </w:pPr>
            <w:r w:rsidRPr="00F51702">
              <w:t>3.</w:t>
            </w:r>
          </w:p>
        </w:tc>
        <w:tc>
          <w:tcPr>
            <w:tcW w:w="1086"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07F03">
            <w:r w:rsidRPr="00F51702">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D2011">
            <w:pPr>
              <w:ind w:left="115" w:right="140"/>
              <w:jc w:val="both"/>
            </w:pPr>
            <w:r w:rsidRPr="00F51702">
              <w:t>Noteikumu projekts šo jomu neskar.</w:t>
            </w:r>
          </w:p>
        </w:tc>
      </w:tr>
      <w:tr w:rsidR="0061680B" w:rsidRPr="00F51702" w:rsidTr="00385C82">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871F6C">
            <w:pPr>
              <w:jc w:val="center"/>
            </w:pPr>
            <w:r w:rsidRPr="00F51702">
              <w:t>4.</w:t>
            </w:r>
          </w:p>
        </w:tc>
        <w:tc>
          <w:tcPr>
            <w:tcW w:w="1086"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07F03">
            <w:r w:rsidRPr="00F51702">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D2011">
            <w:pPr>
              <w:spacing w:before="100" w:beforeAutospacing="1" w:after="100" w:afterAutospacing="1" w:line="360" w:lineRule="auto"/>
              <w:ind w:left="115" w:right="140"/>
              <w:jc w:val="both"/>
            </w:pPr>
            <w:r w:rsidRPr="00F51702">
              <w:t>Nav</w:t>
            </w:r>
          </w:p>
        </w:tc>
      </w:tr>
    </w:tbl>
    <w:p w:rsidR="00354467" w:rsidRDefault="00354467" w:rsidP="00871F6C">
      <w:pPr>
        <w:jc w:val="center"/>
        <w:rPr>
          <w:bCs/>
          <w:i/>
        </w:rPr>
      </w:pPr>
    </w:p>
    <w:p w:rsidR="00F35854" w:rsidRPr="00F51702" w:rsidRDefault="00F35854" w:rsidP="00871F6C">
      <w:pPr>
        <w:jc w:val="center"/>
        <w:rPr>
          <w:bCs/>
          <w:i/>
        </w:rPr>
      </w:pPr>
    </w:p>
    <w:p w:rsidR="0093184A" w:rsidRPr="00F51702" w:rsidRDefault="00354467" w:rsidP="00871F6C">
      <w:pPr>
        <w:jc w:val="center"/>
        <w:rPr>
          <w:bCs/>
          <w:i/>
        </w:rPr>
      </w:pPr>
      <w:r w:rsidRPr="00F51702">
        <w:rPr>
          <w:bCs/>
          <w:i/>
        </w:rPr>
        <w:t xml:space="preserve">III, </w:t>
      </w:r>
      <w:r w:rsidR="0093184A" w:rsidRPr="00F51702">
        <w:rPr>
          <w:bCs/>
          <w:i/>
        </w:rPr>
        <w:t>IV un V nodaļa – Noteikumu projekts šo jomu neskar</w:t>
      </w:r>
    </w:p>
    <w:p w:rsidR="00153AA1" w:rsidRDefault="00153AA1" w:rsidP="00871F6C">
      <w:pPr>
        <w:jc w:val="center"/>
        <w:rPr>
          <w:bCs/>
          <w:i/>
        </w:rPr>
      </w:pPr>
    </w:p>
    <w:p w:rsidR="00F35854" w:rsidRPr="00F51702" w:rsidRDefault="00F35854" w:rsidP="00871F6C">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983"/>
        <w:gridCol w:w="6691"/>
      </w:tblGrid>
      <w:tr w:rsidR="00D07F03" w:rsidRPr="00F51702" w:rsidTr="0059687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D07F03">
            <w:pPr>
              <w:spacing w:before="100" w:beforeAutospacing="1" w:after="100" w:afterAutospacing="1" w:line="360" w:lineRule="auto"/>
              <w:ind w:firstLine="300"/>
              <w:jc w:val="center"/>
              <w:rPr>
                <w:b/>
                <w:bCs/>
              </w:rPr>
            </w:pPr>
            <w:r w:rsidRPr="00F51702">
              <w:rPr>
                <w:b/>
                <w:bCs/>
              </w:rPr>
              <w:t>VI. Sabiedrības līdzdalība un komunikācijas aktivitātes</w:t>
            </w:r>
          </w:p>
        </w:tc>
      </w:tr>
      <w:tr w:rsidR="00D07F03" w:rsidRPr="00F51702" w:rsidTr="0059687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rsidR="00486B9B" w:rsidRDefault="00582C01" w:rsidP="00274B27">
            <w:pPr>
              <w:spacing w:after="120"/>
              <w:ind w:left="113" w:right="142"/>
              <w:jc w:val="both"/>
              <w:rPr>
                <w:lang w:bidi="gu-IN"/>
              </w:rPr>
            </w:pPr>
            <w:r w:rsidRPr="00F51702">
              <w:t>Sabiedriskā apspriede</w:t>
            </w:r>
            <w:r w:rsidR="00DB7DD4" w:rsidRPr="00F51702">
              <w:t>,</w:t>
            </w:r>
            <w:r w:rsidRPr="00F51702">
              <w:t xml:space="preserve"> saskaņā ar Ministru kabineta </w:t>
            </w:r>
            <w:proofErr w:type="gramStart"/>
            <w:r w:rsidRPr="00F51702">
              <w:t>2009.gada</w:t>
            </w:r>
            <w:proofErr w:type="gramEnd"/>
            <w:r w:rsidRPr="00F51702">
              <w:t xml:space="preserve"> 25.augusta noteikumiem Nr.970 ”Sabiedrības līdzdalības kārtība attīstības plānošanas procesā”</w:t>
            </w:r>
            <w:r w:rsidR="00DB7DD4" w:rsidRPr="00F51702">
              <w:t>,</w:t>
            </w:r>
            <w:r w:rsidR="000D2F93" w:rsidRPr="00F51702">
              <w:t xml:space="preserve"> </w:t>
            </w:r>
            <w:r w:rsidR="004C3EDB" w:rsidRPr="00F51702">
              <w:rPr>
                <w:lang w:bidi="gu-IN"/>
              </w:rPr>
              <w:t xml:space="preserve">ir </w:t>
            </w:r>
            <w:r w:rsidR="001306FA">
              <w:rPr>
                <w:lang w:bidi="gu-IN"/>
              </w:rPr>
              <w:t>notikusi</w:t>
            </w:r>
            <w:r w:rsidR="004C3EDB" w:rsidRPr="00F51702">
              <w:rPr>
                <w:lang w:bidi="gu-IN"/>
              </w:rPr>
              <w:t xml:space="preserve"> 201</w:t>
            </w:r>
            <w:r w:rsidR="00D83EB2" w:rsidRPr="00F51702">
              <w:rPr>
                <w:lang w:bidi="gu-IN"/>
              </w:rPr>
              <w:t>5</w:t>
            </w:r>
            <w:r w:rsidR="004C3EDB" w:rsidRPr="00F51702">
              <w:rPr>
                <w:lang w:bidi="gu-IN"/>
              </w:rPr>
              <w:t xml:space="preserve">.gada </w:t>
            </w:r>
            <w:r w:rsidR="00DB7DD4" w:rsidRPr="00F51702">
              <w:rPr>
                <w:lang w:bidi="gu-IN"/>
              </w:rPr>
              <w:t>6</w:t>
            </w:r>
            <w:r w:rsidR="004C3EDB" w:rsidRPr="00F51702">
              <w:rPr>
                <w:lang w:bidi="gu-IN"/>
              </w:rPr>
              <w:t>.</w:t>
            </w:r>
            <w:r w:rsidR="00354467" w:rsidRPr="00F51702">
              <w:rPr>
                <w:lang w:bidi="gu-IN"/>
              </w:rPr>
              <w:t>novembrī</w:t>
            </w:r>
            <w:r w:rsidR="004C3EDB" w:rsidRPr="00F51702">
              <w:rPr>
                <w:lang w:bidi="gu-IN"/>
              </w:rPr>
              <w:t>.</w:t>
            </w:r>
          </w:p>
          <w:p w:rsidR="009D0F61" w:rsidRPr="00F51702" w:rsidRDefault="009D0F61" w:rsidP="00274B27">
            <w:pPr>
              <w:spacing w:after="120"/>
              <w:ind w:left="113" w:right="142"/>
              <w:jc w:val="both"/>
              <w:rPr>
                <w:lang w:bidi="gu-IN"/>
              </w:rPr>
            </w:pPr>
            <w:r w:rsidRPr="00F51702">
              <w:rPr>
                <w:lang w:bidi="gu-IN"/>
              </w:rPr>
              <w:t xml:space="preserve">Par </w:t>
            </w:r>
            <w:r w:rsidR="00614043" w:rsidRPr="00F51702">
              <w:rPr>
                <w:lang w:bidi="gu-IN"/>
              </w:rPr>
              <w:t>Veselības ministrijas izstrādāto normatīvo aktu projektiem</w:t>
            </w:r>
            <w:r w:rsidRPr="00F51702">
              <w:rPr>
                <w:lang w:bidi="gu-IN"/>
              </w:rPr>
              <w:t xml:space="preserve"> tiek gatavota </w:t>
            </w:r>
            <w:r w:rsidR="00C06AE6" w:rsidRPr="00F51702">
              <w:rPr>
                <w:lang w:bidi="gu-IN"/>
              </w:rPr>
              <w:t xml:space="preserve">un izplatīta </w:t>
            </w:r>
            <w:r w:rsidRPr="00F51702">
              <w:rPr>
                <w:lang w:bidi="gu-IN"/>
              </w:rPr>
              <w:t xml:space="preserve">informācija </w:t>
            </w:r>
            <w:r w:rsidR="00C06AE6" w:rsidRPr="00F51702">
              <w:rPr>
                <w:lang w:bidi="gu-IN"/>
              </w:rPr>
              <w:t>medijiem</w:t>
            </w:r>
            <w:r w:rsidRPr="00F51702">
              <w:rPr>
                <w:lang w:bidi="gu-IN"/>
              </w:rPr>
              <w:t>.</w:t>
            </w:r>
          </w:p>
          <w:p w:rsidR="007470F5" w:rsidRPr="00F51702" w:rsidRDefault="007470F5" w:rsidP="00A568F0">
            <w:pPr>
              <w:spacing w:after="120"/>
              <w:ind w:left="113" w:right="142"/>
              <w:jc w:val="both"/>
              <w:rPr>
                <w:lang w:bidi="gu-IN"/>
              </w:rPr>
            </w:pPr>
            <w:r w:rsidRPr="00F51702">
              <w:rPr>
                <w:lang w:bidi="gu-IN"/>
              </w:rPr>
              <w:t>Pēc Noteikumu projekta pieņemšanas Nacionālais veselības dienests nosūtī</w:t>
            </w:r>
            <w:r w:rsidR="00A568F0">
              <w:rPr>
                <w:lang w:bidi="gu-IN"/>
              </w:rPr>
              <w:t>s</w:t>
            </w:r>
            <w:r w:rsidRPr="00F51702">
              <w:rPr>
                <w:lang w:bidi="gu-IN"/>
              </w:rPr>
              <w:t xml:space="preserve"> informāciju visām līgumattiecībās esošām ārstniecības iestādēm un aptiekām, lai tās neatkarīgi no dalības kādā no sabiedriskajām organizācijām būtu informētas par paredzētajām izmaiņām. </w:t>
            </w:r>
          </w:p>
        </w:tc>
      </w:tr>
      <w:tr w:rsidR="00D07F03" w:rsidRPr="00F51702" w:rsidTr="0059687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2.</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rsidR="00EB2367" w:rsidRPr="00F51702" w:rsidRDefault="0097561E" w:rsidP="001306FA">
            <w:pPr>
              <w:spacing w:after="120"/>
              <w:ind w:left="113" w:right="142"/>
              <w:jc w:val="both"/>
              <w:rPr>
                <w:lang w:bidi="gu-IN"/>
              </w:rPr>
            </w:pPr>
            <w:r w:rsidRPr="00F51702">
              <w:t xml:space="preserve">Sabiedriskā apspriede, saskaņā ar Ministru kabineta </w:t>
            </w:r>
            <w:proofErr w:type="gramStart"/>
            <w:r w:rsidRPr="00F51702">
              <w:t>2009.gada</w:t>
            </w:r>
            <w:proofErr w:type="gramEnd"/>
            <w:r w:rsidRPr="00F51702">
              <w:t xml:space="preserve"> 25.augusta noteikumiem Nr.970 ”Sabiedrības līdzdalības kārtība attīstības plānošanas procesā”, </w:t>
            </w:r>
            <w:r w:rsidRPr="00F51702">
              <w:rPr>
                <w:lang w:bidi="gu-IN"/>
              </w:rPr>
              <w:t xml:space="preserve">ir </w:t>
            </w:r>
            <w:r w:rsidR="001306FA">
              <w:rPr>
                <w:lang w:bidi="gu-IN"/>
              </w:rPr>
              <w:t>notikusi</w:t>
            </w:r>
            <w:r w:rsidRPr="00F51702">
              <w:rPr>
                <w:lang w:bidi="gu-IN"/>
              </w:rPr>
              <w:t xml:space="preserve"> 2015.gada 6.</w:t>
            </w:r>
            <w:r w:rsidR="00354467" w:rsidRPr="00F51702">
              <w:rPr>
                <w:lang w:bidi="gu-IN"/>
              </w:rPr>
              <w:t>novembrī</w:t>
            </w:r>
            <w:r w:rsidRPr="00F51702">
              <w:rPr>
                <w:lang w:bidi="gu-IN"/>
              </w:rPr>
              <w:t>.</w:t>
            </w:r>
            <w:r w:rsidR="001306FA">
              <w:rPr>
                <w:lang w:bidi="gu-IN"/>
              </w:rPr>
              <w:t xml:space="preserve"> </w:t>
            </w:r>
          </w:p>
        </w:tc>
      </w:tr>
      <w:tr w:rsidR="00D07F03" w:rsidRPr="00F51702"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3.</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rsidR="00EE7CD2" w:rsidRDefault="00D428D7" w:rsidP="00EE7CD2">
            <w:pPr>
              <w:ind w:left="113" w:right="142"/>
              <w:jc w:val="both"/>
              <w:rPr>
                <w:iCs/>
              </w:rPr>
            </w:pPr>
            <w:r w:rsidRPr="006B2B53">
              <w:rPr>
                <w:lang w:bidi="gu-IN"/>
              </w:rPr>
              <w:t>Saņemti iebildumi no Starptautisko inovatīvo farmaceitisko firmu asociācijas, Latvijas Patentbrīvo medikamentu asociācijas, Biofarmaceitisko zāļu ražotāju asociācijas Latvi</w:t>
            </w:r>
            <w:r w:rsidR="007D4F1D">
              <w:rPr>
                <w:lang w:bidi="gu-IN"/>
              </w:rPr>
              <w:t xml:space="preserve">jā (turpmāk – zāļu ražotāji) (vēstules datums 10.08.2016), aicinot no noteikumu projekta svītrot </w:t>
            </w:r>
            <w:r w:rsidRPr="006B2B53">
              <w:t>1.3.</w:t>
            </w:r>
            <w:r w:rsidR="007D4F1D">
              <w:t>un 1.4.apakšpunktu. Zāļu r</w:t>
            </w:r>
            <w:r w:rsidRPr="006B2B53">
              <w:t xml:space="preserve">ažotāji norāda, ka </w:t>
            </w:r>
            <w:r w:rsidR="00EE7CD2">
              <w:t xml:space="preserve">zāļu grupēšana, neņemot vērā zāļu iepakojuma lielumu </w:t>
            </w:r>
            <w:r w:rsidRPr="006B2B53">
              <w:rPr>
                <w:iCs/>
              </w:rPr>
              <w:t xml:space="preserve">negatīvi ietekmēs atbilstošu terapijas kursā nepieciešamo zāļu pieejamību, palielinās pacientu līdzmaksājumus, kā arī negatīvi </w:t>
            </w:r>
            <w:r w:rsidR="00E21250">
              <w:rPr>
                <w:iCs/>
              </w:rPr>
              <w:t>ZIKS</w:t>
            </w:r>
            <w:r w:rsidRPr="006B2B53">
              <w:rPr>
                <w:iCs/>
              </w:rPr>
              <w:t xml:space="preserve"> un kopumā </w:t>
            </w:r>
            <w:r w:rsidRPr="006B2B53">
              <w:t xml:space="preserve">radīs negatīvas tālākas tiesiskās sekas. </w:t>
            </w:r>
            <w:r w:rsidRPr="00EE7CD2">
              <w:rPr>
                <w:iCs/>
              </w:rPr>
              <w:t xml:space="preserve">Situācijā, kad valsts nerespektēs ražošanas izmaksu atšķirības dažādiem iepakojumiem, ražotāji būs spiesti tirgū pārdot tikai vienu </w:t>
            </w:r>
            <w:r w:rsidR="00E21250">
              <w:rPr>
                <w:iCs/>
              </w:rPr>
              <w:t>KZS</w:t>
            </w:r>
            <w:r w:rsidRPr="00EE7CD2">
              <w:rPr>
                <w:iCs/>
              </w:rPr>
              <w:t xml:space="preserve"> esošo iepakojuma veidu, attiecīgi aptiekām būs jāveic </w:t>
            </w:r>
            <w:r w:rsidRPr="00EE7CD2">
              <w:rPr>
                <w:iCs/>
              </w:rPr>
              <w:lastRenderedPageBreak/>
              <w:t>pārpakošana obligātā kārtā, kas arī radīs papildus izmaksas un sadārd</w:t>
            </w:r>
            <w:r w:rsidR="00EE7CD2">
              <w:rPr>
                <w:iCs/>
              </w:rPr>
              <w:t>zinājumu pacientiem un aptiekām.</w:t>
            </w:r>
          </w:p>
          <w:p w:rsidR="00EE7CD2" w:rsidRDefault="00EE7CD2" w:rsidP="00EE7CD2">
            <w:pPr>
              <w:ind w:left="113" w:right="142"/>
              <w:jc w:val="both"/>
              <w:rPr>
                <w:lang w:bidi="gu-IN"/>
              </w:rPr>
            </w:pPr>
            <w:r>
              <w:rPr>
                <w:iCs/>
              </w:rPr>
              <w:t>Ā</w:t>
            </w:r>
            <w:r w:rsidR="00D428D7" w:rsidRPr="00EE7CD2">
              <w:rPr>
                <w:iCs/>
              </w:rPr>
              <w:t>rsti pacientiem varēs izrakstīt zāļu daudzumu, kas reāli neatbilst konkrētā pacienta vajadzībām (ir par lielu). Tādējādi radīsies valsts un pacientu līdzekļu neefektīva izmantošana (par faktiski nepatērētām zālēm). Tāpat tas radis riskus neizlietoto</w:t>
            </w:r>
            <w:r w:rsidR="00E21250">
              <w:rPr>
                <w:iCs/>
              </w:rPr>
              <w:t xml:space="preserve">, </w:t>
            </w:r>
            <w:r w:rsidR="00D428D7" w:rsidRPr="00EE7CD2">
              <w:rPr>
                <w:iCs/>
              </w:rPr>
              <w:t>pāri palikušo zāļu nesakcion</w:t>
            </w:r>
            <w:r>
              <w:rPr>
                <w:iCs/>
              </w:rPr>
              <w:t xml:space="preserve">ētai nonākšanai apkārtējā vidē. </w:t>
            </w:r>
          </w:p>
          <w:p w:rsidR="00EE7CD2" w:rsidRDefault="00E21250" w:rsidP="00EE7CD2">
            <w:pPr>
              <w:ind w:left="113" w:right="142"/>
              <w:jc w:val="both"/>
              <w:rPr>
                <w:lang w:bidi="gu-IN"/>
              </w:rPr>
            </w:pPr>
            <w:r>
              <w:rPr>
                <w:iCs/>
              </w:rPr>
              <w:t>Noteikumu projekts</w:t>
            </w:r>
            <w:r w:rsidR="00D428D7" w:rsidRPr="00EE7CD2">
              <w:rPr>
                <w:iCs/>
              </w:rPr>
              <w:t xml:space="preserve"> nenodrošina atbildi uz jautājumu par to, kā notiks norēķināšanās </w:t>
            </w:r>
            <w:r>
              <w:rPr>
                <w:iCs/>
              </w:rPr>
              <w:t>ZIKS</w:t>
            </w:r>
            <w:r w:rsidR="00D428D7" w:rsidRPr="00EE7CD2">
              <w:rPr>
                <w:iCs/>
              </w:rPr>
              <w:t xml:space="preserve"> ietvaros, ja tiks dalīts primārais vai sekundārais iepakojums (valsts nekompensētajām zālēm cenu veidošanas kārtību šādos gadījumos nosaka </w:t>
            </w:r>
            <w:r>
              <w:rPr>
                <w:iCs/>
              </w:rPr>
              <w:t xml:space="preserve">Ministru kabineta </w:t>
            </w:r>
            <w:proofErr w:type="gramStart"/>
            <w:r>
              <w:rPr>
                <w:iCs/>
              </w:rPr>
              <w:t>2005.gada</w:t>
            </w:r>
            <w:proofErr w:type="gramEnd"/>
            <w:r>
              <w:rPr>
                <w:iCs/>
              </w:rPr>
              <w:t xml:space="preserve"> 25.oktobra</w:t>
            </w:r>
            <w:r w:rsidR="00D428D7" w:rsidRPr="00EE7CD2">
              <w:rPr>
                <w:iCs/>
              </w:rPr>
              <w:t xml:space="preserve"> noteikumi nr.803 “Noteikumi par zāļu cenu veidošanas principiem”). </w:t>
            </w:r>
            <w:r w:rsidR="00EE7CD2">
              <w:rPr>
                <w:iCs/>
              </w:rPr>
              <w:t>Z</w:t>
            </w:r>
            <w:r w:rsidR="00D428D7" w:rsidRPr="00EE7CD2">
              <w:rPr>
                <w:iCs/>
              </w:rPr>
              <w:t xml:space="preserve">āļu lielāko iepakojumu dalīšanas </w:t>
            </w:r>
            <w:r>
              <w:rPr>
                <w:iCs/>
              </w:rPr>
              <w:t>vai</w:t>
            </w:r>
            <w:r w:rsidR="00D428D7" w:rsidRPr="00EE7CD2">
              <w:rPr>
                <w:iCs/>
              </w:rPr>
              <w:t xml:space="preserve"> pārpakošanas aktivitātes aptiekās sadārdzinās zāļu kopējās izmaksas, jo veidosies piecenojums, ko aptiekas piemēros par lielo iepakojumu dalīšanu, kā rezultātā netiks nodrošināts viens no </w:t>
            </w:r>
            <w:r>
              <w:t>Noteikumu projekta</w:t>
            </w:r>
            <w:r w:rsidR="00D428D7" w:rsidRPr="00EE7CD2">
              <w:t xml:space="preserve"> </w:t>
            </w:r>
            <w:r>
              <w:t>a</w:t>
            </w:r>
            <w:r w:rsidR="00D428D7" w:rsidRPr="00EE7CD2">
              <w:rPr>
                <w:iCs/>
              </w:rPr>
              <w:t>notācijā minētajiem mērķiem – racionālāka</w:t>
            </w:r>
            <w:r w:rsidR="00EE7CD2">
              <w:rPr>
                <w:iCs/>
              </w:rPr>
              <w:t xml:space="preserve"> pacienta līdzekļu izlietošana.</w:t>
            </w:r>
            <w:r w:rsidR="00EE7CD2">
              <w:rPr>
                <w:lang w:bidi="gu-IN"/>
              </w:rPr>
              <w:t xml:space="preserve"> V</w:t>
            </w:r>
            <w:r w:rsidR="00D428D7" w:rsidRPr="00EE7CD2">
              <w:rPr>
                <w:iCs/>
              </w:rPr>
              <w:t>eicinot lielāku iepakojumu izmantošanu, netiek ņemts vērā, ka ne visas zāles ir dalāmas, piemēram, sterilos šķīdumus ampulās</w:t>
            </w:r>
            <w:r w:rsidR="00EE7CD2">
              <w:rPr>
                <w:iCs/>
              </w:rPr>
              <w:t>, infūzijas, ziedes nevar dalīt.</w:t>
            </w:r>
          </w:p>
          <w:p w:rsidR="00EE7CD2" w:rsidRDefault="00EE7CD2" w:rsidP="00EE7CD2">
            <w:pPr>
              <w:ind w:left="113" w:right="142"/>
              <w:jc w:val="both"/>
              <w:rPr>
                <w:lang w:bidi="gu-IN"/>
              </w:rPr>
            </w:pPr>
            <w:r>
              <w:rPr>
                <w:lang w:bidi="gu-IN"/>
              </w:rPr>
              <w:t>J</w:t>
            </w:r>
            <w:r w:rsidR="00D428D7" w:rsidRPr="00EE7CD2">
              <w:t xml:space="preserve">āizvērtē, vai zāļu pārfasēšana no lielākiem iepakojumiem neietekmēs zāļu drošumu, kvalitāti, iepakojuma atbilstību, lai zāles netiktu sabojātas ārējo apstākļu ietekmē (piemēram, var zust efektivitāte, stabilitāte). Pārfasējot zāles mazākā iepakojumā, par atbilstošu vairs nevar tikt uzskatīts derīguma termiņš, kas norādīts uz oriģinālā iepakojuma, jo stabilitātes pētījumi ir veikti zālēm tikai </w:t>
            </w:r>
            <w:proofErr w:type="spellStart"/>
            <w:r w:rsidR="00D428D7" w:rsidRPr="00EE7CD2">
              <w:t>orģinālajā</w:t>
            </w:r>
            <w:proofErr w:type="spellEnd"/>
            <w:r w:rsidR="00D428D7" w:rsidRPr="00EE7CD2">
              <w:t xml:space="preserve"> ie</w:t>
            </w:r>
            <w:r>
              <w:t>pakojumā.</w:t>
            </w:r>
          </w:p>
          <w:p w:rsidR="00EE7CD2" w:rsidRDefault="00EE7CD2" w:rsidP="00EE7CD2">
            <w:pPr>
              <w:ind w:left="113" w:right="142"/>
              <w:jc w:val="both"/>
              <w:rPr>
                <w:lang w:bidi="gu-IN"/>
              </w:rPr>
            </w:pPr>
          </w:p>
          <w:p w:rsidR="002773CE" w:rsidRDefault="006B2B53" w:rsidP="002773CE">
            <w:pPr>
              <w:ind w:left="113" w:right="142"/>
              <w:jc w:val="both"/>
            </w:pPr>
            <w:r w:rsidRPr="006B2B53">
              <w:rPr>
                <w:b/>
              </w:rPr>
              <w:t>Veselības ministrija</w:t>
            </w:r>
            <w:r w:rsidRPr="006B2B53">
              <w:t xml:space="preserve"> nav ņēmusi vērā zāļu </w:t>
            </w:r>
            <w:proofErr w:type="gramStart"/>
            <w:r w:rsidRPr="006B2B53">
              <w:t>augstāk minēto</w:t>
            </w:r>
            <w:proofErr w:type="gramEnd"/>
            <w:r w:rsidRPr="006B2B53">
              <w:t xml:space="preserve"> zāļu ražotāju asociāciju viedokli, jo noteikumu projekt</w:t>
            </w:r>
            <w:r>
              <w:t xml:space="preserve">a 1.3.un 1.4.apakšpunkts ir vērsts uz valsts budžeta līdzekļu racionālu izlietošanu. Nacionālais veselības dienests </w:t>
            </w:r>
            <w:r w:rsidR="00EE7CD2">
              <w:t>prognozē, ka</w:t>
            </w:r>
            <w:r>
              <w:t xml:space="preserve">, negrupējot zāles atbilstoši iepakojuma lielumam, </w:t>
            </w:r>
            <w:r w:rsidR="00EE7CD2">
              <w:t>sagaidāms valsts budžeta līdzekļu ietaupījums.</w:t>
            </w:r>
          </w:p>
          <w:p w:rsidR="002773CE" w:rsidRDefault="002773CE" w:rsidP="002773CE">
            <w:pPr>
              <w:ind w:left="113" w:right="142"/>
              <w:jc w:val="both"/>
            </w:pPr>
            <w:r>
              <w:t>Saskaņā ar pašreiz noteikto kārtību zāles ar vienādu vispārīgo nosaukumu, zāļu formu un devu, bet dažādu iepakojuma lielumu tiek iekļautas dažādās references grupās. To nosaka tas, ka mazākā iepakojumā vienas vienības cena ir augstāka par vienas vienības cenu lielākā iepakojumā. Šo cenu atšķirību parasti nosaka zāļu ražotāja aprēķinātās izmaksas, bet citādi zāles mazākā un lielākā iepakojumā ir identiskas. Līdz ar to no ārstnieciskā viedokļa nav nozīmes, vai pacients lieto zāles mazākā vai lielākā iepakojumā.</w:t>
            </w:r>
          </w:p>
          <w:p w:rsidR="002773CE" w:rsidRDefault="002773CE" w:rsidP="002773CE">
            <w:pPr>
              <w:ind w:left="113" w:right="142"/>
              <w:jc w:val="both"/>
            </w:pPr>
            <w:r w:rsidRPr="002A7DB3">
              <w:t xml:space="preserve">ZIKS ietvaros zāles lieto pacienti ar smagām, ilgstoši ārstējamām, hroniskām slimībām. </w:t>
            </w:r>
            <w:r>
              <w:t>Līdz ar to</w:t>
            </w:r>
            <w:proofErr w:type="gramStart"/>
            <w:r>
              <w:t xml:space="preserve">   </w:t>
            </w:r>
            <w:proofErr w:type="gramEnd"/>
            <w:r w:rsidRPr="002A7DB3">
              <w:t>pamatotāka ir lielāku</w:t>
            </w:r>
            <w:r>
              <w:t>, garākam ārstēšanas kursam paredzētu</w:t>
            </w:r>
            <w:r w:rsidRPr="002A7DB3">
              <w:t xml:space="preserve"> zāļu iepakojumu iekļaušana </w:t>
            </w:r>
            <w:r>
              <w:t>KZS.</w:t>
            </w:r>
          </w:p>
          <w:p w:rsidR="002773CE" w:rsidRDefault="002773CE" w:rsidP="002773CE">
            <w:pPr>
              <w:ind w:left="113" w:right="142"/>
              <w:jc w:val="both"/>
            </w:pPr>
            <w:r>
              <w:t>Gadījumā, ja</w:t>
            </w:r>
            <w:r w:rsidRPr="002A7DB3">
              <w:t xml:space="preserve"> </w:t>
            </w:r>
            <w:r>
              <w:t xml:space="preserve">pacientam </w:t>
            </w:r>
            <w:r w:rsidRPr="002A7DB3">
              <w:t>tomēr nepiecieš</w:t>
            </w:r>
            <w:r>
              <w:t xml:space="preserve">ams mazāks zāļu daudzums, aptiekai ir tiesības atvērt zāļu sekundāro iepakojumu </w:t>
            </w:r>
            <w:r>
              <w:lastRenderedPageBreak/>
              <w:t>un izsniegt pacientam nepieciešamo zāļu daudzumu.</w:t>
            </w:r>
            <w:r w:rsidRPr="002A7DB3">
              <w:t xml:space="preserve"> Nosacījumus zāļu iepakojumu dalīšanai paredz Ministru kabineta </w:t>
            </w:r>
            <w:proofErr w:type="gramStart"/>
            <w:r w:rsidRPr="002A7DB3">
              <w:t>2006.gada</w:t>
            </w:r>
            <w:proofErr w:type="gramEnd"/>
            <w:r w:rsidRPr="002A7DB3">
              <w:t xml:space="preserve"> 17.janvāra noteikumu Nr.57 „Noteikumi par zāļu marķēšanas kārtību un zāļu lietošanas instrukcijai izvirzāmajām prasībām” (turpmāk – noteikumi Nr.57) 27.punkts. Saskaņā ar noteikumiem Nr.57 aptiekā, kuras speciālās atļaujas (licences) pielikumā nav norādīts speciālās darbības nosacījums – zāļu izgatavošana –, </w:t>
            </w:r>
            <w:proofErr w:type="gramStart"/>
            <w:r w:rsidRPr="002A7DB3">
              <w:t>rūpnieciski ražotas zāles</w:t>
            </w:r>
            <w:proofErr w:type="gramEnd"/>
            <w:r w:rsidRPr="002A7DB3">
              <w:t xml:space="preserve"> atļauts dalīt atbilstoši receptē norādītajam, nebojājot zāļu primāro iepakojumu. Kā liecina līdzšinējā aptieku pieredze, zāļu sekundārā iepakojuma atvēršana, lai izsniegtu pacientam daļu no iepakojumā ievietotajām zālēm, nerada papildus izdevumus un sadārd</w:t>
            </w:r>
            <w:r>
              <w:t>zinājumu pacientiem un aptiekām.</w:t>
            </w:r>
          </w:p>
          <w:p w:rsidR="002773CE" w:rsidRDefault="002773CE" w:rsidP="002773CE">
            <w:pPr>
              <w:ind w:left="113" w:right="142"/>
              <w:jc w:val="both"/>
            </w:pPr>
            <w:r w:rsidRPr="002A7DB3">
              <w:t xml:space="preserve">ZIKS mērķis ir pieejamo valsts budžeta līdzekļu ietvaros nodrošināt zāles iespējami lielākam pacientu skaitam, </w:t>
            </w:r>
            <w:r>
              <w:t xml:space="preserve">un </w:t>
            </w:r>
            <w:r w:rsidRPr="002A7DB3">
              <w:t>šim mērķim vairāk atbilst lielāka un lētāka iepakojuma dalīšana, nekā mazā</w:t>
            </w:r>
            <w:r>
              <w:t>ka un dārgāka iepakojuma iegāde.</w:t>
            </w:r>
          </w:p>
          <w:p w:rsidR="002773CE" w:rsidRDefault="002773CE" w:rsidP="002773CE">
            <w:pPr>
              <w:ind w:left="113" w:right="142"/>
              <w:jc w:val="both"/>
            </w:pPr>
            <w:r>
              <w:t xml:space="preserve">Nav pamatojuma bažām par papildus izmaksām pacientiem. </w:t>
            </w:r>
            <w:r w:rsidRPr="002A7DB3">
              <w:t>Pacientam joprojām būs pieejamas līdz šim lietotās zāles (ieskaitot zāļu formu, devu un devu skaitu) par references cenu. Gadījumā, ja izrakstītais daudzums būs mazāks par KZS pieejamo zāļu iepakojumu ar references cenu, farmaceitam ir tiesības dalīt sekundāro iepakojumu, izsniedzot pacientam nepieciešamo zā</w:t>
            </w:r>
            <w:r>
              <w:t>ļu daudzumu. Veselības ministrija ir</w:t>
            </w:r>
            <w:proofErr w:type="gramStart"/>
            <w:r>
              <w:t xml:space="preserve"> sagatavojusi noteikumu projektu</w:t>
            </w:r>
            <w:proofErr w:type="gramEnd"/>
            <w:r>
              <w:t xml:space="preserve"> „Aptieku darbības noteikumi”, kas paredz nosacījumu, ka aptiekā drīkstēs dalīt tikai cietās zāļu formas, tādēļ nav pamata bažām par ziežu un infūzijas šķīdumu dalīšanu.</w:t>
            </w:r>
          </w:p>
          <w:p w:rsidR="002773CE" w:rsidRPr="002A7DB3" w:rsidRDefault="002773CE" w:rsidP="002773CE">
            <w:pPr>
              <w:ind w:left="113" w:right="142"/>
              <w:jc w:val="both"/>
            </w:pPr>
            <w:r>
              <w:t>K</w:t>
            </w:r>
            <w:r w:rsidRPr="002A7DB3">
              <w:t>ompensējamo zāļu sekundārais iepakojums aptiekās jau šobrīd nereti tiek dalīts, receptē norādot izsniegtā iepakojuma lielumu (</w:t>
            </w:r>
            <w:r>
              <w:t>piemēram, 0,2; 0,37</w:t>
            </w:r>
            <w:r w:rsidRPr="002A7DB3">
              <w:t>). Nacionālais veselības dienests zāles apmaksā saskaņā attiecīgo zāļu cenu un izsniegto daudzumu, papildus maksa par iepakojuma dalīšanu netiek piemērota un tādu ar</w:t>
            </w:r>
            <w:r>
              <w:t>ī turpmāk nav paredzēts ieviest.</w:t>
            </w:r>
          </w:p>
          <w:p w:rsidR="006B2B53" w:rsidRPr="006B2B53" w:rsidRDefault="006B2B53" w:rsidP="002773CE">
            <w:pPr>
              <w:ind w:right="142"/>
              <w:jc w:val="both"/>
              <w:rPr>
                <w:lang w:bidi="gu-IN"/>
              </w:rPr>
            </w:pPr>
          </w:p>
        </w:tc>
      </w:tr>
      <w:tr w:rsidR="00D07F03" w:rsidRPr="00F51702"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140B84">
            <w:pPr>
              <w:spacing w:before="100" w:beforeAutospacing="1" w:after="100" w:afterAutospacing="1" w:line="360" w:lineRule="auto"/>
              <w:ind w:left="112" w:right="140"/>
            </w:pPr>
            <w:r w:rsidRPr="00F51702">
              <w:t>Nav</w:t>
            </w:r>
          </w:p>
        </w:tc>
      </w:tr>
    </w:tbl>
    <w:p w:rsidR="00D07F03" w:rsidRDefault="00D07F03" w:rsidP="00D07F03"/>
    <w:p w:rsidR="00F35854" w:rsidRPr="00F51702" w:rsidRDefault="00F35854"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D07F03" w:rsidRPr="00F51702"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D07F03">
            <w:pPr>
              <w:spacing w:before="100" w:beforeAutospacing="1" w:after="100" w:afterAutospacing="1" w:line="360" w:lineRule="auto"/>
              <w:ind w:firstLine="300"/>
              <w:jc w:val="center"/>
              <w:rPr>
                <w:b/>
                <w:bCs/>
              </w:rPr>
            </w:pPr>
            <w:r w:rsidRPr="00F51702">
              <w:rPr>
                <w:b/>
                <w:bCs/>
              </w:rPr>
              <w:t>VII. Tiesību akta projekta izpildes nodrošināšana un tās ietekme uz institūcijām</w:t>
            </w:r>
          </w:p>
        </w:tc>
      </w:tr>
      <w:tr w:rsidR="00D07F03" w:rsidRPr="00F51702" w:rsidTr="005C0AC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1.</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140B84" w:rsidP="00486B9B">
            <w:pPr>
              <w:ind w:left="112" w:right="140"/>
              <w:jc w:val="both"/>
            </w:pPr>
            <w:r w:rsidRPr="00F51702">
              <w:t>Nacionālais veselības dienests</w:t>
            </w:r>
          </w:p>
        </w:tc>
      </w:tr>
      <w:tr w:rsidR="00D07F03" w:rsidRPr="00F51702" w:rsidTr="005C0AC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2.</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r w:rsidRPr="00F51702">
              <w:t xml:space="preserve">Projekta izpildes ietekme uz pārvaldes funkcijām un institucionālo struktūru. </w:t>
            </w:r>
          </w:p>
          <w:p w:rsidR="00D07F03" w:rsidRPr="00F51702" w:rsidRDefault="00D07F03" w:rsidP="00871F6C">
            <w:r w:rsidRPr="00F51702">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140B84" w:rsidP="009A1571">
            <w:pPr>
              <w:ind w:left="113" w:right="142"/>
              <w:jc w:val="both"/>
            </w:pPr>
            <w:r w:rsidRPr="00F51702">
              <w:t>Noteikumu p</w:t>
            </w:r>
            <w:r w:rsidR="00303E46" w:rsidRPr="00F51702">
              <w:t xml:space="preserve">rojekts šo jomu neskar </w:t>
            </w:r>
          </w:p>
        </w:tc>
      </w:tr>
      <w:tr w:rsidR="00D07F03" w:rsidRPr="00F51702" w:rsidTr="005C0AC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3.</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5154EB" w:rsidP="0097561E">
            <w:pPr>
              <w:spacing w:after="120"/>
              <w:ind w:left="113" w:right="142"/>
              <w:jc w:val="both"/>
            </w:pPr>
            <w:r>
              <w:t xml:space="preserve">Nacionālais veselības dienests noteikumos paredzēto pasākumu </w:t>
            </w:r>
            <w:r>
              <w:lastRenderedPageBreak/>
              <w:t>īstenošanu nodrošinās tam piešķirto valsts budžeta līdzekļu ietvaros.</w:t>
            </w:r>
          </w:p>
        </w:tc>
      </w:tr>
    </w:tbl>
    <w:p w:rsidR="00CA0CB9" w:rsidRPr="00F51702" w:rsidRDefault="00CA0CB9" w:rsidP="00FF2231">
      <w:pPr>
        <w:autoSpaceDE w:val="0"/>
        <w:autoSpaceDN w:val="0"/>
        <w:adjustRightInd w:val="0"/>
      </w:pPr>
    </w:p>
    <w:p w:rsidR="00151278" w:rsidRPr="00F51702" w:rsidRDefault="00151278" w:rsidP="00FF2231">
      <w:pPr>
        <w:autoSpaceDE w:val="0"/>
        <w:autoSpaceDN w:val="0"/>
        <w:adjustRightInd w:val="0"/>
        <w:rPr>
          <w:sz w:val="28"/>
          <w:szCs w:val="28"/>
          <w:lang w:bidi="gu-IN"/>
        </w:rPr>
      </w:pPr>
    </w:p>
    <w:p w:rsidR="004C2122" w:rsidRPr="00F51702" w:rsidRDefault="004C2122" w:rsidP="00FF2231">
      <w:pPr>
        <w:autoSpaceDE w:val="0"/>
        <w:autoSpaceDN w:val="0"/>
        <w:adjustRightInd w:val="0"/>
        <w:rPr>
          <w:sz w:val="28"/>
          <w:szCs w:val="28"/>
          <w:lang w:bidi="gu-IN"/>
        </w:rPr>
      </w:pPr>
    </w:p>
    <w:p w:rsidR="006B3581" w:rsidRPr="006B3581" w:rsidRDefault="006B3581" w:rsidP="006B3581">
      <w:pPr>
        <w:tabs>
          <w:tab w:val="left" w:pos="7230"/>
        </w:tabs>
        <w:spacing w:after="720"/>
        <w:ind w:right="-766"/>
        <w:rPr>
          <w:rFonts w:eastAsia="Calibri"/>
          <w:sz w:val="28"/>
          <w:szCs w:val="28"/>
          <w:lang w:eastAsia="en-US"/>
        </w:rPr>
      </w:pPr>
      <w:r w:rsidRPr="006B3581">
        <w:rPr>
          <w:rFonts w:eastAsia="Calibri"/>
          <w:sz w:val="28"/>
          <w:szCs w:val="28"/>
          <w:lang w:eastAsia="en-US"/>
        </w:rPr>
        <w:t>Veselības ministre</w:t>
      </w:r>
      <w:r w:rsidRPr="006B3581">
        <w:rPr>
          <w:rFonts w:eastAsia="Calibri"/>
          <w:sz w:val="28"/>
          <w:szCs w:val="28"/>
          <w:lang w:eastAsia="en-US"/>
        </w:rPr>
        <w:tab/>
      </w:r>
      <w:r>
        <w:rPr>
          <w:rFonts w:eastAsia="Calibri"/>
          <w:sz w:val="28"/>
          <w:szCs w:val="28"/>
          <w:lang w:eastAsia="en-US"/>
        </w:rPr>
        <w:t xml:space="preserve"> </w:t>
      </w:r>
      <w:r w:rsidRPr="006B3581">
        <w:rPr>
          <w:rFonts w:eastAsia="Calibri"/>
          <w:sz w:val="28"/>
          <w:szCs w:val="28"/>
          <w:lang w:eastAsia="en-US"/>
        </w:rPr>
        <w:t>Anda Čakša</w:t>
      </w:r>
      <w:r w:rsidRPr="006B3581">
        <w:rPr>
          <w:rFonts w:eastAsia="Calibri"/>
          <w:sz w:val="28"/>
          <w:szCs w:val="28"/>
          <w:lang w:eastAsia="en-US"/>
        </w:rPr>
        <w:tab/>
      </w:r>
    </w:p>
    <w:p w:rsidR="006B3581" w:rsidRPr="006B3581" w:rsidRDefault="006B3581" w:rsidP="006B3581">
      <w:pPr>
        <w:tabs>
          <w:tab w:val="right" w:pos="9072"/>
        </w:tabs>
        <w:ind w:right="-1"/>
        <w:rPr>
          <w:rFonts w:eastAsia="Calibri"/>
          <w:sz w:val="28"/>
          <w:szCs w:val="28"/>
          <w:lang w:eastAsia="en-US"/>
        </w:rPr>
      </w:pPr>
      <w:r w:rsidRPr="006B3581">
        <w:rPr>
          <w:rFonts w:eastAsia="Calibri"/>
          <w:sz w:val="28"/>
          <w:szCs w:val="28"/>
          <w:lang w:eastAsia="en-US"/>
        </w:rPr>
        <w:t>Vīza: Valsts sekretāra p.i.                                                                Kārlis Ketners</w:t>
      </w:r>
    </w:p>
    <w:p w:rsidR="006B3581" w:rsidRPr="006B3581" w:rsidRDefault="006B3581" w:rsidP="006B3581">
      <w:pPr>
        <w:tabs>
          <w:tab w:val="right" w:pos="9072"/>
        </w:tabs>
        <w:ind w:right="-766"/>
        <w:rPr>
          <w:rFonts w:eastAsia="Calibri"/>
          <w:sz w:val="28"/>
          <w:szCs w:val="28"/>
          <w:lang w:eastAsia="en-US"/>
        </w:rPr>
      </w:pPr>
    </w:p>
    <w:p w:rsidR="006B3581" w:rsidRPr="006B3581" w:rsidRDefault="006B3581" w:rsidP="006B3581">
      <w:pPr>
        <w:tabs>
          <w:tab w:val="right" w:pos="9072"/>
        </w:tabs>
        <w:ind w:right="-766"/>
        <w:rPr>
          <w:rFonts w:eastAsia="Calibri"/>
          <w:sz w:val="28"/>
          <w:szCs w:val="28"/>
          <w:lang w:eastAsia="en-US"/>
        </w:rPr>
      </w:pPr>
    </w:p>
    <w:p w:rsidR="006B3581" w:rsidRPr="006B3581" w:rsidRDefault="006B3581" w:rsidP="006B3581">
      <w:pPr>
        <w:tabs>
          <w:tab w:val="right" w:pos="9072"/>
        </w:tabs>
        <w:ind w:right="-766"/>
        <w:rPr>
          <w:rFonts w:eastAsia="Lucida Sans Unicode"/>
          <w:kern w:val="3"/>
          <w:sz w:val="28"/>
          <w:szCs w:val="28"/>
          <w:lang w:eastAsia="en-US"/>
        </w:rPr>
      </w:pPr>
    </w:p>
    <w:p w:rsidR="00F35854" w:rsidRDefault="00F35854" w:rsidP="00B979D4">
      <w:pPr>
        <w:jc w:val="both"/>
        <w:rPr>
          <w:bCs/>
          <w:color w:val="000000" w:themeColor="text1"/>
          <w:sz w:val="22"/>
          <w:szCs w:val="22"/>
        </w:rPr>
      </w:pPr>
      <w:r>
        <w:rPr>
          <w:bCs/>
          <w:color w:val="000000" w:themeColor="text1"/>
          <w:sz w:val="22"/>
          <w:szCs w:val="22"/>
        </w:rPr>
        <w:t>0</w:t>
      </w:r>
      <w:r w:rsidR="006B3581">
        <w:rPr>
          <w:bCs/>
          <w:color w:val="000000" w:themeColor="text1"/>
          <w:sz w:val="22"/>
          <w:szCs w:val="22"/>
        </w:rPr>
        <w:t>8</w:t>
      </w:r>
      <w:r>
        <w:rPr>
          <w:bCs/>
          <w:color w:val="000000" w:themeColor="text1"/>
          <w:sz w:val="22"/>
          <w:szCs w:val="22"/>
        </w:rPr>
        <w:t xml:space="preserve">.09.2016 </w:t>
      </w:r>
      <w:r w:rsidR="006B3581">
        <w:rPr>
          <w:bCs/>
          <w:color w:val="000000" w:themeColor="text1"/>
          <w:sz w:val="22"/>
          <w:szCs w:val="22"/>
        </w:rPr>
        <w:t>09:07</w:t>
      </w:r>
    </w:p>
    <w:p w:rsidR="00B979D4" w:rsidRPr="001E4856" w:rsidRDefault="00F35854" w:rsidP="00B979D4">
      <w:pPr>
        <w:jc w:val="both"/>
        <w:rPr>
          <w:bCs/>
          <w:color w:val="000000" w:themeColor="text1"/>
          <w:sz w:val="22"/>
          <w:szCs w:val="22"/>
        </w:rPr>
      </w:pPr>
      <w:r>
        <w:rPr>
          <w:bCs/>
          <w:color w:val="000000" w:themeColor="text1"/>
          <w:sz w:val="22"/>
          <w:szCs w:val="22"/>
        </w:rPr>
        <w:t>21</w:t>
      </w:r>
      <w:r w:rsidR="006B3581">
        <w:rPr>
          <w:bCs/>
          <w:color w:val="000000" w:themeColor="text1"/>
          <w:sz w:val="22"/>
          <w:szCs w:val="22"/>
        </w:rPr>
        <w:t>64</w:t>
      </w:r>
    </w:p>
    <w:p w:rsidR="00B979D4" w:rsidRPr="001E4856" w:rsidRDefault="00531B8A" w:rsidP="00B979D4">
      <w:pPr>
        <w:jc w:val="both"/>
        <w:rPr>
          <w:bCs/>
          <w:color w:val="000000" w:themeColor="text1"/>
          <w:sz w:val="22"/>
          <w:szCs w:val="22"/>
        </w:rPr>
      </w:pPr>
      <w:r>
        <w:rPr>
          <w:bCs/>
          <w:color w:val="000000" w:themeColor="text1"/>
          <w:sz w:val="22"/>
          <w:szCs w:val="22"/>
        </w:rPr>
        <w:t>K.Brūvere</w:t>
      </w:r>
    </w:p>
    <w:p w:rsidR="00B979D4" w:rsidRPr="001E4856" w:rsidRDefault="00B979D4" w:rsidP="00B979D4">
      <w:pPr>
        <w:jc w:val="both"/>
        <w:rPr>
          <w:color w:val="000000" w:themeColor="text1"/>
          <w:sz w:val="22"/>
          <w:szCs w:val="22"/>
        </w:rPr>
      </w:pPr>
      <w:r w:rsidRPr="001E4856">
        <w:rPr>
          <w:bCs/>
          <w:color w:val="000000" w:themeColor="text1"/>
          <w:sz w:val="22"/>
          <w:szCs w:val="22"/>
        </w:rPr>
        <w:t>678761</w:t>
      </w:r>
      <w:r w:rsidR="00531B8A">
        <w:rPr>
          <w:bCs/>
          <w:color w:val="000000" w:themeColor="text1"/>
          <w:sz w:val="22"/>
          <w:szCs w:val="22"/>
        </w:rPr>
        <w:t>91</w:t>
      </w:r>
      <w:r w:rsidRPr="001E4856">
        <w:rPr>
          <w:bCs/>
          <w:color w:val="000000" w:themeColor="text1"/>
          <w:sz w:val="22"/>
          <w:szCs w:val="22"/>
        </w:rPr>
        <w:t xml:space="preserve">, </w:t>
      </w:r>
      <w:r w:rsidR="00531B8A">
        <w:rPr>
          <w:bCs/>
          <w:color w:val="000000" w:themeColor="text1"/>
          <w:sz w:val="22"/>
          <w:szCs w:val="22"/>
        </w:rPr>
        <w:t>kristina.bruvere</w:t>
      </w:r>
      <w:r w:rsidRPr="001E4856">
        <w:rPr>
          <w:bCs/>
          <w:color w:val="000000" w:themeColor="text1"/>
          <w:sz w:val="22"/>
          <w:szCs w:val="22"/>
        </w:rPr>
        <w:t>@vm.gov.lv</w:t>
      </w:r>
    </w:p>
    <w:p w:rsidR="00B979D4" w:rsidRPr="00F51702" w:rsidRDefault="00B979D4" w:rsidP="00B50C94">
      <w:pPr>
        <w:jc w:val="both"/>
        <w:rPr>
          <w:bCs/>
          <w:sz w:val="22"/>
          <w:szCs w:val="22"/>
        </w:rPr>
      </w:pPr>
    </w:p>
    <w:sectPr w:rsidR="00B979D4" w:rsidRPr="00F51702" w:rsidSect="00A51F1F">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B53" w:rsidRDefault="006B2B53" w:rsidP="007B67C1">
      <w:r>
        <w:separator/>
      </w:r>
    </w:p>
  </w:endnote>
  <w:endnote w:type="continuationSeparator" w:id="0">
    <w:p w:rsidR="006B2B53" w:rsidRDefault="006B2B53"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53" w:rsidRPr="006B3581" w:rsidRDefault="006B3581" w:rsidP="006B3581">
    <w:pPr>
      <w:pStyle w:val="naisc"/>
      <w:jc w:val="both"/>
      <w:rPr>
        <w:szCs w:val="20"/>
      </w:rPr>
    </w:pPr>
    <w:r>
      <w:rPr>
        <w:sz w:val="20"/>
        <w:szCs w:val="20"/>
      </w:rPr>
      <w:t>VMa</w:t>
    </w:r>
    <w:r w:rsidRPr="003C4C34">
      <w:rPr>
        <w:sz w:val="20"/>
        <w:szCs w:val="20"/>
      </w:rPr>
      <w:t>not_</w:t>
    </w:r>
    <w:r>
      <w:rPr>
        <w:sz w:val="20"/>
        <w:szCs w:val="20"/>
      </w:rPr>
      <w:t>080916_ziks739</w:t>
    </w:r>
    <w:proofErr w:type="gramStart"/>
    <w:r>
      <w:rPr>
        <w:sz w:val="20"/>
        <w:szCs w:val="20"/>
      </w:rPr>
      <w:t xml:space="preserve"> </w:t>
    </w:r>
    <w:r w:rsidRPr="003C4C34">
      <w:rPr>
        <w:sz w:val="20"/>
        <w:szCs w:val="20"/>
      </w:rPr>
      <w:t>;</w:t>
    </w:r>
    <w:proofErr w:type="gramEnd"/>
    <w:r w:rsidRPr="003C4C34">
      <w:rPr>
        <w:sz w:val="20"/>
        <w:szCs w:val="20"/>
      </w:rPr>
      <w:t xml:space="preserve"> Ministru kabineta noteikumu projekta ”Grozījum</w:t>
    </w:r>
    <w:r>
      <w:rPr>
        <w:sz w:val="20"/>
        <w:szCs w:val="20"/>
      </w:rPr>
      <w:t>i</w:t>
    </w:r>
    <w:r w:rsidRPr="003C4C34">
      <w:rPr>
        <w:sz w:val="20"/>
        <w:szCs w:val="20"/>
      </w:rPr>
      <w:t xml:space="preserve"> Ministru kabineta 2006.gada 31.oktobra noteikumos Nr. 899 ”Ambulatorajai ārstēšanai paredzēto zāļu un medicīnisko ierīču iegādes izdevumu kompensācijas kārtība””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53" w:rsidRPr="003C4C34" w:rsidRDefault="006B3581" w:rsidP="00760913">
    <w:pPr>
      <w:pStyle w:val="naisc"/>
      <w:jc w:val="both"/>
      <w:rPr>
        <w:sz w:val="20"/>
        <w:szCs w:val="20"/>
      </w:rPr>
    </w:pPr>
    <w:r>
      <w:rPr>
        <w:sz w:val="20"/>
        <w:szCs w:val="20"/>
      </w:rPr>
      <w:t>VMa</w:t>
    </w:r>
    <w:r w:rsidR="006B2B53" w:rsidRPr="003C4C34">
      <w:rPr>
        <w:sz w:val="20"/>
        <w:szCs w:val="20"/>
      </w:rPr>
      <w:t>not_</w:t>
    </w:r>
    <w:r>
      <w:rPr>
        <w:sz w:val="20"/>
        <w:szCs w:val="20"/>
      </w:rPr>
      <w:t>08</w:t>
    </w:r>
    <w:r w:rsidR="00F35854">
      <w:rPr>
        <w:sz w:val="20"/>
        <w:szCs w:val="20"/>
      </w:rPr>
      <w:t>09</w:t>
    </w:r>
    <w:r w:rsidR="006B2B53">
      <w:rPr>
        <w:sz w:val="20"/>
        <w:szCs w:val="20"/>
      </w:rPr>
      <w:t>16</w:t>
    </w:r>
    <w:r>
      <w:rPr>
        <w:sz w:val="20"/>
        <w:szCs w:val="20"/>
      </w:rPr>
      <w:t>_ziks</w:t>
    </w:r>
    <w:r w:rsidR="006B2B53">
      <w:rPr>
        <w:sz w:val="20"/>
        <w:szCs w:val="20"/>
      </w:rPr>
      <w:t>739</w:t>
    </w:r>
    <w:proofErr w:type="gramStart"/>
    <w:r>
      <w:rPr>
        <w:sz w:val="20"/>
        <w:szCs w:val="20"/>
      </w:rPr>
      <w:t xml:space="preserve"> </w:t>
    </w:r>
    <w:r w:rsidR="006B2B53" w:rsidRPr="003C4C34">
      <w:rPr>
        <w:sz w:val="20"/>
        <w:szCs w:val="20"/>
      </w:rPr>
      <w:t>;</w:t>
    </w:r>
    <w:proofErr w:type="gramEnd"/>
    <w:r w:rsidR="006B2B53" w:rsidRPr="003C4C34">
      <w:rPr>
        <w:sz w:val="20"/>
        <w:szCs w:val="20"/>
      </w:rPr>
      <w:t xml:space="preserve"> Ministru kabineta noteikumu projekta ”Grozījum</w:t>
    </w:r>
    <w:r w:rsidR="006B2B53">
      <w:rPr>
        <w:sz w:val="20"/>
        <w:szCs w:val="20"/>
      </w:rPr>
      <w:t>i</w:t>
    </w:r>
    <w:r w:rsidR="006B2B53" w:rsidRPr="003C4C34">
      <w:rPr>
        <w:sz w:val="20"/>
        <w:szCs w:val="20"/>
      </w:rPr>
      <w:t xml:space="preserve"> Ministru kabineta 2006.gada 31.oktobra noteikumos Nr. 899 ”Ambulatorajai ārstēšanai paredzēto zāļu un medicīnisko ierīču iegādes izdevumu kompensācijas kārtība””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B53" w:rsidRDefault="006B2B53" w:rsidP="007B67C1">
      <w:r>
        <w:separator/>
      </w:r>
    </w:p>
  </w:footnote>
  <w:footnote w:type="continuationSeparator" w:id="0">
    <w:p w:rsidR="006B2B53" w:rsidRDefault="006B2B53"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53" w:rsidRDefault="00E9606F" w:rsidP="00760913">
    <w:pPr>
      <w:pStyle w:val="Header"/>
      <w:framePr w:wrap="around" w:vAnchor="text" w:hAnchor="margin" w:xAlign="center" w:y="1"/>
      <w:rPr>
        <w:rStyle w:val="PageNumber"/>
      </w:rPr>
    </w:pPr>
    <w:r>
      <w:rPr>
        <w:rStyle w:val="PageNumber"/>
      </w:rPr>
      <w:fldChar w:fldCharType="begin"/>
    </w:r>
    <w:r w:rsidR="006B2B53">
      <w:rPr>
        <w:rStyle w:val="PageNumber"/>
      </w:rPr>
      <w:instrText xml:space="preserve">PAGE  </w:instrText>
    </w:r>
    <w:r>
      <w:rPr>
        <w:rStyle w:val="PageNumber"/>
      </w:rPr>
      <w:fldChar w:fldCharType="separate"/>
    </w:r>
    <w:r w:rsidR="006B2B53">
      <w:rPr>
        <w:rStyle w:val="PageNumber"/>
        <w:noProof/>
      </w:rPr>
      <w:t>9</w:t>
    </w:r>
    <w:r>
      <w:rPr>
        <w:rStyle w:val="PageNumber"/>
      </w:rPr>
      <w:fldChar w:fldCharType="end"/>
    </w:r>
  </w:p>
  <w:p w:rsidR="006B2B53" w:rsidRDefault="006B2B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53" w:rsidRPr="00EC4EA2" w:rsidRDefault="00E9606F"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6B2B53" w:rsidRPr="00EC4EA2">
      <w:rPr>
        <w:rStyle w:val="PageNumber"/>
        <w:sz w:val="20"/>
        <w:szCs w:val="20"/>
      </w:rPr>
      <w:instrText xml:space="preserve">PAGE  </w:instrText>
    </w:r>
    <w:r w:rsidRPr="00EC4EA2">
      <w:rPr>
        <w:rStyle w:val="PageNumber"/>
        <w:sz w:val="20"/>
        <w:szCs w:val="20"/>
      </w:rPr>
      <w:fldChar w:fldCharType="separate"/>
    </w:r>
    <w:r w:rsidR="006B3581">
      <w:rPr>
        <w:rStyle w:val="PageNumber"/>
        <w:noProof/>
        <w:sz w:val="20"/>
        <w:szCs w:val="20"/>
      </w:rPr>
      <w:t>8</w:t>
    </w:r>
    <w:r w:rsidRPr="00EC4EA2">
      <w:rPr>
        <w:rStyle w:val="PageNumber"/>
        <w:sz w:val="20"/>
        <w:szCs w:val="20"/>
      </w:rPr>
      <w:fldChar w:fldCharType="end"/>
    </w:r>
  </w:p>
  <w:p w:rsidR="006B2B53" w:rsidRDefault="006B2B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4F9790D"/>
    <w:multiLevelType w:val="hybridMultilevel"/>
    <w:tmpl w:val="E50C87E4"/>
    <w:lvl w:ilvl="0" w:tplc="C3BCA31C">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5">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7">
    <w:nsid w:val="143E3551"/>
    <w:multiLevelType w:val="hybridMultilevel"/>
    <w:tmpl w:val="A3D0060A"/>
    <w:lvl w:ilvl="0" w:tplc="1E6467DA">
      <w:start w:val="1"/>
      <w:numFmt w:val="decimal"/>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0">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2">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F7A1101"/>
    <w:multiLevelType w:val="hybridMultilevel"/>
    <w:tmpl w:val="88F47D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5">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7">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8">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3">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4">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5">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7">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8">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9">
    <w:nsid w:val="659E3065"/>
    <w:multiLevelType w:val="hybridMultilevel"/>
    <w:tmpl w:val="7EA04A66"/>
    <w:lvl w:ilvl="0" w:tplc="0426000B">
      <w:start w:val="1"/>
      <w:numFmt w:val="bullet"/>
      <w:lvlText w:val=""/>
      <w:lvlJc w:val="left"/>
      <w:pPr>
        <w:ind w:left="900" w:hanging="360"/>
      </w:pPr>
      <w:rPr>
        <w:rFonts w:ascii="Wingdings" w:hAnsi="Wingdings"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0">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32">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2"/>
  </w:num>
  <w:num w:numId="2">
    <w:abstractNumId w:val="23"/>
  </w:num>
  <w:num w:numId="3">
    <w:abstractNumId w:val="22"/>
  </w:num>
  <w:num w:numId="4">
    <w:abstractNumId w:val="14"/>
  </w:num>
  <w:num w:numId="5">
    <w:abstractNumId w:val="31"/>
  </w:num>
  <w:num w:numId="6">
    <w:abstractNumId w:val="0"/>
  </w:num>
  <w:num w:numId="7">
    <w:abstractNumId w:val="17"/>
  </w:num>
  <w:num w:numId="8">
    <w:abstractNumId w:val="3"/>
  </w:num>
  <w:num w:numId="9">
    <w:abstractNumId w:val="19"/>
  </w:num>
  <w:num w:numId="10">
    <w:abstractNumId w:val="32"/>
  </w:num>
  <w:num w:numId="11">
    <w:abstractNumId w:val="4"/>
  </w:num>
  <w:num w:numId="12">
    <w:abstractNumId w:val="15"/>
  </w:num>
  <w:num w:numId="13">
    <w:abstractNumId w:val="12"/>
  </w:num>
  <w:num w:numId="14">
    <w:abstractNumId w:val="9"/>
  </w:num>
  <w:num w:numId="15">
    <w:abstractNumId w:val="21"/>
  </w:num>
  <w:num w:numId="16">
    <w:abstractNumId w:val="6"/>
  </w:num>
  <w:num w:numId="17">
    <w:abstractNumId w:val="24"/>
  </w:num>
  <w:num w:numId="18">
    <w:abstractNumId w:val="16"/>
  </w:num>
  <w:num w:numId="19">
    <w:abstractNumId w:val="28"/>
  </w:num>
  <w:num w:numId="20">
    <w:abstractNumId w:val="27"/>
  </w:num>
  <w:num w:numId="21">
    <w:abstractNumId w:val="2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8"/>
  </w:num>
  <w:num w:numId="25">
    <w:abstractNumId w:val="25"/>
  </w:num>
  <w:num w:numId="26">
    <w:abstractNumId w:val="11"/>
  </w:num>
  <w:num w:numId="27">
    <w:abstractNumId w:val="33"/>
  </w:num>
  <w:num w:numId="28">
    <w:abstractNumId w:val="26"/>
  </w:num>
  <w:num w:numId="29">
    <w:abstractNumId w:val="10"/>
  </w:num>
  <w:num w:numId="30">
    <w:abstractNumId w:val="5"/>
  </w:num>
  <w:num w:numId="31">
    <w:abstractNumId w:val="30"/>
  </w:num>
  <w:num w:numId="32">
    <w:abstractNumId w:val="7"/>
  </w:num>
  <w:num w:numId="33">
    <w:abstractNumId w:val="29"/>
  </w:num>
  <w:num w:numId="34">
    <w:abstractNumId w:val="13"/>
  </w:num>
  <w:num w:numId="35">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5D64"/>
    <w:rsid w:val="0001642C"/>
    <w:rsid w:val="0001649D"/>
    <w:rsid w:val="00017E3D"/>
    <w:rsid w:val="00023D9D"/>
    <w:rsid w:val="00024BAE"/>
    <w:rsid w:val="00024C41"/>
    <w:rsid w:val="00024CFD"/>
    <w:rsid w:val="000250F9"/>
    <w:rsid w:val="0002548F"/>
    <w:rsid w:val="00025560"/>
    <w:rsid w:val="00026054"/>
    <w:rsid w:val="00026DDC"/>
    <w:rsid w:val="00032C41"/>
    <w:rsid w:val="00040146"/>
    <w:rsid w:val="0004096A"/>
    <w:rsid w:val="000409C2"/>
    <w:rsid w:val="000410E3"/>
    <w:rsid w:val="00041521"/>
    <w:rsid w:val="00042158"/>
    <w:rsid w:val="00042176"/>
    <w:rsid w:val="00044AFF"/>
    <w:rsid w:val="00045F78"/>
    <w:rsid w:val="000469F3"/>
    <w:rsid w:val="00046B1D"/>
    <w:rsid w:val="00046D6D"/>
    <w:rsid w:val="00050334"/>
    <w:rsid w:val="0005037E"/>
    <w:rsid w:val="00050EEC"/>
    <w:rsid w:val="00051096"/>
    <w:rsid w:val="00054045"/>
    <w:rsid w:val="00055C75"/>
    <w:rsid w:val="00055CCB"/>
    <w:rsid w:val="00055DE2"/>
    <w:rsid w:val="0005759D"/>
    <w:rsid w:val="00061DDF"/>
    <w:rsid w:val="00061FD7"/>
    <w:rsid w:val="00062156"/>
    <w:rsid w:val="0006259E"/>
    <w:rsid w:val="000631BD"/>
    <w:rsid w:val="000649D5"/>
    <w:rsid w:val="000651FA"/>
    <w:rsid w:val="00065B49"/>
    <w:rsid w:val="000666BE"/>
    <w:rsid w:val="00066D62"/>
    <w:rsid w:val="00067C40"/>
    <w:rsid w:val="0007411C"/>
    <w:rsid w:val="00075212"/>
    <w:rsid w:val="00075D3B"/>
    <w:rsid w:val="0007638D"/>
    <w:rsid w:val="00077563"/>
    <w:rsid w:val="0008018B"/>
    <w:rsid w:val="00080D36"/>
    <w:rsid w:val="00082945"/>
    <w:rsid w:val="00083A7D"/>
    <w:rsid w:val="00085E1D"/>
    <w:rsid w:val="0008604D"/>
    <w:rsid w:val="000867F6"/>
    <w:rsid w:val="0008770F"/>
    <w:rsid w:val="00087BD4"/>
    <w:rsid w:val="000917BF"/>
    <w:rsid w:val="00092F46"/>
    <w:rsid w:val="0009423F"/>
    <w:rsid w:val="0009519F"/>
    <w:rsid w:val="000965F3"/>
    <w:rsid w:val="000A0C4F"/>
    <w:rsid w:val="000A106D"/>
    <w:rsid w:val="000A195B"/>
    <w:rsid w:val="000A255E"/>
    <w:rsid w:val="000A25ED"/>
    <w:rsid w:val="000A2D8E"/>
    <w:rsid w:val="000A3116"/>
    <w:rsid w:val="000A4A3C"/>
    <w:rsid w:val="000A4AEA"/>
    <w:rsid w:val="000A4DA8"/>
    <w:rsid w:val="000A7032"/>
    <w:rsid w:val="000A71A7"/>
    <w:rsid w:val="000A7481"/>
    <w:rsid w:val="000B0691"/>
    <w:rsid w:val="000B1B03"/>
    <w:rsid w:val="000B1C24"/>
    <w:rsid w:val="000B3EF1"/>
    <w:rsid w:val="000B4376"/>
    <w:rsid w:val="000B650A"/>
    <w:rsid w:val="000C04CA"/>
    <w:rsid w:val="000C09CA"/>
    <w:rsid w:val="000C10AD"/>
    <w:rsid w:val="000C2744"/>
    <w:rsid w:val="000C3CFE"/>
    <w:rsid w:val="000C6543"/>
    <w:rsid w:val="000C68CC"/>
    <w:rsid w:val="000C74C6"/>
    <w:rsid w:val="000C7510"/>
    <w:rsid w:val="000C7777"/>
    <w:rsid w:val="000D0768"/>
    <w:rsid w:val="000D0C30"/>
    <w:rsid w:val="000D1589"/>
    <w:rsid w:val="000D18AD"/>
    <w:rsid w:val="000D2F93"/>
    <w:rsid w:val="000D3CEB"/>
    <w:rsid w:val="000D44EC"/>
    <w:rsid w:val="000D66C9"/>
    <w:rsid w:val="000E11E3"/>
    <w:rsid w:val="000E243C"/>
    <w:rsid w:val="000E5618"/>
    <w:rsid w:val="000E5B86"/>
    <w:rsid w:val="000E5EAB"/>
    <w:rsid w:val="000F0DC1"/>
    <w:rsid w:val="000F19F5"/>
    <w:rsid w:val="000F20EF"/>
    <w:rsid w:val="000F2440"/>
    <w:rsid w:val="000F31E1"/>
    <w:rsid w:val="000F3331"/>
    <w:rsid w:val="000F3B10"/>
    <w:rsid w:val="000F441A"/>
    <w:rsid w:val="000F4C08"/>
    <w:rsid w:val="000F5F23"/>
    <w:rsid w:val="001003A5"/>
    <w:rsid w:val="00100A81"/>
    <w:rsid w:val="001011B2"/>
    <w:rsid w:val="0010318E"/>
    <w:rsid w:val="00103E5C"/>
    <w:rsid w:val="0010400F"/>
    <w:rsid w:val="001068CC"/>
    <w:rsid w:val="00106967"/>
    <w:rsid w:val="00107156"/>
    <w:rsid w:val="00107C9F"/>
    <w:rsid w:val="00111B94"/>
    <w:rsid w:val="00112EB6"/>
    <w:rsid w:val="00113C78"/>
    <w:rsid w:val="00116FD9"/>
    <w:rsid w:val="00117BFD"/>
    <w:rsid w:val="0012135D"/>
    <w:rsid w:val="00122750"/>
    <w:rsid w:val="00125950"/>
    <w:rsid w:val="00125B14"/>
    <w:rsid w:val="001267C0"/>
    <w:rsid w:val="00130255"/>
    <w:rsid w:val="001306FA"/>
    <w:rsid w:val="00132E75"/>
    <w:rsid w:val="00134715"/>
    <w:rsid w:val="00134821"/>
    <w:rsid w:val="001357DE"/>
    <w:rsid w:val="00135E4D"/>
    <w:rsid w:val="0013647C"/>
    <w:rsid w:val="00136B00"/>
    <w:rsid w:val="00136CF1"/>
    <w:rsid w:val="00137A0D"/>
    <w:rsid w:val="00140B84"/>
    <w:rsid w:val="0014101D"/>
    <w:rsid w:val="00141593"/>
    <w:rsid w:val="00143771"/>
    <w:rsid w:val="00145375"/>
    <w:rsid w:val="00145A38"/>
    <w:rsid w:val="00151278"/>
    <w:rsid w:val="001514C5"/>
    <w:rsid w:val="0015172E"/>
    <w:rsid w:val="00152114"/>
    <w:rsid w:val="001527CD"/>
    <w:rsid w:val="0015343D"/>
    <w:rsid w:val="00153AA1"/>
    <w:rsid w:val="00153B6F"/>
    <w:rsid w:val="0015425D"/>
    <w:rsid w:val="00154B41"/>
    <w:rsid w:val="00155B98"/>
    <w:rsid w:val="0015701E"/>
    <w:rsid w:val="00162708"/>
    <w:rsid w:val="001631A3"/>
    <w:rsid w:val="001631B0"/>
    <w:rsid w:val="00163E53"/>
    <w:rsid w:val="00164E61"/>
    <w:rsid w:val="00165A49"/>
    <w:rsid w:val="00171349"/>
    <w:rsid w:val="00173046"/>
    <w:rsid w:val="001734B3"/>
    <w:rsid w:val="001744B0"/>
    <w:rsid w:val="0017695D"/>
    <w:rsid w:val="00177450"/>
    <w:rsid w:val="001779A9"/>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4FD4"/>
    <w:rsid w:val="001A5D1D"/>
    <w:rsid w:val="001A78A6"/>
    <w:rsid w:val="001A78FF"/>
    <w:rsid w:val="001B2D95"/>
    <w:rsid w:val="001B36A2"/>
    <w:rsid w:val="001B40FF"/>
    <w:rsid w:val="001B4475"/>
    <w:rsid w:val="001B4B74"/>
    <w:rsid w:val="001B57B6"/>
    <w:rsid w:val="001B6B58"/>
    <w:rsid w:val="001B793F"/>
    <w:rsid w:val="001B7DF3"/>
    <w:rsid w:val="001C0DF8"/>
    <w:rsid w:val="001C10A0"/>
    <w:rsid w:val="001C1FFA"/>
    <w:rsid w:val="001C2513"/>
    <w:rsid w:val="001C3154"/>
    <w:rsid w:val="001C566C"/>
    <w:rsid w:val="001C5D64"/>
    <w:rsid w:val="001C762F"/>
    <w:rsid w:val="001D0A7A"/>
    <w:rsid w:val="001D1551"/>
    <w:rsid w:val="001D20BA"/>
    <w:rsid w:val="001D2117"/>
    <w:rsid w:val="001E0F8B"/>
    <w:rsid w:val="001E1013"/>
    <w:rsid w:val="001E1FD1"/>
    <w:rsid w:val="001E21E5"/>
    <w:rsid w:val="001E2737"/>
    <w:rsid w:val="001E3129"/>
    <w:rsid w:val="001E3F73"/>
    <w:rsid w:val="001E440E"/>
    <w:rsid w:val="001E57E9"/>
    <w:rsid w:val="001E75C6"/>
    <w:rsid w:val="001E793C"/>
    <w:rsid w:val="001F01A8"/>
    <w:rsid w:val="001F2E22"/>
    <w:rsid w:val="001F4AE1"/>
    <w:rsid w:val="001F5FDF"/>
    <w:rsid w:val="001F6B63"/>
    <w:rsid w:val="001F6FAC"/>
    <w:rsid w:val="001F76D8"/>
    <w:rsid w:val="00201F67"/>
    <w:rsid w:val="002020CE"/>
    <w:rsid w:val="00202C04"/>
    <w:rsid w:val="002069BF"/>
    <w:rsid w:val="0020786F"/>
    <w:rsid w:val="00210439"/>
    <w:rsid w:val="00210819"/>
    <w:rsid w:val="00211E54"/>
    <w:rsid w:val="00212119"/>
    <w:rsid w:val="002122DC"/>
    <w:rsid w:val="00212E92"/>
    <w:rsid w:val="0021370E"/>
    <w:rsid w:val="002137F3"/>
    <w:rsid w:val="0021380D"/>
    <w:rsid w:val="00214265"/>
    <w:rsid w:val="002147CD"/>
    <w:rsid w:val="00214E46"/>
    <w:rsid w:val="00216E34"/>
    <w:rsid w:val="002209E2"/>
    <w:rsid w:val="00222C42"/>
    <w:rsid w:val="002237FC"/>
    <w:rsid w:val="0022507F"/>
    <w:rsid w:val="00225453"/>
    <w:rsid w:val="00225B56"/>
    <w:rsid w:val="00225FE2"/>
    <w:rsid w:val="00230CD3"/>
    <w:rsid w:val="00231990"/>
    <w:rsid w:val="00231A25"/>
    <w:rsid w:val="002322CD"/>
    <w:rsid w:val="00232BC4"/>
    <w:rsid w:val="00232EAE"/>
    <w:rsid w:val="00234064"/>
    <w:rsid w:val="002346A1"/>
    <w:rsid w:val="00234CED"/>
    <w:rsid w:val="00235081"/>
    <w:rsid w:val="002401CC"/>
    <w:rsid w:val="002402E3"/>
    <w:rsid w:val="00242A13"/>
    <w:rsid w:val="00242B51"/>
    <w:rsid w:val="00243343"/>
    <w:rsid w:val="002463A4"/>
    <w:rsid w:val="002474AD"/>
    <w:rsid w:val="002505AA"/>
    <w:rsid w:val="002513B5"/>
    <w:rsid w:val="00251DCE"/>
    <w:rsid w:val="0025215D"/>
    <w:rsid w:val="00252D1F"/>
    <w:rsid w:val="00252FCF"/>
    <w:rsid w:val="00253838"/>
    <w:rsid w:val="00254F21"/>
    <w:rsid w:val="0026002F"/>
    <w:rsid w:val="00261DCB"/>
    <w:rsid w:val="00262196"/>
    <w:rsid w:val="00262853"/>
    <w:rsid w:val="00264241"/>
    <w:rsid w:val="002651A5"/>
    <w:rsid w:val="002658C2"/>
    <w:rsid w:val="002658D1"/>
    <w:rsid w:val="002667AE"/>
    <w:rsid w:val="00267A07"/>
    <w:rsid w:val="002704C1"/>
    <w:rsid w:val="00270D4D"/>
    <w:rsid w:val="00274B27"/>
    <w:rsid w:val="002752D2"/>
    <w:rsid w:val="00276CC8"/>
    <w:rsid w:val="002773CE"/>
    <w:rsid w:val="002775F4"/>
    <w:rsid w:val="002779A1"/>
    <w:rsid w:val="00277F86"/>
    <w:rsid w:val="002806E1"/>
    <w:rsid w:val="00281D6A"/>
    <w:rsid w:val="00282077"/>
    <w:rsid w:val="00282C54"/>
    <w:rsid w:val="002832E9"/>
    <w:rsid w:val="00284AA4"/>
    <w:rsid w:val="00285DC6"/>
    <w:rsid w:val="00285FB8"/>
    <w:rsid w:val="00286A76"/>
    <w:rsid w:val="00286F8B"/>
    <w:rsid w:val="0028766E"/>
    <w:rsid w:val="002904C5"/>
    <w:rsid w:val="00290D31"/>
    <w:rsid w:val="00292916"/>
    <w:rsid w:val="00292BE4"/>
    <w:rsid w:val="00294219"/>
    <w:rsid w:val="002A007B"/>
    <w:rsid w:val="002A017E"/>
    <w:rsid w:val="002A0205"/>
    <w:rsid w:val="002A0631"/>
    <w:rsid w:val="002A3738"/>
    <w:rsid w:val="002A46FF"/>
    <w:rsid w:val="002A7546"/>
    <w:rsid w:val="002B0388"/>
    <w:rsid w:val="002B0669"/>
    <w:rsid w:val="002B0B9C"/>
    <w:rsid w:val="002B191E"/>
    <w:rsid w:val="002B2B9C"/>
    <w:rsid w:val="002B4158"/>
    <w:rsid w:val="002B4281"/>
    <w:rsid w:val="002B7233"/>
    <w:rsid w:val="002C045F"/>
    <w:rsid w:val="002C067F"/>
    <w:rsid w:val="002C1A82"/>
    <w:rsid w:val="002C313E"/>
    <w:rsid w:val="002C3CCA"/>
    <w:rsid w:val="002C4F5F"/>
    <w:rsid w:val="002C5391"/>
    <w:rsid w:val="002C68CD"/>
    <w:rsid w:val="002C72BF"/>
    <w:rsid w:val="002C7EBA"/>
    <w:rsid w:val="002D040D"/>
    <w:rsid w:val="002D064B"/>
    <w:rsid w:val="002D12FD"/>
    <w:rsid w:val="002D1C12"/>
    <w:rsid w:val="002D2633"/>
    <w:rsid w:val="002D3D73"/>
    <w:rsid w:val="002D464F"/>
    <w:rsid w:val="002D50B3"/>
    <w:rsid w:val="002D59A7"/>
    <w:rsid w:val="002D76BE"/>
    <w:rsid w:val="002D7D37"/>
    <w:rsid w:val="002E0C19"/>
    <w:rsid w:val="002E2AAD"/>
    <w:rsid w:val="002E2CF6"/>
    <w:rsid w:val="002E477E"/>
    <w:rsid w:val="002E7799"/>
    <w:rsid w:val="002E78E6"/>
    <w:rsid w:val="002F11F7"/>
    <w:rsid w:val="002F1828"/>
    <w:rsid w:val="002F3275"/>
    <w:rsid w:val="002F456C"/>
    <w:rsid w:val="002F4B17"/>
    <w:rsid w:val="002F739A"/>
    <w:rsid w:val="00300461"/>
    <w:rsid w:val="00301C22"/>
    <w:rsid w:val="00303E46"/>
    <w:rsid w:val="00303F2A"/>
    <w:rsid w:val="0030475C"/>
    <w:rsid w:val="003055E5"/>
    <w:rsid w:val="00305844"/>
    <w:rsid w:val="003058D8"/>
    <w:rsid w:val="00310F04"/>
    <w:rsid w:val="00311EF1"/>
    <w:rsid w:val="00312035"/>
    <w:rsid w:val="003123E4"/>
    <w:rsid w:val="00312FCB"/>
    <w:rsid w:val="003131B3"/>
    <w:rsid w:val="003142D7"/>
    <w:rsid w:val="00314D1A"/>
    <w:rsid w:val="00315333"/>
    <w:rsid w:val="00320335"/>
    <w:rsid w:val="00320996"/>
    <w:rsid w:val="00321A9A"/>
    <w:rsid w:val="00322A9E"/>
    <w:rsid w:val="0032452F"/>
    <w:rsid w:val="00324D06"/>
    <w:rsid w:val="00324D4D"/>
    <w:rsid w:val="00324F84"/>
    <w:rsid w:val="00327754"/>
    <w:rsid w:val="00331614"/>
    <w:rsid w:val="00331807"/>
    <w:rsid w:val="00333467"/>
    <w:rsid w:val="00335E90"/>
    <w:rsid w:val="003364B7"/>
    <w:rsid w:val="00341F55"/>
    <w:rsid w:val="003431F6"/>
    <w:rsid w:val="0034395E"/>
    <w:rsid w:val="003439F5"/>
    <w:rsid w:val="003460A2"/>
    <w:rsid w:val="00346796"/>
    <w:rsid w:val="00350B6A"/>
    <w:rsid w:val="003520B1"/>
    <w:rsid w:val="00352352"/>
    <w:rsid w:val="0035250C"/>
    <w:rsid w:val="003526D4"/>
    <w:rsid w:val="003532A4"/>
    <w:rsid w:val="00353738"/>
    <w:rsid w:val="00354467"/>
    <w:rsid w:val="003555CF"/>
    <w:rsid w:val="003562D7"/>
    <w:rsid w:val="00357258"/>
    <w:rsid w:val="0035771F"/>
    <w:rsid w:val="0035794F"/>
    <w:rsid w:val="00360C92"/>
    <w:rsid w:val="00361422"/>
    <w:rsid w:val="00361EFB"/>
    <w:rsid w:val="00363261"/>
    <w:rsid w:val="0036402B"/>
    <w:rsid w:val="003654B9"/>
    <w:rsid w:val="00365922"/>
    <w:rsid w:val="003676D9"/>
    <w:rsid w:val="00370AC8"/>
    <w:rsid w:val="003718B0"/>
    <w:rsid w:val="00371A0C"/>
    <w:rsid w:val="00373FF4"/>
    <w:rsid w:val="00374CC9"/>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7067"/>
    <w:rsid w:val="00391572"/>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5D91"/>
    <w:rsid w:val="003B612E"/>
    <w:rsid w:val="003B65EB"/>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947"/>
    <w:rsid w:val="003C5E25"/>
    <w:rsid w:val="003D0E6F"/>
    <w:rsid w:val="003D162E"/>
    <w:rsid w:val="003D2BBC"/>
    <w:rsid w:val="003D336E"/>
    <w:rsid w:val="003D5654"/>
    <w:rsid w:val="003D6599"/>
    <w:rsid w:val="003D7111"/>
    <w:rsid w:val="003E2BBD"/>
    <w:rsid w:val="003E3D0F"/>
    <w:rsid w:val="003E6F2A"/>
    <w:rsid w:val="003E7046"/>
    <w:rsid w:val="003F043A"/>
    <w:rsid w:val="003F0992"/>
    <w:rsid w:val="003F3774"/>
    <w:rsid w:val="003F3B3F"/>
    <w:rsid w:val="003F5F51"/>
    <w:rsid w:val="003F62D2"/>
    <w:rsid w:val="003F663A"/>
    <w:rsid w:val="003F78C9"/>
    <w:rsid w:val="00402AF9"/>
    <w:rsid w:val="004038E8"/>
    <w:rsid w:val="00406F43"/>
    <w:rsid w:val="00407334"/>
    <w:rsid w:val="00410940"/>
    <w:rsid w:val="00411849"/>
    <w:rsid w:val="0041214B"/>
    <w:rsid w:val="0041249D"/>
    <w:rsid w:val="004131AE"/>
    <w:rsid w:val="00414A40"/>
    <w:rsid w:val="004155B8"/>
    <w:rsid w:val="0041594F"/>
    <w:rsid w:val="004172B4"/>
    <w:rsid w:val="00417AA5"/>
    <w:rsid w:val="00421597"/>
    <w:rsid w:val="00421714"/>
    <w:rsid w:val="00421F3D"/>
    <w:rsid w:val="0042482C"/>
    <w:rsid w:val="004264DE"/>
    <w:rsid w:val="0042664C"/>
    <w:rsid w:val="0042781F"/>
    <w:rsid w:val="00427921"/>
    <w:rsid w:val="00431C44"/>
    <w:rsid w:val="00432463"/>
    <w:rsid w:val="004329B9"/>
    <w:rsid w:val="00433E03"/>
    <w:rsid w:val="00434AF8"/>
    <w:rsid w:val="00435A89"/>
    <w:rsid w:val="00436B00"/>
    <w:rsid w:val="004410CF"/>
    <w:rsid w:val="00445F70"/>
    <w:rsid w:val="004469DA"/>
    <w:rsid w:val="0044700A"/>
    <w:rsid w:val="00447A31"/>
    <w:rsid w:val="00450E03"/>
    <w:rsid w:val="004528E3"/>
    <w:rsid w:val="00452E93"/>
    <w:rsid w:val="00454623"/>
    <w:rsid w:val="00454942"/>
    <w:rsid w:val="004549B4"/>
    <w:rsid w:val="004610CF"/>
    <w:rsid w:val="0046415E"/>
    <w:rsid w:val="0046472E"/>
    <w:rsid w:val="00465282"/>
    <w:rsid w:val="00466496"/>
    <w:rsid w:val="004676C4"/>
    <w:rsid w:val="0046790A"/>
    <w:rsid w:val="00470B16"/>
    <w:rsid w:val="00470C46"/>
    <w:rsid w:val="0047105A"/>
    <w:rsid w:val="004711B3"/>
    <w:rsid w:val="00472FCA"/>
    <w:rsid w:val="00473F1A"/>
    <w:rsid w:val="00474164"/>
    <w:rsid w:val="00474DAD"/>
    <w:rsid w:val="00475731"/>
    <w:rsid w:val="00475D82"/>
    <w:rsid w:val="0047673D"/>
    <w:rsid w:val="004803F3"/>
    <w:rsid w:val="00480994"/>
    <w:rsid w:val="00480E85"/>
    <w:rsid w:val="004810EB"/>
    <w:rsid w:val="0048143E"/>
    <w:rsid w:val="00482234"/>
    <w:rsid w:val="004835C0"/>
    <w:rsid w:val="004838FB"/>
    <w:rsid w:val="0048441A"/>
    <w:rsid w:val="00484C17"/>
    <w:rsid w:val="0048564C"/>
    <w:rsid w:val="00485EAD"/>
    <w:rsid w:val="00486B9B"/>
    <w:rsid w:val="00486C5F"/>
    <w:rsid w:val="0048790B"/>
    <w:rsid w:val="004906DC"/>
    <w:rsid w:val="00491962"/>
    <w:rsid w:val="0049246F"/>
    <w:rsid w:val="00492CB1"/>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F10"/>
    <w:rsid w:val="004B0CEF"/>
    <w:rsid w:val="004B0D23"/>
    <w:rsid w:val="004B2946"/>
    <w:rsid w:val="004B2B78"/>
    <w:rsid w:val="004B4AA0"/>
    <w:rsid w:val="004B6347"/>
    <w:rsid w:val="004B6F22"/>
    <w:rsid w:val="004B7463"/>
    <w:rsid w:val="004B74D1"/>
    <w:rsid w:val="004C0093"/>
    <w:rsid w:val="004C0AB0"/>
    <w:rsid w:val="004C0B42"/>
    <w:rsid w:val="004C100D"/>
    <w:rsid w:val="004C1F10"/>
    <w:rsid w:val="004C2122"/>
    <w:rsid w:val="004C3EDB"/>
    <w:rsid w:val="004C441D"/>
    <w:rsid w:val="004C5CBB"/>
    <w:rsid w:val="004C5D8F"/>
    <w:rsid w:val="004D29FB"/>
    <w:rsid w:val="004D3002"/>
    <w:rsid w:val="004D38FA"/>
    <w:rsid w:val="004D408C"/>
    <w:rsid w:val="004D476B"/>
    <w:rsid w:val="004D4C97"/>
    <w:rsid w:val="004D5F3C"/>
    <w:rsid w:val="004D64F0"/>
    <w:rsid w:val="004D6D94"/>
    <w:rsid w:val="004D7BE4"/>
    <w:rsid w:val="004E2248"/>
    <w:rsid w:val="004E247E"/>
    <w:rsid w:val="004E3DB0"/>
    <w:rsid w:val="004E59C2"/>
    <w:rsid w:val="004E5C41"/>
    <w:rsid w:val="004E5D18"/>
    <w:rsid w:val="004E631E"/>
    <w:rsid w:val="004E663E"/>
    <w:rsid w:val="004E7417"/>
    <w:rsid w:val="004E74B9"/>
    <w:rsid w:val="004F12ED"/>
    <w:rsid w:val="004F25D6"/>
    <w:rsid w:val="004F320A"/>
    <w:rsid w:val="004F333E"/>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4A3"/>
    <w:rsid w:val="00506433"/>
    <w:rsid w:val="00506642"/>
    <w:rsid w:val="00507030"/>
    <w:rsid w:val="00507D43"/>
    <w:rsid w:val="005107C0"/>
    <w:rsid w:val="005145EC"/>
    <w:rsid w:val="0051477C"/>
    <w:rsid w:val="0051544B"/>
    <w:rsid w:val="005154EB"/>
    <w:rsid w:val="00515772"/>
    <w:rsid w:val="00516279"/>
    <w:rsid w:val="00517E27"/>
    <w:rsid w:val="0052022E"/>
    <w:rsid w:val="0052079D"/>
    <w:rsid w:val="005223BB"/>
    <w:rsid w:val="0052405E"/>
    <w:rsid w:val="00525CBA"/>
    <w:rsid w:val="00530803"/>
    <w:rsid w:val="005309E0"/>
    <w:rsid w:val="00531B8A"/>
    <w:rsid w:val="00532462"/>
    <w:rsid w:val="00532745"/>
    <w:rsid w:val="00533266"/>
    <w:rsid w:val="00534124"/>
    <w:rsid w:val="00534B69"/>
    <w:rsid w:val="00536E7C"/>
    <w:rsid w:val="00543077"/>
    <w:rsid w:val="00544156"/>
    <w:rsid w:val="005457B8"/>
    <w:rsid w:val="00550EC2"/>
    <w:rsid w:val="005525D0"/>
    <w:rsid w:val="00552B84"/>
    <w:rsid w:val="0055346F"/>
    <w:rsid w:val="00556224"/>
    <w:rsid w:val="00557222"/>
    <w:rsid w:val="00560DD1"/>
    <w:rsid w:val="00561C1C"/>
    <w:rsid w:val="00561E73"/>
    <w:rsid w:val="00564545"/>
    <w:rsid w:val="00564658"/>
    <w:rsid w:val="00564818"/>
    <w:rsid w:val="00564BA7"/>
    <w:rsid w:val="00564D85"/>
    <w:rsid w:val="00565EC5"/>
    <w:rsid w:val="00566A41"/>
    <w:rsid w:val="0057144E"/>
    <w:rsid w:val="00571E32"/>
    <w:rsid w:val="005740C4"/>
    <w:rsid w:val="0057566D"/>
    <w:rsid w:val="00581AF6"/>
    <w:rsid w:val="00582414"/>
    <w:rsid w:val="00582C01"/>
    <w:rsid w:val="00585753"/>
    <w:rsid w:val="00587A6E"/>
    <w:rsid w:val="00592106"/>
    <w:rsid w:val="0059341E"/>
    <w:rsid w:val="0059362C"/>
    <w:rsid w:val="00593F6A"/>
    <w:rsid w:val="00594614"/>
    <w:rsid w:val="00594AC1"/>
    <w:rsid w:val="005965E9"/>
    <w:rsid w:val="005966D0"/>
    <w:rsid w:val="0059687E"/>
    <w:rsid w:val="0059708E"/>
    <w:rsid w:val="00597FC5"/>
    <w:rsid w:val="005A0560"/>
    <w:rsid w:val="005A1082"/>
    <w:rsid w:val="005A1AFD"/>
    <w:rsid w:val="005A2372"/>
    <w:rsid w:val="005A2980"/>
    <w:rsid w:val="005A2DD9"/>
    <w:rsid w:val="005A3995"/>
    <w:rsid w:val="005A505C"/>
    <w:rsid w:val="005A5B39"/>
    <w:rsid w:val="005A5D47"/>
    <w:rsid w:val="005B0899"/>
    <w:rsid w:val="005B141A"/>
    <w:rsid w:val="005B188F"/>
    <w:rsid w:val="005B27C9"/>
    <w:rsid w:val="005B2B4C"/>
    <w:rsid w:val="005B773B"/>
    <w:rsid w:val="005B78C0"/>
    <w:rsid w:val="005B7D30"/>
    <w:rsid w:val="005C0AC4"/>
    <w:rsid w:val="005C15AA"/>
    <w:rsid w:val="005C34F2"/>
    <w:rsid w:val="005C3FCD"/>
    <w:rsid w:val="005C4FA8"/>
    <w:rsid w:val="005C602B"/>
    <w:rsid w:val="005C61D9"/>
    <w:rsid w:val="005C6E43"/>
    <w:rsid w:val="005C7F07"/>
    <w:rsid w:val="005D0A21"/>
    <w:rsid w:val="005D191A"/>
    <w:rsid w:val="005D259A"/>
    <w:rsid w:val="005D4879"/>
    <w:rsid w:val="005D6508"/>
    <w:rsid w:val="005E127D"/>
    <w:rsid w:val="005E1B1D"/>
    <w:rsid w:val="005E36B8"/>
    <w:rsid w:val="005E47DA"/>
    <w:rsid w:val="005E6E40"/>
    <w:rsid w:val="005E7624"/>
    <w:rsid w:val="005F034A"/>
    <w:rsid w:val="005F1C8A"/>
    <w:rsid w:val="005F2952"/>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6720"/>
    <w:rsid w:val="00606A4B"/>
    <w:rsid w:val="00607919"/>
    <w:rsid w:val="00607EF6"/>
    <w:rsid w:val="0061232A"/>
    <w:rsid w:val="00612F5F"/>
    <w:rsid w:val="00613843"/>
    <w:rsid w:val="00613D7C"/>
    <w:rsid w:val="00614043"/>
    <w:rsid w:val="006142EC"/>
    <w:rsid w:val="0061476B"/>
    <w:rsid w:val="006156EB"/>
    <w:rsid w:val="00616663"/>
    <w:rsid w:val="0061680B"/>
    <w:rsid w:val="006168E4"/>
    <w:rsid w:val="00617CE1"/>
    <w:rsid w:val="00621859"/>
    <w:rsid w:val="00621FB3"/>
    <w:rsid w:val="00622624"/>
    <w:rsid w:val="00622F5F"/>
    <w:rsid w:val="0062576A"/>
    <w:rsid w:val="00627489"/>
    <w:rsid w:val="006275E1"/>
    <w:rsid w:val="006309AF"/>
    <w:rsid w:val="00631679"/>
    <w:rsid w:val="006318AA"/>
    <w:rsid w:val="00633D90"/>
    <w:rsid w:val="00635293"/>
    <w:rsid w:val="006427D9"/>
    <w:rsid w:val="006427E4"/>
    <w:rsid w:val="00642E99"/>
    <w:rsid w:val="0064336D"/>
    <w:rsid w:val="0064407A"/>
    <w:rsid w:val="00645599"/>
    <w:rsid w:val="006465CF"/>
    <w:rsid w:val="00647F6D"/>
    <w:rsid w:val="00647FA1"/>
    <w:rsid w:val="00650302"/>
    <w:rsid w:val="00650907"/>
    <w:rsid w:val="00651291"/>
    <w:rsid w:val="00653403"/>
    <w:rsid w:val="0065422A"/>
    <w:rsid w:val="006545A1"/>
    <w:rsid w:val="0065593D"/>
    <w:rsid w:val="0065605D"/>
    <w:rsid w:val="0065741F"/>
    <w:rsid w:val="00661118"/>
    <w:rsid w:val="00661278"/>
    <w:rsid w:val="00662484"/>
    <w:rsid w:val="0066370C"/>
    <w:rsid w:val="00664102"/>
    <w:rsid w:val="00665859"/>
    <w:rsid w:val="00665D1F"/>
    <w:rsid w:val="00666D79"/>
    <w:rsid w:val="0067099B"/>
    <w:rsid w:val="00671362"/>
    <w:rsid w:val="00672948"/>
    <w:rsid w:val="00675410"/>
    <w:rsid w:val="006775F4"/>
    <w:rsid w:val="00677D84"/>
    <w:rsid w:val="00680539"/>
    <w:rsid w:val="00681971"/>
    <w:rsid w:val="00682008"/>
    <w:rsid w:val="0068380F"/>
    <w:rsid w:val="006838DF"/>
    <w:rsid w:val="00683A2F"/>
    <w:rsid w:val="006862A3"/>
    <w:rsid w:val="00687BFC"/>
    <w:rsid w:val="00687E3F"/>
    <w:rsid w:val="00690F1A"/>
    <w:rsid w:val="00693CDA"/>
    <w:rsid w:val="0069447E"/>
    <w:rsid w:val="00694B1E"/>
    <w:rsid w:val="00694D02"/>
    <w:rsid w:val="00694E91"/>
    <w:rsid w:val="0069658B"/>
    <w:rsid w:val="0069761A"/>
    <w:rsid w:val="006A0610"/>
    <w:rsid w:val="006A0624"/>
    <w:rsid w:val="006A0A8F"/>
    <w:rsid w:val="006A12E9"/>
    <w:rsid w:val="006A147D"/>
    <w:rsid w:val="006A1487"/>
    <w:rsid w:val="006A56DB"/>
    <w:rsid w:val="006A5856"/>
    <w:rsid w:val="006A722A"/>
    <w:rsid w:val="006A7A73"/>
    <w:rsid w:val="006A7C97"/>
    <w:rsid w:val="006A7F20"/>
    <w:rsid w:val="006B01E0"/>
    <w:rsid w:val="006B08E5"/>
    <w:rsid w:val="006B16D6"/>
    <w:rsid w:val="006B16DB"/>
    <w:rsid w:val="006B1C62"/>
    <w:rsid w:val="006B2B53"/>
    <w:rsid w:val="006B3581"/>
    <w:rsid w:val="006B35E0"/>
    <w:rsid w:val="006B367C"/>
    <w:rsid w:val="006B62BF"/>
    <w:rsid w:val="006B646E"/>
    <w:rsid w:val="006B6B2D"/>
    <w:rsid w:val="006C04D0"/>
    <w:rsid w:val="006C2435"/>
    <w:rsid w:val="006C705B"/>
    <w:rsid w:val="006D0670"/>
    <w:rsid w:val="006D161F"/>
    <w:rsid w:val="006D2487"/>
    <w:rsid w:val="006D2C2F"/>
    <w:rsid w:val="006D4F4C"/>
    <w:rsid w:val="006D5363"/>
    <w:rsid w:val="006D6B37"/>
    <w:rsid w:val="006D6B38"/>
    <w:rsid w:val="006E00C9"/>
    <w:rsid w:val="006E1BB2"/>
    <w:rsid w:val="006E2132"/>
    <w:rsid w:val="006E3805"/>
    <w:rsid w:val="006F0A4E"/>
    <w:rsid w:val="006F0BB6"/>
    <w:rsid w:val="006F10BF"/>
    <w:rsid w:val="006F194B"/>
    <w:rsid w:val="006F23DC"/>
    <w:rsid w:val="006F4796"/>
    <w:rsid w:val="006F4E2D"/>
    <w:rsid w:val="007001FE"/>
    <w:rsid w:val="00700D13"/>
    <w:rsid w:val="007011D0"/>
    <w:rsid w:val="007012D2"/>
    <w:rsid w:val="007016DF"/>
    <w:rsid w:val="00703182"/>
    <w:rsid w:val="00703604"/>
    <w:rsid w:val="007036F0"/>
    <w:rsid w:val="00704307"/>
    <w:rsid w:val="00705686"/>
    <w:rsid w:val="007103B7"/>
    <w:rsid w:val="007116D8"/>
    <w:rsid w:val="00711FC2"/>
    <w:rsid w:val="0071213B"/>
    <w:rsid w:val="0071315F"/>
    <w:rsid w:val="00713C80"/>
    <w:rsid w:val="007150CE"/>
    <w:rsid w:val="007151F0"/>
    <w:rsid w:val="00716AFE"/>
    <w:rsid w:val="00716C41"/>
    <w:rsid w:val="00717144"/>
    <w:rsid w:val="00717BE2"/>
    <w:rsid w:val="00720507"/>
    <w:rsid w:val="007208FA"/>
    <w:rsid w:val="007223CA"/>
    <w:rsid w:val="00722974"/>
    <w:rsid w:val="0072418F"/>
    <w:rsid w:val="00725315"/>
    <w:rsid w:val="00725DFA"/>
    <w:rsid w:val="00726468"/>
    <w:rsid w:val="00727C37"/>
    <w:rsid w:val="00732967"/>
    <w:rsid w:val="00733E01"/>
    <w:rsid w:val="00734D24"/>
    <w:rsid w:val="007352C7"/>
    <w:rsid w:val="00735AA1"/>
    <w:rsid w:val="00735B4A"/>
    <w:rsid w:val="00736E58"/>
    <w:rsid w:val="007379F9"/>
    <w:rsid w:val="00740E6A"/>
    <w:rsid w:val="00741730"/>
    <w:rsid w:val="00741EC2"/>
    <w:rsid w:val="0074228B"/>
    <w:rsid w:val="00742F2D"/>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51BE"/>
    <w:rsid w:val="00756D13"/>
    <w:rsid w:val="007578DD"/>
    <w:rsid w:val="00760673"/>
    <w:rsid w:val="00760913"/>
    <w:rsid w:val="00763DD0"/>
    <w:rsid w:val="007662C5"/>
    <w:rsid w:val="0076700B"/>
    <w:rsid w:val="007672BA"/>
    <w:rsid w:val="0076798F"/>
    <w:rsid w:val="00770496"/>
    <w:rsid w:val="007715C6"/>
    <w:rsid w:val="00773659"/>
    <w:rsid w:val="0077390F"/>
    <w:rsid w:val="00774334"/>
    <w:rsid w:val="007745C7"/>
    <w:rsid w:val="00776A72"/>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5945"/>
    <w:rsid w:val="00796127"/>
    <w:rsid w:val="007A0AF1"/>
    <w:rsid w:val="007A1E01"/>
    <w:rsid w:val="007A296C"/>
    <w:rsid w:val="007A4540"/>
    <w:rsid w:val="007A4F17"/>
    <w:rsid w:val="007A5CF2"/>
    <w:rsid w:val="007A684F"/>
    <w:rsid w:val="007A73A7"/>
    <w:rsid w:val="007B048C"/>
    <w:rsid w:val="007B0660"/>
    <w:rsid w:val="007B2887"/>
    <w:rsid w:val="007B3742"/>
    <w:rsid w:val="007B51C5"/>
    <w:rsid w:val="007B67C1"/>
    <w:rsid w:val="007C0D24"/>
    <w:rsid w:val="007C2039"/>
    <w:rsid w:val="007C2D2B"/>
    <w:rsid w:val="007C2DF6"/>
    <w:rsid w:val="007C2DF7"/>
    <w:rsid w:val="007C3F93"/>
    <w:rsid w:val="007C49B4"/>
    <w:rsid w:val="007C5961"/>
    <w:rsid w:val="007C62B3"/>
    <w:rsid w:val="007C6D65"/>
    <w:rsid w:val="007D0319"/>
    <w:rsid w:val="007D1A6B"/>
    <w:rsid w:val="007D1B3F"/>
    <w:rsid w:val="007D2A70"/>
    <w:rsid w:val="007D41F0"/>
    <w:rsid w:val="007D4E4B"/>
    <w:rsid w:val="007D4F1D"/>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800038"/>
    <w:rsid w:val="00800726"/>
    <w:rsid w:val="008014EA"/>
    <w:rsid w:val="008022BA"/>
    <w:rsid w:val="0080401A"/>
    <w:rsid w:val="008044BA"/>
    <w:rsid w:val="00804E37"/>
    <w:rsid w:val="00806B95"/>
    <w:rsid w:val="008074A9"/>
    <w:rsid w:val="00810B26"/>
    <w:rsid w:val="00811205"/>
    <w:rsid w:val="00812FA0"/>
    <w:rsid w:val="0081434E"/>
    <w:rsid w:val="00814821"/>
    <w:rsid w:val="00815EE6"/>
    <w:rsid w:val="00816367"/>
    <w:rsid w:val="00816627"/>
    <w:rsid w:val="0081668C"/>
    <w:rsid w:val="00816857"/>
    <w:rsid w:val="0081755E"/>
    <w:rsid w:val="008203CC"/>
    <w:rsid w:val="00822C06"/>
    <w:rsid w:val="008236DB"/>
    <w:rsid w:val="00823B5D"/>
    <w:rsid w:val="008241E1"/>
    <w:rsid w:val="00824AAC"/>
    <w:rsid w:val="00825BDA"/>
    <w:rsid w:val="008273D6"/>
    <w:rsid w:val="00827969"/>
    <w:rsid w:val="00834638"/>
    <w:rsid w:val="00837FCD"/>
    <w:rsid w:val="0084359C"/>
    <w:rsid w:val="0084433C"/>
    <w:rsid w:val="0084451C"/>
    <w:rsid w:val="0084543A"/>
    <w:rsid w:val="00845654"/>
    <w:rsid w:val="00845CF6"/>
    <w:rsid w:val="00846ECE"/>
    <w:rsid w:val="00847A11"/>
    <w:rsid w:val="00847B24"/>
    <w:rsid w:val="00851B44"/>
    <w:rsid w:val="00852F1F"/>
    <w:rsid w:val="00853FAA"/>
    <w:rsid w:val="00856B50"/>
    <w:rsid w:val="00857A16"/>
    <w:rsid w:val="00857C61"/>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6AD0"/>
    <w:rsid w:val="00880C2E"/>
    <w:rsid w:val="00881406"/>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2596"/>
    <w:rsid w:val="00895E26"/>
    <w:rsid w:val="008968E4"/>
    <w:rsid w:val="008A0479"/>
    <w:rsid w:val="008A10B5"/>
    <w:rsid w:val="008A14DE"/>
    <w:rsid w:val="008A402F"/>
    <w:rsid w:val="008A5DA2"/>
    <w:rsid w:val="008A66E0"/>
    <w:rsid w:val="008A6D62"/>
    <w:rsid w:val="008B0D08"/>
    <w:rsid w:val="008B0F2F"/>
    <w:rsid w:val="008B1C50"/>
    <w:rsid w:val="008B2CE7"/>
    <w:rsid w:val="008B3BCB"/>
    <w:rsid w:val="008B3DE9"/>
    <w:rsid w:val="008B3E2E"/>
    <w:rsid w:val="008B4640"/>
    <w:rsid w:val="008B5538"/>
    <w:rsid w:val="008C00E9"/>
    <w:rsid w:val="008C1E09"/>
    <w:rsid w:val="008C217A"/>
    <w:rsid w:val="008C461F"/>
    <w:rsid w:val="008C6AC6"/>
    <w:rsid w:val="008D10F1"/>
    <w:rsid w:val="008D1618"/>
    <w:rsid w:val="008D17B4"/>
    <w:rsid w:val="008D2B89"/>
    <w:rsid w:val="008D3AF2"/>
    <w:rsid w:val="008D3DF9"/>
    <w:rsid w:val="008E0445"/>
    <w:rsid w:val="008E0715"/>
    <w:rsid w:val="008E1CDE"/>
    <w:rsid w:val="008E20D0"/>
    <w:rsid w:val="008E5D42"/>
    <w:rsid w:val="008E62EB"/>
    <w:rsid w:val="008E7299"/>
    <w:rsid w:val="008E7BAA"/>
    <w:rsid w:val="008F09B2"/>
    <w:rsid w:val="008F2201"/>
    <w:rsid w:val="008F2429"/>
    <w:rsid w:val="008F2907"/>
    <w:rsid w:val="008F344F"/>
    <w:rsid w:val="008F3992"/>
    <w:rsid w:val="008F3CF3"/>
    <w:rsid w:val="008F41B8"/>
    <w:rsid w:val="008F41E3"/>
    <w:rsid w:val="008F4B9D"/>
    <w:rsid w:val="008F4DAA"/>
    <w:rsid w:val="008F50AE"/>
    <w:rsid w:val="008F5368"/>
    <w:rsid w:val="008F664A"/>
    <w:rsid w:val="008F6970"/>
    <w:rsid w:val="008F6B66"/>
    <w:rsid w:val="008F7EEB"/>
    <w:rsid w:val="00900704"/>
    <w:rsid w:val="009018B5"/>
    <w:rsid w:val="009019AD"/>
    <w:rsid w:val="00902FB2"/>
    <w:rsid w:val="00903841"/>
    <w:rsid w:val="00904C8A"/>
    <w:rsid w:val="009050C5"/>
    <w:rsid w:val="00912C1C"/>
    <w:rsid w:val="00915AEC"/>
    <w:rsid w:val="00920CE2"/>
    <w:rsid w:val="00920CE5"/>
    <w:rsid w:val="00920D34"/>
    <w:rsid w:val="00920F7C"/>
    <w:rsid w:val="00921239"/>
    <w:rsid w:val="009213BA"/>
    <w:rsid w:val="00922D56"/>
    <w:rsid w:val="0092352A"/>
    <w:rsid w:val="0092363C"/>
    <w:rsid w:val="00925746"/>
    <w:rsid w:val="00926A41"/>
    <w:rsid w:val="00926CF2"/>
    <w:rsid w:val="00926DAB"/>
    <w:rsid w:val="009279BD"/>
    <w:rsid w:val="00927DA8"/>
    <w:rsid w:val="009310FD"/>
    <w:rsid w:val="0093184A"/>
    <w:rsid w:val="009345DE"/>
    <w:rsid w:val="0093558C"/>
    <w:rsid w:val="00936C98"/>
    <w:rsid w:val="00936EB3"/>
    <w:rsid w:val="00941A69"/>
    <w:rsid w:val="00941AE2"/>
    <w:rsid w:val="00942FE5"/>
    <w:rsid w:val="00943061"/>
    <w:rsid w:val="00943145"/>
    <w:rsid w:val="00945A4F"/>
    <w:rsid w:val="009465EF"/>
    <w:rsid w:val="0094710F"/>
    <w:rsid w:val="00951716"/>
    <w:rsid w:val="009517F7"/>
    <w:rsid w:val="00951D91"/>
    <w:rsid w:val="0095202E"/>
    <w:rsid w:val="00952FDE"/>
    <w:rsid w:val="0095302A"/>
    <w:rsid w:val="00953E7C"/>
    <w:rsid w:val="0095469D"/>
    <w:rsid w:val="0096042A"/>
    <w:rsid w:val="00960FF3"/>
    <w:rsid w:val="0096170A"/>
    <w:rsid w:val="009630DA"/>
    <w:rsid w:val="009637CC"/>
    <w:rsid w:val="0096404E"/>
    <w:rsid w:val="00965891"/>
    <w:rsid w:val="009701FA"/>
    <w:rsid w:val="00970E30"/>
    <w:rsid w:val="00971B9C"/>
    <w:rsid w:val="00972C13"/>
    <w:rsid w:val="00973069"/>
    <w:rsid w:val="00975253"/>
    <w:rsid w:val="0097561E"/>
    <w:rsid w:val="00980104"/>
    <w:rsid w:val="009828FB"/>
    <w:rsid w:val="00982929"/>
    <w:rsid w:val="00982D5D"/>
    <w:rsid w:val="00983012"/>
    <w:rsid w:val="00983E46"/>
    <w:rsid w:val="0098417B"/>
    <w:rsid w:val="00986E81"/>
    <w:rsid w:val="009870F2"/>
    <w:rsid w:val="0099097A"/>
    <w:rsid w:val="00991FEC"/>
    <w:rsid w:val="00995DD4"/>
    <w:rsid w:val="00996D93"/>
    <w:rsid w:val="009A04A7"/>
    <w:rsid w:val="009A1571"/>
    <w:rsid w:val="009A1D6E"/>
    <w:rsid w:val="009A478F"/>
    <w:rsid w:val="009A5860"/>
    <w:rsid w:val="009A5CA9"/>
    <w:rsid w:val="009A6EC8"/>
    <w:rsid w:val="009B00BE"/>
    <w:rsid w:val="009B0670"/>
    <w:rsid w:val="009B37E4"/>
    <w:rsid w:val="009B382E"/>
    <w:rsid w:val="009B4069"/>
    <w:rsid w:val="009B42CA"/>
    <w:rsid w:val="009B504C"/>
    <w:rsid w:val="009B6262"/>
    <w:rsid w:val="009B6EA9"/>
    <w:rsid w:val="009C044F"/>
    <w:rsid w:val="009C1589"/>
    <w:rsid w:val="009C1F4B"/>
    <w:rsid w:val="009C2705"/>
    <w:rsid w:val="009C3044"/>
    <w:rsid w:val="009C46CC"/>
    <w:rsid w:val="009C4D36"/>
    <w:rsid w:val="009C604A"/>
    <w:rsid w:val="009C6EE6"/>
    <w:rsid w:val="009C75CA"/>
    <w:rsid w:val="009D0E2C"/>
    <w:rsid w:val="009D0F61"/>
    <w:rsid w:val="009D3419"/>
    <w:rsid w:val="009D3609"/>
    <w:rsid w:val="009D3BE2"/>
    <w:rsid w:val="009D54C3"/>
    <w:rsid w:val="009D5589"/>
    <w:rsid w:val="009D57AA"/>
    <w:rsid w:val="009D581B"/>
    <w:rsid w:val="009D7FEA"/>
    <w:rsid w:val="009E0A31"/>
    <w:rsid w:val="009E0E8B"/>
    <w:rsid w:val="009E0F2E"/>
    <w:rsid w:val="009E3B90"/>
    <w:rsid w:val="009E4386"/>
    <w:rsid w:val="009E59A2"/>
    <w:rsid w:val="009E66E2"/>
    <w:rsid w:val="009E684E"/>
    <w:rsid w:val="009E6A38"/>
    <w:rsid w:val="009E6BC4"/>
    <w:rsid w:val="009E6E9E"/>
    <w:rsid w:val="009F0273"/>
    <w:rsid w:val="009F0455"/>
    <w:rsid w:val="009F0B81"/>
    <w:rsid w:val="009F17F4"/>
    <w:rsid w:val="009F2346"/>
    <w:rsid w:val="009F3C4C"/>
    <w:rsid w:val="009F3F04"/>
    <w:rsid w:val="009F4352"/>
    <w:rsid w:val="009F5817"/>
    <w:rsid w:val="009F5C47"/>
    <w:rsid w:val="00A01004"/>
    <w:rsid w:val="00A010BA"/>
    <w:rsid w:val="00A04566"/>
    <w:rsid w:val="00A076D3"/>
    <w:rsid w:val="00A07E2D"/>
    <w:rsid w:val="00A1062A"/>
    <w:rsid w:val="00A1156F"/>
    <w:rsid w:val="00A13B5A"/>
    <w:rsid w:val="00A155D8"/>
    <w:rsid w:val="00A179A7"/>
    <w:rsid w:val="00A21EE1"/>
    <w:rsid w:val="00A22607"/>
    <w:rsid w:val="00A24BE0"/>
    <w:rsid w:val="00A3099D"/>
    <w:rsid w:val="00A317BA"/>
    <w:rsid w:val="00A32949"/>
    <w:rsid w:val="00A32F41"/>
    <w:rsid w:val="00A371B8"/>
    <w:rsid w:val="00A37556"/>
    <w:rsid w:val="00A376E5"/>
    <w:rsid w:val="00A40148"/>
    <w:rsid w:val="00A411A7"/>
    <w:rsid w:val="00A42D96"/>
    <w:rsid w:val="00A46D75"/>
    <w:rsid w:val="00A51E3C"/>
    <w:rsid w:val="00A51F1F"/>
    <w:rsid w:val="00A521C3"/>
    <w:rsid w:val="00A53229"/>
    <w:rsid w:val="00A5422E"/>
    <w:rsid w:val="00A55CD0"/>
    <w:rsid w:val="00A568F0"/>
    <w:rsid w:val="00A60142"/>
    <w:rsid w:val="00A60DDA"/>
    <w:rsid w:val="00A60ECE"/>
    <w:rsid w:val="00A6151E"/>
    <w:rsid w:val="00A62310"/>
    <w:rsid w:val="00A6278E"/>
    <w:rsid w:val="00A64E71"/>
    <w:rsid w:val="00A64ED8"/>
    <w:rsid w:val="00A663B2"/>
    <w:rsid w:val="00A7013A"/>
    <w:rsid w:val="00A70792"/>
    <w:rsid w:val="00A71F36"/>
    <w:rsid w:val="00A729D0"/>
    <w:rsid w:val="00A7431A"/>
    <w:rsid w:val="00A74903"/>
    <w:rsid w:val="00A750DF"/>
    <w:rsid w:val="00A75266"/>
    <w:rsid w:val="00A76CA9"/>
    <w:rsid w:val="00A76DE6"/>
    <w:rsid w:val="00A81ED2"/>
    <w:rsid w:val="00A82AAF"/>
    <w:rsid w:val="00A83FE8"/>
    <w:rsid w:val="00A84A9C"/>
    <w:rsid w:val="00A86FE4"/>
    <w:rsid w:val="00A91F66"/>
    <w:rsid w:val="00A942A6"/>
    <w:rsid w:val="00AA044C"/>
    <w:rsid w:val="00AA10F5"/>
    <w:rsid w:val="00AA4A99"/>
    <w:rsid w:val="00AA58F8"/>
    <w:rsid w:val="00AA71ED"/>
    <w:rsid w:val="00AB13D0"/>
    <w:rsid w:val="00AB25F1"/>
    <w:rsid w:val="00AB3052"/>
    <w:rsid w:val="00AB3E4F"/>
    <w:rsid w:val="00AB5392"/>
    <w:rsid w:val="00AB61B8"/>
    <w:rsid w:val="00AB6D58"/>
    <w:rsid w:val="00AC1247"/>
    <w:rsid w:val="00AC3780"/>
    <w:rsid w:val="00AC5EAF"/>
    <w:rsid w:val="00AC63E7"/>
    <w:rsid w:val="00AC66B5"/>
    <w:rsid w:val="00AC7767"/>
    <w:rsid w:val="00AC7ADE"/>
    <w:rsid w:val="00AD084D"/>
    <w:rsid w:val="00AD1F4E"/>
    <w:rsid w:val="00AD3D9F"/>
    <w:rsid w:val="00AD4F71"/>
    <w:rsid w:val="00AD5758"/>
    <w:rsid w:val="00AD6174"/>
    <w:rsid w:val="00AD6181"/>
    <w:rsid w:val="00AD61C6"/>
    <w:rsid w:val="00AD7130"/>
    <w:rsid w:val="00AD74F9"/>
    <w:rsid w:val="00AD7690"/>
    <w:rsid w:val="00AD7C72"/>
    <w:rsid w:val="00AE0677"/>
    <w:rsid w:val="00AE37A5"/>
    <w:rsid w:val="00AE40A4"/>
    <w:rsid w:val="00AE6E02"/>
    <w:rsid w:val="00AE7167"/>
    <w:rsid w:val="00AE7920"/>
    <w:rsid w:val="00AF0890"/>
    <w:rsid w:val="00AF1542"/>
    <w:rsid w:val="00AF198C"/>
    <w:rsid w:val="00AF39C6"/>
    <w:rsid w:val="00AF4DBA"/>
    <w:rsid w:val="00B01B6C"/>
    <w:rsid w:val="00B01F45"/>
    <w:rsid w:val="00B02FC2"/>
    <w:rsid w:val="00B039BA"/>
    <w:rsid w:val="00B04B93"/>
    <w:rsid w:val="00B06665"/>
    <w:rsid w:val="00B06DEE"/>
    <w:rsid w:val="00B10655"/>
    <w:rsid w:val="00B10855"/>
    <w:rsid w:val="00B11522"/>
    <w:rsid w:val="00B1197D"/>
    <w:rsid w:val="00B11B70"/>
    <w:rsid w:val="00B12465"/>
    <w:rsid w:val="00B129C1"/>
    <w:rsid w:val="00B1515A"/>
    <w:rsid w:val="00B162EA"/>
    <w:rsid w:val="00B210FA"/>
    <w:rsid w:val="00B2451B"/>
    <w:rsid w:val="00B25AE2"/>
    <w:rsid w:val="00B26712"/>
    <w:rsid w:val="00B26762"/>
    <w:rsid w:val="00B27CC9"/>
    <w:rsid w:val="00B27E53"/>
    <w:rsid w:val="00B30925"/>
    <w:rsid w:val="00B30AB2"/>
    <w:rsid w:val="00B31A01"/>
    <w:rsid w:val="00B31D32"/>
    <w:rsid w:val="00B3447A"/>
    <w:rsid w:val="00B3602C"/>
    <w:rsid w:val="00B37BB1"/>
    <w:rsid w:val="00B40A6B"/>
    <w:rsid w:val="00B413B6"/>
    <w:rsid w:val="00B415F8"/>
    <w:rsid w:val="00B440FF"/>
    <w:rsid w:val="00B446F2"/>
    <w:rsid w:val="00B44C95"/>
    <w:rsid w:val="00B46A37"/>
    <w:rsid w:val="00B4749D"/>
    <w:rsid w:val="00B5012C"/>
    <w:rsid w:val="00B50C94"/>
    <w:rsid w:val="00B53897"/>
    <w:rsid w:val="00B542F3"/>
    <w:rsid w:val="00B562DA"/>
    <w:rsid w:val="00B57251"/>
    <w:rsid w:val="00B601D1"/>
    <w:rsid w:val="00B6097D"/>
    <w:rsid w:val="00B6370D"/>
    <w:rsid w:val="00B64626"/>
    <w:rsid w:val="00B646BF"/>
    <w:rsid w:val="00B649D3"/>
    <w:rsid w:val="00B66E02"/>
    <w:rsid w:val="00B67D72"/>
    <w:rsid w:val="00B703EF"/>
    <w:rsid w:val="00B7148A"/>
    <w:rsid w:val="00B719AD"/>
    <w:rsid w:val="00B75360"/>
    <w:rsid w:val="00B759CD"/>
    <w:rsid w:val="00B75C41"/>
    <w:rsid w:val="00B7637E"/>
    <w:rsid w:val="00B773D7"/>
    <w:rsid w:val="00B80846"/>
    <w:rsid w:val="00B81BA6"/>
    <w:rsid w:val="00B835FF"/>
    <w:rsid w:val="00B83786"/>
    <w:rsid w:val="00B84334"/>
    <w:rsid w:val="00B84349"/>
    <w:rsid w:val="00B869CA"/>
    <w:rsid w:val="00B86EB6"/>
    <w:rsid w:val="00B8710B"/>
    <w:rsid w:val="00B87C77"/>
    <w:rsid w:val="00B9310B"/>
    <w:rsid w:val="00B9589A"/>
    <w:rsid w:val="00B958DC"/>
    <w:rsid w:val="00B96276"/>
    <w:rsid w:val="00B96DE9"/>
    <w:rsid w:val="00B96EF6"/>
    <w:rsid w:val="00B979D4"/>
    <w:rsid w:val="00BA0565"/>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5084"/>
    <w:rsid w:val="00BB6352"/>
    <w:rsid w:val="00BB6C7D"/>
    <w:rsid w:val="00BC0A0E"/>
    <w:rsid w:val="00BC3701"/>
    <w:rsid w:val="00BC38C0"/>
    <w:rsid w:val="00BC4ABF"/>
    <w:rsid w:val="00BC5023"/>
    <w:rsid w:val="00BC5E3E"/>
    <w:rsid w:val="00BC7BD1"/>
    <w:rsid w:val="00BD0655"/>
    <w:rsid w:val="00BD0D84"/>
    <w:rsid w:val="00BD1027"/>
    <w:rsid w:val="00BD175D"/>
    <w:rsid w:val="00BD213E"/>
    <w:rsid w:val="00BD403E"/>
    <w:rsid w:val="00BD42FB"/>
    <w:rsid w:val="00BD490E"/>
    <w:rsid w:val="00BD701C"/>
    <w:rsid w:val="00BD7E6D"/>
    <w:rsid w:val="00BE208B"/>
    <w:rsid w:val="00BE25A3"/>
    <w:rsid w:val="00BE5A3B"/>
    <w:rsid w:val="00BE65C4"/>
    <w:rsid w:val="00BF1CDA"/>
    <w:rsid w:val="00BF1ED3"/>
    <w:rsid w:val="00BF23A9"/>
    <w:rsid w:val="00BF3C78"/>
    <w:rsid w:val="00BF40B6"/>
    <w:rsid w:val="00BF436D"/>
    <w:rsid w:val="00BF4D47"/>
    <w:rsid w:val="00BF53B4"/>
    <w:rsid w:val="00BF568E"/>
    <w:rsid w:val="00BF7B01"/>
    <w:rsid w:val="00C00109"/>
    <w:rsid w:val="00C003C8"/>
    <w:rsid w:val="00C00719"/>
    <w:rsid w:val="00C012CD"/>
    <w:rsid w:val="00C01C19"/>
    <w:rsid w:val="00C01D55"/>
    <w:rsid w:val="00C01E0D"/>
    <w:rsid w:val="00C02F82"/>
    <w:rsid w:val="00C04BD6"/>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471"/>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BDB"/>
    <w:rsid w:val="00C550E7"/>
    <w:rsid w:val="00C55A21"/>
    <w:rsid w:val="00C55CB3"/>
    <w:rsid w:val="00C57DCD"/>
    <w:rsid w:val="00C619C3"/>
    <w:rsid w:val="00C61C9F"/>
    <w:rsid w:val="00C65377"/>
    <w:rsid w:val="00C6587A"/>
    <w:rsid w:val="00C66C9F"/>
    <w:rsid w:val="00C704E7"/>
    <w:rsid w:val="00C705AD"/>
    <w:rsid w:val="00C7179C"/>
    <w:rsid w:val="00C741E7"/>
    <w:rsid w:val="00C7423F"/>
    <w:rsid w:val="00C74823"/>
    <w:rsid w:val="00C74DB1"/>
    <w:rsid w:val="00C75622"/>
    <w:rsid w:val="00C75F48"/>
    <w:rsid w:val="00C77C51"/>
    <w:rsid w:val="00C82B6E"/>
    <w:rsid w:val="00C835DC"/>
    <w:rsid w:val="00C839F2"/>
    <w:rsid w:val="00C85189"/>
    <w:rsid w:val="00C85F3B"/>
    <w:rsid w:val="00C865E8"/>
    <w:rsid w:val="00C90344"/>
    <w:rsid w:val="00C90965"/>
    <w:rsid w:val="00C92E4C"/>
    <w:rsid w:val="00C93040"/>
    <w:rsid w:val="00C94FA3"/>
    <w:rsid w:val="00C95858"/>
    <w:rsid w:val="00C970F7"/>
    <w:rsid w:val="00CA0CB9"/>
    <w:rsid w:val="00CA121D"/>
    <w:rsid w:val="00CA17BA"/>
    <w:rsid w:val="00CA3C16"/>
    <w:rsid w:val="00CA4563"/>
    <w:rsid w:val="00CA4964"/>
    <w:rsid w:val="00CA4C66"/>
    <w:rsid w:val="00CA5AFE"/>
    <w:rsid w:val="00CA601B"/>
    <w:rsid w:val="00CA7D6B"/>
    <w:rsid w:val="00CB0B7D"/>
    <w:rsid w:val="00CB1360"/>
    <w:rsid w:val="00CB2B5A"/>
    <w:rsid w:val="00CB374C"/>
    <w:rsid w:val="00CB5853"/>
    <w:rsid w:val="00CB5C60"/>
    <w:rsid w:val="00CB6E6D"/>
    <w:rsid w:val="00CB74A5"/>
    <w:rsid w:val="00CC022F"/>
    <w:rsid w:val="00CC0B00"/>
    <w:rsid w:val="00CC1182"/>
    <w:rsid w:val="00CC1698"/>
    <w:rsid w:val="00CC47A0"/>
    <w:rsid w:val="00CC4E8E"/>
    <w:rsid w:val="00CC634F"/>
    <w:rsid w:val="00CC6565"/>
    <w:rsid w:val="00CC67FF"/>
    <w:rsid w:val="00CC6CF3"/>
    <w:rsid w:val="00CC7330"/>
    <w:rsid w:val="00CD0406"/>
    <w:rsid w:val="00CD060F"/>
    <w:rsid w:val="00CD07EA"/>
    <w:rsid w:val="00CD26E6"/>
    <w:rsid w:val="00CD2CC5"/>
    <w:rsid w:val="00CD4BDE"/>
    <w:rsid w:val="00CD569E"/>
    <w:rsid w:val="00CD6E6B"/>
    <w:rsid w:val="00CD6F12"/>
    <w:rsid w:val="00CD71D8"/>
    <w:rsid w:val="00CD761F"/>
    <w:rsid w:val="00CD769C"/>
    <w:rsid w:val="00CE0306"/>
    <w:rsid w:val="00CE1A6E"/>
    <w:rsid w:val="00CE26C9"/>
    <w:rsid w:val="00CE4D6D"/>
    <w:rsid w:val="00CE7315"/>
    <w:rsid w:val="00CE74F9"/>
    <w:rsid w:val="00CF0467"/>
    <w:rsid w:val="00CF2B30"/>
    <w:rsid w:val="00CF2F32"/>
    <w:rsid w:val="00CF317E"/>
    <w:rsid w:val="00CF5264"/>
    <w:rsid w:val="00CF79D6"/>
    <w:rsid w:val="00D002E7"/>
    <w:rsid w:val="00D0402A"/>
    <w:rsid w:val="00D04E87"/>
    <w:rsid w:val="00D06106"/>
    <w:rsid w:val="00D07576"/>
    <w:rsid w:val="00D07F03"/>
    <w:rsid w:val="00D10FE5"/>
    <w:rsid w:val="00D11D30"/>
    <w:rsid w:val="00D11E56"/>
    <w:rsid w:val="00D13A68"/>
    <w:rsid w:val="00D1405E"/>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2034"/>
    <w:rsid w:val="00D421C9"/>
    <w:rsid w:val="00D428D7"/>
    <w:rsid w:val="00D42BA9"/>
    <w:rsid w:val="00D42FF6"/>
    <w:rsid w:val="00D43538"/>
    <w:rsid w:val="00D462B4"/>
    <w:rsid w:val="00D4706C"/>
    <w:rsid w:val="00D47E29"/>
    <w:rsid w:val="00D51DB5"/>
    <w:rsid w:val="00D53401"/>
    <w:rsid w:val="00D53729"/>
    <w:rsid w:val="00D53E1F"/>
    <w:rsid w:val="00D53F95"/>
    <w:rsid w:val="00D546B6"/>
    <w:rsid w:val="00D55163"/>
    <w:rsid w:val="00D56F24"/>
    <w:rsid w:val="00D57FC2"/>
    <w:rsid w:val="00D60744"/>
    <w:rsid w:val="00D6126E"/>
    <w:rsid w:val="00D613BB"/>
    <w:rsid w:val="00D618ED"/>
    <w:rsid w:val="00D6297B"/>
    <w:rsid w:val="00D62A78"/>
    <w:rsid w:val="00D64FCE"/>
    <w:rsid w:val="00D67EA7"/>
    <w:rsid w:val="00D700A7"/>
    <w:rsid w:val="00D71653"/>
    <w:rsid w:val="00D71846"/>
    <w:rsid w:val="00D719E9"/>
    <w:rsid w:val="00D71B68"/>
    <w:rsid w:val="00D73985"/>
    <w:rsid w:val="00D76220"/>
    <w:rsid w:val="00D76AD9"/>
    <w:rsid w:val="00D77815"/>
    <w:rsid w:val="00D77B00"/>
    <w:rsid w:val="00D82BCB"/>
    <w:rsid w:val="00D83785"/>
    <w:rsid w:val="00D83B70"/>
    <w:rsid w:val="00D83E09"/>
    <w:rsid w:val="00D83EB2"/>
    <w:rsid w:val="00D84452"/>
    <w:rsid w:val="00D85641"/>
    <w:rsid w:val="00D85648"/>
    <w:rsid w:val="00D85A62"/>
    <w:rsid w:val="00D85AD5"/>
    <w:rsid w:val="00D86CC0"/>
    <w:rsid w:val="00D87067"/>
    <w:rsid w:val="00D90F4C"/>
    <w:rsid w:val="00D9391C"/>
    <w:rsid w:val="00D95605"/>
    <w:rsid w:val="00D962F8"/>
    <w:rsid w:val="00DA0A2B"/>
    <w:rsid w:val="00DA0BC2"/>
    <w:rsid w:val="00DA0EA1"/>
    <w:rsid w:val="00DA24AB"/>
    <w:rsid w:val="00DA505E"/>
    <w:rsid w:val="00DA5D14"/>
    <w:rsid w:val="00DA784A"/>
    <w:rsid w:val="00DB0944"/>
    <w:rsid w:val="00DB0BDF"/>
    <w:rsid w:val="00DB3901"/>
    <w:rsid w:val="00DB45AC"/>
    <w:rsid w:val="00DB5867"/>
    <w:rsid w:val="00DB63E1"/>
    <w:rsid w:val="00DB6423"/>
    <w:rsid w:val="00DB6E53"/>
    <w:rsid w:val="00DB6E9E"/>
    <w:rsid w:val="00DB7014"/>
    <w:rsid w:val="00DB7DD4"/>
    <w:rsid w:val="00DC25BC"/>
    <w:rsid w:val="00DC2A26"/>
    <w:rsid w:val="00DC4EB3"/>
    <w:rsid w:val="00DC4F11"/>
    <w:rsid w:val="00DC5AC4"/>
    <w:rsid w:val="00DC686F"/>
    <w:rsid w:val="00DC743C"/>
    <w:rsid w:val="00DC7E9D"/>
    <w:rsid w:val="00DD06BE"/>
    <w:rsid w:val="00DD122A"/>
    <w:rsid w:val="00DD2011"/>
    <w:rsid w:val="00DD26D6"/>
    <w:rsid w:val="00DD33F1"/>
    <w:rsid w:val="00DD3990"/>
    <w:rsid w:val="00DD40AA"/>
    <w:rsid w:val="00DD58C4"/>
    <w:rsid w:val="00DD713B"/>
    <w:rsid w:val="00DD7390"/>
    <w:rsid w:val="00DD75FF"/>
    <w:rsid w:val="00DE079A"/>
    <w:rsid w:val="00DE256C"/>
    <w:rsid w:val="00DE265C"/>
    <w:rsid w:val="00DE2ADC"/>
    <w:rsid w:val="00DE2DD5"/>
    <w:rsid w:val="00DE5DD7"/>
    <w:rsid w:val="00DF0B36"/>
    <w:rsid w:val="00DF1A58"/>
    <w:rsid w:val="00DF39BC"/>
    <w:rsid w:val="00DF5366"/>
    <w:rsid w:val="00DF573E"/>
    <w:rsid w:val="00DF66A0"/>
    <w:rsid w:val="00DF6E84"/>
    <w:rsid w:val="00DF757A"/>
    <w:rsid w:val="00E0173E"/>
    <w:rsid w:val="00E022D8"/>
    <w:rsid w:val="00E03130"/>
    <w:rsid w:val="00E03948"/>
    <w:rsid w:val="00E05956"/>
    <w:rsid w:val="00E074A4"/>
    <w:rsid w:val="00E075DA"/>
    <w:rsid w:val="00E10A03"/>
    <w:rsid w:val="00E10B21"/>
    <w:rsid w:val="00E10DDB"/>
    <w:rsid w:val="00E1132D"/>
    <w:rsid w:val="00E12B97"/>
    <w:rsid w:val="00E12E74"/>
    <w:rsid w:val="00E157BE"/>
    <w:rsid w:val="00E16413"/>
    <w:rsid w:val="00E1707E"/>
    <w:rsid w:val="00E1734E"/>
    <w:rsid w:val="00E21250"/>
    <w:rsid w:val="00E22C68"/>
    <w:rsid w:val="00E260D7"/>
    <w:rsid w:val="00E26E66"/>
    <w:rsid w:val="00E31E37"/>
    <w:rsid w:val="00E34805"/>
    <w:rsid w:val="00E35E8D"/>
    <w:rsid w:val="00E370A0"/>
    <w:rsid w:val="00E37113"/>
    <w:rsid w:val="00E41ABF"/>
    <w:rsid w:val="00E42256"/>
    <w:rsid w:val="00E42616"/>
    <w:rsid w:val="00E45760"/>
    <w:rsid w:val="00E45D28"/>
    <w:rsid w:val="00E460A2"/>
    <w:rsid w:val="00E46B34"/>
    <w:rsid w:val="00E503E3"/>
    <w:rsid w:val="00E50F7E"/>
    <w:rsid w:val="00E5173C"/>
    <w:rsid w:val="00E521D7"/>
    <w:rsid w:val="00E528DE"/>
    <w:rsid w:val="00E52AB9"/>
    <w:rsid w:val="00E52CF9"/>
    <w:rsid w:val="00E5326C"/>
    <w:rsid w:val="00E545EE"/>
    <w:rsid w:val="00E5561E"/>
    <w:rsid w:val="00E56220"/>
    <w:rsid w:val="00E5637E"/>
    <w:rsid w:val="00E56C69"/>
    <w:rsid w:val="00E62926"/>
    <w:rsid w:val="00E6318B"/>
    <w:rsid w:val="00E632B0"/>
    <w:rsid w:val="00E64592"/>
    <w:rsid w:val="00E65B78"/>
    <w:rsid w:val="00E660E6"/>
    <w:rsid w:val="00E663F0"/>
    <w:rsid w:val="00E665BE"/>
    <w:rsid w:val="00E66779"/>
    <w:rsid w:val="00E67989"/>
    <w:rsid w:val="00E70A6C"/>
    <w:rsid w:val="00E70DE2"/>
    <w:rsid w:val="00E7157F"/>
    <w:rsid w:val="00E7226B"/>
    <w:rsid w:val="00E75193"/>
    <w:rsid w:val="00E75DFD"/>
    <w:rsid w:val="00E76D03"/>
    <w:rsid w:val="00E77344"/>
    <w:rsid w:val="00E8154D"/>
    <w:rsid w:val="00E81DE9"/>
    <w:rsid w:val="00E8238A"/>
    <w:rsid w:val="00E8385C"/>
    <w:rsid w:val="00E84F69"/>
    <w:rsid w:val="00E85777"/>
    <w:rsid w:val="00E86480"/>
    <w:rsid w:val="00E877D6"/>
    <w:rsid w:val="00E90E1B"/>
    <w:rsid w:val="00E927A4"/>
    <w:rsid w:val="00E92B83"/>
    <w:rsid w:val="00E939AB"/>
    <w:rsid w:val="00E94A48"/>
    <w:rsid w:val="00E94CE8"/>
    <w:rsid w:val="00E94E4C"/>
    <w:rsid w:val="00E9568D"/>
    <w:rsid w:val="00E9606F"/>
    <w:rsid w:val="00EA0348"/>
    <w:rsid w:val="00EA07E7"/>
    <w:rsid w:val="00EA1AA0"/>
    <w:rsid w:val="00EA1C9F"/>
    <w:rsid w:val="00EA3010"/>
    <w:rsid w:val="00EA450F"/>
    <w:rsid w:val="00EA4537"/>
    <w:rsid w:val="00EA62D1"/>
    <w:rsid w:val="00EA6DC0"/>
    <w:rsid w:val="00EB00A7"/>
    <w:rsid w:val="00EB049B"/>
    <w:rsid w:val="00EB2367"/>
    <w:rsid w:val="00EB4840"/>
    <w:rsid w:val="00EB702E"/>
    <w:rsid w:val="00EB75FE"/>
    <w:rsid w:val="00EC0504"/>
    <w:rsid w:val="00EC1985"/>
    <w:rsid w:val="00EC2D42"/>
    <w:rsid w:val="00EC2D81"/>
    <w:rsid w:val="00EC2EC7"/>
    <w:rsid w:val="00EC37BA"/>
    <w:rsid w:val="00EC3C5E"/>
    <w:rsid w:val="00EC5B9F"/>
    <w:rsid w:val="00EC6983"/>
    <w:rsid w:val="00EC71A9"/>
    <w:rsid w:val="00EC792E"/>
    <w:rsid w:val="00ED1412"/>
    <w:rsid w:val="00ED214B"/>
    <w:rsid w:val="00ED3DB3"/>
    <w:rsid w:val="00EE04D9"/>
    <w:rsid w:val="00EE3460"/>
    <w:rsid w:val="00EE43C4"/>
    <w:rsid w:val="00EE49F9"/>
    <w:rsid w:val="00EE4C2E"/>
    <w:rsid w:val="00EE616A"/>
    <w:rsid w:val="00EE6BB9"/>
    <w:rsid w:val="00EE7BB0"/>
    <w:rsid w:val="00EE7CD2"/>
    <w:rsid w:val="00EE7DB0"/>
    <w:rsid w:val="00EF0099"/>
    <w:rsid w:val="00EF0E72"/>
    <w:rsid w:val="00EF159E"/>
    <w:rsid w:val="00EF2BB0"/>
    <w:rsid w:val="00EF5322"/>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39C3"/>
    <w:rsid w:val="00F1426F"/>
    <w:rsid w:val="00F154B2"/>
    <w:rsid w:val="00F16A0C"/>
    <w:rsid w:val="00F23182"/>
    <w:rsid w:val="00F23595"/>
    <w:rsid w:val="00F23C79"/>
    <w:rsid w:val="00F23F71"/>
    <w:rsid w:val="00F2616E"/>
    <w:rsid w:val="00F26543"/>
    <w:rsid w:val="00F275F1"/>
    <w:rsid w:val="00F30DF8"/>
    <w:rsid w:val="00F32332"/>
    <w:rsid w:val="00F34197"/>
    <w:rsid w:val="00F35854"/>
    <w:rsid w:val="00F35EC5"/>
    <w:rsid w:val="00F363F8"/>
    <w:rsid w:val="00F36580"/>
    <w:rsid w:val="00F41311"/>
    <w:rsid w:val="00F43D88"/>
    <w:rsid w:val="00F44B46"/>
    <w:rsid w:val="00F4779B"/>
    <w:rsid w:val="00F511F0"/>
    <w:rsid w:val="00F51515"/>
    <w:rsid w:val="00F51702"/>
    <w:rsid w:val="00F51728"/>
    <w:rsid w:val="00F51A3E"/>
    <w:rsid w:val="00F5214B"/>
    <w:rsid w:val="00F522EA"/>
    <w:rsid w:val="00F526D6"/>
    <w:rsid w:val="00F52AAF"/>
    <w:rsid w:val="00F53F16"/>
    <w:rsid w:val="00F54F1E"/>
    <w:rsid w:val="00F554AC"/>
    <w:rsid w:val="00F56A12"/>
    <w:rsid w:val="00F56FE6"/>
    <w:rsid w:val="00F57556"/>
    <w:rsid w:val="00F61574"/>
    <w:rsid w:val="00F621BF"/>
    <w:rsid w:val="00F65495"/>
    <w:rsid w:val="00F663FB"/>
    <w:rsid w:val="00F665A6"/>
    <w:rsid w:val="00F66E0C"/>
    <w:rsid w:val="00F70E1C"/>
    <w:rsid w:val="00F71F9E"/>
    <w:rsid w:val="00F7312C"/>
    <w:rsid w:val="00F73757"/>
    <w:rsid w:val="00F73805"/>
    <w:rsid w:val="00F745F4"/>
    <w:rsid w:val="00F74A77"/>
    <w:rsid w:val="00F8213D"/>
    <w:rsid w:val="00F831F1"/>
    <w:rsid w:val="00F83532"/>
    <w:rsid w:val="00F851E4"/>
    <w:rsid w:val="00F85A1C"/>
    <w:rsid w:val="00F86DFC"/>
    <w:rsid w:val="00F87CCF"/>
    <w:rsid w:val="00F90B42"/>
    <w:rsid w:val="00F91193"/>
    <w:rsid w:val="00F93EE2"/>
    <w:rsid w:val="00F941BA"/>
    <w:rsid w:val="00F958E9"/>
    <w:rsid w:val="00F95906"/>
    <w:rsid w:val="00FA0A3E"/>
    <w:rsid w:val="00FA19CB"/>
    <w:rsid w:val="00FA2496"/>
    <w:rsid w:val="00FA2D6E"/>
    <w:rsid w:val="00FA5A4C"/>
    <w:rsid w:val="00FA6713"/>
    <w:rsid w:val="00FB0114"/>
    <w:rsid w:val="00FB0528"/>
    <w:rsid w:val="00FB25FF"/>
    <w:rsid w:val="00FB27C1"/>
    <w:rsid w:val="00FB31DA"/>
    <w:rsid w:val="00FB324C"/>
    <w:rsid w:val="00FB3564"/>
    <w:rsid w:val="00FB3B9F"/>
    <w:rsid w:val="00FB42C0"/>
    <w:rsid w:val="00FB4EC2"/>
    <w:rsid w:val="00FB7C17"/>
    <w:rsid w:val="00FC46D5"/>
    <w:rsid w:val="00FC63FD"/>
    <w:rsid w:val="00FC701E"/>
    <w:rsid w:val="00FD0482"/>
    <w:rsid w:val="00FD2CCD"/>
    <w:rsid w:val="00FD452A"/>
    <w:rsid w:val="00FD5EAC"/>
    <w:rsid w:val="00FD6ADD"/>
    <w:rsid w:val="00FD71D8"/>
    <w:rsid w:val="00FD7CF6"/>
    <w:rsid w:val="00FD7FE8"/>
    <w:rsid w:val="00FE0D20"/>
    <w:rsid w:val="00FE0D74"/>
    <w:rsid w:val="00FE17F9"/>
    <w:rsid w:val="00FE1F9A"/>
    <w:rsid w:val="00FE5DD5"/>
    <w:rsid w:val="00FE5FA2"/>
    <w:rsid w:val="00FF0CE1"/>
    <w:rsid w:val="00FF1E77"/>
    <w:rsid w:val="00FF2231"/>
    <w:rsid w:val="00FF2DAE"/>
    <w:rsid w:val="00FF30F0"/>
    <w:rsid w:val="00FF3152"/>
    <w:rsid w:val="00FF3950"/>
    <w:rsid w:val="00FF4A1E"/>
    <w:rsid w:val="00FF6856"/>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 w:type="paragraph" w:customStyle="1" w:styleId="xmsonormal">
    <w:name w:val="x_msonormal"/>
    <w:basedOn w:val="Normal"/>
    <w:rsid w:val="008B3DE9"/>
    <w:pPr>
      <w:spacing w:before="100" w:beforeAutospacing="1" w:after="100" w:afterAutospacing="1"/>
    </w:pPr>
  </w:style>
  <w:style w:type="paragraph" w:customStyle="1" w:styleId="tv213">
    <w:name w:val="tv213"/>
    <w:basedOn w:val="Normal"/>
    <w:rsid w:val="0095469D"/>
    <w:pPr>
      <w:spacing w:before="100" w:beforeAutospacing="1" w:after="100" w:afterAutospacing="1"/>
    </w:pPr>
  </w:style>
  <w:style w:type="character" w:customStyle="1" w:styleId="apple-converted-space">
    <w:name w:val="apple-converted-space"/>
    <w:basedOn w:val="DefaultParagraphFont"/>
    <w:rsid w:val="00954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26784473">
      <w:bodyDiv w:val="1"/>
      <w:marLeft w:val="0"/>
      <w:marRight w:val="0"/>
      <w:marTop w:val="0"/>
      <w:marBottom w:val="0"/>
      <w:divBdr>
        <w:top w:val="none" w:sz="0" w:space="0" w:color="auto"/>
        <w:left w:val="none" w:sz="0" w:space="0" w:color="auto"/>
        <w:bottom w:val="none" w:sz="0" w:space="0" w:color="auto"/>
        <w:right w:val="none" w:sz="0" w:space="0" w:color="auto"/>
      </w:divBdr>
      <w:divsChild>
        <w:div w:id="1037895077">
          <w:marLeft w:val="0"/>
          <w:marRight w:val="0"/>
          <w:marTop w:val="0"/>
          <w:marBottom w:val="0"/>
          <w:divBdr>
            <w:top w:val="none" w:sz="0" w:space="0" w:color="auto"/>
            <w:left w:val="none" w:sz="0" w:space="0" w:color="auto"/>
            <w:bottom w:val="none" w:sz="0" w:space="0" w:color="auto"/>
            <w:right w:val="none" w:sz="0" w:space="0" w:color="auto"/>
          </w:divBdr>
          <w:divsChild>
            <w:div w:id="299576164">
              <w:marLeft w:val="0"/>
              <w:marRight w:val="0"/>
              <w:marTop w:val="0"/>
              <w:marBottom w:val="0"/>
              <w:divBdr>
                <w:top w:val="none" w:sz="0" w:space="0" w:color="auto"/>
                <w:left w:val="none" w:sz="0" w:space="0" w:color="auto"/>
                <w:bottom w:val="none" w:sz="0" w:space="0" w:color="auto"/>
                <w:right w:val="none" w:sz="0" w:space="0" w:color="auto"/>
              </w:divBdr>
              <w:divsChild>
                <w:div w:id="35933426">
                  <w:marLeft w:val="0"/>
                  <w:marRight w:val="0"/>
                  <w:marTop w:val="0"/>
                  <w:marBottom w:val="0"/>
                  <w:divBdr>
                    <w:top w:val="none" w:sz="0" w:space="0" w:color="auto"/>
                    <w:left w:val="none" w:sz="0" w:space="0" w:color="auto"/>
                    <w:bottom w:val="none" w:sz="0" w:space="0" w:color="auto"/>
                    <w:right w:val="none" w:sz="0" w:space="0" w:color="auto"/>
                  </w:divBdr>
                  <w:divsChild>
                    <w:div w:id="1454136003">
                      <w:marLeft w:val="0"/>
                      <w:marRight w:val="0"/>
                      <w:marTop w:val="0"/>
                      <w:marBottom w:val="0"/>
                      <w:divBdr>
                        <w:top w:val="none" w:sz="0" w:space="0" w:color="auto"/>
                        <w:left w:val="none" w:sz="0" w:space="0" w:color="auto"/>
                        <w:bottom w:val="none" w:sz="0" w:space="0" w:color="auto"/>
                        <w:right w:val="none" w:sz="0" w:space="0" w:color="auto"/>
                      </w:divBdr>
                      <w:divsChild>
                        <w:div w:id="457064818">
                          <w:marLeft w:val="0"/>
                          <w:marRight w:val="0"/>
                          <w:marTop w:val="0"/>
                          <w:marBottom w:val="0"/>
                          <w:divBdr>
                            <w:top w:val="none" w:sz="0" w:space="0" w:color="auto"/>
                            <w:left w:val="none" w:sz="0" w:space="0" w:color="auto"/>
                            <w:bottom w:val="none" w:sz="0" w:space="0" w:color="auto"/>
                            <w:right w:val="none" w:sz="0" w:space="0" w:color="auto"/>
                          </w:divBdr>
                          <w:divsChild>
                            <w:div w:id="7779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45809405">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 w:id="2133354749">
      <w:bodyDiv w:val="1"/>
      <w:marLeft w:val="0"/>
      <w:marRight w:val="0"/>
      <w:marTop w:val="0"/>
      <w:marBottom w:val="0"/>
      <w:divBdr>
        <w:top w:val="none" w:sz="0" w:space="0" w:color="auto"/>
        <w:left w:val="none" w:sz="0" w:space="0" w:color="auto"/>
        <w:bottom w:val="none" w:sz="0" w:space="0" w:color="auto"/>
        <w:right w:val="none" w:sz="0" w:space="0" w:color="auto"/>
      </w:divBdr>
      <w:divsChild>
        <w:div w:id="439419227">
          <w:marLeft w:val="0"/>
          <w:marRight w:val="0"/>
          <w:marTop w:val="0"/>
          <w:marBottom w:val="0"/>
          <w:divBdr>
            <w:top w:val="none" w:sz="0" w:space="0" w:color="auto"/>
            <w:left w:val="none" w:sz="0" w:space="0" w:color="auto"/>
            <w:bottom w:val="none" w:sz="0" w:space="0" w:color="auto"/>
            <w:right w:val="none" w:sz="0" w:space="0" w:color="auto"/>
          </w:divBdr>
          <w:divsChild>
            <w:div w:id="1942637237">
              <w:marLeft w:val="0"/>
              <w:marRight w:val="0"/>
              <w:marTop w:val="0"/>
              <w:marBottom w:val="0"/>
              <w:divBdr>
                <w:top w:val="none" w:sz="0" w:space="0" w:color="auto"/>
                <w:left w:val="none" w:sz="0" w:space="0" w:color="auto"/>
                <w:bottom w:val="none" w:sz="0" w:space="0" w:color="auto"/>
                <w:right w:val="none" w:sz="0" w:space="0" w:color="auto"/>
              </w:divBdr>
              <w:divsChild>
                <w:div w:id="66075522">
                  <w:marLeft w:val="0"/>
                  <w:marRight w:val="0"/>
                  <w:marTop w:val="0"/>
                  <w:marBottom w:val="0"/>
                  <w:divBdr>
                    <w:top w:val="none" w:sz="0" w:space="0" w:color="auto"/>
                    <w:left w:val="none" w:sz="0" w:space="0" w:color="auto"/>
                    <w:bottom w:val="none" w:sz="0" w:space="0" w:color="auto"/>
                    <w:right w:val="none" w:sz="0" w:space="0" w:color="auto"/>
                  </w:divBdr>
                  <w:divsChild>
                    <w:div w:id="811287754">
                      <w:marLeft w:val="0"/>
                      <w:marRight w:val="0"/>
                      <w:marTop w:val="0"/>
                      <w:marBottom w:val="0"/>
                      <w:divBdr>
                        <w:top w:val="none" w:sz="0" w:space="0" w:color="auto"/>
                        <w:left w:val="none" w:sz="0" w:space="0" w:color="auto"/>
                        <w:bottom w:val="none" w:sz="0" w:space="0" w:color="auto"/>
                        <w:right w:val="none" w:sz="0" w:space="0" w:color="auto"/>
                      </w:divBdr>
                      <w:divsChild>
                        <w:div w:id="98061565">
                          <w:marLeft w:val="0"/>
                          <w:marRight w:val="0"/>
                          <w:marTop w:val="0"/>
                          <w:marBottom w:val="0"/>
                          <w:divBdr>
                            <w:top w:val="none" w:sz="0" w:space="0" w:color="auto"/>
                            <w:left w:val="none" w:sz="0" w:space="0" w:color="auto"/>
                            <w:bottom w:val="none" w:sz="0" w:space="0" w:color="auto"/>
                            <w:right w:val="none" w:sz="0" w:space="0" w:color="auto"/>
                          </w:divBdr>
                          <w:divsChild>
                            <w:div w:id="66925745">
                              <w:marLeft w:val="0"/>
                              <w:marRight w:val="0"/>
                              <w:marTop w:val="0"/>
                              <w:marBottom w:val="0"/>
                              <w:divBdr>
                                <w:top w:val="none" w:sz="0" w:space="0" w:color="auto"/>
                                <w:left w:val="none" w:sz="0" w:space="0" w:color="auto"/>
                                <w:bottom w:val="none" w:sz="0" w:space="0" w:color="auto"/>
                                <w:right w:val="none" w:sz="0" w:space="0" w:color="auto"/>
                              </w:divBdr>
                              <w:divsChild>
                                <w:div w:id="281962984">
                                  <w:marLeft w:val="0"/>
                                  <w:marRight w:val="0"/>
                                  <w:marTop w:val="0"/>
                                  <w:marBottom w:val="0"/>
                                  <w:divBdr>
                                    <w:top w:val="none" w:sz="0" w:space="0" w:color="auto"/>
                                    <w:left w:val="none" w:sz="0" w:space="0" w:color="auto"/>
                                    <w:bottom w:val="none" w:sz="0" w:space="0" w:color="auto"/>
                                    <w:right w:val="none" w:sz="0" w:space="0" w:color="auto"/>
                                  </w:divBdr>
                                  <w:divsChild>
                                    <w:div w:id="1169977152">
                                      <w:marLeft w:val="0"/>
                                      <w:marRight w:val="0"/>
                                      <w:marTop w:val="0"/>
                                      <w:marBottom w:val="0"/>
                                      <w:divBdr>
                                        <w:top w:val="none" w:sz="0" w:space="0" w:color="auto"/>
                                        <w:left w:val="none" w:sz="0" w:space="0" w:color="auto"/>
                                        <w:bottom w:val="none" w:sz="0" w:space="0" w:color="auto"/>
                                        <w:right w:val="none" w:sz="0" w:space="0" w:color="auto"/>
                                      </w:divBdr>
                                      <w:divsChild>
                                        <w:div w:id="1383366400">
                                          <w:marLeft w:val="0"/>
                                          <w:marRight w:val="0"/>
                                          <w:marTop w:val="0"/>
                                          <w:marBottom w:val="0"/>
                                          <w:divBdr>
                                            <w:top w:val="none" w:sz="0" w:space="0" w:color="auto"/>
                                            <w:left w:val="none" w:sz="0" w:space="0" w:color="auto"/>
                                            <w:bottom w:val="none" w:sz="0" w:space="0" w:color="auto"/>
                                            <w:right w:val="none" w:sz="0" w:space="0" w:color="auto"/>
                                          </w:divBdr>
                                          <w:divsChild>
                                            <w:div w:id="2079547384">
                                              <w:marLeft w:val="0"/>
                                              <w:marRight w:val="0"/>
                                              <w:marTop w:val="0"/>
                                              <w:marBottom w:val="0"/>
                                              <w:divBdr>
                                                <w:top w:val="none" w:sz="0" w:space="0" w:color="auto"/>
                                                <w:left w:val="none" w:sz="0" w:space="0" w:color="auto"/>
                                                <w:bottom w:val="none" w:sz="0" w:space="0" w:color="auto"/>
                                                <w:right w:val="none" w:sz="0" w:space="0" w:color="auto"/>
                                              </w:divBdr>
                                              <w:divsChild>
                                                <w:div w:id="1511871734">
                                                  <w:marLeft w:val="0"/>
                                                  <w:marRight w:val="0"/>
                                                  <w:marTop w:val="0"/>
                                                  <w:marBottom w:val="0"/>
                                                  <w:divBdr>
                                                    <w:top w:val="none" w:sz="0" w:space="0" w:color="auto"/>
                                                    <w:left w:val="none" w:sz="0" w:space="0" w:color="auto"/>
                                                    <w:bottom w:val="none" w:sz="0" w:space="0" w:color="auto"/>
                                                    <w:right w:val="none" w:sz="0" w:space="0" w:color="auto"/>
                                                  </w:divBdr>
                                                  <w:divsChild>
                                                    <w:div w:id="282854246">
                                                      <w:marLeft w:val="0"/>
                                                      <w:marRight w:val="0"/>
                                                      <w:marTop w:val="0"/>
                                                      <w:marBottom w:val="0"/>
                                                      <w:divBdr>
                                                        <w:top w:val="none" w:sz="0" w:space="0" w:color="auto"/>
                                                        <w:left w:val="none" w:sz="0" w:space="0" w:color="auto"/>
                                                        <w:bottom w:val="none" w:sz="0" w:space="0" w:color="auto"/>
                                                        <w:right w:val="none" w:sz="0" w:space="0" w:color="auto"/>
                                                      </w:divBdr>
                                                      <w:divsChild>
                                                        <w:div w:id="1410884959">
                                                          <w:marLeft w:val="0"/>
                                                          <w:marRight w:val="0"/>
                                                          <w:marTop w:val="0"/>
                                                          <w:marBottom w:val="0"/>
                                                          <w:divBdr>
                                                            <w:top w:val="none" w:sz="0" w:space="0" w:color="auto"/>
                                                            <w:left w:val="none" w:sz="0" w:space="0" w:color="auto"/>
                                                            <w:bottom w:val="none" w:sz="0" w:space="0" w:color="auto"/>
                                                            <w:right w:val="none" w:sz="0" w:space="0" w:color="auto"/>
                                                          </w:divBdr>
                                                          <w:divsChild>
                                                            <w:div w:id="709035200">
                                                              <w:marLeft w:val="0"/>
                                                              <w:marRight w:val="0"/>
                                                              <w:marTop w:val="0"/>
                                                              <w:marBottom w:val="0"/>
                                                              <w:divBdr>
                                                                <w:top w:val="none" w:sz="0" w:space="0" w:color="auto"/>
                                                                <w:left w:val="none" w:sz="0" w:space="0" w:color="auto"/>
                                                                <w:bottom w:val="none" w:sz="0" w:space="0" w:color="auto"/>
                                                                <w:right w:val="none" w:sz="0" w:space="0" w:color="auto"/>
                                                              </w:divBdr>
                                                              <w:divsChild>
                                                                <w:div w:id="2142383832">
                                                                  <w:marLeft w:val="0"/>
                                                                  <w:marRight w:val="0"/>
                                                                  <w:marTop w:val="0"/>
                                                                  <w:marBottom w:val="0"/>
                                                                  <w:divBdr>
                                                                    <w:top w:val="none" w:sz="0" w:space="0" w:color="auto"/>
                                                                    <w:left w:val="none" w:sz="0" w:space="0" w:color="auto"/>
                                                                    <w:bottom w:val="none" w:sz="0" w:space="0" w:color="auto"/>
                                                                    <w:right w:val="none" w:sz="0" w:space="0" w:color="auto"/>
                                                                  </w:divBdr>
                                                                  <w:divsChild>
                                                                    <w:div w:id="10991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A8A74-D208-40FC-9E14-EB7D306C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2183</Words>
  <Characters>15747</Characters>
  <Application>Microsoft Office Word</Application>
  <DocSecurity>4</DocSecurity>
  <Lines>393</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31.oktobra noteikumos Nr.899 "Ambulatorajai ārstēšanai paredze'to zāļu un medicīnisko ierīču iegādes izdevumu kompensācijas kārtība"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31.oktobra noteikumos Nr. 899 ”Ambulatorajai ārstēšanai paredzēto zāļu un medicīnisko ierīču iegādes izdevumu kompensācijas kārtība”” sākotnējās ietekmes novērtējuma ziņojums (anotācija)</dc:title>
  <dc:subject>Anotācija</dc:subject>
  <dc:creator>Kristīna Brūvere</dc:creator>
  <dc:description>kristina.bruvere@vm.gov.lv; tālr.: 67876191_x000d_
fakss: 67876071</dc:description>
  <cp:lastModifiedBy>zvaltere</cp:lastModifiedBy>
  <cp:revision>2</cp:revision>
  <cp:lastPrinted>2016-07-21T06:42:00Z</cp:lastPrinted>
  <dcterms:created xsi:type="dcterms:W3CDTF">2016-09-08T06:07:00Z</dcterms:created>
  <dcterms:modified xsi:type="dcterms:W3CDTF">2016-09-08T06:07:00Z</dcterms:modified>
</cp:coreProperties>
</file>