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59" w:rsidRPr="00DF4759" w:rsidRDefault="00DF4759" w:rsidP="00DF4759">
      <w:pPr>
        <w:jc w:val="both"/>
        <w:rPr>
          <w:color w:val="000000"/>
          <w:lang w:eastAsia="en-US"/>
        </w:rPr>
      </w:pPr>
      <w:r w:rsidRPr="00DF4759">
        <w:rPr>
          <w:color w:val="000000"/>
          <w:lang w:eastAsia="en-US"/>
        </w:rPr>
        <w:t>2016. gada</w:t>
      </w:r>
      <w:r w:rsidRPr="00DF4759">
        <w:rPr>
          <w:color w:val="000000"/>
          <w:lang w:eastAsia="en-US"/>
        </w:rPr>
        <w:tab/>
        <w:t>.septembrī</w:t>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t>Noteikumi Nr.</w:t>
      </w:r>
    </w:p>
    <w:p w:rsidR="00965828" w:rsidRPr="00DF4759" w:rsidRDefault="00DF4759" w:rsidP="00DF4759">
      <w:pPr>
        <w:jc w:val="both"/>
        <w:rPr>
          <w:color w:val="000000"/>
          <w:lang w:eastAsia="en-US"/>
        </w:rPr>
      </w:pPr>
      <w:r w:rsidRPr="00DF4759">
        <w:rPr>
          <w:color w:val="000000"/>
          <w:lang w:eastAsia="en-US"/>
        </w:rPr>
        <w:t>Rīgā</w:t>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r>
      <w:r w:rsidRPr="00DF4759">
        <w:rPr>
          <w:color w:val="000000"/>
          <w:lang w:eastAsia="en-US"/>
        </w:rPr>
        <w:tab/>
        <w:t>(prot. Nr.</w:t>
      </w:r>
      <w:r w:rsidRPr="00DF4759">
        <w:rPr>
          <w:color w:val="000000"/>
          <w:lang w:eastAsia="en-US"/>
        </w:rPr>
        <w:tab/>
        <w:t>§)</w:t>
      </w:r>
    </w:p>
    <w:p w:rsidR="00605C82" w:rsidRPr="00205452" w:rsidRDefault="00605C82" w:rsidP="00D813B8">
      <w:pPr>
        <w:jc w:val="both"/>
      </w:pPr>
    </w:p>
    <w:p w:rsidR="00605C82" w:rsidRPr="00205452" w:rsidRDefault="00605C82" w:rsidP="00D813B8">
      <w:pPr>
        <w:jc w:val="center"/>
        <w:rPr>
          <w:b/>
        </w:rPr>
      </w:pPr>
      <w:r w:rsidRPr="00205452">
        <w:rPr>
          <w:b/>
        </w:rPr>
        <w:t>Gr</w:t>
      </w:r>
      <w:r w:rsidR="001F0AFC" w:rsidRPr="00205452">
        <w:rPr>
          <w:b/>
        </w:rPr>
        <w:t>ozījumi Ministru kabineta 201</w:t>
      </w:r>
      <w:r w:rsidR="006E7FDC" w:rsidRPr="00205452">
        <w:rPr>
          <w:b/>
        </w:rPr>
        <w:t>4</w:t>
      </w:r>
      <w:r w:rsidR="00965828" w:rsidRPr="00205452">
        <w:rPr>
          <w:b/>
        </w:rPr>
        <w:t>.g</w:t>
      </w:r>
      <w:r w:rsidR="001F0AFC" w:rsidRPr="00205452">
        <w:rPr>
          <w:b/>
        </w:rPr>
        <w:t>ada 30</w:t>
      </w:r>
      <w:r w:rsidR="00965828" w:rsidRPr="00205452">
        <w:rPr>
          <w:b/>
        </w:rPr>
        <w:t>.s</w:t>
      </w:r>
      <w:r w:rsidR="001F0AFC" w:rsidRPr="00205452">
        <w:rPr>
          <w:b/>
        </w:rPr>
        <w:t>eptembra noteikumos Nr.</w:t>
      </w:r>
      <w:r w:rsidR="005B75E7" w:rsidRPr="00205452">
        <w:rPr>
          <w:b/>
        </w:rPr>
        <w:t> </w:t>
      </w:r>
      <w:r w:rsidRPr="00205452">
        <w:rPr>
          <w:b/>
        </w:rPr>
        <w:t>598</w:t>
      </w:r>
      <w:r w:rsidR="0092158B" w:rsidRPr="00205452">
        <w:rPr>
          <w:b/>
        </w:rPr>
        <w:t xml:space="preserve"> </w:t>
      </w:r>
      <w:r w:rsidR="00AC497E" w:rsidRPr="00205452">
        <w:rPr>
          <w:b/>
        </w:rPr>
        <w:t>"</w:t>
      </w:r>
      <w:r w:rsidR="002C5B4C" w:rsidRPr="00205452">
        <w:rPr>
          <w:b/>
        </w:rPr>
        <w:t>Noteikumi par valsts un Eiropas Savienības atbalsta piešķiršanu, administrēšanu un uzraudzību lauku un zivsaimniecības attīstībai 2014.</w:t>
      </w:r>
      <w:r w:rsidR="00E055C0" w:rsidRPr="00205452">
        <w:rPr>
          <w:b/>
        </w:rPr>
        <w:t>–</w:t>
      </w:r>
      <w:r w:rsidR="002C5B4C" w:rsidRPr="00205452">
        <w:rPr>
          <w:b/>
        </w:rPr>
        <w:t>2020</w:t>
      </w:r>
      <w:r w:rsidR="00965828" w:rsidRPr="00205452">
        <w:rPr>
          <w:b/>
        </w:rPr>
        <w:t>.g</w:t>
      </w:r>
      <w:r w:rsidR="002C5B4C" w:rsidRPr="00205452">
        <w:rPr>
          <w:b/>
        </w:rPr>
        <w:t>ada plānošanas periodā</w:t>
      </w:r>
      <w:r w:rsidR="00AC497E" w:rsidRPr="00205452">
        <w:rPr>
          <w:b/>
        </w:rPr>
        <w:t>"</w:t>
      </w:r>
    </w:p>
    <w:p w:rsidR="00F83815" w:rsidRPr="00205452" w:rsidRDefault="00F83815" w:rsidP="00D813B8">
      <w:pPr>
        <w:jc w:val="center"/>
      </w:pPr>
    </w:p>
    <w:p w:rsidR="005B75E7" w:rsidRPr="00205452" w:rsidRDefault="00273B6A" w:rsidP="00D813B8">
      <w:pPr>
        <w:ind w:firstLine="300"/>
        <w:jc w:val="right"/>
        <w:rPr>
          <w:iCs/>
        </w:rPr>
      </w:pPr>
      <w:r w:rsidRPr="00205452">
        <w:rPr>
          <w:iCs/>
        </w:rPr>
        <w:t xml:space="preserve">Izdoti saskaņā ar </w:t>
      </w:r>
    </w:p>
    <w:p w:rsidR="005B75E7" w:rsidRPr="00205452" w:rsidRDefault="00DF4759" w:rsidP="00D813B8">
      <w:pPr>
        <w:ind w:firstLine="300"/>
        <w:jc w:val="right"/>
        <w:rPr>
          <w:iCs/>
        </w:rPr>
      </w:pPr>
      <w:hyperlink r:id="rId8" w:tgtFrame="_blank" w:history="1">
        <w:r w:rsidR="00273B6A" w:rsidRPr="00205452">
          <w:rPr>
            <w:iCs/>
          </w:rPr>
          <w:t>Lauksaimniecības un lauku</w:t>
        </w:r>
        <w:r w:rsidR="005B75E7" w:rsidRPr="00205452">
          <w:t xml:space="preserve"> </w:t>
        </w:r>
        <w:r w:rsidR="005B75E7" w:rsidRPr="00205452">
          <w:rPr>
            <w:iCs/>
          </w:rPr>
          <w:t>attīstības</w:t>
        </w:r>
        <w:r w:rsidR="00273B6A" w:rsidRPr="00205452">
          <w:rPr>
            <w:iCs/>
          </w:rPr>
          <w:br/>
          <w:t>likuma</w:t>
        </w:r>
      </w:hyperlink>
      <w:r w:rsidR="00273B6A" w:rsidRPr="00205452">
        <w:rPr>
          <w:iCs/>
        </w:rPr>
        <w:t xml:space="preserve"> </w:t>
      </w:r>
      <w:hyperlink r:id="rId9" w:anchor="p5" w:tgtFrame="_blank" w:history="1">
        <w:r w:rsidR="00273B6A" w:rsidRPr="00205452">
          <w:rPr>
            <w:iCs/>
          </w:rPr>
          <w:t>5.</w:t>
        </w:r>
        <w:r w:rsidR="005B75E7" w:rsidRPr="00205452">
          <w:rPr>
            <w:iCs/>
          </w:rPr>
          <w:t> </w:t>
        </w:r>
        <w:r w:rsidR="00273B6A" w:rsidRPr="00205452">
          <w:rPr>
            <w:iCs/>
          </w:rPr>
          <w:t>panta</w:t>
        </w:r>
      </w:hyperlink>
      <w:r w:rsidR="00273B6A" w:rsidRPr="00205452">
        <w:rPr>
          <w:iCs/>
        </w:rPr>
        <w:t xml:space="preserve"> ceturto daļu</w:t>
      </w:r>
      <w:r w:rsidR="00306718" w:rsidRPr="00205452">
        <w:rPr>
          <w:iCs/>
        </w:rPr>
        <w:t xml:space="preserve"> un </w:t>
      </w:r>
    </w:p>
    <w:p w:rsidR="00273B6A" w:rsidRPr="00205452" w:rsidRDefault="00513A97" w:rsidP="00D813B8">
      <w:pPr>
        <w:ind w:firstLine="300"/>
        <w:jc w:val="right"/>
        <w:rPr>
          <w:iCs/>
        </w:rPr>
      </w:pPr>
      <w:r w:rsidRPr="00205452">
        <w:rPr>
          <w:iCs/>
        </w:rPr>
        <w:t>septīto daļu</w:t>
      </w:r>
    </w:p>
    <w:p w:rsidR="0003793C" w:rsidRPr="00205452" w:rsidRDefault="0003793C" w:rsidP="00D813B8">
      <w:pPr>
        <w:ind w:firstLine="720"/>
        <w:jc w:val="both"/>
      </w:pPr>
    </w:p>
    <w:p w:rsidR="00273B6A" w:rsidRDefault="00273B6A" w:rsidP="00D813B8">
      <w:pPr>
        <w:ind w:firstLine="720"/>
        <w:jc w:val="both"/>
      </w:pPr>
      <w:r w:rsidRPr="00205452">
        <w:t>Izdarīt Ministru kabineta 2014.gada 30.septembra noteikumos Nr.</w:t>
      </w:r>
      <w:r w:rsidR="005B75E7" w:rsidRPr="00205452">
        <w:t> </w:t>
      </w:r>
      <w:r w:rsidRPr="00205452">
        <w:t xml:space="preserve">598 </w:t>
      </w:r>
      <w:r w:rsidR="00AC497E" w:rsidRPr="00205452">
        <w:t>"</w:t>
      </w:r>
      <w:r w:rsidRPr="00205452">
        <w:t>Noteikumi par valsts un Eiropas Savienības atbalsta piešķiršanu, administrēšanu un uzraudzību lauku un zivsaimniecības attīstībai 2014.</w:t>
      </w:r>
      <w:r w:rsidR="00E055C0" w:rsidRPr="00205452">
        <w:t>–</w:t>
      </w:r>
      <w:r w:rsidRPr="00205452">
        <w:t>2020</w:t>
      </w:r>
      <w:r w:rsidR="00965828" w:rsidRPr="00205452">
        <w:t>.g</w:t>
      </w:r>
      <w:r w:rsidRPr="00205452">
        <w:t>ada plānošanas periodā</w:t>
      </w:r>
      <w:r w:rsidR="00AC497E" w:rsidRPr="00205452">
        <w:t>"</w:t>
      </w:r>
      <w:r w:rsidRPr="00205452">
        <w:t xml:space="preserve"> (Latvijas Vēstnesis, 2014, 205</w:t>
      </w:r>
      <w:r w:rsidR="00965828" w:rsidRPr="00205452">
        <w:t>.</w:t>
      </w:r>
      <w:r w:rsidR="005B75E7" w:rsidRPr="00205452">
        <w:t> </w:t>
      </w:r>
      <w:r w:rsidR="00965828" w:rsidRPr="00205452">
        <w:t>n</w:t>
      </w:r>
      <w:r w:rsidRPr="00205452">
        <w:t>r.; 2015, 93.</w:t>
      </w:r>
      <w:r w:rsidR="00FA6EE6" w:rsidRPr="00205452">
        <w:t>,</w:t>
      </w:r>
      <w:r w:rsidRPr="00205452">
        <w:t xml:space="preserve"> 202</w:t>
      </w:r>
      <w:r w:rsidR="00965828" w:rsidRPr="00205452">
        <w:t>.</w:t>
      </w:r>
      <w:r w:rsidR="005B75E7" w:rsidRPr="00205452">
        <w:t> </w:t>
      </w:r>
      <w:r w:rsidR="00965828" w:rsidRPr="00205452">
        <w:t>n</w:t>
      </w:r>
      <w:r w:rsidRPr="00205452">
        <w:t>r.</w:t>
      </w:r>
      <w:r w:rsidR="00FD4BFF" w:rsidRPr="00205452">
        <w:t>; 2016, 62.</w:t>
      </w:r>
      <w:r w:rsidR="000914C0">
        <w:t> </w:t>
      </w:r>
      <w:r w:rsidR="00FD4BFF" w:rsidRPr="00205452">
        <w:t>nr.</w:t>
      </w:r>
      <w:r w:rsidRPr="00205452">
        <w:t>) šādus grozījumus:</w:t>
      </w:r>
    </w:p>
    <w:p w:rsidR="00DD2B4F" w:rsidRDefault="00DD2B4F" w:rsidP="00D813B8">
      <w:pPr>
        <w:ind w:firstLine="720"/>
        <w:jc w:val="both"/>
      </w:pPr>
    </w:p>
    <w:p w:rsidR="00DD2B4F" w:rsidRDefault="00DD2B4F" w:rsidP="00A16BF6">
      <w:pPr>
        <w:pStyle w:val="Sarakstarindkopa"/>
        <w:numPr>
          <w:ilvl w:val="0"/>
          <w:numId w:val="16"/>
        </w:numPr>
        <w:tabs>
          <w:tab w:val="left" w:pos="993"/>
        </w:tabs>
        <w:spacing w:after="0" w:line="240" w:lineRule="auto"/>
        <w:ind w:left="0" w:firstLine="7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Papildināt 1. punktu ar 1.9. un 1.10. apakšpunktu šādā redakcijā:</w:t>
      </w:r>
    </w:p>
    <w:p w:rsidR="00DD2B4F" w:rsidRDefault="00DD2B4F" w:rsidP="00DD2B4F">
      <w:pPr>
        <w:pStyle w:val="Sarakstarindko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“1.9. Eiropas Parlamenta un Padomes 2013. gada 17. decembra </w:t>
      </w:r>
      <w:r w:rsidR="000914C0">
        <w:rPr>
          <w:rFonts w:ascii="Times New Roman" w:hAnsi="Times New Roman" w:cs="Times New Roman"/>
          <w:sz w:val="24"/>
          <w:szCs w:val="24"/>
        </w:rPr>
        <w:t>R</w:t>
      </w:r>
      <w:r>
        <w:rPr>
          <w:rFonts w:ascii="Times New Roman" w:hAnsi="Times New Roman" w:cs="Times New Roman"/>
          <w:sz w:val="24"/>
          <w:szCs w:val="24"/>
        </w:rPr>
        <w:t>egulas (ES) Nr. 1306/2013 par kopējās lauksaimniecības politikas finansēšanu, pārvaldību un uzraudzību un Padomes Regulas (EEK) Nr. 352/78, (EK) Nr. 165/94, (EK) Nr. 2799/98, (EK) Nr. 814/2000, (EK) Nr. 1290/2005 un (EK) Nr. 485/2008 atcelšanu (turpmāk – regula Nr.</w:t>
      </w:r>
      <w:r w:rsidR="000914C0">
        <w:rPr>
          <w:rFonts w:ascii="Times New Roman" w:hAnsi="Times New Roman" w:cs="Times New Roman"/>
          <w:sz w:val="24"/>
          <w:szCs w:val="24"/>
        </w:rPr>
        <w:t> </w:t>
      </w:r>
      <w:r>
        <w:rPr>
          <w:rFonts w:ascii="Times New Roman" w:hAnsi="Times New Roman" w:cs="Times New Roman"/>
          <w:sz w:val="24"/>
          <w:szCs w:val="24"/>
        </w:rPr>
        <w:t>1306/2013) 63. un 64.pant</w:t>
      </w:r>
      <w:r w:rsidR="002D35EA">
        <w:rPr>
          <w:rFonts w:ascii="Times New Roman" w:hAnsi="Times New Roman" w:cs="Times New Roman"/>
          <w:sz w:val="24"/>
          <w:szCs w:val="24"/>
        </w:rPr>
        <w:t>u</w:t>
      </w:r>
      <w:r>
        <w:rPr>
          <w:rFonts w:ascii="Times New Roman" w:hAnsi="Times New Roman" w:cs="Times New Roman"/>
          <w:sz w:val="24"/>
          <w:szCs w:val="24"/>
        </w:rPr>
        <w:t>;</w:t>
      </w:r>
    </w:p>
    <w:p w:rsidR="00DD2B4F" w:rsidRPr="00A16BF6" w:rsidRDefault="00DF4759" w:rsidP="002D35EA">
      <w:pPr>
        <w:pStyle w:val="Sarakstarindkopa"/>
        <w:spacing w:after="12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1.10. Komisijas 2014.gada 11.</w:t>
      </w:r>
      <w:r w:rsidR="00DD2B4F">
        <w:rPr>
          <w:rFonts w:ascii="Times New Roman" w:hAnsi="Times New Roman" w:cs="Times New Roman"/>
          <w:sz w:val="24"/>
          <w:szCs w:val="24"/>
        </w:rPr>
        <w:t xml:space="preserve">marta </w:t>
      </w:r>
      <w:r w:rsidR="000914C0">
        <w:rPr>
          <w:rFonts w:ascii="Times New Roman" w:hAnsi="Times New Roman" w:cs="Times New Roman"/>
          <w:sz w:val="24"/>
          <w:szCs w:val="24"/>
        </w:rPr>
        <w:t>D</w:t>
      </w:r>
      <w:r w:rsidR="00DD2B4F">
        <w:rPr>
          <w:rFonts w:ascii="Times New Roman" w:hAnsi="Times New Roman" w:cs="Times New Roman"/>
          <w:sz w:val="24"/>
          <w:szCs w:val="24"/>
        </w:rPr>
        <w:t>eleģētās regulas (ES) Nr. 640/2014</w:t>
      </w:r>
      <w:r w:rsidR="000914C0">
        <w:rPr>
          <w:rFonts w:ascii="Times New Roman" w:hAnsi="Times New Roman" w:cs="Times New Roman"/>
          <w:sz w:val="24"/>
          <w:szCs w:val="24"/>
        </w:rPr>
        <w:t>,</w:t>
      </w:r>
      <w:r w:rsidR="00DD2B4F">
        <w:rPr>
          <w:rFonts w:ascii="Times New Roman" w:hAnsi="Times New Roman" w:cs="Times New Roman"/>
          <w:sz w:val="24"/>
          <w:szCs w:val="24"/>
        </w:rPr>
        <w:t xml:space="preserve">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r w:rsidR="000914C0">
        <w:rPr>
          <w:rFonts w:ascii="Times New Roman" w:hAnsi="Times New Roman" w:cs="Times New Roman"/>
          <w:sz w:val="24"/>
          <w:szCs w:val="24"/>
        </w:rPr>
        <w:t>,</w:t>
      </w:r>
      <w:r w:rsidR="00DD2B4F">
        <w:rPr>
          <w:rFonts w:ascii="Times New Roman" w:hAnsi="Times New Roman" w:cs="Times New Roman"/>
          <w:sz w:val="24"/>
          <w:szCs w:val="24"/>
        </w:rPr>
        <w:t xml:space="preserve"> (turpmāk – regula Nr.</w:t>
      </w:r>
      <w:r w:rsidR="000914C0">
        <w:rPr>
          <w:rFonts w:ascii="Times New Roman" w:hAnsi="Times New Roman" w:cs="Times New Roman"/>
          <w:sz w:val="24"/>
          <w:szCs w:val="24"/>
        </w:rPr>
        <w:t> </w:t>
      </w:r>
      <w:r w:rsidR="00DD2B4F">
        <w:rPr>
          <w:rFonts w:ascii="Times New Roman" w:hAnsi="Times New Roman" w:cs="Times New Roman"/>
          <w:sz w:val="24"/>
          <w:szCs w:val="24"/>
        </w:rPr>
        <w:t>640/2014)</w:t>
      </w:r>
      <w:r w:rsidR="00DD2B4F" w:rsidRPr="00DD2B4F">
        <w:t xml:space="preserve"> </w:t>
      </w:r>
      <w:r w:rsidR="00DD2B4F" w:rsidRPr="00DD2B4F">
        <w:rPr>
          <w:rFonts w:ascii="Times New Roman" w:hAnsi="Times New Roman" w:cs="Times New Roman"/>
          <w:sz w:val="24"/>
          <w:szCs w:val="24"/>
        </w:rPr>
        <w:t>35.</w:t>
      </w:r>
      <w:r w:rsidR="000914C0">
        <w:rPr>
          <w:rFonts w:ascii="Times New Roman" w:hAnsi="Times New Roman" w:cs="Times New Roman"/>
          <w:sz w:val="24"/>
          <w:szCs w:val="24"/>
        </w:rPr>
        <w:t> </w:t>
      </w:r>
      <w:r w:rsidR="00DD2B4F" w:rsidRPr="00DD2B4F">
        <w:rPr>
          <w:rFonts w:ascii="Times New Roman" w:hAnsi="Times New Roman" w:cs="Times New Roman"/>
          <w:sz w:val="24"/>
          <w:szCs w:val="24"/>
        </w:rPr>
        <w:t>panta 1., 2. un 3.punkt</w:t>
      </w:r>
      <w:r w:rsidR="002D35EA">
        <w:rPr>
          <w:rFonts w:ascii="Times New Roman" w:hAnsi="Times New Roman" w:cs="Times New Roman"/>
          <w:sz w:val="24"/>
          <w:szCs w:val="24"/>
        </w:rPr>
        <w:t>u</w:t>
      </w:r>
      <w:r w:rsidR="00DD2B4F">
        <w:rPr>
          <w:rFonts w:ascii="Times New Roman" w:hAnsi="Times New Roman" w:cs="Times New Roman"/>
          <w:sz w:val="24"/>
          <w:szCs w:val="24"/>
        </w:rPr>
        <w:t>.”</w:t>
      </w:r>
      <w:r w:rsidR="00A16BF6" w:rsidRPr="00A16BF6">
        <w:rPr>
          <w:rFonts w:ascii="Times New Roman" w:hAnsi="Times New Roman" w:cs="Times New Roman"/>
          <w:sz w:val="24"/>
          <w:szCs w:val="24"/>
        </w:rPr>
        <w:t xml:space="preserve"> </w:t>
      </w:r>
    </w:p>
    <w:p w:rsidR="00A16BF6" w:rsidRPr="00A16BF6" w:rsidRDefault="00A16BF6" w:rsidP="00A906E5">
      <w:pPr>
        <w:pStyle w:val="Sarakstarindkopa"/>
        <w:numPr>
          <w:ilvl w:val="0"/>
          <w:numId w:val="16"/>
        </w:numPr>
        <w:tabs>
          <w:tab w:val="left" w:pos="993"/>
        </w:tabs>
        <w:spacing w:before="120"/>
        <w:ind w:left="0" w:firstLine="709"/>
        <w:jc w:val="both"/>
        <w:rPr>
          <w:rFonts w:ascii="Times New Roman" w:hAnsi="Times New Roman" w:cs="Times New Roman"/>
          <w:iCs/>
          <w:sz w:val="24"/>
          <w:szCs w:val="24"/>
        </w:rPr>
      </w:pPr>
      <w:r w:rsidRPr="00A16BF6">
        <w:rPr>
          <w:rFonts w:ascii="Times New Roman" w:hAnsi="Times New Roman" w:cs="Times New Roman"/>
          <w:iCs/>
          <w:sz w:val="24"/>
          <w:szCs w:val="24"/>
        </w:rPr>
        <w:t>Izteikt 3.</w:t>
      </w:r>
      <w:r w:rsidR="002D35EA">
        <w:rPr>
          <w:rFonts w:ascii="Times New Roman" w:hAnsi="Times New Roman" w:cs="Times New Roman"/>
          <w:iCs/>
          <w:sz w:val="24"/>
          <w:szCs w:val="24"/>
        </w:rPr>
        <w:t xml:space="preserve"> un 4. </w:t>
      </w:r>
      <w:r w:rsidRPr="00A16BF6">
        <w:rPr>
          <w:rFonts w:ascii="Times New Roman" w:hAnsi="Times New Roman" w:cs="Times New Roman"/>
          <w:iCs/>
          <w:sz w:val="24"/>
          <w:szCs w:val="24"/>
        </w:rPr>
        <w:t>punktu šādā redakcijā:</w:t>
      </w:r>
    </w:p>
    <w:p w:rsidR="002D35EA" w:rsidRPr="002D35EA" w:rsidRDefault="00A16BF6" w:rsidP="002D35EA">
      <w:pPr>
        <w:pStyle w:val="Sarakstarindkopa"/>
        <w:tabs>
          <w:tab w:val="left" w:pos="1418"/>
        </w:tabs>
        <w:spacing w:before="120" w:after="120"/>
        <w:ind w:left="0" w:firstLine="709"/>
        <w:jc w:val="both"/>
        <w:rPr>
          <w:rFonts w:ascii="Times New Roman" w:hAnsi="Times New Roman" w:cs="Times New Roman"/>
          <w:iCs/>
          <w:sz w:val="24"/>
          <w:szCs w:val="24"/>
        </w:rPr>
      </w:pPr>
      <w:r w:rsidRPr="00AB2BB2">
        <w:rPr>
          <w:rFonts w:ascii="Times New Roman" w:hAnsi="Times New Roman" w:cs="Times New Roman"/>
          <w:iCs/>
          <w:sz w:val="24"/>
          <w:szCs w:val="24"/>
        </w:rPr>
        <w:t>„</w:t>
      </w:r>
      <w:r w:rsidR="002D35EA">
        <w:rPr>
          <w:rFonts w:ascii="Times New Roman" w:hAnsi="Times New Roman" w:cs="Times New Roman"/>
          <w:iCs/>
          <w:sz w:val="24"/>
          <w:szCs w:val="24"/>
        </w:rPr>
        <w:t>3.</w:t>
      </w:r>
      <w:r w:rsidR="002D35EA" w:rsidRPr="002D35EA">
        <w:rPr>
          <w:rFonts w:ascii="Times New Roman" w:hAnsi="Times New Roman" w:cs="Times New Roman"/>
          <w:iCs/>
          <w:sz w:val="24"/>
          <w:szCs w:val="24"/>
        </w:rPr>
        <w:t xml:space="preserve"> Projektu iesniegumu iesniegšanas kārtā, kas ir </w:t>
      </w:r>
      <w:r w:rsidR="000914C0">
        <w:rPr>
          <w:rFonts w:ascii="Times New Roman" w:hAnsi="Times New Roman" w:cs="Times New Roman"/>
          <w:iCs/>
          <w:sz w:val="24"/>
          <w:szCs w:val="24"/>
        </w:rPr>
        <w:t>ilg</w:t>
      </w:r>
      <w:r w:rsidR="002D35EA" w:rsidRPr="002D35EA">
        <w:rPr>
          <w:rFonts w:ascii="Times New Roman" w:hAnsi="Times New Roman" w:cs="Times New Roman"/>
          <w:iCs/>
          <w:sz w:val="24"/>
          <w:szCs w:val="24"/>
        </w:rPr>
        <w:t xml:space="preserve">āka par vienu mēnesi, Lauku atbalsta dienests </w:t>
      </w:r>
      <w:r w:rsidR="00A906E5" w:rsidRPr="00A906E5">
        <w:rPr>
          <w:rFonts w:ascii="Times New Roman" w:hAnsi="Times New Roman" w:cs="Times New Roman"/>
          <w:iCs/>
          <w:sz w:val="24"/>
          <w:szCs w:val="24"/>
        </w:rPr>
        <w:t>pēc projektu iesniegumu pieņemšanas uzsāk to vērtēšanu saskaņā ar šo noteikumu 14.punktu (izņemot šo noteikumu 14.2</w:t>
      </w:r>
      <w:r w:rsidR="00A906E5">
        <w:rPr>
          <w:rFonts w:ascii="Times New Roman" w:hAnsi="Times New Roman" w:cs="Times New Roman"/>
          <w:iCs/>
          <w:sz w:val="24"/>
          <w:szCs w:val="24"/>
        </w:rPr>
        <w:t>.apakšpunktā minēto rindošanu)</w:t>
      </w:r>
      <w:r w:rsidR="00A906E5" w:rsidRPr="00A906E5">
        <w:rPr>
          <w:rFonts w:ascii="Times New Roman" w:hAnsi="Times New Roman" w:cs="Times New Roman"/>
          <w:iCs/>
          <w:sz w:val="24"/>
          <w:szCs w:val="24"/>
        </w:rPr>
        <w:t xml:space="preserve"> un normatīvajiem aktiem par valsts un Eiropas Savienības atbalsta piešķiršanu lauku un zivsaimniecības attīstībai konkrētam pasākumam, </w:t>
      </w:r>
      <w:r w:rsidR="00A906E5">
        <w:rPr>
          <w:rFonts w:ascii="Times New Roman" w:hAnsi="Times New Roman" w:cs="Times New Roman"/>
          <w:iCs/>
          <w:sz w:val="24"/>
          <w:szCs w:val="24"/>
        </w:rPr>
        <w:t xml:space="preserve">un </w:t>
      </w:r>
      <w:r w:rsidR="002D35EA" w:rsidRPr="002D35EA">
        <w:rPr>
          <w:rFonts w:ascii="Times New Roman" w:hAnsi="Times New Roman" w:cs="Times New Roman"/>
          <w:iCs/>
          <w:sz w:val="24"/>
          <w:szCs w:val="24"/>
        </w:rPr>
        <w:t>no dienas, kad projektu īstenošanai pieteiktais publiskais finansējums sasniedz 80 procentu no konkrētajā kārtā pieejamā finansējuma:</w:t>
      </w:r>
    </w:p>
    <w:p w:rsidR="002D35EA" w:rsidRPr="002D35EA" w:rsidRDefault="002D35EA" w:rsidP="002D35EA">
      <w:pPr>
        <w:pStyle w:val="Sarakstarindkopa"/>
        <w:tabs>
          <w:tab w:val="left" w:pos="1418"/>
        </w:tabs>
        <w:spacing w:before="120" w:after="120"/>
        <w:ind w:left="0" w:firstLine="709"/>
        <w:jc w:val="both"/>
        <w:rPr>
          <w:rFonts w:ascii="Times New Roman" w:hAnsi="Times New Roman" w:cs="Times New Roman"/>
          <w:iCs/>
          <w:sz w:val="24"/>
          <w:szCs w:val="24"/>
        </w:rPr>
      </w:pPr>
      <w:r w:rsidRPr="002D35EA">
        <w:rPr>
          <w:rFonts w:ascii="Times New Roman" w:hAnsi="Times New Roman" w:cs="Times New Roman"/>
          <w:iCs/>
          <w:sz w:val="24"/>
          <w:szCs w:val="24"/>
        </w:rPr>
        <w:t>3.1. turpina pieņemt projektu iesniegumus, tos apkopojot un sarindojot atbilstoši projektu atlases kritērijiem, ja tas noteikts normatīvajos aktos par valsts un Eiropas Savienības atbalsta piešķiršanu lauku un zivsaimniecības attīstībai konkrētam pasākumam</w:t>
      </w:r>
      <w:r w:rsidR="00DA36D5">
        <w:rPr>
          <w:rFonts w:ascii="Times New Roman" w:hAnsi="Times New Roman" w:cs="Times New Roman"/>
          <w:iCs/>
          <w:sz w:val="24"/>
          <w:szCs w:val="24"/>
        </w:rPr>
        <w:t xml:space="preserve"> un </w:t>
      </w:r>
      <w:r w:rsidR="009C01F2">
        <w:rPr>
          <w:rFonts w:ascii="Times New Roman" w:hAnsi="Times New Roman" w:cs="Times New Roman"/>
          <w:iCs/>
          <w:sz w:val="24"/>
          <w:szCs w:val="24"/>
        </w:rPr>
        <w:t>informāciju par to publicē atbilstoši šo noteikumu 13.2.apašpunktam</w:t>
      </w:r>
      <w:r w:rsidRPr="002D35EA">
        <w:rPr>
          <w:rFonts w:ascii="Times New Roman" w:hAnsi="Times New Roman" w:cs="Times New Roman"/>
          <w:iCs/>
          <w:sz w:val="24"/>
          <w:szCs w:val="24"/>
        </w:rPr>
        <w:t>;</w:t>
      </w:r>
    </w:p>
    <w:p w:rsidR="00A16BF6" w:rsidRPr="00AB2BB2" w:rsidRDefault="002D35EA" w:rsidP="002D35EA">
      <w:pPr>
        <w:pStyle w:val="Sarakstarindkopa"/>
        <w:tabs>
          <w:tab w:val="left" w:pos="1418"/>
        </w:tabs>
        <w:spacing w:before="120" w:after="120"/>
        <w:ind w:left="0" w:firstLine="709"/>
        <w:contextualSpacing w:val="0"/>
        <w:jc w:val="both"/>
        <w:rPr>
          <w:rFonts w:ascii="Times New Roman" w:hAnsi="Times New Roman" w:cs="Times New Roman"/>
          <w:iCs/>
          <w:sz w:val="24"/>
          <w:szCs w:val="24"/>
        </w:rPr>
      </w:pPr>
      <w:r w:rsidRPr="002D35EA">
        <w:rPr>
          <w:rFonts w:ascii="Times New Roman" w:hAnsi="Times New Roman" w:cs="Times New Roman"/>
          <w:iCs/>
          <w:sz w:val="24"/>
          <w:szCs w:val="24"/>
        </w:rPr>
        <w:t xml:space="preserve">3.2. oficiālajā izdevumā "Latvijas Vēstnesis" publicē paziņojumu par iesniegumu iesniegšanas beigu termiņu pēc viena mēneša, </w:t>
      </w:r>
      <w:r w:rsidR="00A906E5" w:rsidRPr="00A906E5">
        <w:rPr>
          <w:rFonts w:ascii="Times New Roman" w:hAnsi="Times New Roman" w:cs="Times New Roman"/>
          <w:iCs/>
          <w:sz w:val="24"/>
          <w:szCs w:val="24"/>
        </w:rPr>
        <w:t>ja līdz šo noteikumu 2.punktā noteiktajā kārtībā izsludinātā iesniegumu iesniegšanas beigu termiņam pa</w:t>
      </w:r>
      <w:r w:rsidR="00A906E5">
        <w:rPr>
          <w:rFonts w:ascii="Times New Roman" w:hAnsi="Times New Roman" w:cs="Times New Roman"/>
          <w:iCs/>
          <w:sz w:val="24"/>
          <w:szCs w:val="24"/>
        </w:rPr>
        <w:t>licis vairāk nekā viens mēnesis</w:t>
      </w:r>
      <w:r w:rsidRPr="002D35EA">
        <w:rPr>
          <w:rFonts w:ascii="Times New Roman" w:hAnsi="Times New Roman" w:cs="Times New Roman"/>
          <w:iCs/>
          <w:sz w:val="24"/>
          <w:szCs w:val="24"/>
        </w:rPr>
        <w:t>.</w:t>
      </w:r>
    </w:p>
    <w:p w:rsidR="00AF5C44" w:rsidRPr="00AF5C44" w:rsidRDefault="006636BF" w:rsidP="002D35EA">
      <w:pPr>
        <w:ind w:firstLine="709"/>
        <w:jc w:val="both"/>
        <w:rPr>
          <w:iCs/>
        </w:rPr>
      </w:pPr>
      <w:r w:rsidRPr="006636BF">
        <w:rPr>
          <w:iCs/>
        </w:rPr>
        <w:t xml:space="preserve">4. Lai pieteiktos atbalstam, atbalsta pretendents </w:t>
      </w:r>
      <w:r w:rsidR="005E6DDE" w:rsidRPr="005E6DDE">
        <w:rPr>
          <w:iCs/>
        </w:rPr>
        <w:t xml:space="preserve">Lauku atbalsta dienestā </w:t>
      </w:r>
      <w:r w:rsidR="005E6DDE" w:rsidRPr="00FC5FF3">
        <w:rPr>
          <w:bCs/>
          <w:iCs/>
        </w:rPr>
        <w:t>personīgi</w:t>
      </w:r>
      <w:r w:rsidR="005E6DDE" w:rsidRPr="005E6DDE">
        <w:rPr>
          <w:iCs/>
        </w:rPr>
        <w:t xml:space="preserve"> vai elektroniska dokumenta veidā atbilstoši normatīvajiem aktiem par elektronisko dokumentu noformēšanu</w:t>
      </w:r>
      <w:r w:rsidR="005E6DDE">
        <w:rPr>
          <w:iCs/>
        </w:rPr>
        <w:t xml:space="preserve">, </w:t>
      </w:r>
      <w:r w:rsidRPr="006636BF">
        <w:rPr>
          <w:iCs/>
        </w:rPr>
        <w:t xml:space="preserve">vai </w:t>
      </w:r>
      <w:r w:rsidR="000914C0">
        <w:rPr>
          <w:iCs/>
        </w:rPr>
        <w:t xml:space="preserve">ar </w:t>
      </w:r>
      <w:r w:rsidRPr="006636BF">
        <w:rPr>
          <w:iCs/>
        </w:rPr>
        <w:t>Lauku atbalsta dienesta elektroniskās pieteikšanās sistēm</w:t>
      </w:r>
      <w:r w:rsidR="000914C0">
        <w:rPr>
          <w:iCs/>
        </w:rPr>
        <w:t>as starpniecību</w:t>
      </w:r>
      <w:r w:rsidR="005E6DDE">
        <w:rPr>
          <w:iCs/>
        </w:rPr>
        <w:t xml:space="preserve"> </w:t>
      </w:r>
      <w:r w:rsidR="005E6DDE" w:rsidRPr="005E6DDE">
        <w:rPr>
          <w:iCs/>
        </w:rPr>
        <w:t>iesniedz</w:t>
      </w:r>
      <w:r w:rsidR="005E6DDE" w:rsidRPr="006636BF">
        <w:rPr>
          <w:iCs/>
        </w:rPr>
        <w:t xml:space="preserve"> </w:t>
      </w:r>
      <w:r w:rsidRPr="006636BF">
        <w:rPr>
          <w:iCs/>
        </w:rPr>
        <w:t xml:space="preserve">projekta iesniegumu un dokumentus, kas noteikti normatīvajos aktos par valsts un </w:t>
      </w:r>
      <w:r w:rsidRPr="006636BF">
        <w:rPr>
          <w:iCs/>
        </w:rPr>
        <w:lastRenderedPageBreak/>
        <w:t>Eiropas Savienības atbalsta piešķiršanu lauku un zivsaimniecības attīstībai konkrētam pasākumam</w:t>
      </w:r>
      <w:r>
        <w:rPr>
          <w:iCs/>
        </w:rPr>
        <w:t>. J</w:t>
      </w:r>
      <w:r w:rsidRPr="006636BF">
        <w:rPr>
          <w:iCs/>
        </w:rPr>
        <w:t xml:space="preserve">a atbalsta pretendents piesakās uz atbalstu saskaņā ar normatīvajiem aktiem par valsts un Eiropas Savienības atbalsta piešķiršanu lauku attīstībai apakšpasākumam "Darbību īstenošana saskaņā ar sabiedrības virzītu vietējās attīstības stratēģiju" vai normatīvajiem aktiem par valsts un Eiropas Savienības atbalsta piešķiršanu Eiropas Jūrlietu un zivsaimniecības fonda pasākumiem sabiedrības virzītu vietējās attīstības stratēģiju īstenošanai, </w:t>
      </w:r>
      <w:r>
        <w:rPr>
          <w:iCs/>
        </w:rPr>
        <w:t>tas</w:t>
      </w:r>
      <w:r w:rsidRPr="006636BF">
        <w:rPr>
          <w:iCs/>
        </w:rPr>
        <w:t xml:space="preserve"> projekta iesniegumu papīra dokumenta formā</w:t>
      </w:r>
      <w:r>
        <w:rPr>
          <w:iCs/>
        </w:rPr>
        <w:t xml:space="preserve"> personīgi</w:t>
      </w:r>
      <w:r w:rsidRPr="006636BF">
        <w:rPr>
          <w:iCs/>
        </w:rPr>
        <w:t xml:space="preserve"> iesniedz biedrībā vai nodibinājumā, kam piešķirts atbalsts sabiedrības virzītas vietējās attīstības stratēģijas īstenošanai atbilstoši normatīvajiem aktiem par valsts un Eiropas Savienības atbalsta piešķiršanu minētās stratēģijas īstenošanai (turpmāk – vietējā rīcības grupa). Ja projekta iesniegum</w:t>
      </w:r>
      <w:r w:rsidR="005E6DDE">
        <w:rPr>
          <w:iCs/>
        </w:rPr>
        <w:t>s</w:t>
      </w:r>
      <w:r w:rsidRPr="006636BF">
        <w:rPr>
          <w:iCs/>
        </w:rPr>
        <w:t xml:space="preserve"> iesnie</w:t>
      </w:r>
      <w:r w:rsidR="005E6DDE">
        <w:rPr>
          <w:iCs/>
        </w:rPr>
        <w:t>gts</w:t>
      </w:r>
      <w:r w:rsidRPr="006636BF">
        <w:rPr>
          <w:iCs/>
        </w:rPr>
        <w:t xml:space="preserve"> Lauku atbalsta dienestā, </w:t>
      </w:r>
      <w:r w:rsidR="005E6DDE">
        <w:rPr>
          <w:iCs/>
        </w:rPr>
        <w:t xml:space="preserve">Lauku atbalsta dienests </w:t>
      </w:r>
      <w:r w:rsidRPr="006636BF">
        <w:rPr>
          <w:iCs/>
        </w:rPr>
        <w:t>to nosūta vietējai rīcības grupai, lai novērtētu projekta iesniegum</w:t>
      </w:r>
      <w:r w:rsidR="005E6DDE">
        <w:rPr>
          <w:iCs/>
        </w:rPr>
        <w:t>a</w:t>
      </w:r>
      <w:r w:rsidRPr="006636BF">
        <w:rPr>
          <w:iCs/>
        </w:rPr>
        <w:t xml:space="preserve"> atbilst</w:t>
      </w:r>
      <w:r w:rsidR="005E6DDE">
        <w:rPr>
          <w:iCs/>
        </w:rPr>
        <w:t>ību</w:t>
      </w:r>
      <w:r w:rsidRPr="006636BF">
        <w:rPr>
          <w:iCs/>
        </w:rPr>
        <w:t xml:space="preserve"> vietējai attīstības stratēģijai.</w:t>
      </w:r>
      <w:r w:rsidR="002D35EA">
        <w:rPr>
          <w:iCs/>
        </w:rPr>
        <w:t>”</w:t>
      </w:r>
    </w:p>
    <w:p w:rsidR="00205452" w:rsidRPr="00205452" w:rsidRDefault="00205452" w:rsidP="001D2C7A">
      <w:pPr>
        <w:pStyle w:val="Sarakstarindkopa"/>
        <w:numPr>
          <w:ilvl w:val="0"/>
          <w:numId w:val="9"/>
        </w:numPr>
        <w:tabs>
          <w:tab w:val="left" w:pos="993"/>
        </w:tabs>
        <w:spacing w:before="120" w:after="0" w:line="240" w:lineRule="auto"/>
        <w:ind w:left="0" w:firstLine="709"/>
        <w:contextualSpacing w:val="0"/>
        <w:jc w:val="both"/>
        <w:rPr>
          <w:rFonts w:ascii="Times New Roman" w:eastAsia="Times New Roman" w:hAnsi="Times New Roman" w:cs="Times New Roman"/>
          <w:iCs/>
          <w:sz w:val="24"/>
          <w:szCs w:val="24"/>
          <w:lang w:eastAsia="lv-LV"/>
        </w:rPr>
      </w:pPr>
      <w:r w:rsidRPr="00205452">
        <w:rPr>
          <w:rFonts w:ascii="Times New Roman" w:eastAsia="Times New Roman" w:hAnsi="Times New Roman" w:cs="Times New Roman"/>
          <w:sz w:val="24"/>
          <w:szCs w:val="24"/>
          <w:lang w:eastAsia="lv-LV"/>
        </w:rPr>
        <w:t>Papildināt noteikumus ar 6.</w:t>
      </w:r>
      <w:r w:rsidRPr="00205452">
        <w:rPr>
          <w:rFonts w:ascii="Times New Roman" w:hAnsi="Times New Roman" w:cs="Times New Roman"/>
          <w:sz w:val="24"/>
          <w:szCs w:val="24"/>
          <w:vertAlign w:val="superscript"/>
        </w:rPr>
        <w:t>2 </w:t>
      </w:r>
      <w:r w:rsidRPr="00205452">
        <w:rPr>
          <w:rFonts w:ascii="Times New Roman" w:hAnsi="Times New Roman" w:cs="Times New Roman"/>
          <w:sz w:val="24"/>
          <w:szCs w:val="24"/>
        </w:rPr>
        <w:t>punktu šādā redakcijā:</w:t>
      </w:r>
    </w:p>
    <w:p w:rsidR="00205452" w:rsidRDefault="00205452" w:rsidP="002D35EA">
      <w:pPr>
        <w:shd w:val="clear" w:color="auto" w:fill="FFFFFF"/>
        <w:ind w:firstLine="709"/>
        <w:jc w:val="both"/>
      </w:pPr>
      <w:r w:rsidRPr="00205452">
        <w:t>“6.</w:t>
      </w:r>
      <w:r w:rsidRPr="00205452">
        <w:rPr>
          <w:vertAlign w:val="superscript"/>
        </w:rPr>
        <w:t>2</w:t>
      </w:r>
      <w:r w:rsidR="00452F9B">
        <w:t> Ja atbalsta pretendents ir</w:t>
      </w:r>
      <w:r w:rsidR="00330A5F">
        <w:t xml:space="preserve"> publiska persona</w:t>
      </w:r>
      <w:r w:rsidR="00C84B4B">
        <w:t xml:space="preserve"> vai tās iestāde</w:t>
      </w:r>
      <w:r w:rsidRPr="00205452">
        <w:t xml:space="preserve">, iepirkuma dokumentus, kas saistīti ar preces iegādi vai pakalpojumu, iesniedz kopā ar projektu iesniegumu vai projekta iesniegumam pievieno </w:t>
      </w:r>
      <w:r w:rsidR="000914C0">
        <w:t xml:space="preserve">informāciju par </w:t>
      </w:r>
      <w:r w:rsidRPr="00205452">
        <w:t>tirgus cenu izpēti un iepirkumu dokumentus iesniedz sešu mēnešu laikā pēc dienas, kad stājies spēkā Lauku atbalsta dienesta lēmums par projekta iesnieguma apstiprināšanu, bet ne vēlāk kā piecu darbdienu laikā pēc i</w:t>
      </w:r>
      <w:r w:rsidR="006D3B84">
        <w:t xml:space="preserve">epirkuma procedūras pabeigšanas, ja </w:t>
      </w:r>
      <w:r w:rsidR="005E6DDE">
        <w:t>attiecīgā</w:t>
      </w:r>
      <w:r w:rsidR="006D3B84">
        <w:t xml:space="preserve"> atbalsta saņemšan</w:t>
      </w:r>
      <w:r w:rsidR="005E6DDE">
        <w:t>u regulējošajos normatīvajos aktos nav noteikts cits termiņš</w:t>
      </w:r>
      <w:r w:rsidR="006D3B84">
        <w:t>.</w:t>
      </w:r>
      <w:r w:rsidRPr="00205452">
        <w:t>”</w:t>
      </w:r>
    </w:p>
    <w:p w:rsidR="003558AF" w:rsidRPr="001E789F" w:rsidRDefault="003558AF" w:rsidP="002D35EA">
      <w:pPr>
        <w:pStyle w:val="Sarakstarindkopa"/>
        <w:numPr>
          <w:ilvl w:val="0"/>
          <w:numId w:val="9"/>
        </w:numPr>
        <w:tabs>
          <w:tab w:val="left" w:pos="993"/>
        </w:tabs>
        <w:spacing w:before="120" w:after="120" w:line="240" w:lineRule="auto"/>
        <w:ind w:left="0" w:firstLine="709"/>
        <w:contextualSpacing w:val="0"/>
        <w:jc w:val="both"/>
        <w:rPr>
          <w:rFonts w:ascii="Times New Roman" w:hAnsi="Times New Roman" w:cs="Times New Roman"/>
          <w:iCs/>
          <w:sz w:val="24"/>
          <w:szCs w:val="24"/>
        </w:rPr>
      </w:pPr>
      <w:r w:rsidRPr="001E789F">
        <w:rPr>
          <w:rFonts w:ascii="Times New Roman" w:hAnsi="Times New Roman" w:cs="Times New Roman"/>
          <w:iCs/>
          <w:sz w:val="24"/>
          <w:szCs w:val="24"/>
        </w:rPr>
        <w:t>Papildināt 9.1.</w:t>
      </w:r>
      <w:r w:rsidR="005440EB" w:rsidRPr="001E789F">
        <w:rPr>
          <w:rFonts w:ascii="Times New Roman" w:hAnsi="Times New Roman" w:cs="Times New Roman"/>
          <w:iCs/>
          <w:sz w:val="24"/>
          <w:szCs w:val="24"/>
        </w:rPr>
        <w:t> </w:t>
      </w:r>
      <w:r w:rsidRPr="001E789F">
        <w:rPr>
          <w:rFonts w:ascii="Times New Roman" w:hAnsi="Times New Roman" w:cs="Times New Roman"/>
          <w:iCs/>
          <w:sz w:val="24"/>
          <w:szCs w:val="24"/>
        </w:rPr>
        <w:t>apakšpunktu aiz vārda „pārkāpums” ar vārdiem „projekta īstenošanas nozarē”.</w:t>
      </w:r>
    </w:p>
    <w:p w:rsidR="005449E9" w:rsidRDefault="005449E9" w:rsidP="002D35EA">
      <w:pPr>
        <w:pStyle w:val="Sarakstarindkopa"/>
        <w:numPr>
          <w:ilvl w:val="0"/>
          <w:numId w:val="9"/>
        </w:numPr>
        <w:tabs>
          <w:tab w:val="left" w:pos="993"/>
        </w:tabs>
        <w:spacing w:before="120"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Papildināt 10.1. apakšpunktu aiz </w:t>
      </w:r>
      <w:r w:rsidRPr="005449E9">
        <w:rPr>
          <w:rFonts w:ascii="Times New Roman" w:hAnsi="Times New Roman" w:cs="Times New Roman"/>
          <w:iCs/>
          <w:sz w:val="24"/>
          <w:szCs w:val="24"/>
        </w:rPr>
        <w:t>vārdiem “</w:t>
      </w:r>
      <w:r w:rsidRPr="005449E9">
        <w:rPr>
          <w:rFonts w:ascii="Times New Roman" w:eastAsia="Times New Roman" w:hAnsi="Times New Roman" w:cs="Times New Roman"/>
          <w:sz w:val="24"/>
          <w:szCs w:val="24"/>
          <w:lang w:eastAsia="lv-LV"/>
        </w:rPr>
        <w:t>tiesas spriedumu</w:t>
      </w:r>
      <w:r w:rsidRPr="005449E9">
        <w:rPr>
          <w:rFonts w:ascii="Times New Roman" w:hAnsi="Times New Roman" w:cs="Times New Roman"/>
          <w:iCs/>
          <w:sz w:val="24"/>
          <w:szCs w:val="24"/>
        </w:rPr>
        <w:t xml:space="preserve">” </w:t>
      </w:r>
      <w:r>
        <w:rPr>
          <w:rFonts w:ascii="Times New Roman" w:hAnsi="Times New Roman" w:cs="Times New Roman"/>
          <w:iCs/>
          <w:sz w:val="24"/>
          <w:szCs w:val="24"/>
        </w:rPr>
        <w:t>ar vārdiem “</w:t>
      </w:r>
      <w:r w:rsidRPr="00280887">
        <w:rPr>
          <w:rFonts w:ascii="Times New Roman" w:hAnsi="Times New Roman" w:cs="Times New Roman"/>
          <w:bCs/>
          <w:color w:val="000000"/>
          <w:sz w:val="24"/>
          <w:szCs w:val="24"/>
        </w:rPr>
        <w:t>vai lēmumu par piespiedu ietekmēšanas līdzekļa piemērošanu juridiskajai personai</w:t>
      </w:r>
      <w:r>
        <w:rPr>
          <w:rFonts w:ascii="Times New Roman" w:hAnsi="Times New Roman" w:cs="Times New Roman"/>
          <w:iCs/>
          <w:sz w:val="24"/>
          <w:szCs w:val="24"/>
        </w:rPr>
        <w:t>”.</w:t>
      </w:r>
    </w:p>
    <w:p w:rsidR="00D813B8" w:rsidRPr="00205452" w:rsidRDefault="005E6DDE" w:rsidP="002D35EA">
      <w:pPr>
        <w:pStyle w:val="Sarakstarindkopa"/>
        <w:numPr>
          <w:ilvl w:val="0"/>
          <w:numId w:val="9"/>
        </w:numPr>
        <w:shd w:val="clear" w:color="auto" w:fill="FFFFFF"/>
        <w:tabs>
          <w:tab w:val="left" w:pos="993"/>
          <w:tab w:val="left" w:pos="1701"/>
        </w:tabs>
        <w:spacing w:before="120"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sz w:val="24"/>
          <w:szCs w:val="24"/>
        </w:rPr>
        <w:t xml:space="preserve">Izteikt 10. punkta ievaddaļu </w:t>
      </w:r>
      <w:r w:rsidR="00D813B8" w:rsidRPr="00205452">
        <w:rPr>
          <w:rFonts w:ascii="Times New Roman" w:hAnsi="Times New Roman" w:cs="Times New Roman"/>
          <w:sz w:val="24"/>
          <w:szCs w:val="24"/>
        </w:rPr>
        <w:t>šādā redakcijā:</w:t>
      </w:r>
    </w:p>
    <w:p w:rsidR="006636BF" w:rsidRPr="006636BF" w:rsidRDefault="00D813B8" w:rsidP="002D35EA">
      <w:pPr>
        <w:ind w:firstLine="709"/>
        <w:jc w:val="both"/>
        <w:rPr>
          <w:iCs/>
        </w:rPr>
      </w:pPr>
      <w:r w:rsidRPr="00D813B8">
        <w:t>“</w:t>
      </w:r>
      <w:r w:rsidR="006636BF" w:rsidRPr="006636BF">
        <w:rPr>
          <w:iCs/>
        </w:rPr>
        <w:t>10. Lauku atbalsta dienests saskaņā ar šo noteikumu</w:t>
      </w:r>
      <w:r w:rsidR="00FC5FF3">
        <w:rPr>
          <w:iCs/>
        </w:rPr>
        <w:t xml:space="preserve"> </w:t>
      </w:r>
      <w:r w:rsidR="006636BF" w:rsidRPr="00FC5FF3">
        <w:rPr>
          <w:iCs/>
        </w:rPr>
        <w:t>9. pielikumu</w:t>
      </w:r>
      <w:r w:rsidR="00FC5FF3">
        <w:rPr>
          <w:iCs/>
        </w:rPr>
        <w:t xml:space="preserve"> </w:t>
      </w:r>
      <w:r w:rsidR="006636BF" w:rsidRPr="006636BF">
        <w:rPr>
          <w:iCs/>
        </w:rPr>
        <w:t>izslēdz no atbalsta saņēmēju loka projekta iesniedzēju</w:t>
      </w:r>
      <w:r w:rsidR="005E6DDE">
        <w:rPr>
          <w:iCs/>
        </w:rPr>
        <w:t xml:space="preserve"> – </w:t>
      </w:r>
      <w:r w:rsidR="006636BF" w:rsidRPr="006636BF">
        <w:rPr>
          <w:iCs/>
        </w:rPr>
        <w:t>fizisku personu</w:t>
      </w:r>
      <w:r w:rsidR="005E6DDE">
        <w:rPr>
          <w:iCs/>
        </w:rPr>
        <w:t xml:space="preserve"> vai</w:t>
      </w:r>
      <w:r w:rsidR="006636BF" w:rsidRPr="006636BF">
        <w:rPr>
          <w:iCs/>
        </w:rPr>
        <w:t xml:space="preserve"> privāto tiesību juridisku personu</w:t>
      </w:r>
      <w:r w:rsidR="005E6DDE">
        <w:rPr>
          <w:iCs/>
        </w:rPr>
        <w:t xml:space="preserve"> – </w:t>
      </w:r>
      <w:r w:rsidR="006636BF" w:rsidRPr="006636BF">
        <w:rPr>
          <w:iCs/>
        </w:rPr>
        <w:t>jebkurā no šādiem gadījumiem:</w:t>
      </w:r>
      <w:r w:rsidR="005E6DDE">
        <w:rPr>
          <w:iCs/>
        </w:rPr>
        <w:t>”</w:t>
      </w:r>
    </w:p>
    <w:p w:rsidR="006C121E" w:rsidRDefault="00CF1B27" w:rsidP="002D35EA">
      <w:pPr>
        <w:pStyle w:val="tv2132"/>
        <w:numPr>
          <w:ilvl w:val="0"/>
          <w:numId w:val="9"/>
        </w:numPr>
        <w:tabs>
          <w:tab w:val="left" w:pos="993"/>
        </w:tabs>
        <w:spacing w:before="120" w:line="240" w:lineRule="auto"/>
        <w:ind w:left="0" w:firstLine="709"/>
        <w:jc w:val="both"/>
        <w:rPr>
          <w:color w:val="auto"/>
          <w:sz w:val="24"/>
          <w:szCs w:val="24"/>
        </w:rPr>
      </w:pPr>
      <w:r w:rsidRPr="00205452">
        <w:rPr>
          <w:color w:val="auto"/>
          <w:sz w:val="24"/>
          <w:szCs w:val="24"/>
        </w:rPr>
        <w:t>Aizstāt</w:t>
      </w:r>
      <w:r w:rsidR="007669AC" w:rsidRPr="00205452">
        <w:rPr>
          <w:color w:val="auto"/>
          <w:sz w:val="24"/>
          <w:szCs w:val="24"/>
        </w:rPr>
        <w:t xml:space="preserve"> </w:t>
      </w:r>
      <w:r w:rsidRPr="00205452">
        <w:rPr>
          <w:color w:val="auto"/>
          <w:sz w:val="24"/>
          <w:szCs w:val="24"/>
        </w:rPr>
        <w:t>14.2</w:t>
      </w:r>
      <w:r w:rsidR="00965828" w:rsidRPr="00205452">
        <w:rPr>
          <w:color w:val="auto"/>
          <w:sz w:val="24"/>
          <w:szCs w:val="24"/>
        </w:rPr>
        <w:t>.</w:t>
      </w:r>
      <w:r w:rsidR="005B75E7" w:rsidRPr="00205452">
        <w:rPr>
          <w:color w:val="auto"/>
          <w:sz w:val="24"/>
          <w:szCs w:val="24"/>
        </w:rPr>
        <w:t> </w:t>
      </w:r>
      <w:r w:rsidRPr="00205452">
        <w:rPr>
          <w:color w:val="auto"/>
          <w:sz w:val="24"/>
          <w:szCs w:val="24"/>
        </w:rPr>
        <w:t>apakš</w:t>
      </w:r>
      <w:r w:rsidR="00965828" w:rsidRPr="00205452">
        <w:rPr>
          <w:color w:val="auto"/>
          <w:sz w:val="24"/>
          <w:szCs w:val="24"/>
        </w:rPr>
        <w:t>p</w:t>
      </w:r>
      <w:r w:rsidR="007669AC" w:rsidRPr="00205452">
        <w:rPr>
          <w:color w:val="auto"/>
          <w:sz w:val="24"/>
          <w:szCs w:val="24"/>
        </w:rPr>
        <w:t>unkt</w:t>
      </w:r>
      <w:r w:rsidRPr="00205452">
        <w:rPr>
          <w:color w:val="auto"/>
          <w:sz w:val="24"/>
          <w:szCs w:val="24"/>
        </w:rPr>
        <w:t>ā vārdus „sarindo konkrētā vietējā rīcības grupa”</w:t>
      </w:r>
      <w:r w:rsidR="007669AC" w:rsidRPr="00205452">
        <w:rPr>
          <w:color w:val="auto"/>
          <w:sz w:val="24"/>
          <w:szCs w:val="24"/>
        </w:rPr>
        <w:t xml:space="preserve"> </w:t>
      </w:r>
      <w:r w:rsidRPr="00205452">
        <w:rPr>
          <w:color w:val="auto"/>
          <w:sz w:val="24"/>
          <w:szCs w:val="24"/>
        </w:rPr>
        <w:t>ar vārdiem „sarindo atbilstoši konkrētās vietējā</w:t>
      </w:r>
      <w:r w:rsidR="000914C0">
        <w:rPr>
          <w:color w:val="auto"/>
          <w:sz w:val="24"/>
          <w:szCs w:val="24"/>
        </w:rPr>
        <w:t>s</w:t>
      </w:r>
      <w:r w:rsidRPr="00205452">
        <w:rPr>
          <w:color w:val="auto"/>
          <w:sz w:val="24"/>
          <w:szCs w:val="24"/>
        </w:rPr>
        <w:t xml:space="preserve"> rīcības grupas piešķirto punktu skaitam”.</w:t>
      </w:r>
    </w:p>
    <w:p w:rsidR="00A17628" w:rsidRPr="00205452" w:rsidRDefault="00A17628" w:rsidP="001D2C7A">
      <w:pPr>
        <w:pStyle w:val="tv2132"/>
        <w:numPr>
          <w:ilvl w:val="0"/>
          <w:numId w:val="9"/>
        </w:numPr>
        <w:tabs>
          <w:tab w:val="left" w:pos="709"/>
          <w:tab w:val="left" w:pos="993"/>
        </w:tabs>
        <w:spacing w:before="120" w:line="240" w:lineRule="auto"/>
        <w:ind w:left="0" w:firstLine="709"/>
        <w:jc w:val="both"/>
        <w:rPr>
          <w:color w:val="auto"/>
          <w:sz w:val="24"/>
          <w:szCs w:val="24"/>
        </w:rPr>
      </w:pPr>
      <w:r w:rsidRPr="00205452">
        <w:rPr>
          <w:color w:val="auto"/>
          <w:sz w:val="24"/>
          <w:szCs w:val="24"/>
        </w:rPr>
        <w:t>Izteikt 14.3</w:t>
      </w:r>
      <w:r w:rsidR="00CF1B27" w:rsidRPr="00205452">
        <w:rPr>
          <w:color w:val="auto"/>
          <w:sz w:val="24"/>
          <w:szCs w:val="24"/>
        </w:rPr>
        <w:t>.</w:t>
      </w:r>
      <w:r w:rsidR="005440EB">
        <w:rPr>
          <w:color w:val="auto"/>
          <w:sz w:val="24"/>
          <w:szCs w:val="24"/>
        </w:rPr>
        <w:t> </w:t>
      </w:r>
      <w:r w:rsidR="00CF1B27" w:rsidRPr="00205452">
        <w:rPr>
          <w:color w:val="auto"/>
          <w:sz w:val="24"/>
          <w:szCs w:val="24"/>
        </w:rPr>
        <w:t xml:space="preserve">apakšpunkta </w:t>
      </w:r>
      <w:r w:rsidRPr="00205452">
        <w:rPr>
          <w:color w:val="auto"/>
          <w:sz w:val="24"/>
          <w:szCs w:val="24"/>
        </w:rPr>
        <w:t>šādā redakcijā:</w:t>
      </w:r>
    </w:p>
    <w:p w:rsidR="00A17628" w:rsidRDefault="005440EB" w:rsidP="002D35EA">
      <w:pPr>
        <w:pStyle w:val="tv2132"/>
        <w:tabs>
          <w:tab w:val="left" w:pos="709"/>
        </w:tabs>
        <w:spacing w:line="240" w:lineRule="auto"/>
        <w:ind w:firstLine="709"/>
        <w:jc w:val="both"/>
        <w:rPr>
          <w:color w:val="auto"/>
          <w:sz w:val="24"/>
          <w:szCs w:val="24"/>
        </w:rPr>
      </w:pPr>
      <w:r>
        <w:rPr>
          <w:color w:val="auto"/>
          <w:sz w:val="24"/>
          <w:szCs w:val="24"/>
        </w:rPr>
        <w:t>„14.3. </w:t>
      </w:r>
      <w:r w:rsidR="00A17628" w:rsidRPr="00205452">
        <w:rPr>
          <w:color w:val="auto"/>
          <w:sz w:val="24"/>
          <w:szCs w:val="24"/>
        </w:rPr>
        <w:t>pēc projektu iesniegumu sarindošanas turpina vērtēt tos projektu iesniegumus, kuri ir saņēmuši vismaz minimālo punktu skaitu, kas noteikts normatīvajos aktos par valsts un Eiropas Savienības atbalsta piešķiršanu lauku un zivsaimniecības attīstībai konkrētam pasākumam</w:t>
      </w:r>
      <w:r w:rsidR="000914C0">
        <w:rPr>
          <w:color w:val="auto"/>
          <w:sz w:val="24"/>
          <w:szCs w:val="24"/>
        </w:rPr>
        <w:t>,</w:t>
      </w:r>
      <w:r w:rsidR="00A17628" w:rsidRPr="00205452">
        <w:rPr>
          <w:color w:val="auto"/>
          <w:sz w:val="24"/>
          <w:szCs w:val="24"/>
        </w:rPr>
        <w:t xml:space="preserve"> un kuru īstenošanai attiecīgajā kārtā publiskais finansējums ir pietiekams vismaz 50</w:t>
      </w:r>
      <w:r w:rsidR="00CA2D51">
        <w:rPr>
          <w:color w:val="auto"/>
          <w:sz w:val="24"/>
          <w:szCs w:val="24"/>
        </w:rPr>
        <w:t xml:space="preserve"> procentu</w:t>
      </w:r>
      <w:r w:rsidR="00A17628" w:rsidRPr="00205452">
        <w:rPr>
          <w:color w:val="auto"/>
          <w:sz w:val="24"/>
          <w:szCs w:val="24"/>
        </w:rPr>
        <w:t xml:space="preserve"> apmērā. Tos projektu iesniegumus, k</w:t>
      </w:r>
      <w:r w:rsidR="000914C0">
        <w:rPr>
          <w:color w:val="auto"/>
          <w:sz w:val="24"/>
          <w:szCs w:val="24"/>
        </w:rPr>
        <w:t>a</w:t>
      </w:r>
      <w:r w:rsidR="00A17628" w:rsidRPr="00205452">
        <w:rPr>
          <w:color w:val="auto"/>
          <w:sz w:val="24"/>
          <w:szCs w:val="24"/>
        </w:rPr>
        <w:t xml:space="preserve">m piešķirtais punktu skaits publiskā finansējuma iegūšanai attiecīgajā kārtā nav pietiekams, noraida, ja nav pieņemts lēmums par papildu finanšu piešķiršanu vai finanšu pārdali konkrētā atbalsta pasākuma kārtā piešķirtās publiskā finansējuma summas </w:t>
      </w:r>
      <w:r w:rsidR="000914C0">
        <w:rPr>
          <w:color w:val="auto"/>
          <w:sz w:val="24"/>
          <w:szCs w:val="24"/>
        </w:rPr>
        <w:t>robežās</w:t>
      </w:r>
      <w:r w:rsidR="00A17628" w:rsidRPr="00205452">
        <w:rPr>
          <w:color w:val="auto"/>
          <w:sz w:val="24"/>
          <w:szCs w:val="24"/>
        </w:rPr>
        <w:t>;”.</w:t>
      </w:r>
    </w:p>
    <w:p w:rsidR="00301118" w:rsidRDefault="00A17628" w:rsidP="002D35EA">
      <w:pPr>
        <w:pStyle w:val="tv2132"/>
        <w:numPr>
          <w:ilvl w:val="0"/>
          <w:numId w:val="9"/>
        </w:numPr>
        <w:tabs>
          <w:tab w:val="left" w:pos="0"/>
          <w:tab w:val="left" w:pos="993"/>
          <w:tab w:val="left" w:pos="1134"/>
        </w:tabs>
        <w:spacing w:before="120" w:line="240" w:lineRule="auto"/>
        <w:ind w:left="0" w:firstLine="709"/>
        <w:jc w:val="both"/>
        <w:rPr>
          <w:color w:val="auto"/>
          <w:sz w:val="24"/>
          <w:szCs w:val="24"/>
        </w:rPr>
      </w:pPr>
      <w:r w:rsidRPr="00205452">
        <w:rPr>
          <w:color w:val="auto"/>
          <w:sz w:val="24"/>
          <w:szCs w:val="24"/>
        </w:rPr>
        <w:t>Papildināt 14.5.</w:t>
      </w:r>
      <w:r w:rsidR="005440EB">
        <w:rPr>
          <w:color w:val="auto"/>
          <w:sz w:val="24"/>
          <w:szCs w:val="24"/>
        </w:rPr>
        <w:t> </w:t>
      </w:r>
      <w:r w:rsidRPr="00205452">
        <w:rPr>
          <w:color w:val="auto"/>
          <w:sz w:val="24"/>
          <w:szCs w:val="24"/>
        </w:rPr>
        <w:t>apakšpunktu aiz vārda „finansējumu,” ar vārdiem „piecu mēnešu laikā pēc projekta iesniegumu iesniegšanas kārtas beigām”.</w:t>
      </w:r>
    </w:p>
    <w:p w:rsidR="008A23FC" w:rsidRPr="008A23FC" w:rsidRDefault="008A23FC" w:rsidP="001D2C7A">
      <w:pPr>
        <w:pStyle w:val="tv2132"/>
        <w:numPr>
          <w:ilvl w:val="0"/>
          <w:numId w:val="9"/>
        </w:numPr>
        <w:tabs>
          <w:tab w:val="left" w:pos="709"/>
          <w:tab w:val="left" w:pos="1134"/>
        </w:tabs>
        <w:spacing w:before="120" w:line="240" w:lineRule="auto"/>
        <w:ind w:left="0" w:firstLine="709"/>
        <w:jc w:val="both"/>
        <w:rPr>
          <w:color w:val="auto"/>
          <w:sz w:val="24"/>
          <w:szCs w:val="24"/>
        </w:rPr>
      </w:pPr>
      <w:r w:rsidRPr="008A23FC">
        <w:rPr>
          <w:color w:val="auto"/>
          <w:sz w:val="24"/>
          <w:szCs w:val="24"/>
        </w:rPr>
        <w:t>Izteikt 23. punktu šādā redakcijā:</w:t>
      </w:r>
    </w:p>
    <w:p w:rsidR="008A23FC" w:rsidRDefault="008A23FC" w:rsidP="002D35EA">
      <w:pPr>
        <w:shd w:val="clear" w:color="auto" w:fill="FFFFFF"/>
        <w:spacing w:line="293" w:lineRule="atLeast"/>
        <w:ind w:firstLine="709"/>
        <w:jc w:val="both"/>
        <w:rPr>
          <w:rFonts w:eastAsiaTheme="minorHAnsi"/>
          <w:lang w:eastAsia="en-US"/>
        </w:rPr>
      </w:pPr>
      <w:r w:rsidRPr="008A23FC">
        <w:rPr>
          <w:rFonts w:eastAsiaTheme="minorHAnsi"/>
          <w:lang w:eastAsia="en-US"/>
        </w:rPr>
        <w:t>“</w:t>
      </w:r>
      <w:r w:rsidR="005440EB">
        <w:t>23. </w:t>
      </w:r>
      <w:r w:rsidR="000914C0" w:rsidRPr="008A23FC">
        <w:t xml:space="preserve">Lauku atbalsta dienests </w:t>
      </w:r>
      <w:r w:rsidR="000914C0">
        <w:t>š</w:t>
      </w:r>
      <w:r w:rsidR="005440EB">
        <w:t xml:space="preserve">o noteikumu 18. punktā </w:t>
      </w:r>
      <w:r w:rsidRPr="008A23FC">
        <w:t xml:space="preserve">minēto lēmumu 10 darbdienu laikā </w:t>
      </w:r>
      <w:r w:rsidR="00B42819">
        <w:t xml:space="preserve">pēc </w:t>
      </w:r>
      <w:r w:rsidR="000914C0">
        <w:t>tā</w:t>
      </w:r>
      <w:r w:rsidR="00B42819">
        <w:t xml:space="preserve"> pieņemšanas </w:t>
      </w:r>
      <w:r w:rsidR="00CA2D51">
        <w:t xml:space="preserve">paziņo atbalsta pretendentam </w:t>
      </w:r>
      <w:r w:rsidRPr="008A23FC">
        <w:t xml:space="preserve">elektroniski, ja </w:t>
      </w:r>
      <w:r w:rsidR="000914C0">
        <w:t>pretendents</w:t>
      </w:r>
      <w:r w:rsidRPr="008A23FC">
        <w:t xml:space="preserve"> ir Lauku atbalsta dienesta elektroniskās pieteikšanās sistēmas lietotājs, vai nosūt</w:t>
      </w:r>
      <w:r w:rsidR="000914C0">
        <w:t>a</w:t>
      </w:r>
      <w:r w:rsidR="00CA2D51">
        <w:t xml:space="preserve"> pa pastu</w:t>
      </w:r>
      <w:r w:rsidRPr="008A23FC">
        <w:t>.</w:t>
      </w:r>
      <w:r w:rsidRPr="008A23FC">
        <w:rPr>
          <w:rFonts w:eastAsiaTheme="minorHAnsi"/>
          <w:lang w:eastAsia="en-US"/>
        </w:rPr>
        <w:t>”</w:t>
      </w:r>
    </w:p>
    <w:p w:rsidR="00812A7F" w:rsidRPr="00812A7F" w:rsidRDefault="00185424" w:rsidP="00A16BF6">
      <w:pPr>
        <w:pStyle w:val="Sarakstarindkopa"/>
        <w:numPr>
          <w:ilvl w:val="0"/>
          <w:numId w:val="9"/>
        </w:numPr>
        <w:shd w:val="clear" w:color="auto" w:fill="FFFFFF"/>
        <w:tabs>
          <w:tab w:val="left" w:pos="1134"/>
        </w:tabs>
        <w:spacing w:before="120" w:line="293" w:lineRule="atLeast"/>
        <w:ind w:hanging="219"/>
        <w:jc w:val="both"/>
        <w:rPr>
          <w:rFonts w:ascii="Times New Roman" w:hAnsi="Times New Roman" w:cs="Times New Roman"/>
          <w:sz w:val="24"/>
          <w:szCs w:val="24"/>
        </w:rPr>
      </w:pPr>
      <w:r>
        <w:rPr>
          <w:rFonts w:ascii="Times New Roman" w:hAnsi="Times New Roman" w:cs="Times New Roman"/>
          <w:sz w:val="24"/>
          <w:szCs w:val="24"/>
        </w:rPr>
        <w:t>Izteikt</w:t>
      </w:r>
      <w:r w:rsidR="00812A7F" w:rsidRPr="00812A7F">
        <w:rPr>
          <w:rFonts w:ascii="Times New Roman" w:hAnsi="Times New Roman" w:cs="Times New Roman"/>
          <w:sz w:val="24"/>
          <w:szCs w:val="24"/>
        </w:rPr>
        <w:t xml:space="preserve"> 26.punktu</w:t>
      </w:r>
      <w:r>
        <w:rPr>
          <w:rFonts w:ascii="Times New Roman" w:hAnsi="Times New Roman" w:cs="Times New Roman"/>
          <w:sz w:val="24"/>
          <w:szCs w:val="24"/>
        </w:rPr>
        <w:t xml:space="preserve"> </w:t>
      </w:r>
      <w:r w:rsidR="00812A7F" w:rsidRPr="00812A7F">
        <w:rPr>
          <w:rFonts w:ascii="Times New Roman" w:hAnsi="Times New Roman" w:cs="Times New Roman"/>
          <w:sz w:val="24"/>
          <w:szCs w:val="24"/>
        </w:rPr>
        <w:t xml:space="preserve">šādā </w:t>
      </w:r>
      <w:r w:rsidR="00812A7F">
        <w:rPr>
          <w:rFonts w:ascii="Times New Roman" w:hAnsi="Times New Roman" w:cs="Times New Roman"/>
          <w:sz w:val="24"/>
          <w:szCs w:val="24"/>
        </w:rPr>
        <w:t>r</w:t>
      </w:r>
      <w:r w:rsidR="00812A7F" w:rsidRPr="00812A7F">
        <w:rPr>
          <w:rFonts w:ascii="Times New Roman" w:hAnsi="Times New Roman" w:cs="Times New Roman"/>
          <w:sz w:val="24"/>
          <w:szCs w:val="24"/>
        </w:rPr>
        <w:t>edakcijā:</w:t>
      </w:r>
    </w:p>
    <w:p w:rsidR="00812A7F" w:rsidRPr="00812A7F" w:rsidRDefault="00812A7F" w:rsidP="00812A7F">
      <w:pPr>
        <w:pStyle w:val="Sarakstarindkopa"/>
        <w:shd w:val="clear" w:color="auto" w:fill="FFFFFF"/>
        <w:spacing w:before="120" w:line="293" w:lineRule="atLeast"/>
        <w:ind w:left="0" w:firstLine="709"/>
        <w:jc w:val="both"/>
        <w:rPr>
          <w:rFonts w:ascii="Times New Roman" w:hAnsi="Times New Roman" w:cs="Times New Roman"/>
          <w:sz w:val="24"/>
          <w:szCs w:val="24"/>
        </w:rPr>
      </w:pPr>
      <w:r w:rsidRPr="00812A7F">
        <w:rPr>
          <w:rFonts w:ascii="Times New Roman" w:hAnsi="Times New Roman" w:cs="Times New Roman"/>
          <w:sz w:val="24"/>
          <w:szCs w:val="24"/>
        </w:rPr>
        <w:lastRenderedPageBreak/>
        <w:t>„</w:t>
      </w:r>
      <w:r w:rsidR="00185424" w:rsidRPr="00185424">
        <w:rPr>
          <w:rFonts w:ascii="Times New Roman" w:hAnsi="Times New Roman" w:cs="Times New Roman"/>
          <w:sz w:val="24"/>
          <w:szCs w:val="24"/>
        </w:rPr>
        <w:t xml:space="preserve">26. Atbalsta pretendents ir tiesīgs uzsākt projekta īstenošanu pēc projekta iesnieguma iesniegšanas Lauku atbalsta dienestā, uzņemoties pilnu finanšu risku. </w:t>
      </w:r>
      <w:r w:rsidRPr="00812A7F">
        <w:rPr>
          <w:rFonts w:ascii="Times New Roman" w:hAnsi="Times New Roman" w:cs="Times New Roman"/>
          <w:sz w:val="24"/>
          <w:szCs w:val="24"/>
        </w:rPr>
        <w:t xml:space="preserve">Ja projekta iesniegumu iesniedz saskaņā ar normatīvajiem aktiem par valsts un Eiropas Savienības atbalsta piešķiršanu lauku attīstībai apakšpasākumā „Darbību īstenošana saskaņā ar sabiedrības virzītas vietējās attīstības stratēģiju” vai normatīvajiem aktiem par valsts un Eiropas Savienības atbalsta piešķiršanu Eiropas Jūrlietu un zivsaimniecības fonda pasākumiem sabiedrības virzītas vietējās attīstības stratēģiju īstenošanai, atbalsta pretendents ir tiesīgs uzsākt projekta īstenošanu </w:t>
      </w:r>
      <w:r w:rsidR="00185424">
        <w:rPr>
          <w:rFonts w:ascii="Times New Roman" w:hAnsi="Times New Roman" w:cs="Times New Roman"/>
          <w:sz w:val="24"/>
          <w:szCs w:val="24"/>
        </w:rPr>
        <w:t xml:space="preserve">pēc tam, </w:t>
      </w:r>
      <w:r w:rsidRPr="00812A7F">
        <w:rPr>
          <w:rFonts w:ascii="Times New Roman" w:hAnsi="Times New Roman" w:cs="Times New Roman"/>
          <w:sz w:val="24"/>
          <w:szCs w:val="24"/>
        </w:rPr>
        <w:t xml:space="preserve">kad vietējā rīcības grupa </w:t>
      </w:r>
      <w:r w:rsidR="00185424">
        <w:rPr>
          <w:rFonts w:ascii="Times New Roman" w:hAnsi="Times New Roman" w:cs="Times New Roman"/>
          <w:sz w:val="24"/>
          <w:szCs w:val="24"/>
        </w:rPr>
        <w:t xml:space="preserve">projekta iesniegumu </w:t>
      </w:r>
      <w:r w:rsidR="000914C0">
        <w:rPr>
          <w:rFonts w:ascii="Times New Roman" w:hAnsi="Times New Roman" w:cs="Times New Roman"/>
          <w:sz w:val="24"/>
          <w:szCs w:val="24"/>
        </w:rPr>
        <w:t xml:space="preserve">ir </w:t>
      </w:r>
      <w:r w:rsidRPr="00812A7F">
        <w:rPr>
          <w:rFonts w:ascii="Times New Roman" w:hAnsi="Times New Roman" w:cs="Times New Roman"/>
          <w:sz w:val="24"/>
          <w:szCs w:val="24"/>
        </w:rPr>
        <w:t>iesniegusi Lauku atbalsta dienestā.</w:t>
      </w:r>
      <w:r w:rsidR="00185424" w:rsidRPr="00185424">
        <w:t xml:space="preserve"> </w:t>
      </w:r>
      <w:r w:rsidR="00185424" w:rsidRPr="00185424">
        <w:rPr>
          <w:rFonts w:ascii="Times New Roman" w:hAnsi="Times New Roman" w:cs="Times New Roman"/>
          <w:sz w:val="24"/>
          <w:szCs w:val="24"/>
        </w:rPr>
        <w:t>Atbalsta pretendents (fiziska persona), kam saskaņā ar normatīvajiem aktiem par valsts un Eiropas Savienības atbalsta piešķiršanu lauku un zivsaimniecības attīstībai konkrētam pasākumam ir jāiegūst komersanta, zemnieku saimniecības vai saimnieciskās darbības veicēja statuss, ir tiesīgs uzsākt projekta īstenošanu pēc attiecīgā statusa reģistrācijas Uzņēmumu reģistrā vai Valsts ieņēmumu dienestā. Ja Lauku atbalsta dienests pieņem lēmumu par projekta noraidīšanu, atbalsta pretendents sedz visus ar projekta īstenošanu saistītos izdevumus.</w:t>
      </w:r>
      <w:r w:rsidRPr="00812A7F">
        <w:rPr>
          <w:rFonts w:ascii="Times New Roman" w:hAnsi="Times New Roman" w:cs="Times New Roman"/>
          <w:sz w:val="24"/>
          <w:szCs w:val="24"/>
        </w:rPr>
        <w:t>”</w:t>
      </w:r>
    </w:p>
    <w:p w:rsidR="00A17628" w:rsidRPr="008A23FC" w:rsidRDefault="00A17628" w:rsidP="001E789F">
      <w:pPr>
        <w:pStyle w:val="tv2132"/>
        <w:numPr>
          <w:ilvl w:val="0"/>
          <w:numId w:val="9"/>
        </w:numPr>
        <w:tabs>
          <w:tab w:val="left" w:pos="709"/>
        </w:tabs>
        <w:spacing w:before="120" w:line="240" w:lineRule="auto"/>
        <w:ind w:left="1066" w:hanging="357"/>
        <w:jc w:val="both"/>
        <w:rPr>
          <w:color w:val="auto"/>
          <w:sz w:val="24"/>
          <w:szCs w:val="24"/>
        </w:rPr>
      </w:pPr>
      <w:r w:rsidRPr="008A23FC">
        <w:rPr>
          <w:color w:val="auto"/>
          <w:sz w:val="24"/>
          <w:szCs w:val="24"/>
        </w:rPr>
        <w:t>Svītrot 29.1.5.</w:t>
      </w:r>
      <w:r w:rsidR="005440EB">
        <w:rPr>
          <w:color w:val="auto"/>
          <w:sz w:val="24"/>
          <w:szCs w:val="24"/>
        </w:rPr>
        <w:t> </w:t>
      </w:r>
      <w:r w:rsidRPr="008A23FC">
        <w:rPr>
          <w:color w:val="auto"/>
          <w:sz w:val="24"/>
          <w:szCs w:val="24"/>
        </w:rPr>
        <w:t>apakšpunkt</w:t>
      </w:r>
      <w:r w:rsidR="005E6DDE">
        <w:rPr>
          <w:color w:val="auto"/>
          <w:sz w:val="24"/>
          <w:szCs w:val="24"/>
        </w:rPr>
        <w:t>a</w:t>
      </w:r>
      <w:r w:rsidRPr="008A23FC">
        <w:rPr>
          <w:color w:val="auto"/>
          <w:sz w:val="24"/>
          <w:szCs w:val="24"/>
        </w:rPr>
        <w:t xml:space="preserve"> trešo teikumu.</w:t>
      </w:r>
    </w:p>
    <w:p w:rsidR="00A17B32" w:rsidRPr="00205452" w:rsidRDefault="005B4E92" w:rsidP="001E789F">
      <w:pPr>
        <w:pStyle w:val="tv2132"/>
        <w:numPr>
          <w:ilvl w:val="0"/>
          <w:numId w:val="9"/>
        </w:numPr>
        <w:tabs>
          <w:tab w:val="left" w:pos="709"/>
        </w:tabs>
        <w:spacing w:before="120" w:line="240" w:lineRule="auto"/>
        <w:ind w:left="1066" w:hanging="357"/>
        <w:jc w:val="both"/>
        <w:rPr>
          <w:color w:val="auto"/>
          <w:sz w:val="24"/>
          <w:szCs w:val="24"/>
        </w:rPr>
      </w:pPr>
      <w:r w:rsidRPr="00205452">
        <w:rPr>
          <w:color w:val="auto"/>
          <w:sz w:val="24"/>
          <w:szCs w:val="24"/>
        </w:rPr>
        <w:t>Izteikt</w:t>
      </w:r>
      <w:r w:rsidR="00A17B32" w:rsidRPr="00205452">
        <w:rPr>
          <w:color w:val="auto"/>
          <w:sz w:val="24"/>
          <w:szCs w:val="24"/>
        </w:rPr>
        <w:t xml:space="preserve"> </w:t>
      </w:r>
      <w:r w:rsidR="00CF1B27" w:rsidRPr="00205452">
        <w:rPr>
          <w:color w:val="auto"/>
          <w:sz w:val="24"/>
          <w:szCs w:val="24"/>
        </w:rPr>
        <w:t>36.</w:t>
      </w:r>
      <w:r w:rsidR="005440EB">
        <w:rPr>
          <w:color w:val="auto"/>
          <w:sz w:val="24"/>
          <w:szCs w:val="24"/>
        </w:rPr>
        <w:t> </w:t>
      </w:r>
      <w:r w:rsidR="00CF1B27" w:rsidRPr="00205452">
        <w:rPr>
          <w:color w:val="auto"/>
          <w:sz w:val="24"/>
          <w:szCs w:val="24"/>
        </w:rPr>
        <w:t xml:space="preserve">punktu </w:t>
      </w:r>
      <w:r w:rsidRPr="00205452">
        <w:rPr>
          <w:color w:val="auto"/>
          <w:sz w:val="24"/>
          <w:szCs w:val="24"/>
        </w:rPr>
        <w:t>šādā redakcijā:</w:t>
      </w:r>
    </w:p>
    <w:p w:rsidR="005B4E92" w:rsidRDefault="005440EB" w:rsidP="005E6DDE">
      <w:pPr>
        <w:pStyle w:val="tv2132"/>
        <w:tabs>
          <w:tab w:val="left" w:pos="709"/>
        </w:tabs>
        <w:spacing w:line="240" w:lineRule="auto"/>
        <w:ind w:firstLine="709"/>
        <w:jc w:val="both"/>
        <w:rPr>
          <w:color w:val="auto"/>
          <w:sz w:val="24"/>
          <w:szCs w:val="24"/>
        </w:rPr>
      </w:pPr>
      <w:r>
        <w:rPr>
          <w:color w:val="auto"/>
          <w:sz w:val="24"/>
          <w:szCs w:val="24"/>
        </w:rPr>
        <w:t>„36. </w:t>
      </w:r>
      <w:r w:rsidR="00EE055F" w:rsidRPr="00205452">
        <w:rPr>
          <w:color w:val="auto"/>
          <w:sz w:val="24"/>
          <w:szCs w:val="24"/>
        </w:rPr>
        <w:t>Atbalsta saņēmēji (arī tie, kas saņēmuši finansējumu no Eiropas Jūrlietu un zivsaimniecības fonda) no</w:t>
      </w:r>
      <w:r>
        <w:rPr>
          <w:color w:val="auto"/>
          <w:sz w:val="24"/>
          <w:szCs w:val="24"/>
        </w:rPr>
        <w:t>drošina regulas Nr.</w:t>
      </w:r>
      <w:r w:rsidR="00185424">
        <w:rPr>
          <w:color w:val="auto"/>
          <w:sz w:val="24"/>
          <w:szCs w:val="24"/>
        </w:rPr>
        <w:t> </w:t>
      </w:r>
      <w:r>
        <w:rPr>
          <w:color w:val="auto"/>
          <w:sz w:val="24"/>
          <w:szCs w:val="24"/>
        </w:rPr>
        <w:t>808/2014 3. pielikuma 1. daļas 2. </w:t>
      </w:r>
      <w:r w:rsidR="00EE055F" w:rsidRPr="00205452">
        <w:rPr>
          <w:color w:val="auto"/>
          <w:sz w:val="24"/>
          <w:szCs w:val="24"/>
        </w:rPr>
        <w:t xml:space="preserve">punktā minēto pienākumu izpildi. </w:t>
      </w:r>
      <w:r w:rsidR="005E6DDE">
        <w:rPr>
          <w:color w:val="auto"/>
          <w:sz w:val="24"/>
          <w:szCs w:val="24"/>
        </w:rPr>
        <w:t xml:space="preserve">Atbilstoši </w:t>
      </w:r>
      <w:r w:rsidR="00EE055F" w:rsidRPr="00205452">
        <w:rPr>
          <w:color w:val="auto"/>
          <w:sz w:val="24"/>
          <w:szCs w:val="24"/>
        </w:rPr>
        <w:t>regul</w:t>
      </w:r>
      <w:r>
        <w:rPr>
          <w:color w:val="auto"/>
          <w:sz w:val="24"/>
          <w:szCs w:val="24"/>
        </w:rPr>
        <w:t>as Nr.</w:t>
      </w:r>
      <w:r w:rsidR="005E6DDE">
        <w:rPr>
          <w:color w:val="auto"/>
          <w:sz w:val="24"/>
          <w:szCs w:val="24"/>
        </w:rPr>
        <w:t> </w:t>
      </w:r>
      <w:r>
        <w:rPr>
          <w:color w:val="auto"/>
          <w:sz w:val="24"/>
          <w:szCs w:val="24"/>
        </w:rPr>
        <w:t>808/2014 3. pielikuma 1. daļas 2. </w:t>
      </w:r>
      <w:r w:rsidR="00EE055F" w:rsidRPr="00205452">
        <w:rPr>
          <w:color w:val="auto"/>
          <w:sz w:val="24"/>
          <w:szCs w:val="24"/>
        </w:rPr>
        <w:t xml:space="preserve">punkta </w:t>
      </w:r>
      <w:r w:rsidR="005E6DDE">
        <w:rPr>
          <w:color w:val="auto"/>
          <w:sz w:val="24"/>
          <w:szCs w:val="24"/>
        </w:rPr>
        <w:t>“</w:t>
      </w:r>
      <w:r w:rsidR="00EE055F" w:rsidRPr="00205452">
        <w:rPr>
          <w:color w:val="auto"/>
          <w:sz w:val="24"/>
          <w:szCs w:val="24"/>
        </w:rPr>
        <w:t>b</w:t>
      </w:r>
      <w:r w:rsidR="005E6DDE">
        <w:rPr>
          <w:color w:val="auto"/>
          <w:sz w:val="24"/>
          <w:szCs w:val="24"/>
        </w:rPr>
        <w:t>”</w:t>
      </w:r>
      <w:r w:rsidR="000914C0">
        <w:rPr>
          <w:color w:val="auto"/>
          <w:sz w:val="24"/>
          <w:szCs w:val="24"/>
        </w:rPr>
        <w:t> </w:t>
      </w:r>
      <w:r w:rsidR="00EE055F" w:rsidRPr="00205452">
        <w:rPr>
          <w:color w:val="auto"/>
          <w:sz w:val="24"/>
          <w:szCs w:val="24"/>
        </w:rPr>
        <w:t>apakšpunkt</w:t>
      </w:r>
      <w:r w:rsidR="005E6DDE">
        <w:rPr>
          <w:color w:val="auto"/>
          <w:sz w:val="24"/>
          <w:szCs w:val="24"/>
        </w:rPr>
        <w:t xml:space="preserve">am, </w:t>
      </w:r>
      <w:r w:rsidR="00EE055F" w:rsidRPr="00205452">
        <w:rPr>
          <w:color w:val="auto"/>
          <w:sz w:val="24"/>
          <w:szCs w:val="24"/>
        </w:rPr>
        <w:t>ja projekta publiskā finansējuma kopsumma pārsniedz 50</w:t>
      </w:r>
      <w:r w:rsidR="005E6DDE">
        <w:rPr>
          <w:color w:val="auto"/>
          <w:sz w:val="24"/>
          <w:szCs w:val="24"/>
        </w:rPr>
        <w:t> </w:t>
      </w:r>
      <w:r w:rsidR="00EE055F" w:rsidRPr="00205452">
        <w:rPr>
          <w:color w:val="auto"/>
          <w:sz w:val="24"/>
          <w:szCs w:val="24"/>
        </w:rPr>
        <w:t>000</w:t>
      </w:r>
      <w:r w:rsidR="005E6DDE">
        <w:rPr>
          <w:color w:val="auto"/>
          <w:sz w:val="24"/>
          <w:szCs w:val="24"/>
        </w:rPr>
        <w:t xml:space="preserve"> </w:t>
      </w:r>
      <w:r w:rsidR="005E6DDE" w:rsidRPr="00FC5FF3">
        <w:rPr>
          <w:i/>
          <w:color w:val="auto"/>
          <w:sz w:val="24"/>
          <w:szCs w:val="24"/>
        </w:rPr>
        <w:t>euro</w:t>
      </w:r>
      <w:r w:rsidR="005E6DDE">
        <w:rPr>
          <w:color w:val="auto"/>
          <w:sz w:val="24"/>
          <w:szCs w:val="24"/>
        </w:rPr>
        <w:t>,</w:t>
      </w:r>
      <w:r w:rsidR="00EE055F" w:rsidRPr="00205452">
        <w:rPr>
          <w:color w:val="auto"/>
          <w:sz w:val="24"/>
          <w:szCs w:val="24"/>
        </w:rPr>
        <w:t xml:space="preserve"> informācijas un publicitātes pasākumu īstenošanas pienākum</w:t>
      </w:r>
      <w:r w:rsidR="000914C0">
        <w:rPr>
          <w:color w:val="auto"/>
          <w:sz w:val="24"/>
          <w:szCs w:val="24"/>
        </w:rPr>
        <w:t>u</w:t>
      </w:r>
      <w:r w:rsidR="00EE055F" w:rsidRPr="00205452">
        <w:rPr>
          <w:color w:val="auto"/>
          <w:sz w:val="24"/>
          <w:szCs w:val="24"/>
        </w:rPr>
        <w:t xml:space="preserve"> </w:t>
      </w:r>
      <w:r w:rsidR="000914C0" w:rsidRPr="00205452">
        <w:rPr>
          <w:color w:val="auto"/>
          <w:sz w:val="24"/>
          <w:szCs w:val="24"/>
        </w:rPr>
        <w:t>ne</w:t>
      </w:r>
      <w:r w:rsidR="000914C0">
        <w:rPr>
          <w:color w:val="auto"/>
          <w:sz w:val="24"/>
          <w:szCs w:val="24"/>
        </w:rPr>
        <w:t>attiecina uz</w:t>
      </w:r>
      <w:r w:rsidR="000914C0" w:rsidRPr="00205452">
        <w:rPr>
          <w:color w:val="auto"/>
          <w:sz w:val="24"/>
          <w:szCs w:val="24"/>
        </w:rPr>
        <w:t xml:space="preserve"> </w:t>
      </w:r>
      <w:r w:rsidR="00EE055F" w:rsidRPr="00205452">
        <w:rPr>
          <w:color w:val="auto"/>
          <w:sz w:val="24"/>
          <w:szCs w:val="24"/>
        </w:rPr>
        <w:t>projekt</w:t>
      </w:r>
      <w:r w:rsidR="005E6DDE">
        <w:rPr>
          <w:color w:val="auto"/>
          <w:sz w:val="24"/>
          <w:szCs w:val="24"/>
        </w:rPr>
        <w:t>iem</w:t>
      </w:r>
      <w:r w:rsidR="00EE055F" w:rsidRPr="00205452">
        <w:rPr>
          <w:color w:val="auto"/>
          <w:sz w:val="24"/>
          <w:szCs w:val="24"/>
        </w:rPr>
        <w:t>, kuru</w:t>
      </w:r>
      <w:r w:rsidR="000914C0">
        <w:rPr>
          <w:color w:val="auto"/>
          <w:sz w:val="24"/>
          <w:szCs w:val="24"/>
        </w:rPr>
        <w:t>s</w:t>
      </w:r>
      <w:r w:rsidR="00EE055F" w:rsidRPr="00205452">
        <w:rPr>
          <w:color w:val="auto"/>
          <w:sz w:val="24"/>
          <w:szCs w:val="24"/>
        </w:rPr>
        <w:t xml:space="preserve"> </w:t>
      </w:r>
      <w:r w:rsidR="000914C0">
        <w:rPr>
          <w:color w:val="auto"/>
          <w:sz w:val="24"/>
          <w:szCs w:val="24"/>
        </w:rPr>
        <w:t>īstenojot</w:t>
      </w:r>
      <w:r w:rsidR="000914C0" w:rsidRPr="00205452">
        <w:rPr>
          <w:color w:val="auto"/>
          <w:sz w:val="24"/>
          <w:szCs w:val="24"/>
        </w:rPr>
        <w:t xml:space="preserve"> </w:t>
      </w:r>
      <w:r w:rsidR="00EE055F" w:rsidRPr="00205452">
        <w:rPr>
          <w:color w:val="auto"/>
          <w:sz w:val="24"/>
          <w:szCs w:val="24"/>
        </w:rPr>
        <w:t xml:space="preserve">netiek veiktas investīcijas un </w:t>
      </w:r>
      <w:r w:rsidR="000914C0">
        <w:rPr>
          <w:color w:val="auto"/>
          <w:sz w:val="24"/>
          <w:szCs w:val="24"/>
        </w:rPr>
        <w:t xml:space="preserve">kuru </w:t>
      </w:r>
      <w:r w:rsidR="00EE055F" w:rsidRPr="00205452">
        <w:rPr>
          <w:color w:val="auto"/>
          <w:sz w:val="24"/>
          <w:szCs w:val="24"/>
        </w:rPr>
        <w:t xml:space="preserve">rakstura dēļ nav iespējams noteikt </w:t>
      </w:r>
      <w:r w:rsidR="000914C0" w:rsidRPr="00205452">
        <w:rPr>
          <w:color w:val="auto"/>
          <w:sz w:val="24"/>
          <w:szCs w:val="24"/>
        </w:rPr>
        <w:t xml:space="preserve">piemērotu vietu </w:t>
      </w:r>
      <w:r w:rsidR="00EE055F" w:rsidRPr="00205452">
        <w:rPr>
          <w:color w:val="auto"/>
          <w:sz w:val="24"/>
          <w:szCs w:val="24"/>
        </w:rPr>
        <w:t>informācijas un publicitātes pasākumu īstenošanai, kā arī Eiropas lauksaimniecības fonda lauku attīstībai atbalsta pasākumiem, kas minēti regulas Nr.</w:t>
      </w:r>
      <w:r w:rsidR="005E6DDE">
        <w:rPr>
          <w:color w:val="auto"/>
          <w:sz w:val="24"/>
          <w:szCs w:val="24"/>
        </w:rPr>
        <w:t> </w:t>
      </w:r>
      <w:r w:rsidR="00EE055F" w:rsidRPr="00205452">
        <w:rPr>
          <w:color w:val="auto"/>
          <w:sz w:val="24"/>
          <w:szCs w:val="24"/>
        </w:rPr>
        <w:t>1305/2013 21.</w:t>
      </w:r>
      <w:r>
        <w:rPr>
          <w:color w:val="auto"/>
          <w:sz w:val="24"/>
          <w:szCs w:val="24"/>
        </w:rPr>
        <w:t> </w:t>
      </w:r>
      <w:r w:rsidR="00EE055F" w:rsidRPr="00205452">
        <w:rPr>
          <w:color w:val="auto"/>
          <w:sz w:val="24"/>
          <w:szCs w:val="24"/>
        </w:rPr>
        <w:t>pan</w:t>
      </w:r>
      <w:r>
        <w:rPr>
          <w:color w:val="auto"/>
          <w:sz w:val="24"/>
          <w:szCs w:val="24"/>
        </w:rPr>
        <w:t xml:space="preserve">ta 1. punkta </w:t>
      </w:r>
      <w:r w:rsidR="005E6DDE">
        <w:rPr>
          <w:color w:val="auto"/>
          <w:sz w:val="24"/>
          <w:szCs w:val="24"/>
        </w:rPr>
        <w:t>“</w:t>
      </w:r>
      <w:r>
        <w:rPr>
          <w:color w:val="auto"/>
          <w:sz w:val="24"/>
          <w:szCs w:val="24"/>
        </w:rPr>
        <w:t>a</w:t>
      </w:r>
      <w:r w:rsidR="005E6DDE">
        <w:rPr>
          <w:color w:val="auto"/>
          <w:sz w:val="24"/>
          <w:szCs w:val="24"/>
        </w:rPr>
        <w:t>”</w:t>
      </w:r>
      <w:r>
        <w:rPr>
          <w:color w:val="auto"/>
          <w:sz w:val="24"/>
          <w:szCs w:val="24"/>
        </w:rPr>
        <w:t xml:space="preserve"> apakšpunktā</w:t>
      </w:r>
      <w:r w:rsidR="005E6DDE">
        <w:rPr>
          <w:color w:val="auto"/>
          <w:sz w:val="24"/>
          <w:szCs w:val="24"/>
        </w:rPr>
        <w:t xml:space="preserve"> un</w:t>
      </w:r>
      <w:r>
        <w:rPr>
          <w:color w:val="auto"/>
          <w:sz w:val="24"/>
          <w:szCs w:val="24"/>
        </w:rPr>
        <w:t xml:space="preserve"> 28.</w:t>
      </w:r>
      <w:r w:rsidR="005E6DDE">
        <w:rPr>
          <w:color w:val="auto"/>
          <w:sz w:val="24"/>
          <w:szCs w:val="24"/>
        </w:rPr>
        <w:t xml:space="preserve">, 29., 30, </w:t>
      </w:r>
      <w:r w:rsidR="00EE055F" w:rsidRPr="00205452">
        <w:rPr>
          <w:color w:val="auto"/>
          <w:sz w:val="24"/>
          <w:szCs w:val="24"/>
        </w:rPr>
        <w:t>31.</w:t>
      </w:r>
      <w:r w:rsidR="005E6DDE">
        <w:rPr>
          <w:color w:val="auto"/>
          <w:sz w:val="24"/>
          <w:szCs w:val="24"/>
        </w:rPr>
        <w:t xml:space="preserve">, </w:t>
      </w:r>
      <w:r w:rsidR="00EE055F" w:rsidRPr="00205452">
        <w:rPr>
          <w:color w:val="auto"/>
          <w:sz w:val="24"/>
          <w:szCs w:val="24"/>
        </w:rPr>
        <w:t>33.</w:t>
      </w:r>
      <w:r w:rsidR="000914C0">
        <w:rPr>
          <w:color w:val="auto"/>
          <w:sz w:val="24"/>
          <w:szCs w:val="24"/>
        </w:rPr>
        <w:t xml:space="preserve"> un</w:t>
      </w:r>
      <w:r w:rsidR="00EE055F" w:rsidRPr="00205452">
        <w:rPr>
          <w:color w:val="auto"/>
          <w:sz w:val="24"/>
          <w:szCs w:val="24"/>
        </w:rPr>
        <w:t xml:space="preserve"> 34.</w:t>
      </w:r>
      <w:r>
        <w:rPr>
          <w:color w:val="auto"/>
          <w:sz w:val="24"/>
          <w:szCs w:val="24"/>
        </w:rPr>
        <w:t> </w:t>
      </w:r>
      <w:r w:rsidR="00EE055F" w:rsidRPr="00205452">
        <w:rPr>
          <w:color w:val="auto"/>
          <w:sz w:val="24"/>
          <w:szCs w:val="24"/>
        </w:rPr>
        <w:t xml:space="preserve">pantā. </w:t>
      </w:r>
      <w:r w:rsidR="000914C0">
        <w:rPr>
          <w:color w:val="auto"/>
          <w:sz w:val="24"/>
          <w:szCs w:val="24"/>
        </w:rPr>
        <w:t>Īstenojot i</w:t>
      </w:r>
      <w:r w:rsidR="00EE055F" w:rsidRPr="00205452">
        <w:rPr>
          <w:color w:val="auto"/>
          <w:sz w:val="24"/>
          <w:szCs w:val="24"/>
        </w:rPr>
        <w:t>nformācijas un publicitātes pasākumu</w:t>
      </w:r>
      <w:r w:rsidR="000914C0">
        <w:rPr>
          <w:color w:val="auto"/>
          <w:sz w:val="24"/>
          <w:szCs w:val="24"/>
        </w:rPr>
        <w:t>s,</w:t>
      </w:r>
      <w:r>
        <w:rPr>
          <w:color w:val="auto"/>
          <w:sz w:val="24"/>
          <w:szCs w:val="24"/>
        </w:rPr>
        <w:t xml:space="preserve"> izmanto šo noteikumu 3. </w:t>
      </w:r>
      <w:r w:rsidR="00EE055F" w:rsidRPr="00205452">
        <w:rPr>
          <w:color w:val="auto"/>
          <w:sz w:val="24"/>
          <w:szCs w:val="24"/>
        </w:rPr>
        <w:t>pielikumā norādīto attiecīgā fonda logotipu atb</w:t>
      </w:r>
      <w:r>
        <w:rPr>
          <w:color w:val="auto"/>
          <w:sz w:val="24"/>
          <w:szCs w:val="24"/>
        </w:rPr>
        <w:t>ilstoši regulas Nr.</w:t>
      </w:r>
      <w:r w:rsidR="005E6DDE">
        <w:rPr>
          <w:color w:val="auto"/>
          <w:sz w:val="24"/>
          <w:szCs w:val="24"/>
        </w:rPr>
        <w:t> </w:t>
      </w:r>
      <w:r>
        <w:rPr>
          <w:color w:val="auto"/>
          <w:sz w:val="24"/>
          <w:szCs w:val="24"/>
        </w:rPr>
        <w:t>808/2014 3. </w:t>
      </w:r>
      <w:r w:rsidR="00EE055F" w:rsidRPr="00205452">
        <w:rPr>
          <w:color w:val="auto"/>
          <w:sz w:val="24"/>
          <w:szCs w:val="24"/>
        </w:rPr>
        <w:t>pielikuma 2</w:t>
      </w:r>
      <w:r>
        <w:rPr>
          <w:color w:val="auto"/>
          <w:sz w:val="24"/>
          <w:szCs w:val="24"/>
        </w:rPr>
        <w:t>. daļas 1. </w:t>
      </w:r>
      <w:r w:rsidR="00EE055F" w:rsidRPr="00205452">
        <w:rPr>
          <w:color w:val="auto"/>
          <w:sz w:val="24"/>
          <w:szCs w:val="24"/>
        </w:rPr>
        <w:t>punktā un regulā Nr.</w:t>
      </w:r>
      <w:r w:rsidR="005E6DDE">
        <w:rPr>
          <w:color w:val="auto"/>
          <w:sz w:val="24"/>
          <w:szCs w:val="24"/>
        </w:rPr>
        <w:t> </w:t>
      </w:r>
      <w:r w:rsidR="00EE055F" w:rsidRPr="00205452">
        <w:rPr>
          <w:color w:val="auto"/>
          <w:sz w:val="24"/>
          <w:szCs w:val="24"/>
        </w:rPr>
        <w:t>763 minētajiem tehniskajiem parametriem,</w:t>
      </w:r>
      <w:r w:rsidR="000914C0">
        <w:rPr>
          <w:color w:val="auto"/>
          <w:sz w:val="24"/>
          <w:szCs w:val="24"/>
        </w:rPr>
        <w:t xml:space="preserve"> kā arī</w:t>
      </w:r>
      <w:r w:rsidR="00EE055F" w:rsidRPr="00205452">
        <w:rPr>
          <w:color w:val="auto"/>
          <w:sz w:val="24"/>
          <w:szCs w:val="24"/>
        </w:rPr>
        <w:t xml:space="preserve"> nacionālo identifikācijas zīmi ar atsauci "Nacionālais attīstības plāns 2020"</w:t>
      </w:r>
      <w:r w:rsidR="000914C0">
        <w:rPr>
          <w:color w:val="auto"/>
          <w:sz w:val="24"/>
          <w:szCs w:val="24"/>
        </w:rPr>
        <w:t xml:space="preserve"> un</w:t>
      </w:r>
      <w:r w:rsidR="00EE055F" w:rsidRPr="00205452">
        <w:rPr>
          <w:color w:val="auto"/>
          <w:sz w:val="24"/>
          <w:szCs w:val="24"/>
        </w:rPr>
        <w:t xml:space="preserve"> norāda fondu administrējošās iestādes – "Atbalsta Zemkopības ministrija un Lauku atbalsta dienests". Projekta informācijas un publicitātes pasākumu izmaksas sedz atbalsta saņēmējs.</w:t>
      </w:r>
      <w:r w:rsidR="005B4E92" w:rsidRPr="00205452">
        <w:rPr>
          <w:color w:val="auto"/>
          <w:sz w:val="24"/>
          <w:szCs w:val="24"/>
        </w:rPr>
        <w:t>”</w:t>
      </w:r>
    </w:p>
    <w:p w:rsidR="00A17628" w:rsidRDefault="005E6DDE" w:rsidP="001E789F">
      <w:pPr>
        <w:pStyle w:val="tv2132"/>
        <w:numPr>
          <w:ilvl w:val="0"/>
          <w:numId w:val="9"/>
        </w:numPr>
        <w:tabs>
          <w:tab w:val="left" w:pos="709"/>
          <w:tab w:val="left" w:pos="1134"/>
        </w:tabs>
        <w:spacing w:before="120" w:line="240" w:lineRule="auto"/>
        <w:ind w:left="0" w:firstLine="709"/>
        <w:jc w:val="both"/>
        <w:rPr>
          <w:color w:val="auto"/>
          <w:sz w:val="24"/>
          <w:szCs w:val="24"/>
        </w:rPr>
      </w:pPr>
      <w:r>
        <w:rPr>
          <w:color w:val="auto"/>
          <w:sz w:val="24"/>
          <w:szCs w:val="24"/>
        </w:rPr>
        <w:t>Aizstāt</w:t>
      </w:r>
      <w:r w:rsidR="00A17628" w:rsidRPr="004B7B92">
        <w:rPr>
          <w:color w:val="auto"/>
          <w:sz w:val="24"/>
          <w:szCs w:val="24"/>
        </w:rPr>
        <w:t xml:space="preserve"> 47.</w:t>
      </w:r>
      <w:r w:rsidR="005440EB">
        <w:rPr>
          <w:color w:val="auto"/>
          <w:sz w:val="24"/>
          <w:szCs w:val="24"/>
        </w:rPr>
        <w:t> </w:t>
      </w:r>
      <w:r w:rsidR="00A17628" w:rsidRPr="004B7B92">
        <w:rPr>
          <w:color w:val="auto"/>
          <w:sz w:val="24"/>
          <w:szCs w:val="24"/>
        </w:rPr>
        <w:t>punkt</w:t>
      </w:r>
      <w:r>
        <w:rPr>
          <w:color w:val="auto"/>
          <w:sz w:val="24"/>
          <w:szCs w:val="24"/>
        </w:rPr>
        <w:t>ā vārdus</w:t>
      </w:r>
      <w:r w:rsidR="00A17628" w:rsidRPr="004B7B92">
        <w:rPr>
          <w:color w:val="auto"/>
          <w:sz w:val="24"/>
          <w:szCs w:val="24"/>
        </w:rPr>
        <w:t xml:space="preserve"> </w:t>
      </w:r>
      <w:r>
        <w:rPr>
          <w:color w:val="auto"/>
          <w:sz w:val="24"/>
          <w:szCs w:val="24"/>
        </w:rPr>
        <w:t>“</w:t>
      </w:r>
      <w:r w:rsidRPr="005E6DDE">
        <w:rPr>
          <w:color w:val="auto"/>
          <w:sz w:val="24"/>
          <w:szCs w:val="24"/>
        </w:rPr>
        <w:t>Pēdējo maksājumu</w:t>
      </w:r>
      <w:r>
        <w:rPr>
          <w:color w:val="auto"/>
          <w:sz w:val="24"/>
          <w:szCs w:val="24"/>
        </w:rPr>
        <w:t>” ar</w:t>
      </w:r>
      <w:r w:rsidR="00A17628" w:rsidRPr="004B7B92">
        <w:rPr>
          <w:color w:val="auto"/>
          <w:sz w:val="24"/>
          <w:szCs w:val="24"/>
        </w:rPr>
        <w:t xml:space="preserve"> vārd</w:t>
      </w:r>
      <w:r>
        <w:rPr>
          <w:color w:val="auto"/>
          <w:sz w:val="24"/>
          <w:szCs w:val="24"/>
        </w:rPr>
        <w:t>iem</w:t>
      </w:r>
      <w:r w:rsidR="00A17628" w:rsidRPr="004B7B92">
        <w:rPr>
          <w:color w:val="auto"/>
          <w:sz w:val="24"/>
          <w:szCs w:val="24"/>
        </w:rPr>
        <w:t xml:space="preserve"> „</w:t>
      </w:r>
      <w:r w:rsidR="004B7B92" w:rsidRPr="004B7B92">
        <w:rPr>
          <w:color w:val="auto"/>
          <w:sz w:val="24"/>
          <w:szCs w:val="24"/>
        </w:rPr>
        <w:t xml:space="preserve">Ja pretendents projektā paredzējis būvniecību, </w:t>
      </w:r>
      <w:r>
        <w:rPr>
          <w:color w:val="auto"/>
          <w:sz w:val="24"/>
          <w:szCs w:val="24"/>
        </w:rPr>
        <w:t>pēdējo maksājumu</w:t>
      </w:r>
      <w:r w:rsidR="00A17628" w:rsidRPr="004B7B92">
        <w:rPr>
          <w:color w:val="auto"/>
          <w:sz w:val="24"/>
          <w:szCs w:val="24"/>
        </w:rPr>
        <w:t>”.</w:t>
      </w:r>
    </w:p>
    <w:p w:rsidR="00812A7F" w:rsidRDefault="00812A7F" w:rsidP="001E789F">
      <w:pPr>
        <w:pStyle w:val="tv2132"/>
        <w:numPr>
          <w:ilvl w:val="0"/>
          <w:numId w:val="9"/>
        </w:numPr>
        <w:tabs>
          <w:tab w:val="left" w:pos="709"/>
          <w:tab w:val="left" w:pos="1134"/>
        </w:tabs>
        <w:spacing w:before="120" w:line="240" w:lineRule="auto"/>
        <w:ind w:left="0" w:firstLine="709"/>
        <w:jc w:val="both"/>
        <w:rPr>
          <w:color w:val="auto"/>
          <w:sz w:val="24"/>
          <w:szCs w:val="24"/>
        </w:rPr>
      </w:pPr>
      <w:r>
        <w:rPr>
          <w:color w:val="auto"/>
          <w:sz w:val="24"/>
          <w:szCs w:val="24"/>
        </w:rPr>
        <w:t>Izteikt 52.1.</w:t>
      </w:r>
      <w:r w:rsidR="000914C0">
        <w:rPr>
          <w:color w:val="auto"/>
          <w:sz w:val="24"/>
          <w:szCs w:val="24"/>
        </w:rPr>
        <w:t> </w:t>
      </w:r>
      <w:r>
        <w:rPr>
          <w:color w:val="auto"/>
          <w:sz w:val="24"/>
          <w:szCs w:val="24"/>
        </w:rPr>
        <w:t>apakšpunktu šādā redakcijā:</w:t>
      </w:r>
    </w:p>
    <w:p w:rsidR="00812A7F" w:rsidRPr="004B7B92" w:rsidRDefault="00812A7F" w:rsidP="00812A7F">
      <w:pPr>
        <w:pStyle w:val="tv2132"/>
        <w:tabs>
          <w:tab w:val="left" w:pos="0"/>
          <w:tab w:val="left" w:pos="1134"/>
        </w:tabs>
        <w:spacing w:line="240" w:lineRule="auto"/>
        <w:ind w:firstLine="709"/>
        <w:jc w:val="both"/>
        <w:rPr>
          <w:color w:val="auto"/>
          <w:sz w:val="24"/>
          <w:szCs w:val="24"/>
        </w:rPr>
      </w:pPr>
      <w:r>
        <w:rPr>
          <w:color w:val="auto"/>
          <w:sz w:val="24"/>
          <w:szCs w:val="24"/>
        </w:rPr>
        <w:t xml:space="preserve">„52.1. </w:t>
      </w:r>
      <w:r w:rsidRPr="00812A7F">
        <w:rPr>
          <w:color w:val="auto"/>
          <w:sz w:val="24"/>
          <w:szCs w:val="24"/>
        </w:rPr>
        <w:t xml:space="preserve">30 kalendāro dienu laikā pēc projekta iesnieguma apstiprināšanas </w:t>
      </w:r>
      <w:r w:rsidR="00E51737">
        <w:rPr>
          <w:color w:val="auto"/>
          <w:sz w:val="24"/>
          <w:szCs w:val="24"/>
        </w:rPr>
        <w:t xml:space="preserve">pašvaldība </w:t>
      </w:r>
      <w:r w:rsidRPr="00812A7F">
        <w:rPr>
          <w:color w:val="auto"/>
          <w:sz w:val="24"/>
          <w:szCs w:val="24"/>
        </w:rPr>
        <w:t xml:space="preserve">iesniedz </w:t>
      </w:r>
      <w:r w:rsidR="0062466A">
        <w:rPr>
          <w:color w:val="auto"/>
          <w:sz w:val="24"/>
          <w:szCs w:val="24"/>
        </w:rPr>
        <w:t>La</w:t>
      </w:r>
      <w:r w:rsidR="002F60A8">
        <w:rPr>
          <w:color w:val="auto"/>
          <w:sz w:val="24"/>
          <w:szCs w:val="24"/>
        </w:rPr>
        <w:t>u</w:t>
      </w:r>
      <w:r w:rsidR="0062466A">
        <w:rPr>
          <w:color w:val="auto"/>
          <w:sz w:val="24"/>
          <w:szCs w:val="24"/>
        </w:rPr>
        <w:t>ku atbalsta dienestā</w:t>
      </w:r>
      <w:r w:rsidRPr="00812A7F">
        <w:rPr>
          <w:color w:val="auto"/>
          <w:sz w:val="24"/>
          <w:szCs w:val="24"/>
        </w:rPr>
        <w:t xml:space="preserve"> priekšapmaksas pieprasījumu. </w:t>
      </w:r>
      <w:r w:rsidR="0062466A">
        <w:rPr>
          <w:color w:val="auto"/>
          <w:sz w:val="24"/>
          <w:szCs w:val="24"/>
        </w:rPr>
        <w:t>Lauku atbalsta dienests</w:t>
      </w:r>
      <w:r w:rsidRPr="00812A7F">
        <w:rPr>
          <w:color w:val="auto"/>
          <w:sz w:val="24"/>
          <w:szCs w:val="24"/>
        </w:rPr>
        <w:t xml:space="preserve"> pēc priekšapmaksas pieprasījuma apstiprināšanas 15 kalendāro dienu laikā pārskaita pašvaldībai priekšapmaksu apstiprinātā projekta iesniegum</w:t>
      </w:r>
      <w:r w:rsidR="00E51737">
        <w:rPr>
          <w:color w:val="auto"/>
          <w:sz w:val="24"/>
          <w:szCs w:val="24"/>
        </w:rPr>
        <w:t>ā noteikt</w:t>
      </w:r>
      <w:r w:rsidR="000914C0">
        <w:rPr>
          <w:color w:val="auto"/>
          <w:sz w:val="24"/>
          <w:szCs w:val="24"/>
        </w:rPr>
        <w:t>a</w:t>
      </w:r>
      <w:r w:rsidR="00E51737">
        <w:rPr>
          <w:color w:val="auto"/>
          <w:sz w:val="24"/>
          <w:szCs w:val="24"/>
        </w:rPr>
        <w:t>jā</w:t>
      </w:r>
      <w:r w:rsidRPr="00812A7F">
        <w:rPr>
          <w:color w:val="auto"/>
          <w:sz w:val="24"/>
          <w:szCs w:val="24"/>
        </w:rPr>
        <w:t xml:space="preserve"> apmērā, bet ne vairāk kā 20</w:t>
      </w:r>
      <w:r w:rsidR="000914C0">
        <w:rPr>
          <w:color w:val="auto"/>
          <w:sz w:val="24"/>
          <w:szCs w:val="24"/>
        </w:rPr>
        <w:t> </w:t>
      </w:r>
      <w:r w:rsidR="00E51737">
        <w:rPr>
          <w:color w:val="auto"/>
          <w:sz w:val="24"/>
          <w:szCs w:val="24"/>
        </w:rPr>
        <w:t>procentu</w:t>
      </w:r>
      <w:r w:rsidRPr="00812A7F">
        <w:rPr>
          <w:color w:val="auto"/>
          <w:sz w:val="24"/>
          <w:szCs w:val="24"/>
        </w:rPr>
        <w:t xml:space="preserve"> no kopējā projektam piešķirtā </w:t>
      </w:r>
      <w:r w:rsidR="00E51737">
        <w:rPr>
          <w:color w:val="auto"/>
          <w:sz w:val="24"/>
          <w:szCs w:val="24"/>
        </w:rPr>
        <w:t>publiskā</w:t>
      </w:r>
      <w:r w:rsidRPr="00812A7F">
        <w:rPr>
          <w:color w:val="auto"/>
          <w:sz w:val="24"/>
          <w:szCs w:val="24"/>
        </w:rPr>
        <w:t xml:space="preserve"> finansējuma. Priekšapmaksas maksājuma un starpposma maksājumu saņemšanai, kā arī visu projekta izdevumu segšanai nepieciešamajiem līdzekļiem pašvaldība atver kontu Valsts kasē</w:t>
      </w:r>
      <w:r>
        <w:rPr>
          <w:color w:val="auto"/>
          <w:sz w:val="24"/>
          <w:szCs w:val="24"/>
        </w:rPr>
        <w:t>;”</w:t>
      </w:r>
      <w:r w:rsidR="000914C0">
        <w:rPr>
          <w:color w:val="auto"/>
          <w:sz w:val="24"/>
          <w:szCs w:val="24"/>
        </w:rPr>
        <w:t>.</w:t>
      </w:r>
    </w:p>
    <w:p w:rsidR="0057677E" w:rsidRPr="0057677E" w:rsidRDefault="0057677E" w:rsidP="00812A7F">
      <w:pPr>
        <w:pStyle w:val="tv2132"/>
        <w:numPr>
          <w:ilvl w:val="0"/>
          <w:numId w:val="9"/>
        </w:numPr>
        <w:tabs>
          <w:tab w:val="left" w:pos="709"/>
        </w:tabs>
        <w:spacing w:before="120" w:after="120" w:line="240" w:lineRule="auto"/>
        <w:ind w:left="1066" w:hanging="357"/>
        <w:jc w:val="both"/>
        <w:rPr>
          <w:color w:val="auto"/>
          <w:sz w:val="24"/>
          <w:szCs w:val="24"/>
        </w:rPr>
      </w:pPr>
      <w:r w:rsidRPr="0057677E">
        <w:rPr>
          <w:color w:val="auto"/>
          <w:sz w:val="24"/>
          <w:szCs w:val="24"/>
        </w:rPr>
        <w:t>Aizstāt 54.</w:t>
      </w:r>
      <w:r w:rsidR="00A906E5">
        <w:rPr>
          <w:color w:val="auto"/>
          <w:sz w:val="24"/>
          <w:szCs w:val="24"/>
        </w:rPr>
        <w:t>2.</w:t>
      </w:r>
      <w:r w:rsidRPr="0057677E">
        <w:rPr>
          <w:color w:val="auto"/>
          <w:sz w:val="24"/>
          <w:szCs w:val="24"/>
        </w:rPr>
        <w:t> apakšpunktā skait</w:t>
      </w:r>
      <w:r w:rsidR="00E51737">
        <w:rPr>
          <w:color w:val="auto"/>
          <w:sz w:val="24"/>
          <w:szCs w:val="24"/>
        </w:rPr>
        <w:t>li</w:t>
      </w:r>
      <w:r w:rsidRPr="0057677E">
        <w:rPr>
          <w:color w:val="auto"/>
          <w:sz w:val="24"/>
          <w:szCs w:val="24"/>
        </w:rPr>
        <w:t xml:space="preserve"> “55.1.” ar skait</w:t>
      </w:r>
      <w:r w:rsidR="00E51737">
        <w:rPr>
          <w:color w:val="auto"/>
          <w:sz w:val="24"/>
          <w:szCs w:val="24"/>
        </w:rPr>
        <w:t>li</w:t>
      </w:r>
      <w:r w:rsidRPr="0057677E">
        <w:rPr>
          <w:color w:val="auto"/>
          <w:sz w:val="24"/>
          <w:szCs w:val="24"/>
        </w:rPr>
        <w:t xml:space="preserve"> “54.1.”.</w:t>
      </w:r>
    </w:p>
    <w:p w:rsidR="004E42B4" w:rsidRDefault="004E42B4" w:rsidP="001E789F">
      <w:pPr>
        <w:pStyle w:val="tv2132"/>
        <w:numPr>
          <w:ilvl w:val="0"/>
          <w:numId w:val="9"/>
        </w:numPr>
        <w:tabs>
          <w:tab w:val="left" w:pos="709"/>
          <w:tab w:val="left" w:pos="1134"/>
        </w:tabs>
        <w:spacing w:before="120" w:line="240" w:lineRule="auto"/>
        <w:ind w:left="0" w:firstLine="709"/>
        <w:jc w:val="both"/>
        <w:rPr>
          <w:color w:val="auto"/>
          <w:sz w:val="24"/>
          <w:szCs w:val="24"/>
        </w:rPr>
      </w:pPr>
      <w:r w:rsidRPr="00205452">
        <w:rPr>
          <w:color w:val="auto"/>
          <w:sz w:val="24"/>
          <w:szCs w:val="24"/>
        </w:rPr>
        <w:t>Svītrot 55.1.</w:t>
      </w:r>
      <w:r w:rsidR="005440EB">
        <w:rPr>
          <w:color w:val="auto"/>
          <w:sz w:val="24"/>
          <w:szCs w:val="24"/>
        </w:rPr>
        <w:t> </w:t>
      </w:r>
      <w:r w:rsidRPr="00205452">
        <w:rPr>
          <w:color w:val="auto"/>
          <w:sz w:val="24"/>
          <w:szCs w:val="24"/>
        </w:rPr>
        <w:t>apakšpunktā vārdus „lēmumā par projekta iesnieguma apstiprināšanu noteiktajā termiņā”.</w:t>
      </w:r>
    </w:p>
    <w:p w:rsidR="00EE055F" w:rsidRDefault="005440EB" w:rsidP="001E789F">
      <w:pPr>
        <w:pStyle w:val="tv2132"/>
        <w:numPr>
          <w:ilvl w:val="0"/>
          <w:numId w:val="9"/>
        </w:numPr>
        <w:tabs>
          <w:tab w:val="left" w:pos="709"/>
          <w:tab w:val="left" w:pos="1134"/>
        </w:tabs>
        <w:spacing w:before="120" w:line="240" w:lineRule="auto"/>
        <w:ind w:left="0" w:firstLine="709"/>
        <w:jc w:val="both"/>
        <w:rPr>
          <w:color w:val="auto"/>
          <w:sz w:val="24"/>
          <w:szCs w:val="24"/>
        </w:rPr>
      </w:pPr>
      <w:r>
        <w:rPr>
          <w:color w:val="auto"/>
          <w:sz w:val="24"/>
          <w:szCs w:val="24"/>
        </w:rPr>
        <w:t>Papildināt 64. </w:t>
      </w:r>
      <w:r w:rsidR="00EE055F" w:rsidRPr="00205452">
        <w:rPr>
          <w:color w:val="auto"/>
          <w:sz w:val="24"/>
          <w:szCs w:val="24"/>
        </w:rPr>
        <w:t>punktu aiz vārda „pamatlīdzekļus” ar vārdiem „un izveidoto infrastruktūru”.</w:t>
      </w:r>
    </w:p>
    <w:p w:rsidR="00172236" w:rsidRDefault="00172236" w:rsidP="001E789F">
      <w:pPr>
        <w:pStyle w:val="tv2132"/>
        <w:numPr>
          <w:ilvl w:val="0"/>
          <w:numId w:val="9"/>
        </w:numPr>
        <w:tabs>
          <w:tab w:val="left" w:pos="709"/>
          <w:tab w:val="left" w:pos="1134"/>
        </w:tabs>
        <w:spacing w:before="120" w:line="240" w:lineRule="auto"/>
        <w:ind w:left="0" w:firstLine="709"/>
        <w:jc w:val="both"/>
        <w:rPr>
          <w:color w:val="auto"/>
          <w:sz w:val="24"/>
          <w:szCs w:val="24"/>
        </w:rPr>
      </w:pPr>
      <w:r w:rsidRPr="00205452">
        <w:rPr>
          <w:color w:val="auto"/>
          <w:sz w:val="24"/>
          <w:szCs w:val="24"/>
        </w:rPr>
        <w:lastRenderedPageBreak/>
        <w:t>Aiz</w:t>
      </w:r>
      <w:r w:rsidR="005E6DDE">
        <w:rPr>
          <w:color w:val="auto"/>
          <w:sz w:val="24"/>
          <w:szCs w:val="24"/>
        </w:rPr>
        <w:t>stāt</w:t>
      </w:r>
      <w:r w:rsidRPr="00205452">
        <w:rPr>
          <w:color w:val="auto"/>
          <w:sz w:val="24"/>
          <w:szCs w:val="24"/>
        </w:rPr>
        <w:t xml:space="preserve"> 1.</w:t>
      </w:r>
      <w:r w:rsidR="005440EB">
        <w:rPr>
          <w:color w:val="auto"/>
          <w:sz w:val="24"/>
          <w:szCs w:val="24"/>
        </w:rPr>
        <w:t> </w:t>
      </w:r>
      <w:r w:rsidRPr="00205452">
        <w:rPr>
          <w:color w:val="auto"/>
          <w:sz w:val="24"/>
          <w:szCs w:val="24"/>
        </w:rPr>
        <w:t>pielikuma 16.</w:t>
      </w:r>
      <w:r w:rsidR="005440EB">
        <w:rPr>
          <w:color w:val="auto"/>
          <w:sz w:val="24"/>
          <w:szCs w:val="24"/>
        </w:rPr>
        <w:t> </w:t>
      </w:r>
      <w:r w:rsidRPr="00205452">
        <w:rPr>
          <w:color w:val="auto"/>
          <w:sz w:val="24"/>
          <w:szCs w:val="24"/>
        </w:rPr>
        <w:t>punktā vārdus „uz laiku līdz vienam gadam” ar vārdiem „saskaņā ar Likuma par nodokļiem un nodevām 24.</w:t>
      </w:r>
      <w:r w:rsidR="004B7B92">
        <w:rPr>
          <w:color w:val="auto"/>
          <w:sz w:val="24"/>
          <w:szCs w:val="24"/>
        </w:rPr>
        <w:t> </w:t>
      </w:r>
      <w:r w:rsidRPr="00205452">
        <w:rPr>
          <w:color w:val="auto"/>
          <w:sz w:val="24"/>
          <w:szCs w:val="24"/>
        </w:rPr>
        <w:t>pantu”.</w:t>
      </w:r>
    </w:p>
    <w:p w:rsidR="00A17628" w:rsidRDefault="005E6DDE" w:rsidP="001E789F">
      <w:pPr>
        <w:pStyle w:val="tv2132"/>
        <w:numPr>
          <w:ilvl w:val="0"/>
          <w:numId w:val="9"/>
        </w:numPr>
        <w:tabs>
          <w:tab w:val="left" w:pos="709"/>
          <w:tab w:val="left" w:pos="1134"/>
        </w:tabs>
        <w:spacing w:before="120" w:line="240" w:lineRule="auto"/>
        <w:ind w:left="0" w:firstLine="709"/>
        <w:jc w:val="both"/>
        <w:rPr>
          <w:color w:val="auto"/>
          <w:sz w:val="24"/>
          <w:szCs w:val="24"/>
        </w:rPr>
      </w:pPr>
      <w:r>
        <w:rPr>
          <w:color w:val="auto"/>
          <w:sz w:val="24"/>
          <w:szCs w:val="24"/>
        </w:rPr>
        <w:t>P</w:t>
      </w:r>
      <w:r w:rsidR="00A17628" w:rsidRPr="00205452">
        <w:rPr>
          <w:color w:val="auto"/>
          <w:sz w:val="24"/>
          <w:szCs w:val="24"/>
        </w:rPr>
        <w:t>apildināt 2.</w:t>
      </w:r>
      <w:r w:rsidR="005440EB">
        <w:rPr>
          <w:color w:val="auto"/>
          <w:sz w:val="24"/>
          <w:szCs w:val="24"/>
        </w:rPr>
        <w:t> </w:t>
      </w:r>
      <w:r w:rsidR="00A17628" w:rsidRPr="00205452">
        <w:rPr>
          <w:color w:val="auto"/>
          <w:sz w:val="24"/>
          <w:szCs w:val="24"/>
        </w:rPr>
        <w:t>pielikuma 2.</w:t>
      </w:r>
      <w:r w:rsidR="005440EB">
        <w:rPr>
          <w:color w:val="auto"/>
          <w:sz w:val="24"/>
          <w:szCs w:val="24"/>
        </w:rPr>
        <w:t> </w:t>
      </w:r>
      <w:r w:rsidR="00A17628" w:rsidRPr="00205452">
        <w:rPr>
          <w:color w:val="auto"/>
          <w:sz w:val="24"/>
          <w:szCs w:val="24"/>
        </w:rPr>
        <w:t>tabulas 6.</w:t>
      </w:r>
      <w:r w:rsidR="005440EB">
        <w:rPr>
          <w:color w:val="auto"/>
          <w:sz w:val="24"/>
          <w:szCs w:val="24"/>
        </w:rPr>
        <w:t> </w:t>
      </w:r>
      <w:r w:rsidR="00A17628" w:rsidRPr="00205452">
        <w:rPr>
          <w:color w:val="auto"/>
          <w:sz w:val="24"/>
          <w:szCs w:val="24"/>
        </w:rPr>
        <w:t>ail</w:t>
      </w:r>
      <w:r>
        <w:rPr>
          <w:color w:val="auto"/>
          <w:sz w:val="24"/>
          <w:szCs w:val="24"/>
        </w:rPr>
        <w:t>es nosaukumu</w:t>
      </w:r>
      <w:r w:rsidR="00A17628" w:rsidRPr="00205452">
        <w:rPr>
          <w:color w:val="auto"/>
          <w:sz w:val="24"/>
          <w:szCs w:val="24"/>
        </w:rPr>
        <w:t xml:space="preserve"> aiz vārda „PVN” ar vārdiem „ja </w:t>
      </w:r>
      <w:r w:rsidR="00312996" w:rsidRPr="00205452">
        <w:rPr>
          <w:color w:val="auto"/>
          <w:sz w:val="24"/>
          <w:szCs w:val="24"/>
        </w:rPr>
        <w:t>atbalsta saņēmējam</w:t>
      </w:r>
      <w:r w:rsidR="00A17628" w:rsidRPr="00205452">
        <w:rPr>
          <w:color w:val="auto"/>
          <w:sz w:val="24"/>
          <w:szCs w:val="24"/>
        </w:rPr>
        <w:t xml:space="preserve"> PVN nav attiecināms”</w:t>
      </w:r>
      <w:r w:rsidR="00AF5C44">
        <w:rPr>
          <w:color w:val="auto"/>
          <w:sz w:val="24"/>
          <w:szCs w:val="24"/>
        </w:rPr>
        <w:t>.</w:t>
      </w:r>
    </w:p>
    <w:p w:rsidR="00156172" w:rsidRDefault="00312996" w:rsidP="00A16BF6">
      <w:pPr>
        <w:pStyle w:val="Sarakstarindkopa"/>
        <w:numPr>
          <w:ilvl w:val="0"/>
          <w:numId w:val="9"/>
        </w:numPr>
        <w:tabs>
          <w:tab w:val="left" w:pos="0"/>
          <w:tab w:val="left" w:pos="1134"/>
        </w:tabs>
        <w:spacing w:before="120" w:after="0" w:line="240" w:lineRule="auto"/>
        <w:ind w:left="924" w:hanging="215"/>
        <w:jc w:val="both"/>
        <w:rPr>
          <w:rFonts w:ascii="Times New Roman" w:hAnsi="Times New Roman" w:cs="Times New Roman"/>
          <w:sz w:val="24"/>
          <w:szCs w:val="24"/>
        </w:rPr>
      </w:pPr>
      <w:r w:rsidRPr="00205452">
        <w:rPr>
          <w:rFonts w:ascii="Times New Roman" w:hAnsi="Times New Roman" w:cs="Times New Roman"/>
          <w:sz w:val="24"/>
          <w:szCs w:val="24"/>
        </w:rPr>
        <w:t>Izteikt 6.</w:t>
      </w:r>
      <w:r w:rsidR="005E6DDE">
        <w:rPr>
          <w:rFonts w:ascii="Times New Roman" w:hAnsi="Times New Roman" w:cs="Times New Roman"/>
          <w:sz w:val="24"/>
          <w:szCs w:val="24"/>
        </w:rPr>
        <w:t> </w:t>
      </w:r>
      <w:r w:rsidRPr="00205452">
        <w:rPr>
          <w:rFonts w:ascii="Times New Roman" w:hAnsi="Times New Roman" w:cs="Times New Roman"/>
          <w:sz w:val="24"/>
          <w:szCs w:val="24"/>
        </w:rPr>
        <w:t>pielikumu šādā redakcijā:</w:t>
      </w:r>
    </w:p>
    <w:p w:rsidR="00DF4759" w:rsidRPr="00205452" w:rsidRDefault="00DF4759" w:rsidP="00A16BF6">
      <w:pPr>
        <w:pStyle w:val="Sarakstarindkopa"/>
        <w:numPr>
          <w:ilvl w:val="0"/>
          <w:numId w:val="9"/>
        </w:numPr>
        <w:tabs>
          <w:tab w:val="left" w:pos="0"/>
          <w:tab w:val="left" w:pos="1134"/>
        </w:tabs>
        <w:spacing w:before="120" w:after="0" w:line="240" w:lineRule="auto"/>
        <w:ind w:left="924" w:hanging="215"/>
        <w:jc w:val="both"/>
        <w:rPr>
          <w:rFonts w:ascii="Times New Roman" w:hAnsi="Times New Roman" w:cs="Times New Roman"/>
          <w:sz w:val="24"/>
          <w:szCs w:val="24"/>
        </w:rPr>
      </w:pPr>
    </w:p>
    <w:p w:rsidR="00312996" w:rsidRDefault="00312996" w:rsidP="00D813B8">
      <w:pPr>
        <w:shd w:val="clear" w:color="auto" w:fill="FFFFFF"/>
        <w:jc w:val="right"/>
      </w:pPr>
      <w:r w:rsidRPr="00205452">
        <w:tab/>
        <w:t>„6.</w:t>
      </w:r>
      <w:r w:rsidR="000914C0">
        <w:t> </w:t>
      </w:r>
      <w:r w:rsidRPr="00205452">
        <w:t>pielikums </w:t>
      </w:r>
      <w:r w:rsidRPr="00205452">
        <w:br/>
        <w:t>Ministru kabineta </w:t>
      </w:r>
      <w:r w:rsidRPr="00205452">
        <w:br/>
        <w:t>2014.gada 30.septembra noteikumiem Nr.</w:t>
      </w:r>
      <w:r w:rsidR="000914C0">
        <w:t> </w:t>
      </w:r>
      <w:r w:rsidRPr="00205452">
        <w:t>598</w:t>
      </w:r>
    </w:p>
    <w:p w:rsidR="000914C0" w:rsidRPr="00205452" w:rsidRDefault="000914C0" w:rsidP="00D813B8">
      <w:pPr>
        <w:shd w:val="clear" w:color="auto" w:fill="FFFFFF"/>
        <w:jc w:val="right"/>
      </w:pPr>
    </w:p>
    <w:p w:rsidR="00312996" w:rsidRDefault="00312996" w:rsidP="00D813B8">
      <w:pPr>
        <w:shd w:val="clear" w:color="auto" w:fill="FFFFFF"/>
        <w:jc w:val="center"/>
        <w:rPr>
          <w:b/>
          <w:bCs/>
        </w:rPr>
      </w:pPr>
      <w:bookmarkStart w:id="0" w:name="584951"/>
      <w:bookmarkEnd w:id="0"/>
      <w:r w:rsidRPr="00205452">
        <w:rPr>
          <w:b/>
          <w:bCs/>
        </w:rPr>
        <w:t>Finanšu korekciju piemērošana atbalstītajos projektos nea</w:t>
      </w:r>
      <w:r w:rsidR="00854845">
        <w:rPr>
          <w:b/>
          <w:bCs/>
        </w:rPr>
        <w:t>tbilstību un pārkāpumu gadījumā</w:t>
      </w:r>
    </w:p>
    <w:p w:rsidR="000914C0" w:rsidRPr="00205452" w:rsidRDefault="000914C0" w:rsidP="00D813B8">
      <w:pPr>
        <w:shd w:val="clear" w:color="auto" w:fill="FFFFFF"/>
        <w:jc w:val="center"/>
        <w:rPr>
          <w:b/>
          <w:bCs/>
        </w:rPr>
      </w:pPr>
    </w:p>
    <w:p w:rsidR="00312996" w:rsidRPr="00205452" w:rsidRDefault="00312996" w:rsidP="004B7B92">
      <w:pPr>
        <w:shd w:val="clear" w:color="auto" w:fill="FFFFFF"/>
        <w:ind w:firstLine="300"/>
        <w:jc w:val="both"/>
      </w:pPr>
      <w:r w:rsidRPr="00205452">
        <w:t xml:space="preserve">1. Proporcionāla finanšu korekcija atbalstītajos projektos (sk. tabulu) tiek piemērota gadījumos, </w:t>
      </w:r>
      <w:r w:rsidR="000914C0">
        <w:t>kad</w:t>
      </w:r>
      <w:r w:rsidRPr="00205452">
        <w:t xml:space="preserve"> Lauku atbalsta dienests, pieņemot lēmumu par iespējamo neatbilstības konstatēšanu vai lēmumu par neatbilstību, secina, ka neatbilstoši veikto izdevumu summu nav iespējams konkrēti noteikt vai būtu nesamērīgi samazināt projekta attiecināmo izmaksu summu par visu izdevumu summu, kas neatbilst normatīvo aktu un lēmuma vai vienošanās par projekta īstenošanu nosacījumiem.</w:t>
      </w:r>
    </w:p>
    <w:p w:rsidR="00312996" w:rsidRPr="00205452" w:rsidRDefault="00312996" w:rsidP="004B7B92">
      <w:pPr>
        <w:shd w:val="clear" w:color="auto" w:fill="FFFFFF"/>
        <w:ind w:firstLine="300"/>
        <w:jc w:val="both"/>
      </w:pPr>
      <w:r w:rsidRPr="00205452">
        <w:t>2. Finansējumu atprasa proporcionāli laikam, kas pagājis kopš projekta īstenošanas un sasniedzamo rādītāju sasniegtajam apjomam.</w:t>
      </w:r>
    </w:p>
    <w:p w:rsidR="00312996" w:rsidRPr="00205452" w:rsidRDefault="00312996" w:rsidP="004B7B92">
      <w:pPr>
        <w:shd w:val="clear" w:color="auto" w:fill="FFFFFF"/>
        <w:ind w:firstLine="300"/>
        <w:jc w:val="both"/>
      </w:pPr>
      <w:r w:rsidRPr="00205452">
        <w:t xml:space="preserve">3. Konstatējot vairākus pārkāpumus projekta vērtēšanas </w:t>
      </w:r>
      <w:r w:rsidR="000914C0">
        <w:t>gaitā</w:t>
      </w:r>
      <w:r w:rsidRPr="00205452">
        <w:t>, tiek piemērota finanšu korekcija atbilstoši būtiskākajam (ar augstāko korekcijas apmēru) pārkāpumam (izņemot šajā tabulā 5.4.</w:t>
      </w:r>
      <w:r w:rsidR="00F61F33">
        <w:t> </w:t>
      </w:r>
      <w:r w:rsidR="004C6D97">
        <w:t>apakšpunktā minēto sankciju)</w:t>
      </w:r>
      <w:r w:rsidRPr="00205452">
        <w:t>.</w:t>
      </w:r>
    </w:p>
    <w:p w:rsidR="00312996" w:rsidRPr="00205452" w:rsidRDefault="00312996" w:rsidP="004B7B92">
      <w:pPr>
        <w:shd w:val="clear" w:color="auto" w:fill="FFFFFF"/>
        <w:ind w:firstLine="300"/>
        <w:jc w:val="both"/>
      </w:pPr>
      <w:r w:rsidRPr="00205452">
        <w:t>4. Samērīguma princips piemērojams tiktāl, cik to pieļauj noteikt</w:t>
      </w:r>
      <w:r w:rsidR="000914C0">
        <w:t>ais</w:t>
      </w:r>
      <w:r w:rsidRPr="00205452">
        <w:t xml:space="preserve"> minimāl</w:t>
      </w:r>
      <w:r w:rsidR="000914C0">
        <w:t>ais</w:t>
      </w:r>
      <w:r w:rsidRPr="00205452">
        <w:t xml:space="preserve"> finanšu korekcij</w:t>
      </w:r>
      <w:r w:rsidR="000914C0">
        <w:t>as</w:t>
      </w:r>
      <w:r w:rsidRPr="00205452">
        <w:t xml:space="preserve"> apjom</w:t>
      </w:r>
      <w:r w:rsidR="000914C0">
        <w:t>s</w:t>
      </w:r>
      <w:r w:rsidRPr="00205452">
        <w:t>.</w:t>
      </w:r>
    </w:p>
    <w:p w:rsidR="00312996" w:rsidRPr="00205452" w:rsidRDefault="00312996" w:rsidP="004B7B92">
      <w:pPr>
        <w:shd w:val="clear" w:color="auto" w:fill="FFFFFF"/>
        <w:ind w:firstLine="300"/>
        <w:jc w:val="both"/>
      </w:pPr>
      <w:r w:rsidRPr="00205452">
        <w:t>5. Finanšu korekciju nepiemēro, ja pārkāpumam ir formāls raksturs, kam nav nekādas faktisk</w:t>
      </w:r>
      <w:r w:rsidR="000914C0">
        <w:t>a</w:t>
      </w:r>
      <w:r w:rsidRPr="00205452">
        <w:t>s vai iespējam</w:t>
      </w:r>
      <w:r w:rsidR="000914C0">
        <w:t>a</w:t>
      </w:r>
      <w:r w:rsidRPr="00205452">
        <w:t>s finansiāl</w:t>
      </w:r>
      <w:r w:rsidR="000914C0">
        <w:t>a</w:t>
      </w:r>
      <w:r w:rsidRPr="00205452">
        <w:t>s ietekmes.</w:t>
      </w:r>
    </w:p>
    <w:p w:rsidR="00312996" w:rsidRPr="00205452" w:rsidRDefault="00312996" w:rsidP="004B7B92">
      <w:pPr>
        <w:shd w:val="clear" w:color="auto" w:fill="FFFFFF"/>
        <w:ind w:firstLine="300"/>
        <w:jc w:val="both"/>
      </w:pPr>
      <w:r w:rsidRPr="00205452">
        <w:t>6. Finanšu korekciju var nepiemērot, ja atbalsta pretendents spēj pierādīt, ka nepieciešamās izmaiņas projektā iepriekš nebija paredzamas un tās radušās no atbalsta pretendenta darbības neatkarīgu iemeslu dēļ.</w:t>
      </w:r>
    </w:p>
    <w:p w:rsidR="008F4517" w:rsidRDefault="00312996" w:rsidP="00F61F33">
      <w:pPr>
        <w:shd w:val="clear" w:color="auto" w:fill="FFFFFF"/>
        <w:ind w:firstLine="300"/>
        <w:jc w:val="both"/>
      </w:pPr>
      <w:r w:rsidRPr="00205452">
        <w:t xml:space="preserve">7. </w:t>
      </w:r>
      <w:r w:rsidR="000914C0">
        <w:t>Piemērojot f</w:t>
      </w:r>
      <w:r w:rsidRPr="00205452">
        <w:t>inanšu korekcij</w:t>
      </w:r>
      <w:r w:rsidR="000914C0">
        <w:t>u,</w:t>
      </w:r>
      <w:r w:rsidRPr="00205452">
        <w:t xml:space="preserve"> vērtē ar atbalsta saņemšanas nosacījumiem saistītās neatbilstības smagumu, apjomu, ilgumu un atkārtošanos.</w:t>
      </w:r>
    </w:p>
    <w:p w:rsidR="00DF4759" w:rsidRDefault="00DF4759" w:rsidP="00F61F33">
      <w:pPr>
        <w:shd w:val="clear" w:color="auto" w:fill="FFFFFF"/>
        <w:ind w:firstLine="300"/>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2739"/>
        <w:gridCol w:w="3196"/>
        <w:gridCol w:w="2465"/>
      </w:tblGrid>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312996" w:rsidRPr="00205452" w:rsidRDefault="00312996" w:rsidP="00D813B8">
            <w:pPr>
              <w:jc w:val="center"/>
              <w:rPr>
                <w:b/>
                <w:bCs/>
              </w:rPr>
            </w:pPr>
            <w:r w:rsidRPr="00205452">
              <w:rPr>
                <w:b/>
                <w:bCs/>
              </w:rPr>
              <w:t>Nr.</w:t>
            </w:r>
            <w:r w:rsidRPr="00205452">
              <w:rPr>
                <w:b/>
                <w:bCs/>
              </w:rPr>
              <w:br/>
              <w:t>p.k.</w:t>
            </w:r>
          </w:p>
        </w:tc>
        <w:tc>
          <w:tcPr>
            <w:tcW w:w="1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312996" w:rsidRPr="00205452" w:rsidRDefault="00312996" w:rsidP="00D813B8">
            <w:pPr>
              <w:jc w:val="center"/>
              <w:rPr>
                <w:b/>
                <w:bCs/>
              </w:rPr>
            </w:pPr>
            <w:r w:rsidRPr="00205452">
              <w:rPr>
                <w:b/>
                <w:bCs/>
              </w:rPr>
              <w:t>Neatbilstība/pārkāpums</w:t>
            </w:r>
          </w:p>
        </w:tc>
        <w:tc>
          <w:tcPr>
            <w:tcW w:w="17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312996" w:rsidRPr="00205452" w:rsidRDefault="00312996" w:rsidP="00D813B8">
            <w:pPr>
              <w:jc w:val="center"/>
              <w:rPr>
                <w:b/>
                <w:bCs/>
              </w:rPr>
            </w:pPr>
            <w:r w:rsidRPr="00205452">
              <w:rPr>
                <w:b/>
                <w:bCs/>
              </w:rPr>
              <w:t>Neatbilstības/pārkāpuma apraksts</w:t>
            </w:r>
          </w:p>
        </w:tc>
        <w:tc>
          <w:tcPr>
            <w:tcW w:w="1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312996" w:rsidRPr="00205452" w:rsidRDefault="00312996" w:rsidP="00D813B8">
            <w:pPr>
              <w:jc w:val="center"/>
              <w:rPr>
                <w:b/>
                <w:bCs/>
              </w:rPr>
            </w:pPr>
            <w:r w:rsidRPr="00205452">
              <w:rPr>
                <w:b/>
                <w:bCs/>
              </w:rPr>
              <w:t>Finanšu korekcijas apjoms</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1.</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Ar projektu saistītajā dokumentācijā ir konstatētas krāpšanas pazīmes</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Ja Lauku atbalsta dienests projekta administrēšanas procesā </w:t>
            </w:r>
            <w:r w:rsidR="000914C0">
              <w:t>konstatē</w:t>
            </w:r>
            <w:r w:rsidRPr="00205452">
              <w:t xml:space="preserve"> krāpšanas pazīmes (piemēram, dokumentā ir nepatiesa informācija), piemēro attiecīgo finanšu korekciju un izslēgšanu no atbalsta saņ</w:t>
            </w:r>
            <w:r w:rsidR="000914C0">
              <w:t>ēmēju loka</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100 % un izslēgšana no atbalsta saņēmēju loka vismaz uz trim gadiem</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2.</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Ir konstatēts, ka atbalsta pretendents ir mākslīgi radījis apstākļus publiskā finansējuma saņemšanai</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Ja atbalsta pretendents </w:t>
            </w:r>
            <w:r w:rsidR="000914C0">
              <w:t xml:space="preserve">ir </w:t>
            </w:r>
            <w:r w:rsidRPr="00205452">
              <w:t xml:space="preserve">sagatavojis un īstenojis projektu citas personas interesēs un minētā persona neatbilst pasākuma nosacījumiem vai viens ražošanas process </w:t>
            </w:r>
            <w:r w:rsidR="000914C0">
              <w:t xml:space="preserve">ir </w:t>
            </w:r>
            <w:r w:rsidRPr="00205452">
              <w:lastRenderedPageBreak/>
              <w:t>sadalīts vairākos projektos, lai saņemtu vairākas maksimālās attiecināmo izmaksu summas, piemēro attiecīgo finanšu korekciju</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lastRenderedPageBreak/>
              <w:t>100 %</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2.</w:t>
            </w:r>
            <w:r w:rsidRPr="00205452">
              <w:rPr>
                <w:vertAlign w:val="superscript"/>
              </w:rPr>
              <w:t>1</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Ir konstatēti regulas Nr. </w:t>
            </w:r>
            <w:hyperlink r:id="rId10" w:tgtFrame="_blank" w:history="1">
              <w:r w:rsidRPr="00205452">
                <w:t>508/2014</w:t>
              </w:r>
            </w:hyperlink>
            <w:r w:rsidRPr="00205452">
              <w:t>10. pantā vai regulā Nr. </w:t>
            </w:r>
            <w:hyperlink r:id="rId11" w:tgtFrame="_blank" w:history="1">
              <w:r w:rsidRPr="00205452">
                <w:t>2015/288</w:t>
              </w:r>
            </w:hyperlink>
            <w:r w:rsidR="000914C0">
              <w:t xml:space="preserve"> </w:t>
            </w:r>
            <w:r w:rsidRPr="00205452">
              <w:t>minētie pārkāpumi</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Pārkāpumi fiksēti pirms projekta iesnieguma iesniegšanas, tā izvērtēšanas laikā, visā projekta īstenošanas laikā un vismaz piecus gadus pēc pēdējā maksājuma saņemšanas</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Izslēgšana no atbalsta saņēmēju loka un saņemtā atbalsta 100 % atmaksa saskaņā ar regulu Nr. </w:t>
            </w:r>
            <w:hyperlink r:id="rId12" w:tgtFrame="_blank" w:history="1">
              <w:r w:rsidRPr="00205452">
                <w:t>2015/288</w:t>
              </w:r>
            </w:hyperlink>
          </w:p>
        </w:tc>
      </w:tr>
      <w:tr w:rsidR="00205452" w:rsidRPr="00205452" w:rsidTr="006A0690">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3.</w:t>
            </w:r>
          </w:p>
        </w:tc>
        <w:tc>
          <w:tcPr>
            <w:tcW w:w="4600" w:type="pct"/>
            <w:gridSpan w:val="3"/>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pPr>
              <w:rPr>
                <w:b/>
                <w:bCs/>
              </w:rPr>
            </w:pPr>
            <w:r w:rsidRPr="00205452">
              <w:rPr>
                <w:b/>
                <w:bCs/>
              </w:rPr>
              <w:t>Iepirkuma procedūr</w:t>
            </w:r>
            <w:r w:rsidR="000914C0">
              <w:rPr>
                <w:b/>
                <w:bCs/>
              </w:rPr>
              <w:t>ā</w:t>
            </w:r>
            <w:r w:rsidRPr="00205452">
              <w:rPr>
                <w:b/>
                <w:bCs/>
              </w:rPr>
              <w:t>/cenu aptauj</w:t>
            </w:r>
            <w:r w:rsidR="000914C0">
              <w:rPr>
                <w:b/>
                <w:bCs/>
              </w:rPr>
              <w:t>ā</w:t>
            </w:r>
            <w:r w:rsidRPr="00205452">
              <w:rPr>
                <w:b/>
                <w:bCs/>
              </w:rPr>
              <w:t xml:space="preserve"> konstatētie pārkāpumi</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3.1.</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Nav piemērota atbilstošā iepirkuma procedūras metode</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Piemērota nepareiza iepirkuma metode – veikta vienkāršota cenu aptauja, jo nav ņemts vērā, ka iegādēm, kurām ir viens mērķis un/vai piegādātājs un kurām, saskaitot kopā un nosakot paredzamo cenu, atbilstoši </w:t>
            </w:r>
            <w:hyperlink r:id="rId13" w:tgtFrame="_blank" w:history="1">
              <w:r w:rsidRPr="00205452">
                <w:t>Publisko iepirkumu likumam</w:t>
              </w:r>
            </w:hyperlink>
            <w:r w:rsidRPr="00205452">
              <w:t> vai noteikumiem par iepirkuma procedūru un tās piemērošanas kārtību pasūtītāja finansētiem projektiem ir jāveic iepirkuma procedūra ar Iepirkumu uzraudzības biroja starpniecību</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Atkārtota iepirkuma procedūra atbilstoši normatīvo aktu nosacījumiem un 10 % no attiecīgajai investīcijas pozīcijai (kurai nepareizi piemērota iepirkuma procedūras metode) apstiprinātajām attiecināmajām izmaksām pēc iepirkuma dokumentācijas izvērtēšanas</w:t>
            </w:r>
          </w:p>
          <w:p w:rsidR="00312996" w:rsidRDefault="00312996" w:rsidP="00D813B8">
            <w:r w:rsidRPr="00205452">
              <w:t>• 100 %, ja konstatētas neatbilstības pēc atkārtoti veiktas iepirkuma procedūras</w:t>
            </w:r>
          </w:p>
          <w:p w:rsidR="00DF4759" w:rsidRPr="00205452" w:rsidRDefault="00DF4759" w:rsidP="00D813B8"/>
        </w:tc>
      </w:tr>
      <w:tr w:rsidR="00205452" w:rsidRPr="00205452" w:rsidTr="00DF4759">
        <w:trPr>
          <w:trHeight w:val="1459"/>
        </w:trPr>
        <w:tc>
          <w:tcPr>
            <w:tcW w:w="400" w:type="pct"/>
            <w:tcBorders>
              <w:top w:val="outset" w:sz="6" w:space="0" w:color="414142"/>
              <w:left w:val="outset" w:sz="6" w:space="0" w:color="414142"/>
              <w:bottom w:val="single" w:sz="4" w:space="0" w:color="auto"/>
              <w:right w:val="outset" w:sz="6" w:space="0" w:color="414142"/>
            </w:tcBorders>
            <w:hideMark/>
          </w:tcPr>
          <w:p w:rsidR="00312996" w:rsidRPr="00205452" w:rsidRDefault="00312996" w:rsidP="00D813B8">
            <w:r w:rsidRPr="00205452">
              <w:t>3.2.</w:t>
            </w:r>
          </w:p>
        </w:tc>
        <w:tc>
          <w:tcPr>
            <w:tcW w:w="1500" w:type="pct"/>
            <w:tcBorders>
              <w:top w:val="outset" w:sz="6" w:space="0" w:color="414142"/>
              <w:left w:val="outset" w:sz="6" w:space="0" w:color="414142"/>
              <w:bottom w:val="single" w:sz="4" w:space="0" w:color="auto"/>
              <w:right w:val="outset" w:sz="6" w:space="0" w:color="414142"/>
            </w:tcBorders>
            <w:hideMark/>
          </w:tcPr>
          <w:p w:rsidR="00312996" w:rsidRPr="00205452" w:rsidRDefault="00312996" w:rsidP="00D813B8">
            <w:r w:rsidRPr="00205452">
              <w:t>Noteiktie termiņi piedāvājumu sagatavošanai un iesniegšanai neatbilst normatīvo aktu nosacījumiem</w:t>
            </w:r>
          </w:p>
        </w:tc>
        <w:tc>
          <w:tcPr>
            <w:tcW w:w="1750" w:type="pct"/>
            <w:tcBorders>
              <w:top w:val="outset" w:sz="6" w:space="0" w:color="414142"/>
              <w:left w:val="outset" w:sz="6" w:space="0" w:color="414142"/>
              <w:bottom w:val="single" w:sz="4" w:space="0" w:color="auto"/>
              <w:right w:val="outset" w:sz="6" w:space="0" w:color="414142"/>
            </w:tcBorders>
            <w:hideMark/>
          </w:tcPr>
          <w:p w:rsidR="00312996" w:rsidRPr="00205452" w:rsidRDefault="00312996" w:rsidP="000914C0">
            <w:r w:rsidRPr="00205452">
              <w:t>Atbalsta pretendents iepirkumu procedūr</w:t>
            </w:r>
            <w:r w:rsidR="000914C0">
              <w:t>ā</w:t>
            </w:r>
            <w:r w:rsidRPr="00205452">
              <w:t xml:space="preserve"> nav ievērojis noteiktos minimālos piedāvājumu sagatavošanas termiņus</w:t>
            </w:r>
            <w:r w:rsidR="00F04AAB">
              <w:t xml:space="preserve"> saskaņā ar </w:t>
            </w:r>
            <w:r w:rsidR="001D1212">
              <w:t>Publisko iepirkumu likumu un</w:t>
            </w:r>
            <w:r w:rsidR="00F04AAB">
              <w:t xml:space="preserve"> noteikumiem par iepirkuma procedūru un tās piemērošanas kārtību pasūtītāja finansētiem projektiem</w:t>
            </w:r>
            <w:r w:rsidR="0098593F">
              <w:t xml:space="preserve">. Finanšu korekciju piemēro iepirkuma procedūrai, </w:t>
            </w:r>
            <w:r w:rsidR="000914C0">
              <w:t xml:space="preserve">par </w:t>
            </w:r>
            <w:r w:rsidR="0098593F">
              <w:t>kur</w:t>
            </w:r>
            <w:r w:rsidR="000914C0">
              <w:t>as rezultātiem</w:t>
            </w:r>
            <w:r w:rsidR="0098593F">
              <w:t xml:space="preserve"> publicēts pazi</w:t>
            </w:r>
            <w:r w:rsidR="00F04AAB">
              <w:t xml:space="preserve">ņojums </w:t>
            </w:r>
            <w:r w:rsidR="001139CB" w:rsidRPr="001139CB">
              <w:t xml:space="preserve">Iepirkumu uzraudzības biroja </w:t>
            </w:r>
            <w:r w:rsidR="000914C0">
              <w:t>tīmekļa vietnē</w:t>
            </w:r>
            <w:r w:rsidR="0098593F">
              <w:t xml:space="preserve"> </w:t>
            </w:r>
            <w:r w:rsidR="001139CB">
              <w:t>projektu iesniegumu pieņemšanas kārtas beigām.</w:t>
            </w:r>
          </w:p>
        </w:tc>
        <w:tc>
          <w:tcPr>
            <w:tcW w:w="1350" w:type="pct"/>
            <w:tcBorders>
              <w:top w:val="outset" w:sz="6" w:space="0" w:color="414142"/>
              <w:left w:val="outset" w:sz="6" w:space="0" w:color="414142"/>
              <w:bottom w:val="single" w:sz="4" w:space="0" w:color="auto"/>
              <w:right w:val="outset" w:sz="6" w:space="0" w:color="414142"/>
            </w:tcBorders>
            <w:hideMark/>
          </w:tcPr>
          <w:p w:rsidR="00312996" w:rsidRDefault="00312996" w:rsidP="00D813B8">
            <w:r w:rsidRPr="00205452">
              <w:t>• 2 % par katru termiņa samazinājuma darbdienu (maksimāli līdz piecām darbdienām), ja ir ievēroti visi pārējie iepirkuma procedūras nosacījumi</w:t>
            </w:r>
          </w:p>
          <w:p w:rsidR="00EA0EB0" w:rsidRPr="00205452" w:rsidRDefault="00EA0EB0" w:rsidP="00D813B8"/>
          <w:p w:rsidR="00EA0EB0" w:rsidRDefault="00312996" w:rsidP="00D813B8">
            <w:r w:rsidRPr="00205452">
              <w:t>• 10 % un at</w:t>
            </w:r>
            <w:r w:rsidR="00EA0EB0">
              <w:t>kārtota iepirkuma procedūra, ja</w:t>
            </w:r>
            <w:r w:rsidRPr="00205452">
              <w:t xml:space="preserve"> apstiprinātajām attiecināmajām izmaksām pēc iepirkuma dokumentācijas izvērtēšanas (ja termiņa samazinājums </w:t>
            </w:r>
            <w:r w:rsidR="0074689C">
              <w:t>pārsniedz</w:t>
            </w:r>
            <w:r w:rsidRPr="00205452">
              <w:t xml:space="preserve"> piec</w:t>
            </w:r>
            <w:r w:rsidR="0074689C">
              <w:t>as</w:t>
            </w:r>
            <w:r w:rsidRPr="00205452">
              <w:t xml:space="preserve"> darbdien</w:t>
            </w:r>
            <w:r w:rsidR="0074689C">
              <w:t>as</w:t>
            </w:r>
            <w:r w:rsidRPr="00205452">
              <w:t>)</w:t>
            </w:r>
          </w:p>
          <w:p w:rsidR="00EA0EB0" w:rsidRDefault="00EA0EB0" w:rsidP="00D813B8"/>
          <w:p w:rsidR="00312996" w:rsidRDefault="00312996" w:rsidP="00D813B8">
            <w:r w:rsidRPr="00205452">
              <w:lastRenderedPageBreak/>
              <w:t>• 10 % no attiecīgās investīcijas pozīcijas attiecināmajām izmaksām, ja projekts īstenots</w:t>
            </w:r>
          </w:p>
          <w:p w:rsidR="00EA0EB0" w:rsidRPr="00205452" w:rsidRDefault="00EA0EB0" w:rsidP="00D813B8"/>
          <w:p w:rsidR="00312996" w:rsidRPr="00205452" w:rsidRDefault="00312996" w:rsidP="00D813B8">
            <w:r w:rsidRPr="00205452">
              <w:t>• 100 %, ja konstatētas neatbilstības pēc atkārtoti veiktas iepirkuma procedūras</w:t>
            </w:r>
          </w:p>
        </w:tc>
      </w:tr>
      <w:tr w:rsidR="00205452" w:rsidRPr="00205452" w:rsidTr="00DF4759">
        <w:trPr>
          <w:trHeight w:val="540"/>
        </w:trPr>
        <w:tc>
          <w:tcPr>
            <w:tcW w:w="400" w:type="pct"/>
            <w:tcBorders>
              <w:top w:val="single" w:sz="4" w:space="0" w:color="auto"/>
              <w:left w:val="outset" w:sz="6" w:space="0" w:color="414142"/>
              <w:bottom w:val="outset" w:sz="6" w:space="0" w:color="414142"/>
              <w:right w:val="outset" w:sz="6" w:space="0" w:color="414142"/>
            </w:tcBorders>
          </w:tcPr>
          <w:p w:rsidR="00312996" w:rsidRPr="00205452" w:rsidRDefault="00312996" w:rsidP="00D813B8">
            <w:r w:rsidRPr="00205452">
              <w:lastRenderedPageBreak/>
              <w:t>3.3.</w:t>
            </w:r>
          </w:p>
        </w:tc>
        <w:tc>
          <w:tcPr>
            <w:tcW w:w="1500" w:type="pct"/>
            <w:tcBorders>
              <w:top w:val="single" w:sz="4" w:space="0" w:color="auto"/>
              <w:left w:val="outset" w:sz="6" w:space="0" w:color="414142"/>
              <w:bottom w:val="outset" w:sz="6" w:space="0" w:color="414142"/>
              <w:right w:val="outset" w:sz="6" w:space="0" w:color="414142"/>
            </w:tcBorders>
          </w:tcPr>
          <w:p w:rsidR="00312996" w:rsidRPr="00205452" w:rsidRDefault="00312996" w:rsidP="00D813B8">
            <w:r w:rsidRPr="00205452">
              <w:t>Iepirkuma procedūrā nav salīdzināts nepieciešamais derīgu piedāvājumu skaits</w:t>
            </w:r>
          </w:p>
        </w:tc>
        <w:tc>
          <w:tcPr>
            <w:tcW w:w="1750" w:type="pct"/>
            <w:tcBorders>
              <w:top w:val="single" w:sz="4" w:space="0" w:color="auto"/>
              <w:left w:val="outset" w:sz="6" w:space="0" w:color="414142"/>
              <w:bottom w:val="outset" w:sz="6" w:space="0" w:color="414142"/>
              <w:right w:val="outset" w:sz="6" w:space="0" w:color="414142"/>
            </w:tcBorders>
          </w:tcPr>
          <w:p w:rsidR="00312996" w:rsidRPr="00205452" w:rsidRDefault="00312996" w:rsidP="001D1212">
            <w:r w:rsidRPr="00205452">
              <w:t>Atbalsta pretendents iepirkumu procedūr</w:t>
            </w:r>
            <w:r w:rsidR="0074689C">
              <w:t>ā</w:t>
            </w:r>
            <w:r w:rsidRPr="00205452">
              <w:t xml:space="preserve"> nav salīdzinājis noteikto derīgo piedāvājumu skaitu</w:t>
            </w:r>
            <w:r w:rsidR="001D1212">
              <w:t xml:space="preserve"> saskaņā ar Publisko iepirkumu likumu un noteikumiem par iepirkuma procedūru un tās piemērošanas kārtību pasūtītāja finansētiem projektiem.</w:t>
            </w:r>
          </w:p>
        </w:tc>
        <w:tc>
          <w:tcPr>
            <w:tcW w:w="1350" w:type="pct"/>
            <w:tcBorders>
              <w:top w:val="single" w:sz="4" w:space="0" w:color="auto"/>
              <w:left w:val="outset" w:sz="6" w:space="0" w:color="414142"/>
              <w:bottom w:val="outset" w:sz="6" w:space="0" w:color="414142"/>
              <w:right w:val="outset" w:sz="6" w:space="0" w:color="414142"/>
            </w:tcBorders>
          </w:tcPr>
          <w:p w:rsidR="00312996" w:rsidRPr="00205452" w:rsidRDefault="00312996" w:rsidP="0074689C">
            <w:r w:rsidRPr="00205452">
              <w:t>Atkārtota iepirkuma procedūra, izmantojot I</w:t>
            </w:r>
            <w:r w:rsidR="0074689C">
              <w:t>epirkumu uzraudzības biroja</w:t>
            </w:r>
            <w:r w:rsidRPr="00205452">
              <w:t xml:space="preserve"> platformu un 10 vai 5 % apstiprinātajām attiecināmajām izmaksām pēc </w:t>
            </w:r>
            <w:r w:rsidR="001139CB">
              <w:t xml:space="preserve">atkārtota </w:t>
            </w:r>
            <w:r w:rsidRPr="00205452">
              <w:t>iepirkuma dokumentācijas izvērtēšanas atkarībā no neatbilstības būtiskuma</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3.4.</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Nepamatoti ierobežota iepirkuma procedūras tehniskā specifikācija</w:t>
            </w:r>
            <w:r w:rsidR="001139CB">
              <w:t xml:space="preserve"> un sašaurināts piedāvājumu iesniedzēju loks</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Tehniskajā specifikācijā vai konkursa nolikumā ir norādīti kritēriji, kas dod iespēju pieteikties tikai konkrētam vai ierobežotam ražotāju lokam, vai arī, vērtējot iepirkumu, norādītie kritēriji vairs netiek ņemti vērā, tādējādi dodot iespēju uzvarēt piedāvātājam, kurš neatbilst attiecīgajiem kritērijiem.</w:t>
            </w:r>
          </w:p>
          <w:p w:rsidR="00312996" w:rsidRDefault="00312996" w:rsidP="00D813B8">
            <w:r w:rsidRPr="00205452">
              <w:t>Noteikti pārāk specifiski tehniskie standarti, tādējādi nenodrošinot vienādu piekļuvi</w:t>
            </w:r>
            <w:r w:rsidR="0074689C">
              <w:t xml:space="preserve"> (</w:t>
            </w:r>
            <w:r w:rsidRPr="00205452">
              <w:t>iespēju</w:t>
            </w:r>
            <w:r w:rsidR="0074689C">
              <w:t>)</w:t>
            </w:r>
            <w:r w:rsidRPr="00205452">
              <w:t xml:space="preserve"> pretendentiem</w:t>
            </w:r>
            <w:r w:rsidR="0074689C">
              <w:t>,</w:t>
            </w:r>
            <w:r w:rsidRPr="00205452">
              <w:t xml:space="preserve"> vai publiskajā iepirkumā radīti nepamatoti šķēršļi atvērtai iepirkuma procedūrai</w:t>
            </w:r>
            <w:r w:rsidR="0074689C">
              <w:t>.</w:t>
            </w:r>
          </w:p>
          <w:p w:rsidR="001139CB" w:rsidRPr="00205452" w:rsidRDefault="001139CB" w:rsidP="00D813B8">
            <w:r>
              <w:t>Atbalsta pretendents radījis apstākļus, lai ierobežotu piegādātāju loku.</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 25 % apstiprinātajām attiecināmajām izmaksām pēc iepirk</w:t>
            </w:r>
            <w:r w:rsidR="00EA0EB0">
              <w:t>uma dokumentācijas izvērtēšanas</w:t>
            </w:r>
            <w:r w:rsidRPr="00205452">
              <w:t>, ja pārkāpums var ietekmēt ražotāju loku un ierobežo konkurenci</w:t>
            </w:r>
          </w:p>
          <w:p w:rsidR="00FC125E" w:rsidRPr="00205452" w:rsidRDefault="00FC125E" w:rsidP="00D813B8"/>
          <w:p w:rsidR="00312996" w:rsidRPr="00205452" w:rsidRDefault="00312996" w:rsidP="00D813B8">
            <w:r w:rsidRPr="00205452">
              <w:t>• 10 vai 5 % apstiprinātajām attiecināmajām izmaksām pēc iepirkuma dokumentācijas izvērtēš</w:t>
            </w:r>
            <w:r w:rsidR="00FC125E">
              <w:t xml:space="preserve">anas atkarībā no neatbilstības </w:t>
            </w:r>
            <w:r w:rsidRPr="00205452">
              <w:t xml:space="preserve">būtiskuma </w:t>
            </w:r>
          </w:p>
          <w:p w:rsidR="00FC125E" w:rsidRDefault="00FC125E" w:rsidP="00D813B8"/>
          <w:p w:rsidR="00312996" w:rsidRDefault="00312996" w:rsidP="00D813B8">
            <w:r w:rsidRPr="00205452">
              <w:t xml:space="preserve">• Atkārtota iepirkuma procedūra, izmantojot </w:t>
            </w:r>
            <w:r w:rsidR="0074689C" w:rsidRPr="00205452">
              <w:t>I</w:t>
            </w:r>
            <w:r w:rsidR="0074689C">
              <w:t>epirkumu uzraudzības biroja</w:t>
            </w:r>
            <w:r w:rsidRPr="00205452">
              <w:t xml:space="preserve"> platformu </w:t>
            </w:r>
          </w:p>
          <w:p w:rsidR="00DF4759" w:rsidRPr="00205452" w:rsidRDefault="00DF4759" w:rsidP="00D813B8"/>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3.5.</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Līguma izpildes laikā netiek ievēroti atlases kritēriji</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74689C">
            <w:r w:rsidRPr="00205452">
              <w:t xml:space="preserve">Projekta īstenošanas laikā konstatēts, ka netiek ievēroti </w:t>
            </w:r>
            <w:r w:rsidR="0074689C">
              <w:t>piegādātāju atlasei noteiktie</w:t>
            </w:r>
            <w:r w:rsidR="0074689C" w:rsidRPr="00205452">
              <w:t xml:space="preserve"> </w:t>
            </w:r>
            <w:r w:rsidRPr="00205452">
              <w:t>kritēriji, piemēram, limitēts izpildes laiks</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 25 %, ja pārkāpums var ietekmēt piegādātāju loku un ierobežo konkurenci</w:t>
            </w:r>
          </w:p>
          <w:p w:rsidR="00FC125E" w:rsidRPr="00205452" w:rsidRDefault="00FC125E" w:rsidP="00D813B8"/>
          <w:p w:rsidR="00312996" w:rsidRPr="00205452" w:rsidRDefault="00312996" w:rsidP="00D813B8">
            <w:r w:rsidRPr="00205452">
              <w:t>• 10 vai 5 % atkarībā no neatbilstības būtiskuma</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lastRenderedPageBreak/>
              <w:t>3.6.</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Grozīti līgumisko attiecību nosacījumi, main</w:t>
            </w:r>
            <w:r w:rsidR="0074689C">
              <w:t>ot</w:t>
            </w:r>
            <w:r w:rsidRPr="00205452">
              <w:t xml:space="preserve"> sākotnējo tehnisko specifikāciju</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74689C">
            <w:r w:rsidRPr="00205452">
              <w:t xml:space="preserve">Projekta īstenošanas laikā </w:t>
            </w:r>
            <w:r w:rsidR="0074689C">
              <w:t>izdarī</w:t>
            </w:r>
            <w:r w:rsidRPr="00205452">
              <w:t>ti grozījumi, main</w:t>
            </w:r>
            <w:r w:rsidR="0074689C">
              <w:t>ot</w:t>
            </w:r>
            <w:r w:rsidRPr="00205452">
              <w:t xml:space="preserve"> nosacījum</w:t>
            </w:r>
            <w:r w:rsidR="0074689C">
              <w:t>us</w:t>
            </w:r>
            <w:r w:rsidRPr="00205452">
              <w:t>, kas varētu ietekmēt iespējamo piegādātāju loku un piedāvājuma cenu</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 25 %, ja pārkāpums var ietekmēt piegādātāju loku un ierobežo konkurenci</w:t>
            </w:r>
          </w:p>
          <w:p w:rsidR="00FC125E" w:rsidRPr="00205452" w:rsidRDefault="00FC125E" w:rsidP="00D813B8"/>
          <w:p w:rsidR="00312996" w:rsidRDefault="00312996" w:rsidP="00D813B8">
            <w:r w:rsidRPr="00205452">
              <w:t>• 10 vai 5 % atkarībā no neatbilstības būtiskuma</w:t>
            </w:r>
          </w:p>
          <w:p w:rsidR="00DF4759" w:rsidRPr="00205452" w:rsidRDefault="00DF4759" w:rsidP="00D813B8"/>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3.7.</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Iepirkumu procedūrā izvēlētā piegādātāja</w:t>
            </w:r>
            <w:r w:rsidR="0074689C">
              <w:t xml:space="preserve"> (</w:t>
            </w:r>
            <w:r w:rsidRPr="00205452">
              <w:t>pakalpojumu sniedzēja</w:t>
            </w:r>
            <w:r w:rsidR="0074689C">
              <w:t>)</w:t>
            </w:r>
            <w:r w:rsidRPr="00205452">
              <w:t xml:space="preserve"> apakšuzņēmējs ir atbalsta pretendents vai </w:t>
            </w:r>
            <w:r w:rsidR="0074689C">
              <w:t xml:space="preserve">ar </w:t>
            </w:r>
            <w:r w:rsidRPr="00205452">
              <w:t>t</w:t>
            </w:r>
            <w:r w:rsidR="0074689C">
              <w:t>o</w:t>
            </w:r>
            <w:r w:rsidRPr="00205452">
              <w:t xml:space="preserve"> saistītā persona;</w:t>
            </w:r>
          </w:p>
          <w:p w:rsidR="00312996" w:rsidRPr="00205452" w:rsidRDefault="00312996" w:rsidP="00D813B8">
            <w:r w:rsidRPr="00205452">
              <w:t>konstatējams interešu konflikts pieņemtajā lēmumā par iepirkuma rezultātiem</w:t>
            </w:r>
          </w:p>
        </w:tc>
        <w:tc>
          <w:tcPr>
            <w:tcW w:w="1750" w:type="pct"/>
            <w:tcBorders>
              <w:top w:val="outset" w:sz="6" w:space="0" w:color="414142"/>
              <w:left w:val="outset" w:sz="6" w:space="0" w:color="414142"/>
              <w:bottom w:val="outset" w:sz="6" w:space="0" w:color="414142"/>
              <w:right w:val="outset" w:sz="6" w:space="0" w:color="414142"/>
            </w:tcBorders>
            <w:hideMark/>
          </w:tcPr>
          <w:p w:rsidR="00FC125E" w:rsidRDefault="00312996" w:rsidP="00D813B8">
            <w:r w:rsidRPr="00205452">
              <w:t xml:space="preserve">Projekta īstenošanas laikā konstatēts, ka ar pakalpojumu sniedzēju noslēgtā līguma izpildi kā apakšuzņēmējs nodrošina atbalsta pretendents vai </w:t>
            </w:r>
            <w:r w:rsidR="0074689C">
              <w:t xml:space="preserve">ar </w:t>
            </w:r>
            <w:r w:rsidRPr="00205452">
              <w:t>t</w:t>
            </w:r>
            <w:r w:rsidR="0074689C">
              <w:t>o</w:t>
            </w:r>
            <w:r w:rsidRPr="00205452">
              <w:t xml:space="preserve"> saistītā persona</w:t>
            </w:r>
            <w:r w:rsidR="0074689C">
              <w:t>.</w:t>
            </w:r>
            <w:r w:rsidRPr="00205452">
              <w:t xml:space="preserve"> </w:t>
            </w:r>
          </w:p>
          <w:p w:rsidR="00FC125E" w:rsidRDefault="00FC125E" w:rsidP="00D813B8"/>
          <w:p w:rsidR="00DF4759" w:rsidRDefault="00312996" w:rsidP="00D813B8">
            <w:r w:rsidRPr="00205452">
              <w:t>Kāds no komisijas locekļiem un ekspertiem (ja tādi ir piesaistīti)  pārstāv pretendenta intereses, ir saistīts ar prete</w:t>
            </w:r>
            <w:r w:rsidR="00FC125E">
              <w:t>ndentu,</w:t>
            </w:r>
            <w:r w:rsidRPr="00205452">
              <w:t xml:space="preserve"> interešu konflikta konstatēšanas gadījumā nav ievērota noteiktā procedūra</w:t>
            </w:r>
          </w:p>
          <w:p w:rsidR="00312996" w:rsidRPr="00205452" w:rsidRDefault="00312996" w:rsidP="00D813B8">
            <w:r w:rsidRPr="00205452">
              <w:t>.</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100 %</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4.</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Konstatēts projekta izmaksu sadārdzinājums</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Mākslīga projekta izmaksu pozīciju sadārdzināšana</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 100 %, ja konstatētais sadārdzinājums pārsniedz 50 %</w:t>
            </w:r>
          </w:p>
          <w:p w:rsidR="00FC125E" w:rsidRPr="00205452" w:rsidRDefault="00FC125E" w:rsidP="00D813B8"/>
          <w:p w:rsidR="00312996" w:rsidRPr="00205452" w:rsidRDefault="00312996" w:rsidP="00D813B8">
            <w:r w:rsidRPr="00205452">
              <w:t>• 20–100 % no sadārdzināto izmaksu pozīcijas tirgus cenas sliekšņa, ja konstatētais sadārdzinājums ir līdz 50 %, – atkarībā no neatbilstības būtiskuma</w:t>
            </w:r>
          </w:p>
        </w:tc>
      </w:tr>
      <w:tr w:rsidR="00205452" w:rsidRPr="00205452" w:rsidTr="006A0690">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5.</w:t>
            </w:r>
          </w:p>
        </w:tc>
        <w:tc>
          <w:tcPr>
            <w:tcW w:w="4600" w:type="pct"/>
            <w:gridSpan w:val="3"/>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pPr>
              <w:rPr>
                <w:b/>
                <w:bCs/>
              </w:rPr>
            </w:pPr>
            <w:r w:rsidRPr="00205452">
              <w:rPr>
                <w:b/>
                <w:bCs/>
              </w:rPr>
              <w:t>Projekta īstenošanas laikā konstatētie pārkāpumi</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5.1.</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Nav ievēroti dokumentu iesniegšanas termiņi, kas noteikti normatīvajos aktos vai administratīvajā lēmumā</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Default="00AD61C7" w:rsidP="00D813B8">
            <w:r>
              <w:t>Konkrētā pasākuma nosacījumos, šo noteikumu nosacījumos</w:t>
            </w:r>
            <w:r w:rsidR="00312996" w:rsidRPr="00205452">
              <w:t xml:space="preserve"> vai administratīvajā lēmumā norādītie iesniedzamie dokumenti iesniegti pēc noteiktā termiņa</w:t>
            </w:r>
          </w:p>
          <w:p w:rsidR="00DF4759" w:rsidRPr="00205452" w:rsidRDefault="00DF4759" w:rsidP="00D813B8"/>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1–2 mēneši – 0,01 %</w:t>
            </w:r>
            <w:r w:rsidRPr="00205452">
              <w:br/>
              <w:t>• Vairāk nekā 2 mēneši līdz 3 mēnešiem – 0,05</w:t>
            </w:r>
            <w:r w:rsidR="0074689C">
              <w:t> </w:t>
            </w:r>
            <w:r w:rsidRPr="00205452">
              <w:t>%</w:t>
            </w:r>
            <w:r w:rsidRPr="00205452">
              <w:br/>
              <w:t>• Vairāk nekā 3 mēneši – 100 %</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5.2.</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Nav </w:t>
            </w:r>
            <w:r w:rsidR="0074689C">
              <w:t>saskaņoti</w:t>
            </w:r>
            <w:r w:rsidRPr="00205452">
              <w:t xml:space="preserve"> būtiski projekta grozījumi</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74689C">
            <w:r w:rsidRPr="00205452">
              <w:t>Par nebūtiskiem grozījumiem, kas nav jāsaskaņo ar Lauku atbalsta dienestu, uzskatāmi grozījumi</w:t>
            </w:r>
            <w:r w:rsidR="0074689C">
              <w:t xml:space="preserve"> saistībā ar</w:t>
            </w:r>
            <w:r w:rsidRPr="00205452">
              <w:t xml:space="preserve"> </w:t>
            </w:r>
            <w:r w:rsidR="0074689C">
              <w:t>izmaiņām, kas</w:t>
            </w:r>
            <w:r w:rsidR="0074689C" w:rsidRPr="00205452">
              <w:t xml:space="preserve"> </w:t>
            </w:r>
            <w:r w:rsidRPr="00205452">
              <w:t>projekta īstenošanas laikā radušās starp izmaksu pozīcijām</w:t>
            </w:r>
            <w:r w:rsidR="0074689C">
              <w:t xml:space="preserve"> un</w:t>
            </w:r>
            <w:r w:rsidRPr="00205452">
              <w:t xml:space="preserve"> kas nepārsniedz 10 procentu </w:t>
            </w:r>
            <w:r w:rsidRPr="00205452">
              <w:lastRenderedPageBreak/>
              <w:t xml:space="preserve">no apstiprinātās projekta tāmes kopsummas. Pārējās izmaiņas, kurām ir ietekme uz sākotnēji apstiprinātā projekta </w:t>
            </w:r>
            <w:r w:rsidR="004E5A39">
              <w:t>darbībām</w:t>
            </w:r>
            <w:r w:rsidRPr="00205452">
              <w:t xml:space="preserve"> un izmaksām, ir uzskatāmas par būtiskām</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lastRenderedPageBreak/>
              <w:t>• 100 % no konkrētās investīcijas, ja ir ietekme uz projekta mērķi</w:t>
            </w:r>
          </w:p>
          <w:p w:rsidR="00312996" w:rsidRPr="00205452" w:rsidRDefault="00312996" w:rsidP="00D813B8">
            <w:r w:rsidRPr="00205452">
              <w:t>• 25 % no konkrētās investīcijas, 10 vai 5 % atkarībā no neatbilstības būtiskuma</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5.3.</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Projekta īstenošanas termiņa pagarinājums </w:t>
            </w:r>
            <w:r w:rsidR="004E5A39">
              <w:t>pēc</w:t>
            </w:r>
            <w:r w:rsidRPr="00205452">
              <w:t xml:space="preserve"> maksimālā projektu </w:t>
            </w:r>
            <w:r w:rsidR="004E5A39">
              <w:t>īstenošanas</w:t>
            </w:r>
            <w:r w:rsidRPr="00205452">
              <w:t xml:space="preserve"> termiņa, neveicot paredzētās investīcijas</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4E5A39">
            <w:r w:rsidRPr="00205452">
              <w:t xml:space="preserve">Projekta </w:t>
            </w:r>
            <w:r w:rsidR="004E5A39">
              <w:t>īstenošanas</w:t>
            </w:r>
            <w:r w:rsidR="004E5A39" w:rsidRPr="00205452">
              <w:t xml:space="preserve"> </w:t>
            </w:r>
            <w:r w:rsidRPr="00205452">
              <w:t xml:space="preserve">termiņš ir pagarināts līdz maksimāli iespējamam un konstatēts, ka pēc šā termiņa projekts nav </w:t>
            </w:r>
            <w:r w:rsidR="004E5A39" w:rsidRPr="00205452">
              <w:t xml:space="preserve">pilnībā </w:t>
            </w:r>
            <w:r w:rsidRPr="00205452">
              <w:t>īstenots</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5 % no atlikušā maksājuma pieprasījuma summas, ja projekts tiek pabeigts vairāk nekā sešus mēnešus (bet ne vairāk kā 12 mēnešus) pēc lēmumā norādītā beigu termiņa</w:t>
            </w:r>
          </w:p>
          <w:p w:rsidR="00312996" w:rsidRDefault="00312996" w:rsidP="00D813B8">
            <w:r w:rsidRPr="00205452">
              <w:t>• 3 % no maksājuma pieprasījuma atlikušās summas, ja projekts tiek pabeigts 2–5 mēnešus pēc lēmumā norādītā beigu termiņa</w:t>
            </w:r>
          </w:p>
          <w:p w:rsidR="00DF4759" w:rsidRPr="00205452" w:rsidRDefault="00DF4759" w:rsidP="00D813B8"/>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5.4.</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Maksājuma pieprasījumā iekļautā attiecināmo izmaksu summa par 10 % pārsniedz summu, kas apstiprināta pēc tam, kad ir pārbaudītas tiesības saņemt atbalstu</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Ja maksājuma pieprasījumā iekļautā attiecināmo izmaksu summa par 10 % pārsniedz summu, kas izmaksājama saņēmējam pēc tam, kad ir pārbaudītas tiesības saņemt atbalstu par maksājuma pieprasījumā minētajiem izdevumiem, piemēro administratīvo sodu, ko veido starpība starp abām minētajām summām, bet tā nedrīkst pārsniegt pilno maksājuma pieprasījumā deklarēto attiecināmo izmaksu summu</w:t>
            </w:r>
          </w:p>
          <w:p w:rsidR="00DF4759" w:rsidRPr="00205452" w:rsidRDefault="00DF4759" w:rsidP="00D813B8"/>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Maksājuma pieprasījumā nepamatoti iekļautā izmaksu summa un administratīvais sods nepamatoti iekļautās summas apmērā</w:t>
            </w:r>
          </w:p>
        </w:tc>
      </w:tr>
      <w:tr w:rsidR="00205452" w:rsidRPr="00205452" w:rsidTr="006A0690">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6.</w:t>
            </w:r>
          </w:p>
        </w:tc>
        <w:tc>
          <w:tcPr>
            <w:tcW w:w="4600" w:type="pct"/>
            <w:gridSpan w:val="3"/>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pPr>
              <w:rPr>
                <w:b/>
                <w:bCs/>
              </w:rPr>
            </w:pPr>
            <w:r w:rsidRPr="00205452">
              <w:rPr>
                <w:b/>
                <w:bCs/>
              </w:rPr>
              <w:t>Projekta uzraudzības periodā konstatētie pārkāpumi</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6.1.</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Konstatētas būtiskas izmaiņas investīcijas izmantošanā</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Atbalsta saņēmējs ir pārtraucis savu produktīvo darbību (piemēram, uzņēmuma likvidācija (izņemot maksātnespējas gadījumus), reorganizācija, pārvietošana un darbības pārtraukšana citu iemeslu dēļ)</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100 %</w:t>
            </w:r>
          </w:p>
          <w:p w:rsidR="00312996" w:rsidRPr="00205452" w:rsidRDefault="00312996" w:rsidP="00D813B8">
            <w:r w:rsidRPr="00205452">
              <w:t>• Proporcionāla finanšu korekcija pret aktīvas darbības periodu atkarībā no neatbilstības būtiskuma</w:t>
            </w:r>
          </w:p>
          <w:p w:rsidR="00312996" w:rsidRPr="00205452" w:rsidRDefault="00312996" w:rsidP="00D813B8">
            <w:r w:rsidRPr="00205452">
              <w:t xml:space="preserve">• Ja saimnieciskā darbība apstādināta uz noteiktu laiku, bet ne vairāk kā uz sešiem mēnešiem, tiek pagarināts projekta </w:t>
            </w:r>
            <w:r w:rsidRPr="00205452">
              <w:lastRenderedPageBreak/>
              <w:t>uzraudzības periods</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lastRenderedPageBreak/>
              <w:t>6.2.</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Investīciju atsavināšana</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Atbalsta pretendents ir pārdevis</w:t>
            </w:r>
            <w:r w:rsidR="004E5A39">
              <w:t xml:space="preserve"> (</w:t>
            </w:r>
            <w:r w:rsidRPr="00205452">
              <w:t>atsavinājis</w:t>
            </w:r>
            <w:r w:rsidR="004E5A39">
              <w:t>)</w:t>
            </w:r>
            <w:r w:rsidRPr="00205452">
              <w:t xml:space="preserve"> projekta rezultātā iegūtos pamatlīdzekļus pirms noteiktā uzraudzības perioda beigām</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 100 %, ja nav uzsākta nekāda saimnieciskā darbība vienu gadu pēc projekta </w:t>
            </w:r>
            <w:r w:rsidR="004E5A39">
              <w:t>īstenošan</w:t>
            </w:r>
            <w:r w:rsidRPr="00205452">
              <w:t>as</w:t>
            </w:r>
          </w:p>
          <w:p w:rsidR="00312996" w:rsidRPr="00205452" w:rsidRDefault="00312996" w:rsidP="00D813B8">
            <w:r w:rsidRPr="00205452">
              <w:t>• 100 %, ja pamatlīdzekļi atsavināti pirmo trīs uzraudzības gadu laikā</w:t>
            </w:r>
          </w:p>
          <w:p w:rsidR="00312996" w:rsidRPr="00205452" w:rsidRDefault="00312996" w:rsidP="00D813B8">
            <w:r w:rsidRPr="00205452">
              <w:t>• 40 %, ja pamatlīdzekļi atsavināti ceturtajā uzraudzības gadā</w:t>
            </w:r>
          </w:p>
          <w:p w:rsidR="00312996" w:rsidRPr="00205452" w:rsidRDefault="00312996" w:rsidP="00D813B8">
            <w:r w:rsidRPr="00205452">
              <w:t>• 20 %, ja pamatlīdzekļi atsavināti piektajā un pārējos uzraudzības gados</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6.3.</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Netiek sasniegti projektā plānotie rezultatīvie rādītāji un mērķi</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Finanšu vai fiziskajiem rādītājiem, kā arī projektā plānotajiem rezultatīvajiem rādītājiem nav pieļaujams normatīvajos aktos par atbalsta piešķiršanu konkrētam pasākumam noteiktais samazinājums pēc projekta īstenošanas gada (finanšu korekcijas nepiemēro, ja mērķu nesasniegšanas pamatā ir sociāli ekonomisko vai vides faktoru ietekme, būtiskas pārmaiņas valsts ekonomikas vai vides apstākļos vai </w:t>
            </w:r>
            <w:r w:rsidRPr="00205452">
              <w:rPr>
                <w:i/>
                <w:iCs/>
              </w:rPr>
              <w:t>force majeure</w:t>
            </w:r>
            <w:r w:rsidR="009B2DA7">
              <w:rPr>
                <w:i/>
                <w:iCs/>
              </w:rPr>
              <w:t xml:space="preserve"> </w:t>
            </w:r>
            <w:r w:rsidRPr="00205452">
              <w:t>apstākļi, kas nopietni ietekmē attiecīgo mērķu īstenošanu)</w:t>
            </w:r>
          </w:p>
          <w:p w:rsidR="00DF4759" w:rsidRPr="00205452" w:rsidRDefault="00DF4759" w:rsidP="00D813B8"/>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100 % jaunajiem uzņēmējiem, ja viena gada laikā pēc </w:t>
            </w:r>
            <w:r w:rsidR="004E5A39">
              <w:t xml:space="preserve">samaksas par </w:t>
            </w:r>
            <w:r w:rsidRPr="00205452">
              <w:t>projekt</w:t>
            </w:r>
            <w:r w:rsidR="004E5A39">
              <w:t>u</w:t>
            </w:r>
            <w:r w:rsidRPr="00205452">
              <w:t xml:space="preserve"> nav uzsākta saimnieciskā darbība.</w:t>
            </w:r>
          </w:p>
          <w:p w:rsidR="00312996" w:rsidRPr="00205452" w:rsidRDefault="00312996" w:rsidP="00D813B8">
            <w:r w:rsidRPr="00205452">
              <w:t>Proporcionāls sankcijas aprēķins un finansējuma atprasīšana atbilstoši nostrādātajam laikam un sasniegtajiem rādītājiem.</w:t>
            </w:r>
          </w:p>
          <w:p w:rsidR="00312996" w:rsidRPr="00205452" w:rsidRDefault="00312996" w:rsidP="00D813B8">
            <w:r w:rsidRPr="00205452">
              <w:t>Uzraudzības perioda pagarināšana</w:t>
            </w:r>
          </w:p>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6.4.</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Atbalsta pretendenta (projekta) atbilstība</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4E5A39" w:rsidP="00D813B8">
            <w:r>
              <w:t>S</w:t>
            </w:r>
            <w:r w:rsidR="00312996" w:rsidRPr="00205452">
              <w:t>abiedriskā labuma projekta rezultāts nav atbilstošs tā sākotnējam mērķim un atbalsta saņemšanas nosacījumiem; atbalsta pretendents vairs nav sabiedriskā labuma uzņēmējs</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Default="00312996" w:rsidP="00D813B8">
            <w:r w:rsidRPr="00205452">
              <w:t>100 % sabiedriskā labuma projektiem (pretendentiem), ja projekta īstenošanas vai uzraudzības periodā tiek gūta peļņa, kas neatbilst sākotnējiem atbalsta saņemšanas nosacījumiem</w:t>
            </w:r>
          </w:p>
          <w:p w:rsidR="00DF4759" w:rsidRPr="00205452" w:rsidRDefault="00DF4759" w:rsidP="00D813B8"/>
        </w:tc>
      </w:tr>
      <w:tr w:rsidR="00205452" w:rsidRPr="00205452" w:rsidTr="00DF4759">
        <w:tc>
          <w:tcPr>
            <w:tcW w:w="4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7.</w:t>
            </w:r>
          </w:p>
        </w:tc>
        <w:tc>
          <w:tcPr>
            <w:tcW w:w="150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Citas proporcionālas finanšu korekcijas</w:t>
            </w:r>
          </w:p>
        </w:tc>
        <w:tc>
          <w:tcPr>
            <w:tcW w:w="17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t xml:space="preserve">Attiecas uz gadījumiem, ja konstatēta neatbilstība, kura nav </w:t>
            </w:r>
            <w:r w:rsidR="004E5A39">
              <w:t>minēta</w:t>
            </w:r>
            <w:r w:rsidRPr="00205452">
              <w:t xml:space="preserve"> citos šajā pielikumā minētajos neatbilstību aprakstos, bet, ņemot vērā neatbilstības būtiskumu, ir </w:t>
            </w:r>
            <w:r w:rsidRPr="00205452">
              <w:lastRenderedPageBreak/>
              <w:t>pamats piemērot attiecīgo finanšu korekciju</w:t>
            </w:r>
          </w:p>
        </w:tc>
        <w:tc>
          <w:tcPr>
            <w:tcW w:w="1350" w:type="pct"/>
            <w:tcBorders>
              <w:top w:val="outset" w:sz="6" w:space="0" w:color="414142"/>
              <w:left w:val="outset" w:sz="6" w:space="0" w:color="414142"/>
              <w:bottom w:val="outset" w:sz="6" w:space="0" w:color="414142"/>
              <w:right w:val="outset" w:sz="6" w:space="0" w:color="414142"/>
            </w:tcBorders>
            <w:hideMark/>
          </w:tcPr>
          <w:p w:rsidR="00312996" w:rsidRPr="00205452" w:rsidRDefault="00312996" w:rsidP="00D813B8">
            <w:r w:rsidRPr="00205452">
              <w:lastRenderedPageBreak/>
              <w:t>25, 10 vai 5 % atkarībā no neatbilstības būtiskuma</w:t>
            </w:r>
            <w:r w:rsidR="00E51737">
              <w:t>”</w:t>
            </w:r>
          </w:p>
        </w:tc>
      </w:tr>
    </w:tbl>
    <w:p w:rsidR="00312996" w:rsidRDefault="00312996" w:rsidP="00FC125E">
      <w:pPr>
        <w:jc w:val="both"/>
      </w:pPr>
    </w:p>
    <w:p w:rsidR="00DF4759" w:rsidRPr="00205452" w:rsidRDefault="00DF4759" w:rsidP="00FC125E">
      <w:pPr>
        <w:jc w:val="both"/>
      </w:pPr>
    </w:p>
    <w:p w:rsidR="00215550" w:rsidRDefault="00215550" w:rsidP="00215550">
      <w:pPr>
        <w:jc w:val="both"/>
      </w:pPr>
      <w:r>
        <w:t>Ministru prezide</w:t>
      </w:r>
      <w:r w:rsidR="00A0461C">
        <w:t>nts</w:t>
      </w:r>
      <w:r w:rsidR="00A0461C">
        <w:tab/>
      </w:r>
      <w:r w:rsidR="00A0461C">
        <w:tab/>
      </w:r>
      <w:r w:rsidR="00A0461C">
        <w:tab/>
      </w:r>
      <w:r w:rsidR="00A0461C">
        <w:tab/>
      </w:r>
      <w:r w:rsidR="00A0461C">
        <w:tab/>
      </w:r>
      <w:r w:rsidR="00A0461C">
        <w:tab/>
      </w:r>
      <w:r w:rsidR="00A0461C">
        <w:tab/>
      </w:r>
      <w:r w:rsidR="00A0461C">
        <w:tab/>
        <w:t>M</w:t>
      </w:r>
      <w:r w:rsidR="004E5A39">
        <w:t xml:space="preserve">āris </w:t>
      </w:r>
      <w:r w:rsidR="00A0461C">
        <w:t>Kučinskis</w:t>
      </w:r>
    </w:p>
    <w:p w:rsidR="00A2062A" w:rsidRDefault="00A2062A" w:rsidP="00215550">
      <w:pPr>
        <w:tabs>
          <w:tab w:val="left" w:pos="0"/>
          <w:tab w:val="left" w:pos="851"/>
        </w:tabs>
        <w:jc w:val="both"/>
      </w:pPr>
    </w:p>
    <w:p w:rsidR="00A2062A" w:rsidRDefault="00A2062A" w:rsidP="00215550">
      <w:pPr>
        <w:tabs>
          <w:tab w:val="left" w:pos="0"/>
          <w:tab w:val="left" w:pos="851"/>
        </w:tabs>
        <w:jc w:val="both"/>
      </w:pPr>
    </w:p>
    <w:p w:rsidR="00215550" w:rsidRDefault="00215550" w:rsidP="00215550">
      <w:pPr>
        <w:tabs>
          <w:tab w:val="left" w:pos="0"/>
          <w:tab w:val="left" w:pos="851"/>
        </w:tabs>
        <w:jc w:val="both"/>
      </w:pPr>
      <w:r>
        <w:t>Zemk</w:t>
      </w:r>
      <w:r w:rsidR="00A0461C">
        <w:t>opības ministrs</w:t>
      </w:r>
      <w:r w:rsidR="00A0461C">
        <w:tab/>
      </w:r>
      <w:r w:rsidR="00A0461C">
        <w:tab/>
      </w:r>
      <w:r w:rsidR="00A0461C">
        <w:tab/>
      </w:r>
      <w:r w:rsidR="00A0461C">
        <w:tab/>
      </w:r>
      <w:r w:rsidR="00A0461C">
        <w:tab/>
      </w:r>
      <w:r w:rsidR="00A0461C">
        <w:tab/>
      </w:r>
      <w:r w:rsidR="00A0461C">
        <w:tab/>
      </w:r>
      <w:r w:rsidR="00A0461C">
        <w:tab/>
        <w:t>J</w:t>
      </w:r>
      <w:r w:rsidR="004E5A39">
        <w:t xml:space="preserve">ānis </w:t>
      </w:r>
      <w:r w:rsidR="00A0461C">
        <w:t>Dūklavs</w:t>
      </w:r>
    </w:p>
    <w:p w:rsidR="00215550" w:rsidRDefault="00215550" w:rsidP="00215550">
      <w:pPr>
        <w:tabs>
          <w:tab w:val="left" w:pos="0"/>
          <w:tab w:val="left" w:pos="851"/>
        </w:tabs>
        <w:jc w:val="both"/>
      </w:pPr>
    </w:p>
    <w:p w:rsidR="00215550" w:rsidRDefault="00215550" w:rsidP="00215550">
      <w:pPr>
        <w:pStyle w:val="naisf"/>
        <w:spacing w:before="0" w:after="0"/>
        <w:ind w:firstLine="0"/>
        <w:rPr>
          <w:rFonts w:eastAsia="Calibri"/>
          <w:sz w:val="20"/>
          <w:szCs w:val="20"/>
          <w:lang w:eastAsia="en-US"/>
        </w:rPr>
      </w:pPr>
    </w:p>
    <w:p w:rsidR="00A2062A" w:rsidRDefault="00A2062A" w:rsidP="00215550">
      <w:pPr>
        <w:pStyle w:val="naisf"/>
        <w:spacing w:before="0" w:after="0"/>
        <w:ind w:firstLine="0"/>
        <w:rPr>
          <w:rFonts w:eastAsia="Calibri"/>
          <w:sz w:val="20"/>
          <w:szCs w:val="20"/>
          <w:lang w:eastAsia="en-US"/>
        </w:rPr>
      </w:pPr>
    </w:p>
    <w:p w:rsidR="00A2062A" w:rsidRDefault="00A2062A" w:rsidP="00215550">
      <w:pPr>
        <w:pStyle w:val="naisf"/>
        <w:spacing w:before="0" w:after="0"/>
        <w:ind w:firstLine="0"/>
        <w:rPr>
          <w:rFonts w:eastAsia="Calibri"/>
          <w:sz w:val="20"/>
          <w:szCs w:val="20"/>
          <w:lang w:eastAsia="en-US"/>
        </w:rPr>
      </w:pPr>
    </w:p>
    <w:p w:rsidR="00A2062A" w:rsidRDefault="00A2062A" w:rsidP="00215550">
      <w:pPr>
        <w:pStyle w:val="naisf"/>
        <w:spacing w:before="0" w:after="0"/>
        <w:ind w:firstLine="0"/>
        <w:rPr>
          <w:rFonts w:eastAsia="Calibri"/>
          <w:sz w:val="20"/>
          <w:szCs w:val="20"/>
          <w:lang w:eastAsia="en-US"/>
        </w:rPr>
      </w:pPr>
    </w:p>
    <w:p w:rsidR="00A2062A" w:rsidRDefault="00A2062A"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p>
    <w:p w:rsidR="00DF4759" w:rsidRDefault="00DF4759" w:rsidP="00215550">
      <w:pPr>
        <w:pStyle w:val="naisf"/>
        <w:spacing w:before="0" w:after="0"/>
        <w:ind w:firstLine="0"/>
        <w:rPr>
          <w:rFonts w:eastAsia="Calibri"/>
          <w:sz w:val="20"/>
          <w:szCs w:val="20"/>
          <w:lang w:eastAsia="en-US"/>
        </w:rPr>
      </w:pPr>
      <w:r>
        <w:rPr>
          <w:rFonts w:eastAsia="Calibri"/>
          <w:sz w:val="20"/>
          <w:szCs w:val="20"/>
          <w:lang w:eastAsia="en-US"/>
        </w:rPr>
        <w:t>12.09.2016. 9:56</w:t>
      </w:r>
    </w:p>
    <w:p w:rsidR="00DF4759" w:rsidRDefault="00DF4759" w:rsidP="00215550">
      <w:pPr>
        <w:pStyle w:val="naisf"/>
        <w:spacing w:before="0" w:after="0"/>
        <w:ind w:firstLine="0"/>
        <w:rPr>
          <w:rFonts w:eastAsia="Calibri"/>
          <w:sz w:val="20"/>
          <w:szCs w:val="20"/>
          <w:lang w:eastAsia="en-US"/>
        </w:rPr>
      </w:pPr>
      <w:r>
        <w:rPr>
          <w:rFonts w:eastAsia="Calibri"/>
          <w:sz w:val="20"/>
          <w:szCs w:val="20"/>
          <w:lang w:eastAsia="en-US"/>
        </w:rPr>
        <w:fldChar w:fldCharType="begin"/>
      </w:r>
      <w:r>
        <w:rPr>
          <w:rFonts w:eastAsia="Calibri"/>
          <w:sz w:val="20"/>
          <w:szCs w:val="20"/>
          <w:lang w:eastAsia="en-US"/>
        </w:rPr>
        <w:instrText xml:space="preserve"> NUMWORDS   \* MERGEFORMAT </w:instrText>
      </w:r>
      <w:r>
        <w:rPr>
          <w:rFonts w:eastAsia="Calibri"/>
          <w:sz w:val="20"/>
          <w:szCs w:val="20"/>
          <w:lang w:eastAsia="en-US"/>
        </w:rPr>
        <w:fldChar w:fldCharType="separate"/>
      </w:r>
      <w:r>
        <w:rPr>
          <w:rFonts w:eastAsia="Calibri"/>
          <w:noProof/>
          <w:sz w:val="20"/>
          <w:szCs w:val="20"/>
          <w:lang w:eastAsia="en-US"/>
        </w:rPr>
        <w:t>2899</w:t>
      </w:r>
      <w:r>
        <w:rPr>
          <w:rFonts w:eastAsia="Calibri"/>
          <w:sz w:val="20"/>
          <w:szCs w:val="20"/>
          <w:lang w:eastAsia="en-US"/>
        </w:rPr>
        <w:fldChar w:fldCharType="end"/>
      </w:r>
    </w:p>
    <w:p w:rsidR="00215550" w:rsidRDefault="001E789F" w:rsidP="00215550">
      <w:pPr>
        <w:pStyle w:val="naisf"/>
        <w:spacing w:before="0" w:after="0"/>
        <w:ind w:firstLine="0"/>
        <w:rPr>
          <w:sz w:val="20"/>
          <w:szCs w:val="20"/>
        </w:rPr>
      </w:pPr>
      <w:bookmarkStart w:id="1" w:name="_GoBack"/>
      <w:bookmarkEnd w:id="1"/>
      <w:r>
        <w:rPr>
          <w:sz w:val="20"/>
          <w:szCs w:val="20"/>
        </w:rPr>
        <w:t>S.Strēle</w:t>
      </w:r>
    </w:p>
    <w:p w:rsidR="00215550" w:rsidRDefault="001E789F" w:rsidP="00215550">
      <w:pPr>
        <w:pStyle w:val="naisf"/>
        <w:spacing w:before="0" w:after="0"/>
        <w:ind w:firstLine="0"/>
        <w:rPr>
          <w:sz w:val="20"/>
          <w:szCs w:val="20"/>
        </w:rPr>
      </w:pPr>
      <w:r>
        <w:rPr>
          <w:sz w:val="20"/>
          <w:szCs w:val="20"/>
        </w:rPr>
        <w:t>67878726</w:t>
      </w:r>
      <w:r w:rsidR="00215550">
        <w:rPr>
          <w:sz w:val="20"/>
          <w:szCs w:val="20"/>
        </w:rPr>
        <w:t xml:space="preserve"> </w:t>
      </w:r>
    </w:p>
    <w:p w:rsidR="007E7028" w:rsidRPr="00DF4759" w:rsidRDefault="00DF4759" w:rsidP="00DF4759">
      <w:pPr>
        <w:pStyle w:val="naisf"/>
        <w:spacing w:before="0" w:after="0"/>
        <w:ind w:firstLine="0"/>
        <w:rPr>
          <w:sz w:val="20"/>
          <w:szCs w:val="20"/>
        </w:rPr>
      </w:pPr>
      <w:hyperlink r:id="rId14" w:history="1">
        <w:r w:rsidR="001E789F" w:rsidRPr="008B7795">
          <w:rPr>
            <w:rStyle w:val="Hipersaite"/>
            <w:sz w:val="20"/>
            <w:szCs w:val="20"/>
          </w:rPr>
          <w:t>sandra.strele@zm.gov.lv</w:t>
        </w:r>
      </w:hyperlink>
    </w:p>
    <w:sectPr w:rsidR="007E7028" w:rsidRPr="00DF4759" w:rsidSect="00DF4759">
      <w:headerReference w:type="default" r:id="rId15"/>
      <w:footerReference w:type="default" r:id="rId16"/>
      <w:footerReference w:type="first" r:id="rId17"/>
      <w:pgSz w:w="11906" w:h="16838"/>
      <w:pgMar w:top="1417"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FB" w:rsidRDefault="004E43FB" w:rsidP="00892A71">
      <w:r>
        <w:separator/>
      </w:r>
    </w:p>
  </w:endnote>
  <w:endnote w:type="continuationSeparator" w:id="0">
    <w:p w:rsidR="004E43FB" w:rsidRDefault="004E43FB" w:rsidP="008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5F" w:rsidRPr="00D20421" w:rsidRDefault="00DF4759" w:rsidP="00D20421">
    <w:pPr>
      <w:pStyle w:val="Kjene"/>
      <w:jc w:val="both"/>
      <w:rPr>
        <w:sz w:val="20"/>
        <w:szCs w:val="20"/>
      </w:rPr>
    </w:pPr>
    <w:r w:rsidRPr="00DF4759">
      <w:rPr>
        <w:sz w:val="20"/>
        <w:szCs w:val="20"/>
      </w:rPr>
      <w:t>ZMNot_120916_VIRSN</w:t>
    </w:r>
    <w:r>
      <w:rPr>
        <w:sz w:val="20"/>
        <w:szCs w:val="20"/>
      </w:rPr>
      <w:t xml:space="preserve">; </w:t>
    </w:r>
    <w:r w:rsidRPr="00892A71">
      <w:rPr>
        <w:sz w:val="20"/>
        <w:szCs w:val="20"/>
      </w:rPr>
      <w:t>Gr</w:t>
    </w:r>
    <w:r>
      <w:rPr>
        <w:sz w:val="20"/>
        <w:szCs w:val="20"/>
      </w:rPr>
      <w:t>ozījumi Ministru kabineta 2015.gada 30.septembra noteikumos Nr.</w:t>
    </w:r>
    <w:r w:rsidRPr="00892A71">
      <w:rPr>
        <w:sz w:val="20"/>
        <w:szCs w:val="20"/>
      </w:rPr>
      <w:t>598 “Noteikumi par valsts un Eiropas Savienības atbalsta piešķiršanu, administrēšanu un uzraudzību lauku un zivsaimniecības attīstībai 2014.-2020. gada plānošanas periodā”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5F" w:rsidRPr="00D20421" w:rsidRDefault="00DF4759" w:rsidP="00D20421">
    <w:pPr>
      <w:pStyle w:val="Kjene"/>
      <w:jc w:val="both"/>
      <w:rPr>
        <w:sz w:val="20"/>
        <w:szCs w:val="20"/>
      </w:rPr>
    </w:pPr>
    <w:r w:rsidRPr="00DF4759">
      <w:rPr>
        <w:sz w:val="20"/>
        <w:szCs w:val="20"/>
      </w:rPr>
      <w:t>ZMNot_120916_VIRSN</w:t>
    </w:r>
    <w:r w:rsidR="00330A5F">
      <w:rPr>
        <w:sz w:val="20"/>
        <w:szCs w:val="20"/>
      </w:rPr>
      <w:t xml:space="preserve">; </w:t>
    </w:r>
    <w:r w:rsidR="00330A5F" w:rsidRPr="00892A71">
      <w:rPr>
        <w:sz w:val="20"/>
        <w:szCs w:val="20"/>
      </w:rPr>
      <w:t>Gr</w:t>
    </w:r>
    <w:r>
      <w:rPr>
        <w:sz w:val="20"/>
        <w:szCs w:val="20"/>
      </w:rPr>
      <w:t>ozījumi Ministru kabineta 2015.gada 30.</w:t>
    </w:r>
    <w:r w:rsidR="00330A5F">
      <w:rPr>
        <w:sz w:val="20"/>
        <w:szCs w:val="20"/>
      </w:rPr>
      <w:t>septembra noteikumos Nr.</w:t>
    </w:r>
    <w:r w:rsidR="00330A5F" w:rsidRPr="00892A71">
      <w:rPr>
        <w:sz w:val="20"/>
        <w:szCs w:val="20"/>
      </w:rPr>
      <w:t>598 “Noteikumi par valsts un Eiropas Savienības atbalsta piešķiršanu, administrēšanu un uzraudzību lauku un zivsaimniecības attīstībai 2014.-2020. gada plānošanas periodā”</w:t>
    </w:r>
    <w:r w:rsidR="00330A5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FB" w:rsidRDefault="004E43FB" w:rsidP="00892A71">
      <w:r>
        <w:separator/>
      </w:r>
    </w:p>
  </w:footnote>
  <w:footnote w:type="continuationSeparator" w:id="0">
    <w:p w:rsidR="004E43FB" w:rsidRDefault="004E43FB" w:rsidP="0089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075740"/>
      <w:docPartObj>
        <w:docPartGallery w:val="Page Numbers (Top of Page)"/>
        <w:docPartUnique/>
      </w:docPartObj>
    </w:sdtPr>
    <w:sdtEndPr/>
    <w:sdtContent>
      <w:p w:rsidR="00330A5F" w:rsidRDefault="00330A5F">
        <w:pPr>
          <w:pStyle w:val="Galvene"/>
          <w:jc w:val="center"/>
        </w:pPr>
        <w:r>
          <w:fldChar w:fldCharType="begin"/>
        </w:r>
        <w:r>
          <w:instrText>PAGE   \* MERGEFORMAT</w:instrText>
        </w:r>
        <w:r>
          <w:fldChar w:fldCharType="separate"/>
        </w:r>
        <w:r w:rsidR="00DF4759">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D6B"/>
    <w:multiLevelType w:val="hybridMultilevel"/>
    <w:tmpl w:val="73C279B0"/>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4A1196"/>
    <w:multiLevelType w:val="hybridMultilevel"/>
    <w:tmpl w:val="C80AB6C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AEC0E9C"/>
    <w:multiLevelType w:val="multilevel"/>
    <w:tmpl w:val="D2F20E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 w15:restartNumberingAfterBreak="0">
    <w:nsid w:val="26500B4D"/>
    <w:multiLevelType w:val="hybridMultilevel"/>
    <w:tmpl w:val="71BA7520"/>
    <w:lvl w:ilvl="0" w:tplc="9F1688D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2DBE1B0A"/>
    <w:multiLevelType w:val="hybridMultilevel"/>
    <w:tmpl w:val="0BC86BA8"/>
    <w:lvl w:ilvl="0" w:tplc="9F1688D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350949C1"/>
    <w:multiLevelType w:val="hybridMultilevel"/>
    <w:tmpl w:val="3108669E"/>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52466E"/>
    <w:multiLevelType w:val="hybridMultilevel"/>
    <w:tmpl w:val="3108669E"/>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1B325B6"/>
    <w:multiLevelType w:val="hybridMultilevel"/>
    <w:tmpl w:val="CA300DF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7C5C6A"/>
    <w:multiLevelType w:val="hybridMultilevel"/>
    <w:tmpl w:val="267CC8E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2485B86"/>
    <w:multiLevelType w:val="hybridMultilevel"/>
    <w:tmpl w:val="D5CC7BE6"/>
    <w:lvl w:ilvl="0" w:tplc="929C08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6C21EBC"/>
    <w:multiLevelType w:val="hybridMultilevel"/>
    <w:tmpl w:val="861C84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59625B0C"/>
    <w:multiLevelType w:val="hybridMultilevel"/>
    <w:tmpl w:val="6F7448BE"/>
    <w:lvl w:ilvl="0" w:tplc="24EE09B6">
      <w:start w:val="1"/>
      <w:numFmt w:val="decimal"/>
      <w:lvlText w:val="%1."/>
      <w:lvlJc w:val="left"/>
      <w:pPr>
        <w:ind w:left="928"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E3D0A2E"/>
    <w:multiLevelType w:val="hybridMultilevel"/>
    <w:tmpl w:val="6032C5FC"/>
    <w:lvl w:ilvl="0" w:tplc="9F1688D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655E0B9E"/>
    <w:multiLevelType w:val="hybridMultilevel"/>
    <w:tmpl w:val="C770BBE8"/>
    <w:lvl w:ilvl="0" w:tplc="9F1688D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73FC6042"/>
    <w:multiLevelType w:val="hybridMultilevel"/>
    <w:tmpl w:val="FE12C080"/>
    <w:lvl w:ilvl="0" w:tplc="9F1688D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8"/>
  </w:num>
  <w:num w:numId="6">
    <w:abstractNumId w:val="0"/>
  </w:num>
  <w:num w:numId="7">
    <w:abstractNumId w:val="6"/>
  </w:num>
  <w:num w:numId="8">
    <w:abstractNumId w:val="1"/>
  </w:num>
  <w:num w:numId="9">
    <w:abstractNumId w:val="11"/>
  </w:num>
  <w:num w:numId="10">
    <w:abstractNumId w:val="3"/>
  </w:num>
  <w:num w:numId="11">
    <w:abstractNumId w:val="13"/>
  </w:num>
  <w:num w:numId="12">
    <w:abstractNumId w:val="12"/>
  </w:num>
  <w:num w:numId="13">
    <w:abstractNumId w:val="14"/>
  </w:num>
  <w:num w:numId="14">
    <w:abstractNumId w:val="4"/>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0E"/>
    <w:rsid w:val="00010A84"/>
    <w:rsid w:val="000134A3"/>
    <w:rsid w:val="00014A69"/>
    <w:rsid w:val="00021ECE"/>
    <w:rsid w:val="0003793C"/>
    <w:rsid w:val="00056AA6"/>
    <w:rsid w:val="00063226"/>
    <w:rsid w:val="000914C0"/>
    <w:rsid w:val="000A4AE3"/>
    <w:rsid w:val="000B4688"/>
    <w:rsid w:val="000E123A"/>
    <w:rsid w:val="001139CB"/>
    <w:rsid w:val="00122207"/>
    <w:rsid w:val="001314D3"/>
    <w:rsid w:val="00133F7D"/>
    <w:rsid w:val="001356FD"/>
    <w:rsid w:val="00137D5A"/>
    <w:rsid w:val="00154B27"/>
    <w:rsid w:val="00156172"/>
    <w:rsid w:val="0015772B"/>
    <w:rsid w:val="00172236"/>
    <w:rsid w:val="00185424"/>
    <w:rsid w:val="00191208"/>
    <w:rsid w:val="00197BCF"/>
    <w:rsid w:val="001B3B3B"/>
    <w:rsid w:val="001B69EB"/>
    <w:rsid w:val="001D1212"/>
    <w:rsid w:val="001D2C7A"/>
    <w:rsid w:val="001D2E54"/>
    <w:rsid w:val="001E789F"/>
    <w:rsid w:val="001F0AFC"/>
    <w:rsid w:val="001F59C8"/>
    <w:rsid w:val="001F5C74"/>
    <w:rsid w:val="00205452"/>
    <w:rsid w:val="00207B06"/>
    <w:rsid w:val="00215550"/>
    <w:rsid w:val="00233EA4"/>
    <w:rsid w:val="0023472B"/>
    <w:rsid w:val="00273B6A"/>
    <w:rsid w:val="00280887"/>
    <w:rsid w:val="00281D23"/>
    <w:rsid w:val="0029083C"/>
    <w:rsid w:val="002B3DE3"/>
    <w:rsid w:val="002C34F3"/>
    <w:rsid w:val="002C35B3"/>
    <w:rsid w:val="002C5B4C"/>
    <w:rsid w:val="002D35EA"/>
    <w:rsid w:val="002D63CE"/>
    <w:rsid w:val="002E2298"/>
    <w:rsid w:val="002E2F05"/>
    <w:rsid w:val="002F60A8"/>
    <w:rsid w:val="00301118"/>
    <w:rsid w:val="00302693"/>
    <w:rsid w:val="00306718"/>
    <w:rsid w:val="00312996"/>
    <w:rsid w:val="00315457"/>
    <w:rsid w:val="00330A5F"/>
    <w:rsid w:val="00334CFC"/>
    <w:rsid w:val="00340EC6"/>
    <w:rsid w:val="00344F2C"/>
    <w:rsid w:val="003514B4"/>
    <w:rsid w:val="003558AF"/>
    <w:rsid w:val="00355DBA"/>
    <w:rsid w:val="00364436"/>
    <w:rsid w:val="00364A68"/>
    <w:rsid w:val="0037661C"/>
    <w:rsid w:val="00377E0E"/>
    <w:rsid w:val="003816E2"/>
    <w:rsid w:val="003A6B5C"/>
    <w:rsid w:val="003B0C16"/>
    <w:rsid w:val="003C5685"/>
    <w:rsid w:val="003C5D3C"/>
    <w:rsid w:val="003F1DCB"/>
    <w:rsid w:val="003F42ED"/>
    <w:rsid w:val="004155E5"/>
    <w:rsid w:val="004239F3"/>
    <w:rsid w:val="00423CB5"/>
    <w:rsid w:val="00452F9B"/>
    <w:rsid w:val="0046223B"/>
    <w:rsid w:val="00463B31"/>
    <w:rsid w:val="00472F31"/>
    <w:rsid w:val="0049375B"/>
    <w:rsid w:val="00496946"/>
    <w:rsid w:val="004B7B92"/>
    <w:rsid w:val="004C6D97"/>
    <w:rsid w:val="004C714F"/>
    <w:rsid w:val="004D2303"/>
    <w:rsid w:val="004E42B4"/>
    <w:rsid w:val="004E43FB"/>
    <w:rsid w:val="004E5A39"/>
    <w:rsid w:val="004E5CE2"/>
    <w:rsid w:val="004F3B29"/>
    <w:rsid w:val="00500617"/>
    <w:rsid w:val="00501304"/>
    <w:rsid w:val="00513A97"/>
    <w:rsid w:val="00533195"/>
    <w:rsid w:val="005335AE"/>
    <w:rsid w:val="005340BE"/>
    <w:rsid w:val="005440E5"/>
    <w:rsid w:val="005440EB"/>
    <w:rsid w:val="005449E9"/>
    <w:rsid w:val="005469E7"/>
    <w:rsid w:val="005578BB"/>
    <w:rsid w:val="0056179D"/>
    <w:rsid w:val="00567A99"/>
    <w:rsid w:val="00573B29"/>
    <w:rsid w:val="0057677E"/>
    <w:rsid w:val="00592303"/>
    <w:rsid w:val="00595B6A"/>
    <w:rsid w:val="005965B8"/>
    <w:rsid w:val="005B235F"/>
    <w:rsid w:val="005B4E92"/>
    <w:rsid w:val="005B75E7"/>
    <w:rsid w:val="005E1EDF"/>
    <w:rsid w:val="005E59EA"/>
    <w:rsid w:val="005E6DDE"/>
    <w:rsid w:val="005E756B"/>
    <w:rsid w:val="005F1D4D"/>
    <w:rsid w:val="005F6839"/>
    <w:rsid w:val="00602AD3"/>
    <w:rsid w:val="00602F79"/>
    <w:rsid w:val="00605C82"/>
    <w:rsid w:val="00615424"/>
    <w:rsid w:val="0062466A"/>
    <w:rsid w:val="00631EF9"/>
    <w:rsid w:val="00644FDD"/>
    <w:rsid w:val="00655215"/>
    <w:rsid w:val="006636BF"/>
    <w:rsid w:val="00663A69"/>
    <w:rsid w:val="006665DE"/>
    <w:rsid w:val="006752C7"/>
    <w:rsid w:val="00675A8A"/>
    <w:rsid w:val="0069444A"/>
    <w:rsid w:val="0069468E"/>
    <w:rsid w:val="006A0690"/>
    <w:rsid w:val="006A3569"/>
    <w:rsid w:val="006B35E8"/>
    <w:rsid w:val="006B4FE0"/>
    <w:rsid w:val="006C121E"/>
    <w:rsid w:val="006D3B84"/>
    <w:rsid w:val="006E7FDC"/>
    <w:rsid w:val="006F68BA"/>
    <w:rsid w:val="007001B1"/>
    <w:rsid w:val="00711DC3"/>
    <w:rsid w:val="00740C07"/>
    <w:rsid w:val="00741021"/>
    <w:rsid w:val="0074689C"/>
    <w:rsid w:val="00750CF1"/>
    <w:rsid w:val="00754640"/>
    <w:rsid w:val="007669AC"/>
    <w:rsid w:val="007813CA"/>
    <w:rsid w:val="00783B26"/>
    <w:rsid w:val="00784F01"/>
    <w:rsid w:val="007A00C8"/>
    <w:rsid w:val="007B6674"/>
    <w:rsid w:val="007C30FB"/>
    <w:rsid w:val="007D0417"/>
    <w:rsid w:val="007D5A60"/>
    <w:rsid w:val="007D7759"/>
    <w:rsid w:val="007E1F87"/>
    <w:rsid w:val="007E3A5E"/>
    <w:rsid w:val="007E402F"/>
    <w:rsid w:val="007E7028"/>
    <w:rsid w:val="00812A7F"/>
    <w:rsid w:val="00814048"/>
    <w:rsid w:val="00822E5E"/>
    <w:rsid w:val="00854845"/>
    <w:rsid w:val="00856E28"/>
    <w:rsid w:val="0086197B"/>
    <w:rsid w:val="00863120"/>
    <w:rsid w:val="00875DAC"/>
    <w:rsid w:val="00886BA4"/>
    <w:rsid w:val="00892A71"/>
    <w:rsid w:val="00892FED"/>
    <w:rsid w:val="0089538C"/>
    <w:rsid w:val="008A23FC"/>
    <w:rsid w:val="008A4A35"/>
    <w:rsid w:val="008A4E41"/>
    <w:rsid w:val="008D16F2"/>
    <w:rsid w:val="008D21AD"/>
    <w:rsid w:val="008E7BE4"/>
    <w:rsid w:val="008F4517"/>
    <w:rsid w:val="009057BE"/>
    <w:rsid w:val="0092158B"/>
    <w:rsid w:val="00926C50"/>
    <w:rsid w:val="00947531"/>
    <w:rsid w:val="00957373"/>
    <w:rsid w:val="00965828"/>
    <w:rsid w:val="0098593F"/>
    <w:rsid w:val="00992CBA"/>
    <w:rsid w:val="00994C1E"/>
    <w:rsid w:val="009A3AFF"/>
    <w:rsid w:val="009A71B9"/>
    <w:rsid w:val="009B2DA7"/>
    <w:rsid w:val="009C01F2"/>
    <w:rsid w:val="009C13E2"/>
    <w:rsid w:val="009F2F92"/>
    <w:rsid w:val="00A0329E"/>
    <w:rsid w:val="00A0461C"/>
    <w:rsid w:val="00A16BF6"/>
    <w:rsid w:val="00A17628"/>
    <w:rsid w:val="00A17B32"/>
    <w:rsid w:val="00A2062A"/>
    <w:rsid w:val="00A6498A"/>
    <w:rsid w:val="00A7664E"/>
    <w:rsid w:val="00A83FCF"/>
    <w:rsid w:val="00A906E5"/>
    <w:rsid w:val="00AA2510"/>
    <w:rsid w:val="00AB2BB2"/>
    <w:rsid w:val="00AC497E"/>
    <w:rsid w:val="00AC74EC"/>
    <w:rsid w:val="00AC7CB1"/>
    <w:rsid w:val="00AD0902"/>
    <w:rsid w:val="00AD1086"/>
    <w:rsid w:val="00AD61C7"/>
    <w:rsid w:val="00AD783A"/>
    <w:rsid w:val="00AE0A25"/>
    <w:rsid w:val="00AF479F"/>
    <w:rsid w:val="00AF5C44"/>
    <w:rsid w:val="00B03535"/>
    <w:rsid w:val="00B03DA7"/>
    <w:rsid w:val="00B15AED"/>
    <w:rsid w:val="00B42819"/>
    <w:rsid w:val="00B429C9"/>
    <w:rsid w:val="00B44823"/>
    <w:rsid w:val="00B55C4B"/>
    <w:rsid w:val="00B567CA"/>
    <w:rsid w:val="00B66ECC"/>
    <w:rsid w:val="00B82CC2"/>
    <w:rsid w:val="00B9216F"/>
    <w:rsid w:val="00BA52A0"/>
    <w:rsid w:val="00BA6E6C"/>
    <w:rsid w:val="00BB3D7D"/>
    <w:rsid w:val="00BB61B2"/>
    <w:rsid w:val="00BD12B0"/>
    <w:rsid w:val="00BE282E"/>
    <w:rsid w:val="00BF7136"/>
    <w:rsid w:val="00C00DE8"/>
    <w:rsid w:val="00C054A4"/>
    <w:rsid w:val="00C21568"/>
    <w:rsid w:val="00C23343"/>
    <w:rsid w:val="00C51B95"/>
    <w:rsid w:val="00C61DAB"/>
    <w:rsid w:val="00C6311B"/>
    <w:rsid w:val="00C84B4B"/>
    <w:rsid w:val="00C92327"/>
    <w:rsid w:val="00CA1B11"/>
    <w:rsid w:val="00CA2D51"/>
    <w:rsid w:val="00CD655F"/>
    <w:rsid w:val="00CD6957"/>
    <w:rsid w:val="00CE1384"/>
    <w:rsid w:val="00CE3A0C"/>
    <w:rsid w:val="00CE3FD0"/>
    <w:rsid w:val="00CF1B27"/>
    <w:rsid w:val="00D11EC8"/>
    <w:rsid w:val="00D126CF"/>
    <w:rsid w:val="00D20421"/>
    <w:rsid w:val="00D42B1F"/>
    <w:rsid w:val="00D45FC0"/>
    <w:rsid w:val="00D47C80"/>
    <w:rsid w:val="00D77380"/>
    <w:rsid w:val="00D813B8"/>
    <w:rsid w:val="00DA36D5"/>
    <w:rsid w:val="00DA56CA"/>
    <w:rsid w:val="00DB3066"/>
    <w:rsid w:val="00DB6CBF"/>
    <w:rsid w:val="00DD2B4F"/>
    <w:rsid w:val="00DE1FAD"/>
    <w:rsid w:val="00DE4005"/>
    <w:rsid w:val="00DF4759"/>
    <w:rsid w:val="00E055C0"/>
    <w:rsid w:val="00E05D75"/>
    <w:rsid w:val="00E15649"/>
    <w:rsid w:val="00E202F0"/>
    <w:rsid w:val="00E206B7"/>
    <w:rsid w:val="00E50D4B"/>
    <w:rsid w:val="00E51737"/>
    <w:rsid w:val="00E5775F"/>
    <w:rsid w:val="00E835CC"/>
    <w:rsid w:val="00E925DF"/>
    <w:rsid w:val="00E95DB2"/>
    <w:rsid w:val="00EA0EB0"/>
    <w:rsid w:val="00EA45B7"/>
    <w:rsid w:val="00EA765D"/>
    <w:rsid w:val="00EB2379"/>
    <w:rsid w:val="00EE055F"/>
    <w:rsid w:val="00EF3085"/>
    <w:rsid w:val="00F04AAB"/>
    <w:rsid w:val="00F430D1"/>
    <w:rsid w:val="00F51C58"/>
    <w:rsid w:val="00F5620C"/>
    <w:rsid w:val="00F61F33"/>
    <w:rsid w:val="00F66697"/>
    <w:rsid w:val="00F74931"/>
    <w:rsid w:val="00F817E6"/>
    <w:rsid w:val="00F83815"/>
    <w:rsid w:val="00F83DA3"/>
    <w:rsid w:val="00F92B60"/>
    <w:rsid w:val="00FA1BCC"/>
    <w:rsid w:val="00FA6EE6"/>
    <w:rsid w:val="00FA7354"/>
    <w:rsid w:val="00FC125E"/>
    <w:rsid w:val="00FC5FF3"/>
    <w:rsid w:val="00FD4BFF"/>
    <w:rsid w:val="00FD5BAF"/>
    <w:rsid w:val="00FD6435"/>
    <w:rsid w:val="00FE217F"/>
    <w:rsid w:val="00FE3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5141C-1CC8-4D88-8101-5856FE18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5C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92158B"/>
    <w:pPr>
      <w:spacing w:before="75" w:after="75"/>
    </w:pPr>
  </w:style>
  <w:style w:type="paragraph" w:styleId="Galvene">
    <w:name w:val="header"/>
    <w:basedOn w:val="Parasts"/>
    <w:link w:val="GalveneRakstz"/>
    <w:uiPriority w:val="99"/>
    <w:unhideWhenUsed/>
    <w:rsid w:val="0092158B"/>
    <w:pPr>
      <w:tabs>
        <w:tab w:val="center" w:pos="4153"/>
        <w:tab w:val="right" w:pos="8306"/>
      </w:tabs>
    </w:pPr>
  </w:style>
  <w:style w:type="character" w:customStyle="1" w:styleId="GalveneRakstz">
    <w:name w:val="Galvene Rakstz."/>
    <w:basedOn w:val="Noklusjumarindkopasfonts"/>
    <w:link w:val="Galvene"/>
    <w:uiPriority w:val="99"/>
    <w:rsid w:val="0092158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73B6A"/>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nhideWhenUsed/>
    <w:rsid w:val="00892A71"/>
    <w:rPr>
      <w:color w:val="0000FF"/>
      <w:u w:val="single"/>
    </w:rPr>
  </w:style>
  <w:style w:type="paragraph" w:customStyle="1" w:styleId="Default">
    <w:name w:val="Default"/>
    <w:rsid w:val="00892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892A71"/>
    <w:pPr>
      <w:tabs>
        <w:tab w:val="center" w:pos="4153"/>
        <w:tab w:val="right" w:pos="8306"/>
      </w:tabs>
    </w:pPr>
  </w:style>
  <w:style w:type="character" w:customStyle="1" w:styleId="KjeneRakstz">
    <w:name w:val="Kājene Rakstz."/>
    <w:basedOn w:val="Noklusjumarindkopasfonts"/>
    <w:link w:val="Kjene"/>
    <w:uiPriority w:val="99"/>
    <w:rsid w:val="00892A71"/>
    <w:rPr>
      <w:rFonts w:ascii="Times New Roman" w:eastAsia="Times New Roman" w:hAnsi="Times New Roman" w:cs="Times New Roman"/>
      <w:sz w:val="24"/>
      <w:szCs w:val="24"/>
      <w:lang w:eastAsia="lv-LV"/>
    </w:rPr>
  </w:style>
  <w:style w:type="paragraph" w:customStyle="1" w:styleId="naisf">
    <w:name w:val="naisf"/>
    <w:basedOn w:val="Parasts"/>
    <w:rsid w:val="00133F7D"/>
    <w:pPr>
      <w:spacing w:before="75" w:after="75"/>
      <w:ind w:firstLine="375"/>
      <w:jc w:val="both"/>
    </w:pPr>
  </w:style>
  <w:style w:type="character" w:styleId="Komentraatsauce">
    <w:name w:val="annotation reference"/>
    <w:uiPriority w:val="99"/>
    <w:semiHidden/>
    <w:rsid w:val="00133F7D"/>
    <w:rPr>
      <w:sz w:val="16"/>
      <w:szCs w:val="16"/>
    </w:rPr>
  </w:style>
  <w:style w:type="paragraph" w:styleId="Komentrateksts">
    <w:name w:val="annotation text"/>
    <w:basedOn w:val="Parasts"/>
    <w:link w:val="KomentratekstsRakstz"/>
    <w:uiPriority w:val="99"/>
    <w:semiHidden/>
    <w:rsid w:val="00133F7D"/>
    <w:rPr>
      <w:sz w:val="20"/>
      <w:szCs w:val="20"/>
      <w:lang w:val="en-GB" w:eastAsia="en-US"/>
    </w:rPr>
  </w:style>
  <w:style w:type="character" w:customStyle="1" w:styleId="KomentratekstsRakstz">
    <w:name w:val="Komentāra teksts Rakstz."/>
    <w:basedOn w:val="Noklusjumarindkopasfonts"/>
    <w:link w:val="Komentrateksts"/>
    <w:uiPriority w:val="99"/>
    <w:semiHidden/>
    <w:rsid w:val="00133F7D"/>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133F7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F7D"/>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4F3B29"/>
    <w:rPr>
      <w:b/>
      <w:bCs/>
      <w:lang w:val="lv-LV" w:eastAsia="lv-LV"/>
    </w:rPr>
  </w:style>
  <w:style w:type="character" w:customStyle="1" w:styleId="KomentratmaRakstz">
    <w:name w:val="Komentāra tēma Rakstz."/>
    <w:basedOn w:val="KomentratekstsRakstz"/>
    <w:link w:val="Komentratma"/>
    <w:uiPriority w:val="99"/>
    <w:semiHidden/>
    <w:rsid w:val="004F3B29"/>
    <w:rPr>
      <w:rFonts w:ascii="Times New Roman" w:eastAsia="Times New Roman" w:hAnsi="Times New Roman" w:cs="Times New Roman"/>
      <w:b/>
      <w:bCs/>
      <w:sz w:val="20"/>
      <w:szCs w:val="20"/>
      <w:lang w:val="en-GB" w:eastAsia="lv-LV"/>
    </w:rPr>
  </w:style>
  <w:style w:type="paragraph" w:customStyle="1" w:styleId="tv2132">
    <w:name w:val="tv2132"/>
    <w:basedOn w:val="Parasts"/>
    <w:rsid w:val="00154B27"/>
    <w:pPr>
      <w:spacing w:line="360" w:lineRule="auto"/>
      <w:ind w:firstLine="300"/>
    </w:pPr>
    <w:rPr>
      <w:color w:val="414142"/>
      <w:sz w:val="20"/>
      <w:szCs w:val="20"/>
    </w:rPr>
  </w:style>
  <w:style w:type="character" w:customStyle="1" w:styleId="apple-converted-space">
    <w:name w:val="apple-converted-space"/>
    <w:basedOn w:val="Noklusjumarindkopasfonts"/>
    <w:rsid w:val="00BF7136"/>
  </w:style>
  <w:style w:type="table" w:styleId="Reatabula">
    <w:name w:val="Table Grid"/>
    <w:basedOn w:val="Parastatabula"/>
    <w:uiPriority w:val="39"/>
    <w:rsid w:val="005B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6389">
      <w:bodyDiv w:val="1"/>
      <w:marLeft w:val="0"/>
      <w:marRight w:val="0"/>
      <w:marTop w:val="0"/>
      <w:marBottom w:val="0"/>
      <w:divBdr>
        <w:top w:val="none" w:sz="0" w:space="0" w:color="auto"/>
        <w:left w:val="none" w:sz="0" w:space="0" w:color="auto"/>
        <w:bottom w:val="none" w:sz="0" w:space="0" w:color="auto"/>
        <w:right w:val="none" w:sz="0" w:space="0" w:color="auto"/>
      </w:divBdr>
    </w:div>
    <w:div w:id="82801252">
      <w:bodyDiv w:val="1"/>
      <w:marLeft w:val="0"/>
      <w:marRight w:val="0"/>
      <w:marTop w:val="0"/>
      <w:marBottom w:val="0"/>
      <w:divBdr>
        <w:top w:val="none" w:sz="0" w:space="0" w:color="auto"/>
        <w:left w:val="none" w:sz="0" w:space="0" w:color="auto"/>
        <w:bottom w:val="none" w:sz="0" w:space="0" w:color="auto"/>
        <w:right w:val="none" w:sz="0" w:space="0" w:color="auto"/>
      </w:divBdr>
    </w:div>
    <w:div w:id="201133348">
      <w:bodyDiv w:val="1"/>
      <w:marLeft w:val="0"/>
      <w:marRight w:val="0"/>
      <w:marTop w:val="0"/>
      <w:marBottom w:val="0"/>
      <w:divBdr>
        <w:top w:val="none" w:sz="0" w:space="0" w:color="auto"/>
        <w:left w:val="none" w:sz="0" w:space="0" w:color="auto"/>
        <w:bottom w:val="none" w:sz="0" w:space="0" w:color="auto"/>
        <w:right w:val="none" w:sz="0" w:space="0" w:color="auto"/>
      </w:divBdr>
    </w:div>
    <w:div w:id="591282616">
      <w:bodyDiv w:val="1"/>
      <w:marLeft w:val="0"/>
      <w:marRight w:val="0"/>
      <w:marTop w:val="0"/>
      <w:marBottom w:val="0"/>
      <w:divBdr>
        <w:top w:val="none" w:sz="0" w:space="0" w:color="auto"/>
        <w:left w:val="none" w:sz="0" w:space="0" w:color="auto"/>
        <w:bottom w:val="none" w:sz="0" w:space="0" w:color="auto"/>
        <w:right w:val="none" w:sz="0" w:space="0" w:color="auto"/>
      </w:divBdr>
    </w:div>
    <w:div w:id="602155089">
      <w:bodyDiv w:val="1"/>
      <w:marLeft w:val="0"/>
      <w:marRight w:val="0"/>
      <w:marTop w:val="0"/>
      <w:marBottom w:val="0"/>
      <w:divBdr>
        <w:top w:val="none" w:sz="0" w:space="0" w:color="auto"/>
        <w:left w:val="none" w:sz="0" w:space="0" w:color="auto"/>
        <w:bottom w:val="none" w:sz="0" w:space="0" w:color="auto"/>
        <w:right w:val="none" w:sz="0" w:space="0" w:color="auto"/>
      </w:divBdr>
    </w:div>
    <w:div w:id="693456770">
      <w:bodyDiv w:val="1"/>
      <w:marLeft w:val="0"/>
      <w:marRight w:val="0"/>
      <w:marTop w:val="0"/>
      <w:marBottom w:val="0"/>
      <w:divBdr>
        <w:top w:val="none" w:sz="0" w:space="0" w:color="auto"/>
        <w:left w:val="none" w:sz="0" w:space="0" w:color="auto"/>
        <w:bottom w:val="none" w:sz="0" w:space="0" w:color="auto"/>
        <w:right w:val="none" w:sz="0" w:space="0" w:color="auto"/>
      </w:divBdr>
    </w:div>
    <w:div w:id="1032727638">
      <w:bodyDiv w:val="1"/>
      <w:marLeft w:val="0"/>
      <w:marRight w:val="0"/>
      <w:marTop w:val="0"/>
      <w:marBottom w:val="0"/>
      <w:divBdr>
        <w:top w:val="none" w:sz="0" w:space="0" w:color="auto"/>
        <w:left w:val="none" w:sz="0" w:space="0" w:color="auto"/>
        <w:bottom w:val="none" w:sz="0" w:space="0" w:color="auto"/>
        <w:right w:val="none" w:sz="0" w:space="0" w:color="auto"/>
      </w:divBdr>
    </w:div>
    <w:div w:id="1077551647">
      <w:bodyDiv w:val="1"/>
      <w:marLeft w:val="0"/>
      <w:marRight w:val="0"/>
      <w:marTop w:val="0"/>
      <w:marBottom w:val="0"/>
      <w:divBdr>
        <w:top w:val="none" w:sz="0" w:space="0" w:color="auto"/>
        <w:left w:val="none" w:sz="0" w:space="0" w:color="auto"/>
        <w:bottom w:val="none" w:sz="0" w:space="0" w:color="auto"/>
        <w:right w:val="none" w:sz="0" w:space="0" w:color="auto"/>
      </w:divBdr>
    </w:div>
    <w:div w:id="1281497497">
      <w:bodyDiv w:val="1"/>
      <w:marLeft w:val="0"/>
      <w:marRight w:val="0"/>
      <w:marTop w:val="0"/>
      <w:marBottom w:val="0"/>
      <w:divBdr>
        <w:top w:val="none" w:sz="0" w:space="0" w:color="auto"/>
        <w:left w:val="none" w:sz="0" w:space="0" w:color="auto"/>
        <w:bottom w:val="none" w:sz="0" w:space="0" w:color="auto"/>
        <w:right w:val="none" w:sz="0" w:space="0" w:color="auto"/>
      </w:divBdr>
    </w:div>
    <w:div w:id="1366904275">
      <w:bodyDiv w:val="1"/>
      <w:marLeft w:val="0"/>
      <w:marRight w:val="0"/>
      <w:marTop w:val="0"/>
      <w:marBottom w:val="0"/>
      <w:divBdr>
        <w:top w:val="none" w:sz="0" w:space="0" w:color="auto"/>
        <w:left w:val="none" w:sz="0" w:space="0" w:color="auto"/>
        <w:bottom w:val="none" w:sz="0" w:space="0" w:color="auto"/>
        <w:right w:val="none" w:sz="0" w:space="0" w:color="auto"/>
      </w:divBdr>
    </w:div>
    <w:div w:id="1411925949">
      <w:bodyDiv w:val="1"/>
      <w:marLeft w:val="0"/>
      <w:marRight w:val="0"/>
      <w:marTop w:val="0"/>
      <w:marBottom w:val="0"/>
      <w:divBdr>
        <w:top w:val="none" w:sz="0" w:space="0" w:color="auto"/>
        <w:left w:val="none" w:sz="0" w:space="0" w:color="auto"/>
        <w:bottom w:val="none" w:sz="0" w:space="0" w:color="auto"/>
        <w:right w:val="none" w:sz="0" w:space="0" w:color="auto"/>
      </w:divBdr>
    </w:div>
    <w:div w:id="1606158395">
      <w:bodyDiv w:val="1"/>
      <w:marLeft w:val="0"/>
      <w:marRight w:val="0"/>
      <w:marTop w:val="0"/>
      <w:marBottom w:val="0"/>
      <w:divBdr>
        <w:top w:val="none" w:sz="0" w:space="0" w:color="auto"/>
        <w:left w:val="none" w:sz="0" w:space="0" w:color="auto"/>
        <w:bottom w:val="none" w:sz="0" w:space="0" w:color="auto"/>
        <w:right w:val="none" w:sz="0" w:space="0" w:color="auto"/>
      </w:divBdr>
    </w:div>
    <w:div w:id="1691106694">
      <w:bodyDiv w:val="1"/>
      <w:marLeft w:val="0"/>
      <w:marRight w:val="0"/>
      <w:marTop w:val="0"/>
      <w:marBottom w:val="0"/>
      <w:divBdr>
        <w:top w:val="none" w:sz="0" w:space="0" w:color="auto"/>
        <w:left w:val="none" w:sz="0" w:space="0" w:color="auto"/>
        <w:bottom w:val="none" w:sz="0" w:space="0" w:color="auto"/>
        <w:right w:val="none" w:sz="0" w:space="0" w:color="auto"/>
      </w:divBdr>
    </w:div>
    <w:div w:id="1756130609">
      <w:bodyDiv w:val="1"/>
      <w:marLeft w:val="0"/>
      <w:marRight w:val="0"/>
      <w:marTop w:val="0"/>
      <w:marBottom w:val="0"/>
      <w:divBdr>
        <w:top w:val="none" w:sz="0" w:space="0" w:color="auto"/>
        <w:left w:val="none" w:sz="0" w:space="0" w:color="auto"/>
        <w:bottom w:val="none" w:sz="0" w:space="0" w:color="auto"/>
        <w:right w:val="none" w:sz="0" w:space="0" w:color="auto"/>
      </w:divBdr>
      <w:divsChild>
        <w:div w:id="1548491083">
          <w:marLeft w:val="0"/>
          <w:marRight w:val="0"/>
          <w:marTop w:val="0"/>
          <w:marBottom w:val="0"/>
          <w:divBdr>
            <w:top w:val="none" w:sz="0" w:space="0" w:color="auto"/>
            <w:left w:val="none" w:sz="0" w:space="0" w:color="auto"/>
            <w:bottom w:val="none" w:sz="0" w:space="0" w:color="auto"/>
            <w:right w:val="none" w:sz="0" w:space="0" w:color="auto"/>
          </w:divBdr>
          <w:divsChild>
            <w:div w:id="1676764203">
              <w:marLeft w:val="0"/>
              <w:marRight w:val="0"/>
              <w:marTop w:val="0"/>
              <w:marBottom w:val="0"/>
              <w:divBdr>
                <w:top w:val="none" w:sz="0" w:space="0" w:color="auto"/>
                <w:left w:val="none" w:sz="0" w:space="0" w:color="auto"/>
                <w:bottom w:val="none" w:sz="0" w:space="0" w:color="auto"/>
                <w:right w:val="none" w:sz="0" w:space="0" w:color="auto"/>
              </w:divBdr>
              <w:divsChild>
                <w:div w:id="252520640">
                  <w:marLeft w:val="0"/>
                  <w:marRight w:val="0"/>
                  <w:marTop w:val="0"/>
                  <w:marBottom w:val="0"/>
                  <w:divBdr>
                    <w:top w:val="none" w:sz="0" w:space="0" w:color="auto"/>
                    <w:left w:val="none" w:sz="0" w:space="0" w:color="auto"/>
                    <w:bottom w:val="none" w:sz="0" w:space="0" w:color="auto"/>
                    <w:right w:val="none" w:sz="0" w:space="0" w:color="auto"/>
                  </w:divBdr>
                  <w:divsChild>
                    <w:div w:id="627129735">
                      <w:marLeft w:val="0"/>
                      <w:marRight w:val="0"/>
                      <w:marTop w:val="0"/>
                      <w:marBottom w:val="0"/>
                      <w:divBdr>
                        <w:top w:val="none" w:sz="0" w:space="0" w:color="auto"/>
                        <w:left w:val="none" w:sz="0" w:space="0" w:color="auto"/>
                        <w:bottom w:val="none" w:sz="0" w:space="0" w:color="auto"/>
                        <w:right w:val="none" w:sz="0" w:space="0" w:color="auto"/>
                      </w:divBdr>
                      <w:divsChild>
                        <w:div w:id="1077706429">
                          <w:marLeft w:val="0"/>
                          <w:marRight w:val="0"/>
                          <w:marTop w:val="0"/>
                          <w:marBottom w:val="0"/>
                          <w:divBdr>
                            <w:top w:val="none" w:sz="0" w:space="0" w:color="auto"/>
                            <w:left w:val="none" w:sz="0" w:space="0" w:color="auto"/>
                            <w:bottom w:val="none" w:sz="0" w:space="0" w:color="auto"/>
                            <w:right w:val="none" w:sz="0" w:space="0" w:color="auto"/>
                          </w:divBdr>
                          <w:divsChild>
                            <w:div w:id="206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77661">
      <w:bodyDiv w:val="1"/>
      <w:marLeft w:val="0"/>
      <w:marRight w:val="0"/>
      <w:marTop w:val="0"/>
      <w:marBottom w:val="0"/>
      <w:divBdr>
        <w:top w:val="none" w:sz="0" w:space="0" w:color="auto"/>
        <w:left w:val="none" w:sz="0" w:space="0" w:color="auto"/>
        <w:bottom w:val="none" w:sz="0" w:space="0" w:color="auto"/>
        <w:right w:val="none" w:sz="0" w:space="0" w:color="auto"/>
      </w:divBdr>
      <w:divsChild>
        <w:div w:id="1590576469">
          <w:marLeft w:val="0"/>
          <w:marRight w:val="0"/>
          <w:marTop w:val="0"/>
          <w:marBottom w:val="0"/>
          <w:divBdr>
            <w:top w:val="none" w:sz="0" w:space="0" w:color="auto"/>
            <w:left w:val="none" w:sz="0" w:space="0" w:color="auto"/>
            <w:bottom w:val="none" w:sz="0" w:space="0" w:color="auto"/>
            <w:right w:val="none" w:sz="0" w:space="0" w:color="auto"/>
          </w:divBdr>
          <w:divsChild>
            <w:div w:id="1205141940">
              <w:marLeft w:val="0"/>
              <w:marRight w:val="0"/>
              <w:marTop w:val="0"/>
              <w:marBottom w:val="0"/>
              <w:divBdr>
                <w:top w:val="none" w:sz="0" w:space="0" w:color="auto"/>
                <w:left w:val="none" w:sz="0" w:space="0" w:color="auto"/>
                <w:bottom w:val="none" w:sz="0" w:space="0" w:color="auto"/>
                <w:right w:val="none" w:sz="0" w:space="0" w:color="auto"/>
              </w:divBdr>
              <w:divsChild>
                <w:div w:id="174461445">
                  <w:marLeft w:val="0"/>
                  <w:marRight w:val="0"/>
                  <w:marTop w:val="0"/>
                  <w:marBottom w:val="0"/>
                  <w:divBdr>
                    <w:top w:val="none" w:sz="0" w:space="0" w:color="auto"/>
                    <w:left w:val="none" w:sz="0" w:space="0" w:color="auto"/>
                    <w:bottom w:val="none" w:sz="0" w:space="0" w:color="auto"/>
                    <w:right w:val="none" w:sz="0" w:space="0" w:color="auto"/>
                  </w:divBdr>
                  <w:divsChild>
                    <w:div w:id="533542949">
                      <w:marLeft w:val="0"/>
                      <w:marRight w:val="0"/>
                      <w:marTop w:val="0"/>
                      <w:marBottom w:val="0"/>
                      <w:divBdr>
                        <w:top w:val="none" w:sz="0" w:space="0" w:color="auto"/>
                        <w:left w:val="none" w:sz="0" w:space="0" w:color="auto"/>
                        <w:bottom w:val="none" w:sz="0" w:space="0" w:color="auto"/>
                        <w:right w:val="none" w:sz="0" w:space="0" w:color="auto"/>
                      </w:divBdr>
                      <w:divsChild>
                        <w:div w:id="1122653738">
                          <w:marLeft w:val="0"/>
                          <w:marRight w:val="0"/>
                          <w:marTop w:val="0"/>
                          <w:marBottom w:val="0"/>
                          <w:divBdr>
                            <w:top w:val="none" w:sz="0" w:space="0" w:color="auto"/>
                            <w:left w:val="none" w:sz="0" w:space="0" w:color="auto"/>
                            <w:bottom w:val="none" w:sz="0" w:space="0" w:color="auto"/>
                            <w:right w:val="none" w:sz="0" w:space="0" w:color="auto"/>
                          </w:divBdr>
                          <w:divsChild>
                            <w:div w:id="7259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2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hyperlink" Target="http://likumi.lv/ta/id/133536-publisko-iepirkumu-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88/2015?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88/2015?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508?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hyperlink" Target="mailto:sandra.strele@z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E1F3-310D-4903-AFE9-57A00D5E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2987</Words>
  <Characters>20946</Characters>
  <Application>Microsoft Office Word</Application>
  <DocSecurity>0</DocSecurity>
  <Lines>775</Lines>
  <Paragraphs>199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Strēle</dc:creator>
  <cp:lastModifiedBy>Sanita Žagare</cp:lastModifiedBy>
  <cp:revision>9</cp:revision>
  <cp:lastPrinted>2016-09-06T06:11:00Z</cp:lastPrinted>
  <dcterms:created xsi:type="dcterms:W3CDTF">2016-09-06T13:02:00Z</dcterms:created>
  <dcterms:modified xsi:type="dcterms:W3CDTF">2016-09-12T06:56:00Z</dcterms:modified>
</cp:coreProperties>
</file>