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F82327" w:rsidTr="005C4936">
        <w:trPr>
          <w:cantSplit/>
          <w:trHeight w:hRule="exact" w:val="1644"/>
        </w:trPr>
        <w:tc>
          <w:tcPr>
            <w:tcW w:w="1705" w:type="dxa"/>
            <w:vAlign w:val="bottom"/>
            <w:hideMark/>
          </w:tcPr>
          <w:p w:rsidR="00092472" w:rsidRPr="00F82327" w:rsidRDefault="00C151FB" w:rsidP="00C351CC">
            <w:pPr>
              <w:pStyle w:val="EntInstit"/>
              <w:tabs>
                <w:tab w:val="left" w:pos="851"/>
                <w:tab w:val="left" w:pos="1857"/>
                <w:tab w:val="left" w:pos="2659"/>
              </w:tabs>
              <w:ind w:right="-284"/>
              <w:jc w:val="left"/>
              <w:rPr>
                <w:rFonts w:ascii="Arial" w:hAnsi="Arial"/>
                <w:sz w:val="23"/>
              </w:rPr>
            </w:pPr>
            <w:r w:rsidRPr="00F82327">
              <w:rPr>
                <w:noProof/>
                <w:lang w:eastAsia="en-GB"/>
              </w:rPr>
              <w:drawing>
                <wp:anchor distT="0" distB="0" distL="114300" distR="114300" simplePos="0" relativeHeight="251658752" behindDoc="0" locked="0" layoutInCell="1" allowOverlap="1" wp14:anchorId="150A6F7C" wp14:editId="4C63B18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C151FB" w:rsidRPr="00F82327" w:rsidRDefault="00C151FB" w:rsidP="00C351CC">
            <w:pPr>
              <w:pStyle w:val="EntInstit"/>
              <w:spacing w:line="216" w:lineRule="auto"/>
              <w:jc w:val="left"/>
              <w:rPr>
                <w:rFonts w:ascii="Arial" w:hAnsi="Arial"/>
                <w:color w:val="4D4D4D"/>
                <w:sz w:val="23"/>
              </w:rPr>
            </w:pPr>
            <w:bookmarkStart w:id="0" w:name="Entete"/>
            <w:bookmarkEnd w:id="0"/>
            <w:r w:rsidRPr="00F82327">
              <w:rPr>
                <w:rFonts w:ascii="Arial" w:hAnsi="Arial"/>
                <w:color w:val="4D4D4D"/>
                <w:sz w:val="23"/>
              </w:rPr>
              <w:t>Council of the</w:t>
            </w:r>
          </w:p>
          <w:p w:rsidR="00092472" w:rsidRPr="00F82327" w:rsidRDefault="00C151FB" w:rsidP="00C351CC">
            <w:pPr>
              <w:pStyle w:val="EntInstit"/>
              <w:spacing w:line="216" w:lineRule="auto"/>
              <w:jc w:val="left"/>
              <w:rPr>
                <w:rFonts w:ascii="Arial" w:hAnsi="Arial"/>
                <w:color w:val="4D4D4D"/>
                <w:sz w:val="23"/>
              </w:rPr>
            </w:pPr>
            <w:r w:rsidRPr="00F82327">
              <w:rPr>
                <w:rFonts w:ascii="Arial" w:hAnsi="Arial"/>
                <w:color w:val="4D4D4D"/>
                <w:sz w:val="23"/>
              </w:rPr>
              <w:t>European Union</w:t>
            </w:r>
          </w:p>
          <w:p w:rsidR="00092472" w:rsidRPr="00F82327" w:rsidRDefault="00092472" w:rsidP="0022250D">
            <w:pPr>
              <w:pStyle w:val="EntInstit"/>
              <w:spacing w:line="192" w:lineRule="auto"/>
              <w:jc w:val="left"/>
              <w:rPr>
                <w:rFonts w:ascii="Arial" w:hAnsi="Arial"/>
                <w:color w:val="4D4D4D"/>
                <w:sz w:val="23"/>
              </w:rPr>
            </w:pPr>
          </w:p>
        </w:tc>
        <w:tc>
          <w:tcPr>
            <w:tcW w:w="141" w:type="dxa"/>
            <w:vAlign w:val="bottom"/>
          </w:tcPr>
          <w:p w:rsidR="00092472" w:rsidRPr="00F82327" w:rsidRDefault="00092472" w:rsidP="00C351CC">
            <w:pPr>
              <w:pStyle w:val="EntInstit"/>
              <w:jc w:val="left"/>
              <w:rPr>
                <w:rFonts w:ascii="Arial" w:hAnsi="Arial"/>
                <w:sz w:val="23"/>
              </w:rPr>
            </w:pPr>
          </w:p>
        </w:tc>
        <w:tc>
          <w:tcPr>
            <w:tcW w:w="3972" w:type="dxa"/>
          </w:tcPr>
          <w:p w:rsidR="00C86DDC" w:rsidRPr="00F82327" w:rsidRDefault="00C86DDC" w:rsidP="005C4936">
            <w:pPr>
              <w:pStyle w:val="EntInstit"/>
              <w:spacing w:line="192" w:lineRule="auto"/>
              <w:jc w:val="left"/>
              <w:rPr>
                <w:rFonts w:ascii="Arial" w:hAnsi="Arial"/>
                <w:sz w:val="23"/>
              </w:rPr>
            </w:pPr>
          </w:p>
        </w:tc>
      </w:tr>
      <w:tr w:rsidR="00FB16BD" w:rsidRPr="00F82327" w:rsidTr="0075359F">
        <w:tblPrEx>
          <w:tblLook w:val="0000" w:firstRow="0" w:lastRow="0" w:firstColumn="0" w:lastColumn="0" w:noHBand="0" w:noVBand="0"/>
        </w:tblPrEx>
        <w:trPr>
          <w:cantSplit/>
          <w:trHeight w:val="252"/>
        </w:trPr>
        <w:tc>
          <w:tcPr>
            <w:tcW w:w="3969" w:type="dxa"/>
            <w:gridSpan w:val="2"/>
          </w:tcPr>
          <w:p w:rsidR="00FB16BD" w:rsidRPr="00F82327" w:rsidRDefault="00FB16BD" w:rsidP="00B112C8">
            <w:pPr>
              <w:pStyle w:val="EntRefer"/>
              <w:jc w:val="right"/>
              <w:rPr>
                <w:rFonts w:ascii="Arial" w:hAnsi="Arial"/>
                <w:color w:val="001718"/>
                <w:sz w:val="23"/>
              </w:rPr>
            </w:pPr>
          </w:p>
        </w:tc>
        <w:tc>
          <w:tcPr>
            <w:tcW w:w="1704" w:type="dxa"/>
            <w:gridSpan w:val="2"/>
          </w:tcPr>
          <w:p w:rsidR="00FB16BD" w:rsidRPr="00F82327" w:rsidRDefault="00FB16BD" w:rsidP="00B112C8">
            <w:pPr>
              <w:pStyle w:val="EntRefer"/>
              <w:rPr>
                <w:rFonts w:ascii="Arial" w:hAnsi="Arial"/>
                <w:sz w:val="23"/>
              </w:rPr>
            </w:pPr>
          </w:p>
        </w:tc>
        <w:tc>
          <w:tcPr>
            <w:tcW w:w="3972" w:type="dxa"/>
          </w:tcPr>
          <w:p w:rsidR="00FB16BD" w:rsidRPr="00F82327" w:rsidRDefault="00C151FB" w:rsidP="00145EF6">
            <w:pPr>
              <w:pStyle w:val="EntRefer"/>
              <w:rPr>
                <w:rFonts w:ascii="Arial" w:hAnsi="Arial"/>
                <w:sz w:val="23"/>
              </w:rPr>
            </w:pPr>
            <w:bookmarkStart w:id="1" w:name="Lieu"/>
            <w:bookmarkEnd w:id="1"/>
            <w:r w:rsidRPr="00F82327">
              <w:rPr>
                <w:rFonts w:ascii="Arial" w:hAnsi="Arial"/>
                <w:sz w:val="23"/>
              </w:rPr>
              <w:t>Brussels,</w:t>
            </w:r>
            <w:r w:rsidR="00FB16BD" w:rsidRPr="00F82327">
              <w:rPr>
                <w:rFonts w:ascii="Arial" w:hAnsi="Arial"/>
                <w:sz w:val="23"/>
              </w:rPr>
              <w:t xml:space="preserve"> </w:t>
            </w:r>
            <w:bookmarkStart w:id="2" w:name="Date"/>
            <w:bookmarkEnd w:id="2"/>
            <w:r w:rsidR="00145EF6">
              <w:rPr>
                <w:rFonts w:ascii="Arial" w:hAnsi="Arial"/>
                <w:sz w:val="23"/>
              </w:rPr>
              <w:t>14 September</w:t>
            </w:r>
            <w:r w:rsidRPr="00F82327">
              <w:rPr>
                <w:rFonts w:ascii="Arial" w:hAnsi="Arial"/>
                <w:sz w:val="23"/>
              </w:rPr>
              <w:t xml:space="preserve"> </w:t>
            </w:r>
            <w:r w:rsidR="00145EF6">
              <w:rPr>
                <w:rFonts w:ascii="Arial" w:hAnsi="Arial"/>
                <w:sz w:val="23"/>
              </w:rPr>
              <w:t>2016</w:t>
            </w:r>
          </w:p>
          <w:p w:rsidR="00FB16BD" w:rsidRPr="00F82327" w:rsidRDefault="00C151FB" w:rsidP="00B112C8">
            <w:pPr>
              <w:pStyle w:val="EntRefer"/>
              <w:rPr>
                <w:rFonts w:ascii="Arial" w:hAnsi="Arial"/>
                <w:sz w:val="23"/>
              </w:rPr>
            </w:pPr>
            <w:bookmarkStart w:id="3" w:name="LangueOrig"/>
            <w:bookmarkEnd w:id="3"/>
            <w:r w:rsidRPr="00F82327">
              <w:rPr>
                <w:rFonts w:ascii="Arial" w:hAnsi="Arial"/>
                <w:sz w:val="23"/>
              </w:rPr>
              <w:t xml:space="preserve">(OR. </w:t>
            </w:r>
            <w:proofErr w:type="spellStart"/>
            <w:r w:rsidRPr="00F82327">
              <w:rPr>
                <w:rFonts w:ascii="Arial" w:hAnsi="Arial"/>
                <w:sz w:val="23"/>
              </w:rPr>
              <w:t>en</w:t>
            </w:r>
            <w:proofErr w:type="spellEnd"/>
            <w:r w:rsidRPr="00F82327">
              <w:rPr>
                <w:rFonts w:ascii="Arial" w:hAnsi="Arial"/>
                <w:sz w:val="23"/>
              </w:rPr>
              <w:t>)</w:t>
            </w:r>
          </w:p>
        </w:tc>
      </w:tr>
      <w:tr w:rsidR="00AA3A04" w:rsidRPr="00F82327" w:rsidTr="0075359F">
        <w:tblPrEx>
          <w:tblLook w:val="0000" w:firstRow="0" w:lastRow="0" w:firstColumn="0" w:lastColumn="0" w:noHBand="0" w:noVBand="0"/>
        </w:tblPrEx>
        <w:trPr>
          <w:cantSplit/>
          <w:trHeight w:val="252"/>
        </w:trPr>
        <w:tc>
          <w:tcPr>
            <w:tcW w:w="3969" w:type="dxa"/>
            <w:gridSpan w:val="2"/>
          </w:tcPr>
          <w:p w:rsidR="00AA3A04" w:rsidRPr="00F82327" w:rsidRDefault="00AA3A04" w:rsidP="00B112C8">
            <w:pPr>
              <w:pStyle w:val="EntRefer"/>
              <w:jc w:val="right"/>
              <w:rPr>
                <w:rFonts w:ascii="Arial" w:hAnsi="Arial"/>
                <w:color w:val="001718"/>
                <w:sz w:val="23"/>
              </w:rPr>
            </w:pPr>
          </w:p>
        </w:tc>
        <w:tc>
          <w:tcPr>
            <w:tcW w:w="1704" w:type="dxa"/>
            <w:gridSpan w:val="2"/>
          </w:tcPr>
          <w:p w:rsidR="00AA3A04" w:rsidRPr="00F82327" w:rsidRDefault="00AA3A04" w:rsidP="00B112C8">
            <w:pPr>
              <w:pStyle w:val="EntRefer"/>
              <w:rPr>
                <w:rFonts w:ascii="Arial" w:hAnsi="Arial"/>
                <w:sz w:val="23"/>
              </w:rPr>
            </w:pPr>
          </w:p>
        </w:tc>
        <w:tc>
          <w:tcPr>
            <w:tcW w:w="3972" w:type="dxa"/>
          </w:tcPr>
          <w:p w:rsidR="00AA3A04" w:rsidRPr="00F82327" w:rsidRDefault="00AA3A04" w:rsidP="00B112C8">
            <w:pPr>
              <w:pStyle w:val="EntRefer"/>
              <w:rPr>
                <w:rFonts w:ascii="Arial" w:hAnsi="Arial"/>
                <w:sz w:val="23"/>
              </w:rPr>
            </w:pPr>
            <w:r w:rsidRPr="00F82327">
              <w:rPr>
                <w:rFonts w:ascii="Arial" w:hAnsi="Arial"/>
                <w:sz w:val="23"/>
              </w:rPr>
              <w:t xml:space="preserve"> </w:t>
            </w:r>
          </w:p>
        </w:tc>
      </w:tr>
      <w:tr w:rsidR="00AA3A04" w:rsidRPr="00F82327" w:rsidTr="0075359F">
        <w:tblPrEx>
          <w:tblLook w:val="0000" w:firstRow="0" w:lastRow="0" w:firstColumn="0" w:lastColumn="0" w:noHBand="0" w:noVBand="0"/>
        </w:tblPrEx>
        <w:trPr>
          <w:cantSplit/>
          <w:trHeight w:val="1480"/>
        </w:trPr>
        <w:tc>
          <w:tcPr>
            <w:tcW w:w="3969" w:type="dxa"/>
            <w:gridSpan w:val="2"/>
            <w:vAlign w:val="center"/>
          </w:tcPr>
          <w:p w:rsidR="00C151FB" w:rsidRPr="00F82327" w:rsidRDefault="00C151FB" w:rsidP="00C151F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sidRPr="00F82327">
              <w:rPr>
                <w:rFonts w:ascii="Arial" w:hAnsi="Arial"/>
                <w:sz w:val="23"/>
              </w:rPr>
              <w:t>Interinstitutional File:</w:t>
            </w:r>
          </w:p>
          <w:p w:rsidR="00AA3A04" w:rsidRPr="00F82327" w:rsidRDefault="00C151FB" w:rsidP="00C151F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F82327">
              <w:rPr>
                <w:rFonts w:ascii="Arial" w:hAnsi="Arial"/>
                <w:sz w:val="23"/>
              </w:rPr>
              <w:t>2016/0206 (NLE)</w:t>
            </w:r>
          </w:p>
        </w:tc>
        <w:tc>
          <w:tcPr>
            <w:tcW w:w="1704" w:type="dxa"/>
            <w:gridSpan w:val="2"/>
            <w:vAlign w:val="center"/>
          </w:tcPr>
          <w:p w:rsidR="00AA3A04" w:rsidRPr="00F82327" w:rsidRDefault="00AA3A04" w:rsidP="00B112C8">
            <w:pPr>
              <w:spacing w:line="240" w:lineRule="auto"/>
              <w:rPr>
                <w:rFonts w:ascii="Arial" w:hAnsi="Arial"/>
                <w:b/>
                <w:sz w:val="23"/>
              </w:rPr>
            </w:pPr>
          </w:p>
        </w:tc>
        <w:tc>
          <w:tcPr>
            <w:tcW w:w="3972" w:type="dxa"/>
          </w:tcPr>
          <w:p w:rsidR="00AA3A04" w:rsidRPr="00F82327" w:rsidRDefault="00C151FB" w:rsidP="00B112C8">
            <w:pPr>
              <w:pStyle w:val="EntRefer"/>
              <w:rPr>
                <w:rFonts w:ascii="Arial" w:hAnsi="Arial"/>
                <w:sz w:val="23"/>
              </w:rPr>
            </w:pPr>
            <w:bookmarkStart w:id="5" w:name="Cote"/>
            <w:bookmarkEnd w:id="5"/>
            <w:r w:rsidRPr="00F82327">
              <w:rPr>
                <w:rFonts w:ascii="Arial" w:hAnsi="Arial"/>
                <w:sz w:val="23"/>
              </w:rPr>
              <w:t>10973/16</w:t>
            </w:r>
          </w:p>
          <w:p w:rsidR="00AA3A04" w:rsidRPr="00F82327" w:rsidRDefault="00C151FB" w:rsidP="00B112C8">
            <w:pPr>
              <w:pStyle w:val="EntRefer"/>
              <w:rPr>
                <w:rFonts w:ascii="Arial" w:hAnsi="Arial"/>
                <w:sz w:val="23"/>
              </w:rPr>
            </w:pPr>
            <w:bookmarkStart w:id="6" w:name="CoteRev"/>
            <w:bookmarkEnd w:id="6"/>
            <w:r w:rsidRPr="00F82327">
              <w:rPr>
                <w:rFonts w:ascii="Arial" w:hAnsi="Arial"/>
                <w:sz w:val="23"/>
              </w:rPr>
              <w:t>ADD 1</w:t>
            </w:r>
          </w:p>
          <w:p w:rsidR="00AA3A04" w:rsidRPr="00F82327" w:rsidRDefault="00AA3A04" w:rsidP="00B112C8">
            <w:pPr>
              <w:pStyle w:val="EntRefer"/>
              <w:rPr>
                <w:rFonts w:ascii="Arial" w:hAnsi="Arial"/>
                <w:sz w:val="23"/>
              </w:rPr>
            </w:pPr>
          </w:p>
          <w:p w:rsidR="00AA3A04" w:rsidRPr="00F82327" w:rsidRDefault="00AA3A04" w:rsidP="00B112C8">
            <w:pPr>
              <w:pStyle w:val="EntRefer"/>
              <w:rPr>
                <w:rFonts w:ascii="Arial" w:hAnsi="Arial"/>
                <w:sz w:val="23"/>
              </w:rPr>
            </w:pPr>
            <w:bookmarkStart w:id="7" w:name="CoteSec"/>
            <w:bookmarkEnd w:id="7"/>
          </w:p>
          <w:p w:rsidR="00AA3A04" w:rsidRPr="00F82327" w:rsidRDefault="00AA3A04" w:rsidP="00B112C8">
            <w:pPr>
              <w:pStyle w:val="EntRefer"/>
              <w:rPr>
                <w:rFonts w:ascii="Arial" w:hAnsi="Arial"/>
                <w:sz w:val="23"/>
              </w:rPr>
            </w:pPr>
          </w:p>
        </w:tc>
      </w:tr>
      <w:tr w:rsidR="00AA3A04" w:rsidRPr="00F82327" w:rsidTr="0075359F">
        <w:tblPrEx>
          <w:tblLook w:val="0000" w:firstRow="0" w:lastRow="0" w:firstColumn="0" w:lastColumn="0" w:noHBand="0" w:noVBand="0"/>
        </w:tblPrEx>
        <w:trPr>
          <w:cantSplit/>
          <w:trHeight w:val="1000"/>
        </w:trPr>
        <w:tc>
          <w:tcPr>
            <w:tcW w:w="3969" w:type="dxa"/>
            <w:gridSpan w:val="2"/>
            <w:vAlign w:val="center"/>
          </w:tcPr>
          <w:p w:rsidR="00AA3A04" w:rsidRPr="00F82327"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F82327" w:rsidRDefault="00AA3A04" w:rsidP="00B112C8">
            <w:pPr>
              <w:spacing w:line="240" w:lineRule="auto"/>
              <w:rPr>
                <w:rFonts w:ascii="Arial" w:hAnsi="Arial"/>
                <w:b/>
                <w:sz w:val="23"/>
              </w:rPr>
            </w:pPr>
          </w:p>
        </w:tc>
        <w:tc>
          <w:tcPr>
            <w:tcW w:w="3972" w:type="dxa"/>
          </w:tcPr>
          <w:p w:rsidR="00E44098" w:rsidRPr="00F82327" w:rsidRDefault="00E44098" w:rsidP="00E44098">
            <w:pPr>
              <w:spacing w:line="240" w:lineRule="auto"/>
              <w:rPr>
                <w:rFonts w:ascii="Arial" w:hAnsi="Arial"/>
                <w:b/>
                <w:sz w:val="23"/>
              </w:rPr>
            </w:pPr>
            <w:bookmarkStart w:id="9" w:name="CoteMat"/>
            <w:bookmarkEnd w:id="9"/>
            <w:r w:rsidRPr="00F82327">
              <w:rPr>
                <w:rFonts w:ascii="Arial" w:hAnsi="Arial"/>
                <w:b/>
                <w:sz w:val="23"/>
              </w:rPr>
              <w:t>WTO 195</w:t>
            </w:r>
          </w:p>
          <w:p w:rsidR="00E44098" w:rsidRPr="00F82327" w:rsidRDefault="00E44098" w:rsidP="00E44098">
            <w:pPr>
              <w:spacing w:line="240" w:lineRule="auto"/>
              <w:rPr>
                <w:rFonts w:ascii="Arial" w:hAnsi="Arial"/>
                <w:b/>
                <w:sz w:val="23"/>
              </w:rPr>
            </w:pPr>
            <w:r w:rsidRPr="00F82327">
              <w:rPr>
                <w:rFonts w:ascii="Arial" w:hAnsi="Arial"/>
                <w:b/>
                <w:sz w:val="23"/>
              </w:rPr>
              <w:t>SERVICES 20</w:t>
            </w:r>
          </w:p>
          <w:p w:rsidR="00E44098" w:rsidRPr="00F82327" w:rsidRDefault="00E44098" w:rsidP="00E44098">
            <w:pPr>
              <w:spacing w:line="240" w:lineRule="auto"/>
              <w:rPr>
                <w:rFonts w:ascii="Arial" w:hAnsi="Arial"/>
                <w:b/>
                <w:sz w:val="23"/>
              </w:rPr>
            </w:pPr>
            <w:r w:rsidRPr="00F82327">
              <w:rPr>
                <w:rFonts w:ascii="Arial" w:hAnsi="Arial"/>
                <w:b/>
                <w:sz w:val="23"/>
              </w:rPr>
              <w:t>FDI 16</w:t>
            </w:r>
          </w:p>
          <w:p w:rsidR="00AA3A04" w:rsidRPr="00F82327" w:rsidRDefault="00E44098" w:rsidP="00E44098">
            <w:pPr>
              <w:pStyle w:val="EntRefer"/>
              <w:rPr>
                <w:rFonts w:ascii="Arial" w:hAnsi="Arial"/>
                <w:sz w:val="23"/>
              </w:rPr>
            </w:pPr>
            <w:r w:rsidRPr="00F82327">
              <w:rPr>
                <w:rFonts w:ascii="Arial" w:hAnsi="Arial"/>
                <w:sz w:val="23"/>
              </w:rPr>
              <w:t>CDN 12</w:t>
            </w:r>
          </w:p>
        </w:tc>
      </w:tr>
    </w:tbl>
    <w:p w:rsidR="002B28C5" w:rsidRPr="00F82327" w:rsidRDefault="002B28C5">
      <w:pPr>
        <w:pStyle w:val="EntRefer"/>
        <w:rPr>
          <w:rFonts w:ascii="Arial" w:hAnsi="Arial" w:cs="Arial"/>
          <w:sz w:val="23"/>
          <w:szCs w:val="23"/>
        </w:rPr>
      </w:pPr>
      <w:bookmarkStart w:id="10" w:name="AC"/>
    </w:p>
    <w:p w:rsidR="00C151FB" w:rsidRPr="00F82327" w:rsidRDefault="00C151FB">
      <w:pPr>
        <w:pStyle w:val="EntRefer"/>
        <w:rPr>
          <w:rFonts w:ascii="Arial" w:hAnsi="Arial" w:cs="Arial"/>
          <w:sz w:val="23"/>
          <w:szCs w:val="23"/>
        </w:rPr>
      </w:pPr>
    </w:p>
    <w:p w:rsidR="00C151FB" w:rsidRPr="00F82327" w:rsidRDefault="00C151FB">
      <w:pPr>
        <w:pStyle w:val="EntRefer"/>
        <w:rPr>
          <w:rFonts w:ascii="Arial" w:hAnsi="Arial" w:cs="Arial"/>
          <w:sz w:val="23"/>
          <w:szCs w:val="23"/>
        </w:rPr>
      </w:pPr>
    </w:p>
    <w:p w:rsidR="00C151FB" w:rsidRPr="00F82327" w:rsidRDefault="00C151FB">
      <w:pPr>
        <w:pStyle w:val="EntRefer"/>
        <w:rPr>
          <w:rFonts w:ascii="Arial" w:hAnsi="Arial" w:cs="Arial"/>
          <w:sz w:val="23"/>
          <w:szCs w:val="23"/>
        </w:rPr>
      </w:pPr>
    </w:p>
    <w:p w:rsidR="00C151FB" w:rsidRPr="00F82327" w:rsidRDefault="00C151FB">
      <w:pPr>
        <w:pStyle w:val="EntRefer"/>
        <w:rPr>
          <w:rFonts w:ascii="Arial" w:hAnsi="Arial" w:cs="Arial"/>
          <w:sz w:val="23"/>
          <w:szCs w:val="23"/>
        </w:rPr>
      </w:pPr>
    </w:p>
    <w:p w:rsidR="00C151FB" w:rsidRPr="00F82327" w:rsidRDefault="00C151FB">
      <w:pPr>
        <w:pStyle w:val="EntRefer"/>
        <w:rPr>
          <w:rFonts w:ascii="Arial" w:hAnsi="Arial" w:cs="Arial"/>
          <w:sz w:val="23"/>
          <w:szCs w:val="23"/>
        </w:rPr>
      </w:pPr>
    </w:p>
    <w:p w:rsidR="002B28C5" w:rsidRPr="00F82327" w:rsidRDefault="00C151FB">
      <w:pPr>
        <w:pStyle w:val="EntRefer"/>
        <w:rPr>
          <w:rFonts w:ascii="Arial" w:hAnsi="Arial" w:cs="Arial"/>
          <w:sz w:val="23"/>
          <w:szCs w:val="23"/>
        </w:rPr>
      </w:pPr>
      <w:bookmarkStart w:id="11" w:name="Title"/>
      <w:bookmarkEnd w:id="11"/>
      <w:r w:rsidRPr="00F82327">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F82327">
        <w:tc>
          <w:tcPr>
            <w:tcW w:w="1701" w:type="dxa"/>
            <w:tcBorders>
              <w:top w:val="single" w:sz="4" w:space="0" w:color="auto"/>
              <w:bottom w:val="single" w:sz="4" w:space="0" w:color="auto"/>
            </w:tcBorders>
          </w:tcPr>
          <w:p w:rsidR="002B28C5" w:rsidRPr="00F82327" w:rsidRDefault="002B28C5">
            <w:pPr>
              <w:pStyle w:val="EntEmet"/>
              <w:rPr>
                <w:rFonts w:ascii="Arial" w:hAnsi="Arial" w:cs="Arial"/>
                <w:sz w:val="23"/>
                <w:szCs w:val="23"/>
              </w:rPr>
            </w:pPr>
            <w:r w:rsidRPr="00F82327">
              <w:rPr>
                <w:rFonts w:ascii="Arial" w:hAnsi="Arial" w:cs="Arial"/>
                <w:sz w:val="23"/>
                <w:szCs w:val="23"/>
              </w:rPr>
              <w:t>Subject:</w:t>
            </w:r>
          </w:p>
        </w:tc>
        <w:tc>
          <w:tcPr>
            <w:tcW w:w="7938" w:type="dxa"/>
            <w:tcBorders>
              <w:top w:val="single" w:sz="4" w:space="0" w:color="auto"/>
              <w:bottom w:val="single" w:sz="4" w:space="0" w:color="auto"/>
            </w:tcBorders>
          </w:tcPr>
          <w:p w:rsidR="002B28C5" w:rsidRPr="00F82327" w:rsidRDefault="00C151FB">
            <w:pPr>
              <w:pStyle w:val="EntEmet"/>
              <w:rPr>
                <w:rFonts w:ascii="Arial" w:hAnsi="Arial" w:cs="Arial"/>
                <w:sz w:val="23"/>
                <w:szCs w:val="23"/>
              </w:rPr>
            </w:pPr>
            <w:bookmarkStart w:id="12" w:name="Subject"/>
            <w:bookmarkEnd w:id="12"/>
            <w:r w:rsidRPr="00F82327">
              <w:rPr>
                <w:rFonts w:ascii="Arial" w:hAnsi="Arial" w:cs="Arial"/>
                <w:sz w:val="23"/>
                <w:szCs w:val="23"/>
              </w:rPr>
              <w:t>Comprehensive Economic and Trade Agreement between Canada, of the one part, and the European Union and its Member States</w:t>
            </w:r>
            <w:r w:rsidR="0013355C" w:rsidRPr="00F82327">
              <w:rPr>
                <w:rFonts w:ascii="Arial" w:hAnsi="Arial" w:cs="Arial"/>
                <w:sz w:val="23"/>
                <w:szCs w:val="23"/>
              </w:rPr>
              <w:t>, of the other part</w:t>
            </w:r>
          </w:p>
        </w:tc>
      </w:tr>
    </w:tbl>
    <w:p w:rsidR="002B28C5" w:rsidRPr="00F82327" w:rsidRDefault="002B28C5">
      <w:pPr>
        <w:spacing w:line="240" w:lineRule="auto"/>
        <w:rPr>
          <w:rFonts w:ascii="Arial" w:hAnsi="Arial" w:cs="Arial"/>
          <w:sz w:val="23"/>
          <w:szCs w:val="23"/>
        </w:rPr>
      </w:pPr>
    </w:p>
    <w:p w:rsidR="002B28C5" w:rsidRPr="00F82327" w:rsidRDefault="002B28C5">
      <w:pPr>
        <w:tabs>
          <w:tab w:val="left" w:pos="3969"/>
        </w:tabs>
        <w:rPr>
          <w:rFonts w:ascii="Arial" w:hAnsi="Arial" w:cs="Arial"/>
          <w:sz w:val="23"/>
          <w:szCs w:val="23"/>
        </w:rPr>
      </w:pPr>
    </w:p>
    <w:bookmarkEnd w:id="10"/>
    <w:p w:rsidR="002B28C5" w:rsidRPr="00F82327" w:rsidRDefault="002B28C5">
      <w:pPr>
        <w:rPr>
          <w:szCs w:val="24"/>
        </w:rPr>
      </w:pPr>
    </w:p>
    <w:p w:rsidR="002B28C5" w:rsidRPr="00F82327" w:rsidRDefault="002B28C5" w:rsidP="00C151FB">
      <w:pPr>
        <w:rPr>
          <w:rFonts w:ascii="Arial" w:hAnsi="Arial" w:cs="Arial"/>
          <w:sz w:val="23"/>
          <w:szCs w:val="23"/>
        </w:rPr>
      </w:pPr>
    </w:p>
    <w:p w:rsidR="00C151FB" w:rsidRPr="00F82327" w:rsidRDefault="00C151FB">
      <w:pPr>
        <w:spacing w:line="240" w:lineRule="auto"/>
        <w:rPr>
          <w:rFonts w:ascii="Arial" w:hAnsi="Arial" w:cs="Arial"/>
          <w:sz w:val="23"/>
          <w:szCs w:val="23"/>
        </w:rPr>
        <w:sectPr w:rsidR="00C151FB" w:rsidRPr="00F82327"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AB7D6B" w:rsidRPr="00F82327" w:rsidRDefault="00AB7D6B" w:rsidP="00CA5F5D">
      <w:pPr>
        <w:pStyle w:val="NormalCentered"/>
        <w:widowControl w:val="0"/>
        <w:spacing w:before="0" w:after="0" w:line="360" w:lineRule="auto"/>
        <w:jc w:val="right"/>
        <w:rPr>
          <w:noProof/>
          <w:lang w:val="en-US"/>
        </w:rPr>
      </w:pPr>
      <w:r w:rsidRPr="00F82327">
        <w:rPr>
          <w:b/>
          <w:bCs/>
          <w:noProof/>
          <w:u w:val="single"/>
          <w:lang w:val="en-US"/>
        </w:rPr>
        <w:lastRenderedPageBreak/>
        <w:t>ANNEX 2-A</w:t>
      </w:r>
    </w:p>
    <w:p w:rsidR="00AB7D6B" w:rsidRPr="00F82327" w:rsidRDefault="00AB7D6B" w:rsidP="00CA5F5D">
      <w:pPr>
        <w:pStyle w:val="NormalCentered"/>
        <w:widowControl w:val="0"/>
        <w:spacing w:before="0" w:after="0" w:line="360" w:lineRule="auto"/>
        <w:rPr>
          <w:noProof/>
          <w:lang w:val="en-US"/>
        </w:rPr>
      </w:pPr>
    </w:p>
    <w:p w:rsidR="00AB7D6B" w:rsidRPr="00F82327" w:rsidRDefault="00AB7D6B" w:rsidP="00CA5F5D">
      <w:pPr>
        <w:pStyle w:val="NormalCentered"/>
        <w:widowControl w:val="0"/>
        <w:spacing w:before="0" w:after="0" w:line="360" w:lineRule="auto"/>
        <w:rPr>
          <w:b/>
          <w:bCs/>
          <w:noProof/>
          <w:shd w:val="solid" w:color="FFFFFF" w:fill="auto"/>
        </w:rPr>
      </w:pPr>
      <w:r w:rsidRPr="00F82327">
        <w:rPr>
          <w:b/>
          <w:bCs/>
          <w:noProof/>
          <w:shd w:val="solid" w:color="FFFFFF" w:fill="auto"/>
        </w:rPr>
        <w:t>TARIFF ELIMINATION</w:t>
      </w:r>
    </w:p>
    <w:p w:rsidR="00AB7D6B" w:rsidRPr="00F82327" w:rsidRDefault="00AB7D6B" w:rsidP="00CA5F5D">
      <w:pPr>
        <w:pStyle w:val="NormalCentered"/>
        <w:widowControl w:val="0"/>
        <w:spacing w:before="0" w:after="0" w:line="360" w:lineRule="auto"/>
        <w:jc w:val="left"/>
        <w:rPr>
          <w:noProof/>
          <w:shd w:val="solid" w:color="FFFFFF" w:fill="auto"/>
        </w:rPr>
      </w:pPr>
    </w:p>
    <w:p w:rsidR="00AB7D6B" w:rsidRPr="00F82327" w:rsidRDefault="00AB7D6B" w:rsidP="00CA5F5D">
      <w:pPr>
        <w:ind w:left="567" w:hanging="567"/>
        <w:rPr>
          <w:noProof/>
        </w:rPr>
      </w:pPr>
      <w:r w:rsidRPr="00F82327">
        <w:rPr>
          <w:noProof/>
          <w:lang w:eastAsia="en-GB"/>
        </w:rPr>
        <w:t>1.</w:t>
      </w:r>
      <w:r w:rsidRPr="00F82327">
        <w:rPr>
          <w:noProof/>
          <w:lang w:eastAsia="en-GB"/>
        </w:rPr>
        <w:tab/>
      </w:r>
      <w:r w:rsidRPr="00F82327">
        <w:rPr>
          <w:noProof/>
        </w:rPr>
        <w:t>For the purposes of this Annex including each Party's Schedule to this Annex, Year 1 means the period of time beginning on the date of entry into force of this Agreement and ending on December 31 of the same calendar year that this Agreement enters into force. Year 2 shall begin on the January 1 following the date of entry into force of this Agreement, with each subsequent tariff reduction taking effect on January 1 of each subsequent year.</w:t>
      </w:r>
    </w:p>
    <w:p w:rsidR="00AB7D6B" w:rsidRPr="00F82327" w:rsidRDefault="00AB7D6B" w:rsidP="00AB7D6B">
      <w:pPr>
        <w:ind w:left="567" w:hanging="567"/>
        <w:rPr>
          <w:noProof/>
        </w:rPr>
      </w:pPr>
    </w:p>
    <w:p w:rsidR="00AB7D6B" w:rsidRPr="00F82327" w:rsidRDefault="00AB7D6B" w:rsidP="00AB7D6B">
      <w:pPr>
        <w:ind w:left="567" w:hanging="567"/>
        <w:rPr>
          <w:noProof/>
          <w:szCs w:val="24"/>
          <w:lang w:eastAsia="en-GB"/>
        </w:rPr>
      </w:pPr>
      <w:r w:rsidRPr="00F82327">
        <w:rPr>
          <w:noProof/>
          <w:szCs w:val="24"/>
          <w:lang w:eastAsia="en-GB"/>
        </w:rPr>
        <w:t>2.</w:t>
      </w:r>
      <w:r w:rsidRPr="00F82327">
        <w:rPr>
          <w:noProof/>
          <w:szCs w:val="24"/>
          <w:lang w:eastAsia="en-GB"/>
        </w:rPr>
        <w:tab/>
        <w:t xml:space="preserve">Except as otherwise provided in this Annex, the Parties shall eliminate all customs duties on </w:t>
      </w:r>
      <w:r w:rsidRPr="00F82327">
        <w:rPr>
          <w:noProof/>
        </w:rPr>
        <w:t>originating</w:t>
      </w:r>
      <w:r w:rsidRPr="00F82327">
        <w:rPr>
          <w:noProof/>
          <w:szCs w:val="24"/>
          <w:lang w:eastAsia="en-GB"/>
        </w:rPr>
        <w:t xml:space="preserve"> goods</w:t>
      </w:r>
      <w:r w:rsidRPr="00F82327">
        <w:rPr>
          <w:iCs/>
          <w:noProof/>
          <w:szCs w:val="24"/>
          <w:lang w:eastAsia="en-GB"/>
        </w:rPr>
        <w:t>, of Chapters 1 through 97 of the Harmonized System that provide for a most-favoured-nation ("MFN") rate of customs duty</w:t>
      </w:r>
      <w:r w:rsidRPr="00F82327">
        <w:rPr>
          <w:noProof/>
          <w:szCs w:val="24"/>
          <w:lang w:eastAsia="en-GB"/>
        </w:rPr>
        <w:t>, imported from the other Party upon the date of entry into force of this Agreement.</w:t>
      </w:r>
    </w:p>
    <w:p w:rsidR="00AB7D6B" w:rsidRPr="00F82327" w:rsidRDefault="00AB7D6B" w:rsidP="00AB7D6B">
      <w:pPr>
        <w:ind w:left="567" w:hanging="567"/>
        <w:rPr>
          <w:noProof/>
          <w:szCs w:val="24"/>
          <w:lang w:eastAsia="en-GB"/>
        </w:rPr>
      </w:pPr>
    </w:p>
    <w:p w:rsidR="00AB7D6B" w:rsidRPr="00F82327" w:rsidRDefault="00AB7D6B" w:rsidP="00AB7D6B">
      <w:pPr>
        <w:ind w:left="567" w:hanging="567"/>
        <w:rPr>
          <w:noProof/>
          <w:szCs w:val="24"/>
          <w:lang w:eastAsia="en-GB"/>
        </w:rPr>
      </w:pPr>
      <w:r w:rsidRPr="00F82327">
        <w:rPr>
          <w:bCs/>
          <w:noProof/>
          <w:szCs w:val="24"/>
          <w:lang w:eastAsia="en-GB"/>
        </w:rPr>
        <w:t>3.</w:t>
      </w:r>
      <w:r w:rsidRPr="00F82327">
        <w:rPr>
          <w:bCs/>
          <w:noProof/>
          <w:szCs w:val="24"/>
          <w:lang w:eastAsia="en-GB"/>
        </w:rPr>
        <w:tab/>
        <w:t xml:space="preserve">For </w:t>
      </w:r>
      <w:r w:rsidRPr="00F82327">
        <w:rPr>
          <w:noProof/>
          <w:szCs w:val="24"/>
          <w:lang w:eastAsia="en-GB"/>
        </w:rPr>
        <w:t>originating</w:t>
      </w:r>
      <w:r w:rsidRPr="00F82327">
        <w:rPr>
          <w:bCs/>
          <w:noProof/>
          <w:szCs w:val="24"/>
          <w:lang w:eastAsia="en-GB"/>
        </w:rPr>
        <w:t xml:space="preserve"> goods from the other Party set out </w:t>
      </w:r>
      <w:r w:rsidRPr="00F82327">
        <w:rPr>
          <w:noProof/>
          <w:szCs w:val="24"/>
          <w:lang w:eastAsia="en-GB"/>
        </w:rPr>
        <w:t xml:space="preserve">in each Party's Schedule to this Annex, the </w:t>
      </w:r>
      <w:r w:rsidRPr="00F82327">
        <w:rPr>
          <w:iCs/>
          <w:noProof/>
          <w:color w:val="000000"/>
          <w:szCs w:val="24"/>
          <w:lang w:eastAsia="en-GB"/>
        </w:rPr>
        <w:t>following</w:t>
      </w:r>
      <w:r w:rsidRPr="00F82327">
        <w:rPr>
          <w:noProof/>
          <w:szCs w:val="24"/>
          <w:lang w:eastAsia="en-GB"/>
        </w:rPr>
        <w:t xml:space="preserve"> staging categories apply to the elimination of customs duties by each Party pursuant to Article 2.4:</w:t>
      </w:r>
    </w:p>
    <w:p w:rsidR="00AB7D6B" w:rsidRPr="00F82327" w:rsidRDefault="00AB7D6B" w:rsidP="00AB7D6B">
      <w:pPr>
        <w:rPr>
          <w:noProof/>
          <w:lang w:eastAsia="en-GB"/>
        </w:rPr>
      </w:pPr>
    </w:p>
    <w:p w:rsidR="00AB7D6B" w:rsidRPr="00F82327" w:rsidRDefault="00AB7D6B" w:rsidP="00AB7D6B">
      <w:pPr>
        <w:ind w:left="1134" w:hanging="567"/>
        <w:rPr>
          <w:noProof/>
          <w:lang w:eastAsia="en-GB"/>
        </w:rPr>
      </w:pPr>
      <w:r w:rsidRPr="00F82327">
        <w:rPr>
          <w:noProof/>
          <w:lang w:eastAsia="en-GB"/>
        </w:rPr>
        <w:t>(a)</w:t>
      </w:r>
      <w:r w:rsidRPr="00F82327">
        <w:rPr>
          <w:noProof/>
          <w:lang w:eastAsia="en-GB"/>
        </w:rPr>
        <w:tab/>
        <w:t>duties on originating goods provided for in the items in staging category A in a Party's Schedule shall be eliminated on the date this Agreement enters into force;</w:t>
      </w:r>
    </w:p>
    <w:p w:rsidR="00AB7D6B" w:rsidRPr="00F82327" w:rsidRDefault="00AB7D6B" w:rsidP="00AB7D6B">
      <w:pPr>
        <w:ind w:left="1134" w:hanging="567"/>
        <w:rPr>
          <w:noProof/>
          <w:lang w:eastAsia="en-GB"/>
        </w:rPr>
      </w:pPr>
    </w:p>
    <w:p w:rsidR="00AB7D6B" w:rsidRPr="00F82327" w:rsidRDefault="00AB7D6B" w:rsidP="00AB7D6B">
      <w:pPr>
        <w:ind w:left="1134" w:hanging="567"/>
        <w:rPr>
          <w:noProof/>
          <w:lang w:eastAsia="en-GB"/>
        </w:rPr>
      </w:pPr>
      <w:r w:rsidRPr="00F82327">
        <w:rPr>
          <w:noProof/>
          <w:lang w:eastAsia="en-GB"/>
        </w:rPr>
        <w:t>(b)</w:t>
      </w:r>
      <w:r w:rsidRPr="00F82327">
        <w:rPr>
          <w:noProof/>
          <w:lang w:eastAsia="en-GB"/>
        </w:rPr>
        <w:tab/>
        <w:t>duties on originating goods provided for in the items in staging category B in a Party's Schedule shall be removed in four equal stages beginning on the date this Agreement enters into force, and such goods shall be duty-free, effective January 1 of year 4;</w:t>
      </w:r>
    </w:p>
    <w:p w:rsidR="00CA5F5D" w:rsidRPr="00F82327" w:rsidRDefault="00CA5F5D">
      <w:pPr>
        <w:widowControl/>
        <w:spacing w:line="240" w:lineRule="auto"/>
        <w:rPr>
          <w:noProof/>
          <w:lang w:eastAsia="en-GB"/>
        </w:rPr>
      </w:pPr>
    </w:p>
    <w:p w:rsidR="003E3FFD" w:rsidRPr="00F82327" w:rsidRDefault="003E3FFD">
      <w:pPr>
        <w:widowControl/>
        <w:spacing w:line="240" w:lineRule="auto"/>
        <w:rPr>
          <w:noProof/>
          <w:lang w:eastAsia="en-GB"/>
        </w:rPr>
      </w:pPr>
      <w:r w:rsidRPr="00F82327">
        <w:rPr>
          <w:noProof/>
          <w:lang w:eastAsia="en-GB"/>
        </w:rPr>
        <w:br w:type="page"/>
      </w:r>
    </w:p>
    <w:p w:rsidR="00AB7D6B" w:rsidRPr="00F82327" w:rsidRDefault="00AB7D6B" w:rsidP="00AB7D6B">
      <w:pPr>
        <w:ind w:left="1134" w:hanging="567"/>
        <w:rPr>
          <w:noProof/>
          <w:lang w:eastAsia="en-GB"/>
        </w:rPr>
      </w:pPr>
      <w:r w:rsidRPr="00F82327">
        <w:rPr>
          <w:noProof/>
          <w:lang w:eastAsia="en-GB"/>
        </w:rPr>
        <w:lastRenderedPageBreak/>
        <w:t>(c)</w:t>
      </w:r>
      <w:r w:rsidRPr="00F82327">
        <w:rPr>
          <w:noProof/>
          <w:lang w:eastAsia="en-GB"/>
        </w:rPr>
        <w:tab/>
        <w:t>duties on originating goods provided for in the items in staging category C in a Party's Schedule shall be removed in six equal stages beginning on the date this Agreement enters into force, and such goods shall be duty-free, effective January 1 of year 6;</w:t>
      </w:r>
    </w:p>
    <w:p w:rsidR="00AB7D6B" w:rsidRPr="00F82327" w:rsidRDefault="00AB7D6B" w:rsidP="00CA5F5D">
      <w:pPr>
        <w:ind w:left="1134" w:hanging="567"/>
        <w:rPr>
          <w:noProof/>
          <w:lang w:eastAsia="en-GB"/>
        </w:rPr>
      </w:pPr>
    </w:p>
    <w:p w:rsidR="00AB7D6B" w:rsidRPr="00F82327" w:rsidRDefault="00AB7D6B" w:rsidP="00CA5F5D">
      <w:pPr>
        <w:ind w:left="1134" w:hanging="567"/>
        <w:rPr>
          <w:noProof/>
          <w:lang w:eastAsia="en-GB"/>
        </w:rPr>
      </w:pPr>
      <w:r w:rsidRPr="00F82327">
        <w:rPr>
          <w:noProof/>
          <w:lang w:eastAsia="en-GB"/>
        </w:rPr>
        <w:t>(d)</w:t>
      </w:r>
      <w:r w:rsidRPr="00F82327">
        <w:rPr>
          <w:noProof/>
          <w:lang w:eastAsia="en-GB"/>
        </w:rPr>
        <w:tab/>
        <w:t>duties on originating goods provided for in the items in staging category D in a Party's Schedule shall be removed in eight equal stages beginning on the date this Agreement enters into force, and such goods shall be duty-free, effective January 1 of year 8.</w:t>
      </w:r>
    </w:p>
    <w:p w:rsidR="00AB7D6B" w:rsidRPr="00F82327" w:rsidRDefault="00AB7D6B" w:rsidP="00AB7D6B">
      <w:pPr>
        <w:ind w:left="1134" w:hanging="567"/>
        <w:rPr>
          <w:noProof/>
          <w:lang w:eastAsia="en-GB"/>
        </w:rPr>
      </w:pPr>
    </w:p>
    <w:p w:rsidR="00AB7D6B" w:rsidRPr="00F82327" w:rsidRDefault="00AB7D6B" w:rsidP="00322BFE">
      <w:pPr>
        <w:ind w:left="1134"/>
        <w:rPr>
          <w:rFonts w:eastAsia="Calibri"/>
          <w:bCs/>
          <w:noProof/>
          <w:lang w:eastAsia="en-GB"/>
        </w:rPr>
      </w:pPr>
      <w:r w:rsidRPr="00F82327">
        <w:rPr>
          <w:rFonts w:eastAsia="Calibri"/>
          <w:noProof/>
          <w:lang w:eastAsia="en-GB"/>
        </w:rPr>
        <w:t>For greater certainty, when the European Union applies a customs duty for the items 1001 11 00, 1001 19 00, high quality common wheat of items ex 1001 99 00, 1002</w:t>
      </w:r>
      <w:r w:rsidR="00322BFE">
        <w:rPr>
          <w:rFonts w:eastAsia="Calibri"/>
          <w:noProof/>
          <w:lang w:eastAsia="en-GB"/>
        </w:rPr>
        <w:t> </w:t>
      </w:r>
      <w:r w:rsidRPr="00F82327">
        <w:rPr>
          <w:rFonts w:eastAsia="Calibri"/>
          <w:noProof/>
          <w:lang w:eastAsia="en-GB"/>
        </w:rPr>
        <w:t>10</w:t>
      </w:r>
      <w:r w:rsidR="00322BFE">
        <w:rPr>
          <w:rFonts w:eastAsia="Calibri"/>
          <w:noProof/>
          <w:lang w:eastAsia="en-GB"/>
        </w:rPr>
        <w:t> </w:t>
      </w:r>
      <w:r w:rsidRPr="00F82327">
        <w:rPr>
          <w:rFonts w:eastAsia="Calibri"/>
          <w:noProof/>
          <w:lang w:eastAsia="en-GB"/>
        </w:rPr>
        <w:t>00 and 1002 90 00, at a level and in a manner so that the duty</w:t>
      </w:r>
      <w:r w:rsidRPr="00F82327">
        <w:rPr>
          <w:rFonts w:eastAsia="Calibri"/>
          <w:noProof/>
          <w:lang w:eastAsia="en-GB"/>
        </w:rPr>
        <w:noBreakHyphen/>
        <w:t>paid import price for a specified cereal will not be greater than the effective intervention price, or if there is a modification of the current system, the effective support price, increased by</w:t>
      </w:r>
      <w:r w:rsidR="00322BFE">
        <w:rPr>
          <w:rFonts w:eastAsia="Calibri"/>
          <w:noProof/>
          <w:lang w:eastAsia="en-GB"/>
        </w:rPr>
        <w:t> </w:t>
      </w:r>
      <w:r w:rsidRPr="00F82327">
        <w:rPr>
          <w:rFonts w:eastAsia="Calibri"/>
          <w:noProof/>
          <w:lang w:eastAsia="en-GB"/>
        </w:rPr>
        <w:t>55</w:t>
      </w:r>
      <w:r w:rsidR="00322BFE">
        <w:rPr>
          <w:rFonts w:eastAsia="Calibri"/>
          <w:noProof/>
          <w:lang w:eastAsia="en-GB"/>
        </w:rPr>
        <w:t> </w:t>
      </w:r>
      <w:r w:rsidRPr="00F82327">
        <w:rPr>
          <w:rFonts w:eastAsia="Calibri"/>
          <w:noProof/>
          <w:lang w:eastAsia="en-GB"/>
        </w:rPr>
        <w:t>per</w:t>
      </w:r>
      <w:r w:rsidR="00322BFE">
        <w:rPr>
          <w:rFonts w:eastAsia="Calibri"/>
          <w:noProof/>
          <w:lang w:eastAsia="en-GB"/>
        </w:rPr>
        <w:t> </w:t>
      </w:r>
      <w:r w:rsidRPr="00F82327">
        <w:rPr>
          <w:rFonts w:eastAsia="Calibri"/>
          <w:noProof/>
          <w:lang w:eastAsia="en-GB"/>
        </w:rPr>
        <w:t xml:space="preserve">cent as set out </w:t>
      </w:r>
      <w:r w:rsidRPr="00F82327">
        <w:rPr>
          <w:rFonts w:eastAsia="Calibri"/>
          <w:bCs/>
          <w:noProof/>
          <w:lang w:eastAsia="en-GB"/>
        </w:rPr>
        <w:t>in Commission Regulation (EC) No 642/2010 of 20 July</w:t>
      </w:r>
      <w:r w:rsidR="00322BFE">
        <w:rPr>
          <w:rFonts w:eastAsia="Calibri"/>
          <w:bCs/>
          <w:noProof/>
          <w:lang w:eastAsia="en-GB"/>
        </w:rPr>
        <w:t> </w:t>
      </w:r>
      <w:r w:rsidRPr="00F82327">
        <w:rPr>
          <w:rFonts w:eastAsia="Calibri"/>
          <w:bCs/>
          <w:noProof/>
          <w:lang w:eastAsia="en-GB"/>
        </w:rPr>
        <w:t>2010 on rules of application (cereal sector import duties) of Council Regulation (EC) No</w:t>
      </w:r>
      <w:r w:rsidR="00322BFE">
        <w:rPr>
          <w:rFonts w:eastAsia="Calibri"/>
          <w:bCs/>
          <w:noProof/>
          <w:lang w:eastAsia="en-GB"/>
        </w:rPr>
        <w:t> </w:t>
      </w:r>
      <w:r w:rsidRPr="00F82327">
        <w:rPr>
          <w:rFonts w:eastAsia="Calibri"/>
          <w:bCs/>
          <w:noProof/>
          <w:lang w:eastAsia="en-GB"/>
        </w:rPr>
        <w:t>1234/2007</w:t>
      </w:r>
      <w:r w:rsidRPr="00F82327">
        <w:rPr>
          <w:rStyle w:val="FootnoteReference"/>
          <w:rFonts w:eastAsia="Calibri"/>
          <w:noProof/>
        </w:rPr>
        <w:footnoteReference w:id="1"/>
      </w:r>
      <w:r w:rsidRPr="00F82327">
        <w:rPr>
          <w:rFonts w:eastAsia="Calibri"/>
          <w:bCs/>
          <w:noProof/>
          <w:lang w:eastAsia="en-GB"/>
        </w:rPr>
        <w:t>, the European Union shall apply the tariff elimination staging category towards any calculated duty that would be applied as per the above regulation, as follows:</w:t>
      </w:r>
    </w:p>
    <w:p w:rsidR="003E3FFD" w:rsidRPr="00F82327" w:rsidRDefault="003E3FFD">
      <w:pPr>
        <w:widowControl/>
        <w:spacing w:line="240" w:lineRule="auto"/>
        <w:rPr>
          <w:rFonts w:eastAsia="Calibri"/>
          <w:bCs/>
          <w:noProof/>
          <w:lang w:eastAsia="en-GB"/>
        </w:rPr>
      </w:pPr>
      <w:r w:rsidRPr="00F82327">
        <w:rPr>
          <w:rFonts w:eastAsia="Calibri"/>
          <w:bCs/>
          <w:noProof/>
          <w:lang w:eastAsia="en-GB"/>
        </w:rPr>
        <w:br w:type="page"/>
      </w:r>
    </w:p>
    <w:p w:rsidR="00AB7D6B" w:rsidRPr="00F82327" w:rsidRDefault="00AB7D6B" w:rsidP="00AB7D6B">
      <w:pPr>
        <w:ind w:left="1134"/>
        <w:rPr>
          <w:rFonts w:eastAsia="Calibri"/>
          <w:bCs/>
          <w:noProof/>
          <w:lang w:eastAsia="en-GB"/>
        </w:rPr>
      </w:pPr>
    </w:p>
    <w:tbl>
      <w:tblPr>
        <w:tblW w:w="4418" w:type="pct"/>
        <w:tblInd w:w="1104"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E878A5">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lang w:eastAsia="en-CA"/>
              </w:rPr>
            </w:pPr>
            <w:r w:rsidRPr="00F82327">
              <w:rPr>
                <w:b/>
                <w:bCs/>
                <w:noProof/>
                <w:szCs w:val="24"/>
                <w:lang w:eastAsia="en-CA"/>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lang w:eastAsia="en-CA"/>
              </w:rPr>
            </w:pPr>
            <w:r w:rsidRPr="00F82327">
              <w:rPr>
                <w:b/>
                <w:bCs/>
                <w:noProof/>
                <w:szCs w:val="24"/>
                <w:lang w:eastAsia="en-CA"/>
              </w:rPr>
              <w:t>Applied Duty</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1</w:t>
            </w:r>
          </w:p>
        </w:tc>
        <w:tc>
          <w:tcPr>
            <w:tcW w:w="3229" w:type="pct"/>
            <w:tcBorders>
              <w:top w:val="outset" w:sz="6" w:space="0" w:color="auto"/>
              <w:left w:val="outset" w:sz="6" w:space="0" w:color="auto"/>
              <w:bottom w:val="outset" w:sz="6" w:space="0" w:color="auto"/>
            </w:tcBorders>
            <w:shd w:val="clear" w:color="auto" w:fill="FFFFFF"/>
            <w:vAlign w:val="center"/>
          </w:tcPr>
          <w:p w:rsidR="00AB7D6B" w:rsidRPr="00F82327" w:rsidRDefault="00AB7D6B" w:rsidP="004E1C18">
            <w:pPr>
              <w:spacing w:before="60" w:after="60" w:line="240" w:lineRule="auto"/>
              <w:ind w:left="98"/>
              <w:rPr>
                <w:noProof/>
                <w:szCs w:val="24"/>
                <w:lang w:eastAsia="en-CA"/>
              </w:rPr>
            </w:pPr>
            <w:r w:rsidRPr="00F82327">
              <w:rPr>
                <w:noProof/>
                <w:szCs w:val="24"/>
                <w:lang w:eastAsia="en-CA"/>
              </w:rPr>
              <w:t>87.5 %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2</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75 %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3</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62.5 %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4</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50 %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5</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37.5 %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3E3FFD" w:rsidP="004E1C18">
            <w:pPr>
              <w:spacing w:before="60" w:after="60" w:line="240" w:lineRule="auto"/>
              <w:ind w:left="172"/>
              <w:rPr>
                <w:noProof/>
                <w:szCs w:val="24"/>
                <w:lang w:eastAsia="en-CA"/>
              </w:rPr>
            </w:pPr>
            <w:r w:rsidRPr="00F82327">
              <w:rPr>
                <w:noProof/>
                <w:szCs w:val="24"/>
                <w:lang w:eastAsia="en-CA"/>
              </w:rPr>
              <w:t>6</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25 %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7</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12.5 % of the duty calculated as per EC Reg. 642/2010</w:t>
            </w:r>
          </w:p>
        </w:tc>
      </w:tr>
      <w:tr w:rsidR="00AB7D6B" w:rsidRPr="00F82327" w:rsidTr="00E878A5">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lang w:eastAsia="en-CA"/>
              </w:rPr>
            </w:pPr>
            <w:r w:rsidRPr="00F82327">
              <w:rPr>
                <w:noProof/>
                <w:szCs w:val="24"/>
                <w:lang w:eastAsia="en-CA"/>
              </w:rPr>
              <w:t>8 and each subsequent year</w:t>
            </w:r>
          </w:p>
        </w:tc>
        <w:tc>
          <w:tcPr>
            <w:tcW w:w="3229" w:type="pct"/>
            <w:tcBorders>
              <w:top w:val="outset" w:sz="6" w:space="0" w:color="auto"/>
              <w:left w:val="outset" w:sz="6" w:space="0" w:color="auto"/>
              <w:bottom w:val="outset" w:sz="6" w:space="0" w:color="auto"/>
            </w:tcBorders>
            <w:shd w:val="clear" w:color="auto" w:fill="FFFFFF"/>
          </w:tcPr>
          <w:p w:rsidR="00AB7D6B" w:rsidRPr="00F82327" w:rsidRDefault="00AB7D6B" w:rsidP="004E1C18">
            <w:pPr>
              <w:spacing w:before="60" w:after="60" w:line="240" w:lineRule="auto"/>
              <w:ind w:left="98"/>
              <w:rPr>
                <w:noProof/>
                <w:szCs w:val="24"/>
                <w:lang w:eastAsia="en-GB"/>
              </w:rPr>
            </w:pPr>
            <w:r w:rsidRPr="00F82327">
              <w:rPr>
                <w:noProof/>
                <w:szCs w:val="24"/>
                <w:lang w:eastAsia="en-CA"/>
              </w:rPr>
              <w:t>0 % of the duty calculated as per EC Reg. 642/2010</w:t>
            </w:r>
            <w:r w:rsidRPr="00F82327">
              <w:rPr>
                <w:noProof/>
                <w:szCs w:val="24"/>
                <w:lang w:eastAsia="en-CA"/>
              </w:rPr>
              <w:br/>
              <w:t>(duty-free)</w:t>
            </w:r>
          </w:p>
        </w:tc>
      </w:tr>
    </w:tbl>
    <w:p w:rsidR="00AB7D6B" w:rsidRPr="00F82327" w:rsidRDefault="00AB7D6B" w:rsidP="00AB7D6B">
      <w:pPr>
        <w:spacing w:line="240" w:lineRule="auto"/>
        <w:rPr>
          <w:iCs/>
          <w:noProof/>
          <w:szCs w:val="24"/>
          <w:lang w:eastAsia="en-GB"/>
        </w:rPr>
      </w:pPr>
    </w:p>
    <w:p w:rsidR="00AB7D6B" w:rsidRPr="00F82327" w:rsidRDefault="00AB7D6B" w:rsidP="00AB7D6B">
      <w:pPr>
        <w:ind w:left="1134" w:hanging="567"/>
        <w:rPr>
          <w:rFonts w:eastAsia="Calibri"/>
          <w:noProof/>
          <w:szCs w:val="22"/>
          <w:lang w:eastAsia="en-GB"/>
        </w:rPr>
      </w:pPr>
      <w:r w:rsidRPr="00F82327">
        <w:rPr>
          <w:iCs/>
          <w:noProof/>
          <w:szCs w:val="24"/>
          <w:lang w:eastAsia="en-GB"/>
        </w:rPr>
        <w:t>(e)</w:t>
      </w:r>
      <w:r w:rsidRPr="00F82327">
        <w:rPr>
          <w:iCs/>
          <w:noProof/>
          <w:szCs w:val="24"/>
          <w:lang w:eastAsia="en-GB"/>
        </w:rPr>
        <w:tab/>
        <w:t xml:space="preserve">duties on </w:t>
      </w:r>
      <w:r w:rsidRPr="00F82327">
        <w:rPr>
          <w:rFonts w:eastAsia="Calibri"/>
          <w:noProof/>
          <w:szCs w:val="22"/>
          <w:lang w:eastAsia="en-GB"/>
        </w:rPr>
        <w:t>originating goods provided for in the items in staging category S in a Party's Schedule shall be removed in three equal stages beginning on the fifth anniversary of the date of entry into force of this Agreement, and these goods shall be duty-free, effective January 1 of year 8;</w:t>
      </w:r>
    </w:p>
    <w:p w:rsidR="00AB7D6B" w:rsidRPr="00F82327" w:rsidRDefault="00AB7D6B" w:rsidP="00AB7D6B">
      <w:pPr>
        <w:ind w:left="1134" w:hanging="567"/>
        <w:rPr>
          <w:rFonts w:eastAsia="Calibri"/>
          <w:noProof/>
          <w:szCs w:val="22"/>
          <w:lang w:eastAsia="en-GB"/>
        </w:rPr>
      </w:pPr>
    </w:p>
    <w:p w:rsidR="00AB7D6B" w:rsidRPr="00F82327" w:rsidRDefault="00AB7D6B" w:rsidP="00AB7D6B">
      <w:pPr>
        <w:ind w:left="1134" w:hanging="567"/>
        <w:rPr>
          <w:rFonts w:eastAsia="Calibri"/>
          <w:noProof/>
          <w:szCs w:val="22"/>
          <w:lang w:eastAsia="en-GB"/>
        </w:rPr>
      </w:pPr>
      <w:r w:rsidRPr="00F82327">
        <w:rPr>
          <w:rFonts w:eastAsia="Calibri"/>
          <w:noProof/>
          <w:szCs w:val="22"/>
          <w:lang w:eastAsia="en-GB"/>
        </w:rPr>
        <w:t>(f)</w:t>
      </w:r>
      <w:r w:rsidRPr="00F82327">
        <w:rPr>
          <w:rFonts w:eastAsia="Calibri"/>
          <w:noProof/>
          <w:szCs w:val="22"/>
          <w:lang w:eastAsia="en-GB"/>
        </w:rPr>
        <w:tab/>
        <w:t xml:space="preserve">the </w:t>
      </w:r>
      <w:r w:rsidRPr="00F82327">
        <w:rPr>
          <w:rFonts w:eastAsia="Calibri"/>
          <w:i/>
          <w:noProof/>
          <w:szCs w:val="22"/>
          <w:lang w:eastAsia="en-GB"/>
        </w:rPr>
        <w:t>ad valorem</w:t>
      </w:r>
      <w:r w:rsidRPr="00F82327">
        <w:rPr>
          <w:rFonts w:eastAsia="Calibri"/>
          <w:noProof/>
          <w:szCs w:val="22"/>
          <w:lang w:eastAsia="en-GB"/>
        </w:rPr>
        <w:t xml:space="preserve"> component of the customs duties on originating goods provided for in the items in staging category "AV0+EP" in a Party's Schedule shall be eliminated upon the date of entry into force of this Agreement; the tariff elimination shall apply to the </w:t>
      </w:r>
      <w:r w:rsidRPr="00F82327">
        <w:rPr>
          <w:rFonts w:eastAsia="Calibri"/>
          <w:i/>
          <w:noProof/>
          <w:szCs w:val="22"/>
          <w:lang w:eastAsia="en-GB"/>
        </w:rPr>
        <w:t>ad valorem</w:t>
      </w:r>
      <w:r w:rsidRPr="00F82327">
        <w:rPr>
          <w:rFonts w:eastAsia="Calibri"/>
          <w:noProof/>
          <w:szCs w:val="22"/>
          <w:lang w:eastAsia="en-GB"/>
        </w:rPr>
        <w:t xml:space="preserve"> duty only; the specific duty resulting from the entry price system applicable for these originating goods shall be maintained; and</w:t>
      </w:r>
    </w:p>
    <w:p w:rsidR="00AB7D6B" w:rsidRPr="00F82327" w:rsidRDefault="00AB7D6B" w:rsidP="00AB7D6B">
      <w:pPr>
        <w:ind w:left="1134" w:hanging="567"/>
        <w:rPr>
          <w:rFonts w:eastAsia="Calibri"/>
          <w:noProof/>
          <w:szCs w:val="22"/>
          <w:lang w:eastAsia="en-GB"/>
        </w:rPr>
      </w:pPr>
    </w:p>
    <w:p w:rsidR="00AB7D6B" w:rsidRPr="00F82327" w:rsidRDefault="00AB7D6B" w:rsidP="00AB7D6B">
      <w:pPr>
        <w:ind w:left="1134" w:hanging="567"/>
        <w:rPr>
          <w:iCs/>
          <w:noProof/>
          <w:szCs w:val="24"/>
          <w:lang w:eastAsia="en-GB"/>
        </w:rPr>
      </w:pPr>
      <w:r w:rsidRPr="00F82327">
        <w:rPr>
          <w:rFonts w:eastAsia="Calibri"/>
          <w:noProof/>
          <w:szCs w:val="22"/>
          <w:lang w:eastAsia="en-GB"/>
        </w:rPr>
        <w:t>(g)</w:t>
      </w:r>
      <w:r w:rsidRPr="00F82327">
        <w:rPr>
          <w:rFonts w:eastAsia="Calibri"/>
          <w:noProof/>
          <w:szCs w:val="22"/>
          <w:lang w:eastAsia="en-GB"/>
        </w:rPr>
        <w:tab/>
        <w:t>duties on originating goods provided for in the items in staging category E in a Party's Schedule are exempt</w:t>
      </w:r>
      <w:r w:rsidRPr="00F82327">
        <w:rPr>
          <w:noProof/>
          <w:szCs w:val="24"/>
          <w:lang w:eastAsia="en-GB"/>
        </w:rPr>
        <w:t xml:space="preserve"> from tariff elimination.</w:t>
      </w:r>
    </w:p>
    <w:p w:rsidR="00AB7D6B" w:rsidRPr="00F82327" w:rsidRDefault="00AB7D6B" w:rsidP="00AB7D6B">
      <w:pPr>
        <w:ind w:left="1134" w:hanging="567"/>
        <w:rPr>
          <w:iCs/>
          <w:noProof/>
          <w:szCs w:val="24"/>
          <w:lang w:eastAsia="en-GB"/>
        </w:rPr>
      </w:pPr>
    </w:p>
    <w:p w:rsidR="003E3FFD" w:rsidRPr="00F82327" w:rsidRDefault="003E3FFD">
      <w:pPr>
        <w:widowControl/>
        <w:spacing w:line="240" w:lineRule="auto"/>
        <w:rPr>
          <w:noProof/>
          <w:szCs w:val="24"/>
          <w:lang w:eastAsia="en-GB"/>
        </w:rPr>
      </w:pPr>
      <w:r w:rsidRPr="00F82327">
        <w:rPr>
          <w:noProof/>
          <w:szCs w:val="24"/>
          <w:lang w:eastAsia="en-GB"/>
        </w:rPr>
        <w:br w:type="page"/>
      </w:r>
    </w:p>
    <w:p w:rsidR="00AB7D6B" w:rsidRPr="00F82327" w:rsidRDefault="00AB7D6B" w:rsidP="00AB7D6B">
      <w:pPr>
        <w:ind w:left="567" w:hanging="567"/>
        <w:rPr>
          <w:bCs/>
          <w:noProof/>
          <w:szCs w:val="24"/>
          <w:lang w:eastAsia="en-GB"/>
        </w:rPr>
      </w:pPr>
      <w:r w:rsidRPr="00F82327">
        <w:rPr>
          <w:noProof/>
          <w:szCs w:val="24"/>
          <w:lang w:eastAsia="en-GB"/>
        </w:rPr>
        <w:lastRenderedPageBreak/>
        <w:t>4.</w:t>
      </w:r>
      <w:r w:rsidRPr="00F82327">
        <w:rPr>
          <w:noProof/>
          <w:szCs w:val="24"/>
          <w:lang w:eastAsia="en-GB"/>
        </w:rPr>
        <w:tab/>
        <w:t xml:space="preserve">The base rate for </w:t>
      </w:r>
      <w:r w:rsidRPr="00F82327">
        <w:rPr>
          <w:bCs/>
          <w:noProof/>
          <w:szCs w:val="24"/>
          <w:lang w:eastAsia="en-GB"/>
        </w:rPr>
        <w:t>determining the interim staged rate of customs duty for an item shall be the MFN customs du</w:t>
      </w:r>
      <w:r w:rsidR="00E878A5" w:rsidRPr="00F82327">
        <w:rPr>
          <w:bCs/>
          <w:noProof/>
          <w:szCs w:val="24"/>
          <w:lang w:eastAsia="en-GB"/>
        </w:rPr>
        <w:t>ty rate applied on 9 June 2009.</w:t>
      </w:r>
    </w:p>
    <w:p w:rsidR="00AB7D6B" w:rsidRPr="00F82327" w:rsidRDefault="00AB7D6B" w:rsidP="00AB7D6B">
      <w:pPr>
        <w:ind w:left="567" w:hanging="567"/>
        <w:rPr>
          <w:bCs/>
          <w:noProof/>
          <w:szCs w:val="24"/>
          <w:lang w:eastAsia="en-GB"/>
        </w:rPr>
      </w:pPr>
    </w:p>
    <w:p w:rsidR="00AB7D6B" w:rsidRPr="00F82327" w:rsidRDefault="00AB7D6B" w:rsidP="00AB7D6B">
      <w:pPr>
        <w:ind w:left="567" w:hanging="567"/>
        <w:rPr>
          <w:noProof/>
          <w:szCs w:val="24"/>
          <w:lang w:eastAsia="en-GB"/>
        </w:rPr>
      </w:pPr>
      <w:r w:rsidRPr="00F82327">
        <w:rPr>
          <w:bCs/>
          <w:noProof/>
          <w:szCs w:val="24"/>
          <w:lang w:eastAsia="en-GB"/>
        </w:rPr>
        <w:t>5.</w:t>
      </w:r>
      <w:r w:rsidRPr="00F82327">
        <w:rPr>
          <w:bCs/>
          <w:noProof/>
          <w:szCs w:val="24"/>
          <w:lang w:eastAsia="en-GB"/>
        </w:rPr>
        <w:tab/>
        <w:t>For the purpose of the elimination of customs duties in accordance with Article 2.4, interim staged rates shall</w:t>
      </w:r>
      <w:r w:rsidRPr="00F82327">
        <w:rPr>
          <w:noProof/>
          <w:szCs w:val="24"/>
          <w:lang w:eastAsia="en-GB"/>
        </w:rPr>
        <w:t xml:space="preserve"> be rounded down at least to the nearest tenth of a percentage point or, if the rate of duty is expressed in monetary units, at least to the nearest 0.001 of the official monetary unit of the Party.</w:t>
      </w:r>
    </w:p>
    <w:p w:rsidR="00AB7D6B" w:rsidRPr="00F82327" w:rsidRDefault="00AB7D6B" w:rsidP="00AB7D6B">
      <w:pPr>
        <w:ind w:left="567" w:hanging="567"/>
        <w:rPr>
          <w:noProof/>
          <w:szCs w:val="24"/>
          <w:lang w:eastAsia="en-GB"/>
        </w:rPr>
      </w:pPr>
    </w:p>
    <w:p w:rsidR="00AB7D6B" w:rsidRPr="00F82327" w:rsidRDefault="00AB7D6B" w:rsidP="00EB351D">
      <w:pPr>
        <w:rPr>
          <w:noProof/>
          <w:lang w:eastAsia="en-GB"/>
        </w:rPr>
      </w:pPr>
      <w:r w:rsidRPr="00F82327">
        <w:rPr>
          <w:noProof/>
          <w:lang w:eastAsia="en-GB"/>
        </w:rPr>
        <w:t>Tariff Rate Quotas</w:t>
      </w:r>
    </w:p>
    <w:p w:rsidR="00AB7D6B" w:rsidRPr="00F82327" w:rsidRDefault="00AB7D6B" w:rsidP="00AB7D6B">
      <w:pPr>
        <w:rPr>
          <w:noProof/>
          <w:lang w:eastAsia="en-GB"/>
        </w:rPr>
      </w:pPr>
    </w:p>
    <w:p w:rsidR="00AB7D6B" w:rsidRPr="00F82327" w:rsidRDefault="00AB7D6B" w:rsidP="00EB351D">
      <w:pPr>
        <w:ind w:left="567" w:hanging="567"/>
        <w:rPr>
          <w:noProof/>
          <w:szCs w:val="24"/>
          <w:lang w:eastAsia="en-GB"/>
        </w:rPr>
      </w:pPr>
      <w:r w:rsidRPr="00F82327">
        <w:rPr>
          <w:noProof/>
          <w:szCs w:val="24"/>
          <w:lang w:eastAsia="en-GB"/>
        </w:rPr>
        <w:t>6.</w:t>
      </w:r>
      <w:r w:rsidRPr="00F82327">
        <w:rPr>
          <w:noProof/>
          <w:szCs w:val="24"/>
          <w:lang w:eastAsia="en-GB"/>
        </w:rPr>
        <w:tab/>
      </w:r>
      <w:r w:rsidRPr="00F82327">
        <w:rPr>
          <w:bCs/>
          <w:noProof/>
          <w:szCs w:val="24"/>
          <w:lang w:eastAsia="en-GB"/>
        </w:rPr>
        <w:t xml:space="preserve">For the administration in </w:t>
      </w:r>
      <w:r w:rsidRPr="00F82327">
        <w:rPr>
          <w:noProof/>
          <w:szCs w:val="24"/>
          <w:lang w:eastAsia="en-GB"/>
        </w:rPr>
        <w:t>Year</w:t>
      </w:r>
      <w:r w:rsidRPr="00F82327">
        <w:rPr>
          <w:bCs/>
          <w:noProof/>
          <w:szCs w:val="24"/>
          <w:lang w:eastAsia="en-GB"/>
        </w:rPr>
        <w:t xml:space="preserve"> 1 of each tariff rate quota established under this Agreement, the Parties shall calculate the volume of that tariff rate quota by discounting the prorated volume corresponding to the period running between January 1 and the date of entry into force of this Agreement. </w:t>
      </w:r>
      <w:r w:rsidRPr="00F82327">
        <w:rPr>
          <w:noProof/>
          <w:szCs w:val="24"/>
          <w:lang w:eastAsia="en-GB"/>
        </w:rPr>
        <w:t>This calculated in-quota quantity shall be made available on the date this Agreement enters into force.</w:t>
      </w:r>
    </w:p>
    <w:p w:rsidR="00AB7D6B" w:rsidRPr="00F82327" w:rsidRDefault="00AB7D6B" w:rsidP="00AB7D6B">
      <w:pPr>
        <w:ind w:left="567" w:hanging="567"/>
        <w:rPr>
          <w:noProof/>
          <w:szCs w:val="24"/>
          <w:lang w:eastAsia="en-GB"/>
        </w:rPr>
      </w:pPr>
    </w:p>
    <w:p w:rsidR="00AB7D6B" w:rsidRPr="00F82327" w:rsidRDefault="00AB7D6B" w:rsidP="00AB7D6B">
      <w:pPr>
        <w:rPr>
          <w:noProof/>
          <w:szCs w:val="24"/>
          <w:lang w:eastAsia="en-GB"/>
        </w:rPr>
      </w:pPr>
      <w:r w:rsidRPr="00F82327">
        <w:rPr>
          <w:noProof/>
          <w:szCs w:val="24"/>
          <w:lang w:eastAsia="en-GB"/>
        </w:rPr>
        <w:t>Processed shrimps transitional tariff rate quota</w:t>
      </w:r>
    </w:p>
    <w:p w:rsidR="00AB7D6B" w:rsidRPr="00F82327" w:rsidRDefault="00AB7D6B" w:rsidP="00AB7D6B">
      <w:pPr>
        <w:rPr>
          <w:noProof/>
          <w:szCs w:val="24"/>
          <w:lang w:eastAsia="en-GB"/>
        </w:rPr>
      </w:pPr>
    </w:p>
    <w:p w:rsidR="00AB7D6B" w:rsidRPr="00F82327" w:rsidRDefault="00AB7D6B" w:rsidP="00AB7D6B">
      <w:pPr>
        <w:tabs>
          <w:tab w:val="left" w:pos="567"/>
        </w:tabs>
        <w:ind w:left="1134" w:hanging="1134"/>
        <w:rPr>
          <w:rFonts w:eastAsia="Calibri"/>
          <w:noProof/>
          <w:szCs w:val="22"/>
          <w:lang w:eastAsia="en-GB"/>
        </w:rPr>
      </w:pPr>
      <w:r w:rsidRPr="00F82327">
        <w:rPr>
          <w:rFonts w:eastAsia="Calibri"/>
          <w:noProof/>
          <w:szCs w:val="22"/>
          <w:lang w:eastAsia="en-GB"/>
        </w:rPr>
        <w:t>7.</w:t>
      </w:r>
      <w:r w:rsidRPr="00F82327">
        <w:rPr>
          <w:rFonts w:eastAsia="Calibri"/>
          <w:noProof/>
          <w:szCs w:val="22"/>
          <w:lang w:eastAsia="en-GB"/>
        </w:rPr>
        <w:tab/>
        <w:t>(a)</w:t>
      </w:r>
      <w:r w:rsidRPr="00F82327">
        <w:rPr>
          <w:rFonts w:eastAsia="Calibri"/>
          <w:noProof/>
          <w:szCs w:val="22"/>
          <w:lang w:eastAsia="en-GB"/>
        </w:rPr>
        <w:tab/>
        <w:t xml:space="preserve">Originating goods in the following aggregate quantities and provided for in items </w:t>
      </w:r>
      <w:r w:rsidRPr="00F82327">
        <w:rPr>
          <w:bCs/>
          <w:noProof/>
          <w:szCs w:val="24"/>
          <w:lang w:eastAsia="en-GB"/>
        </w:rPr>
        <w:t>with</w:t>
      </w:r>
      <w:r w:rsidRPr="00F82327">
        <w:rPr>
          <w:rFonts w:eastAsia="Calibri"/>
          <w:noProof/>
          <w:szCs w:val="22"/>
          <w:lang w:eastAsia="en-GB"/>
        </w:rPr>
        <w:t xml:space="preserve"> </w:t>
      </w:r>
      <w:r w:rsidRPr="00F82327">
        <w:rPr>
          <w:bCs/>
          <w:noProof/>
          <w:szCs w:val="24"/>
          <w:lang w:eastAsia="en-GB"/>
        </w:rPr>
        <w:t>the</w:t>
      </w:r>
      <w:r w:rsidRPr="00F82327">
        <w:rPr>
          <w:rFonts w:eastAsia="Calibri"/>
          <w:noProof/>
          <w:szCs w:val="22"/>
          <w:lang w:eastAsia="en-GB"/>
        </w:rPr>
        <w:t xml:space="preserve"> notation "TQShrimps" in the European Union's Schedule to this Annex and listed in subparagraph (d) shall be duty-free in the years specified below:</w:t>
      </w:r>
    </w:p>
    <w:p w:rsidR="00AB7D6B" w:rsidRPr="00F82327" w:rsidRDefault="00AB7D6B" w:rsidP="00AB7D6B">
      <w:pPr>
        <w:tabs>
          <w:tab w:val="left" w:pos="567"/>
        </w:tabs>
        <w:ind w:left="1134" w:hanging="1134"/>
        <w:rPr>
          <w:rFonts w:eastAsia="Calibri"/>
          <w:b/>
          <w:noProof/>
          <w:szCs w:val="22"/>
          <w:lang w:eastAsia="en-GB"/>
        </w:rPr>
      </w:pPr>
    </w:p>
    <w:tbl>
      <w:tblPr>
        <w:tblW w:w="4418" w:type="pct"/>
        <w:tblInd w:w="1104"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lang w:eastAsia="en-CA"/>
              </w:rPr>
            </w:pPr>
            <w:r w:rsidRPr="00F82327">
              <w:rPr>
                <w:b/>
                <w:bCs/>
                <w:noProof/>
                <w:szCs w:val="24"/>
                <w:lang w:eastAsia="en-CA"/>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1F0CC7">
            <w:pPr>
              <w:spacing w:before="60" w:after="60" w:line="240" w:lineRule="auto"/>
              <w:jc w:val="center"/>
              <w:rPr>
                <w:b/>
                <w:bCs/>
                <w:noProof/>
                <w:szCs w:val="24"/>
                <w:lang w:eastAsia="en-CA"/>
              </w:rPr>
            </w:pPr>
            <w:r w:rsidRPr="00F82327">
              <w:rPr>
                <w:b/>
                <w:bCs/>
                <w:noProof/>
                <w:szCs w:val="24"/>
                <w:lang w:eastAsia="en-CA"/>
              </w:rPr>
              <w:t>Aggregate Annual Quantity</w:t>
            </w:r>
            <w:r w:rsidRPr="00F82327">
              <w:rPr>
                <w:b/>
                <w:bCs/>
                <w:noProof/>
                <w:szCs w:val="24"/>
                <w:lang w:eastAsia="en-CA"/>
              </w:rPr>
              <w:br/>
              <w:t>(Metric Tonnes</w:t>
            </w:r>
            <w:r w:rsidR="001F0CC7" w:rsidRPr="00F82327">
              <w:rPr>
                <w:rStyle w:val="FootnoteReference"/>
                <w:rFonts w:eastAsia="Calibri"/>
              </w:rPr>
              <w:footnoteReference w:id="2"/>
            </w:r>
            <w:r w:rsidRPr="00F82327">
              <w:rPr>
                <w:b/>
                <w:bCs/>
                <w:noProof/>
                <w:szCs w:val="24"/>
                <w:lang w:eastAsia="en-CA"/>
              </w:rPr>
              <w:t>)</w:t>
            </w:r>
          </w:p>
        </w:tc>
      </w:tr>
      <w:tr w:rsidR="00AB7D6B" w:rsidRPr="00F82327" w:rsidTr="004E1C18">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ight="137"/>
              <w:rPr>
                <w:noProof/>
                <w:szCs w:val="24"/>
                <w:lang w:eastAsia="en-CA"/>
              </w:rPr>
            </w:pPr>
            <w:r w:rsidRPr="00F82327">
              <w:rPr>
                <w:noProof/>
                <w:szCs w:val="24"/>
                <w:lang w:eastAsia="en-CA"/>
              </w:rPr>
              <w:t>1 through to 7</w:t>
            </w:r>
          </w:p>
        </w:tc>
        <w:tc>
          <w:tcPr>
            <w:tcW w:w="3229" w:type="pct"/>
            <w:tcBorders>
              <w:top w:val="outset" w:sz="6" w:space="0" w:color="auto"/>
              <w:left w:val="outset" w:sz="6" w:space="0" w:color="auto"/>
              <w:bottom w:val="outset" w:sz="6" w:space="0" w:color="auto"/>
            </w:tcBorders>
            <w:shd w:val="clear" w:color="auto" w:fill="FFFFFF"/>
            <w:vAlign w:val="center"/>
          </w:tcPr>
          <w:p w:rsidR="00AB7D6B" w:rsidRPr="00F82327" w:rsidRDefault="00AB7D6B" w:rsidP="004E1C18">
            <w:pPr>
              <w:spacing w:before="60" w:after="60" w:line="240" w:lineRule="auto"/>
              <w:ind w:left="240" w:right="4370"/>
              <w:jc w:val="right"/>
              <w:rPr>
                <w:noProof/>
                <w:szCs w:val="24"/>
                <w:lang w:eastAsia="en-CA"/>
              </w:rPr>
            </w:pPr>
            <w:r w:rsidRPr="00F82327">
              <w:rPr>
                <w:noProof/>
                <w:szCs w:val="24"/>
                <w:lang w:eastAsia="en-CA"/>
              </w:rPr>
              <w:t>23,000</w:t>
            </w:r>
          </w:p>
        </w:tc>
      </w:tr>
    </w:tbl>
    <w:p w:rsidR="00AB7D6B" w:rsidRPr="00F82327" w:rsidRDefault="00AB7D6B" w:rsidP="00AB7D6B">
      <w:pPr>
        <w:ind w:left="567"/>
        <w:rPr>
          <w:rFonts w:eastAsia="Calibri"/>
          <w:noProof/>
          <w:lang w:eastAsia="en-GB"/>
        </w:rPr>
      </w:pPr>
    </w:p>
    <w:p w:rsidR="003E3FFD" w:rsidRPr="00F82327" w:rsidRDefault="003E3FFD">
      <w:pPr>
        <w:widowControl/>
        <w:spacing w:line="240" w:lineRule="auto"/>
        <w:rPr>
          <w:rFonts w:eastAsia="Calibri"/>
          <w:noProof/>
          <w:lang w:eastAsia="en-GB"/>
        </w:rPr>
      </w:pPr>
      <w:r w:rsidRPr="00F82327">
        <w:rPr>
          <w:rFonts w:eastAsia="Calibri"/>
          <w:noProof/>
          <w:lang w:eastAsia="en-GB"/>
        </w:rPr>
        <w:br w:type="page"/>
      </w:r>
    </w:p>
    <w:p w:rsidR="00AB7D6B" w:rsidRPr="00F82327" w:rsidRDefault="00AB7D6B" w:rsidP="00AB7D6B">
      <w:pPr>
        <w:ind w:left="567"/>
        <w:rPr>
          <w:rFonts w:eastAsia="Calibri"/>
          <w:b/>
          <w:noProof/>
          <w:lang w:eastAsia="en-GB"/>
        </w:rPr>
      </w:pPr>
      <w:r w:rsidRPr="00F82327">
        <w:rPr>
          <w:rFonts w:eastAsia="Calibri"/>
          <w:noProof/>
          <w:lang w:eastAsia="en-GB"/>
        </w:rPr>
        <w:lastRenderedPageBreak/>
        <w:t>(b)</w:t>
      </w:r>
      <w:r w:rsidRPr="00F82327">
        <w:rPr>
          <w:rFonts w:eastAsia="Calibri"/>
          <w:noProof/>
          <w:lang w:eastAsia="en-GB"/>
        </w:rPr>
        <w:tab/>
        <w:t>The European Union shall:</w:t>
      </w:r>
    </w:p>
    <w:p w:rsidR="00AB7D6B" w:rsidRPr="00F82327" w:rsidRDefault="00AB7D6B" w:rsidP="00AB7D6B">
      <w:pPr>
        <w:ind w:left="567"/>
        <w:rPr>
          <w:rFonts w:eastAsia="Calibri"/>
          <w:b/>
          <w:noProof/>
          <w:lang w:eastAsia="en-GB"/>
        </w:rPr>
      </w:pPr>
    </w:p>
    <w:p w:rsidR="00AB7D6B" w:rsidRPr="00F82327" w:rsidRDefault="00AB7D6B" w:rsidP="004E1C18">
      <w:pPr>
        <w:ind w:left="1701" w:hanging="567"/>
        <w:rPr>
          <w:rFonts w:eastAsia="Calibri"/>
          <w:b/>
          <w:noProof/>
          <w:lang w:eastAsia="en-GB"/>
        </w:rPr>
      </w:pPr>
      <w:r w:rsidRPr="00F82327">
        <w:rPr>
          <w:rFonts w:eastAsia="Calibri"/>
          <w:noProof/>
          <w:lang w:eastAsia="en-GB"/>
        </w:rPr>
        <w:t>(i)</w:t>
      </w:r>
      <w:r w:rsidRPr="00F82327">
        <w:rPr>
          <w:rFonts w:eastAsia="Calibri"/>
          <w:noProof/>
          <w:lang w:eastAsia="en-GB"/>
        </w:rPr>
        <w:tab/>
        <w:t>administer this tariff rate quota on a first-come first-served basis;</w:t>
      </w:r>
    </w:p>
    <w:p w:rsidR="00AB7D6B" w:rsidRPr="00F82327" w:rsidRDefault="00AB7D6B" w:rsidP="00AB7D6B">
      <w:pPr>
        <w:ind w:left="1701" w:hanging="567"/>
        <w:rPr>
          <w:rFonts w:eastAsia="Calibri"/>
          <w:b/>
          <w:noProof/>
          <w:lang w:eastAsia="en-GB"/>
        </w:rPr>
      </w:pPr>
    </w:p>
    <w:p w:rsidR="00AB7D6B" w:rsidRPr="00F82327" w:rsidRDefault="00AB7D6B" w:rsidP="00AB7D6B">
      <w:pPr>
        <w:ind w:left="1701" w:hanging="567"/>
        <w:rPr>
          <w:rFonts w:eastAsia="Calibri"/>
          <w:b/>
          <w:noProof/>
          <w:lang w:eastAsia="en-GB"/>
        </w:rPr>
      </w:pPr>
      <w:r w:rsidRPr="00F82327">
        <w:rPr>
          <w:rFonts w:eastAsia="Calibri"/>
          <w:noProof/>
          <w:lang w:eastAsia="en-GB"/>
        </w:rPr>
        <w:t>(ii)</w:t>
      </w:r>
      <w:r w:rsidRPr="00F82327">
        <w:rPr>
          <w:rFonts w:eastAsia="Calibri"/>
          <w:noProof/>
          <w:lang w:eastAsia="en-GB"/>
        </w:rPr>
        <w:tab/>
        <w:t>administer this tariff rate quota on a calendar year basis with the full in</w:t>
      </w:r>
      <w:r w:rsidRPr="00F82327">
        <w:rPr>
          <w:rFonts w:eastAsia="Calibri"/>
          <w:noProof/>
          <w:lang w:eastAsia="en-GB"/>
        </w:rPr>
        <w:noBreakHyphen/>
        <w:t>quota quantity to be made available on January 1 of each year; and</w:t>
      </w:r>
    </w:p>
    <w:p w:rsidR="00AB7D6B" w:rsidRPr="00F82327" w:rsidRDefault="00AB7D6B" w:rsidP="00AB7D6B">
      <w:pPr>
        <w:ind w:left="1701" w:hanging="567"/>
        <w:rPr>
          <w:rFonts w:eastAsia="Calibri"/>
          <w:b/>
          <w:noProof/>
          <w:lang w:eastAsia="en-GB"/>
        </w:rPr>
      </w:pPr>
    </w:p>
    <w:p w:rsidR="00AB7D6B" w:rsidRPr="00F82327" w:rsidRDefault="00AB7D6B" w:rsidP="00AB7D6B">
      <w:pPr>
        <w:ind w:left="1701" w:hanging="567"/>
        <w:rPr>
          <w:rFonts w:eastAsia="Calibri"/>
          <w:noProof/>
          <w:lang w:eastAsia="en-GB"/>
        </w:rPr>
      </w:pPr>
      <w:r w:rsidRPr="00F82327">
        <w:rPr>
          <w:rFonts w:eastAsia="Calibri"/>
          <w:noProof/>
          <w:lang w:eastAsia="en-GB"/>
        </w:rPr>
        <w:t>(iii)</w:t>
      </w:r>
      <w:r w:rsidRPr="00F82327">
        <w:rPr>
          <w:rFonts w:eastAsia="Calibri"/>
          <w:noProof/>
          <w:lang w:eastAsia="en-GB"/>
        </w:rPr>
        <w:tab/>
        <w:t>not impose any end-use restriction on the imported good as a condition of the application for or use of this tariff rate quota.</w:t>
      </w:r>
    </w:p>
    <w:p w:rsidR="00AB7D6B" w:rsidRPr="00F82327" w:rsidRDefault="00AB7D6B" w:rsidP="00AB7D6B">
      <w:pPr>
        <w:ind w:left="1701" w:hanging="567"/>
        <w:rPr>
          <w:rFonts w:eastAsia="Calibri"/>
          <w:noProof/>
          <w:lang w:eastAsia="en-GB"/>
        </w:rPr>
      </w:pPr>
    </w:p>
    <w:p w:rsidR="00AB7D6B" w:rsidRPr="00F82327" w:rsidRDefault="00AB7D6B" w:rsidP="00AB7D6B">
      <w:pPr>
        <w:ind w:left="1134" w:hanging="567"/>
        <w:rPr>
          <w:bCs/>
          <w:noProof/>
          <w:szCs w:val="24"/>
          <w:lang w:eastAsia="en-GB"/>
        </w:rPr>
      </w:pPr>
      <w:r w:rsidRPr="00F82327">
        <w:rPr>
          <w:bCs/>
          <w:noProof/>
          <w:szCs w:val="24"/>
          <w:lang w:eastAsia="en-GB"/>
        </w:rPr>
        <w:t>(c)</w:t>
      </w:r>
      <w:r w:rsidRPr="00F82327">
        <w:rPr>
          <w:bCs/>
          <w:noProof/>
          <w:szCs w:val="24"/>
          <w:lang w:eastAsia="en-GB"/>
        </w:rPr>
        <w:tab/>
        <w:t>Prepared or preserved shrimps and prawns exported from Canada under Section B of Appendix 1 (Origin Quotas) to Annex 5 (Product Specific Rules of Origin) of the Protocol on rules of origin and origin procedures shall not be imported into the European Union under this tariff rate quota.</w:t>
      </w:r>
    </w:p>
    <w:p w:rsidR="00AB7D6B" w:rsidRPr="00F82327" w:rsidRDefault="00AB7D6B" w:rsidP="00AB7D6B">
      <w:pPr>
        <w:ind w:left="1134" w:hanging="567"/>
        <w:rPr>
          <w:bCs/>
          <w:noProof/>
          <w:szCs w:val="24"/>
          <w:lang w:eastAsia="en-GB"/>
        </w:rPr>
      </w:pPr>
    </w:p>
    <w:p w:rsidR="00AB7D6B" w:rsidRPr="00F82327" w:rsidRDefault="00AB7D6B" w:rsidP="00AB7D6B">
      <w:pPr>
        <w:ind w:left="1134" w:hanging="567"/>
        <w:rPr>
          <w:bCs/>
          <w:noProof/>
          <w:szCs w:val="24"/>
          <w:lang w:eastAsia="en-GB"/>
        </w:rPr>
      </w:pPr>
      <w:r w:rsidRPr="00F82327">
        <w:rPr>
          <w:bCs/>
          <w:noProof/>
          <w:szCs w:val="24"/>
          <w:lang w:eastAsia="en-GB"/>
        </w:rPr>
        <w:t>(d)</w:t>
      </w:r>
      <w:r w:rsidRPr="00F82327">
        <w:rPr>
          <w:bCs/>
          <w:noProof/>
          <w:szCs w:val="24"/>
          <w:lang w:eastAsia="en-GB"/>
        </w:rPr>
        <w:tab/>
        <w:t>Subparagraphs (a) and (b) apply to processed shrimps classified in the following tariff lines: 1605 29 00, 1605 21 90, ex 0306 16 10, ex 0306 17 10, ex 0306 26 10, and ex 0306 27 10, excluding in immediate packings of a net content not exceeding 2 kg.</w:t>
      </w:r>
    </w:p>
    <w:p w:rsidR="00AB7D6B" w:rsidRPr="00F82327" w:rsidRDefault="00AB7D6B" w:rsidP="00AB7D6B">
      <w:pPr>
        <w:ind w:left="1134" w:hanging="567"/>
        <w:rPr>
          <w:bCs/>
          <w:noProof/>
          <w:szCs w:val="24"/>
          <w:lang w:eastAsia="en-GB"/>
        </w:rPr>
      </w:pPr>
    </w:p>
    <w:p w:rsidR="003E3FFD" w:rsidRPr="00F82327" w:rsidRDefault="003E3FFD">
      <w:pPr>
        <w:widowControl/>
        <w:spacing w:line="240" w:lineRule="auto"/>
        <w:rPr>
          <w:rFonts w:eastAsia="Calibri"/>
          <w:noProof/>
        </w:rPr>
      </w:pPr>
      <w:r w:rsidRPr="00F82327">
        <w:rPr>
          <w:rFonts w:eastAsia="Calibri"/>
          <w:noProof/>
        </w:rPr>
        <w:br w:type="page"/>
      </w:r>
    </w:p>
    <w:p w:rsidR="00AB7D6B" w:rsidRPr="00F82327" w:rsidRDefault="00AB7D6B" w:rsidP="00AB7D6B">
      <w:pPr>
        <w:rPr>
          <w:rFonts w:eastAsia="Calibri"/>
          <w:noProof/>
        </w:rPr>
      </w:pPr>
      <w:r w:rsidRPr="00F82327">
        <w:rPr>
          <w:rFonts w:eastAsia="Calibri"/>
          <w:noProof/>
        </w:rPr>
        <w:lastRenderedPageBreak/>
        <w:t>Frozen cod transitional tariff rate quota</w:t>
      </w:r>
    </w:p>
    <w:p w:rsidR="00AB7D6B" w:rsidRPr="00F82327" w:rsidRDefault="00AB7D6B" w:rsidP="00AB7D6B">
      <w:pPr>
        <w:rPr>
          <w:rFonts w:eastAsia="Calibri"/>
          <w:noProof/>
        </w:rPr>
      </w:pPr>
    </w:p>
    <w:p w:rsidR="00AB7D6B" w:rsidRPr="00F82327" w:rsidRDefault="00AB7D6B" w:rsidP="00AB7D6B">
      <w:pPr>
        <w:tabs>
          <w:tab w:val="left" w:pos="567"/>
        </w:tabs>
        <w:ind w:left="1134" w:hanging="1134"/>
        <w:rPr>
          <w:noProof/>
        </w:rPr>
      </w:pPr>
      <w:r w:rsidRPr="00F82327">
        <w:rPr>
          <w:noProof/>
        </w:rPr>
        <w:t>8.</w:t>
      </w:r>
      <w:r w:rsidRPr="00F82327">
        <w:rPr>
          <w:noProof/>
        </w:rPr>
        <w:tab/>
        <w:t>(a)</w:t>
      </w:r>
      <w:r w:rsidRPr="00F82327">
        <w:rPr>
          <w:noProof/>
        </w:rPr>
        <w:tab/>
        <w:t>Originating goods in the following aggregate quantities and provided for in items with the notation "</w:t>
      </w:r>
      <w:r w:rsidRPr="00F82327">
        <w:rPr>
          <w:rFonts w:eastAsia="Calibri"/>
          <w:noProof/>
          <w:szCs w:val="22"/>
          <w:lang w:eastAsia="en-GB"/>
        </w:rPr>
        <w:t>TQCod</w:t>
      </w:r>
      <w:r w:rsidRPr="00F82327">
        <w:rPr>
          <w:noProof/>
        </w:rPr>
        <w:t>" in the European Union's Schedule to this Annex and listed in subparagraph (c) shall be duty-free in the years specified below:</w:t>
      </w:r>
    </w:p>
    <w:p w:rsidR="00AB7D6B" w:rsidRPr="00F82327" w:rsidRDefault="00AB7D6B" w:rsidP="00AB7D6B">
      <w:pPr>
        <w:tabs>
          <w:tab w:val="left" w:pos="567"/>
        </w:tabs>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1F0CC7">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w:t>
            </w:r>
            <w:r w:rsidR="001F0CC7" w:rsidRPr="00F82327">
              <w:rPr>
                <w:rStyle w:val="FootnoteReference"/>
              </w:rPr>
              <w:footnoteReference w:id="3"/>
            </w:r>
            <w:r w:rsidRPr="00F82327">
              <w:rPr>
                <w:b/>
                <w:bCs/>
                <w:noProof/>
                <w:szCs w:val="24"/>
              </w:rPr>
              <w:t>)</w:t>
            </w:r>
          </w:p>
        </w:tc>
      </w:tr>
      <w:tr w:rsidR="00AB7D6B" w:rsidRPr="00F82327" w:rsidTr="004E1C18">
        <w:tc>
          <w:tcPr>
            <w:tcW w:w="1771" w:type="pct"/>
            <w:tcBorders>
              <w:top w:val="outset" w:sz="6" w:space="0" w:color="auto"/>
              <w:bottom w:val="outset" w:sz="6" w:space="0" w:color="auto"/>
              <w:right w:val="outset" w:sz="6" w:space="0" w:color="auto"/>
            </w:tcBorders>
            <w:shd w:val="clear" w:color="auto" w:fill="FFFFFF"/>
            <w:vAlign w:val="center"/>
          </w:tcPr>
          <w:p w:rsidR="00AB7D6B" w:rsidRPr="00F82327" w:rsidRDefault="00AB7D6B" w:rsidP="004E1C18">
            <w:pPr>
              <w:spacing w:before="60" w:after="60" w:line="240" w:lineRule="auto"/>
              <w:ind w:left="172"/>
              <w:rPr>
                <w:noProof/>
                <w:szCs w:val="24"/>
              </w:rPr>
            </w:pPr>
            <w:r w:rsidRPr="00F82327">
              <w:rPr>
                <w:noProof/>
                <w:szCs w:val="24"/>
              </w:rPr>
              <w:t>1 through to 7</w:t>
            </w:r>
          </w:p>
        </w:tc>
        <w:tc>
          <w:tcPr>
            <w:tcW w:w="3229" w:type="pct"/>
            <w:tcBorders>
              <w:top w:val="outset" w:sz="6" w:space="0" w:color="auto"/>
              <w:left w:val="outset" w:sz="6" w:space="0" w:color="auto"/>
              <w:bottom w:val="outset" w:sz="6" w:space="0" w:color="auto"/>
            </w:tcBorders>
            <w:shd w:val="clear" w:color="auto" w:fill="FFFFFF"/>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1,000</w:t>
            </w:r>
          </w:p>
        </w:tc>
      </w:tr>
    </w:tbl>
    <w:p w:rsidR="00AB7D6B" w:rsidRPr="00F82327" w:rsidRDefault="00AB7D6B" w:rsidP="00AB7D6B">
      <w:pPr>
        <w:rPr>
          <w:noProof/>
        </w:rPr>
      </w:pPr>
    </w:p>
    <w:p w:rsidR="00AB7D6B" w:rsidRPr="00F82327" w:rsidRDefault="00AB7D6B" w:rsidP="00AB7D6B">
      <w:pPr>
        <w:ind w:left="567"/>
        <w:rPr>
          <w:noProof/>
        </w:rPr>
      </w:pPr>
      <w:r w:rsidRPr="00F82327">
        <w:rPr>
          <w:noProof/>
        </w:rPr>
        <w:t>(b)</w:t>
      </w:r>
      <w:r w:rsidRPr="00F82327">
        <w:rPr>
          <w:noProof/>
        </w:rPr>
        <w:tab/>
      </w:r>
      <w:r w:rsidRPr="00F82327">
        <w:rPr>
          <w:rFonts w:eastAsia="Calibri"/>
          <w:noProof/>
          <w:lang w:eastAsia="en-GB"/>
        </w:rPr>
        <w:t>The</w:t>
      </w:r>
      <w:r w:rsidRPr="00F82327">
        <w:rPr>
          <w:noProof/>
        </w:rPr>
        <w:t xml:space="preserve"> European Union shall:</w:t>
      </w:r>
    </w:p>
    <w:p w:rsidR="00AB7D6B" w:rsidRPr="00F82327" w:rsidRDefault="00AB7D6B" w:rsidP="00AB7D6B">
      <w:pPr>
        <w:ind w:left="567"/>
        <w:rPr>
          <w:noProof/>
        </w:rPr>
      </w:pPr>
    </w:p>
    <w:p w:rsidR="00AB7D6B" w:rsidRPr="00F82327" w:rsidRDefault="00AB7D6B" w:rsidP="00EB351D">
      <w:pPr>
        <w:ind w:left="1701" w:hanging="567"/>
        <w:rPr>
          <w:rFonts w:eastAsia="Calibri"/>
          <w:noProof/>
          <w:lang w:eastAsia="en-GB"/>
        </w:rPr>
      </w:pPr>
      <w:r w:rsidRPr="00F82327">
        <w:rPr>
          <w:noProof/>
        </w:rPr>
        <w:t>(i)</w:t>
      </w:r>
      <w:r w:rsidRPr="00F82327">
        <w:rPr>
          <w:noProof/>
        </w:rPr>
        <w:tab/>
      </w:r>
      <w:r w:rsidRPr="00F82327">
        <w:rPr>
          <w:rFonts w:eastAsia="Calibri"/>
          <w:noProof/>
          <w:lang w:eastAsia="en-GB"/>
        </w:rPr>
        <w:t>administer this tariff rate quota on a first-come first-served basis;</w:t>
      </w:r>
    </w:p>
    <w:p w:rsidR="00AB7D6B" w:rsidRPr="00F82327" w:rsidRDefault="00AB7D6B" w:rsidP="00AB7D6B">
      <w:pPr>
        <w:ind w:left="1701" w:hanging="567"/>
        <w:rPr>
          <w:rFonts w:eastAsia="Calibri"/>
          <w:noProof/>
          <w:lang w:eastAsia="en-GB"/>
        </w:rPr>
      </w:pPr>
    </w:p>
    <w:p w:rsidR="00AB7D6B" w:rsidRPr="00F82327" w:rsidRDefault="00AB7D6B" w:rsidP="00AB7D6B">
      <w:pPr>
        <w:ind w:left="1701" w:hanging="567"/>
        <w:rPr>
          <w:rFonts w:eastAsia="Calibri"/>
          <w:noProof/>
          <w:lang w:eastAsia="en-GB"/>
        </w:rPr>
      </w:pPr>
      <w:r w:rsidRPr="00F82327">
        <w:rPr>
          <w:rFonts w:eastAsia="Calibri"/>
          <w:noProof/>
          <w:lang w:eastAsia="en-GB"/>
        </w:rPr>
        <w:t>(ii)</w:t>
      </w:r>
      <w:r w:rsidRPr="00F82327">
        <w:rPr>
          <w:rFonts w:eastAsia="Calibri"/>
          <w:noProof/>
          <w:lang w:eastAsia="en-GB"/>
        </w:rPr>
        <w:tab/>
        <w:t>administer this tariff rate quota on a calendar year basis with the full in-quota quantity to be made available on January 1 of each year; and</w:t>
      </w:r>
    </w:p>
    <w:p w:rsidR="00AB7D6B" w:rsidRPr="00F82327" w:rsidRDefault="00AB7D6B" w:rsidP="00AB7D6B">
      <w:pPr>
        <w:ind w:left="1701" w:hanging="567"/>
        <w:rPr>
          <w:rFonts w:eastAsia="Calibri"/>
          <w:noProof/>
          <w:lang w:eastAsia="en-GB"/>
        </w:rPr>
      </w:pPr>
    </w:p>
    <w:p w:rsidR="00AB7D6B" w:rsidRPr="00F82327" w:rsidRDefault="00AB7D6B" w:rsidP="00AB7D6B">
      <w:pPr>
        <w:ind w:left="1701" w:hanging="567"/>
        <w:rPr>
          <w:noProof/>
        </w:rPr>
      </w:pPr>
      <w:r w:rsidRPr="00F82327">
        <w:rPr>
          <w:rFonts w:eastAsia="Calibri"/>
          <w:noProof/>
          <w:lang w:eastAsia="en-GB"/>
        </w:rPr>
        <w:t>(iii)</w:t>
      </w:r>
      <w:r w:rsidRPr="00F82327">
        <w:rPr>
          <w:rFonts w:eastAsia="Calibri"/>
          <w:noProof/>
          <w:lang w:eastAsia="en-GB"/>
        </w:rPr>
        <w:tab/>
        <w:t>not impose any</w:t>
      </w:r>
      <w:r w:rsidRPr="00F82327">
        <w:rPr>
          <w:rFonts w:eastAsia="Calibri"/>
          <w:noProof/>
        </w:rPr>
        <w:t xml:space="preserve"> specific end-use restriction on the imported good as a condition of the application</w:t>
      </w:r>
      <w:r w:rsidRPr="00F82327">
        <w:rPr>
          <w:noProof/>
        </w:rPr>
        <w:t xml:space="preserve"> for or use of this tariff rate quota.</w:t>
      </w:r>
    </w:p>
    <w:p w:rsidR="00AB7D6B" w:rsidRPr="00F82327" w:rsidRDefault="00AB7D6B" w:rsidP="00AB7D6B">
      <w:pPr>
        <w:ind w:left="1701" w:hanging="567"/>
        <w:rPr>
          <w:noProof/>
        </w:rPr>
      </w:pPr>
    </w:p>
    <w:p w:rsidR="00AB7D6B" w:rsidRPr="00F82327" w:rsidRDefault="00AB7D6B" w:rsidP="00AB7D6B">
      <w:pPr>
        <w:ind w:left="1134" w:hanging="567"/>
        <w:rPr>
          <w:noProof/>
        </w:rPr>
      </w:pPr>
      <w:r w:rsidRPr="00F82327">
        <w:rPr>
          <w:noProof/>
        </w:rPr>
        <w:t>(c)</w:t>
      </w:r>
      <w:r w:rsidRPr="00F82327">
        <w:rPr>
          <w:noProof/>
        </w:rPr>
        <w:tab/>
        <w:t>This paragraph applies to frozen cod, classified in tariff lines 0304 71 90 and 0304 79 10.</w:t>
      </w:r>
    </w:p>
    <w:p w:rsidR="00AB7D6B" w:rsidRPr="00F82327" w:rsidRDefault="00AB7D6B" w:rsidP="00AB7D6B">
      <w:pPr>
        <w:ind w:left="1134" w:hanging="567"/>
        <w:rPr>
          <w:noProof/>
        </w:rPr>
      </w:pPr>
    </w:p>
    <w:p w:rsidR="003E3FFD" w:rsidRPr="00F82327" w:rsidRDefault="003E3FFD">
      <w:pPr>
        <w:widowControl/>
        <w:spacing w:line="240" w:lineRule="auto"/>
        <w:rPr>
          <w:noProof/>
        </w:rPr>
      </w:pPr>
      <w:r w:rsidRPr="00F82327">
        <w:rPr>
          <w:noProof/>
        </w:rPr>
        <w:br w:type="page"/>
      </w:r>
    </w:p>
    <w:p w:rsidR="00AB7D6B" w:rsidRPr="00F82327" w:rsidRDefault="00AB7D6B" w:rsidP="00AB7D6B">
      <w:pPr>
        <w:rPr>
          <w:noProof/>
        </w:rPr>
      </w:pPr>
      <w:r w:rsidRPr="00F82327">
        <w:rPr>
          <w:noProof/>
        </w:rPr>
        <w:lastRenderedPageBreak/>
        <w:t>Low and Medium Quality Common Wheat transitional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9.</w:t>
      </w:r>
      <w:r w:rsidRPr="00F82327">
        <w:rPr>
          <w:noProof/>
        </w:rPr>
        <w:tab/>
        <w:t>(a)</w:t>
      </w:r>
      <w:r w:rsidRPr="00F82327">
        <w:rPr>
          <w:noProof/>
        </w:rPr>
        <w:tab/>
        <w:t>Originating goods in the following aggregate quantities and provided for in items with the notation "TQCW" in the European Union's Schedule to this Annex and listed in subparagraph (d) shall be duty-free in the years specified below:</w:t>
      </w:r>
    </w:p>
    <w:p w:rsidR="00AB7D6B" w:rsidRPr="00F82327" w:rsidRDefault="00AB7D6B" w:rsidP="00AB7D6B">
      <w:pPr>
        <w:tabs>
          <w:tab w:val="left" w:pos="567"/>
        </w:tabs>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 through to 7</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100,000</w:t>
            </w:r>
          </w:p>
        </w:tc>
      </w:tr>
    </w:tbl>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(b)</w:t>
      </w:r>
      <w:r w:rsidRPr="00F82327">
        <w:rPr>
          <w:noProof/>
        </w:rPr>
        <w:tab/>
        <w:t>The European Union shall administer this tariff rate quota in accordance with the terms of Commission Regulation (EC) No. 1067/2008 of 30 October 2008.</w:t>
      </w:r>
      <w:bookmarkStart w:id="19" w:name="_GoBack"/>
      <w:bookmarkEnd w:id="19"/>
    </w:p>
    <w:p w:rsidR="00AB7D6B" w:rsidRPr="00F82327" w:rsidRDefault="00AB7D6B" w:rsidP="00AB7D6B">
      <w:pPr>
        <w:ind w:left="1134" w:hanging="567"/>
        <w:rPr>
          <w:noProof/>
        </w:rPr>
      </w:pPr>
    </w:p>
    <w:p w:rsidR="00AB7D6B" w:rsidRPr="00F82327" w:rsidRDefault="00AB7D6B" w:rsidP="00874853">
      <w:pPr>
        <w:ind w:left="1134" w:hanging="567"/>
        <w:rPr>
          <w:noProof/>
        </w:rPr>
      </w:pPr>
      <w:r w:rsidRPr="00F82327">
        <w:rPr>
          <w:noProof/>
        </w:rPr>
        <w:t>(c)</w:t>
      </w:r>
      <w:r w:rsidRPr="00F82327">
        <w:rPr>
          <w:noProof/>
        </w:rPr>
        <w:tab/>
        <w:t>The above aggregate duty-free quantities shall include, beginning in year 1, the 38,853</w:t>
      </w:r>
      <w:r w:rsidR="00874853">
        <w:rPr>
          <w:noProof/>
        </w:rPr>
        <w:t> </w:t>
      </w:r>
      <w:r w:rsidRPr="00F82327">
        <w:rPr>
          <w:noProof/>
        </w:rPr>
        <w:t>tonne allocation to Canada as set out in Commission Regulation (EC) No. 1067/2008.</w:t>
      </w:r>
    </w:p>
    <w:p w:rsidR="00AB7D6B" w:rsidRPr="00F82327" w:rsidRDefault="00AB7D6B" w:rsidP="00AB7D6B">
      <w:pPr>
        <w:ind w:left="1134" w:hanging="567"/>
        <w:rPr>
          <w:noProof/>
        </w:rPr>
      </w:pPr>
    </w:p>
    <w:p w:rsidR="00AB7D6B" w:rsidRPr="00F82327" w:rsidRDefault="00AB7D6B" w:rsidP="00DE63B4">
      <w:pPr>
        <w:ind w:left="1134" w:hanging="567"/>
        <w:rPr>
          <w:noProof/>
        </w:rPr>
      </w:pPr>
      <w:r w:rsidRPr="00F82327">
        <w:rPr>
          <w:noProof/>
        </w:rPr>
        <w:t>(d)</w:t>
      </w:r>
      <w:r w:rsidRPr="00F82327">
        <w:rPr>
          <w:noProof/>
        </w:rPr>
        <w:tab/>
        <w:t>This paragraph applies to common wheat of a quality, other than high quality, classified in tariff line ex 1001 99 00.</w:t>
      </w:r>
    </w:p>
    <w:p w:rsidR="00AB7D6B" w:rsidRPr="00F82327" w:rsidRDefault="00AB7D6B" w:rsidP="00AB7D6B">
      <w:pPr>
        <w:ind w:left="1134" w:hanging="567"/>
        <w:rPr>
          <w:noProof/>
        </w:rPr>
      </w:pPr>
    </w:p>
    <w:p w:rsidR="003E3FFD" w:rsidRPr="00F82327" w:rsidRDefault="003E3FFD">
      <w:pPr>
        <w:widowControl/>
        <w:spacing w:line="240" w:lineRule="auto"/>
        <w:rPr>
          <w:noProof/>
        </w:rPr>
      </w:pPr>
      <w:r w:rsidRPr="00F82327">
        <w:rPr>
          <w:noProof/>
        </w:rPr>
        <w:br w:type="page"/>
      </w:r>
    </w:p>
    <w:p w:rsidR="00AB7D6B" w:rsidRPr="00F82327" w:rsidRDefault="00AB7D6B" w:rsidP="00AB7D6B">
      <w:pPr>
        <w:rPr>
          <w:noProof/>
        </w:rPr>
      </w:pPr>
      <w:r w:rsidRPr="00F82327">
        <w:rPr>
          <w:noProof/>
        </w:rPr>
        <w:lastRenderedPageBreak/>
        <w:t>Sweetcorn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10.</w:t>
      </w:r>
      <w:r w:rsidRPr="00F82327">
        <w:rPr>
          <w:noProof/>
        </w:rPr>
        <w:tab/>
        <w:t>(a)</w:t>
      </w:r>
      <w:r w:rsidRPr="00F82327">
        <w:rPr>
          <w:noProof/>
        </w:rPr>
        <w:tab/>
        <w:t>Originating goods in the following aggregate quantities and provided for in items with the notation "TQSC" in the European Union's Schedule to this Annex and listed in subparagraph (c) shall be duty-free in the years specified below:</w:t>
      </w:r>
    </w:p>
    <w:p w:rsidR="00AB7D6B" w:rsidRPr="00F82327" w:rsidRDefault="00AB7D6B" w:rsidP="00AB7D6B">
      <w:pPr>
        <w:tabs>
          <w:tab w:val="left" w:pos="567"/>
        </w:tabs>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w:t>
            </w:r>
            <w:r w:rsidRPr="00F82327">
              <w:rPr>
                <w:rStyle w:val="FootnoteReference"/>
                <w:rFonts w:eastAsia="Calibri"/>
              </w:rPr>
              <w:footnoteReference w:id="4"/>
            </w:r>
            <w:r w:rsidRPr="00F82327">
              <w:rPr>
                <w:b/>
                <w:bCs/>
                <w:noProof/>
                <w:szCs w:val="24"/>
              </w:rPr>
              <w:t>)</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 xml:space="preserve">1 </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1,333</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2</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2,667</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3</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4,000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4</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5,333</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5</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6,667</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6 and each subsequent year</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8,000</w:t>
            </w:r>
          </w:p>
        </w:tc>
      </w:tr>
    </w:tbl>
    <w:p w:rsidR="00AB7D6B" w:rsidRPr="00F82327" w:rsidRDefault="00AB7D6B" w:rsidP="00AB7D6B">
      <w:pPr>
        <w:spacing w:line="240" w:lineRule="auto"/>
        <w:ind w:left="1134" w:hanging="567"/>
        <w:rPr>
          <w:noProof/>
        </w:rPr>
      </w:pPr>
    </w:p>
    <w:p w:rsidR="00AB7D6B" w:rsidRPr="00F82327" w:rsidRDefault="00AB7D6B" w:rsidP="00AB7D6B">
      <w:pPr>
        <w:ind w:left="1134" w:hanging="567"/>
        <w:rPr>
          <w:noProof/>
        </w:rPr>
      </w:pPr>
      <w:r w:rsidRPr="00F82327">
        <w:rPr>
          <w:noProof/>
        </w:rPr>
        <w:t>(b)</w:t>
      </w:r>
      <w:r w:rsidRPr="00F82327">
        <w:rPr>
          <w:noProof/>
        </w:rPr>
        <w:tab/>
        <w:t>The European Union shall:</w:t>
      </w:r>
    </w:p>
    <w:p w:rsidR="00AB7D6B" w:rsidRPr="00F82327" w:rsidRDefault="00AB7D6B" w:rsidP="00AB7D6B">
      <w:pPr>
        <w:ind w:left="1134" w:hanging="567"/>
        <w:rPr>
          <w:noProof/>
        </w:rPr>
      </w:pPr>
    </w:p>
    <w:p w:rsidR="00AB7D6B" w:rsidRPr="00F82327" w:rsidRDefault="00AB7D6B" w:rsidP="00AB7D6B">
      <w:pPr>
        <w:ind w:left="1701" w:hanging="567"/>
        <w:rPr>
          <w:rFonts w:eastAsia="Calibri"/>
          <w:noProof/>
          <w:lang w:eastAsia="en-GB"/>
        </w:rPr>
      </w:pPr>
      <w:r w:rsidRPr="00F82327">
        <w:rPr>
          <w:noProof/>
        </w:rPr>
        <w:t>(i)</w:t>
      </w:r>
      <w:r w:rsidRPr="00F82327">
        <w:rPr>
          <w:noProof/>
        </w:rPr>
        <w:tab/>
      </w:r>
      <w:r w:rsidRPr="00F82327">
        <w:rPr>
          <w:rFonts w:eastAsia="Calibri"/>
          <w:noProof/>
          <w:lang w:eastAsia="en-GB"/>
        </w:rPr>
        <w:t>administer this tariff rate quota on a first-come first-served basis; and</w:t>
      </w:r>
    </w:p>
    <w:p w:rsidR="00AB7D6B" w:rsidRPr="00F82327" w:rsidRDefault="00AB7D6B" w:rsidP="00AB7D6B">
      <w:pPr>
        <w:ind w:left="1701" w:hanging="567"/>
        <w:rPr>
          <w:rFonts w:eastAsia="Calibri"/>
          <w:noProof/>
          <w:lang w:eastAsia="en-GB"/>
        </w:rPr>
      </w:pPr>
    </w:p>
    <w:p w:rsidR="00AB7D6B" w:rsidRPr="00F82327" w:rsidRDefault="00AB7D6B" w:rsidP="00AB7D6B">
      <w:pPr>
        <w:ind w:left="1701" w:hanging="567"/>
        <w:rPr>
          <w:noProof/>
        </w:rPr>
      </w:pPr>
      <w:r w:rsidRPr="00F82327">
        <w:rPr>
          <w:rFonts w:eastAsia="Calibri"/>
          <w:noProof/>
          <w:lang w:eastAsia="en-GB"/>
        </w:rPr>
        <w:t>(ii)</w:t>
      </w:r>
      <w:r w:rsidRPr="00F82327">
        <w:rPr>
          <w:rFonts w:eastAsia="Calibri"/>
          <w:noProof/>
          <w:lang w:eastAsia="en-GB"/>
        </w:rPr>
        <w:tab/>
        <w:t>administer this tariff rate quota on a calendar year basis with the full in</w:t>
      </w:r>
      <w:r w:rsidRPr="00F82327">
        <w:rPr>
          <w:rFonts w:eastAsia="Calibri"/>
          <w:noProof/>
          <w:lang w:eastAsia="en-GB"/>
        </w:rPr>
        <w:noBreakHyphen/>
        <w:t>quota quantity to be made available</w:t>
      </w:r>
      <w:r w:rsidRPr="00F82327">
        <w:rPr>
          <w:noProof/>
        </w:rPr>
        <w:t xml:space="preserve"> on January 1 of each year.</w:t>
      </w:r>
    </w:p>
    <w:p w:rsidR="00AB7D6B" w:rsidRPr="00F82327" w:rsidRDefault="00AB7D6B" w:rsidP="00AB7D6B">
      <w:pPr>
        <w:ind w:left="1701" w:hanging="567"/>
        <w:rPr>
          <w:noProof/>
        </w:rPr>
      </w:pPr>
    </w:p>
    <w:p w:rsidR="00AB7D6B" w:rsidRPr="00F82327" w:rsidRDefault="00AB7D6B" w:rsidP="00AB7D6B">
      <w:pPr>
        <w:ind w:left="1134" w:hanging="567"/>
        <w:rPr>
          <w:noProof/>
        </w:rPr>
      </w:pPr>
      <w:r w:rsidRPr="00F82327">
        <w:rPr>
          <w:noProof/>
        </w:rPr>
        <w:t>(c)</w:t>
      </w:r>
      <w:r w:rsidRPr="00F82327">
        <w:rPr>
          <w:noProof/>
        </w:rPr>
        <w:tab/>
        <w:t>This paragraph applies to the following tariff lines: 0710 40 00 (only available during the time period leading up to the elimination of duties for such good as per the staging category applicable to this item in the European Union's Schedule to this Annex) and 2005 80 00.</w:t>
      </w:r>
    </w:p>
    <w:p w:rsidR="00AB7D6B" w:rsidRPr="00F82327" w:rsidRDefault="00AB7D6B" w:rsidP="00AB7D6B">
      <w:pPr>
        <w:ind w:left="1134" w:hanging="567"/>
        <w:rPr>
          <w:noProof/>
        </w:rPr>
      </w:pPr>
    </w:p>
    <w:p w:rsidR="00AB7D6B" w:rsidRPr="00F82327" w:rsidRDefault="00AB7D6B" w:rsidP="00AB7D6B">
      <w:pPr>
        <w:rPr>
          <w:noProof/>
        </w:rPr>
      </w:pPr>
      <w:r w:rsidRPr="00F82327">
        <w:rPr>
          <w:noProof/>
        </w:rPr>
        <w:br w:type="page"/>
      </w:r>
      <w:r w:rsidRPr="00F82327">
        <w:rPr>
          <w:noProof/>
        </w:rPr>
        <w:lastRenderedPageBreak/>
        <w:t>Bison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11.</w:t>
      </w:r>
      <w:r w:rsidRPr="00F82327">
        <w:rPr>
          <w:noProof/>
        </w:rPr>
        <w:tab/>
        <w:t>(a)</w:t>
      </w:r>
      <w:r w:rsidRPr="00F82327">
        <w:rPr>
          <w:noProof/>
        </w:rPr>
        <w:tab/>
        <w:t>Originating goods in the following aggregate quantities and provided for in items with the notation "TQB3" in the European Union's Schedule to this Annex and listed in subparagraph (d) shall be duty-free in the years specified below:</w:t>
      </w:r>
    </w:p>
    <w:p w:rsidR="00AB7D6B" w:rsidRPr="00F82327" w:rsidRDefault="00AB7D6B" w:rsidP="00AB7D6B">
      <w:pPr>
        <w:tabs>
          <w:tab w:val="left" w:pos="567"/>
        </w:tabs>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 – Carcass Weight Equivalent)</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 and each subsequent year</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3,000</w:t>
            </w:r>
          </w:p>
        </w:tc>
      </w:tr>
    </w:tbl>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(b)</w:t>
      </w:r>
      <w:r w:rsidRPr="00F82327">
        <w:rPr>
          <w:noProof/>
        </w:rPr>
        <w:tab/>
        <w:t>When calculating quantities imported, the conversion factors specified in paragraph 21 shall be utilized to convert Product Weight to Carcass Weight Equivalent.</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(c)</w:t>
      </w:r>
      <w:r w:rsidRPr="00F82327">
        <w:rPr>
          <w:noProof/>
        </w:rPr>
        <w:tab/>
        <w:t>The European Union shall:</w:t>
      </w:r>
    </w:p>
    <w:p w:rsidR="00AB7D6B" w:rsidRPr="00F82327" w:rsidRDefault="00AB7D6B" w:rsidP="00AB7D6B">
      <w:pPr>
        <w:ind w:left="1134" w:hanging="567"/>
        <w:rPr>
          <w:noProof/>
        </w:rPr>
      </w:pPr>
    </w:p>
    <w:p w:rsidR="00AB7D6B" w:rsidRPr="00F82327" w:rsidRDefault="00AB7D6B" w:rsidP="00EB351D">
      <w:pPr>
        <w:ind w:left="1701" w:hanging="567"/>
        <w:rPr>
          <w:rFonts w:eastAsia="Calibri"/>
          <w:noProof/>
        </w:rPr>
      </w:pPr>
      <w:r w:rsidRPr="00F82327">
        <w:rPr>
          <w:noProof/>
        </w:rPr>
        <w:t>(i)</w:t>
      </w:r>
      <w:r w:rsidRPr="00F82327">
        <w:rPr>
          <w:noProof/>
        </w:rPr>
        <w:tab/>
        <w:t xml:space="preserve">administer this </w:t>
      </w:r>
      <w:r w:rsidRPr="00F82327">
        <w:rPr>
          <w:rFonts w:eastAsia="Calibri"/>
          <w:noProof/>
        </w:rPr>
        <w:t>tariff rate quota on a first-come first-served basis; and</w:t>
      </w:r>
    </w:p>
    <w:p w:rsidR="00AB7D6B" w:rsidRPr="00F82327" w:rsidRDefault="00AB7D6B" w:rsidP="00AB7D6B">
      <w:pPr>
        <w:ind w:left="1701" w:hanging="567"/>
        <w:rPr>
          <w:rFonts w:eastAsia="Calibri"/>
          <w:noProof/>
        </w:rPr>
      </w:pPr>
    </w:p>
    <w:p w:rsidR="00AB7D6B" w:rsidRPr="00F82327" w:rsidRDefault="00AB7D6B" w:rsidP="00EB351D">
      <w:pPr>
        <w:ind w:left="1701" w:hanging="567"/>
        <w:rPr>
          <w:noProof/>
        </w:rPr>
      </w:pPr>
      <w:r w:rsidRPr="00F82327">
        <w:rPr>
          <w:rFonts w:eastAsia="Calibri"/>
          <w:noProof/>
        </w:rPr>
        <w:t>(ii)</w:t>
      </w:r>
      <w:r w:rsidRPr="00F82327">
        <w:rPr>
          <w:rFonts w:eastAsia="Calibri"/>
          <w:noProof/>
        </w:rPr>
        <w:tab/>
        <w:t>administer this tariff</w:t>
      </w:r>
      <w:r w:rsidRPr="00F82327">
        <w:rPr>
          <w:noProof/>
        </w:rPr>
        <w:t xml:space="preserve"> rate quota on a calendar year basis with the full in-quota quantity to be made available on January 1 of each year.</w:t>
      </w:r>
    </w:p>
    <w:p w:rsidR="00AB7D6B" w:rsidRPr="00F82327" w:rsidRDefault="00AB7D6B" w:rsidP="00AB7D6B">
      <w:pPr>
        <w:rPr>
          <w:noProof/>
        </w:rPr>
      </w:pPr>
    </w:p>
    <w:p w:rsidR="00AB7D6B" w:rsidRPr="00F82327" w:rsidRDefault="00AB7D6B" w:rsidP="00EB351D">
      <w:pPr>
        <w:ind w:left="1134" w:hanging="567"/>
        <w:rPr>
          <w:noProof/>
        </w:rPr>
      </w:pPr>
      <w:r w:rsidRPr="00F82327">
        <w:rPr>
          <w:noProof/>
        </w:rPr>
        <w:t>(d)</w:t>
      </w:r>
      <w:r w:rsidRPr="00F82327">
        <w:rPr>
          <w:noProof/>
        </w:rPr>
        <w:tab/>
        <w:t>This paragraph applies to bison classified in the following tariff lines:</w:t>
      </w:r>
    </w:p>
    <w:p w:rsidR="00AB7D6B" w:rsidRPr="00F82327" w:rsidRDefault="00AB7D6B" w:rsidP="00AB7D6B">
      <w:pPr>
        <w:ind w:left="1134"/>
        <w:rPr>
          <w:noProof/>
        </w:rPr>
      </w:pPr>
      <w:r w:rsidRPr="00F82327">
        <w:rPr>
          <w:noProof/>
        </w:rPr>
        <w:t>ex 0201 10 00, ex 0201 20 20, ex 0201 20 30, ex 0201 20 50, ex 0201 20 90, ex 0201 30 00, ex 0202 10 00, ex 0202 20 10, ex 0202 20 30, ex 0202 20 50, ex 0202 20 90, ex 0202 30 10, ex 0202 30 50, ex 0202 30 90, ex 0206 10 95, ex 0206 29 91, ex 0210 20 10, ex 0210 20 90, ex 0210 99 51, ex 0210 99 59</w:t>
      </w:r>
    </w:p>
    <w:p w:rsidR="00AB7D6B" w:rsidRPr="00F82327" w:rsidRDefault="00AB7D6B" w:rsidP="00AB7D6B">
      <w:pPr>
        <w:ind w:left="1134" w:hanging="567"/>
        <w:rPr>
          <w:noProof/>
        </w:rPr>
      </w:pPr>
    </w:p>
    <w:p w:rsidR="00AB7D6B" w:rsidRPr="00F82327" w:rsidRDefault="00AB7D6B" w:rsidP="00AB7D6B">
      <w:pPr>
        <w:rPr>
          <w:noProof/>
        </w:rPr>
      </w:pPr>
      <w:r w:rsidRPr="00F82327">
        <w:rPr>
          <w:noProof/>
          <w:lang w:val="en-CA"/>
        </w:rPr>
        <w:br w:type="page"/>
      </w:r>
      <w:r w:rsidRPr="00F82327">
        <w:rPr>
          <w:noProof/>
        </w:rPr>
        <w:lastRenderedPageBreak/>
        <w:t>Fresh or Chilled Beef and Veal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12.</w:t>
      </w:r>
      <w:r w:rsidRPr="00F82327">
        <w:rPr>
          <w:noProof/>
        </w:rPr>
        <w:tab/>
        <w:t>(a)</w:t>
      </w:r>
      <w:r w:rsidRPr="00F82327">
        <w:rPr>
          <w:noProof/>
        </w:rPr>
        <w:tab/>
        <w:t>Originating goods in the following aggregate quantities and provided for in items with the notation "TQB1" in the European Union's Schedule to this Annex and listed in subparagraph (f) shall be duty-free in the years specified below:</w:t>
      </w:r>
    </w:p>
    <w:p w:rsidR="00AB7D6B" w:rsidRPr="00F82327" w:rsidRDefault="00AB7D6B" w:rsidP="00AB7D6B">
      <w:pPr>
        <w:tabs>
          <w:tab w:val="left" w:pos="567"/>
        </w:tabs>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 – Carcass Weight Equivalent)</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5,140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2</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10,280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3</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15,420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4</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20,560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5</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25,700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6 and each subsequent year</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240" w:right="4370"/>
              <w:jc w:val="right"/>
              <w:rPr>
                <w:noProof/>
                <w:szCs w:val="24"/>
              </w:rPr>
            </w:pPr>
            <w:r w:rsidRPr="00F82327">
              <w:rPr>
                <w:noProof/>
                <w:szCs w:val="24"/>
              </w:rPr>
              <w:t>30,840</w:t>
            </w:r>
          </w:p>
        </w:tc>
      </w:tr>
    </w:tbl>
    <w:p w:rsidR="00AB7D6B" w:rsidRPr="00F82327" w:rsidRDefault="00AB7D6B" w:rsidP="00E878A5">
      <w:pPr>
        <w:ind w:left="1134" w:hanging="567"/>
        <w:rPr>
          <w:noProof/>
        </w:rPr>
      </w:pPr>
    </w:p>
    <w:p w:rsidR="00AB7D6B" w:rsidRPr="00F82327" w:rsidRDefault="00AB7D6B" w:rsidP="00EB351D">
      <w:pPr>
        <w:ind w:left="1134" w:hanging="567"/>
        <w:rPr>
          <w:noProof/>
        </w:rPr>
      </w:pPr>
      <w:r w:rsidRPr="00F82327">
        <w:rPr>
          <w:noProof/>
        </w:rPr>
        <w:t>(b)</w:t>
      </w:r>
      <w:r w:rsidRPr="00F82327">
        <w:rPr>
          <w:noProof/>
        </w:rPr>
        <w:tab/>
        <w:t>The aggregate annual duty-free quantities in the table above shall be increased, beginning in year 1, by 3,200 metric tonnes product weight (4,160 metric tonnes carcass weight equivalent) resulting from the application of Council Regulation (EC) No</w:t>
      </w:r>
      <w:r w:rsidR="00EB351D" w:rsidRPr="00F82327">
        <w:rPr>
          <w:noProof/>
        </w:rPr>
        <w:t> </w:t>
      </w:r>
      <w:r w:rsidRPr="00F82327">
        <w:rPr>
          <w:noProof/>
        </w:rPr>
        <w:t>617/2009 of 13 July 2009 opening an autonomous tariff quota for imports of high-quality beef.</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(c)</w:t>
      </w:r>
      <w:r w:rsidRPr="00F82327">
        <w:rPr>
          <w:noProof/>
        </w:rPr>
        <w:tab/>
        <w:t>When calculating quantities imported, the conversion factors specified in paragraph 21 shall be utilized to convert Product Weight to Carcass Weight Equivalent.</w:t>
      </w:r>
    </w:p>
    <w:p w:rsidR="00AB7D6B" w:rsidRPr="00F82327" w:rsidRDefault="00AB7D6B" w:rsidP="00AB7D6B">
      <w:pPr>
        <w:ind w:left="1134" w:hanging="567"/>
        <w:rPr>
          <w:noProof/>
        </w:rPr>
      </w:pPr>
    </w:p>
    <w:p w:rsidR="00AB7D6B" w:rsidRPr="00F82327" w:rsidRDefault="00AB7D6B" w:rsidP="00EB351D">
      <w:pPr>
        <w:ind w:left="1134" w:hanging="567"/>
        <w:rPr>
          <w:noProof/>
        </w:rPr>
      </w:pPr>
      <w:r w:rsidRPr="00F82327">
        <w:rPr>
          <w:noProof/>
        </w:rPr>
        <w:br w:type="page"/>
      </w:r>
      <w:r w:rsidRPr="00F82327">
        <w:rPr>
          <w:noProof/>
        </w:rPr>
        <w:lastRenderedPageBreak/>
        <w:t>(d)</w:t>
      </w:r>
      <w:r w:rsidRPr="00F82327">
        <w:rPr>
          <w:noProof/>
        </w:rPr>
        <w:tab/>
        <w:t>The European Union shall administer this tariff rate quota, including the additional quantities as outlined in subparagraph (b), either through an import licensing system as outlined in the Declaration on Tariff Rate Quota Administration or as otherwise agreed to between the Parties.</w:t>
      </w:r>
    </w:p>
    <w:p w:rsidR="00AB7D6B" w:rsidRPr="00F82327" w:rsidRDefault="00AB7D6B" w:rsidP="00AB7D6B">
      <w:pPr>
        <w:ind w:left="1134" w:hanging="567"/>
        <w:rPr>
          <w:noProof/>
        </w:rPr>
      </w:pPr>
    </w:p>
    <w:p w:rsidR="00AB7D6B" w:rsidRPr="00F82327" w:rsidRDefault="00AB7D6B" w:rsidP="00EB351D">
      <w:pPr>
        <w:ind w:left="1134" w:hanging="567"/>
        <w:rPr>
          <w:noProof/>
        </w:rPr>
      </w:pPr>
      <w:r w:rsidRPr="00F82327">
        <w:rPr>
          <w:noProof/>
        </w:rPr>
        <w:t>(e)</w:t>
      </w:r>
      <w:r w:rsidRPr="00F82327">
        <w:rPr>
          <w:noProof/>
        </w:rPr>
        <w:tab/>
        <w:t>Notwithstanding subparagraph (d), paragraphs 19 and 20 shall apply to this paragraph.</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(f)</w:t>
      </w:r>
      <w:r w:rsidRPr="00F82327">
        <w:rPr>
          <w:noProof/>
        </w:rPr>
        <w:tab/>
        <w:t>This paragraph applies to beef and veal classified in the following tariff lines:</w:t>
      </w:r>
    </w:p>
    <w:p w:rsidR="00AB7D6B" w:rsidRPr="00F82327" w:rsidRDefault="00AB7D6B" w:rsidP="00AB7D6B">
      <w:pPr>
        <w:ind w:left="1134"/>
        <w:rPr>
          <w:rFonts w:eastAsia="Calibri"/>
          <w:noProof/>
        </w:rPr>
      </w:pPr>
      <w:r w:rsidRPr="00F82327">
        <w:rPr>
          <w:rFonts w:eastAsia="Calibri"/>
          <w:noProof/>
        </w:rPr>
        <w:t>ex 0201 10 00, ex 0201 20 20, ex 0201 20 30, ex 0201 20 50, ex 0201 20 90, ex 0201 30 00 and ex 0206 10 95.</w:t>
      </w:r>
    </w:p>
    <w:p w:rsidR="00AB7D6B" w:rsidRPr="00F82327" w:rsidRDefault="00AB7D6B" w:rsidP="00AB7D6B">
      <w:pPr>
        <w:ind w:left="1134"/>
        <w:rPr>
          <w:rFonts w:eastAsia="Calibri"/>
          <w:noProof/>
        </w:rPr>
      </w:pPr>
    </w:p>
    <w:p w:rsidR="00AB7D6B" w:rsidRPr="00F82327" w:rsidRDefault="00AB7D6B" w:rsidP="00AB7D6B">
      <w:pPr>
        <w:rPr>
          <w:noProof/>
        </w:rPr>
      </w:pPr>
      <w:r w:rsidRPr="00F82327">
        <w:rPr>
          <w:noProof/>
        </w:rPr>
        <w:t>Frozen or Other Beef and Veal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13.</w:t>
      </w:r>
      <w:r w:rsidRPr="00F82327">
        <w:rPr>
          <w:noProof/>
        </w:rPr>
        <w:tab/>
        <w:t>(a)</w:t>
      </w:r>
      <w:r w:rsidRPr="00F82327">
        <w:rPr>
          <w:noProof/>
        </w:rPr>
        <w:tab/>
        <w:t>Originating goods in the following aggregate quantities and provided for in items with the notation "TQB2" in the European Union's Schedule to this Annex and listed in subparagraph (e) shall be duty-free in the years specified below:</w:t>
      </w:r>
    </w:p>
    <w:p w:rsidR="00AB7D6B" w:rsidRPr="00F82327" w:rsidRDefault="00AB7D6B" w:rsidP="00AB7D6B">
      <w:pPr>
        <w:tabs>
          <w:tab w:val="left" w:pos="567"/>
        </w:tabs>
        <w:spacing w:line="240" w:lineRule="auto"/>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 – Carcass Weight Equivalent)</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2,500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2</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5,000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3</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7,500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4</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10,000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5</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12,500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6 and each subsequent year</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ight="4512"/>
              <w:jc w:val="right"/>
              <w:rPr>
                <w:noProof/>
                <w:szCs w:val="24"/>
              </w:rPr>
            </w:pPr>
            <w:r w:rsidRPr="00F82327">
              <w:rPr>
                <w:noProof/>
                <w:szCs w:val="24"/>
              </w:rPr>
              <w:t>15,000</w:t>
            </w:r>
          </w:p>
        </w:tc>
      </w:tr>
    </w:tbl>
    <w:p w:rsidR="00AB7D6B" w:rsidRPr="00F82327" w:rsidRDefault="00AB7D6B" w:rsidP="00AB7D6B">
      <w:pPr>
        <w:rPr>
          <w:noProof/>
        </w:rPr>
      </w:pPr>
    </w:p>
    <w:p w:rsidR="00AB7D6B" w:rsidRPr="00F82327" w:rsidRDefault="00AB7D6B" w:rsidP="00EB351D">
      <w:pPr>
        <w:ind w:left="1134" w:hanging="567"/>
        <w:rPr>
          <w:noProof/>
        </w:rPr>
      </w:pPr>
      <w:r w:rsidRPr="00F82327">
        <w:rPr>
          <w:noProof/>
        </w:rPr>
        <w:br w:type="page"/>
      </w:r>
      <w:r w:rsidRPr="00F82327">
        <w:rPr>
          <w:noProof/>
        </w:rPr>
        <w:lastRenderedPageBreak/>
        <w:t>(b)</w:t>
      </w:r>
      <w:r w:rsidRPr="00F82327">
        <w:rPr>
          <w:noProof/>
        </w:rPr>
        <w:tab/>
        <w:t>When calculating quantities imported, the conversion factors specified in paragraph 21 shall be utilized to convert Product Weight to Carcass Weight Equivalent.</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(c)</w:t>
      </w:r>
      <w:r w:rsidRPr="00F82327">
        <w:rPr>
          <w:noProof/>
        </w:rPr>
        <w:tab/>
        <w:t>The European Union shall administer this tariff rate quota either through an import licensing system as outlined in the Declaration on Tariff Rate Quota Administration or as otherwise agreed to between the Parties.</w:t>
      </w:r>
    </w:p>
    <w:p w:rsidR="00AB7D6B" w:rsidRPr="00F82327" w:rsidRDefault="00AB7D6B" w:rsidP="00AB7D6B">
      <w:pPr>
        <w:ind w:left="1134" w:hanging="567"/>
        <w:rPr>
          <w:noProof/>
        </w:rPr>
      </w:pPr>
    </w:p>
    <w:p w:rsidR="00AB7D6B" w:rsidRPr="00F82327" w:rsidRDefault="00AB7D6B" w:rsidP="00EB351D">
      <w:pPr>
        <w:ind w:left="1134" w:hanging="567"/>
        <w:rPr>
          <w:noProof/>
        </w:rPr>
      </w:pPr>
      <w:r w:rsidRPr="00F82327">
        <w:rPr>
          <w:noProof/>
        </w:rPr>
        <w:t>(d)</w:t>
      </w:r>
      <w:r w:rsidRPr="00F82327">
        <w:rPr>
          <w:noProof/>
        </w:rPr>
        <w:tab/>
        <w:t>Notwithstanding subparagraph (c), paragraphs 19 and 20 shall apply to this paragraph.</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(e)</w:t>
      </w:r>
      <w:r w:rsidRPr="00F82327">
        <w:rPr>
          <w:noProof/>
        </w:rPr>
        <w:tab/>
        <w:t>This paragraph applies to beef and veal classified in the following tariff lines:</w:t>
      </w:r>
    </w:p>
    <w:p w:rsidR="00AB7D6B" w:rsidRPr="00F82327" w:rsidRDefault="00AB7D6B" w:rsidP="00AB7D6B">
      <w:pPr>
        <w:ind w:left="1134"/>
        <w:rPr>
          <w:noProof/>
        </w:rPr>
      </w:pPr>
      <w:r w:rsidRPr="00F82327">
        <w:rPr>
          <w:noProof/>
        </w:rPr>
        <w:t xml:space="preserve">ex 0202 10 00, ex 0202 20 10, ex 0202 20 30, ex 0202 20 50, ex 0202 20 90, ex 0202 30 10, ex 0202 30 </w:t>
      </w:r>
      <w:r w:rsidRPr="00F82327">
        <w:rPr>
          <w:rFonts w:eastAsia="Calibri"/>
          <w:noProof/>
        </w:rPr>
        <w:t>50</w:t>
      </w:r>
      <w:r w:rsidRPr="00F82327">
        <w:rPr>
          <w:noProof/>
        </w:rPr>
        <w:t>, ex 0202 30 90, ex 0206 29 91, ex 0210 20 10, ex 0210 20 90, ex 0210 99 51 and ex 0210 99 59.</w:t>
      </w:r>
    </w:p>
    <w:p w:rsidR="00AB7D6B" w:rsidRPr="00F82327" w:rsidRDefault="00AB7D6B" w:rsidP="00AB7D6B">
      <w:pPr>
        <w:ind w:left="1134"/>
        <w:rPr>
          <w:noProof/>
        </w:rPr>
      </w:pPr>
    </w:p>
    <w:p w:rsidR="00AB7D6B" w:rsidRPr="00F82327" w:rsidRDefault="00AB7D6B" w:rsidP="00AB7D6B">
      <w:pPr>
        <w:rPr>
          <w:noProof/>
        </w:rPr>
      </w:pPr>
      <w:r w:rsidRPr="00F82327">
        <w:rPr>
          <w:noProof/>
        </w:rPr>
        <w:t>High Quality Fresh, Chilled and Frozen Meat of Bovine Animals Tariff Rate Quota</w:t>
      </w:r>
    </w:p>
    <w:p w:rsidR="00AB7D6B" w:rsidRPr="00F82327" w:rsidRDefault="00AB7D6B" w:rsidP="00AB7D6B">
      <w:pPr>
        <w:rPr>
          <w:noProof/>
        </w:rPr>
      </w:pPr>
    </w:p>
    <w:p w:rsidR="00AB7D6B" w:rsidRPr="00F82327" w:rsidRDefault="00AB7D6B" w:rsidP="00AB7D6B">
      <w:pPr>
        <w:ind w:left="567" w:hanging="567"/>
        <w:rPr>
          <w:rFonts w:eastAsia="Calibri"/>
          <w:noProof/>
        </w:rPr>
      </w:pPr>
      <w:r w:rsidRPr="00F82327">
        <w:rPr>
          <w:rFonts w:eastAsia="Calibri"/>
          <w:noProof/>
        </w:rPr>
        <w:t>14.</w:t>
      </w:r>
      <w:r w:rsidRPr="00F82327">
        <w:rPr>
          <w:rFonts w:eastAsia="Calibri"/>
          <w:noProof/>
        </w:rPr>
        <w:tab/>
        <w:t xml:space="preserve">Originating goods that are exported from Canada and are imported into the European Union through the </w:t>
      </w:r>
      <w:r w:rsidRPr="00F82327">
        <w:rPr>
          <w:noProof/>
        </w:rPr>
        <w:t>European</w:t>
      </w:r>
      <w:r w:rsidRPr="00F82327">
        <w:rPr>
          <w:rFonts w:eastAsia="Calibri"/>
          <w:noProof/>
        </w:rPr>
        <w:t xml:space="preserve"> Union's existing WTO tariff quota for high quality fresh, chilled and frozen meat of bovine animals covered by CN tariff headings ex 0201 and ex 0202 and for products covered by CN tariff lines ex 0206 10 95 and ex 0206 29 91 of 11,500 tonnes product weight, as set out in Commission Implementing Regulation (EU) No 593/2013 of 21 June 2013, shall be duty-free on the date this Agreement enters into force.</w:t>
      </w:r>
    </w:p>
    <w:p w:rsidR="00AB7D6B" w:rsidRPr="00F82327" w:rsidRDefault="00AB7D6B" w:rsidP="00AB7D6B">
      <w:pPr>
        <w:ind w:left="567" w:hanging="567"/>
        <w:rPr>
          <w:rFonts w:eastAsia="Calibri"/>
          <w:noProof/>
        </w:rPr>
      </w:pPr>
    </w:p>
    <w:p w:rsidR="00AB7D6B" w:rsidRPr="00F82327" w:rsidRDefault="00AB7D6B" w:rsidP="00AB7D6B">
      <w:pPr>
        <w:rPr>
          <w:noProof/>
        </w:rPr>
      </w:pPr>
      <w:r w:rsidRPr="00F82327">
        <w:rPr>
          <w:noProof/>
        </w:rPr>
        <w:br w:type="page"/>
      </w:r>
      <w:r w:rsidRPr="00F82327">
        <w:rPr>
          <w:noProof/>
        </w:rPr>
        <w:lastRenderedPageBreak/>
        <w:t>Pork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15.</w:t>
      </w:r>
      <w:r w:rsidRPr="00F82327">
        <w:rPr>
          <w:noProof/>
        </w:rPr>
        <w:tab/>
        <w:t>(a)</w:t>
      </w:r>
      <w:r w:rsidRPr="00F82327">
        <w:rPr>
          <w:noProof/>
        </w:rPr>
        <w:tab/>
        <w:t>Originating goods in the following aggregate quantities and provided for in items listed with the notation "TQP" in the European Union's Schedule to this Annex and listed in subparagraph (f) shall be duty-free in the years specified below:</w:t>
      </w:r>
    </w:p>
    <w:p w:rsidR="00AB7D6B" w:rsidRPr="00F82327" w:rsidRDefault="00AB7D6B" w:rsidP="00AB7D6B">
      <w:pPr>
        <w:tabs>
          <w:tab w:val="left" w:pos="567"/>
        </w:tabs>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4E1C18">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 – Carcass Weight Equivalent)</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Pr>
                <w:noProof/>
                <w:szCs w:val="24"/>
              </w:rPr>
            </w:pPr>
            <w:r w:rsidRPr="00F82327">
              <w:rPr>
                <w:noProof/>
                <w:szCs w:val="24"/>
              </w:rPr>
              <w:t>12,500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2</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Pr>
                <w:noProof/>
                <w:szCs w:val="24"/>
              </w:rPr>
            </w:pPr>
            <w:r w:rsidRPr="00F82327">
              <w:rPr>
                <w:noProof/>
                <w:szCs w:val="24"/>
              </w:rPr>
              <w:t>25,000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3</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Pr>
                <w:noProof/>
                <w:szCs w:val="24"/>
              </w:rPr>
            </w:pPr>
            <w:r w:rsidRPr="00F82327">
              <w:rPr>
                <w:noProof/>
                <w:szCs w:val="24"/>
              </w:rPr>
              <w:t>37,500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4</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Pr>
                <w:noProof/>
                <w:szCs w:val="24"/>
              </w:rPr>
            </w:pPr>
            <w:r w:rsidRPr="00F82327">
              <w:rPr>
                <w:noProof/>
                <w:szCs w:val="24"/>
              </w:rPr>
              <w:t>50,000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5</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Pr>
                <w:noProof/>
                <w:szCs w:val="24"/>
              </w:rPr>
            </w:pPr>
            <w:r w:rsidRPr="00F82327">
              <w:rPr>
                <w:noProof/>
                <w:szCs w:val="24"/>
              </w:rPr>
              <w:t>62,500</w:t>
            </w:r>
          </w:p>
        </w:tc>
      </w:tr>
      <w:tr w:rsidR="00AB7D6B" w:rsidRPr="00F82327" w:rsidTr="004E1C18">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6 and each subsequent year</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4E1C18">
            <w:pPr>
              <w:spacing w:before="60" w:after="60" w:line="240" w:lineRule="auto"/>
              <w:ind w:left="98"/>
              <w:rPr>
                <w:noProof/>
                <w:szCs w:val="24"/>
              </w:rPr>
            </w:pPr>
            <w:r w:rsidRPr="00F82327">
              <w:rPr>
                <w:noProof/>
                <w:szCs w:val="24"/>
              </w:rPr>
              <w:t>75,000</w:t>
            </w:r>
          </w:p>
        </w:tc>
      </w:tr>
    </w:tbl>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(b)</w:t>
      </w:r>
      <w:r w:rsidRPr="00F82327">
        <w:rPr>
          <w:noProof/>
        </w:rPr>
        <w:tab/>
        <w:t xml:space="preserve">The aggregate annual duty-free quantities in the table above shall be increased, beginning in year 1, by 4,624 metric tonnes product weight (5,549 metric tonnes carcass weight </w:t>
      </w:r>
      <w:r w:rsidRPr="00F82327">
        <w:rPr>
          <w:rFonts w:eastAsia="Calibri"/>
          <w:noProof/>
        </w:rPr>
        <w:t>equivalent</w:t>
      </w:r>
      <w:r w:rsidRPr="00F82327">
        <w:rPr>
          <w:noProof/>
        </w:rPr>
        <w:t>) pursuant to the volume established in the European Union's Canada-specific WTO tariff quota for pig-meat.</w:t>
      </w:r>
    </w:p>
    <w:p w:rsidR="00AB7D6B" w:rsidRPr="00F82327" w:rsidRDefault="00AB7D6B" w:rsidP="00AB7D6B">
      <w:pPr>
        <w:ind w:left="1134" w:hanging="567"/>
        <w:rPr>
          <w:noProof/>
        </w:rPr>
      </w:pPr>
    </w:p>
    <w:p w:rsidR="00AB7D6B" w:rsidRPr="00F82327" w:rsidRDefault="00AB7D6B" w:rsidP="00EB351D">
      <w:pPr>
        <w:ind w:left="1134" w:hanging="567"/>
        <w:rPr>
          <w:noProof/>
        </w:rPr>
      </w:pPr>
      <w:r w:rsidRPr="00F82327">
        <w:rPr>
          <w:noProof/>
        </w:rPr>
        <w:t>(c)</w:t>
      </w:r>
      <w:r w:rsidRPr="00F82327">
        <w:rPr>
          <w:noProof/>
        </w:rPr>
        <w:tab/>
        <w:t>When calculating quantities imported, the conversion factors specified in paragraph 21 shall be utilized to convert Product Weight to Carcass Weight Equivalent.</w:t>
      </w:r>
    </w:p>
    <w:p w:rsidR="00AB7D6B" w:rsidRPr="00F82327" w:rsidRDefault="00AB7D6B" w:rsidP="00AB7D6B">
      <w:pPr>
        <w:ind w:left="1134" w:hanging="567"/>
        <w:rPr>
          <w:noProof/>
        </w:rPr>
      </w:pPr>
    </w:p>
    <w:p w:rsidR="003E3FFD" w:rsidRPr="00F82327" w:rsidRDefault="003E3FFD">
      <w:pPr>
        <w:widowControl/>
        <w:spacing w:line="240" w:lineRule="auto"/>
        <w:rPr>
          <w:noProof/>
        </w:rPr>
      </w:pPr>
      <w:r w:rsidRPr="00F82327">
        <w:rPr>
          <w:noProof/>
        </w:rPr>
        <w:br w:type="page"/>
      </w:r>
    </w:p>
    <w:p w:rsidR="00AB7D6B" w:rsidRPr="00F82327" w:rsidRDefault="00AB7D6B" w:rsidP="00AB7D6B">
      <w:pPr>
        <w:ind w:left="1134" w:hanging="567"/>
        <w:rPr>
          <w:noProof/>
        </w:rPr>
      </w:pPr>
      <w:r w:rsidRPr="00F82327">
        <w:rPr>
          <w:noProof/>
        </w:rPr>
        <w:lastRenderedPageBreak/>
        <w:t>(d)</w:t>
      </w:r>
      <w:r w:rsidRPr="00F82327">
        <w:rPr>
          <w:noProof/>
        </w:rPr>
        <w:tab/>
        <w:t>The European Union shall administer this tariff rate quota, including the additional quantities from the European Union's Canada-specific WTO tariff quota for pig-meat as outlined in subparagraph (b), either through an import licensing system as outlined in the Declaration on Tariff Rate Quota Administration or as otherwise agreed to between the Parties.</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(e)</w:t>
      </w:r>
      <w:r w:rsidRPr="00F82327">
        <w:rPr>
          <w:noProof/>
        </w:rPr>
        <w:tab/>
        <w:t>Notwithstanding subparagraph (d), paragraphs 19 and 20 shall apply to this paragraph.</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(f)</w:t>
      </w:r>
      <w:r w:rsidRPr="00F82327">
        <w:rPr>
          <w:noProof/>
        </w:rPr>
        <w:tab/>
        <w:t>This paragraph applies to the following tariff lines:</w:t>
      </w:r>
    </w:p>
    <w:p w:rsidR="00AB7D6B" w:rsidRPr="00F82327" w:rsidRDefault="00AB7D6B" w:rsidP="00AB7D6B">
      <w:pPr>
        <w:ind w:left="1134"/>
        <w:rPr>
          <w:noProof/>
        </w:rPr>
      </w:pPr>
      <w:r w:rsidRPr="00F82327">
        <w:rPr>
          <w:noProof/>
        </w:rPr>
        <w:t>0203 12 11, 0203 12 19, 0203 19 11, 0203 19 13, 0203 19 15, 0203 19 55, 0203 19 59, 0203 22 11, 0203 22 19, 0203 29 11, 0203 29 13, 0203 29 15, 0203 29 55, 0203 29 59, 0210 11 11, 0210 11 19, 0210 11 31, and 0210 11 39.</w:t>
      </w:r>
    </w:p>
    <w:p w:rsidR="00AB7D6B" w:rsidRPr="00F82327" w:rsidRDefault="00AB7D6B" w:rsidP="00AB7D6B">
      <w:pPr>
        <w:ind w:left="1134"/>
        <w:rPr>
          <w:noProof/>
        </w:rPr>
      </w:pPr>
    </w:p>
    <w:p w:rsidR="00AB7D6B" w:rsidRPr="00F82327" w:rsidRDefault="00AB7D6B" w:rsidP="00EB351D">
      <w:pPr>
        <w:rPr>
          <w:noProof/>
        </w:rPr>
      </w:pPr>
      <w:r w:rsidRPr="00F82327">
        <w:rPr>
          <w:noProof/>
        </w:rPr>
        <w:t>Cheese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16.</w:t>
      </w:r>
      <w:r w:rsidRPr="00F82327">
        <w:rPr>
          <w:noProof/>
        </w:rPr>
        <w:tab/>
        <w:t>(a)</w:t>
      </w:r>
      <w:r w:rsidRPr="00F82327">
        <w:rPr>
          <w:noProof/>
        </w:rPr>
        <w:tab/>
        <w:t>Originating goods in the following aggregate quantities and provided for in items with the notation "TRQ Cheese" in Canada's Schedule to this Annex and listed in subparagraph (d) shall be duty-free in the years specified below:</w:t>
      </w:r>
    </w:p>
    <w:p w:rsidR="00AB7D6B" w:rsidRPr="00F82327" w:rsidRDefault="00AB7D6B" w:rsidP="00AB7D6B">
      <w:pPr>
        <w:tabs>
          <w:tab w:val="left" w:pos="567"/>
        </w:tabs>
        <w:spacing w:line="240" w:lineRule="auto"/>
        <w:ind w:left="1134" w:hanging="1134"/>
        <w:rPr>
          <w:noProof/>
        </w:rPr>
      </w:pPr>
    </w:p>
    <w:tbl>
      <w:tblPr>
        <w:tblW w:w="4418"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2"/>
        <w:gridCol w:w="5527"/>
      </w:tblGrid>
      <w:tr w:rsidR="00AB7D6B" w:rsidRPr="00F82327" w:rsidTr="00E878A5">
        <w:trPr>
          <w:tblHeader/>
        </w:trPr>
        <w:tc>
          <w:tcPr>
            <w:tcW w:w="177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22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w:t>
            </w:r>
            <w:r w:rsidRPr="00F82327">
              <w:rPr>
                <w:rStyle w:val="FootnoteReference"/>
                <w:rFonts w:eastAsia="Calibri"/>
              </w:rPr>
              <w:footnoteReference w:id="5"/>
            </w:r>
            <w:r w:rsidRPr="00F82327">
              <w:rPr>
                <w:b/>
                <w:bCs/>
                <w:noProof/>
                <w:szCs w:val="24"/>
              </w:rPr>
              <w:t>)</w:t>
            </w:r>
          </w:p>
        </w:tc>
      </w:tr>
      <w:tr w:rsidR="00AB7D6B" w:rsidRPr="00F82327" w:rsidTr="00E878A5">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4370"/>
              <w:jc w:val="right"/>
              <w:rPr>
                <w:noProof/>
                <w:szCs w:val="24"/>
              </w:rPr>
            </w:pPr>
            <w:r w:rsidRPr="00F82327">
              <w:rPr>
                <w:noProof/>
                <w:szCs w:val="24"/>
              </w:rPr>
              <w:t>2,667</w:t>
            </w:r>
          </w:p>
        </w:tc>
      </w:tr>
      <w:tr w:rsidR="00AB7D6B" w:rsidRPr="00F82327" w:rsidTr="00E878A5">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2</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4370"/>
              <w:jc w:val="right"/>
              <w:rPr>
                <w:noProof/>
                <w:szCs w:val="24"/>
              </w:rPr>
            </w:pPr>
            <w:r w:rsidRPr="00F82327">
              <w:rPr>
                <w:noProof/>
                <w:szCs w:val="24"/>
              </w:rPr>
              <w:t>5,333</w:t>
            </w:r>
          </w:p>
        </w:tc>
      </w:tr>
      <w:tr w:rsidR="00AB7D6B" w:rsidRPr="00F82327" w:rsidTr="00E878A5">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3</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4370"/>
              <w:jc w:val="right"/>
              <w:rPr>
                <w:noProof/>
                <w:szCs w:val="24"/>
              </w:rPr>
            </w:pPr>
            <w:r w:rsidRPr="00F82327">
              <w:rPr>
                <w:noProof/>
                <w:szCs w:val="24"/>
              </w:rPr>
              <w:t>8,000</w:t>
            </w:r>
          </w:p>
        </w:tc>
      </w:tr>
      <w:tr w:rsidR="00AB7D6B" w:rsidRPr="00F82327" w:rsidTr="00E878A5">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4</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4370"/>
              <w:jc w:val="right"/>
              <w:rPr>
                <w:noProof/>
                <w:szCs w:val="24"/>
              </w:rPr>
            </w:pPr>
            <w:r w:rsidRPr="00F82327">
              <w:rPr>
                <w:noProof/>
                <w:szCs w:val="24"/>
              </w:rPr>
              <w:t>10,667</w:t>
            </w:r>
          </w:p>
        </w:tc>
      </w:tr>
      <w:tr w:rsidR="00AB7D6B" w:rsidRPr="00F82327" w:rsidTr="00E878A5">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5</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4370"/>
              <w:jc w:val="right"/>
              <w:rPr>
                <w:noProof/>
                <w:szCs w:val="24"/>
              </w:rPr>
            </w:pPr>
            <w:r w:rsidRPr="00F82327">
              <w:rPr>
                <w:noProof/>
                <w:szCs w:val="24"/>
              </w:rPr>
              <w:t>13,333</w:t>
            </w:r>
          </w:p>
        </w:tc>
      </w:tr>
      <w:tr w:rsidR="00AB7D6B" w:rsidRPr="00F82327" w:rsidTr="00E878A5">
        <w:tc>
          <w:tcPr>
            <w:tcW w:w="177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6 and each subsequent year</w:t>
            </w:r>
          </w:p>
        </w:tc>
        <w:tc>
          <w:tcPr>
            <w:tcW w:w="322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4370"/>
              <w:jc w:val="right"/>
              <w:rPr>
                <w:noProof/>
                <w:szCs w:val="24"/>
              </w:rPr>
            </w:pPr>
            <w:r w:rsidRPr="00F82327">
              <w:rPr>
                <w:noProof/>
                <w:szCs w:val="24"/>
              </w:rPr>
              <w:t>16,000</w:t>
            </w:r>
          </w:p>
        </w:tc>
      </w:tr>
    </w:tbl>
    <w:p w:rsidR="00AB7D6B" w:rsidRPr="00F82327" w:rsidRDefault="00AB7D6B" w:rsidP="00AB7D6B">
      <w:pPr>
        <w:spacing w:line="240" w:lineRule="auto"/>
        <w:ind w:left="1134" w:hanging="567"/>
        <w:rPr>
          <w:noProof/>
        </w:rPr>
      </w:pPr>
    </w:p>
    <w:p w:rsidR="00AB7D6B" w:rsidRPr="00F82327" w:rsidRDefault="00AB7D6B" w:rsidP="00AB7D6B">
      <w:pPr>
        <w:ind w:left="1134" w:hanging="567"/>
        <w:rPr>
          <w:noProof/>
        </w:rPr>
      </w:pPr>
      <w:r w:rsidRPr="00F82327">
        <w:rPr>
          <w:noProof/>
        </w:rPr>
        <w:br w:type="page"/>
      </w:r>
      <w:r w:rsidRPr="00F82327">
        <w:rPr>
          <w:noProof/>
        </w:rPr>
        <w:lastRenderedPageBreak/>
        <w:t>(b)</w:t>
      </w:r>
      <w:r w:rsidRPr="00F82327">
        <w:rPr>
          <w:noProof/>
        </w:rPr>
        <w:tab/>
        <w:t>Canada shall administer this tariff rate quota either through an import licensing system as outlined in the Declaration on Tariff Rate Quota Administration or as otherwise</w:t>
      </w:r>
      <w:r w:rsidR="00BA0409" w:rsidRPr="00F82327">
        <w:rPr>
          <w:noProof/>
        </w:rPr>
        <w:t xml:space="preserve"> agreed to between the Parties.</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(c)</w:t>
      </w:r>
      <w:r w:rsidRPr="00F82327">
        <w:rPr>
          <w:noProof/>
        </w:rPr>
        <w:tab/>
        <w:t>Notwithstanding subparagraph (b), paragraphs 19 and 20 shall apply to this paragraph.</w:t>
      </w:r>
    </w:p>
    <w:p w:rsidR="00AB7D6B" w:rsidRPr="00F82327" w:rsidRDefault="00AB7D6B" w:rsidP="00AB7D6B">
      <w:pPr>
        <w:ind w:left="1134" w:hanging="567"/>
        <w:rPr>
          <w:noProof/>
        </w:rPr>
      </w:pPr>
    </w:p>
    <w:p w:rsidR="00AB7D6B" w:rsidRPr="00F82327" w:rsidRDefault="00AB7D6B" w:rsidP="00AB7D6B">
      <w:pPr>
        <w:ind w:left="1134" w:hanging="567"/>
        <w:rPr>
          <w:noProof/>
        </w:rPr>
      </w:pPr>
      <w:r w:rsidRPr="00F82327">
        <w:rPr>
          <w:noProof/>
        </w:rPr>
        <w:t>(d)</w:t>
      </w:r>
      <w:r w:rsidRPr="00F82327">
        <w:rPr>
          <w:noProof/>
        </w:rPr>
        <w:tab/>
        <w:t>This paragraph applies to the following tariff lines:</w:t>
      </w:r>
    </w:p>
    <w:p w:rsidR="00AB7D6B" w:rsidRPr="00F82327" w:rsidRDefault="00AB7D6B" w:rsidP="00AB7D6B">
      <w:pPr>
        <w:ind w:left="1134"/>
        <w:rPr>
          <w:noProof/>
        </w:rPr>
      </w:pPr>
      <w:r w:rsidRPr="00F82327">
        <w:rPr>
          <w:noProof/>
        </w:rPr>
        <w:t>0406.10.10, 0406.20.11, 0406.20.91, 0406.30.10, 0406.40.10, 0406.90.11, 0406.90.21, 0406.90.31, 0406.90.41, 0406.90.51, 0406.90.61, 0406.90.71, 0406.90.81, 0406.90.91, 0406.90.93, 0406.90.95, and 0406.90.98.</w:t>
      </w:r>
    </w:p>
    <w:p w:rsidR="00AB7D6B" w:rsidRPr="00F82327" w:rsidRDefault="00AB7D6B" w:rsidP="00AB7D6B">
      <w:pPr>
        <w:ind w:left="1134"/>
        <w:rPr>
          <w:noProof/>
        </w:rPr>
      </w:pPr>
    </w:p>
    <w:p w:rsidR="00AB7D6B" w:rsidRPr="00F82327" w:rsidRDefault="00AB7D6B" w:rsidP="00AB7D6B">
      <w:pPr>
        <w:rPr>
          <w:noProof/>
        </w:rPr>
      </w:pPr>
      <w:r w:rsidRPr="00F82327">
        <w:rPr>
          <w:noProof/>
        </w:rPr>
        <w:t>Industrial Cheese Tariff Rate Quota</w:t>
      </w:r>
    </w:p>
    <w:p w:rsidR="00AB7D6B" w:rsidRPr="00F82327" w:rsidRDefault="00AB7D6B" w:rsidP="00AB7D6B">
      <w:pPr>
        <w:rPr>
          <w:noProof/>
        </w:rPr>
      </w:pPr>
    </w:p>
    <w:p w:rsidR="00AB7D6B" w:rsidRPr="00F82327" w:rsidRDefault="00AB7D6B" w:rsidP="00AB7D6B">
      <w:pPr>
        <w:tabs>
          <w:tab w:val="left" w:pos="567"/>
        </w:tabs>
        <w:ind w:left="1134" w:hanging="1134"/>
        <w:rPr>
          <w:noProof/>
        </w:rPr>
      </w:pPr>
      <w:r w:rsidRPr="00F82327">
        <w:rPr>
          <w:noProof/>
        </w:rPr>
        <w:t>17.</w:t>
      </w:r>
      <w:r w:rsidRPr="00F82327">
        <w:rPr>
          <w:noProof/>
        </w:rPr>
        <w:tab/>
        <w:t>(a)</w:t>
      </w:r>
      <w:r w:rsidRPr="00F82327">
        <w:rPr>
          <w:noProof/>
        </w:rPr>
        <w:tab/>
        <w:t>Originating goods in the following aggregate quantities and provided for in items with the notation "TRQ Industrial Cheese" in Canada's Schedule to this Annex and listed in subparagraph (d) shall be duty-free in the years specified below:</w:t>
      </w:r>
    </w:p>
    <w:p w:rsidR="00AB7D6B" w:rsidRPr="00F82327" w:rsidRDefault="00AB7D6B" w:rsidP="00AB7D6B">
      <w:pPr>
        <w:tabs>
          <w:tab w:val="left" w:pos="567"/>
        </w:tabs>
        <w:ind w:left="1134" w:hanging="1134"/>
        <w:rPr>
          <w:noProof/>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3031"/>
        <w:gridCol w:w="5156"/>
      </w:tblGrid>
      <w:tr w:rsidR="00AB7D6B" w:rsidRPr="00F82327" w:rsidTr="00E878A5">
        <w:trPr>
          <w:tblHeader/>
        </w:trPr>
        <w:tc>
          <w:tcPr>
            <w:tcW w:w="1851" w:type="pct"/>
            <w:tcBorders>
              <w:top w:val="outset" w:sz="6" w:space="0" w:color="auto"/>
              <w:bottom w:val="outset" w:sz="6" w:space="0" w:color="auto"/>
              <w:right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Year</w:t>
            </w:r>
          </w:p>
        </w:tc>
        <w:tc>
          <w:tcPr>
            <w:tcW w:w="3149" w:type="pct"/>
            <w:tcBorders>
              <w:top w:val="outset" w:sz="6" w:space="0" w:color="auto"/>
              <w:left w:val="outset" w:sz="6" w:space="0" w:color="auto"/>
              <w:bottom w:val="outset" w:sz="6" w:space="0" w:color="auto"/>
            </w:tcBorders>
            <w:shd w:val="clear" w:color="auto" w:fill="BFBFBF" w:themeFill="background1" w:themeFillShade="BF"/>
            <w:vAlign w:val="center"/>
          </w:tcPr>
          <w:p w:rsidR="00AB7D6B" w:rsidRPr="00F82327" w:rsidRDefault="00AB7D6B" w:rsidP="004E1C18">
            <w:pPr>
              <w:spacing w:before="60" w:after="60" w:line="240" w:lineRule="auto"/>
              <w:jc w:val="center"/>
              <w:rPr>
                <w:b/>
                <w:bCs/>
                <w:noProof/>
                <w:szCs w:val="24"/>
              </w:rPr>
            </w:pPr>
            <w:r w:rsidRPr="00F82327">
              <w:rPr>
                <w:b/>
                <w:bCs/>
                <w:noProof/>
                <w:szCs w:val="24"/>
              </w:rPr>
              <w:t>Aggregate Annual Quantity</w:t>
            </w:r>
            <w:r w:rsidRPr="00F82327">
              <w:rPr>
                <w:b/>
                <w:bCs/>
                <w:noProof/>
                <w:szCs w:val="24"/>
              </w:rPr>
              <w:br/>
              <w:t>(Metric Tonnes</w:t>
            </w:r>
            <w:r w:rsidRPr="00F82327">
              <w:rPr>
                <w:rStyle w:val="FootnoteReference"/>
                <w:rFonts w:eastAsia="Calibri"/>
              </w:rPr>
              <w:footnoteReference w:id="6"/>
            </w:r>
            <w:r w:rsidRPr="00F82327">
              <w:rPr>
                <w:b/>
                <w:bCs/>
                <w:noProof/>
                <w:szCs w:val="24"/>
              </w:rPr>
              <w:t>)</w:t>
            </w:r>
          </w:p>
        </w:tc>
      </w:tr>
      <w:tr w:rsidR="00AB7D6B" w:rsidRPr="00F82327" w:rsidTr="00E878A5">
        <w:tc>
          <w:tcPr>
            <w:tcW w:w="185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1</w:t>
            </w:r>
          </w:p>
        </w:tc>
        <w:tc>
          <w:tcPr>
            <w:tcW w:w="314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3998"/>
              <w:jc w:val="right"/>
              <w:rPr>
                <w:noProof/>
                <w:szCs w:val="24"/>
              </w:rPr>
            </w:pPr>
            <w:r w:rsidRPr="00F82327">
              <w:rPr>
                <w:noProof/>
                <w:szCs w:val="24"/>
              </w:rPr>
              <w:t>283</w:t>
            </w:r>
          </w:p>
        </w:tc>
      </w:tr>
      <w:tr w:rsidR="00AB7D6B" w:rsidRPr="00F82327" w:rsidTr="00E878A5">
        <w:tc>
          <w:tcPr>
            <w:tcW w:w="185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2</w:t>
            </w:r>
          </w:p>
        </w:tc>
        <w:tc>
          <w:tcPr>
            <w:tcW w:w="314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3998"/>
              <w:jc w:val="right"/>
              <w:rPr>
                <w:noProof/>
                <w:szCs w:val="24"/>
              </w:rPr>
            </w:pPr>
            <w:r w:rsidRPr="00F82327">
              <w:rPr>
                <w:noProof/>
                <w:szCs w:val="24"/>
              </w:rPr>
              <w:t>567</w:t>
            </w:r>
          </w:p>
        </w:tc>
      </w:tr>
      <w:tr w:rsidR="00AB7D6B" w:rsidRPr="00F82327" w:rsidTr="00E878A5">
        <w:tc>
          <w:tcPr>
            <w:tcW w:w="185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3</w:t>
            </w:r>
          </w:p>
        </w:tc>
        <w:tc>
          <w:tcPr>
            <w:tcW w:w="314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3998"/>
              <w:jc w:val="right"/>
              <w:rPr>
                <w:noProof/>
                <w:szCs w:val="24"/>
              </w:rPr>
            </w:pPr>
            <w:r w:rsidRPr="00F82327">
              <w:rPr>
                <w:noProof/>
                <w:szCs w:val="24"/>
              </w:rPr>
              <w:t>850</w:t>
            </w:r>
          </w:p>
        </w:tc>
      </w:tr>
      <w:tr w:rsidR="00AB7D6B" w:rsidRPr="00F82327" w:rsidTr="00E878A5">
        <w:tc>
          <w:tcPr>
            <w:tcW w:w="185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4</w:t>
            </w:r>
          </w:p>
        </w:tc>
        <w:tc>
          <w:tcPr>
            <w:tcW w:w="314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3998"/>
              <w:jc w:val="right"/>
              <w:rPr>
                <w:noProof/>
                <w:szCs w:val="24"/>
              </w:rPr>
            </w:pPr>
            <w:r w:rsidRPr="00F82327">
              <w:rPr>
                <w:noProof/>
                <w:szCs w:val="24"/>
              </w:rPr>
              <w:t>1,133</w:t>
            </w:r>
          </w:p>
        </w:tc>
      </w:tr>
      <w:tr w:rsidR="00AB7D6B" w:rsidRPr="00F82327" w:rsidTr="00E878A5">
        <w:tc>
          <w:tcPr>
            <w:tcW w:w="185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5</w:t>
            </w:r>
          </w:p>
        </w:tc>
        <w:tc>
          <w:tcPr>
            <w:tcW w:w="314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3998"/>
              <w:jc w:val="right"/>
              <w:rPr>
                <w:noProof/>
                <w:szCs w:val="24"/>
              </w:rPr>
            </w:pPr>
            <w:r w:rsidRPr="00F82327">
              <w:rPr>
                <w:noProof/>
                <w:szCs w:val="24"/>
              </w:rPr>
              <w:t>1,417</w:t>
            </w:r>
          </w:p>
        </w:tc>
      </w:tr>
      <w:tr w:rsidR="00AB7D6B" w:rsidRPr="00F82327" w:rsidTr="00E878A5">
        <w:tc>
          <w:tcPr>
            <w:tcW w:w="1851" w:type="pct"/>
            <w:tcBorders>
              <w:top w:val="outset" w:sz="6" w:space="0" w:color="auto"/>
              <w:bottom w:val="outset" w:sz="6" w:space="0" w:color="auto"/>
              <w:right w:val="outset" w:sz="6" w:space="0" w:color="auto"/>
            </w:tcBorders>
            <w:vAlign w:val="center"/>
          </w:tcPr>
          <w:p w:rsidR="00AB7D6B" w:rsidRPr="00F82327" w:rsidRDefault="00AB7D6B" w:rsidP="004E1C18">
            <w:pPr>
              <w:spacing w:before="60" w:after="60" w:line="240" w:lineRule="auto"/>
              <w:ind w:left="172"/>
              <w:rPr>
                <w:noProof/>
                <w:szCs w:val="24"/>
              </w:rPr>
            </w:pPr>
            <w:r w:rsidRPr="00F82327">
              <w:rPr>
                <w:noProof/>
                <w:szCs w:val="24"/>
              </w:rPr>
              <w:t>6 and each subsequent year</w:t>
            </w:r>
          </w:p>
        </w:tc>
        <w:tc>
          <w:tcPr>
            <w:tcW w:w="3149" w:type="pct"/>
            <w:tcBorders>
              <w:top w:val="outset" w:sz="6" w:space="0" w:color="auto"/>
              <w:left w:val="outset" w:sz="6" w:space="0" w:color="auto"/>
              <w:bottom w:val="outset" w:sz="6" w:space="0" w:color="auto"/>
            </w:tcBorders>
            <w:vAlign w:val="center"/>
          </w:tcPr>
          <w:p w:rsidR="00AB7D6B" w:rsidRPr="00F82327" w:rsidRDefault="00AB7D6B" w:rsidP="00E878A5">
            <w:pPr>
              <w:spacing w:before="60" w:after="60" w:line="240" w:lineRule="auto"/>
              <w:ind w:left="240" w:right="3998"/>
              <w:jc w:val="right"/>
              <w:rPr>
                <w:noProof/>
                <w:szCs w:val="24"/>
              </w:rPr>
            </w:pPr>
            <w:r w:rsidRPr="00F82327">
              <w:rPr>
                <w:noProof/>
                <w:szCs w:val="24"/>
              </w:rPr>
              <w:t>1,700</w:t>
            </w:r>
          </w:p>
        </w:tc>
      </w:tr>
    </w:tbl>
    <w:p w:rsidR="00AB7D6B" w:rsidRPr="00F82327" w:rsidRDefault="00AB7D6B" w:rsidP="00AB7D6B">
      <w:pPr>
        <w:spacing w:line="240" w:lineRule="auto"/>
        <w:ind w:left="1134" w:hanging="567"/>
        <w:rPr>
          <w:noProof/>
        </w:rPr>
      </w:pPr>
    </w:p>
    <w:p w:rsidR="00AB7D6B" w:rsidRPr="00F82327" w:rsidRDefault="00AB7D6B" w:rsidP="00EB351D">
      <w:pPr>
        <w:ind w:left="1134" w:hanging="567"/>
        <w:rPr>
          <w:noProof/>
        </w:rPr>
      </w:pPr>
      <w:r w:rsidRPr="00F82327">
        <w:rPr>
          <w:noProof/>
        </w:rPr>
        <w:br w:type="page"/>
      </w:r>
      <w:r w:rsidRPr="00F82327">
        <w:rPr>
          <w:noProof/>
        </w:rPr>
        <w:lastRenderedPageBreak/>
        <w:t>(b)</w:t>
      </w:r>
      <w:r w:rsidRPr="00F82327">
        <w:rPr>
          <w:noProof/>
        </w:rPr>
        <w:tab/>
        <w:t>Canada shall administer this tariff rate quota either through an import licensing system as outlined in the Declaration on Tariff Rate Quota Administration or as otherwise agreed to between the Parties.</w:t>
      </w:r>
    </w:p>
    <w:p w:rsidR="00AB7D6B" w:rsidRPr="00F82327" w:rsidRDefault="00AB7D6B" w:rsidP="00E90C0B">
      <w:pPr>
        <w:ind w:left="1134" w:hanging="567"/>
        <w:rPr>
          <w:noProof/>
        </w:rPr>
      </w:pPr>
    </w:p>
    <w:p w:rsidR="00AB7D6B" w:rsidRPr="00F82327" w:rsidRDefault="00AB7D6B" w:rsidP="00EB351D">
      <w:pPr>
        <w:ind w:left="1134" w:hanging="567"/>
        <w:rPr>
          <w:noProof/>
        </w:rPr>
      </w:pPr>
      <w:r w:rsidRPr="00F82327">
        <w:rPr>
          <w:noProof/>
        </w:rPr>
        <w:t>(c)</w:t>
      </w:r>
      <w:r w:rsidRPr="00F82327">
        <w:rPr>
          <w:noProof/>
        </w:rPr>
        <w:tab/>
        <w:t>Notwithstanding subparagraph (b), paragraphs 19 and 20 shall apply to this paragraph.</w:t>
      </w:r>
    </w:p>
    <w:p w:rsidR="00AB7D6B" w:rsidRPr="00F82327" w:rsidRDefault="00AB7D6B" w:rsidP="00E90C0B">
      <w:pPr>
        <w:ind w:left="1134" w:hanging="567"/>
        <w:rPr>
          <w:noProof/>
        </w:rPr>
      </w:pPr>
    </w:p>
    <w:p w:rsidR="00AB7D6B" w:rsidRPr="00F82327" w:rsidRDefault="00AB7D6B" w:rsidP="00E90C0B">
      <w:pPr>
        <w:ind w:left="1134" w:hanging="567"/>
        <w:rPr>
          <w:noProof/>
        </w:rPr>
      </w:pPr>
      <w:r w:rsidRPr="00F82327">
        <w:rPr>
          <w:noProof/>
        </w:rPr>
        <w:t>(d)</w:t>
      </w:r>
      <w:r w:rsidRPr="00F82327">
        <w:rPr>
          <w:noProof/>
        </w:rPr>
        <w:tab/>
        <w:t>This paragraph applies to industrial cheese, which means cheese used as ingredients for further food processing (secondary manufacturing) imported in bulk (not for retail sale), classified in the following tariff lines:</w:t>
      </w:r>
    </w:p>
    <w:p w:rsidR="00AB7D6B" w:rsidRPr="00F82327" w:rsidRDefault="00AB7D6B" w:rsidP="00E90C0B">
      <w:pPr>
        <w:ind w:left="1134"/>
        <w:rPr>
          <w:noProof/>
        </w:rPr>
      </w:pPr>
      <w:r w:rsidRPr="00F82327">
        <w:rPr>
          <w:noProof/>
        </w:rPr>
        <w:t>ex 0406.10.10, ex 0406.20.11, ex 0406.20.91, ex 0406.30.10, ex 0406.40.10, ex 0406.90.11, ex 0406.90.21, ex 0406.90.31, ex 0406.90.41, ex 0406.90.51, ex 0406.90.61, ex 0406.90.71, ex 0406.90.81, ex 0406.90.91, ex 0406.90.93, ex 0406.90.95, and ex 0406.90.98.</w:t>
      </w:r>
    </w:p>
    <w:p w:rsidR="00AB7D6B" w:rsidRPr="00F82327" w:rsidRDefault="00AB7D6B" w:rsidP="00E90C0B">
      <w:pPr>
        <w:ind w:left="1134"/>
        <w:rPr>
          <w:noProof/>
        </w:rPr>
      </w:pPr>
    </w:p>
    <w:p w:rsidR="00AB7D6B" w:rsidRPr="00F82327" w:rsidRDefault="00AB7D6B" w:rsidP="00E90C0B">
      <w:pPr>
        <w:rPr>
          <w:noProof/>
        </w:rPr>
      </w:pPr>
      <w:r w:rsidRPr="00F82327">
        <w:rPr>
          <w:noProof/>
        </w:rPr>
        <w:t>WTO Cheese Tariff Rate Quota</w:t>
      </w:r>
    </w:p>
    <w:p w:rsidR="00AB7D6B" w:rsidRPr="00F82327" w:rsidRDefault="00AB7D6B" w:rsidP="00E90C0B">
      <w:pPr>
        <w:rPr>
          <w:noProof/>
        </w:rPr>
      </w:pPr>
    </w:p>
    <w:p w:rsidR="00AB7D6B" w:rsidRPr="00F82327" w:rsidRDefault="00AB7D6B" w:rsidP="00EB351D">
      <w:pPr>
        <w:ind w:left="567" w:hanging="567"/>
        <w:rPr>
          <w:rFonts w:eastAsia="Calibri"/>
          <w:noProof/>
        </w:rPr>
      </w:pPr>
      <w:r w:rsidRPr="00F82327">
        <w:rPr>
          <w:rFonts w:eastAsia="Calibri"/>
          <w:noProof/>
        </w:rPr>
        <w:t>18.</w:t>
      </w:r>
      <w:r w:rsidRPr="00F82327">
        <w:rPr>
          <w:rFonts w:eastAsia="Calibri"/>
          <w:noProof/>
        </w:rPr>
        <w:tab/>
        <w:t>Canada shall reallocate, beginning in year 1 of this Agreement, 800 tonnes of Canada's 20,411,866 kilogram WTO Tariff Rate Quota for cheese to the European Union.</w:t>
      </w:r>
    </w:p>
    <w:p w:rsidR="00AB7D6B" w:rsidRPr="00F82327" w:rsidRDefault="00AB7D6B" w:rsidP="00E90C0B">
      <w:pPr>
        <w:ind w:left="567" w:hanging="567"/>
        <w:rPr>
          <w:rFonts w:eastAsia="Calibri"/>
          <w:noProof/>
        </w:rPr>
      </w:pPr>
    </w:p>
    <w:p w:rsidR="003E3FFD" w:rsidRPr="00F82327" w:rsidRDefault="003E3FFD">
      <w:pPr>
        <w:widowControl/>
        <w:spacing w:line="240" w:lineRule="auto"/>
        <w:rPr>
          <w:noProof/>
        </w:rPr>
      </w:pPr>
      <w:r w:rsidRPr="00F82327">
        <w:rPr>
          <w:noProof/>
        </w:rPr>
        <w:br w:type="page"/>
      </w:r>
    </w:p>
    <w:p w:rsidR="00AB7D6B" w:rsidRPr="00F82327" w:rsidRDefault="00AB7D6B" w:rsidP="00E90C0B">
      <w:pPr>
        <w:rPr>
          <w:noProof/>
        </w:rPr>
      </w:pPr>
      <w:r w:rsidRPr="00F82327">
        <w:rPr>
          <w:noProof/>
        </w:rPr>
        <w:lastRenderedPageBreak/>
        <w:t>Under-fill mechanism</w:t>
      </w:r>
    </w:p>
    <w:p w:rsidR="00AB7D6B" w:rsidRPr="00F82327" w:rsidRDefault="00AB7D6B" w:rsidP="00E90C0B">
      <w:pPr>
        <w:rPr>
          <w:noProof/>
        </w:rPr>
      </w:pPr>
    </w:p>
    <w:p w:rsidR="00AB7D6B" w:rsidRPr="00F82327" w:rsidRDefault="00AB7D6B" w:rsidP="00E90C0B">
      <w:pPr>
        <w:ind w:left="567" w:hanging="567"/>
        <w:rPr>
          <w:noProof/>
        </w:rPr>
      </w:pPr>
      <w:r w:rsidRPr="00F82327">
        <w:rPr>
          <w:noProof/>
        </w:rPr>
        <w:t>19.</w:t>
      </w:r>
      <w:r w:rsidRPr="00F82327">
        <w:rPr>
          <w:noProof/>
        </w:rPr>
        <w:tab/>
        <w:t xml:space="preserve">With </w:t>
      </w:r>
      <w:r w:rsidRPr="00F82327">
        <w:rPr>
          <w:rFonts w:eastAsia="Calibri"/>
          <w:noProof/>
        </w:rPr>
        <w:t>respect</w:t>
      </w:r>
      <w:r w:rsidRPr="00F82327">
        <w:rPr>
          <w:noProof/>
        </w:rPr>
        <w:t xml:space="preserve"> to the tariff rate </w:t>
      </w:r>
      <w:r w:rsidRPr="00F82327">
        <w:rPr>
          <w:rFonts w:eastAsia="Calibri"/>
          <w:noProof/>
        </w:rPr>
        <w:t>quotas</w:t>
      </w:r>
      <w:r w:rsidRPr="00F82327">
        <w:rPr>
          <w:noProof/>
        </w:rPr>
        <w:t xml:space="preserve"> set out in paragraphs 12, 13, 15, 16, and 17:</w:t>
      </w:r>
    </w:p>
    <w:p w:rsidR="00AB7D6B" w:rsidRPr="00F82327" w:rsidRDefault="00AB7D6B" w:rsidP="00E90C0B">
      <w:pPr>
        <w:ind w:left="567" w:hanging="567"/>
        <w:rPr>
          <w:noProof/>
        </w:rPr>
      </w:pPr>
    </w:p>
    <w:p w:rsidR="00AB7D6B" w:rsidRPr="00F82327" w:rsidRDefault="00AB7D6B" w:rsidP="00E90C0B">
      <w:pPr>
        <w:ind w:left="1134" w:hanging="567"/>
        <w:rPr>
          <w:noProof/>
        </w:rPr>
      </w:pPr>
      <w:r w:rsidRPr="00F82327">
        <w:rPr>
          <w:noProof/>
        </w:rPr>
        <w:t>(a)</w:t>
      </w:r>
      <w:r w:rsidRPr="00F82327">
        <w:rPr>
          <w:noProof/>
        </w:rPr>
        <w:tab/>
        <w:t>If a tariff rate quota is under-filled, defined as less than 75 per cent of the annual aggregate quantity actually imported into the Party under the tariff rate quota in a given year, the Parties shall meet, upon the request of a Party, in the framework of the Committee on Agriculture established under Article 26.2.1 (a) (Specialised committees) in order to promptly address the underlying causes of the under-fill or any other questions affecting the smooth operation of the tariff rate quota.</w:t>
      </w:r>
    </w:p>
    <w:p w:rsidR="00AB7D6B" w:rsidRPr="00F82327" w:rsidRDefault="00AB7D6B" w:rsidP="003E3FFD">
      <w:pPr>
        <w:ind w:left="1134" w:hanging="567"/>
        <w:rPr>
          <w:noProof/>
        </w:rPr>
      </w:pPr>
    </w:p>
    <w:p w:rsidR="00AB7D6B" w:rsidRPr="00F82327" w:rsidRDefault="00AB7D6B" w:rsidP="003E3FFD">
      <w:pPr>
        <w:ind w:left="1134" w:hanging="567"/>
        <w:rPr>
          <w:rFonts w:eastAsia="Calibri"/>
          <w:noProof/>
        </w:rPr>
      </w:pPr>
      <w:r w:rsidRPr="00F82327">
        <w:rPr>
          <w:noProof/>
        </w:rPr>
        <w:t>(b)</w:t>
      </w:r>
      <w:r w:rsidRPr="00F82327">
        <w:rPr>
          <w:noProof/>
        </w:rPr>
        <w:tab/>
        <w:t xml:space="preserve">If a tariff rate quota is under-filled, defined as less than 75 per cent of the annual aggregate quantity actually imported into the Party </w:t>
      </w:r>
      <w:r w:rsidRPr="00F82327">
        <w:rPr>
          <w:rFonts w:eastAsia="Calibri"/>
          <w:noProof/>
        </w:rPr>
        <w:t>under the tariff rate quota in a given year for three consecutive years, and where such under-fill is not linked to scarce supply or demand of the relevant good, the administration of the quota for the following year(s) shall be made on a first-come first-served basis. To demonstrate scarce supply or demand, a Party shall clearly demonstrate on a quantifiable basis that either adequate supply to fill the tariff rate quota is not available in the country of export or that the tariff rate quota quantity could not be consumed in the importing market. If the Parties disagree on the reasons leading to under-fill, the matter shall be subject to binding arbitration at the request of a Party.</w:t>
      </w:r>
    </w:p>
    <w:p w:rsidR="00AB7D6B" w:rsidRPr="00F82327" w:rsidRDefault="00AB7D6B" w:rsidP="00E90C0B">
      <w:pPr>
        <w:ind w:left="1134" w:hanging="567"/>
        <w:rPr>
          <w:rFonts w:eastAsia="Calibri"/>
          <w:noProof/>
        </w:rPr>
      </w:pPr>
    </w:p>
    <w:p w:rsidR="003E3FFD" w:rsidRPr="00F82327" w:rsidRDefault="003E3FFD">
      <w:pPr>
        <w:widowControl/>
        <w:spacing w:line="240" w:lineRule="auto"/>
        <w:rPr>
          <w:rFonts w:eastAsia="Calibri"/>
          <w:noProof/>
        </w:rPr>
      </w:pPr>
      <w:r w:rsidRPr="00F82327">
        <w:rPr>
          <w:rFonts w:eastAsia="Calibri"/>
          <w:noProof/>
        </w:rPr>
        <w:br w:type="page"/>
      </w:r>
    </w:p>
    <w:p w:rsidR="00AB7D6B" w:rsidRPr="00F82327" w:rsidRDefault="00AB7D6B" w:rsidP="00E90C0B">
      <w:pPr>
        <w:ind w:left="1134" w:hanging="567"/>
        <w:rPr>
          <w:rFonts w:eastAsia="Calibri"/>
          <w:noProof/>
        </w:rPr>
      </w:pPr>
      <w:r w:rsidRPr="00F82327">
        <w:rPr>
          <w:rFonts w:eastAsia="Calibri"/>
          <w:noProof/>
        </w:rPr>
        <w:lastRenderedPageBreak/>
        <w:t>(c)</w:t>
      </w:r>
      <w:r w:rsidRPr="00F82327">
        <w:rPr>
          <w:rFonts w:eastAsia="Calibri"/>
          <w:noProof/>
        </w:rPr>
        <w:tab/>
        <w:t xml:space="preserve">If subsequent to the under-fill referred to in subparagraph (b), there is full use of the tariff rate quota, defined as 90 per cent or </w:t>
      </w:r>
      <w:r w:rsidRPr="00F82327">
        <w:rPr>
          <w:noProof/>
        </w:rPr>
        <w:t>more</w:t>
      </w:r>
      <w:r w:rsidRPr="00F82327">
        <w:rPr>
          <w:rFonts w:eastAsia="Calibri"/>
          <w:noProof/>
        </w:rPr>
        <w:t xml:space="preserve"> </w:t>
      </w:r>
      <w:r w:rsidRPr="00F82327">
        <w:rPr>
          <w:noProof/>
        </w:rPr>
        <w:t xml:space="preserve">of the annual aggregate quantity actually imported into the Party </w:t>
      </w:r>
      <w:r w:rsidRPr="00F82327">
        <w:rPr>
          <w:rFonts w:eastAsia="Calibri"/>
          <w:noProof/>
        </w:rPr>
        <w:t>under the tariff rate quota in a given year for two consecutive years, the Parties may consider returning to a licencing system following consultations between the Parties on the necessity and opportunity of such reversion and on the features of such licencing system.</w:t>
      </w:r>
    </w:p>
    <w:p w:rsidR="00AB7D6B" w:rsidRPr="00F82327" w:rsidRDefault="00AB7D6B" w:rsidP="00E90C0B">
      <w:pPr>
        <w:ind w:left="1134" w:hanging="567"/>
        <w:rPr>
          <w:rFonts w:eastAsia="Calibri"/>
          <w:noProof/>
        </w:rPr>
      </w:pPr>
    </w:p>
    <w:p w:rsidR="00AB7D6B" w:rsidRPr="00F82327" w:rsidRDefault="00AB7D6B" w:rsidP="00E90C0B">
      <w:pPr>
        <w:rPr>
          <w:noProof/>
        </w:rPr>
      </w:pPr>
      <w:r w:rsidRPr="00F82327">
        <w:rPr>
          <w:noProof/>
        </w:rPr>
        <w:t>Review clause</w:t>
      </w:r>
    </w:p>
    <w:p w:rsidR="00AB7D6B" w:rsidRPr="00F82327" w:rsidRDefault="00AB7D6B" w:rsidP="00E90C0B">
      <w:pPr>
        <w:rPr>
          <w:noProof/>
        </w:rPr>
      </w:pPr>
    </w:p>
    <w:p w:rsidR="00AB7D6B" w:rsidRPr="00F82327" w:rsidRDefault="00AB7D6B" w:rsidP="00E90C0B">
      <w:pPr>
        <w:tabs>
          <w:tab w:val="left" w:pos="567"/>
        </w:tabs>
        <w:ind w:left="1134" w:hanging="1134"/>
        <w:rPr>
          <w:noProof/>
        </w:rPr>
      </w:pPr>
      <w:r w:rsidRPr="00F82327">
        <w:rPr>
          <w:noProof/>
        </w:rPr>
        <w:t>20.</w:t>
      </w:r>
      <w:r w:rsidRPr="00F82327">
        <w:rPr>
          <w:noProof/>
        </w:rPr>
        <w:tab/>
        <w:t>(a)</w:t>
      </w:r>
      <w:r w:rsidRPr="00F82327">
        <w:rPr>
          <w:noProof/>
        </w:rPr>
        <w:tab/>
        <w:t xml:space="preserve">With respect to the tariff rate quotas set out in paragraphs 12, 13, 15, 16, and 17, both at the mid-term and at the end of the phase-in period of any of these tariff rate quotas, or at any other time upon </w:t>
      </w:r>
      <w:r w:rsidRPr="00F82327">
        <w:rPr>
          <w:rFonts w:eastAsia="Calibri"/>
          <w:noProof/>
        </w:rPr>
        <w:t>motivated</w:t>
      </w:r>
      <w:r w:rsidRPr="00F82327">
        <w:rPr>
          <w:noProof/>
        </w:rPr>
        <w:t xml:space="preserve"> request of a Party, the Parties </w:t>
      </w:r>
      <w:r w:rsidRPr="00F82327">
        <w:rPr>
          <w:rFonts w:eastAsia="Calibri"/>
          <w:noProof/>
        </w:rPr>
        <w:t xml:space="preserve">shall </w:t>
      </w:r>
      <w:r w:rsidRPr="00F82327">
        <w:rPr>
          <w:noProof/>
        </w:rPr>
        <w:t>review the operation of the relevant tariff rate quota administration system in light notably of its effectiveness in ensuring quota utilisation, market conditions, and administrative burdens associated with the system for the economic operators and for the Parties.</w:t>
      </w:r>
    </w:p>
    <w:p w:rsidR="00AB7D6B" w:rsidRPr="00F82327" w:rsidRDefault="00AB7D6B" w:rsidP="00E90C0B">
      <w:pPr>
        <w:tabs>
          <w:tab w:val="left" w:pos="567"/>
        </w:tabs>
        <w:ind w:left="1134" w:hanging="1134"/>
        <w:rPr>
          <w:noProof/>
        </w:rPr>
      </w:pPr>
    </w:p>
    <w:p w:rsidR="00AB7D6B" w:rsidRPr="00F82327" w:rsidRDefault="00AB7D6B" w:rsidP="00E90C0B">
      <w:pPr>
        <w:ind w:left="1134" w:hanging="567"/>
        <w:rPr>
          <w:rFonts w:eastAsia="Calibri"/>
          <w:noProof/>
        </w:rPr>
      </w:pPr>
      <w:r w:rsidRPr="00F82327">
        <w:rPr>
          <w:rFonts w:eastAsia="Calibri"/>
          <w:noProof/>
        </w:rPr>
        <w:t>(b)</w:t>
      </w:r>
      <w:r w:rsidRPr="00F82327">
        <w:rPr>
          <w:rFonts w:eastAsia="Calibri"/>
          <w:noProof/>
        </w:rPr>
        <w:tab/>
        <w:t>With respect to the tariff rate quotas set out in paragraphs 16 and 17, the review referred to in sub</w:t>
      </w:r>
      <w:r w:rsidRPr="00F82327">
        <w:rPr>
          <w:noProof/>
        </w:rPr>
        <w:t>paragraph</w:t>
      </w:r>
      <w:r w:rsidRPr="00F82327">
        <w:rPr>
          <w:rFonts w:eastAsia="Calibri"/>
          <w:noProof/>
        </w:rPr>
        <w:t xml:space="preserve"> (a) shall also include the allocation method allowing for new entrants.</w:t>
      </w:r>
    </w:p>
    <w:p w:rsidR="00AB7D6B" w:rsidRPr="00F82327" w:rsidRDefault="00AB7D6B" w:rsidP="00E90C0B">
      <w:pPr>
        <w:ind w:left="1134" w:hanging="567"/>
        <w:rPr>
          <w:rFonts w:eastAsia="Calibri"/>
          <w:noProof/>
        </w:rPr>
      </w:pPr>
    </w:p>
    <w:p w:rsidR="00AB7D6B" w:rsidRPr="00F82327" w:rsidRDefault="00AB7D6B" w:rsidP="00E90C0B">
      <w:pPr>
        <w:ind w:left="1134" w:hanging="567"/>
        <w:rPr>
          <w:rFonts w:eastAsia="Calibri"/>
          <w:noProof/>
        </w:rPr>
      </w:pPr>
      <w:r w:rsidRPr="00F82327">
        <w:rPr>
          <w:rFonts w:eastAsia="Calibri"/>
          <w:noProof/>
        </w:rPr>
        <w:t>(c)</w:t>
      </w:r>
      <w:r w:rsidRPr="00F82327">
        <w:rPr>
          <w:rFonts w:eastAsia="Calibri"/>
          <w:noProof/>
        </w:rPr>
        <w:tab/>
        <w:t xml:space="preserve">With respect to the tariff rate quotas set out in paragraphs 12, 13, and 15, the review referred to in subparagraph (a) shall also include the consequences of any tariff rate quota </w:t>
      </w:r>
      <w:r w:rsidRPr="00F82327">
        <w:rPr>
          <w:noProof/>
        </w:rPr>
        <w:t>administration</w:t>
      </w:r>
      <w:r w:rsidRPr="00F82327">
        <w:rPr>
          <w:rFonts w:eastAsia="Calibri"/>
          <w:noProof/>
        </w:rPr>
        <w:t xml:space="preserve"> modalities agreed with a third </w:t>
      </w:r>
      <w:r w:rsidRPr="00F82327">
        <w:rPr>
          <w:noProof/>
          <w:szCs w:val="24"/>
          <w:lang w:eastAsia="en-GB"/>
        </w:rPr>
        <w:t>country</w:t>
      </w:r>
      <w:r w:rsidRPr="00F82327">
        <w:rPr>
          <w:rFonts w:eastAsia="Calibri"/>
          <w:noProof/>
        </w:rPr>
        <w:t xml:space="preserve"> for the same goods in the framework of other trade negotiations involving the Parties and would include the possibility of providing the option to the exporting Party of transitioning to the approach agreed to in another agreement. The conditions of competition in North America will be a necessary part of the review.</w:t>
      </w:r>
    </w:p>
    <w:p w:rsidR="003E3FFD" w:rsidRPr="00F82327" w:rsidRDefault="003E3FFD" w:rsidP="00E90C0B">
      <w:pPr>
        <w:ind w:left="1134" w:hanging="567"/>
        <w:rPr>
          <w:rFonts w:eastAsia="Calibri"/>
          <w:noProof/>
        </w:rPr>
      </w:pPr>
    </w:p>
    <w:p w:rsidR="003E3FFD" w:rsidRPr="00F82327" w:rsidRDefault="003E3FFD">
      <w:pPr>
        <w:widowControl/>
        <w:spacing w:line="240" w:lineRule="auto"/>
        <w:rPr>
          <w:noProof/>
        </w:rPr>
      </w:pPr>
      <w:r w:rsidRPr="00F82327">
        <w:rPr>
          <w:noProof/>
        </w:rPr>
        <w:br w:type="page"/>
      </w:r>
    </w:p>
    <w:p w:rsidR="00AB7D6B" w:rsidRPr="00F82327" w:rsidRDefault="00AB7D6B" w:rsidP="00E90C0B">
      <w:pPr>
        <w:rPr>
          <w:noProof/>
        </w:rPr>
      </w:pPr>
      <w:r w:rsidRPr="00F82327">
        <w:rPr>
          <w:noProof/>
        </w:rPr>
        <w:lastRenderedPageBreak/>
        <w:t>Conversion Factors</w:t>
      </w:r>
    </w:p>
    <w:p w:rsidR="00AB7D6B" w:rsidRPr="00F82327" w:rsidRDefault="00AB7D6B" w:rsidP="00E90C0B">
      <w:pPr>
        <w:rPr>
          <w:noProof/>
        </w:rPr>
      </w:pPr>
    </w:p>
    <w:p w:rsidR="00AB7D6B" w:rsidRPr="00F82327" w:rsidRDefault="00AB7D6B" w:rsidP="00E90C0B">
      <w:pPr>
        <w:ind w:left="567" w:hanging="567"/>
        <w:rPr>
          <w:noProof/>
        </w:rPr>
      </w:pPr>
      <w:r w:rsidRPr="00F82327">
        <w:rPr>
          <w:noProof/>
        </w:rPr>
        <w:t>21.</w:t>
      </w:r>
      <w:r w:rsidRPr="00F82327">
        <w:rPr>
          <w:noProof/>
        </w:rPr>
        <w:tab/>
        <w:t>With respect to the tariff rate quotas set out in paragraphs 11, 12, 13, and 15, the following conversion factors shall be utilized to convert Product Weigh</w:t>
      </w:r>
      <w:r w:rsidR="001B2B5A" w:rsidRPr="00F82327">
        <w:rPr>
          <w:noProof/>
        </w:rPr>
        <w:t>t to Carcass Weight Equivalent:</w:t>
      </w:r>
    </w:p>
    <w:p w:rsidR="00AB7D6B" w:rsidRPr="00F82327" w:rsidRDefault="00AB7D6B" w:rsidP="00E90C0B">
      <w:pPr>
        <w:ind w:left="567" w:hanging="567"/>
        <w:rPr>
          <w:noProof/>
        </w:rPr>
      </w:pPr>
    </w:p>
    <w:p w:rsidR="00AB7D6B" w:rsidRPr="00F82327" w:rsidRDefault="00AB7D6B" w:rsidP="00E90C0B">
      <w:pPr>
        <w:ind w:left="1134" w:hanging="567"/>
        <w:rPr>
          <w:noProof/>
        </w:rPr>
      </w:pPr>
      <w:r w:rsidRPr="00F82327">
        <w:rPr>
          <w:noProof/>
        </w:rPr>
        <w:t>(a)</w:t>
      </w:r>
      <w:r w:rsidRPr="00F82327">
        <w:rPr>
          <w:noProof/>
        </w:rPr>
        <w:tab/>
      </w:r>
      <w:r w:rsidRPr="00F82327">
        <w:rPr>
          <w:noProof/>
          <w:u w:val="single"/>
        </w:rPr>
        <w:t>Tariff Rate Quotas set out in paragraphs 11, 12 and 13:</w:t>
      </w:r>
    </w:p>
    <w:p w:rsidR="00AB7D6B" w:rsidRPr="00F82327" w:rsidRDefault="00AB7D6B" w:rsidP="00E878A5">
      <w:pPr>
        <w:ind w:left="1134" w:hanging="567"/>
        <w:rPr>
          <w:noProof/>
        </w:rPr>
      </w:pPr>
    </w:p>
    <w:tbl>
      <w:tblPr>
        <w:tblW w:w="8739" w:type="dxa"/>
        <w:tblInd w:w="1008" w:type="dxa"/>
        <w:tblLook w:val="04A0" w:firstRow="1" w:lastRow="0" w:firstColumn="1" w:lastColumn="0" w:noHBand="0" w:noVBand="1"/>
      </w:tblPr>
      <w:tblGrid>
        <w:gridCol w:w="1652"/>
        <w:gridCol w:w="5386"/>
        <w:gridCol w:w="1701"/>
      </w:tblGrid>
      <w:tr w:rsidR="00AB7D6B" w:rsidRPr="00F82327" w:rsidTr="003E3FFD">
        <w:trPr>
          <w:trHeight w:val="20"/>
          <w:tblHeader/>
        </w:trPr>
        <w:tc>
          <w:tcPr>
            <w:tcW w:w="165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B7D6B" w:rsidRPr="00F82327" w:rsidRDefault="00AB7D6B" w:rsidP="003E3FFD">
            <w:pPr>
              <w:spacing w:before="60" w:after="60" w:line="240" w:lineRule="auto"/>
              <w:jc w:val="center"/>
              <w:rPr>
                <w:b/>
                <w:bCs/>
                <w:noProof/>
                <w:szCs w:val="24"/>
              </w:rPr>
            </w:pPr>
            <w:r w:rsidRPr="00F82327">
              <w:rPr>
                <w:b/>
                <w:bCs/>
                <w:noProof/>
                <w:szCs w:val="24"/>
              </w:rPr>
              <w:t>Tariff Line</w:t>
            </w:r>
          </w:p>
        </w:tc>
        <w:tc>
          <w:tcPr>
            <w:tcW w:w="538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7D6B" w:rsidRPr="00F82327" w:rsidRDefault="00AB7D6B" w:rsidP="003E3FFD">
            <w:pPr>
              <w:spacing w:before="60" w:after="60" w:line="240" w:lineRule="auto"/>
              <w:jc w:val="center"/>
              <w:rPr>
                <w:b/>
                <w:bCs/>
                <w:noProof/>
                <w:szCs w:val="24"/>
              </w:rPr>
            </w:pPr>
            <w:r w:rsidRPr="00F82327">
              <w:rPr>
                <w:b/>
                <w:bCs/>
                <w:noProof/>
                <w:szCs w:val="24"/>
              </w:rPr>
              <w:t xml:space="preserve">Tariff Line Description </w:t>
            </w:r>
            <w:r w:rsidRPr="00F82327">
              <w:rPr>
                <w:b/>
                <w:bCs/>
                <w:noProof/>
                <w:szCs w:val="24"/>
              </w:rPr>
              <w:br/>
            </w:r>
            <w:r w:rsidRPr="00F82327">
              <w:rPr>
                <w:noProof/>
                <w:szCs w:val="24"/>
              </w:rPr>
              <w:t>(for illustrative purposes only)</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7D6B" w:rsidRPr="00F82327" w:rsidRDefault="00AB7D6B" w:rsidP="003E3FFD">
            <w:pPr>
              <w:spacing w:before="60" w:after="60" w:line="240" w:lineRule="auto"/>
              <w:jc w:val="center"/>
              <w:rPr>
                <w:b/>
                <w:bCs/>
                <w:noProof/>
                <w:szCs w:val="24"/>
              </w:rPr>
            </w:pPr>
            <w:r w:rsidRPr="00F82327">
              <w:rPr>
                <w:b/>
                <w:bCs/>
                <w:noProof/>
                <w:szCs w:val="24"/>
              </w:rPr>
              <w:t>Conversion Factor</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0201 10 00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Carcases or half-carcases of bovine animals, fresh or chilled</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0201 20 20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"Compensated" quarters of bovine animals with bone in, fresh or chilled</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0201 20 30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Unseparated or separated forequarters of bovine animals, with bone in, fresh or chilled</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0201 20 50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Unseparated or separated hindquarters of bovine animals, with bone in, fresh or chilled</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0201 20 90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Fresh or chilled bovine cuts, with bone in (excl. carcases and half-carcases, "compensated quarters", forequarters and hindquarters)</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0201 30 00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Fresh or chilled bovine meat, boneless</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130 %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0206 10 95</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Fresh or chilled bovine thick and thin skirt (excl. for manufacture of pharmaceutical products)</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tcPr>
          <w:p w:rsidR="00AB7D6B" w:rsidRPr="00F82327" w:rsidRDefault="00AB7D6B" w:rsidP="003E3FFD">
            <w:pPr>
              <w:spacing w:before="60" w:after="60" w:line="240" w:lineRule="auto"/>
              <w:rPr>
                <w:noProof/>
                <w:szCs w:val="24"/>
              </w:rPr>
            </w:pPr>
            <w:r w:rsidRPr="00F82327">
              <w:rPr>
                <w:noProof/>
                <w:szCs w:val="24"/>
              </w:rPr>
              <w:t>0202 10 00</w:t>
            </w:r>
          </w:p>
        </w:tc>
        <w:tc>
          <w:tcPr>
            <w:tcW w:w="5386" w:type="dxa"/>
            <w:tcBorders>
              <w:top w:val="nil"/>
              <w:left w:val="nil"/>
              <w:bottom w:val="single" w:sz="8" w:space="0" w:color="auto"/>
              <w:right w:val="single" w:sz="8" w:space="0" w:color="auto"/>
            </w:tcBorders>
            <w:shd w:val="clear" w:color="auto" w:fill="auto"/>
            <w:vAlign w:val="center"/>
          </w:tcPr>
          <w:p w:rsidR="00AB7D6B" w:rsidRPr="00F82327" w:rsidRDefault="00AB7D6B" w:rsidP="003E3FFD">
            <w:pPr>
              <w:spacing w:before="60" w:after="60" w:line="240" w:lineRule="auto"/>
              <w:rPr>
                <w:noProof/>
                <w:szCs w:val="24"/>
              </w:rPr>
            </w:pPr>
            <w:r w:rsidRPr="00F82327">
              <w:rPr>
                <w:noProof/>
                <w:szCs w:val="24"/>
              </w:rPr>
              <w:t>Frozen bovine carcases and half-carcases</w:t>
            </w:r>
          </w:p>
        </w:tc>
        <w:tc>
          <w:tcPr>
            <w:tcW w:w="1701" w:type="dxa"/>
            <w:tcBorders>
              <w:top w:val="nil"/>
              <w:left w:val="nil"/>
              <w:bottom w:val="single" w:sz="8" w:space="0" w:color="auto"/>
              <w:right w:val="single" w:sz="8" w:space="0" w:color="auto"/>
            </w:tcBorders>
            <w:shd w:val="clear" w:color="auto" w:fill="auto"/>
            <w:noWrap/>
            <w:vAlign w:val="center"/>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B7D6B" w:rsidRPr="00F82327" w:rsidRDefault="00AB7D6B" w:rsidP="003E3FFD">
            <w:pPr>
              <w:spacing w:before="60" w:after="60" w:line="240" w:lineRule="auto"/>
              <w:rPr>
                <w:noProof/>
                <w:szCs w:val="24"/>
              </w:rPr>
            </w:pPr>
            <w:r w:rsidRPr="00F82327">
              <w:rPr>
                <w:noProof/>
                <w:szCs w:val="24"/>
              </w:rPr>
              <w:t>0202 20 10</w:t>
            </w:r>
          </w:p>
        </w:tc>
        <w:tc>
          <w:tcPr>
            <w:tcW w:w="5386" w:type="dxa"/>
            <w:tcBorders>
              <w:top w:val="single" w:sz="8" w:space="0" w:color="auto"/>
              <w:left w:val="nil"/>
              <w:bottom w:val="single" w:sz="8" w:space="0" w:color="auto"/>
              <w:right w:val="single" w:sz="8" w:space="0" w:color="auto"/>
            </w:tcBorders>
            <w:shd w:val="clear" w:color="auto" w:fill="FFFFFF"/>
            <w:vAlign w:val="center"/>
            <w:hideMark/>
          </w:tcPr>
          <w:p w:rsidR="00AB7D6B" w:rsidRPr="00F82327" w:rsidRDefault="00AB7D6B" w:rsidP="003E3FFD">
            <w:pPr>
              <w:spacing w:before="60" w:after="60" w:line="240" w:lineRule="auto"/>
              <w:rPr>
                <w:noProof/>
                <w:szCs w:val="24"/>
              </w:rPr>
            </w:pPr>
            <w:r w:rsidRPr="00F82327">
              <w:rPr>
                <w:noProof/>
                <w:szCs w:val="24"/>
              </w:rPr>
              <w:t>Frozen "compensated" bovine quarters, with bone in</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0202 20 30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unseparated or separated bovine forequarters,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pageBreakBefore/>
              <w:spacing w:before="60" w:after="60" w:line="240" w:lineRule="auto"/>
              <w:rPr>
                <w:noProof/>
                <w:szCs w:val="24"/>
              </w:rPr>
            </w:pPr>
            <w:r w:rsidRPr="00F82327">
              <w:rPr>
                <w:noProof/>
                <w:szCs w:val="24"/>
              </w:rPr>
              <w:lastRenderedPageBreak/>
              <w:t>0202 20 50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unseparated or separated bovine hindquarters,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0202 20 90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bovine cuts, with bone in (excl. carcases and half-carcases, "compensated" quarters, forequarters and hindquarters)</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0202 30 10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bovine boneless forequarters, whole or cut in max. 5 pieces, each quarter in 1 block; "compensated" quarters in 2 blocks, one containing the forequarter, whole or cut in max. 5 pieces, and the other the whole hindquarter, excl. the tenderloin, in one piece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130 %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0202 30 50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bovine boneless crop, chuck and blade and brisket cuts</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130 %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0202 30 90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bovine boneless meat (excl.</w:t>
            </w:r>
            <w:r w:rsidR="003E3FFD" w:rsidRPr="00F82327">
              <w:rPr>
                <w:noProof/>
                <w:szCs w:val="24"/>
              </w:rPr>
              <w:t> </w:t>
            </w:r>
            <w:r w:rsidRPr="00F82327">
              <w:rPr>
                <w:noProof/>
                <w:szCs w:val="24"/>
              </w:rPr>
              <w:t>forequarters, whole or cut into a maximum of five pieces, each quarter being in a single block "compensated" quarters in two blocks, one of which contains the forequarter, whole or cut into a maximum of five pieces, and the other the whole hindquarter, excl. the tenderloin, in one piece)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130 %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0206 29 91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Frozen bovine thick and thin skirt (excl. for manufacture of pharmaceutical products)</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0210 20 10</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Meat of bovine animals, salted, in brine, dried or smoked,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000000" w:fill="FFFFFF"/>
            <w:vAlign w:val="center"/>
            <w:hideMark/>
          </w:tcPr>
          <w:p w:rsidR="00AB7D6B" w:rsidRPr="00F82327" w:rsidRDefault="00AB7D6B" w:rsidP="003E3FFD">
            <w:pPr>
              <w:spacing w:before="60" w:after="60" w:line="240" w:lineRule="auto"/>
              <w:rPr>
                <w:noProof/>
                <w:szCs w:val="24"/>
              </w:rPr>
            </w:pPr>
            <w:r w:rsidRPr="00F82327">
              <w:rPr>
                <w:noProof/>
                <w:szCs w:val="24"/>
              </w:rPr>
              <w:t>0210 20 90</w:t>
            </w:r>
          </w:p>
        </w:tc>
        <w:tc>
          <w:tcPr>
            <w:tcW w:w="5386" w:type="dxa"/>
            <w:tcBorders>
              <w:top w:val="nil"/>
              <w:left w:val="nil"/>
              <w:bottom w:val="single" w:sz="8" w:space="0" w:color="auto"/>
              <w:right w:val="single" w:sz="8" w:space="0" w:color="auto"/>
            </w:tcBorders>
            <w:shd w:val="clear" w:color="000000" w:fill="FFFFFF"/>
            <w:vAlign w:val="center"/>
            <w:hideMark/>
          </w:tcPr>
          <w:p w:rsidR="00AB7D6B" w:rsidRPr="00F82327" w:rsidRDefault="00AB7D6B" w:rsidP="003E3FFD">
            <w:pPr>
              <w:spacing w:before="60" w:after="60" w:line="240" w:lineRule="auto"/>
              <w:rPr>
                <w:noProof/>
                <w:szCs w:val="24"/>
              </w:rPr>
            </w:pPr>
            <w:r w:rsidRPr="00F82327">
              <w:rPr>
                <w:noProof/>
                <w:szCs w:val="24"/>
              </w:rPr>
              <w:t>Boneless meat of bovine animals, salted, in brine, dried or smoked</w:t>
            </w:r>
          </w:p>
        </w:tc>
        <w:tc>
          <w:tcPr>
            <w:tcW w:w="1701" w:type="dxa"/>
            <w:tcBorders>
              <w:top w:val="nil"/>
              <w:left w:val="nil"/>
              <w:bottom w:val="single" w:sz="8" w:space="0" w:color="auto"/>
              <w:right w:val="single" w:sz="8" w:space="0" w:color="auto"/>
            </w:tcBorders>
            <w:shd w:val="clear" w:color="000000" w:fill="FFFFFF"/>
            <w:noWrap/>
            <w:vAlign w:val="center"/>
            <w:hideMark/>
          </w:tcPr>
          <w:p w:rsidR="00AB7D6B" w:rsidRPr="00F82327" w:rsidRDefault="00AB7D6B" w:rsidP="003E3FFD">
            <w:pPr>
              <w:spacing w:before="60" w:after="60" w:line="240" w:lineRule="auto"/>
              <w:jc w:val="right"/>
              <w:rPr>
                <w:noProof/>
                <w:szCs w:val="24"/>
              </w:rPr>
            </w:pPr>
            <w:r w:rsidRPr="00F82327">
              <w:rPr>
                <w:noProof/>
                <w:szCs w:val="24"/>
              </w:rPr>
              <w:t>135 %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0210 99 51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Edible thick skirt and thin skirt of bovine animals, salted, in brine, dried or smoked</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r w:rsidR="00AB7D6B" w:rsidRPr="00F82327" w:rsidTr="003E3FFD">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0210 99 59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3E3FFD">
            <w:pPr>
              <w:spacing w:before="60" w:after="60" w:line="240" w:lineRule="auto"/>
              <w:rPr>
                <w:noProof/>
                <w:szCs w:val="24"/>
              </w:rPr>
            </w:pPr>
            <w:r w:rsidRPr="00F82327">
              <w:rPr>
                <w:noProof/>
                <w:szCs w:val="24"/>
              </w:rPr>
              <w:t>Edible offal of bovine animals, salted, in brine, dried or smoked (excl. thick skirt and thin skirt)</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3E3FFD">
            <w:pPr>
              <w:spacing w:before="60" w:after="60" w:line="240" w:lineRule="auto"/>
              <w:jc w:val="right"/>
              <w:rPr>
                <w:noProof/>
                <w:szCs w:val="24"/>
              </w:rPr>
            </w:pPr>
            <w:r w:rsidRPr="00F82327">
              <w:rPr>
                <w:noProof/>
                <w:szCs w:val="24"/>
              </w:rPr>
              <w:t>100 %</w:t>
            </w:r>
          </w:p>
        </w:tc>
      </w:tr>
    </w:tbl>
    <w:p w:rsidR="00AB7D6B" w:rsidRPr="00F82327" w:rsidRDefault="00AB7D6B" w:rsidP="00AB7D6B">
      <w:pPr>
        <w:spacing w:line="240" w:lineRule="auto"/>
        <w:ind w:left="1134" w:hanging="567"/>
        <w:rPr>
          <w:noProof/>
        </w:rPr>
      </w:pPr>
    </w:p>
    <w:p w:rsidR="00AB7D6B" w:rsidRPr="00F82327" w:rsidRDefault="00AB7D6B" w:rsidP="00E878A5">
      <w:pPr>
        <w:ind w:left="1134" w:hanging="567"/>
        <w:rPr>
          <w:noProof/>
        </w:rPr>
      </w:pPr>
      <w:r w:rsidRPr="00F82327">
        <w:rPr>
          <w:noProof/>
        </w:rPr>
        <w:br w:type="page"/>
      </w:r>
      <w:r w:rsidRPr="00F82327">
        <w:rPr>
          <w:noProof/>
        </w:rPr>
        <w:lastRenderedPageBreak/>
        <w:t>(b)</w:t>
      </w:r>
      <w:r w:rsidRPr="00F82327">
        <w:rPr>
          <w:noProof/>
        </w:rPr>
        <w:tab/>
      </w:r>
      <w:r w:rsidRPr="00F82327">
        <w:rPr>
          <w:noProof/>
          <w:u w:val="single"/>
        </w:rPr>
        <w:t>Tariff Rate Quota set out in paragraph 15:</w:t>
      </w:r>
    </w:p>
    <w:p w:rsidR="00AB7D6B" w:rsidRPr="00F82327" w:rsidRDefault="00AB7D6B" w:rsidP="00E878A5">
      <w:pPr>
        <w:ind w:left="1134" w:hanging="567"/>
        <w:rPr>
          <w:noProof/>
        </w:rPr>
      </w:pPr>
    </w:p>
    <w:tbl>
      <w:tblPr>
        <w:tblW w:w="8739" w:type="dxa"/>
        <w:tblInd w:w="1008" w:type="dxa"/>
        <w:tblLook w:val="04A0" w:firstRow="1" w:lastRow="0" w:firstColumn="1" w:lastColumn="0" w:noHBand="0" w:noVBand="1"/>
      </w:tblPr>
      <w:tblGrid>
        <w:gridCol w:w="1652"/>
        <w:gridCol w:w="5386"/>
        <w:gridCol w:w="1701"/>
      </w:tblGrid>
      <w:tr w:rsidR="00AB7D6B" w:rsidRPr="00F82327" w:rsidTr="006B69A5">
        <w:trPr>
          <w:trHeight w:val="20"/>
          <w:tblHeader/>
        </w:trPr>
        <w:tc>
          <w:tcPr>
            <w:tcW w:w="165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B7D6B" w:rsidRPr="00F82327" w:rsidRDefault="00AB7D6B" w:rsidP="006B69A5">
            <w:pPr>
              <w:spacing w:before="60" w:after="60" w:line="240" w:lineRule="auto"/>
              <w:jc w:val="center"/>
              <w:rPr>
                <w:b/>
                <w:bCs/>
                <w:noProof/>
                <w:szCs w:val="24"/>
              </w:rPr>
            </w:pPr>
            <w:r w:rsidRPr="00F82327">
              <w:rPr>
                <w:b/>
                <w:bCs/>
                <w:noProof/>
                <w:szCs w:val="24"/>
              </w:rPr>
              <w:t>Tariff Line</w:t>
            </w:r>
          </w:p>
        </w:tc>
        <w:tc>
          <w:tcPr>
            <w:tcW w:w="538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7D6B" w:rsidRPr="00F82327" w:rsidRDefault="00AB7D6B" w:rsidP="006B69A5">
            <w:pPr>
              <w:spacing w:before="60" w:after="60" w:line="240" w:lineRule="auto"/>
              <w:jc w:val="center"/>
              <w:rPr>
                <w:b/>
                <w:bCs/>
                <w:noProof/>
                <w:szCs w:val="24"/>
              </w:rPr>
            </w:pPr>
            <w:r w:rsidRPr="00F82327">
              <w:rPr>
                <w:b/>
                <w:bCs/>
                <w:noProof/>
                <w:szCs w:val="24"/>
              </w:rPr>
              <w:t>Tariff Line Description</w:t>
            </w:r>
            <w:r w:rsidRPr="00F82327">
              <w:rPr>
                <w:b/>
                <w:bCs/>
                <w:noProof/>
                <w:szCs w:val="24"/>
              </w:rPr>
              <w:br/>
            </w:r>
            <w:r w:rsidRPr="00F82327">
              <w:rPr>
                <w:noProof/>
                <w:szCs w:val="24"/>
              </w:rPr>
              <w:t>(for illustrative purposes only)</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B7D6B" w:rsidRPr="00F82327" w:rsidRDefault="00AB7D6B" w:rsidP="006B69A5">
            <w:pPr>
              <w:spacing w:before="60" w:after="60" w:line="240" w:lineRule="auto"/>
              <w:jc w:val="center"/>
              <w:rPr>
                <w:b/>
                <w:bCs/>
                <w:noProof/>
                <w:szCs w:val="24"/>
              </w:rPr>
            </w:pPr>
            <w:r w:rsidRPr="00F82327">
              <w:rPr>
                <w:b/>
                <w:bCs/>
                <w:noProof/>
                <w:szCs w:val="24"/>
              </w:rPr>
              <w:t>Conversion Factor</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0203 12 11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with bone in, domestic swine hams and cuts thereof</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0203 12 19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with bone in, domestic swine shoulders and cuts thereof</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0203 19 11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fore-ends and cuts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0203 19 13</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loins and cuts bone-in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0203 19 15</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bellies "streaky" and cuts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0203 19 55</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boneless meat of domestic swine (excl. bellies and cuts thereof)</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120 %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0203 19 59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Fresh or chilled meat of domestic swine, with bone in (excl. carcases and half-carcases, hams, shoulders and cuts thereof, and fore-ends, loins, bellies and cuts thereof)</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0203 22 11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bone-in hams and cuts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0203 22 19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bone-in shoulders and cuts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0203 29 11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fore-ends and cuts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0203 29 13</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loins and cuts thereof of domestic swine,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0203 29 15</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bellies "streaky" and cuts thereof of domestic swine</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pageBreakBefore/>
              <w:spacing w:before="60" w:after="60" w:line="240" w:lineRule="auto"/>
              <w:rPr>
                <w:noProof/>
                <w:szCs w:val="24"/>
              </w:rPr>
            </w:pPr>
            <w:r w:rsidRPr="00F82327">
              <w:rPr>
                <w:noProof/>
                <w:szCs w:val="24"/>
              </w:rPr>
              <w:lastRenderedPageBreak/>
              <w:t>0203 29 55</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boneless meat of domestic swine (excl.</w:t>
            </w:r>
            <w:r w:rsidR="007F4111" w:rsidRPr="00F82327">
              <w:rPr>
                <w:noProof/>
                <w:szCs w:val="24"/>
              </w:rPr>
              <w:t> </w:t>
            </w:r>
            <w:r w:rsidRPr="00F82327">
              <w:rPr>
                <w:noProof/>
                <w:szCs w:val="24"/>
              </w:rPr>
              <w:t>bellies and cuts thereof)</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120 %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0203 29 59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Frozen meat of domestic swine, with bone in (excl. carcases and half-carcases, hams, shoulders and cuts thereof, and fore-ends, loins, bellies and cuts thereof)</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0210 11 11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Domestic swine hams and cuts thereof, salted or in brine,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0210 11 19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Domestic swine shoulders and cuts thereof, salted or in brine,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100 %</w:t>
            </w:r>
          </w:p>
        </w:tc>
      </w:tr>
      <w:tr w:rsidR="00AB7D6B" w:rsidRPr="00F82327"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0210 11 31</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Domestic swine hams and cuts thereof, dried or smoked,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F82327" w:rsidRDefault="00AB7D6B" w:rsidP="006B69A5">
            <w:pPr>
              <w:spacing w:before="60" w:after="60" w:line="240" w:lineRule="auto"/>
              <w:jc w:val="right"/>
              <w:rPr>
                <w:noProof/>
                <w:szCs w:val="24"/>
              </w:rPr>
            </w:pPr>
            <w:r w:rsidRPr="00F82327">
              <w:rPr>
                <w:noProof/>
                <w:szCs w:val="24"/>
              </w:rPr>
              <w:t>120 %</w:t>
            </w:r>
          </w:p>
        </w:tc>
      </w:tr>
      <w:tr w:rsidR="00AB7D6B" w:rsidRPr="00E878A5" w:rsidTr="006B69A5">
        <w:trPr>
          <w:trHeight w:val="20"/>
        </w:trPr>
        <w:tc>
          <w:tcPr>
            <w:tcW w:w="1652" w:type="dxa"/>
            <w:tcBorders>
              <w:top w:val="nil"/>
              <w:left w:val="single" w:sz="8" w:space="0" w:color="auto"/>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0210 11 39</w:t>
            </w:r>
          </w:p>
        </w:tc>
        <w:tc>
          <w:tcPr>
            <w:tcW w:w="5386" w:type="dxa"/>
            <w:tcBorders>
              <w:top w:val="nil"/>
              <w:left w:val="nil"/>
              <w:bottom w:val="single" w:sz="8" w:space="0" w:color="auto"/>
              <w:right w:val="single" w:sz="8" w:space="0" w:color="auto"/>
            </w:tcBorders>
            <w:shd w:val="clear" w:color="auto" w:fill="auto"/>
            <w:vAlign w:val="center"/>
            <w:hideMark/>
          </w:tcPr>
          <w:p w:rsidR="00AB7D6B" w:rsidRPr="00F82327" w:rsidRDefault="00AB7D6B" w:rsidP="006B69A5">
            <w:pPr>
              <w:spacing w:before="60" w:after="60" w:line="240" w:lineRule="auto"/>
              <w:rPr>
                <w:noProof/>
                <w:szCs w:val="24"/>
              </w:rPr>
            </w:pPr>
            <w:r w:rsidRPr="00F82327">
              <w:rPr>
                <w:noProof/>
                <w:szCs w:val="24"/>
              </w:rPr>
              <w:t>Domestic swine shoulders and cuts thereof, dried or smoked, with bone in</w:t>
            </w:r>
          </w:p>
        </w:tc>
        <w:tc>
          <w:tcPr>
            <w:tcW w:w="1701" w:type="dxa"/>
            <w:tcBorders>
              <w:top w:val="nil"/>
              <w:left w:val="nil"/>
              <w:bottom w:val="single" w:sz="8" w:space="0" w:color="auto"/>
              <w:right w:val="single" w:sz="8" w:space="0" w:color="auto"/>
            </w:tcBorders>
            <w:shd w:val="clear" w:color="auto" w:fill="auto"/>
            <w:noWrap/>
            <w:vAlign w:val="center"/>
            <w:hideMark/>
          </w:tcPr>
          <w:p w:rsidR="00AB7D6B" w:rsidRPr="00E878A5" w:rsidRDefault="00AB7D6B" w:rsidP="006B69A5">
            <w:pPr>
              <w:spacing w:before="60" w:after="60" w:line="240" w:lineRule="auto"/>
              <w:jc w:val="right"/>
              <w:rPr>
                <w:noProof/>
                <w:szCs w:val="24"/>
              </w:rPr>
            </w:pPr>
            <w:r w:rsidRPr="00F82327">
              <w:rPr>
                <w:noProof/>
                <w:szCs w:val="24"/>
              </w:rPr>
              <w:t>120 %</w:t>
            </w:r>
          </w:p>
        </w:tc>
      </w:tr>
    </w:tbl>
    <w:p w:rsidR="00C151FB" w:rsidRPr="00C151FB" w:rsidRDefault="00C151FB" w:rsidP="007F4111">
      <w:pPr>
        <w:jc w:val="center"/>
        <w:rPr>
          <w:szCs w:val="23"/>
        </w:rPr>
      </w:pPr>
    </w:p>
    <w:sectPr w:rsidR="00C151FB" w:rsidRPr="00C151F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18" w:rsidRDefault="004E1C18">
      <w:r>
        <w:separator/>
      </w:r>
    </w:p>
  </w:endnote>
  <w:endnote w:type="continuationSeparator" w:id="0">
    <w:p w:rsidR="004E1C18" w:rsidRDefault="004E1C1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Footer"/>
      <w:pBdr>
        <w:bottom w:val="single" w:sz="4" w:space="1" w:color="auto"/>
      </w:pBdr>
      <w:spacing w:after="60"/>
    </w:pPr>
  </w:p>
  <w:p w:rsidR="004E1C18" w:rsidRPr="00E44098" w:rsidRDefault="004E1C18" w:rsidP="00C151FB">
    <w:pPr>
      <w:pStyle w:val="Footer"/>
      <w:rPr>
        <w:lang w:val="pt-PT"/>
      </w:rPr>
    </w:pPr>
    <w:bookmarkStart w:id="13" w:name="CoteFooter"/>
    <w:bookmarkEnd w:id="13"/>
    <w:r w:rsidRPr="00E44098">
      <w:rPr>
        <w:lang w:val="pt-PT"/>
      </w:rPr>
      <w:t>10973/16 ADD 1</w:t>
    </w:r>
    <w:r w:rsidRPr="00E44098">
      <w:rPr>
        <w:lang w:val="pt-PT"/>
      </w:rPr>
      <w:tab/>
    </w:r>
    <w:bookmarkStart w:id="14" w:name="SuplCote"/>
    <w:bookmarkEnd w:id="14"/>
    <w:r w:rsidRPr="00E44098">
      <w:rPr>
        <w:lang w:val="pt-PT"/>
      </w:rPr>
      <w:tab/>
    </w:r>
    <w:bookmarkStart w:id="15" w:name="Init"/>
    <w:bookmarkEnd w:id="15"/>
    <w:r w:rsidRPr="00E44098">
      <w:rPr>
        <w:lang w:val="pt-PT"/>
      </w:rPr>
      <w:t>DOS/</w:t>
    </w:r>
    <w:proofErr w:type="spellStart"/>
    <w:r w:rsidRPr="00E44098">
      <w:rPr>
        <w:lang w:val="pt-PT"/>
      </w:rPr>
      <w:t>sr</w:t>
    </w:r>
    <w:proofErr w:type="spellEnd"/>
    <w:r w:rsidRPr="00E44098">
      <w:rPr>
        <w:lang w:val="pt-PT"/>
      </w:rPr>
      <w:tab/>
    </w:r>
  </w:p>
  <w:p w:rsidR="004E1C18" w:rsidRPr="00E44098" w:rsidRDefault="004E1C18">
    <w:pPr>
      <w:pStyle w:val="Footer"/>
      <w:tabs>
        <w:tab w:val="clear" w:pos="7371"/>
      </w:tabs>
      <w:spacing w:line="280" w:lineRule="exact"/>
      <w:rPr>
        <w:lang w:val="pt-PT"/>
      </w:rPr>
    </w:pPr>
    <w:r w:rsidRPr="00E44098">
      <w:rPr>
        <w:lang w:val="pt-PT"/>
      </w:rPr>
      <w:tab/>
    </w:r>
    <w:bookmarkStart w:id="16" w:name="DG"/>
    <w:bookmarkEnd w:id="16"/>
    <w:r w:rsidRPr="00E44098">
      <w:rPr>
        <w:lang w:val="pt-PT"/>
      </w:rPr>
      <w:t>DGC 1A</w:t>
    </w:r>
    <w:r w:rsidRPr="00E44098">
      <w:rPr>
        <w:lang w:val="pt-PT"/>
      </w:rPr>
      <w:tab/>
    </w:r>
    <w:bookmarkStart w:id="17" w:name="FooterCoteSec"/>
    <w:r w:rsidRPr="00E44098">
      <w:rPr>
        <w:b/>
        <w:position w:val="-4"/>
        <w:sz w:val="36"/>
        <w:lang w:val="pt-PT"/>
      </w:rPr>
      <w:t xml:space="preserve"> </w:t>
    </w:r>
    <w:bookmarkEnd w:id="17"/>
    <w:r>
      <w:rPr>
        <w:b/>
        <w:position w:val="-4"/>
        <w:sz w:val="36"/>
      </w:rPr>
      <w:t> </w:t>
    </w:r>
    <w:bookmarkStart w:id="18" w:name="Langue"/>
    <w:r w:rsidRPr="00E44098">
      <w:rPr>
        <w:b/>
        <w:position w:val="-4"/>
        <w:sz w:val="36"/>
        <w:lang w:val="pt-PT"/>
      </w:rPr>
      <w:t>EN</w:t>
    </w:r>
    <w:bookmarkEnd w:id="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Footer"/>
      <w:jc w:val="center"/>
    </w:pPr>
  </w:p>
  <w:p w:rsidR="004E1C18" w:rsidRDefault="004E1C18">
    <w:pPr>
      <w:pStyle w:val="Footer"/>
      <w:jc w:val="center"/>
    </w:pPr>
    <w:r>
      <w:t>EU/CA/Annex/</w:t>
    </w:r>
    <w:proofErr w:type="spellStart"/>
    <w:r>
      <w:t>en</w:t>
    </w:r>
    <w:proofErr w:type="spellEnd"/>
    <w:r>
      <w:t xml:space="preserve"> </w:t>
    </w:r>
    <w:r>
      <w:fldChar w:fldCharType="begin"/>
    </w:r>
    <w:r>
      <w:instrText xml:space="preserve"> PAGE   \* MERGEFORMAT </w:instrText>
    </w:r>
    <w:r>
      <w:fldChar w:fldCharType="separate"/>
    </w:r>
    <w:r w:rsidR="00874853">
      <w:rPr>
        <w:noProof/>
      </w:rPr>
      <w:t>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18" w:rsidRDefault="004E1C18">
      <w:pPr>
        <w:pStyle w:val="FootnoteText"/>
      </w:pPr>
      <w:r>
        <w:separator/>
      </w:r>
    </w:p>
  </w:footnote>
  <w:footnote w:type="continuationSeparator" w:id="0">
    <w:p w:rsidR="004E1C18" w:rsidRDefault="004E1C18">
      <w:pPr>
        <w:pStyle w:val="FootnoteText"/>
      </w:pPr>
      <w:r>
        <w:separator/>
      </w:r>
    </w:p>
  </w:footnote>
  <w:footnote w:id="1">
    <w:p w:rsidR="004E1C18" w:rsidRDefault="004E1C18" w:rsidP="00AB7D6B">
      <w:pPr>
        <w:pStyle w:val="FootnoteText"/>
        <w:rPr>
          <w:lang w:val="en-IE"/>
        </w:rPr>
      </w:pPr>
      <w:r>
        <w:rPr>
          <w:rStyle w:val="FootnoteReference"/>
        </w:rPr>
        <w:footnoteRef/>
      </w:r>
      <w:r>
        <w:tab/>
        <w:t>OJEU L 187, 21.7.2010, p. 5.</w:t>
      </w:r>
    </w:p>
  </w:footnote>
  <w:footnote w:id="2">
    <w:p w:rsidR="001F0CC7" w:rsidRDefault="001F0CC7" w:rsidP="001F0CC7">
      <w:pPr>
        <w:pStyle w:val="FootnoteText"/>
      </w:pPr>
      <w:r>
        <w:rPr>
          <w:rStyle w:val="FootnoteReference"/>
        </w:rPr>
        <w:footnoteRef/>
      </w:r>
      <w:r>
        <w:tab/>
        <w:t>Expressed in net weight.</w:t>
      </w:r>
    </w:p>
  </w:footnote>
  <w:footnote w:id="3">
    <w:p w:rsidR="001F0CC7" w:rsidRDefault="001F0CC7" w:rsidP="001F0CC7">
      <w:pPr>
        <w:pStyle w:val="FootnoteText"/>
      </w:pPr>
      <w:r>
        <w:rPr>
          <w:rStyle w:val="FootnoteReference"/>
        </w:rPr>
        <w:footnoteRef/>
      </w:r>
      <w:r>
        <w:tab/>
        <w:t>Expressed in net weight.</w:t>
      </w:r>
    </w:p>
  </w:footnote>
  <w:footnote w:id="4">
    <w:p w:rsidR="004E1C18" w:rsidRDefault="004E1C18" w:rsidP="00AB7D6B">
      <w:pPr>
        <w:pStyle w:val="FootnoteText"/>
      </w:pPr>
      <w:r>
        <w:rPr>
          <w:rStyle w:val="FootnoteReference"/>
        </w:rPr>
        <w:footnoteRef/>
      </w:r>
      <w:r>
        <w:rPr>
          <w:sz w:val="16"/>
          <w:szCs w:val="16"/>
        </w:rPr>
        <w:tab/>
      </w:r>
      <w:r>
        <w:t>Expressed in net weight.</w:t>
      </w:r>
    </w:p>
  </w:footnote>
  <w:footnote w:id="5">
    <w:p w:rsidR="004E1C18" w:rsidRDefault="004E1C18" w:rsidP="00AB7D6B">
      <w:pPr>
        <w:pStyle w:val="FootnoteText"/>
      </w:pPr>
      <w:r>
        <w:rPr>
          <w:rStyle w:val="FootnoteReference"/>
        </w:rPr>
        <w:footnoteRef/>
      </w:r>
      <w:r>
        <w:tab/>
        <w:t>Expressed in net weight.</w:t>
      </w:r>
    </w:p>
  </w:footnote>
  <w:footnote w:id="6">
    <w:p w:rsidR="004E1C18" w:rsidRDefault="004E1C18" w:rsidP="00AB7D6B">
      <w:pPr>
        <w:pStyle w:val="FootnoteText"/>
        <w:rPr>
          <w:lang w:val="en-CA"/>
        </w:rPr>
      </w:pPr>
      <w:r>
        <w:rPr>
          <w:rStyle w:val="FootnoteReference"/>
        </w:rPr>
        <w:footnoteRef/>
      </w:r>
      <w:r>
        <w:rPr>
          <w:sz w:val="16"/>
          <w:szCs w:val="16"/>
          <w:lang w:val="en-CA"/>
        </w:rPr>
        <w:tab/>
      </w:r>
      <w:r>
        <w:t>Expressed in net weight.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8" w:rsidRDefault="004E1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C151FB"/>
    <w:rsid w:val="00007A54"/>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3355C"/>
    <w:rsid w:val="0014406C"/>
    <w:rsid w:val="00145EF6"/>
    <w:rsid w:val="00156CB3"/>
    <w:rsid w:val="00164E11"/>
    <w:rsid w:val="00171F08"/>
    <w:rsid w:val="0017477F"/>
    <w:rsid w:val="00174E40"/>
    <w:rsid w:val="00174EC6"/>
    <w:rsid w:val="001915AA"/>
    <w:rsid w:val="001B2B5A"/>
    <w:rsid w:val="001D60D8"/>
    <w:rsid w:val="001F0CC7"/>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6D9A"/>
    <w:rsid w:val="00322BFE"/>
    <w:rsid w:val="00323DF1"/>
    <w:rsid w:val="003317EC"/>
    <w:rsid w:val="00335A55"/>
    <w:rsid w:val="00365A1E"/>
    <w:rsid w:val="00376FF1"/>
    <w:rsid w:val="003812B9"/>
    <w:rsid w:val="0039090B"/>
    <w:rsid w:val="00392040"/>
    <w:rsid w:val="003B4BBB"/>
    <w:rsid w:val="003D12D6"/>
    <w:rsid w:val="003D2CB8"/>
    <w:rsid w:val="003D5361"/>
    <w:rsid w:val="003E3FFD"/>
    <w:rsid w:val="003F010B"/>
    <w:rsid w:val="003F7522"/>
    <w:rsid w:val="00410588"/>
    <w:rsid w:val="00426C28"/>
    <w:rsid w:val="00434BDE"/>
    <w:rsid w:val="00445F2C"/>
    <w:rsid w:val="00446EA1"/>
    <w:rsid w:val="00462C5A"/>
    <w:rsid w:val="00462CBB"/>
    <w:rsid w:val="00465B83"/>
    <w:rsid w:val="00490932"/>
    <w:rsid w:val="00491ACF"/>
    <w:rsid w:val="004B4732"/>
    <w:rsid w:val="004D202F"/>
    <w:rsid w:val="004E09B5"/>
    <w:rsid w:val="004E1C18"/>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311C"/>
    <w:rsid w:val="006937B9"/>
    <w:rsid w:val="006A0D97"/>
    <w:rsid w:val="006B3FE1"/>
    <w:rsid w:val="006B69A5"/>
    <w:rsid w:val="006C3AAC"/>
    <w:rsid w:val="006C6C26"/>
    <w:rsid w:val="006D2C19"/>
    <w:rsid w:val="006E5355"/>
    <w:rsid w:val="006F22F6"/>
    <w:rsid w:val="006F3E3F"/>
    <w:rsid w:val="0075359F"/>
    <w:rsid w:val="00754CB7"/>
    <w:rsid w:val="007651B0"/>
    <w:rsid w:val="007654CE"/>
    <w:rsid w:val="0076794C"/>
    <w:rsid w:val="00775244"/>
    <w:rsid w:val="0077561E"/>
    <w:rsid w:val="007838EE"/>
    <w:rsid w:val="007B0D74"/>
    <w:rsid w:val="007B6E58"/>
    <w:rsid w:val="007D0248"/>
    <w:rsid w:val="007F07CE"/>
    <w:rsid w:val="007F1D71"/>
    <w:rsid w:val="007F38E2"/>
    <w:rsid w:val="007F4111"/>
    <w:rsid w:val="007F6FD1"/>
    <w:rsid w:val="007F7819"/>
    <w:rsid w:val="0081789E"/>
    <w:rsid w:val="00820D9C"/>
    <w:rsid w:val="0083043C"/>
    <w:rsid w:val="008515A7"/>
    <w:rsid w:val="00853B46"/>
    <w:rsid w:val="00874853"/>
    <w:rsid w:val="0088087B"/>
    <w:rsid w:val="0088319A"/>
    <w:rsid w:val="008B3E59"/>
    <w:rsid w:val="008D04D2"/>
    <w:rsid w:val="008D3B70"/>
    <w:rsid w:val="008D3F5F"/>
    <w:rsid w:val="008E6CE1"/>
    <w:rsid w:val="008F0F94"/>
    <w:rsid w:val="00901A25"/>
    <w:rsid w:val="00907A87"/>
    <w:rsid w:val="009135EF"/>
    <w:rsid w:val="00925BB6"/>
    <w:rsid w:val="00950B14"/>
    <w:rsid w:val="009700CD"/>
    <w:rsid w:val="009846A3"/>
    <w:rsid w:val="00995506"/>
    <w:rsid w:val="009A1D2C"/>
    <w:rsid w:val="009D15C2"/>
    <w:rsid w:val="009E7878"/>
    <w:rsid w:val="009F0FE5"/>
    <w:rsid w:val="00A12F9B"/>
    <w:rsid w:val="00A136C8"/>
    <w:rsid w:val="00A3456F"/>
    <w:rsid w:val="00A364B3"/>
    <w:rsid w:val="00A55EB4"/>
    <w:rsid w:val="00A56CF2"/>
    <w:rsid w:val="00A83A74"/>
    <w:rsid w:val="00A8452C"/>
    <w:rsid w:val="00A9225C"/>
    <w:rsid w:val="00A9613B"/>
    <w:rsid w:val="00AA3A04"/>
    <w:rsid w:val="00AB7D6B"/>
    <w:rsid w:val="00AD020C"/>
    <w:rsid w:val="00AE6D64"/>
    <w:rsid w:val="00B01529"/>
    <w:rsid w:val="00B104EA"/>
    <w:rsid w:val="00B112C8"/>
    <w:rsid w:val="00B40E1C"/>
    <w:rsid w:val="00B55A5E"/>
    <w:rsid w:val="00B722DD"/>
    <w:rsid w:val="00B845E7"/>
    <w:rsid w:val="00B9096D"/>
    <w:rsid w:val="00B97461"/>
    <w:rsid w:val="00BA0409"/>
    <w:rsid w:val="00BC3FE8"/>
    <w:rsid w:val="00BE0095"/>
    <w:rsid w:val="00BE0D86"/>
    <w:rsid w:val="00BE7C2A"/>
    <w:rsid w:val="00BF1051"/>
    <w:rsid w:val="00C1312E"/>
    <w:rsid w:val="00C151FB"/>
    <w:rsid w:val="00C22400"/>
    <w:rsid w:val="00C351CC"/>
    <w:rsid w:val="00C4415B"/>
    <w:rsid w:val="00C502FD"/>
    <w:rsid w:val="00C548E9"/>
    <w:rsid w:val="00C55246"/>
    <w:rsid w:val="00C66DC8"/>
    <w:rsid w:val="00C82663"/>
    <w:rsid w:val="00C83670"/>
    <w:rsid w:val="00C86DDC"/>
    <w:rsid w:val="00CA3FBF"/>
    <w:rsid w:val="00CA5F5D"/>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E63B4"/>
    <w:rsid w:val="00DF2DF3"/>
    <w:rsid w:val="00E0581F"/>
    <w:rsid w:val="00E170C1"/>
    <w:rsid w:val="00E40BDE"/>
    <w:rsid w:val="00E44098"/>
    <w:rsid w:val="00E45613"/>
    <w:rsid w:val="00E5556D"/>
    <w:rsid w:val="00E56089"/>
    <w:rsid w:val="00E847E1"/>
    <w:rsid w:val="00E878A5"/>
    <w:rsid w:val="00E90C0B"/>
    <w:rsid w:val="00EB351D"/>
    <w:rsid w:val="00EB3FB2"/>
    <w:rsid w:val="00EC0A2A"/>
    <w:rsid w:val="00EE00BA"/>
    <w:rsid w:val="00EE6E72"/>
    <w:rsid w:val="00F030A6"/>
    <w:rsid w:val="00F12812"/>
    <w:rsid w:val="00F1732C"/>
    <w:rsid w:val="00F42ECF"/>
    <w:rsid w:val="00F631F5"/>
    <w:rsid w:val="00F64303"/>
    <w:rsid w:val="00F75257"/>
    <w:rsid w:val="00F8232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09"/>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iPriority w:val="99"/>
    <w:unhideWhenUsed/>
    <w:rsid w:val="00AB7D6B"/>
    <w:rPr>
      <w:sz w:val="16"/>
      <w:szCs w:val="16"/>
    </w:rPr>
  </w:style>
  <w:style w:type="paragraph" w:styleId="CommentText">
    <w:name w:val="annotation text"/>
    <w:basedOn w:val="Normal"/>
    <w:link w:val="CommentTextChar"/>
    <w:uiPriority w:val="99"/>
    <w:unhideWhenUsed/>
    <w:rsid w:val="00AB7D6B"/>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uiPriority w:val="99"/>
    <w:rsid w:val="00AB7D6B"/>
    <w:rPr>
      <w:rFonts w:eastAsia="Calibri"/>
      <w:lang w:eastAsia="en-US"/>
    </w:rPr>
  </w:style>
  <w:style w:type="character" w:customStyle="1" w:styleId="HeaderChar">
    <w:name w:val="Header Char"/>
    <w:link w:val="Header"/>
    <w:uiPriority w:val="99"/>
    <w:rsid w:val="00AB7D6B"/>
    <w:rPr>
      <w:sz w:val="24"/>
      <w:lang w:eastAsia="fr-BE"/>
    </w:rPr>
  </w:style>
  <w:style w:type="character" w:customStyle="1" w:styleId="FooterChar">
    <w:name w:val="Footer Char"/>
    <w:link w:val="Footer"/>
    <w:uiPriority w:val="99"/>
    <w:rsid w:val="00AB7D6B"/>
    <w:rPr>
      <w:sz w:val="24"/>
      <w:lang w:eastAsia="fr-BE"/>
    </w:rPr>
  </w:style>
  <w:style w:type="character" w:customStyle="1" w:styleId="FootnoteTextChar">
    <w:name w:val="Footnote Text Char"/>
    <w:link w:val="FootnoteText"/>
    <w:uiPriority w:val="99"/>
    <w:rsid w:val="00AB7D6B"/>
    <w:rPr>
      <w:sz w:val="24"/>
      <w:lang w:eastAsia="fr-BE"/>
    </w:rPr>
  </w:style>
  <w:style w:type="paragraph" w:customStyle="1" w:styleId="NormalCentered">
    <w:name w:val="Normal Centered"/>
    <w:basedOn w:val="Normal"/>
    <w:link w:val="NormalCenteredChar"/>
    <w:rsid w:val="00AB7D6B"/>
    <w:pPr>
      <w:widowControl/>
      <w:spacing w:before="120" w:after="120" w:line="240" w:lineRule="auto"/>
      <w:jc w:val="center"/>
    </w:pPr>
    <w:rPr>
      <w:rFonts w:eastAsia="Calibri"/>
      <w:szCs w:val="22"/>
      <w:lang w:eastAsia="en-US"/>
    </w:rPr>
  </w:style>
  <w:style w:type="paragraph" w:customStyle="1" w:styleId="FooterCoverPage">
    <w:name w:val="Footer Cover Page"/>
    <w:basedOn w:val="Normal"/>
    <w:link w:val="FooterCoverPageChar"/>
    <w:rsid w:val="00AB7D6B"/>
    <w:pPr>
      <w:tabs>
        <w:tab w:val="center" w:pos="4535"/>
        <w:tab w:val="right" w:pos="9071"/>
        <w:tab w:val="right" w:pos="9921"/>
      </w:tabs>
      <w:spacing w:before="360" w:line="240" w:lineRule="auto"/>
      <w:ind w:left="-850" w:right="-850"/>
    </w:pPr>
    <w:rPr>
      <w:rFonts w:eastAsia="Calibri"/>
      <w:bCs/>
      <w:szCs w:val="22"/>
      <w:lang w:val="en-US"/>
    </w:rPr>
  </w:style>
  <w:style w:type="character" w:customStyle="1" w:styleId="NormalCenteredChar">
    <w:name w:val="Normal Centered Char"/>
    <w:basedOn w:val="DefaultParagraphFont"/>
    <w:link w:val="NormalCentered"/>
    <w:rsid w:val="00AB7D6B"/>
    <w:rPr>
      <w:rFonts w:eastAsia="Calibri"/>
      <w:sz w:val="24"/>
      <w:szCs w:val="22"/>
      <w:lang w:eastAsia="en-US"/>
    </w:rPr>
  </w:style>
  <w:style w:type="character" w:customStyle="1" w:styleId="FooterCoverPageChar">
    <w:name w:val="Footer Cover Page Char"/>
    <w:basedOn w:val="NormalCenteredChar"/>
    <w:link w:val="FooterCoverPage"/>
    <w:rsid w:val="00AB7D6B"/>
    <w:rPr>
      <w:rFonts w:eastAsia="Calibri"/>
      <w:bCs/>
      <w:sz w:val="24"/>
      <w:szCs w:val="22"/>
      <w:lang w:val="en-US" w:eastAsia="fr-BE"/>
    </w:rPr>
  </w:style>
  <w:style w:type="paragraph" w:customStyle="1" w:styleId="EntText">
    <w:name w:val="EntText"/>
    <w:basedOn w:val="Normal"/>
    <w:rsid w:val="00AB7D6B"/>
    <w:pPr>
      <w:widowControl/>
      <w:spacing w:before="120" w:after="120"/>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09"/>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iPriority w:val="99"/>
    <w:unhideWhenUsed/>
    <w:rsid w:val="00AB7D6B"/>
    <w:rPr>
      <w:sz w:val="16"/>
      <w:szCs w:val="16"/>
    </w:rPr>
  </w:style>
  <w:style w:type="paragraph" w:styleId="CommentText">
    <w:name w:val="annotation text"/>
    <w:basedOn w:val="Normal"/>
    <w:link w:val="CommentTextChar"/>
    <w:uiPriority w:val="99"/>
    <w:unhideWhenUsed/>
    <w:rsid w:val="00AB7D6B"/>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uiPriority w:val="99"/>
    <w:rsid w:val="00AB7D6B"/>
    <w:rPr>
      <w:rFonts w:eastAsia="Calibri"/>
      <w:lang w:eastAsia="en-US"/>
    </w:rPr>
  </w:style>
  <w:style w:type="character" w:customStyle="1" w:styleId="HeaderChar">
    <w:name w:val="Header Char"/>
    <w:link w:val="Header"/>
    <w:uiPriority w:val="99"/>
    <w:rsid w:val="00AB7D6B"/>
    <w:rPr>
      <w:sz w:val="24"/>
      <w:lang w:eastAsia="fr-BE"/>
    </w:rPr>
  </w:style>
  <w:style w:type="character" w:customStyle="1" w:styleId="FooterChar">
    <w:name w:val="Footer Char"/>
    <w:link w:val="Footer"/>
    <w:uiPriority w:val="99"/>
    <w:rsid w:val="00AB7D6B"/>
    <w:rPr>
      <w:sz w:val="24"/>
      <w:lang w:eastAsia="fr-BE"/>
    </w:rPr>
  </w:style>
  <w:style w:type="character" w:customStyle="1" w:styleId="FootnoteTextChar">
    <w:name w:val="Footnote Text Char"/>
    <w:link w:val="FootnoteText"/>
    <w:uiPriority w:val="99"/>
    <w:rsid w:val="00AB7D6B"/>
    <w:rPr>
      <w:sz w:val="24"/>
      <w:lang w:eastAsia="fr-BE"/>
    </w:rPr>
  </w:style>
  <w:style w:type="paragraph" w:customStyle="1" w:styleId="NormalCentered">
    <w:name w:val="Normal Centered"/>
    <w:basedOn w:val="Normal"/>
    <w:link w:val="NormalCenteredChar"/>
    <w:rsid w:val="00AB7D6B"/>
    <w:pPr>
      <w:widowControl/>
      <w:spacing w:before="120" w:after="120" w:line="240" w:lineRule="auto"/>
      <w:jc w:val="center"/>
    </w:pPr>
    <w:rPr>
      <w:rFonts w:eastAsia="Calibri"/>
      <w:szCs w:val="22"/>
      <w:lang w:eastAsia="en-US"/>
    </w:rPr>
  </w:style>
  <w:style w:type="paragraph" w:customStyle="1" w:styleId="FooterCoverPage">
    <w:name w:val="Footer Cover Page"/>
    <w:basedOn w:val="Normal"/>
    <w:link w:val="FooterCoverPageChar"/>
    <w:rsid w:val="00AB7D6B"/>
    <w:pPr>
      <w:tabs>
        <w:tab w:val="center" w:pos="4535"/>
        <w:tab w:val="right" w:pos="9071"/>
        <w:tab w:val="right" w:pos="9921"/>
      </w:tabs>
      <w:spacing w:before="360" w:line="240" w:lineRule="auto"/>
      <w:ind w:left="-850" w:right="-850"/>
    </w:pPr>
    <w:rPr>
      <w:rFonts w:eastAsia="Calibri"/>
      <w:bCs/>
      <w:szCs w:val="22"/>
      <w:lang w:val="en-US"/>
    </w:rPr>
  </w:style>
  <w:style w:type="character" w:customStyle="1" w:styleId="NormalCenteredChar">
    <w:name w:val="Normal Centered Char"/>
    <w:basedOn w:val="DefaultParagraphFont"/>
    <w:link w:val="NormalCentered"/>
    <w:rsid w:val="00AB7D6B"/>
    <w:rPr>
      <w:rFonts w:eastAsia="Calibri"/>
      <w:sz w:val="24"/>
      <w:szCs w:val="22"/>
      <w:lang w:eastAsia="en-US"/>
    </w:rPr>
  </w:style>
  <w:style w:type="character" w:customStyle="1" w:styleId="FooterCoverPageChar">
    <w:name w:val="Footer Cover Page Char"/>
    <w:basedOn w:val="NormalCenteredChar"/>
    <w:link w:val="FooterCoverPage"/>
    <w:rsid w:val="00AB7D6B"/>
    <w:rPr>
      <w:rFonts w:eastAsia="Calibri"/>
      <w:bCs/>
      <w:sz w:val="24"/>
      <w:szCs w:val="22"/>
      <w:lang w:val="en-US" w:eastAsia="fr-BE"/>
    </w:rPr>
  </w:style>
  <w:style w:type="paragraph" w:customStyle="1" w:styleId="EntText">
    <w:name w:val="EntText"/>
    <w:basedOn w:val="Normal"/>
    <w:rsid w:val="00AB7D6B"/>
    <w:pPr>
      <w:widowControl/>
      <w:spacing w:before="120" w:after="120"/>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E24F-F86F-48CD-BF2C-07FFE47C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6</TotalTime>
  <Pages>23</Pages>
  <Words>4317</Words>
  <Characters>21313</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6</cp:revision>
  <cp:lastPrinted>2004-04-02T13:43:00Z</cp:lastPrinted>
  <dcterms:created xsi:type="dcterms:W3CDTF">2016-09-14T07:29:00Z</dcterms:created>
  <dcterms:modified xsi:type="dcterms:W3CDTF">2016-09-14T07:33:00Z</dcterms:modified>
</cp:coreProperties>
</file>