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3ED58" w14:textId="77777777" w:rsidR="00CA3EB1" w:rsidRPr="004D310E" w:rsidRDefault="00CA3EB1" w:rsidP="00CA3EB1">
      <w:pPr>
        <w:ind w:right="-99"/>
        <w:jc w:val="center"/>
        <w:rPr>
          <w:b/>
          <w:sz w:val="26"/>
          <w:szCs w:val="26"/>
        </w:rPr>
      </w:pPr>
      <w:bookmarkStart w:id="0" w:name="bkm16"/>
      <w:bookmarkStart w:id="1" w:name="b"/>
      <w:bookmarkStart w:id="2" w:name="OLE_LINK2"/>
      <w:bookmarkStart w:id="3" w:name="OLE_LINK1"/>
      <w:bookmarkStart w:id="4" w:name="OLE_LINK3"/>
      <w:bookmarkStart w:id="5" w:name="OLE_LINK4"/>
      <w:bookmarkStart w:id="6" w:name="OLE_LINK5"/>
      <w:bookmarkEnd w:id="0"/>
      <w:bookmarkEnd w:id="1"/>
      <w:r w:rsidRPr="004D310E">
        <w:rPr>
          <w:b/>
          <w:sz w:val="26"/>
          <w:szCs w:val="26"/>
        </w:rPr>
        <w:t xml:space="preserve">Ministru kabineta noteikumu projekta “Grozījumi Ministru kabineta 2011.gada 15.februāra noteikumos Nr.132 “Rotaļlietu drošuma noteikumi”” sākotnējās ietekmes novērtējuma </w:t>
      </w:r>
      <w:smartTag w:uri="schemas-tilde-lv/tildestengine" w:element="veidnes">
        <w:smartTagPr>
          <w:attr w:name="baseform" w:val="ziņojums"/>
          <w:attr w:name="text" w:val="ziņojums&#10;"/>
          <w:attr w:name="id" w:val="-1"/>
        </w:smartTagPr>
        <w:r w:rsidRPr="004D310E">
          <w:rPr>
            <w:b/>
            <w:sz w:val="26"/>
            <w:szCs w:val="26"/>
          </w:rPr>
          <w:t>ziņojums</w:t>
        </w:r>
      </w:smartTag>
      <w:bookmarkEnd w:id="2"/>
    </w:p>
    <w:p w14:paraId="47C544E6" w14:textId="77777777" w:rsidR="00CA3EB1" w:rsidRPr="004D310E" w:rsidRDefault="00CA3EB1" w:rsidP="00CA3EB1">
      <w:pPr>
        <w:pStyle w:val="naislab"/>
        <w:spacing w:before="0" w:after="0"/>
        <w:ind w:right="-99"/>
        <w:jc w:val="center"/>
        <w:outlineLvl w:val="0"/>
        <w:rPr>
          <w:b/>
          <w:sz w:val="26"/>
          <w:szCs w:val="26"/>
        </w:rPr>
      </w:pPr>
      <w:r w:rsidRPr="004D310E">
        <w:rPr>
          <w:b/>
          <w:sz w:val="26"/>
          <w:szCs w:val="26"/>
        </w:rPr>
        <w:t>(anotācija)</w:t>
      </w:r>
      <w:bookmarkEnd w:id="3"/>
      <w:bookmarkEnd w:id="4"/>
      <w:bookmarkEnd w:id="5"/>
      <w:bookmarkEnd w:id="6"/>
    </w:p>
    <w:p w14:paraId="75F1162D" w14:textId="77777777" w:rsidR="00CA3EB1" w:rsidRPr="004D310E" w:rsidRDefault="00CA3EB1" w:rsidP="00CA3EB1">
      <w:pPr>
        <w:pStyle w:val="naislab"/>
        <w:spacing w:before="0" w:after="0"/>
        <w:ind w:right="-99"/>
        <w:jc w:val="center"/>
        <w:outlineLvl w:val="0"/>
        <w:rPr>
          <w:b/>
          <w:sz w:val="26"/>
          <w:szCs w:val="26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18"/>
        <w:gridCol w:w="6378"/>
      </w:tblGrid>
      <w:tr w:rsidR="00CA3EB1" w:rsidRPr="00DD098B" w14:paraId="5E0501D5" w14:textId="77777777" w:rsidTr="007F53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865" w14:textId="77777777" w:rsidR="00CA3EB1" w:rsidRPr="00DD098B" w:rsidRDefault="00CA3EB1" w:rsidP="007F53FB">
            <w:pPr>
              <w:pStyle w:val="naisnod"/>
              <w:spacing w:before="0" w:after="0"/>
              <w:ind w:right="-99"/>
            </w:pPr>
            <w:r w:rsidRPr="00DD098B">
              <w:t>I. Tiesību akta projekta izstrādes nepieciešamība</w:t>
            </w:r>
          </w:p>
        </w:tc>
      </w:tr>
      <w:tr w:rsidR="00CA3EB1" w:rsidRPr="00DD098B" w14:paraId="0DA17BEA" w14:textId="77777777" w:rsidTr="007F53FB">
        <w:trPr>
          <w:trHeight w:val="6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BBD" w14:textId="77777777" w:rsidR="00CA3EB1" w:rsidRPr="00DD098B" w:rsidRDefault="00CA3EB1" w:rsidP="007F53FB">
            <w:pPr>
              <w:pStyle w:val="naiskr"/>
              <w:spacing w:before="0" w:after="0"/>
              <w:ind w:right="-99"/>
              <w:jc w:val="center"/>
            </w:pPr>
            <w:r w:rsidRPr="00DD098B">
              <w:t>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F97" w14:textId="77777777" w:rsidR="00CA3EB1" w:rsidRPr="00DD098B" w:rsidRDefault="00CA3EB1" w:rsidP="007F53FB">
            <w:pPr>
              <w:pStyle w:val="naiskr"/>
              <w:spacing w:before="0" w:after="0"/>
              <w:ind w:left="10" w:right="-99" w:hanging="10"/>
              <w:jc w:val="both"/>
            </w:pPr>
            <w:r w:rsidRPr="00DD098B">
              <w:t>Pamatojums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AF5" w14:textId="77777777" w:rsidR="00CA3EB1" w:rsidRPr="00DD098B" w:rsidRDefault="00CA3EB1" w:rsidP="006B0275">
            <w:pPr>
              <w:pStyle w:val="naisf"/>
              <w:ind w:left="70" w:right="23" w:firstLine="226"/>
            </w:pPr>
            <w:r w:rsidRPr="00DD098B">
              <w:t xml:space="preserve"> Ministru kabineta noteikumu projekts “Grozījumi Ministru kabineta 2011.gada 15.februāra noteikumos Nr.132 “Rotaļlietu drošuma noteikumi”” (turpmāk – Noteikumu projekts) izstrādāts, lai pielāgotu Ministru kabineta 2011.gada 15.februāra noteikumu</w:t>
            </w:r>
            <w:r w:rsidR="003245AA" w:rsidRPr="00DD098B">
              <w:t>s</w:t>
            </w:r>
            <w:r w:rsidRPr="00DD098B">
              <w:t xml:space="preserve"> </w:t>
            </w:r>
            <w:r w:rsidR="00E939E7" w:rsidRPr="00E939E7">
              <w:t xml:space="preserve">Nr.132 </w:t>
            </w:r>
            <w:r w:rsidRPr="00DD098B">
              <w:t xml:space="preserve">“Rotaļlietu drošuma noteikumi” (turpmāk – Noteikumi Nr.132) atbilstoši </w:t>
            </w:r>
            <w:r w:rsidR="006B0275">
              <w:t xml:space="preserve">prasībām, kas izriet no: (1) Komisijas 2015.gada 23.novembra Direktīvas 2015/2116, 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="006B0275">
              <w:t>benzizotiazolinonu</w:t>
            </w:r>
            <w:proofErr w:type="spellEnd"/>
            <w:r w:rsidR="006B0275">
              <w:t xml:space="preserve">; (2) Komisijas 2015.gada 23.novembra Direktīvas 2015/2115, 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="006B0275">
              <w:t>formamīdu</w:t>
            </w:r>
            <w:proofErr w:type="spellEnd"/>
            <w:r w:rsidR="006B0275">
              <w:t xml:space="preserve">; (3) Komisijas 2015.gada 23.novembra Direktīvas 2015/2117, 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="006B0275">
              <w:t>hlormetilizotiazolinonu</w:t>
            </w:r>
            <w:proofErr w:type="spellEnd"/>
            <w:r w:rsidR="006B0275">
              <w:t xml:space="preserve"> un </w:t>
            </w:r>
            <w:proofErr w:type="spellStart"/>
            <w:r w:rsidR="006B0275">
              <w:t>metilizotiazolinonu</w:t>
            </w:r>
            <w:proofErr w:type="spellEnd"/>
            <w:r w:rsidR="006B0275">
              <w:t xml:space="preserve"> gan atsevišķi, gan attiecībā 3:1.</w:t>
            </w:r>
            <w:r w:rsidRPr="00DD098B">
              <w:rPr>
                <w:i/>
              </w:rPr>
              <w:t xml:space="preserve"> </w:t>
            </w:r>
          </w:p>
        </w:tc>
      </w:tr>
      <w:tr w:rsidR="00CA3EB1" w:rsidRPr="00DD098B" w14:paraId="0B47BB76" w14:textId="77777777" w:rsidTr="007F53FB">
        <w:trPr>
          <w:trHeight w:val="62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A7F" w14:textId="77777777" w:rsidR="00CA3EB1" w:rsidRPr="00DD098B" w:rsidRDefault="00CA3EB1" w:rsidP="007F53FB">
            <w:pPr>
              <w:pStyle w:val="naiskr"/>
              <w:spacing w:before="0" w:after="0"/>
              <w:ind w:right="-99"/>
              <w:jc w:val="center"/>
            </w:pPr>
            <w:r w:rsidRPr="00DD098B">
              <w:t>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D3D" w14:textId="77777777" w:rsidR="00CA3EB1" w:rsidRPr="00DD098B" w:rsidRDefault="00CA3EB1" w:rsidP="007F53FB">
            <w:pPr>
              <w:pStyle w:val="naiskr"/>
              <w:spacing w:before="0" w:after="0"/>
              <w:ind w:right="129"/>
              <w:jc w:val="both"/>
            </w:pPr>
            <w:r w:rsidRPr="00DD098B">
              <w:t>Pašreizējā situācija un problēmas, kuru risināšanai tiesību akta projekts izstrādāts, tiesiskā regulējuma mērķis un būtība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25B" w14:textId="77777777" w:rsidR="007D0D67" w:rsidRDefault="00CA3EB1" w:rsidP="0000109C">
            <w:pPr>
              <w:pStyle w:val="naisf"/>
              <w:spacing w:before="0" w:after="0"/>
              <w:ind w:left="70" w:right="23" w:firstLine="226"/>
            </w:pPr>
            <w:r w:rsidRPr="00DD098B">
              <w:t>1) 201</w:t>
            </w:r>
            <w:r w:rsidR="00EF0238">
              <w:t>5</w:t>
            </w:r>
            <w:r w:rsidRPr="00DD098B">
              <w:t xml:space="preserve">.gada </w:t>
            </w:r>
            <w:r w:rsidR="00EF0238">
              <w:t>23</w:t>
            </w:r>
            <w:r w:rsidRPr="00DD098B">
              <w:t>.</w:t>
            </w:r>
            <w:r w:rsidR="00EF0238">
              <w:t>novembrī</w:t>
            </w:r>
            <w:r w:rsidRPr="00DD098B">
              <w:t xml:space="preserve"> spēkā stājās Komisijas Direktīva </w:t>
            </w:r>
            <w:r w:rsidR="00EF0238">
              <w:t>2015/2116</w:t>
            </w:r>
            <w:r w:rsidR="00711022" w:rsidRPr="00DD098B">
              <w:t>,</w:t>
            </w:r>
            <w:r w:rsidRPr="00DD098B">
              <w:t xml:space="preserve"> </w:t>
            </w:r>
            <w:r w:rsidR="00EF0238" w:rsidRPr="00EF0238">
              <w:rPr>
                <w:i/>
              </w:rPr>
              <w:t xml:space="preserve">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="00EF0238" w:rsidRPr="00EF0238">
              <w:rPr>
                <w:i/>
              </w:rPr>
              <w:t>benzizotiazolinonu</w:t>
            </w:r>
            <w:proofErr w:type="spellEnd"/>
            <w:r w:rsidRPr="00DD098B">
              <w:t xml:space="preserve"> </w:t>
            </w:r>
            <w:r w:rsidR="00EF0238">
              <w:t>(turpmāk</w:t>
            </w:r>
            <w:r w:rsidRPr="00DD098B">
              <w:t xml:space="preserve">– Direktīva </w:t>
            </w:r>
            <w:r w:rsidR="00EF0238">
              <w:t>2015/2116</w:t>
            </w:r>
            <w:r w:rsidRPr="00DD098B">
              <w:t>).</w:t>
            </w:r>
            <w:r w:rsidR="00247E04" w:rsidRPr="00DD098B">
              <w:t xml:space="preserve"> </w:t>
            </w:r>
            <w:r w:rsidR="007D0D67" w:rsidRPr="00DD098B">
              <w:t xml:space="preserve">Ar </w:t>
            </w:r>
            <w:r w:rsidRPr="00DD098B">
              <w:t>Direktīv</w:t>
            </w:r>
            <w:r w:rsidR="007D0D67" w:rsidRPr="00DD098B">
              <w:t>u</w:t>
            </w:r>
            <w:r w:rsidRPr="00DD098B">
              <w:t xml:space="preserve"> </w:t>
            </w:r>
            <w:r w:rsidR="00EF0238">
              <w:t xml:space="preserve">2015/2116 </w:t>
            </w:r>
            <w:r w:rsidR="007D0D67" w:rsidRPr="00DD098B">
              <w:t xml:space="preserve">Komisija </w:t>
            </w:r>
            <w:r w:rsidR="004E7532" w:rsidRPr="00DD098B">
              <w:t>nosaka</w:t>
            </w:r>
            <w:r w:rsidR="007D0D67" w:rsidRPr="00DD098B">
              <w:t xml:space="preserve"> konkrētas rob</w:t>
            </w:r>
            <w:r w:rsidR="009F6260" w:rsidRPr="00DD098B">
              <w:t xml:space="preserve">ežvērtības ķīmiskajai vielai </w:t>
            </w:r>
            <w:r w:rsidR="00EF0238" w:rsidRPr="00EF0238">
              <w:t>1,2-benzizotiazol-3(2H)-ons</w:t>
            </w:r>
            <w:r w:rsidR="00EF0238">
              <w:t xml:space="preserve"> ūdens bāzes rotaļlietu materiālos</w:t>
            </w:r>
            <w:r w:rsidR="00711022" w:rsidRPr="00DD098B">
              <w:t xml:space="preserve">, </w:t>
            </w:r>
            <w:r w:rsidR="00EF0238">
              <w:t>tādējādi</w:t>
            </w:r>
            <w:r w:rsidR="00313101" w:rsidRPr="00DD098B">
              <w:t xml:space="preserve"> nodrošinot</w:t>
            </w:r>
            <w:r w:rsidR="00711022" w:rsidRPr="00DD098B">
              <w:t xml:space="preserve"> augst</w:t>
            </w:r>
            <w:r w:rsidR="00313101" w:rsidRPr="00DD098B">
              <w:t>as</w:t>
            </w:r>
            <w:r w:rsidR="00711022" w:rsidRPr="00DD098B">
              <w:t xml:space="preserve"> drošuma </w:t>
            </w:r>
            <w:r w:rsidR="00313101" w:rsidRPr="00DD098B">
              <w:t>prasības</w:t>
            </w:r>
            <w:r w:rsidR="004E7532" w:rsidRPr="00DD098B">
              <w:t xml:space="preserve"> </w:t>
            </w:r>
            <w:r w:rsidR="00711022" w:rsidRPr="00DD098B">
              <w:t xml:space="preserve">rotaļlietām, kuras paredzētas bērniem vecumā līdz 36 mēnešiem un citām rotaļlietām, kuras </w:t>
            </w:r>
            <w:r w:rsidR="00A374CB" w:rsidRPr="00DD098B">
              <w:t>paredzētas</w:t>
            </w:r>
            <w:r w:rsidR="00711022" w:rsidRPr="00DD098B">
              <w:t xml:space="preserve"> ievietošanai mutē. </w:t>
            </w:r>
            <w:r w:rsidR="00B0783C" w:rsidRPr="00DD098B">
              <w:t xml:space="preserve"> </w:t>
            </w:r>
            <w:r w:rsidR="0000109C">
              <w:t xml:space="preserve">1,2-benzizotiazol-3(2H)-onu (1,2-benzizotiazolīn-3-ons, BIT, CAS numurs 2634-33-5) izmanto par konservantu ūdens bāzes rotaļlietās, tostarp vaļasprieka krāsās un </w:t>
            </w:r>
            <w:proofErr w:type="spellStart"/>
            <w:r w:rsidR="0000109C">
              <w:t>pirkstzīmēšanas</w:t>
            </w:r>
            <w:proofErr w:type="spellEnd"/>
            <w:r w:rsidR="0000109C">
              <w:t xml:space="preserve"> krāsās.</w:t>
            </w:r>
          </w:p>
          <w:p w14:paraId="5F5DC4B0" w14:textId="1DA8E0AE" w:rsidR="0000109C" w:rsidRDefault="0000109C" w:rsidP="00A46B65">
            <w:pPr>
              <w:pStyle w:val="naisf"/>
              <w:spacing w:before="0" w:after="0"/>
              <w:ind w:left="70" w:right="23" w:firstLine="226"/>
            </w:pPr>
            <w:r>
              <w:t>Pamatojoties uz Patērētāju drošības zinātniskās komitejas (SCCS) atzinumu</w:t>
            </w:r>
            <w:r w:rsidR="00A46B65">
              <w:rPr>
                <w:rStyle w:val="FootnoteReference"/>
              </w:rPr>
              <w:footnoteReference w:id="1"/>
            </w:r>
            <w:r w:rsidR="00A46B65">
              <w:t xml:space="preserve">, BIT ir </w:t>
            </w:r>
            <w:r>
              <w:t>mēreni kairinoša</w:t>
            </w:r>
            <w:r w:rsidR="00A46B65">
              <w:t xml:space="preserve"> viela. Tāpat</w:t>
            </w:r>
            <w:r>
              <w:t xml:space="preserve"> </w:t>
            </w:r>
            <w:r w:rsidR="00A46B65">
              <w:t>atzinumā</w:t>
            </w:r>
            <w:r>
              <w:t xml:space="preserve"> secināts, ka </w:t>
            </w:r>
            <w:proofErr w:type="spellStart"/>
            <w:r>
              <w:t>izotiazolinoni</w:t>
            </w:r>
            <w:proofErr w:type="spellEnd"/>
            <w:r>
              <w:t xml:space="preserve"> ir nozīmīgi kontakta alergēni, ar ko saskaras Eiropas patērētāji. BIT izmantošana </w:t>
            </w:r>
            <w:r>
              <w:lastRenderedPageBreak/>
              <w:t>kosmēt</w:t>
            </w:r>
            <w:r w:rsidR="00A46B65">
              <w:t>ikas līdzekļos nav atļauta</w:t>
            </w:r>
            <w:r>
              <w:t>.</w:t>
            </w:r>
            <w:r w:rsidR="00A46B65">
              <w:t xml:space="preserve"> </w:t>
            </w:r>
            <w:r w:rsidR="00A46B65" w:rsidRPr="00A46B65">
              <w:t xml:space="preserve">Eiropas Parlamenta un Padomes 2008.gada 16.decembra </w:t>
            </w:r>
            <w:r w:rsidR="00A46B65">
              <w:t>r</w:t>
            </w:r>
            <w:r w:rsidR="00A46B65" w:rsidRPr="00A46B65">
              <w:t>egul</w:t>
            </w:r>
            <w:r w:rsidR="00A46B65">
              <w:t>ā</w:t>
            </w:r>
            <w:r w:rsidR="00A46B65" w:rsidRPr="00A46B65">
              <w:t xml:space="preserve"> (EK) Nr.1272/2008 </w:t>
            </w:r>
            <w:r w:rsidR="00A46B65" w:rsidRPr="00A46B65">
              <w:rPr>
                <w:i/>
              </w:rPr>
              <w:t>par vielu un maisījumu klasificēšanu, marķēšanu un iepakošanu un ar ko groza un atceļ Direktīvas 67/548/EEK un 1999/45/EK un groza Regulu (EK) Nr.1907/2006</w:t>
            </w:r>
            <w:r w:rsidR="00A46B65" w:rsidRPr="00A46B65">
              <w:t xml:space="preserve"> (turpmāk – </w:t>
            </w:r>
            <w:r w:rsidR="00E939E7">
              <w:t xml:space="preserve">CLP </w:t>
            </w:r>
            <w:r w:rsidR="00A46B65">
              <w:t>regula</w:t>
            </w:r>
            <w:r w:rsidR="00A46B65" w:rsidRPr="00A46B65">
              <w:t xml:space="preserve">) BIT ir klasificēts kā ādas </w:t>
            </w:r>
            <w:proofErr w:type="spellStart"/>
            <w:r w:rsidR="00A46B65" w:rsidRPr="00A46B65">
              <w:t>sensibilizators</w:t>
            </w:r>
            <w:proofErr w:type="spellEnd"/>
            <w:r w:rsidR="00A46B65" w:rsidRPr="00A46B65">
              <w:t xml:space="preserve"> jeb ādu kairinoša viela.</w:t>
            </w:r>
            <w:r w:rsidR="00A46B65">
              <w:t xml:space="preserve"> Ņemot vērā iepriekš minēto, </w:t>
            </w:r>
            <w:r w:rsidR="00A46B65" w:rsidRPr="004E0DDF">
              <w:rPr>
                <w:sz w:val="25"/>
                <w:szCs w:val="25"/>
              </w:rPr>
              <w:t xml:space="preserve">Eiropas Parlamenta un Padomes 2009.gada 18.jūnija direktīvas 2009/48/EK </w:t>
            </w:r>
            <w:r w:rsidR="00A46B65" w:rsidRPr="004E0DDF">
              <w:rPr>
                <w:i/>
                <w:sz w:val="25"/>
                <w:szCs w:val="25"/>
              </w:rPr>
              <w:t>par rotaļlietu drošumu</w:t>
            </w:r>
            <w:r w:rsidR="00A46B65">
              <w:t xml:space="preserve"> (turpmāk- Direktīva 2009/48/EK) II pielikuma C papildinājumā tika veikti grozījumi, lai attiecībā uz rotaļlietām noteiktu BIT satura rob</w:t>
            </w:r>
            <w:r w:rsidR="00F630D8">
              <w:t>ežvērtību.</w:t>
            </w:r>
          </w:p>
          <w:p w14:paraId="2B4F86A8" w14:textId="77777777" w:rsidR="00A46B65" w:rsidRDefault="00297DA6" w:rsidP="00F630D8">
            <w:pPr>
              <w:pStyle w:val="naisf"/>
              <w:ind w:left="70" w:right="23" w:firstLine="226"/>
            </w:pPr>
            <w:r w:rsidRPr="00297DA6">
              <w:t xml:space="preserve">Lai </w:t>
            </w:r>
            <w:r w:rsidR="006B156F" w:rsidRPr="00297DA6">
              <w:t>p</w:t>
            </w:r>
            <w:r w:rsidR="006B156F">
              <w:t>ārņemtu</w:t>
            </w:r>
            <w:r w:rsidR="006B156F" w:rsidRPr="00297DA6">
              <w:t xml:space="preserve"> </w:t>
            </w:r>
            <w:r w:rsidRPr="00297DA6">
              <w:t>Noteikum</w:t>
            </w:r>
            <w:r w:rsidR="006B156F">
              <w:t>o</w:t>
            </w:r>
            <w:r w:rsidRPr="00297DA6">
              <w:t xml:space="preserve">s Nr.132 </w:t>
            </w:r>
            <w:r w:rsidR="006B156F">
              <w:t xml:space="preserve">Direktīvas </w:t>
            </w:r>
            <w:r w:rsidRPr="00297DA6">
              <w:t>2015/2116</w:t>
            </w:r>
            <w:r>
              <w:t xml:space="preserve"> prasības</w:t>
            </w:r>
            <w:r w:rsidRPr="00297DA6">
              <w:t>, nepieciešams grozīt Noteikumu Nr.132 2.pielikuma III nodaļas 7.</w:t>
            </w:r>
            <w:r>
              <w:t>2 apakš</w:t>
            </w:r>
            <w:r w:rsidR="006B156F">
              <w:t>punkta tabulu</w:t>
            </w:r>
            <w:r w:rsidRPr="00297DA6">
              <w:t xml:space="preserve">, </w:t>
            </w:r>
            <w:r w:rsidR="006B156F">
              <w:t>tajā ietverot jaunu sadaļu par vielas</w:t>
            </w:r>
            <w:r w:rsidRPr="00297DA6">
              <w:t xml:space="preserve"> 1,2-benzizotiazol-3(2H)-ons</w:t>
            </w:r>
            <w:r w:rsidR="006B156F">
              <w:t xml:space="preserve"> robežvērtībām</w:t>
            </w:r>
            <w:r w:rsidRPr="00297DA6">
              <w:t xml:space="preserve"> rotaļlietās un rotaļlietu daļās, kuras paredzētas bērniem vecumā līdz 36 mēnešiem</w:t>
            </w:r>
            <w:r w:rsidR="00F630D8">
              <w:t xml:space="preserve"> un</w:t>
            </w:r>
            <w:r w:rsidRPr="00297DA6">
              <w:t xml:space="preserve"> citās rotaļlietās, kuras paredzētas ievietošanai mutē, ja to saturs nepārsniedz </w:t>
            </w:r>
            <w:r>
              <w:t xml:space="preserve">5 mg/kg satura robežvērtību ūdens bāzes rotaļlietu materiālos saskaņā ar </w:t>
            </w:r>
            <w:r w:rsidRPr="00807ED9">
              <w:t>standartos EN 71-10:2005 un EN 71-11:2005</w:t>
            </w:r>
            <w:r>
              <w:t xml:space="preserve"> noteiktajām metodēm</w:t>
            </w:r>
            <w:r w:rsidRPr="00297DA6">
              <w:t>.</w:t>
            </w:r>
          </w:p>
          <w:p w14:paraId="24ED9208" w14:textId="77777777" w:rsidR="00F630D8" w:rsidRDefault="00CA3EB1" w:rsidP="004E7532">
            <w:pPr>
              <w:pStyle w:val="naisf"/>
              <w:spacing w:before="0" w:after="0"/>
              <w:ind w:left="70" w:right="23" w:firstLine="226"/>
            </w:pPr>
            <w:r w:rsidRPr="00DD098B">
              <w:t xml:space="preserve">2) </w:t>
            </w:r>
            <w:r w:rsidR="00F630D8" w:rsidRPr="00F630D8">
              <w:t xml:space="preserve">Komisijas </w:t>
            </w:r>
            <w:r w:rsidR="00F630D8">
              <w:t>Direktīva</w:t>
            </w:r>
            <w:r w:rsidR="00F630D8" w:rsidRPr="00F630D8">
              <w:t xml:space="preserve"> 2015/2115</w:t>
            </w:r>
            <w:r w:rsidR="00F630D8" w:rsidRPr="00F630D8">
              <w:rPr>
                <w:i/>
              </w:rPr>
              <w:t xml:space="preserve">, 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="00F630D8" w:rsidRPr="00F630D8">
              <w:rPr>
                <w:i/>
              </w:rPr>
              <w:t>formamīdu</w:t>
            </w:r>
            <w:proofErr w:type="spellEnd"/>
            <w:r w:rsidR="00F630D8" w:rsidRPr="00F630D8">
              <w:t xml:space="preserve">; </w:t>
            </w:r>
            <w:r w:rsidRPr="00DD098B">
              <w:t xml:space="preserve">(turpmāk – Direktīva </w:t>
            </w:r>
            <w:r w:rsidR="00F630D8" w:rsidRPr="00F630D8">
              <w:t>2015/2115</w:t>
            </w:r>
            <w:r w:rsidRPr="00DD098B">
              <w:t xml:space="preserve">) stājās spēkā </w:t>
            </w:r>
            <w:r w:rsidR="00F630D8">
              <w:t>2015.gada 23.novembrī</w:t>
            </w:r>
            <w:r w:rsidRPr="00DD098B">
              <w:t xml:space="preserve">. </w:t>
            </w:r>
            <w:r w:rsidR="004E7532" w:rsidRPr="00DD098B">
              <w:t xml:space="preserve">Ar Direktīvu </w:t>
            </w:r>
            <w:r w:rsidR="00F630D8" w:rsidRPr="00F630D8">
              <w:t>2015/2115</w:t>
            </w:r>
            <w:r w:rsidR="00F630D8">
              <w:t xml:space="preserve"> </w:t>
            </w:r>
            <w:r w:rsidR="004E7532" w:rsidRPr="00DD098B">
              <w:t xml:space="preserve">Komisija nosaka </w:t>
            </w:r>
            <w:r w:rsidR="00F630D8" w:rsidRPr="00F630D8">
              <w:t>emisijas robežvērtība</w:t>
            </w:r>
            <w:r w:rsidR="00F630D8">
              <w:t xml:space="preserve">s </w:t>
            </w:r>
            <w:proofErr w:type="spellStart"/>
            <w:r w:rsidR="00F630D8" w:rsidRPr="00F630D8">
              <w:t>formamīd</w:t>
            </w:r>
            <w:r w:rsidR="00F630D8">
              <w:t>a</w:t>
            </w:r>
            <w:proofErr w:type="spellEnd"/>
            <w:r w:rsidR="00F630D8" w:rsidRPr="00F630D8">
              <w:t xml:space="preserve"> </w:t>
            </w:r>
            <w:r w:rsidR="004E7532" w:rsidRPr="00DD098B">
              <w:t xml:space="preserve">saturam rotaļlietās, kuras paredzētas bērniem vecumā līdz 36 mēnešiem, un kuras </w:t>
            </w:r>
            <w:r w:rsidR="00A374CB" w:rsidRPr="00DD098B">
              <w:t>paredzētas</w:t>
            </w:r>
            <w:r w:rsidR="004E7532" w:rsidRPr="00DD098B">
              <w:t xml:space="preserve"> ievietošanai mutē. </w:t>
            </w:r>
          </w:p>
          <w:p w14:paraId="4907FCD2" w14:textId="72C045EE" w:rsidR="00F630D8" w:rsidRDefault="00F630D8" w:rsidP="004E7532">
            <w:pPr>
              <w:pStyle w:val="naisf"/>
              <w:spacing w:before="0" w:after="0"/>
              <w:ind w:left="70" w:right="23" w:firstLine="226"/>
            </w:pPr>
            <w:proofErr w:type="spellStart"/>
            <w:r w:rsidRPr="00F630D8">
              <w:t>Formamīds</w:t>
            </w:r>
            <w:proofErr w:type="spellEnd"/>
            <w:r w:rsidRPr="00F630D8">
              <w:t xml:space="preserve"> </w:t>
            </w:r>
            <w:r w:rsidR="00E939E7">
              <w:t xml:space="preserve">CLP </w:t>
            </w:r>
            <w:r w:rsidR="00654A6E">
              <w:t>Regulā</w:t>
            </w:r>
            <w:r w:rsidRPr="00F630D8">
              <w:t xml:space="preserve"> klasificēts kā reproduktīvajai sistēmai toksiska 1.B kategorijas viela.</w:t>
            </w:r>
            <w:r w:rsidR="00654A6E">
              <w:t xml:space="preserve"> </w:t>
            </w:r>
            <w:proofErr w:type="spellStart"/>
            <w:r w:rsidR="00654A6E" w:rsidRPr="00654A6E">
              <w:t>Formamīdu</w:t>
            </w:r>
            <w:proofErr w:type="spellEnd"/>
            <w:r w:rsidR="00654A6E" w:rsidRPr="00654A6E">
              <w:t xml:space="preserve"> (CAS numurs 75-12-7) cita starpā izmanto plastmasas un polimēru rūpniecībā, jo īpaši par šķīdinātāju, plastifikatoru vai vielu, kas saistīta ar putu v</w:t>
            </w:r>
            <w:r w:rsidR="00654A6E">
              <w:t>eidotāju vielu putu ražošanā</w:t>
            </w:r>
            <w:r w:rsidR="00654A6E" w:rsidRPr="00654A6E">
              <w:t xml:space="preserve">. Vairākas dalībvalstis 2010. gadā konstatēja </w:t>
            </w:r>
            <w:proofErr w:type="spellStart"/>
            <w:r w:rsidR="00654A6E" w:rsidRPr="00654A6E">
              <w:t>formamīda</w:t>
            </w:r>
            <w:proofErr w:type="spellEnd"/>
            <w:r w:rsidR="00654A6E" w:rsidRPr="00654A6E">
              <w:t xml:space="preserve"> klātbūtni dažādās rotaļlietās, kas izgatavotas no putu materiāliem, piemēram, </w:t>
            </w:r>
            <w:proofErr w:type="spellStart"/>
            <w:r w:rsidR="00654A6E" w:rsidRPr="00654A6E">
              <w:t>puzles</w:t>
            </w:r>
            <w:proofErr w:type="spellEnd"/>
            <w:r w:rsidR="00654A6E" w:rsidRPr="00654A6E">
              <w:t xml:space="preserve"> paklājos; tas radīja bažas par bērnu veselību saistībā ar vielas ieelpošanu. </w:t>
            </w:r>
            <w:r w:rsidR="00654A6E">
              <w:t>Pamatojoties</w:t>
            </w:r>
            <w:r w:rsidR="00654A6E" w:rsidRPr="00654A6E">
              <w:t xml:space="preserve"> uz Francijas Pārtikas, vides un darba drošības aģentūras (ANSES) atzinumu</w:t>
            </w:r>
            <w:r w:rsidR="00654A6E">
              <w:rPr>
                <w:rStyle w:val="FootnoteReference"/>
              </w:rPr>
              <w:footnoteReference w:id="2"/>
            </w:r>
            <w:r w:rsidR="00654A6E">
              <w:t xml:space="preserve"> tika </w:t>
            </w:r>
            <w:r w:rsidR="00654A6E" w:rsidRPr="00654A6E">
              <w:t xml:space="preserve">ieteikts ierobežot </w:t>
            </w:r>
            <w:proofErr w:type="spellStart"/>
            <w:r w:rsidR="00654A6E" w:rsidRPr="00654A6E">
              <w:t>formamīda</w:t>
            </w:r>
            <w:proofErr w:type="spellEnd"/>
            <w:r w:rsidR="00654A6E" w:rsidRPr="00654A6E">
              <w:t xml:space="preserve"> emisijas gaisā no </w:t>
            </w:r>
            <w:proofErr w:type="spellStart"/>
            <w:r w:rsidR="00654A6E" w:rsidRPr="00654A6E">
              <w:t>puzles</w:t>
            </w:r>
            <w:proofErr w:type="spellEnd"/>
            <w:r w:rsidR="00654A6E" w:rsidRPr="00654A6E">
              <w:t xml:space="preserve"> paklājiem, lai tās nepārsniegtu 20 </w:t>
            </w:r>
            <w:proofErr w:type="spellStart"/>
            <w:r w:rsidR="00654A6E" w:rsidRPr="00654A6E">
              <w:t>μg</w:t>
            </w:r>
            <w:proofErr w:type="spellEnd"/>
            <w:r w:rsidR="00654A6E" w:rsidRPr="00654A6E">
              <w:t>/m</w:t>
            </w:r>
            <w:r w:rsidR="00654A6E" w:rsidRPr="00807ED9">
              <w:rPr>
                <w:vertAlign w:val="superscript"/>
              </w:rPr>
              <w:t>3</w:t>
            </w:r>
            <w:r w:rsidR="00654A6E" w:rsidRPr="00654A6E">
              <w:t xml:space="preserve">, veicot mērījumu 28 dienas pēc jaunu paklāju izpakošanas un turēšanas gāzizlādes kamerā pirms to pārdošanas </w:t>
            </w:r>
            <w:r w:rsidR="00654A6E">
              <w:t>saskaņā ar testēšanas metodi</w:t>
            </w:r>
            <w:r w:rsidR="00654A6E" w:rsidRPr="00654A6E">
              <w:t xml:space="preserve"> atbilstoši standartiem ISO 16000-6 un 16000-9 </w:t>
            </w:r>
            <w:r w:rsidR="00654A6E" w:rsidRPr="00654A6E">
              <w:lastRenderedPageBreak/>
              <w:t>un paraugus ņemot apstākļos, kas ir piemēroti paraugu ņemšanai no ražojumiem un ražojumu partijām</w:t>
            </w:r>
            <w:r w:rsidR="00654A6E">
              <w:t>.</w:t>
            </w:r>
          </w:p>
          <w:p w14:paraId="527ADBCE" w14:textId="77777777" w:rsidR="00654A6E" w:rsidRDefault="00557772" w:rsidP="00EC2ABA">
            <w:pPr>
              <w:pStyle w:val="naisf"/>
              <w:ind w:left="70" w:right="23" w:firstLine="226"/>
            </w:pPr>
            <w:r>
              <w:t xml:space="preserve">Lai nodrošinātu augstu bērnu aizsardzību un lai </w:t>
            </w:r>
            <w:r w:rsidRPr="00297DA6">
              <w:t>p</w:t>
            </w:r>
            <w:r>
              <w:t>ārņemtu</w:t>
            </w:r>
            <w:r w:rsidRPr="00297DA6">
              <w:t xml:space="preserve"> Noteikum</w:t>
            </w:r>
            <w:r>
              <w:t>o</w:t>
            </w:r>
            <w:r w:rsidRPr="00297DA6">
              <w:t xml:space="preserve">s Nr.132 </w:t>
            </w:r>
            <w:r>
              <w:t xml:space="preserve">Direktīvas </w:t>
            </w:r>
            <w:r w:rsidR="00EC2ABA" w:rsidRPr="00F630D8">
              <w:t>2015/2115</w:t>
            </w:r>
            <w:r w:rsidR="00EC2ABA">
              <w:t xml:space="preserve"> </w:t>
            </w:r>
            <w:r>
              <w:t>prasības</w:t>
            </w:r>
            <w:r w:rsidRPr="00297DA6">
              <w:t>, nepieciešams</w:t>
            </w:r>
            <w:r w:rsidR="009C5C90">
              <w:t xml:space="preserve"> veikt grozījumus</w:t>
            </w:r>
            <w:r w:rsidRPr="00297DA6">
              <w:t xml:space="preserve"> Noteikumu Nr.132 2.pielikuma III nodaļas 7.</w:t>
            </w:r>
            <w:r>
              <w:t>2 apakšpunkta tabul</w:t>
            </w:r>
            <w:r w:rsidR="009C5C90">
              <w:t>ā</w:t>
            </w:r>
            <w:r w:rsidRPr="00297DA6">
              <w:t xml:space="preserve">, </w:t>
            </w:r>
            <w:r>
              <w:t xml:space="preserve">tajā ietverot jaunu sadaļu par </w:t>
            </w:r>
            <w:proofErr w:type="spellStart"/>
            <w:r w:rsidR="00EC2ABA">
              <w:t>formamīda</w:t>
            </w:r>
            <w:proofErr w:type="spellEnd"/>
            <w:r>
              <w:t xml:space="preserve"> robežvērtībām</w:t>
            </w:r>
            <w:r w:rsidRPr="00297DA6">
              <w:t xml:space="preserve"> rotaļlietās un rotaļlietu daļās, kuras paredzētas bērniem vecumā līdz 36 mēnešiem</w:t>
            </w:r>
            <w:r>
              <w:t xml:space="preserve"> un</w:t>
            </w:r>
            <w:r w:rsidRPr="00297DA6">
              <w:t xml:space="preserve"> citās rotaļlietās, kura</w:t>
            </w:r>
            <w:r w:rsidR="00EC2ABA">
              <w:t>s paredzētas ievietošanai mutē. Grozījumi paredz</w:t>
            </w:r>
            <w:r>
              <w:t xml:space="preserve"> </w:t>
            </w:r>
            <w:r w:rsidRPr="00557772">
              <w:t xml:space="preserve">noteikt, ka </w:t>
            </w:r>
            <w:proofErr w:type="spellStart"/>
            <w:r w:rsidRPr="00557772">
              <w:t>formamīda</w:t>
            </w:r>
            <w:proofErr w:type="spellEnd"/>
            <w:r w:rsidRPr="00557772">
              <w:t xml:space="preserve"> emisijas no rotaļlietās izmantotajiem putu materiāliem nedrīkst pārsniegt 20 </w:t>
            </w:r>
            <w:proofErr w:type="spellStart"/>
            <w:r w:rsidRPr="00557772">
              <w:t>μg</w:t>
            </w:r>
            <w:proofErr w:type="spellEnd"/>
            <w:r w:rsidRPr="00557772">
              <w:t>/m</w:t>
            </w:r>
            <w:r w:rsidRPr="00807ED9">
              <w:rPr>
                <w:vertAlign w:val="superscript"/>
              </w:rPr>
              <w:t>3</w:t>
            </w:r>
            <w:r w:rsidRPr="00557772">
              <w:t xml:space="preserve">, mērījumu veicot ne vairāk kā 28 dienas pēc emisijas testa sākuma. </w:t>
            </w:r>
            <w:r w:rsidR="00EC2ABA">
              <w:t>E</w:t>
            </w:r>
            <w:r w:rsidRPr="00557772">
              <w:t xml:space="preserve">misiju testēšana nav nepieciešama, ja </w:t>
            </w:r>
            <w:proofErr w:type="spellStart"/>
            <w:r w:rsidRPr="00557772">
              <w:t>formamīda</w:t>
            </w:r>
            <w:proofErr w:type="spellEnd"/>
            <w:r w:rsidRPr="00557772">
              <w:t xml:space="preserve"> saturs ir 200 mg/kg vai mazāk (</w:t>
            </w:r>
            <w:proofErr w:type="spellStart"/>
            <w:r w:rsidRPr="00557772">
              <w:t>sliekšņvērtība</w:t>
            </w:r>
            <w:proofErr w:type="spellEnd"/>
            <w:r w:rsidRPr="00557772">
              <w:t>, kas iegūta vissliktākā gadījuma ekspozīcijas scenārijā).</w:t>
            </w:r>
          </w:p>
          <w:p w14:paraId="4E4F4DAB" w14:textId="77777777" w:rsidR="00EC2ABA" w:rsidRDefault="00EC2ABA" w:rsidP="00672D70">
            <w:pPr>
              <w:pStyle w:val="naisf"/>
              <w:spacing w:before="0" w:after="0"/>
              <w:ind w:left="70" w:right="23" w:firstLine="226"/>
            </w:pPr>
            <w:r>
              <w:t>3) 2015.gada 23.novembrī stājās spēkā</w:t>
            </w:r>
            <w:r w:rsidRPr="00EC2ABA">
              <w:t xml:space="preserve"> Komisijas </w:t>
            </w:r>
            <w:r>
              <w:t>Direktīva</w:t>
            </w:r>
            <w:r w:rsidRPr="00EC2ABA">
              <w:t xml:space="preserve"> 2015/2117, </w:t>
            </w:r>
            <w:r w:rsidRPr="00EC2ABA">
              <w:rPr>
                <w:i/>
              </w:rPr>
              <w:t xml:space="preserve">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Pr="00EC2ABA">
              <w:rPr>
                <w:i/>
              </w:rPr>
              <w:t>hlormetilizotiazolinonu</w:t>
            </w:r>
            <w:proofErr w:type="spellEnd"/>
            <w:r w:rsidRPr="00EC2ABA">
              <w:rPr>
                <w:i/>
              </w:rPr>
              <w:t xml:space="preserve"> un </w:t>
            </w:r>
            <w:proofErr w:type="spellStart"/>
            <w:r w:rsidRPr="00EC2ABA">
              <w:rPr>
                <w:i/>
              </w:rPr>
              <w:t>metilizotiazolinonu</w:t>
            </w:r>
            <w:proofErr w:type="spellEnd"/>
            <w:r w:rsidRPr="00EC2ABA">
              <w:rPr>
                <w:i/>
              </w:rPr>
              <w:t xml:space="preserve"> gan atsevišķi, gan attiecībā 3:1</w:t>
            </w:r>
            <w:r w:rsidR="00672D70">
              <w:rPr>
                <w:i/>
              </w:rPr>
              <w:t xml:space="preserve"> </w:t>
            </w:r>
            <w:r w:rsidRPr="00DD098B">
              <w:t xml:space="preserve">(turpmāk – Direktīva </w:t>
            </w:r>
            <w:r w:rsidRPr="00EC2ABA">
              <w:t>2015/2117</w:t>
            </w:r>
            <w:r w:rsidRPr="00DD098B">
              <w:t>)</w:t>
            </w:r>
            <w:r>
              <w:t xml:space="preserve">, kas paredz noteikt </w:t>
            </w:r>
            <w:r w:rsidR="00672D70" w:rsidRPr="00672D70">
              <w:t>5-hlor-2-metilizotiazolīn-3(2H)-onu (CMI) un 2-metilizotiazolīn-3(2H)-onu (MI) attiecībā 3</w:t>
            </w:r>
            <w:r w:rsidR="00672D70">
              <w:t>:1 (CAS numurs 55965-84-9)</w:t>
            </w:r>
            <w:r w:rsidR="00672D70" w:rsidRPr="00672D70">
              <w:t>, kā arī atsevišķi šā maisījuma komponentus CMI (CAS numurs 26172-55-4) un MI (CAS numurs 2682-20-4) satura robe</w:t>
            </w:r>
            <w:r w:rsidR="00672D70">
              <w:t xml:space="preserve">žvērtības rotaļlietās. </w:t>
            </w:r>
            <w:r w:rsidR="00672D70" w:rsidRPr="00672D70">
              <w:t>CMI un MI attiecībā 3:1, kā arī CMI un MI kā atsevišķu vielu izmanto par konservan</w:t>
            </w:r>
            <w:r w:rsidR="00672D70">
              <w:t>tiem ūdens bāzes rotaļlietās</w:t>
            </w:r>
            <w:r w:rsidR="00672D70" w:rsidRPr="00672D70">
              <w:t xml:space="preserve">, tostarp vaļasprieka krāsās, </w:t>
            </w:r>
            <w:proofErr w:type="spellStart"/>
            <w:r w:rsidR="00672D70" w:rsidRPr="00672D70">
              <w:t>pirkstzīmēšanas</w:t>
            </w:r>
            <w:proofErr w:type="spellEnd"/>
            <w:r w:rsidR="00672D70" w:rsidRPr="00672D70">
              <w:t xml:space="preserve"> krāsās, logu/stikla krāsās, līmēs un ziepju burbuļos</w:t>
            </w:r>
            <w:r w:rsidR="00672D70">
              <w:t>.</w:t>
            </w:r>
          </w:p>
          <w:p w14:paraId="53637F2C" w14:textId="549B0C64" w:rsidR="00672D70" w:rsidRDefault="006226DC" w:rsidP="00C66537">
            <w:pPr>
              <w:pStyle w:val="naisf"/>
              <w:spacing w:before="0" w:after="0"/>
              <w:ind w:left="70" w:right="23" w:firstLine="226"/>
            </w:pPr>
            <w:r>
              <w:t>Saskaņā</w:t>
            </w:r>
            <w:r w:rsidRPr="006226DC">
              <w:t xml:space="preserve"> Veselības un vides apdraudējuma zinātni</w:t>
            </w:r>
            <w:r>
              <w:t xml:space="preserve">skās komitejas (SCHER) atzinumu, </w:t>
            </w:r>
            <w:r w:rsidRPr="006226DC">
              <w:t>rotaļlietās nav ieteicams izmantot ne CMI un MI attiecībā 3:1, ne CMI un MI kā atsevišķas vielas, ņemot vērā</w:t>
            </w:r>
            <w:r>
              <w:t xml:space="preserve"> </w:t>
            </w:r>
            <w:r w:rsidRPr="006226DC">
              <w:t xml:space="preserve">kontakta radītās alerģiskās reakcijas, kas novērotas saistībā ar </w:t>
            </w:r>
            <w:r>
              <w:t>šo vielu izmantošanu kosmētikā</w:t>
            </w:r>
            <w:r w:rsidRPr="006226DC">
              <w:t xml:space="preserve">. </w:t>
            </w:r>
            <w:r>
              <w:t>A</w:t>
            </w:r>
            <w:r w:rsidRPr="006226DC">
              <w:t>rī Patērētāju drošības zināt</w:t>
            </w:r>
            <w:r>
              <w:t>niskās komitejas (SCCS) atzinumā</w:t>
            </w:r>
            <w:r w:rsidR="00C66537">
              <w:rPr>
                <w:rStyle w:val="FootnoteReference"/>
              </w:rPr>
              <w:footnoteReference w:id="3"/>
            </w:r>
            <w:r w:rsidRPr="006226DC">
              <w:t xml:space="preserve"> CMI un MI maisījums attiecībā 3:1 ir raksturots kā cilvēkiem ārkārtīgi spēcīgs kontakta alerg</w:t>
            </w:r>
            <w:r>
              <w:t>ēns, ko apliecina atzinumā ietvertie dati</w:t>
            </w:r>
            <w:r w:rsidRPr="006226DC">
              <w:t>.</w:t>
            </w:r>
          </w:p>
          <w:p w14:paraId="2B12A3F6" w14:textId="77777777" w:rsidR="00EC2ABA" w:rsidRDefault="006226DC" w:rsidP="004E7532">
            <w:pPr>
              <w:pStyle w:val="naisf"/>
              <w:spacing w:before="0" w:after="0"/>
              <w:ind w:left="70" w:right="23" w:firstLine="226"/>
            </w:pPr>
            <w:r w:rsidRPr="006226DC">
              <w:t>Lai nodrošinātu bērnu augsta līmeņa aizsardzību pret riskiem, ko rada ķīmi</w:t>
            </w:r>
            <w:r w:rsidR="009C5C90">
              <w:t xml:space="preserve">sko vielu klātbūtne rotaļlietās un pārņemtu </w:t>
            </w:r>
            <w:r w:rsidR="009C5C90" w:rsidRPr="00DD098B">
              <w:t>Direktīva</w:t>
            </w:r>
            <w:r w:rsidR="009C5C90">
              <w:t>s</w:t>
            </w:r>
            <w:r w:rsidR="009C5C90" w:rsidRPr="00DD098B">
              <w:t xml:space="preserve"> </w:t>
            </w:r>
            <w:r w:rsidR="009C5C90" w:rsidRPr="00EC2ABA">
              <w:t>2015/2117</w:t>
            </w:r>
            <w:r w:rsidR="009C5C90">
              <w:t xml:space="preserve"> prasības, nepieciešams veikt grozījumus </w:t>
            </w:r>
            <w:r w:rsidR="009C5C90" w:rsidRPr="00297DA6">
              <w:t>Noteikumu Nr.132 2.pielikuma III nodaļas 7.</w:t>
            </w:r>
            <w:r w:rsidR="009C5C90">
              <w:t>2 apakšpunkta tabulā</w:t>
            </w:r>
            <w:r w:rsidR="009C5C90" w:rsidRPr="00297DA6">
              <w:t>,</w:t>
            </w:r>
            <w:r w:rsidR="009C5C90">
              <w:t xml:space="preserve"> ietverot 3 jaunas sadaļas: (1)</w:t>
            </w:r>
            <w:r w:rsidR="009C5C90" w:rsidRPr="00672D70">
              <w:t xml:space="preserve"> CMI un MI attiecībā 3:1, kā </w:t>
            </w:r>
            <w:r w:rsidR="009C5C90" w:rsidRPr="00672D70">
              <w:lastRenderedPageBreak/>
              <w:t xml:space="preserve">arī </w:t>
            </w:r>
            <w:r w:rsidR="009C5C90">
              <w:t xml:space="preserve">(2) </w:t>
            </w:r>
            <w:r w:rsidR="009C5C90" w:rsidRPr="00672D70">
              <w:t xml:space="preserve">CMI un </w:t>
            </w:r>
            <w:r w:rsidR="009C5C90">
              <w:t xml:space="preserve">(3) </w:t>
            </w:r>
            <w:r w:rsidR="009C5C90" w:rsidRPr="00672D70">
              <w:t>MI kā atsevišķ</w:t>
            </w:r>
            <w:r w:rsidR="009C5C90">
              <w:t xml:space="preserve">as vielas, nosakot vielu </w:t>
            </w:r>
            <w:r w:rsidR="009C5C90" w:rsidRPr="009C5C90">
              <w:t>satura robežvērtī</w:t>
            </w:r>
            <w:r w:rsidR="009C5C90">
              <w:t>bu</w:t>
            </w:r>
            <w:r w:rsidR="009C5C90" w:rsidRPr="009C5C90">
              <w:t xml:space="preserve"> ūdens bāzes rotaļlietu materiālos</w:t>
            </w:r>
            <w:r w:rsidR="009C5C90">
              <w:t>.</w:t>
            </w:r>
          </w:p>
          <w:p w14:paraId="0528DA34" w14:textId="77777777" w:rsidR="00CA3EB1" w:rsidRPr="00DD098B" w:rsidRDefault="00CA3EB1" w:rsidP="009C5C90">
            <w:pPr>
              <w:pStyle w:val="naisf"/>
              <w:spacing w:before="0" w:after="0"/>
              <w:ind w:right="23" w:firstLine="0"/>
            </w:pPr>
            <w:r w:rsidRPr="00DD098B">
              <w:rPr>
                <w:color w:val="auto"/>
              </w:rPr>
              <w:t xml:space="preserve"> </w:t>
            </w:r>
            <w:r w:rsidR="009C5C90">
              <w:rPr>
                <w:color w:val="auto"/>
              </w:rPr>
              <w:t xml:space="preserve">Noteikumu projekts paredz, ka jaunās prasībās attiecībā uz BIT un </w:t>
            </w:r>
            <w:proofErr w:type="spellStart"/>
            <w:r w:rsidR="009C5C90">
              <w:rPr>
                <w:color w:val="auto"/>
              </w:rPr>
              <w:t>formamīda</w:t>
            </w:r>
            <w:proofErr w:type="spellEnd"/>
            <w:r w:rsidR="009C5C90">
              <w:rPr>
                <w:color w:val="auto"/>
              </w:rPr>
              <w:t xml:space="preserve"> robežvērtībām tiks piemērotas no 2017.gada 24.maija, savukārt prasības attiecībā uz </w:t>
            </w:r>
            <w:r w:rsidR="009C5C90" w:rsidRPr="009C5C90">
              <w:rPr>
                <w:color w:val="auto"/>
              </w:rPr>
              <w:t>CMI un MI</w:t>
            </w:r>
            <w:r w:rsidR="009C5C90">
              <w:rPr>
                <w:color w:val="auto"/>
              </w:rPr>
              <w:t xml:space="preserve"> vielu robežvērtībām </w:t>
            </w:r>
            <w:r w:rsidR="00430C37">
              <w:rPr>
                <w:color w:val="auto"/>
              </w:rPr>
              <w:t>no 2017.gada 24.novembra.</w:t>
            </w:r>
          </w:p>
        </w:tc>
      </w:tr>
      <w:tr w:rsidR="00CA3EB1" w:rsidRPr="00DD098B" w14:paraId="0D8DA00E" w14:textId="77777777" w:rsidTr="007F53FB">
        <w:trPr>
          <w:trHeight w:val="5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4AE" w14:textId="77777777" w:rsidR="00CA3EB1" w:rsidRPr="00DD098B" w:rsidRDefault="00CA3EB1" w:rsidP="007F53FB">
            <w:pPr>
              <w:pStyle w:val="naiskr"/>
              <w:spacing w:before="0" w:after="0"/>
              <w:ind w:right="-99"/>
              <w:jc w:val="center"/>
            </w:pPr>
            <w:r w:rsidRPr="00DD098B">
              <w:lastRenderedPageBreak/>
              <w:t>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47F" w14:textId="77777777" w:rsidR="00CA3EB1" w:rsidRPr="00DD098B" w:rsidRDefault="00CA3EB1" w:rsidP="007F53FB">
            <w:pPr>
              <w:pStyle w:val="naiskr"/>
              <w:spacing w:before="0" w:after="0"/>
              <w:jc w:val="both"/>
            </w:pPr>
            <w:r w:rsidRPr="00DD098B">
              <w:t>Projektu izstrādē iesaistītās institūcijas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B72" w14:textId="77777777" w:rsidR="00CA3EB1" w:rsidRPr="00DD098B" w:rsidRDefault="00430C37" w:rsidP="007F53FB">
            <w:pPr>
              <w:pStyle w:val="FootnoteText"/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Patērētāju tiesību aizsardzības centrs.</w:t>
            </w:r>
          </w:p>
        </w:tc>
      </w:tr>
      <w:tr w:rsidR="00CA3EB1" w:rsidRPr="00DD098B" w14:paraId="4B52D99F" w14:textId="77777777" w:rsidTr="007F53FB">
        <w:trPr>
          <w:trHeight w:val="3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22F" w14:textId="77777777" w:rsidR="00CA3EB1" w:rsidRPr="00DD098B" w:rsidRDefault="00CA3EB1" w:rsidP="007F53FB">
            <w:pPr>
              <w:pStyle w:val="naiskr"/>
              <w:spacing w:before="0" w:after="0"/>
              <w:ind w:right="-99"/>
              <w:jc w:val="center"/>
            </w:pPr>
            <w:r w:rsidRPr="00DD098B">
              <w:t>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B849" w14:textId="77777777" w:rsidR="00CA3EB1" w:rsidRPr="00DD098B" w:rsidRDefault="00CA3EB1" w:rsidP="007F53FB">
            <w:pPr>
              <w:pStyle w:val="naiskr"/>
              <w:spacing w:before="0" w:after="0"/>
              <w:jc w:val="both"/>
            </w:pPr>
            <w:r w:rsidRPr="00DD098B">
              <w:t>Cita informācija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FBD" w14:textId="77777777" w:rsidR="00CA3EB1" w:rsidRPr="00DD098B" w:rsidRDefault="00CA3EB1" w:rsidP="007F53FB">
            <w:pPr>
              <w:pStyle w:val="naisf"/>
              <w:spacing w:before="0" w:after="0"/>
              <w:ind w:right="23" w:firstLine="0"/>
            </w:pPr>
            <w:r w:rsidRPr="00DD098B">
              <w:t>Nav.</w:t>
            </w:r>
          </w:p>
        </w:tc>
      </w:tr>
    </w:tbl>
    <w:p w14:paraId="447378EF" w14:textId="77777777" w:rsidR="00CA3EB1" w:rsidRPr="004D310E" w:rsidRDefault="00CA3EB1" w:rsidP="00CA3EB1">
      <w:pPr>
        <w:pStyle w:val="NormalWeb"/>
        <w:ind w:right="-99" w:firstLine="0"/>
        <w:rPr>
          <w:sz w:val="26"/>
          <w:szCs w:val="26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968"/>
        <w:gridCol w:w="4830"/>
      </w:tblGrid>
      <w:tr w:rsidR="00CA3EB1" w:rsidRPr="004D310E" w14:paraId="3D5C6DE5" w14:textId="77777777" w:rsidTr="007F53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04D" w14:textId="77777777" w:rsidR="00CA3EB1" w:rsidRPr="004D310E" w:rsidRDefault="00CA3EB1" w:rsidP="007F53FB">
            <w:pPr>
              <w:pStyle w:val="naisnod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CA3EB1" w:rsidRPr="004D310E" w14:paraId="40D146F5" w14:textId="77777777" w:rsidTr="007F53F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DF0AE74" w14:textId="77777777" w:rsidR="00CA3EB1" w:rsidRPr="004D310E" w:rsidRDefault="00CA3EB1" w:rsidP="007F53FB">
            <w:pPr>
              <w:pStyle w:val="NormalWeb"/>
              <w:ind w:firstLine="0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1.</w:t>
            </w:r>
          </w:p>
        </w:tc>
        <w:tc>
          <w:tcPr>
            <w:tcW w:w="1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5DD3" w14:textId="77777777" w:rsidR="00CA3EB1" w:rsidRPr="004D310E" w:rsidRDefault="00CA3EB1" w:rsidP="007F53FB">
            <w:pPr>
              <w:pStyle w:val="NormalWeb"/>
              <w:ind w:firstLine="0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2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3593EA4" w14:textId="77777777" w:rsidR="00CA3EB1" w:rsidRPr="004D310E" w:rsidRDefault="00CA3EB1" w:rsidP="007F53FB">
            <w:pPr>
              <w:pStyle w:val="NormalWeb"/>
              <w:spacing w:before="0" w:after="0"/>
              <w:ind w:firstLine="232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 xml:space="preserve"> Patērētāji – bērni un viņu pieskatītāji (saskaņā ar Centrālās statistikas pārvaldes d</w:t>
            </w:r>
            <w:r w:rsidR="00EF49C6">
              <w:rPr>
                <w:sz w:val="26"/>
                <w:szCs w:val="26"/>
              </w:rPr>
              <w:t>atu bāzē esošo informāciju, 2015</w:t>
            </w:r>
            <w:r w:rsidRPr="004D310E">
              <w:rPr>
                <w:sz w:val="26"/>
                <w:szCs w:val="26"/>
              </w:rPr>
              <w:t>.gadā – 2</w:t>
            </w:r>
            <w:r w:rsidR="00EF49C6">
              <w:rPr>
                <w:sz w:val="26"/>
                <w:szCs w:val="26"/>
              </w:rPr>
              <w:t>80</w:t>
            </w:r>
            <w:r w:rsidRPr="004D310E">
              <w:rPr>
                <w:sz w:val="26"/>
                <w:szCs w:val="26"/>
              </w:rPr>
              <w:t> </w:t>
            </w:r>
            <w:r w:rsidR="00EF49C6">
              <w:rPr>
                <w:sz w:val="26"/>
                <w:szCs w:val="26"/>
              </w:rPr>
              <w:t>272</w:t>
            </w:r>
            <w:r w:rsidRPr="004D310E">
              <w:rPr>
                <w:sz w:val="26"/>
                <w:szCs w:val="26"/>
              </w:rPr>
              <w:t xml:space="preserve"> bērnu vecumā līdz 14 gadiem, no </w:t>
            </w:r>
            <w:r w:rsidR="00EF49C6">
              <w:rPr>
                <w:sz w:val="26"/>
                <w:szCs w:val="26"/>
              </w:rPr>
              <w:t xml:space="preserve">1 986 </w:t>
            </w:r>
            <w:r w:rsidR="00EF49C6" w:rsidRPr="00EF49C6">
              <w:rPr>
                <w:sz w:val="26"/>
                <w:szCs w:val="26"/>
              </w:rPr>
              <w:t>1</w:t>
            </w:r>
            <w:r w:rsidR="00EF49C6">
              <w:rPr>
                <w:sz w:val="26"/>
                <w:szCs w:val="26"/>
              </w:rPr>
              <w:t xml:space="preserve">00 </w:t>
            </w:r>
            <w:r w:rsidR="00EF49C6" w:rsidRPr="00EF49C6">
              <w:rPr>
                <w:sz w:val="26"/>
                <w:szCs w:val="26"/>
              </w:rPr>
              <w:t xml:space="preserve"> </w:t>
            </w:r>
            <w:r w:rsidRPr="004D310E">
              <w:rPr>
                <w:sz w:val="26"/>
                <w:szCs w:val="26"/>
              </w:rPr>
              <w:t>kopējā Latvijas iedzīvotāju skaita, kā arī, ņemot vērā Direktīvas 2009/48/EK mērķi – nodrošināt augstu rotaļlietu drošuma līmeni nolūkā aizsargāt bērnu veselību un drošību, nosakot saskaņotas rotaļlietu dr</w:t>
            </w:r>
            <w:r w:rsidR="00DC7477">
              <w:rPr>
                <w:sz w:val="26"/>
                <w:szCs w:val="26"/>
              </w:rPr>
              <w:t xml:space="preserve">ošuma prasības iekšējā tirgū – </w:t>
            </w:r>
            <w:r w:rsidR="00EF49C6">
              <w:t xml:space="preserve">Direktīvas </w:t>
            </w:r>
            <w:r w:rsidR="00EF49C6" w:rsidRPr="00297DA6">
              <w:t>2015/2116</w:t>
            </w:r>
            <w:r w:rsidR="00DC7477">
              <w:rPr>
                <w:sz w:val="26"/>
                <w:szCs w:val="26"/>
              </w:rPr>
              <w:t xml:space="preserve">, </w:t>
            </w:r>
            <w:r w:rsidR="00EF49C6">
              <w:t xml:space="preserve">Direktīvas </w:t>
            </w:r>
            <w:r w:rsidR="00EF49C6" w:rsidRPr="00F630D8">
              <w:t>2015/2115</w:t>
            </w:r>
            <w:r w:rsidR="00DC7477">
              <w:rPr>
                <w:sz w:val="26"/>
                <w:szCs w:val="26"/>
              </w:rPr>
              <w:t xml:space="preserve"> un </w:t>
            </w:r>
            <w:r w:rsidR="00EF49C6" w:rsidRPr="00DD098B">
              <w:t>Direktīva</w:t>
            </w:r>
            <w:r w:rsidR="00EF49C6">
              <w:t>s</w:t>
            </w:r>
            <w:r w:rsidR="00EF49C6" w:rsidRPr="00DD098B">
              <w:t xml:space="preserve"> </w:t>
            </w:r>
            <w:r w:rsidR="00EF49C6" w:rsidRPr="00EC2ABA">
              <w:t>2015/2117</w:t>
            </w:r>
            <w:r w:rsidRPr="004D310E">
              <w:rPr>
                <w:sz w:val="26"/>
                <w:szCs w:val="26"/>
              </w:rPr>
              <w:t xml:space="preserve"> ieviešana Latvijā skars arī ~5</w:t>
            </w:r>
            <w:r w:rsidR="00EF49C6">
              <w:rPr>
                <w:sz w:val="26"/>
                <w:szCs w:val="26"/>
              </w:rPr>
              <w:t>00</w:t>
            </w:r>
            <w:r w:rsidRPr="004D310E">
              <w:rPr>
                <w:sz w:val="26"/>
                <w:szCs w:val="26"/>
              </w:rPr>
              <w:t xml:space="preserve"> miljonus ES patērētāju). </w:t>
            </w:r>
          </w:p>
          <w:p w14:paraId="41C5155C" w14:textId="77777777" w:rsidR="00CA3EB1" w:rsidRPr="004D310E" w:rsidRDefault="00CA3EB1" w:rsidP="00EF49C6">
            <w:pPr>
              <w:pStyle w:val="NormalWeb"/>
              <w:spacing w:before="0" w:after="0"/>
              <w:ind w:firstLine="232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 xml:space="preserve">Tirgus dalībnieki – rotaļlietu ražotāji, to pilnvarotie pārstāvji, importētāji un izplatītāji, kuriem būs jāņem vērā Noteikumu projektā noteiktās drošuma prasības </w:t>
            </w:r>
            <w:r w:rsidR="000A2A64">
              <w:rPr>
                <w:sz w:val="26"/>
                <w:szCs w:val="26"/>
              </w:rPr>
              <w:t>ķīmisko</w:t>
            </w:r>
            <w:r w:rsidRPr="004D310E">
              <w:rPr>
                <w:sz w:val="26"/>
                <w:szCs w:val="26"/>
              </w:rPr>
              <w:t xml:space="preserve"> viel</w:t>
            </w:r>
            <w:r w:rsidR="000A2A64">
              <w:rPr>
                <w:sz w:val="26"/>
                <w:szCs w:val="26"/>
              </w:rPr>
              <w:t>u</w:t>
            </w:r>
            <w:r w:rsidRPr="004D310E">
              <w:rPr>
                <w:sz w:val="26"/>
                <w:szCs w:val="26"/>
              </w:rPr>
              <w:t xml:space="preserve"> – </w:t>
            </w:r>
            <w:r w:rsidR="00EF49C6">
              <w:rPr>
                <w:sz w:val="26"/>
                <w:szCs w:val="26"/>
              </w:rPr>
              <w:t xml:space="preserve">BIT, </w:t>
            </w:r>
            <w:proofErr w:type="spellStart"/>
            <w:r w:rsidR="00EF49C6">
              <w:rPr>
                <w:sz w:val="26"/>
                <w:szCs w:val="26"/>
              </w:rPr>
              <w:t>formamīda</w:t>
            </w:r>
            <w:proofErr w:type="spellEnd"/>
            <w:r w:rsidR="00EF49C6">
              <w:rPr>
                <w:sz w:val="26"/>
                <w:szCs w:val="26"/>
              </w:rPr>
              <w:t>, CMI un MI</w:t>
            </w:r>
            <w:r w:rsidRPr="004D310E">
              <w:rPr>
                <w:sz w:val="26"/>
                <w:szCs w:val="26"/>
              </w:rPr>
              <w:t xml:space="preserve"> izmantošanai rotaļlietu izstrādājumos un to daļās.</w:t>
            </w:r>
          </w:p>
        </w:tc>
      </w:tr>
      <w:tr w:rsidR="00CA3EB1" w:rsidRPr="004D310E" w14:paraId="2424C3BE" w14:textId="77777777" w:rsidTr="007F53F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79C0B5B" w14:textId="77777777" w:rsidR="00CA3EB1" w:rsidRPr="004D310E" w:rsidRDefault="00CA3EB1" w:rsidP="007F53FB">
            <w:pPr>
              <w:pStyle w:val="NormalWeb"/>
              <w:ind w:firstLine="0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2.</w:t>
            </w:r>
          </w:p>
        </w:tc>
        <w:tc>
          <w:tcPr>
            <w:tcW w:w="1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C808A" w14:textId="77777777" w:rsidR="00CA3EB1" w:rsidRPr="004D310E" w:rsidRDefault="00CA3EB1" w:rsidP="007F53FB">
            <w:pPr>
              <w:pStyle w:val="NormalWeb"/>
              <w:ind w:firstLine="0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2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58C3035" w14:textId="77777777" w:rsidR="00741461" w:rsidRPr="004D310E" w:rsidRDefault="00741461" w:rsidP="007F53FB">
            <w:pPr>
              <w:pStyle w:val="NormalWeb"/>
              <w:spacing w:before="0" w:after="0"/>
              <w:ind w:left="57" w:right="57" w:firstLine="176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Šobrīd nav pieeja</w:t>
            </w:r>
            <w:r>
              <w:rPr>
                <w:sz w:val="26"/>
                <w:szCs w:val="26"/>
              </w:rPr>
              <w:t>ma informācija, ka līdz ar jaunu</w:t>
            </w:r>
            <w:r w:rsidRPr="004D310E">
              <w:rPr>
                <w:sz w:val="26"/>
                <w:szCs w:val="26"/>
              </w:rPr>
              <w:t xml:space="preserve"> normatīvo regulējumu</w:t>
            </w:r>
            <w:r>
              <w:rPr>
                <w:sz w:val="26"/>
                <w:szCs w:val="26"/>
              </w:rPr>
              <w:t xml:space="preserve"> </w:t>
            </w:r>
            <w:r w:rsidRPr="004D310E">
              <w:rPr>
                <w:sz w:val="26"/>
                <w:szCs w:val="26"/>
              </w:rPr>
              <w:t>mainī</w:t>
            </w:r>
            <w:r w:rsidR="00EF49C6">
              <w:rPr>
                <w:sz w:val="26"/>
                <w:szCs w:val="26"/>
              </w:rPr>
              <w:t>sies</w:t>
            </w:r>
            <w:r>
              <w:rPr>
                <w:sz w:val="26"/>
                <w:szCs w:val="26"/>
              </w:rPr>
              <w:t xml:space="preserve"> rotaļlietu</w:t>
            </w:r>
            <w:r w:rsidRPr="004D310E">
              <w:rPr>
                <w:sz w:val="26"/>
                <w:szCs w:val="26"/>
              </w:rPr>
              <w:t xml:space="preserve"> ražošanas apjoms</w:t>
            </w:r>
            <w:r>
              <w:rPr>
                <w:sz w:val="26"/>
                <w:szCs w:val="26"/>
              </w:rPr>
              <w:t>.</w:t>
            </w:r>
          </w:p>
          <w:p w14:paraId="1E2247AF" w14:textId="77777777" w:rsidR="00CA3EB1" w:rsidRPr="004D310E" w:rsidRDefault="00CA3EB1" w:rsidP="007F53FB">
            <w:pPr>
              <w:pStyle w:val="NormalWeb"/>
              <w:spacing w:before="0" w:after="0"/>
              <w:ind w:left="57" w:right="57" w:firstLine="176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Noteikumu projektā ietvertais regulējums neparedz palielināt administratīvo slogu.</w:t>
            </w:r>
          </w:p>
        </w:tc>
      </w:tr>
      <w:tr w:rsidR="00CA3EB1" w:rsidRPr="004D310E" w14:paraId="327F09E0" w14:textId="77777777" w:rsidTr="007F53F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5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1760839" w14:textId="77777777" w:rsidR="00CA3EB1" w:rsidRPr="004D310E" w:rsidRDefault="00CA3EB1" w:rsidP="007F53FB">
            <w:pPr>
              <w:pStyle w:val="NormalWeb"/>
              <w:ind w:firstLine="0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3.</w:t>
            </w:r>
          </w:p>
        </w:tc>
        <w:tc>
          <w:tcPr>
            <w:tcW w:w="1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62F07" w14:textId="77777777" w:rsidR="00CA3EB1" w:rsidRPr="004D310E" w:rsidRDefault="00CA3EB1" w:rsidP="007F53FB">
            <w:pPr>
              <w:pStyle w:val="NormalWeb"/>
              <w:ind w:firstLine="0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2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BE6DB7D" w14:textId="4FB3910C" w:rsidR="00CA3EB1" w:rsidRPr="004D310E" w:rsidRDefault="00CA3EB1" w:rsidP="00701A71">
            <w:pPr>
              <w:ind w:firstLine="233"/>
              <w:jc w:val="both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Noteikumu</w:t>
            </w:r>
            <w:r w:rsidR="00807ED9">
              <w:rPr>
                <w:sz w:val="26"/>
                <w:szCs w:val="26"/>
              </w:rPr>
              <w:t xml:space="preserve"> projekts ietekmēs</w:t>
            </w:r>
            <w:r w:rsidR="00F57871">
              <w:rPr>
                <w:sz w:val="26"/>
                <w:szCs w:val="26"/>
              </w:rPr>
              <w:t xml:space="preserve"> </w:t>
            </w:r>
            <w:r w:rsidR="00807ED9">
              <w:rPr>
                <w:sz w:val="26"/>
                <w:szCs w:val="26"/>
              </w:rPr>
              <w:t>rotaļlietu ražotājus</w:t>
            </w:r>
            <w:r w:rsidRPr="004D310E">
              <w:rPr>
                <w:sz w:val="26"/>
                <w:szCs w:val="26"/>
              </w:rPr>
              <w:t>, to pilnvarot</w:t>
            </w:r>
            <w:r w:rsidR="00807ED9">
              <w:rPr>
                <w:sz w:val="26"/>
                <w:szCs w:val="26"/>
              </w:rPr>
              <w:t>os</w:t>
            </w:r>
            <w:r w:rsidRPr="004D310E">
              <w:rPr>
                <w:sz w:val="26"/>
                <w:szCs w:val="26"/>
              </w:rPr>
              <w:t xml:space="preserve"> pārstāvj</w:t>
            </w:r>
            <w:r w:rsidR="00807ED9">
              <w:rPr>
                <w:sz w:val="26"/>
                <w:szCs w:val="26"/>
              </w:rPr>
              <w:t>us</w:t>
            </w:r>
            <w:r w:rsidRPr="004D310E">
              <w:rPr>
                <w:sz w:val="26"/>
                <w:szCs w:val="26"/>
              </w:rPr>
              <w:t>, importētāj</w:t>
            </w:r>
            <w:r w:rsidR="00807ED9">
              <w:rPr>
                <w:sz w:val="26"/>
                <w:szCs w:val="26"/>
              </w:rPr>
              <w:t>us</w:t>
            </w:r>
            <w:r w:rsidRPr="004D310E">
              <w:rPr>
                <w:sz w:val="26"/>
                <w:szCs w:val="26"/>
              </w:rPr>
              <w:t xml:space="preserve"> un izplatītāj</w:t>
            </w:r>
            <w:r w:rsidR="00807ED9">
              <w:rPr>
                <w:sz w:val="26"/>
                <w:szCs w:val="26"/>
              </w:rPr>
              <w:t>us</w:t>
            </w:r>
            <w:r w:rsidRPr="004D310E">
              <w:rPr>
                <w:sz w:val="26"/>
                <w:szCs w:val="26"/>
              </w:rPr>
              <w:t xml:space="preserve">, </w:t>
            </w:r>
            <w:r w:rsidR="00807ED9">
              <w:rPr>
                <w:sz w:val="26"/>
                <w:szCs w:val="26"/>
              </w:rPr>
              <w:t xml:space="preserve">taču </w:t>
            </w:r>
            <w:r w:rsidR="00701A71">
              <w:rPr>
                <w:sz w:val="26"/>
                <w:szCs w:val="26"/>
              </w:rPr>
              <w:t xml:space="preserve">nav iespējams veikt </w:t>
            </w:r>
            <w:r w:rsidR="00807ED9">
              <w:rPr>
                <w:sz w:val="26"/>
                <w:szCs w:val="26"/>
              </w:rPr>
              <w:t xml:space="preserve">precīzu monetāro izmaksu </w:t>
            </w:r>
            <w:r w:rsidR="00807ED9">
              <w:rPr>
                <w:sz w:val="26"/>
                <w:szCs w:val="26"/>
              </w:rPr>
              <w:lastRenderedPageBreak/>
              <w:t>novērtējumu, jo nav informācijas par to, cik daudz komersantu ražo rotaļlietas, kurās ir pārsniegtas noteikumu pr</w:t>
            </w:r>
            <w:r w:rsidR="00701A71">
              <w:rPr>
                <w:sz w:val="26"/>
                <w:szCs w:val="26"/>
              </w:rPr>
              <w:t>o</w:t>
            </w:r>
            <w:r w:rsidR="00807ED9">
              <w:rPr>
                <w:sz w:val="26"/>
                <w:szCs w:val="26"/>
              </w:rPr>
              <w:t xml:space="preserve">jektā ierobežotās robežvērtības </w:t>
            </w:r>
            <w:proofErr w:type="spellStart"/>
            <w:r w:rsidR="00807ED9">
              <w:rPr>
                <w:sz w:val="26"/>
                <w:szCs w:val="26"/>
              </w:rPr>
              <w:t>atiecībā</w:t>
            </w:r>
            <w:proofErr w:type="spellEnd"/>
            <w:r w:rsidR="00807ED9">
              <w:rPr>
                <w:sz w:val="26"/>
                <w:szCs w:val="26"/>
              </w:rPr>
              <w:t xml:space="preserve"> uz </w:t>
            </w:r>
            <w:r w:rsidR="00701A71">
              <w:rPr>
                <w:sz w:val="26"/>
                <w:szCs w:val="26"/>
              </w:rPr>
              <w:t xml:space="preserve">BIT, </w:t>
            </w:r>
            <w:proofErr w:type="spellStart"/>
            <w:r w:rsidR="00701A71">
              <w:rPr>
                <w:sz w:val="26"/>
                <w:szCs w:val="26"/>
              </w:rPr>
              <w:t>formamīdu</w:t>
            </w:r>
            <w:proofErr w:type="spellEnd"/>
            <w:r w:rsidR="00701A71">
              <w:rPr>
                <w:sz w:val="26"/>
                <w:szCs w:val="26"/>
              </w:rPr>
              <w:t>, CMI un MI</w:t>
            </w:r>
            <w:r w:rsidRPr="004D310E">
              <w:rPr>
                <w:sz w:val="26"/>
                <w:szCs w:val="26"/>
              </w:rPr>
              <w:t xml:space="preserve">.  </w:t>
            </w:r>
            <w:r w:rsidR="00701A71">
              <w:rPr>
                <w:sz w:val="26"/>
                <w:szCs w:val="26"/>
              </w:rPr>
              <w:t xml:space="preserve"> </w:t>
            </w:r>
          </w:p>
        </w:tc>
      </w:tr>
      <w:tr w:rsidR="00CA3EB1" w:rsidRPr="004D310E" w14:paraId="0C8E8511" w14:textId="77777777" w:rsidTr="007F53F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5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4EAAAA72" w14:textId="3973469E" w:rsidR="00CA3EB1" w:rsidRPr="004D310E" w:rsidRDefault="00CA3EB1" w:rsidP="007F53FB">
            <w:pPr>
              <w:pStyle w:val="NormalWeb"/>
              <w:ind w:firstLine="0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8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459A99D" w14:textId="77777777" w:rsidR="00CA3EB1" w:rsidRPr="004D310E" w:rsidRDefault="00CA3EB1" w:rsidP="007F53FB">
            <w:pPr>
              <w:pStyle w:val="NormalWeb"/>
              <w:ind w:firstLine="0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Cita informācija</w:t>
            </w:r>
          </w:p>
        </w:tc>
        <w:tc>
          <w:tcPr>
            <w:tcW w:w="2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ECCA979" w14:textId="77777777" w:rsidR="00CA3EB1" w:rsidRPr="004D310E" w:rsidRDefault="00CA3EB1" w:rsidP="007F53FB">
            <w:pPr>
              <w:pStyle w:val="NormalWeb"/>
              <w:spacing w:before="0" w:after="0"/>
              <w:ind w:right="57" w:firstLine="0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Nav.</w:t>
            </w:r>
          </w:p>
        </w:tc>
      </w:tr>
      <w:tr w:rsidR="00CA3EB1" w:rsidRPr="004D310E" w14:paraId="53468B9D" w14:textId="77777777" w:rsidTr="007F53F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2937" w:type="pct"/>
          <w:trHeight w:val="157"/>
        </w:trPr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938543" w14:textId="77777777" w:rsidR="00CA3EB1" w:rsidRPr="004D310E" w:rsidRDefault="00CA3EB1" w:rsidP="007F53FB">
            <w:pPr>
              <w:pStyle w:val="NormalWeb"/>
              <w:ind w:firstLine="0"/>
              <w:rPr>
                <w:sz w:val="26"/>
                <w:szCs w:val="26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C3C00" w14:textId="77777777" w:rsidR="00CA3EB1" w:rsidRPr="004D310E" w:rsidRDefault="00CA3EB1" w:rsidP="007F53FB">
            <w:pPr>
              <w:pStyle w:val="NormalWeb"/>
              <w:ind w:firstLine="0"/>
              <w:rPr>
                <w:sz w:val="26"/>
                <w:szCs w:val="26"/>
              </w:rPr>
            </w:pPr>
          </w:p>
        </w:tc>
      </w:tr>
      <w:tr w:rsidR="00CA3EB1" w:rsidRPr="004D310E" w14:paraId="0AE0C36B" w14:textId="77777777" w:rsidTr="007F53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E80B" w14:textId="77777777" w:rsidR="00CA3EB1" w:rsidRPr="004D310E" w:rsidRDefault="00CA3EB1" w:rsidP="007F53FB">
            <w:pPr>
              <w:pStyle w:val="naisnod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CA3EB1" w:rsidRPr="004D310E" w14:paraId="6122C36F" w14:textId="77777777" w:rsidTr="007F53F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960B" w14:textId="77777777" w:rsidR="00CA3EB1" w:rsidRPr="004D310E" w:rsidRDefault="00CA3EB1" w:rsidP="007F53FB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  <w:sz w:val="26"/>
                <w:szCs w:val="26"/>
              </w:rPr>
            </w:pPr>
            <w:r w:rsidRPr="004D310E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A59" w14:textId="77777777" w:rsidR="00CA3EB1" w:rsidRPr="004D310E" w:rsidRDefault="00CA3EB1" w:rsidP="007F53FB">
            <w:pPr>
              <w:pStyle w:val="naiskr"/>
              <w:spacing w:before="0" w:after="0"/>
              <w:jc w:val="both"/>
              <w:rPr>
                <w:iCs/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Saistības pret Eiropas Savienību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6F8" w14:textId="77777777" w:rsidR="00793B9B" w:rsidRDefault="00F57871" w:rsidP="007F53FB">
            <w:pPr>
              <w:pStyle w:val="naiskr"/>
              <w:tabs>
                <w:tab w:val="left" w:pos="297"/>
              </w:tabs>
              <w:spacing w:before="0" w:after="0"/>
              <w:ind w:right="3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1) </w:t>
            </w:r>
            <w:r w:rsidR="00793B9B" w:rsidRPr="00793B9B">
              <w:rPr>
                <w:bCs/>
                <w:sz w:val="26"/>
                <w:szCs w:val="26"/>
              </w:rPr>
              <w:t xml:space="preserve">Komisijas </w:t>
            </w:r>
            <w:r w:rsidR="00793B9B">
              <w:rPr>
                <w:bCs/>
                <w:sz w:val="26"/>
                <w:szCs w:val="26"/>
              </w:rPr>
              <w:t>2015.gada 23.novembra Direktīva</w:t>
            </w:r>
            <w:r w:rsidR="00793B9B" w:rsidRPr="00793B9B">
              <w:rPr>
                <w:bCs/>
                <w:sz w:val="26"/>
                <w:szCs w:val="26"/>
              </w:rPr>
              <w:t xml:space="preserve"> 2015/2116, </w:t>
            </w:r>
            <w:r w:rsidR="00793B9B" w:rsidRPr="00793B9B">
              <w:rPr>
                <w:bCs/>
                <w:i/>
                <w:sz w:val="26"/>
                <w:szCs w:val="26"/>
              </w:rPr>
              <w:t xml:space="preserve">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="00793B9B" w:rsidRPr="00793B9B">
              <w:rPr>
                <w:bCs/>
                <w:i/>
                <w:sz w:val="26"/>
                <w:szCs w:val="26"/>
              </w:rPr>
              <w:t>benzizotiazolinonu</w:t>
            </w:r>
            <w:proofErr w:type="spellEnd"/>
            <w:r w:rsidR="009631D4">
              <w:rPr>
                <w:bCs/>
                <w:sz w:val="26"/>
                <w:szCs w:val="26"/>
              </w:rPr>
              <w:t xml:space="preserve">. </w:t>
            </w:r>
            <w:r w:rsidR="009631D4" w:rsidRPr="009631D4">
              <w:rPr>
                <w:bCs/>
                <w:sz w:val="26"/>
                <w:szCs w:val="26"/>
              </w:rPr>
              <w:t>Dalībvalst</w:t>
            </w:r>
            <w:r w:rsidR="009631D4">
              <w:rPr>
                <w:bCs/>
                <w:sz w:val="26"/>
                <w:szCs w:val="26"/>
              </w:rPr>
              <w:t>is vēlākais līdz 2017.gada 24.</w:t>
            </w:r>
            <w:r w:rsidR="009631D4" w:rsidRPr="009631D4">
              <w:rPr>
                <w:bCs/>
                <w:sz w:val="26"/>
                <w:szCs w:val="26"/>
              </w:rPr>
              <w:t>maijam pieņem un publicē normatīvos un administratīvos aktus, kas vajadzīgi, lai izpildītu šīs direktīvas prasības.</w:t>
            </w:r>
          </w:p>
          <w:p w14:paraId="60F2AB61" w14:textId="77777777" w:rsidR="00793B9B" w:rsidRDefault="00793B9B" w:rsidP="007F53FB">
            <w:pPr>
              <w:pStyle w:val="naiskr"/>
              <w:tabs>
                <w:tab w:val="left" w:pos="297"/>
              </w:tabs>
              <w:spacing w:before="0" w:after="0"/>
              <w:ind w:right="34"/>
              <w:jc w:val="both"/>
              <w:rPr>
                <w:bCs/>
                <w:sz w:val="26"/>
                <w:szCs w:val="26"/>
              </w:rPr>
            </w:pPr>
            <w:r w:rsidRPr="00793B9B">
              <w:rPr>
                <w:bCs/>
                <w:sz w:val="26"/>
                <w:szCs w:val="26"/>
              </w:rPr>
              <w:t xml:space="preserve">2) Komisijas </w:t>
            </w:r>
            <w:r>
              <w:rPr>
                <w:bCs/>
                <w:sz w:val="26"/>
                <w:szCs w:val="26"/>
              </w:rPr>
              <w:t>2015.gada 23.novembra Direktīva</w:t>
            </w:r>
            <w:r w:rsidRPr="00793B9B">
              <w:rPr>
                <w:bCs/>
                <w:sz w:val="26"/>
                <w:szCs w:val="26"/>
              </w:rPr>
              <w:t xml:space="preserve"> 2015/2115, </w:t>
            </w:r>
            <w:r w:rsidRPr="00793B9B">
              <w:rPr>
                <w:bCs/>
                <w:i/>
                <w:sz w:val="26"/>
                <w:szCs w:val="26"/>
              </w:rPr>
              <w:t xml:space="preserve">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Pr="00793B9B">
              <w:rPr>
                <w:bCs/>
                <w:i/>
                <w:sz w:val="26"/>
                <w:szCs w:val="26"/>
              </w:rPr>
              <w:t>formamīdu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  <w:r w:rsidR="009631D4" w:rsidRPr="009631D4">
              <w:rPr>
                <w:bCs/>
                <w:sz w:val="26"/>
                <w:szCs w:val="26"/>
              </w:rPr>
              <w:t>D</w:t>
            </w:r>
            <w:r w:rsidR="009631D4">
              <w:rPr>
                <w:bCs/>
                <w:sz w:val="26"/>
                <w:szCs w:val="26"/>
              </w:rPr>
              <w:t>alībvalstis vēlākais līdz 2017.gada 24.</w:t>
            </w:r>
            <w:r w:rsidR="009631D4" w:rsidRPr="009631D4">
              <w:rPr>
                <w:bCs/>
                <w:sz w:val="26"/>
                <w:szCs w:val="26"/>
              </w:rPr>
              <w:t>maijam pieņem un publicē normatīvos un administratīvos aktus, kas vajadzīgi, lai izpildītu šīs direktīvas prasības.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14:paraId="58A5866C" w14:textId="77777777" w:rsidR="00CA3EB1" w:rsidRPr="004D310E" w:rsidRDefault="00793B9B" w:rsidP="007F53FB">
            <w:pPr>
              <w:pStyle w:val="naiskr"/>
              <w:tabs>
                <w:tab w:val="left" w:pos="297"/>
              </w:tabs>
              <w:spacing w:before="0" w:after="0"/>
              <w:ind w:right="34"/>
              <w:jc w:val="both"/>
              <w:rPr>
                <w:bCs/>
                <w:sz w:val="26"/>
                <w:szCs w:val="26"/>
              </w:rPr>
            </w:pPr>
            <w:r w:rsidRPr="00793B9B">
              <w:rPr>
                <w:bCs/>
                <w:sz w:val="26"/>
                <w:szCs w:val="26"/>
              </w:rPr>
              <w:t xml:space="preserve">3) Komisijas </w:t>
            </w:r>
            <w:r>
              <w:rPr>
                <w:bCs/>
                <w:sz w:val="26"/>
                <w:szCs w:val="26"/>
              </w:rPr>
              <w:t>2015.gada 23.novembra Direktīva</w:t>
            </w:r>
            <w:r w:rsidRPr="00793B9B">
              <w:rPr>
                <w:bCs/>
                <w:sz w:val="26"/>
                <w:szCs w:val="26"/>
              </w:rPr>
              <w:t xml:space="preserve"> 2015/2117, </w:t>
            </w:r>
            <w:r w:rsidRPr="00793B9B">
              <w:rPr>
                <w:bCs/>
                <w:i/>
                <w:sz w:val="26"/>
                <w:szCs w:val="26"/>
              </w:rPr>
              <w:t xml:space="preserve">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Pr="00793B9B">
              <w:rPr>
                <w:bCs/>
                <w:i/>
                <w:sz w:val="26"/>
                <w:szCs w:val="26"/>
              </w:rPr>
              <w:t>hlormetilizotiazolinonu</w:t>
            </w:r>
            <w:proofErr w:type="spellEnd"/>
            <w:r w:rsidRPr="00793B9B">
              <w:rPr>
                <w:bCs/>
                <w:i/>
                <w:sz w:val="26"/>
                <w:szCs w:val="26"/>
              </w:rPr>
              <w:t xml:space="preserve"> un </w:t>
            </w:r>
            <w:proofErr w:type="spellStart"/>
            <w:r w:rsidRPr="00793B9B">
              <w:rPr>
                <w:bCs/>
                <w:i/>
                <w:sz w:val="26"/>
                <w:szCs w:val="26"/>
              </w:rPr>
              <w:t>metilizotiazolinonu</w:t>
            </w:r>
            <w:proofErr w:type="spellEnd"/>
            <w:r w:rsidRPr="00793B9B">
              <w:rPr>
                <w:bCs/>
                <w:i/>
                <w:sz w:val="26"/>
                <w:szCs w:val="26"/>
              </w:rPr>
              <w:t xml:space="preserve"> gan atsevišķi, gan attiecībā 3:1</w:t>
            </w:r>
            <w:r w:rsidRPr="00793B9B">
              <w:rPr>
                <w:bCs/>
                <w:sz w:val="26"/>
                <w:szCs w:val="26"/>
              </w:rPr>
              <w:t>.</w:t>
            </w:r>
            <w:r>
              <w:t xml:space="preserve"> </w:t>
            </w:r>
            <w:r w:rsidRPr="00793B9B">
              <w:rPr>
                <w:bCs/>
                <w:sz w:val="26"/>
                <w:szCs w:val="26"/>
              </w:rPr>
              <w:t>D</w:t>
            </w:r>
            <w:r w:rsidR="009631D4">
              <w:rPr>
                <w:bCs/>
                <w:sz w:val="26"/>
                <w:szCs w:val="26"/>
              </w:rPr>
              <w:t>alībvalstis vēlākais līdz 2017.gada 24.</w:t>
            </w:r>
            <w:r w:rsidRPr="00793B9B">
              <w:rPr>
                <w:bCs/>
                <w:sz w:val="26"/>
                <w:szCs w:val="26"/>
              </w:rPr>
              <w:t xml:space="preserve">novembrim pieņem un </w:t>
            </w:r>
            <w:r w:rsidRPr="00793B9B">
              <w:rPr>
                <w:bCs/>
                <w:sz w:val="26"/>
                <w:szCs w:val="26"/>
              </w:rPr>
              <w:lastRenderedPageBreak/>
              <w:t>publicē normatīvos un administratīvos aktus, kas vajadzīgi, lai izpildītu šīs direktīvas prasības.</w:t>
            </w:r>
          </w:p>
        </w:tc>
      </w:tr>
      <w:tr w:rsidR="00CA3EB1" w:rsidRPr="004D310E" w14:paraId="5EDF3A18" w14:textId="77777777" w:rsidTr="007F53F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03D" w14:textId="77777777" w:rsidR="00CA3EB1" w:rsidRPr="004D310E" w:rsidRDefault="00CA3EB1" w:rsidP="007F53FB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  <w:sz w:val="26"/>
                <w:szCs w:val="26"/>
              </w:rPr>
            </w:pPr>
            <w:r w:rsidRPr="004D310E">
              <w:rPr>
                <w:iCs/>
                <w:sz w:val="26"/>
                <w:szCs w:val="26"/>
              </w:rPr>
              <w:lastRenderedPageBreak/>
              <w:t>2.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91C0" w14:textId="77777777" w:rsidR="00CA3EB1" w:rsidRPr="004D310E" w:rsidRDefault="00CA3EB1" w:rsidP="007F53FB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Citas starptautiskās saistības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86E" w14:textId="77777777" w:rsidR="00CA3EB1" w:rsidRPr="004D310E" w:rsidRDefault="00CA3EB1" w:rsidP="007F53FB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Projekts šo jomu neskar.</w:t>
            </w:r>
          </w:p>
        </w:tc>
      </w:tr>
      <w:tr w:rsidR="00CA3EB1" w:rsidRPr="004D310E" w14:paraId="75D30C16" w14:textId="77777777" w:rsidTr="007F53F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8529" w14:textId="77777777" w:rsidR="00CA3EB1" w:rsidRPr="004D310E" w:rsidRDefault="00CA3EB1" w:rsidP="007F53FB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  <w:sz w:val="26"/>
                <w:szCs w:val="26"/>
              </w:rPr>
            </w:pPr>
            <w:r w:rsidRPr="004D310E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295" w14:textId="77777777" w:rsidR="00CA3EB1" w:rsidRPr="004D310E" w:rsidRDefault="00CA3EB1" w:rsidP="007F53FB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Cita informācija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346" w14:textId="77777777" w:rsidR="00CA3EB1" w:rsidRPr="004D310E" w:rsidRDefault="00CA3EB1" w:rsidP="007F53FB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  <w:sz w:val="26"/>
                <w:szCs w:val="26"/>
              </w:rPr>
            </w:pPr>
            <w:r w:rsidRPr="004D310E">
              <w:rPr>
                <w:iCs/>
                <w:sz w:val="26"/>
                <w:szCs w:val="26"/>
              </w:rPr>
              <w:t>Nav.</w:t>
            </w:r>
          </w:p>
        </w:tc>
      </w:tr>
    </w:tbl>
    <w:p w14:paraId="3C83AB58" w14:textId="77777777" w:rsidR="00B42AC2" w:rsidRPr="004D310E" w:rsidRDefault="00B42AC2" w:rsidP="00187C78">
      <w:pPr>
        <w:pStyle w:val="naisf"/>
        <w:spacing w:before="0" w:after="0"/>
        <w:ind w:right="-99" w:firstLine="0"/>
        <w:rPr>
          <w:sz w:val="26"/>
          <w:szCs w:val="26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1876"/>
        <w:gridCol w:w="1701"/>
        <w:gridCol w:w="1243"/>
      </w:tblGrid>
      <w:tr w:rsidR="00CA3EB1" w:rsidRPr="004D310E" w14:paraId="522826FC" w14:textId="77777777" w:rsidTr="007F53FB">
        <w:trPr>
          <w:trHeight w:val="523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27B" w14:textId="77777777" w:rsidR="00CA3EB1" w:rsidRPr="004D310E" w:rsidRDefault="00CA3EB1" w:rsidP="007F53FB">
            <w:pPr>
              <w:pStyle w:val="naisnod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 xml:space="preserve">1.tabula </w:t>
            </w:r>
          </w:p>
          <w:p w14:paraId="1B3EC56A" w14:textId="77777777" w:rsidR="00CA3EB1" w:rsidRPr="004D310E" w:rsidRDefault="00CA3EB1" w:rsidP="007F53FB">
            <w:pPr>
              <w:pStyle w:val="naisnod"/>
              <w:spacing w:before="0" w:after="0"/>
              <w:ind w:right="-99"/>
              <w:rPr>
                <w:i/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Tiesību akta projekta atbilstība ES tiesību aktiem</w:t>
            </w:r>
          </w:p>
        </w:tc>
      </w:tr>
      <w:tr w:rsidR="00E26B25" w:rsidRPr="004D310E" w14:paraId="7E2734BB" w14:textId="77777777" w:rsidTr="007F53FB">
        <w:trPr>
          <w:trHeight w:val="523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337" w14:textId="77777777" w:rsidR="00E26B25" w:rsidRPr="00E26B25" w:rsidRDefault="009631D4" w:rsidP="007F53FB">
            <w:pPr>
              <w:pStyle w:val="naisnod"/>
              <w:spacing w:before="0" w:after="0"/>
              <w:ind w:right="-99"/>
              <w:rPr>
                <w:b w:val="0"/>
                <w:sz w:val="26"/>
                <w:szCs w:val="26"/>
              </w:rPr>
            </w:pPr>
            <w:r w:rsidRPr="009631D4">
              <w:rPr>
                <w:b w:val="0"/>
                <w:bCs w:val="0"/>
                <w:sz w:val="26"/>
                <w:szCs w:val="26"/>
              </w:rPr>
              <w:t xml:space="preserve">Komisijas 2015.gada 23.novembra Direktīva 2015/2116, </w:t>
            </w:r>
            <w:r w:rsidRPr="009631D4">
              <w:rPr>
                <w:b w:val="0"/>
                <w:bCs w:val="0"/>
                <w:i/>
                <w:sz w:val="26"/>
                <w:szCs w:val="26"/>
              </w:rPr>
              <w:t xml:space="preserve">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Pr="009631D4">
              <w:rPr>
                <w:b w:val="0"/>
                <w:bCs w:val="0"/>
                <w:i/>
                <w:sz w:val="26"/>
                <w:szCs w:val="26"/>
              </w:rPr>
              <w:t>benzizotiazolinonu</w:t>
            </w:r>
            <w:proofErr w:type="spellEnd"/>
            <w:r w:rsidRPr="009631D4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CA3EB1" w:rsidRPr="004D310E" w14:paraId="55432414" w14:textId="77777777" w:rsidTr="007F53FB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DE86" w14:textId="77777777" w:rsidR="00CA3EB1" w:rsidRPr="004D310E" w:rsidRDefault="00CA3EB1" w:rsidP="007F53FB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866E" w14:textId="77777777" w:rsidR="00CA3EB1" w:rsidRPr="004D310E" w:rsidRDefault="00CA3EB1" w:rsidP="007F53FB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1C4D" w14:textId="77777777" w:rsidR="00CA3EB1" w:rsidRPr="004D310E" w:rsidRDefault="00CA3EB1" w:rsidP="007F53FB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96DA" w14:textId="77777777" w:rsidR="00CA3EB1" w:rsidRPr="004D310E" w:rsidRDefault="00CA3EB1" w:rsidP="007F53FB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D</w:t>
            </w:r>
          </w:p>
        </w:tc>
      </w:tr>
      <w:tr w:rsidR="00E26B25" w:rsidRPr="004D310E" w14:paraId="13E7A214" w14:textId="77777777" w:rsidTr="007F53FB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E8EA" w14:textId="77777777" w:rsidR="00E26B25" w:rsidRPr="004D310E" w:rsidRDefault="00E26B25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1.pants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FDB9" w14:textId="77777777" w:rsidR="00E26B25" w:rsidRPr="004D310E" w:rsidRDefault="00E26B25" w:rsidP="00187C78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187C78">
              <w:rPr>
                <w:sz w:val="26"/>
                <w:szCs w:val="26"/>
              </w:rPr>
              <w:t xml:space="preserve">2.pielikuma III </w:t>
            </w:r>
            <w:r w:rsidR="00572D8D" w:rsidRPr="00187C78">
              <w:rPr>
                <w:sz w:val="26"/>
                <w:szCs w:val="26"/>
              </w:rPr>
              <w:t>no</w:t>
            </w:r>
            <w:r w:rsidRPr="00187C78">
              <w:rPr>
                <w:sz w:val="26"/>
                <w:szCs w:val="26"/>
              </w:rPr>
              <w:t xml:space="preserve">daļas </w:t>
            </w:r>
            <w:r w:rsidR="00187C78" w:rsidRPr="00187C78">
              <w:rPr>
                <w:sz w:val="26"/>
                <w:szCs w:val="26"/>
              </w:rPr>
              <w:t>7</w:t>
            </w:r>
            <w:r w:rsidRPr="00187C78">
              <w:rPr>
                <w:sz w:val="26"/>
                <w:szCs w:val="26"/>
              </w:rPr>
              <w:t>.</w:t>
            </w:r>
            <w:r w:rsidR="00A13A49" w:rsidRPr="00187C78">
              <w:rPr>
                <w:sz w:val="26"/>
                <w:szCs w:val="26"/>
              </w:rPr>
              <w:t>2. apakš</w:t>
            </w:r>
            <w:r w:rsidRPr="00187C78">
              <w:rPr>
                <w:sz w:val="26"/>
                <w:szCs w:val="26"/>
              </w:rPr>
              <w:t>punk</w:t>
            </w:r>
            <w:r w:rsidR="00A13A49" w:rsidRPr="00187C78">
              <w:rPr>
                <w:sz w:val="26"/>
                <w:szCs w:val="26"/>
              </w:rPr>
              <w:t>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7C31" w14:textId="77777777" w:rsidR="00E26B25" w:rsidRPr="004D310E" w:rsidRDefault="00E26B25" w:rsidP="00E26B25">
            <w:pPr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Ieviests pilnībā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69C5" w14:textId="77777777" w:rsidR="00E26B25" w:rsidRPr="004D310E" w:rsidRDefault="00E26B25" w:rsidP="00E26B25">
            <w:pPr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 xml:space="preserve">Stingrākas prasības nav paredzētas </w:t>
            </w:r>
          </w:p>
        </w:tc>
      </w:tr>
      <w:tr w:rsidR="00E26B25" w:rsidRPr="004D310E" w14:paraId="34E821EE" w14:textId="77777777" w:rsidTr="00244141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A83E" w14:textId="77777777" w:rsidR="00E26B25" w:rsidRPr="004D310E" w:rsidRDefault="00E26B25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Kā ir izmantota ES tiesību aktā paredzētā rīcības brīvība dalībvalstij pārņemt vai ieviest noteiktas ES tiesību akta normas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73B" w14:textId="77777777" w:rsidR="00E26B25" w:rsidRPr="004D310E" w:rsidRDefault="00E26B25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iCs/>
                <w:sz w:val="26"/>
                <w:szCs w:val="26"/>
              </w:rPr>
              <w:t>Noteikumu projektā iekļautās ES tiesību akta normas neparedz rīcības brīvību dalībvalstīm.</w:t>
            </w:r>
          </w:p>
        </w:tc>
      </w:tr>
      <w:tr w:rsidR="00E26B25" w:rsidRPr="004D310E" w14:paraId="4724B391" w14:textId="77777777" w:rsidTr="00244141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5BA" w14:textId="77777777" w:rsidR="00E26B25" w:rsidRPr="004D310E" w:rsidRDefault="00E26B25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E26B25">
              <w:rPr>
                <w:sz w:val="26"/>
                <w:szCs w:val="26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683D" w14:textId="77777777" w:rsidR="00E26B25" w:rsidRPr="004D310E" w:rsidRDefault="00E26B25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Projekts šo jomu neskar.</w:t>
            </w:r>
          </w:p>
        </w:tc>
      </w:tr>
      <w:tr w:rsidR="00E26B25" w:rsidRPr="004D310E" w14:paraId="7B4007B7" w14:textId="77777777" w:rsidTr="00244141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9F7C" w14:textId="77777777" w:rsidR="00E26B25" w:rsidRPr="004D310E" w:rsidRDefault="00E26B25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Cita informācija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1C6" w14:textId="77777777" w:rsidR="00E26B25" w:rsidRPr="004D310E" w:rsidRDefault="00E26B25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Nav.</w:t>
            </w:r>
          </w:p>
        </w:tc>
      </w:tr>
      <w:tr w:rsidR="00E26B25" w:rsidRPr="004D310E" w14:paraId="3D8AF818" w14:textId="77777777" w:rsidTr="00244141">
        <w:trPr>
          <w:trHeight w:val="16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FFEC" w14:textId="77777777" w:rsidR="00E26B25" w:rsidRPr="004D310E" w:rsidRDefault="00E83C84" w:rsidP="007F53FB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793B9B">
              <w:rPr>
                <w:bCs/>
                <w:sz w:val="26"/>
                <w:szCs w:val="26"/>
              </w:rPr>
              <w:t xml:space="preserve">Komisijas </w:t>
            </w:r>
            <w:r>
              <w:rPr>
                <w:bCs/>
                <w:sz w:val="26"/>
                <w:szCs w:val="26"/>
              </w:rPr>
              <w:t>2015.gada 23.novembra Direktīva</w:t>
            </w:r>
            <w:r w:rsidRPr="00793B9B">
              <w:rPr>
                <w:bCs/>
                <w:sz w:val="26"/>
                <w:szCs w:val="26"/>
              </w:rPr>
              <w:t xml:space="preserve"> 2015/2115, </w:t>
            </w:r>
            <w:r w:rsidRPr="00793B9B">
              <w:rPr>
                <w:bCs/>
                <w:i/>
                <w:sz w:val="26"/>
                <w:szCs w:val="26"/>
              </w:rPr>
              <w:t xml:space="preserve">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Pr="00793B9B">
              <w:rPr>
                <w:bCs/>
                <w:i/>
                <w:sz w:val="26"/>
                <w:szCs w:val="26"/>
              </w:rPr>
              <w:t>formamīdu</w:t>
            </w:r>
            <w:proofErr w:type="spellEnd"/>
          </w:p>
        </w:tc>
      </w:tr>
      <w:tr w:rsidR="00E26B25" w:rsidRPr="004D310E" w14:paraId="1FB93C3C" w14:textId="77777777" w:rsidTr="000758E3">
        <w:trPr>
          <w:trHeight w:val="2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81F" w14:textId="77777777" w:rsidR="00E26B25" w:rsidRPr="004D310E" w:rsidRDefault="00E26B25" w:rsidP="00E26B25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AA36" w14:textId="77777777" w:rsidR="00E26B25" w:rsidRPr="004D310E" w:rsidRDefault="00E26B25" w:rsidP="00E26B25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C85D" w14:textId="77777777" w:rsidR="00E26B25" w:rsidRPr="004D310E" w:rsidRDefault="00E26B25" w:rsidP="00E26B25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D18" w14:textId="77777777" w:rsidR="00E26B25" w:rsidRPr="004D310E" w:rsidRDefault="00E26B25" w:rsidP="00E26B25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D</w:t>
            </w:r>
          </w:p>
        </w:tc>
      </w:tr>
      <w:tr w:rsidR="00E26B25" w:rsidRPr="004D310E" w14:paraId="195F768D" w14:textId="77777777" w:rsidTr="007F53FB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8D76" w14:textId="77777777" w:rsidR="00E26B25" w:rsidRPr="004D310E" w:rsidRDefault="00E26B25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1.pants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9C2B" w14:textId="77777777" w:rsidR="00E26B25" w:rsidRPr="004D310E" w:rsidRDefault="00A13A49" w:rsidP="00187C78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187C78">
              <w:rPr>
                <w:sz w:val="26"/>
                <w:szCs w:val="26"/>
              </w:rPr>
              <w:t xml:space="preserve">2.pielikuma III </w:t>
            </w:r>
            <w:r w:rsidR="00572D8D" w:rsidRPr="00187C78">
              <w:rPr>
                <w:sz w:val="26"/>
                <w:szCs w:val="26"/>
              </w:rPr>
              <w:t>no</w:t>
            </w:r>
            <w:r w:rsidRPr="00187C78">
              <w:rPr>
                <w:sz w:val="26"/>
                <w:szCs w:val="26"/>
              </w:rPr>
              <w:t>daļ</w:t>
            </w:r>
            <w:r w:rsidR="00BE5BBC" w:rsidRPr="00187C78">
              <w:rPr>
                <w:sz w:val="26"/>
                <w:szCs w:val="26"/>
              </w:rPr>
              <w:t xml:space="preserve">as </w:t>
            </w:r>
            <w:r w:rsidR="00187C78" w:rsidRPr="00187C78">
              <w:rPr>
                <w:sz w:val="26"/>
                <w:szCs w:val="26"/>
              </w:rPr>
              <w:t>7.2</w:t>
            </w:r>
            <w:r w:rsidRPr="00187C78">
              <w:rPr>
                <w:sz w:val="26"/>
                <w:szCs w:val="26"/>
              </w:rPr>
              <w:t>. apakšpunkts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EF39" w14:textId="77777777" w:rsidR="00E26B25" w:rsidRPr="004D310E" w:rsidRDefault="00E26B25" w:rsidP="00E26B25">
            <w:pPr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Ieviests pilnībā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09C3" w14:textId="77777777" w:rsidR="00E26B25" w:rsidRPr="004D310E" w:rsidRDefault="00E26B25" w:rsidP="00E26B25">
            <w:pPr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 xml:space="preserve">Stingrākas prasības nav paredzētas </w:t>
            </w:r>
          </w:p>
        </w:tc>
      </w:tr>
      <w:tr w:rsidR="00A13A49" w:rsidRPr="004D310E" w14:paraId="0CC4F59E" w14:textId="77777777" w:rsidTr="00244141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CA99" w14:textId="77777777" w:rsidR="00A13A49" w:rsidRPr="004D310E" w:rsidRDefault="00A13A49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 xml:space="preserve">Kā ir izmantota ES tiesību aktā </w:t>
            </w:r>
            <w:r w:rsidRPr="004D310E">
              <w:rPr>
                <w:sz w:val="26"/>
                <w:szCs w:val="26"/>
              </w:rPr>
              <w:lastRenderedPageBreak/>
              <w:t>paredzētā rīcības brīvība dalībvalstij pārņemt vai ieviest noteiktas ES tiesību akta normas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571" w14:textId="77777777" w:rsidR="00A13A49" w:rsidRPr="004D310E" w:rsidRDefault="00A13A49" w:rsidP="00A13A49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iCs/>
                <w:sz w:val="26"/>
                <w:szCs w:val="26"/>
              </w:rPr>
              <w:lastRenderedPageBreak/>
              <w:t xml:space="preserve">Noteikumu projektā iekļautās ES tiesību akta </w:t>
            </w:r>
            <w:r w:rsidRPr="004D310E">
              <w:rPr>
                <w:iCs/>
                <w:sz w:val="26"/>
                <w:szCs w:val="26"/>
              </w:rPr>
              <w:lastRenderedPageBreak/>
              <w:t>normas neparedz rīcības brīvību dalībvalstīm.</w:t>
            </w:r>
          </w:p>
        </w:tc>
      </w:tr>
      <w:tr w:rsidR="00A13A49" w:rsidRPr="004D310E" w14:paraId="59BDF1F7" w14:textId="77777777" w:rsidTr="00244141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61B9" w14:textId="77777777" w:rsidR="00A13A49" w:rsidRPr="004D310E" w:rsidRDefault="00A13A49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E26B25">
              <w:rPr>
                <w:sz w:val="26"/>
                <w:szCs w:val="26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E04F" w14:textId="77777777" w:rsidR="00A13A49" w:rsidRPr="004D310E" w:rsidRDefault="00A13A49" w:rsidP="00A13A49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Projekts šo jomu neskar.</w:t>
            </w:r>
          </w:p>
        </w:tc>
      </w:tr>
      <w:tr w:rsidR="00A13A49" w:rsidRPr="004D310E" w14:paraId="6BED8B90" w14:textId="77777777" w:rsidTr="00244141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491" w14:textId="77777777" w:rsidR="00A13A49" w:rsidRPr="004D310E" w:rsidRDefault="00A13A49" w:rsidP="00E26B25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Cita informācija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7D5" w14:textId="77777777" w:rsidR="00A13A49" w:rsidRPr="004D310E" w:rsidRDefault="00A13A49" w:rsidP="00A13A49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Nav.</w:t>
            </w:r>
          </w:p>
        </w:tc>
      </w:tr>
      <w:tr w:rsidR="00E26B25" w:rsidRPr="004D310E" w14:paraId="6B47FB02" w14:textId="77777777" w:rsidTr="00244141">
        <w:trPr>
          <w:trHeight w:val="16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16D1" w14:textId="77777777" w:rsidR="00E26B25" w:rsidRPr="004D310E" w:rsidRDefault="00E83C84" w:rsidP="007F53FB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793B9B">
              <w:rPr>
                <w:bCs/>
                <w:sz w:val="26"/>
                <w:szCs w:val="26"/>
              </w:rPr>
              <w:t xml:space="preserve">Komisijas </w:t>
            </w:r>
            <w:r>
              <w:rPr>
                <w:bCs/>
                <w:sz w:val="26"/>
                <w:szCs w:val="26"/>
              </w:rPr>
              <w:t>2015.gada 23.novembra Direktīva</w:t>
            </w:r>
            <w:r w:rsidRPr="00793B9B">
              <w:rPr>
                <w:bCs/>
                <w:sz w:val="26"/>
                <w:szCs w:val="26"/>
              </w:rPr>
              <w:t xml:space="preserve"> 2015/2117, </w:t>
            </w:r>
            <w:r w:rsidRPr="00793B9B">
              <w:rPr>
                <w:bCs/>
                <w:i/>
                <w:sz w:val="26"/>
                <w:szCs w:val="26"/>
              </w:rPr>
              <w:t xml:space="preserve">ar ko groza Eiropas Parlamenta un Padomes Direktīvas 2009/48/EK par rotaļlietu drošumu II pielikuma C papildinājumu, lai pieņemtu rotaļlietās izmantotu ķīmisko vielu īpašas robežvērtības attiecībā uz </w:t>
            </w:r>
            <w:proofErr w:type="spellStart"/>
            <w:r w:rsidRPr="00793B9B">
              <w:rPr>
                <w:bCs/>
                <w:i/>
                <w:sz w:val="26"/>
                <w:szCs w:val="26"/>
              </w:rPr>
              <w:t>hlormetilizotiazolinonu</w:t>
            </w:r>
            <w:proofErr w:type="spellEnd"/>
            <w:r w:rsidRPr="00793B9B">
              <w:rPr>
                <w:bCs/>
                <w:i/>
                <w:sz w:val="26"/>
                <w:szCs w:val="26"/>
              </w:rPr>
              <w:t xml:space="preserve"> un </w:t>
            </w:r>
            <w:proofErr w:type="spellStart"/>
            <w:r w:rsidRPr="00793B9B">
              <w:rPr>
                <w:bCs/>
                <w:i/>
                <w:sz w:val="26"/>
                <w:szCs w:val="26"/>
              </w:rPr>
              <w:t>metilizotiazolinonu</w:t>
            </w:r>
            <w:proofErr w:type="spellEnd"/>
            <w:r w:rsidRPr="00793B9B">
              <w:rPr>
                <w:bCs/>
                <w:i/>
                <w:sz w:val="26"/>
                <w:szCs w:val="26"/>
              </w:rPr>
              <w:t xml:space="preserve"> gan atsevišķi, gan attiecībā 3:1</w:t>
            </w:r>
          </w:p>
        </w:tc>
      </w:tr>
      <w:tr w:rsidR="00A13A49" w:rsidRPr="004D310E" w14:paraId="62641A3E" w14:textId="77777777" w:rsidTr="007F53FB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6693" w14:textId="77777777" w:rsidR="00A13A49" w:rsidRPr="004D310E" w:rsidRDefault="00A13A49" w:rsidP="00A13A49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F025" w14:textId="77777777" w:rsidR="00A13A49" w:rsidRPr="004D310E" w:rsidRDefault="00A13A49" w:rsidP="00A13A49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DA4" w14:textId="77777777" w:rsidR="00A13A49" w:rsidRPr="004D310E" w:rsidRDefault="00A13A49" w:rsidP="00A13A49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213D" w14:textId="77777777" w:rsidR="00A13A49" w:rsidRPr="004D310E" w:rsidRDefault="00A13A49" w:rsidP="00A13A49">
            <w:pPr>
              <w:pStyle w:val="naiskr"/>
              <w:spacing w:before="0" w:after="0"/>
              <w:ind w:right="-99"/>
              <w:jc w:val="center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D</w:t>
            </w:r>
          </w:p>
        </w:tc>
      </w:tr>
      <w:tr w:rsidR="00CA3EB1" w:rsidRPr="004D310E" w14:paraId="68D24FFD" w14:textId="77777777" w:rsidTr="007F53FB">
        <w:trPr>
          <w:trHeight w:val="1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ABE" w14:textId="77777777" w:rsidR="00CA3EB1" w:rsidRPr="004D310E" w:rsidRDefault="00CA3EB1" w:rsidP="007F53FB">
            <w:pPr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1.pants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C48" w14:textId="77777777" w:rsidR="00CA3EB1" w:rsidRPr="004D310E" w:rsidRDefault="00CA3EB1" w:rsidP="00BE5BBC">
            <w:pPr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2.pielikuma III nodaļas 7.</w:t>
            </w:r>
            <w:r w:rsidR="00A374CB">
              <w:rPr>
                <w:sz w:val="26"/>
                <w:szCs w:val="26"/>
                <w:lang w:eastAsia="lv-LV"/>
              </w:rPr>
              <w:t>1.</w:t>
            </w:r>
            <w:r w:rsidR="00187C78">
              <w:rPr>
                <w:sz w:val="26"/>
                <w:szCs w:val="26"/>
                <w:lang w:eastAsia="lv-LV"/>
              </w:rPr>
              <w:t>apakš</w:t>
            </w:r>
            <w:r w:rsidRPr="004D310E">
              <w:rPr>
                <w:sz w:val="26"/>
                <w:szCs w:val="26"/>
                <w:lang w:eastAsia="lv-LV"/>
              </w:rPr>
              <w:t>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728" w14:textId="77777777" w:rsidR="00CA3EB1" w:rsidRPr="004D310E" w:rsidRDefault="00CA3EB1" w:rsidP="007F53FB">
            <w:pPr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Ieviests pilnībā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A91" w14:textId="77777777" w:rsidR="00CA3EB1" w:rsidRPr="004D310E" w:rsidRDefault="00CA3EB1" w:rsidP="007F53FB">
            <w:pPr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 xml:space="preserve">Stingrākas prasības nav paredzētas </w:t>
            </w:r>
          </w:p>
        </w:tc>
      </w:tr>
      <w:tr w:rsidR="00CA3EB1" w:rsidRPr="004D310E" w14:paraId="1D05F11F" w14:textId="77777777" w:rsidTr="007F53FB">
        <w:trPr>
          <w:trHeight w:val="28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8BA7" w14:textId="77777777" w:rsidR="00CA3EB1" w:rsidRPr="004D310E" w:rsidRDefault="00CA3EB1" w:rsidP="007F53FB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Kā ir izmantota ES tiesību aktā paredzētā rīcības brīvība dalībvalstij pārņemt vai ieviest noteiktas ES tiesību akta normas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158" w14:textId="77777777" w:rsidR="00CA3EB1" w:rsidRPr="004D310E" w:rsidRDefault="00CA3EB1" w:rsidP="007F53FB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iCs/>
                <w:sz w:val="26"/>
                <w:szCs w:val="26"/>
              </w:rPr>
              <w:t>Noteikumu projektā iekļautās ES tiesību akta normas neparedz rīcības brīvību dalībvalstīm.</w:t>
            </w:r>
          </w:p>
        </w:tc>
      </w:tr>
      <w:tr w:rsidR="00CA3EB1" w:rsidRPr="004D310E" w14:paraId="4E671738" w14:textId="77777777" w:rsidTr="007F53FB">
        <w:trPr>
          <w:trHeight w:val="9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5ED" w14:textId="77777777" w:rsidR="00CA3EB1" w:rsidRPr="004D310E" w:rsidRDefault="00CA3EB1" w:rsidP="007F53FB">
            <w:pPr>
              <w:pStyle w:val="naiskr"/>
              <w:spacing w:before="0" w:after="0"/>
              <w:ind w:right="32"/>
              <w:rPr>
                <w:i/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967" w14:textId="77777777" w:rsidR="00E26B25" w:rsidRDefault="00E26B25" w:rsidP="007F53FB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</w:p>
          <w:p w14:paraId="2EC8CFA7" w14:textId="77777777" w:rsidR="00E26B25" w:rsidRDefault="00E26B25" w:rsidP="007F53FB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</w:p>
          <w:p w14:paraId="68D30C17" w14:textId="77777777" w:rsidR="00E26B25" w:rsidRDefault="00E26B25" w:rsidP="007F53FB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</w:p>
          <w:p w14:paraId="0383AC35" w14:textId="77777777" w:rsidR="00E26B25" w:rsidRDefault="00E26B25" w:rsidP="007F53FB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</w:p>
          <w:p w14:paraId="6D7220F4" w14:textId="77777777" w:rsidR="00CA3EB1" w:rsidRPr="004D310E" w:rsidRDefault="00CA3EB1" w:rsidP="007F53FB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Projekts šo jomu neskar.</w:t>
            </w:r>
          </w:p>
        </w:tc>
      </w:tr>
      <w:tr w:rsidR="00CA3EB1" w:rsidRPr="004D310E" w14:paraId="64B5345D" w14:textId="77777777" w:rsidTr="007F53FB">
        <w:trPr>
          <w:trHeight w:val="3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C71" w14:textId="77777777" w:rsidR="00CA3EB1" w:rsidRPr="004D310E" w:rsidRDefault="00CA3EB1" w:rsidP="007F53FB">
            <w:pPr>
              <w:pStyle w:val="naiskr"/>
              <w:spacing w:before="0" w:after="0"/>
              <w:ind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Cita informācija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7BB" w14:textId="77777777" w:rsidR="00CA3EB1" w:rsidRPr="004D310E" w:rsidRDefault="00CA3EB1" w:rsidP="007F53FB">
            <w:pPr>
              <w:pStyle w:val="naiskr"/>
              <w:spacing w:before="0" w:after="0"/>
              <w:ind w:right="-99"/>
              <w:jc w:val="both"/>
              <w:rPr>
                <w:i/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Nav.</w:t>
            </w:r>
          </w:p>
        </w:tc>
      </w:tr>
    </w:tbl>
    <w:p w14:paraId="16A6AF20" w14:textId="77777777" w:rsidR="00CA3EB1" w:rsidRPr="004D310E" w:rsidRDefault="00CA3EB1" w:rsidP="00CA3EB1">
      <w:pPr>
        <w:pStyle w:val="naisf"/>
        <w:spacing w:before="0" w:after="0"/>
        <w:ind w:right="-99" w:firstLine="0"/>
        <w:rPr>
          <w:sz w:val="26"/>
          <w:szCs w:val="26"/>
        </w:rPr>
      </w:pPr>
    </w:p>
    <w:tbl>
      <w:tblPr>
        <w:tblW w:w="48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58"/>
        <w:gridCol w:w="4982"/>
      </w:tblGrid>
      <w:tr w:rsidR="00CA3EB1" w:rsidRPr="004D310E" w14:paraId="5BE9E3C7" w14:textId="77777777" w:rsidTr="007F53FB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92237" w14:textId="77777777" w:rsidR="00CA3EB1" w:rsidRPr="004D310E" w:rsidRDefault="00CA3EB1" w:rsidP="007F53FB">
            <w:pPr>
              <w:spacing w:before="63" w:after="63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4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2454F" w14:textId="77777777" w:rsidR="00CA3EB1" w:rsidRPr="004D310E" w:rsidRDefault="00CA3EB1" w:rsidP="007F53FB">
            <w:pPr>
              <w:spacing w:before="63" w:after="63"/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b/>
                <w:bCs/>
                <w:sz w:val="26"/>
                <w:szCs w:val="26"/>
                <w:lang w:eastAsia="lv-LV"/>
              </w:rPr>
              <w:t> VI. Sabiedrības līdzdalība un komunikācijas aktivitātes</w:t>
            </w:r>
          </w:p>
        </w:tc>
      </w:tr>
      <w:tr w:rsidR="00CA3EB1" w:rsidRPr="004D310E" w14:paraId="726A4DFD" w14:textId="77777777" w:rsidTr="007F53FB">
        <w:trPr>
          <w:trHeight w:val="553"/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441B4" w14:textId="77777777" w:rsidR="00CA3EB1" w:rsidRPr="004D310E" w:rsidRDefault="00CA3EB1" w:rsidP="007F53FB">
            <w:pPr>
              <w:spacing w:before="63" w:after="63"/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96C43" w14:textId="77777777" w:rsidR="00CA3EB1" w:rsidRPr="004D310E" w:rsidRDefault="00CA3EB1" w:rsidP="007F53FB">
            <w:pPr>
              <w:spacing w:before="63" w:after="63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 xml:space="preserve">Plānotās sabiedrības līdzdalības un </w:t>
            </w:r>
            <w:r w:rsidRPr="004D310E">
              <w:rPr>
                <w:sz w:val="26"/>
                <w:szCs w:val="26"/>
                <w:lang w:eastAsia="lv-LV"/>
              </w:rPr>
              <w:lastRenderedPageBreak/>
              <w:t>komunikācijas aktivitātes saistībā ar projektu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AFFF6" w14:textId="0FF79418" w:rsidR="00CA3EB1" w:rsidRPr="00023F50" w:rsidRDefault="00CA3EB1" w:rsidP="00701A71">
            <w:pPr>
              <w:pStyle w:val="Subtitle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B156F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lastRenderedPageBreak/>
              <w:t xml:space="preserve"> </w:t>
            </w:r>
            <w:r w:rsidRPr="00023F50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 xml:space="preserve">Noteikumu projekts </w:t>
            </w:r>
            <w:r w:rsidR="00701A71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>ir</w:t>
            </w:r>
            <w:r w:rsidR="00026181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 xml:space="preserve"> ievietots</w:t>
            </w:r>
            <w:r w:rsidRPr="006B156F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 xml:space="preserve"> Ekonomikas ministrijas mājaslapā: </w:t>
            </w:r>
            <w:hyperlink r:id="rId9" w:history="1">
              <w:r w:rsidRPr="006B156F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lv-LV" w:eastAsia="lv-LV"/>
                </w:rPr>
                <w:t>www.em.gov.lv</w:t>
              </w:r>
            </w:hyperlink>
            <w:r w:rsidR="00026181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 xml:space="preserve"> sabiedriskajai apspriešanai no 10.-</w:t>
            </w:r>
            <w:r w:rsidR="00026181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lastRenderedPageBreak/>
              <w:t>24.augustam.</w:t>
            </w:r>
          </w:p>
        </w:tc>
      </w:tr>
      <w:tr w:rsidR="00CA3EB1" w:rsidRPr="004D310E" w14:paraId="62736F95" w14:textId="77777777" w:rsidTr="007F53FB">
        <w:trPr>
          <w:trHeight w:val="339"/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EEA01" w14:textId="77777777" w:rsidR="00CA3EB1" w:rsidRPr="004D310E" w:rsidRDefault="00CA3EB1" w:rsidP="007F53FB">
            <w:pPr>
              <w:spacing w:before="63" w:after="63"/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41562" w14:textId="77777777" w:rsidR="00CA3EB1" w:rsidRPr="004D310E" w:rsidRDefault="00CA3EB1" w:rsidP="007F53FB">
            <w:pPr>
              <w:spacing w:before="63" w:after="63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 Sabiedrības līdzdalība projekta izstrādē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53587" w14:textId="32FCFCF1" w:rsidR="00CA3EB1" w:rsidRPr="00023F50" w:rsidRDefault="00026181" w:rsidP="00E83C84">
            <w:pPr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</w:rPr>
              <w:t>Sabiedriskās apspriešanas laikā komentāri netika saņemti.</w:t>
            </w:r>
          </w:p>
        </w:tc>
      </w:tr>
      <w:tr w:rsidR="00CA3EB1" w:rsidRPr="004D310E" w14:paraId="26CBF546" w14:textId="77777777" w:rsidTr="007F53FB">
        <w:trPr>
          <w:trHeight w:val="375"/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C846B" w14:textId="77777777" w:rsidR="00CA3EB1" w:rsidRPr="004D310E" w:rsidRDefault="00CA3EB1" w:rsidP="007F53FB">
            <w:pPr>
              <w:spacing w:before="63" w:after="63"/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B5D2" w14:textId="77777777" w:rsidR="00CA3EB1" w:rsidRPr="004D310E" w:rsidRDefault="00CA3EB1" w:rsidP="007F53FB">
            <w:pPr>
              <w:spacing w:before="63" w:after="63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 Sabiedrības līdzdalības rezultāti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BEE91" w14:textId="77777777" w:rsidR="00CA3EB1" w:rsidRPr="004D310E" w:rsidRDefault="00CA3EB1" w:rsidP="00E83C84">
            <w:pPr>
              <w:jc w:val="both"/>
              <w:rPr>
                <w:sz w:val="26"/>
                <w:szCs w:val="26"/>
                <w:lang w:eastAsia="lv-LV"/>
              </w:rPr>
            </w:pPr>
          </w:p>
        </w:tc>
      </w:tr>
      <w:tr w:rsidR="00CA3EB1" w:rsidRPr="004D310E" w14:paraId="0086EF4B" w14:textId="77777777" w:rsidTr="007F53FB">
        <w:trPr>
          <w:trHeight w:val="397"/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D5049" w14:textId="77777777" w:rsidR="00CA3EB1" w:rsidRPr="004D310E" w:rsidRDefault="00CA3EB1" w:rsidP="007F53FB">
            <w:pPr>
              <w:spacing w:before="63" w:after="63"/>
              <w:jc w:val="center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FE83" w14:textId="77777777" w:rsidR="00CA3EB1" w:rsidRPr="004D310E" w:rsidRDefault="00CA3EB1" w:rsidP="007F53FB">
            <w:pPr>
              <w:spacing w:before="63" w:after="63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BEBB" w14:textId="77777777" w:rsidR="00CA3EB1" w:rsidRPr="004D310E" w:rsidRDefault="00CA3EB1" w:rsidP="007F53FB">
            <w:pPr>
              <w:spacing w:before="63" w:after="63"/>
              <w:rPr>
                <w:sz w:val="26"/>
                <w:szCs w:val="26"/>
                <w:lang w:eastAsia="lv-LV"/>
              </w:rPr>
            </w:pPr>
            <w:r w:rsidRPr="004D310E">
              <w:rPr>
                <w:sz w:val="26"/>
                <w:szCs w:val="26"/>
                <w:lang w:eastAsia="lv-LV"/>
              </w:rPr>
              <w:t>Nav.</w:t>
            </w:r>
          </w:p>
        </w:tc>
      </w:tr>
    </w:tbl>
    <w:p w14:paraId="5396BE53" w14:textId="77777777" w:rsidR="00CA3EB1" w:rsidRPr="004D310E" w:rsidRDefault="00CA3EB1" w:rsidP="00B42AC2">
      <w:pPr>
        <w:pStyle w:val="naisf"/>
        <w:spacing w:before="0" w:after="0"/>
        <w:ind w:right="-99" w:firstLine="0"/>
        <w:rPr>
          <w:sz w:val="26"/>
          <w:szCs w:val="26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868"/>
        <w:gridCol w:w="4928"/>
      </w:tblGrid>
      <w:tr w:rsidR="00CA3EB1" w:rsidRPr="004D310E" w14:paraId="65ED1176" w14:textId="77777777" w:rsidTr="007F53F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6B31" w14:textId="77777777" w:rsidR="00CA3EB1" w:rsidRPr="004D310E" w:rsidRDefault="00CA3EB1" w:rsidP="007F53FB">
            <w:pPr>
              <w:pStyle w:val="naisnod"/>
              <w:spacing w:before="0" w:after="0"/>
              <w:ind w:left="57"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CA3EB1" w:rsidRPr="004D310E" w14:paraId="47FA21A6" w14:textId="77777777" w:rsidTr="007F53FB">
        <w:trPr>
          <w:trHeight w:val="4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3D4" w14:textId="77777777" w:rsidR="00CA3EB1" w:rsidRPr="004D310E" w:rsidRDefault="00CA3EB1" w:rsidP="007F53FB">
            <w:pPr>
              <w:pStyle w:val="naisnod"/>
              <w:spacing w:before="0" w:after="0"/>
              <w:ind w:left="57" w:right="-99"/>
              <w:jc w:val="left"/>
              <w:rPr>
                <w:b w:val="0"/>
                <w:sz w:val="26"/>
                <w:szCs w:val="26"/>
              </w:rPr>
            </w:pPr>
            <w:r w:rsidRPr="004D31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E70" w14:textId="77777777" w:rsidR="00CA3EB1" w:rsidRPr="004D310E" w:rsidRDefault="00CA3EB1" w:rsidP="007F53FB">
            <w:pPr>
              <w:pStyle w:val="naisf"/>
              <w:spacing w:before="0" w:after="0"/>
              <w:ind w:left="57" w:right="-99" w:firstLine="0"/>
              <w:jc w:val="left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 xml:space="preserve">Projekta izpildē iesaistītās institūcijas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109" w14:textId="77777777" w:rsidR="00CA3EB1" w:rsidRPr="004D310E" w:rsidRDefault="00CA3EB1" w:rsidP="007F53FB">
            <w:pPr>
              <w:pStyle w:val="naisnod"/>
              <w:spacing w:before="0" w:after="0"/>
              <w:ind w:left="57"/>
              <w:jc w:val="both"/>
              <w:rPr>
                <w:b w:val="0"/>
                <w:sz w:val="26"/>
                <w:szCs w:val="26"/>
              </w:rPr>
            </w:pPr>
            <w:r w:rsidRPr="004D310E">
              <w:rPr>
                <w:b w:val="0"/>
                <w:sz w:val="26"/>
                <w:szCs w:val="26"/>
              </w:rPr>
              <w:t>Projekta izpildi nodrošinās Patērētāju tiesību aizsardzības centrs.</w:t>
            </w:r>
          </w:p>
        </w:tc>
      </w:tr>
      <w:tr w:rsidR="00CA3EB1" w:rsidRPr="004D310E" w14:paraId="753E9DFB" w14:textId="77777777" w:rsidTr="007F53FB">
        <w:trPr>
          <w:trHeight w:val="4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CCD" w14:textId="77777777" w:rsidR="00CA3EB1" w:rsidRPr="004D310E" w:rsidRDefault="00CA3EB1" w:rsidP="007F53FB">
            <w:pPr>
              <w:pStyle w:val="naisnod"/>
              <w:spacing w:before="0" w:after="0"/>
              <w:ind w:left="57" w:right="-99"/>
              <w:jc w:val="left"/>
              <w:rPr>
                <w:b w:val="0"/>
                <w:sz w:val="26"/>
                <w:szCs w:val="26"/>
              </w:rPr>
            </w:pPr>
            <w:r w:rsidRPr="004D31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9F5" w14:textId="77777777" w:rsidR="00CA3EB1" w:rsidRPr="004D310E" w:rsidRDefault="00CA3EB1" w:rsidP="007F53FB">
            <w:pPr>
              <w:pStyle w:val="naisf"/>
              <w:spacing w:before="0" w:after="0"/>
              <w:ind w:left="57" w:right="53" w:firstLine="0"/>
              <w:jc w:val="left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 xml:space="preserve">Projekta izpildes ietekme uz pārvaldes funkcijām un institucionālo struktūru. </w:t>
            </w:r>
          </w:p>
          <w:p w14:paraId="2E319504" w14:textId="77777777" w:rsidR="00CA3EB1" w:rsidRPr="004D310E" w:rsidRDefault="00CA3EB1" w:rsidP="007F53FB">
            <w:pPr>
              <w:pStyle w:val="naisf"/>
              <w:spacing w:before="0" w:after="0"/>
              <w:ind w:left="57" w:right="53" w:firstLine="0"/>
              <w:jc w:val="left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B57" w14:textId="77777777" w:rsidR="00CA3EB1" w:rsidRPr="004D310E" w:rsidRDefault="00CA3EB1" w:rsidP="007F53FB">
            <w:pPr>
              <w:pStyle w:val="naisnod"/>
              <w:spacing w:before="0" w:after="0"/>
              <w:ind w:left="57"/>
              <w:jc w:val="both"/>
              <w:rPr>
                <w:b w:val="0"/>
                <w:sz w:val="26"/>
                <w:szCs w:val="26"/>
              </w:rPr>
            </w:pPr>
            <w:r w:rsidRPr="004D310E">
              <w:rPr>
                <w:b w:val="0"/>
                <w:sz w:val="26"/>
                <w:szCs w:val="26"/>
              </w:rPr>
              <w:t>Projekts šo jomu neskar.</w:t>
            </w:r>
          </w:p>
        </w:tc>
      </w:tr>
      <w:tr w:rsidR="00CA3EB1" w:rsidRPr="004D310E" w14:paraId="395A2A77" w14:textId="77777777" w:rsidTr="007F53FB">
        <w:trPr>
          <w:trHeight w:val="2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D2B" w14:textId="77777777" w:rsidR="00CA3EB1" w:rsidRPr="004D310E" w:rsidRDefault="00CA3EB1" w:rsidP="007F53FB">
            <w:pPr>
              <w:pStyle w:val="naiskr"/>
              <w:spacing w:before="0" w:after="0"/>
              <w:ind w:left="57"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58B" w14:textId="77777777" w:rsidR="00CA3EB1" w:rsidRPr="004D310E" w:rsidRDefault="00CA3EB1" w:rsidP="007F53FB">
            <w:pPr>
              <w:pStyle w:val="naiskr"/>
              <w:spacing w:before="0" w:after="0"/>
              <w:ind w:left="57"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Cita informācija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722" w14:textId="77777777" w:rsidR="00CA3EB1" w:rsidRPr="004D310E" w:rsidRDefault="00CA3EB1" w:rsidP="007F53FB">
            <w:pPr>
              <w:pStyle w:val="naiskr"/>
              <w:spacing w:before="0" w:after="0"/>
              <w:ind w:left="57" w:right="-99"/>
              <w:rPr>
                <w:sz w:val="26"/>
                <w:szCs w:val="26"/>
              </w:rPr>
            </w:pPr>
            <w:r w:rsidRPr="004D310E">
              <w:rPr>
                <w:sz w:val="26"/>
                <w:szCs w:val="26"/>
              </w:rPr>
              <w:t>Nav.</w:t>
            </w:r>
          </w:p>
        </w:tc>
      </w:tr>
    </w:tbl>
    <w:p w14:paraId="531BEA07" w14:textId="77777777" w:rsidR="000758E3" w:rsidRPr="000758E3" w:rsidRDefault="00CA3EB1" w:rsidP="000758E3">
      <w:pPr>
        <w:spacing w:line="270" w:lineRule="atLeast"/>
        <w:rPr>
          <w:i/>
          <w:sz w:val="26"/>
          <w:szCs w:val="26"/>
        </w:rPr>
      </w:pPr>
      <w:r w:rsidRPr="004D310E">
        <w:rPr>
          <w:rStyle w:val="apple-style-span"/>
          <w:i/>
          <w:sz w:val="26"/>
          <w:szCs w:val="26"/>
        </w:rPr>
        <w:t>Anotācijas III un IV sadaļa – projekts šīs jomas neskar.</w:t>
      </w:r>
    </w:p>
    <w:p w14:paraId="27F9246D" w14:textId="77777777" w:rsidR="00026181" w:rsidRDefault="00026181" w:rsidP="00026181">
      <w:pPr>
        <w:tabs>
          <w:tab w:val="right" w:pos="8931"/>
        </w:tabs>
        <w:ind w:right="85"/>
        <w:rPr>
          <w:sz w:val="26"/>
          <w:szCs w:val="26"/>
          <w:lang w:eastAsia="lv-LV"/>
        </w:rPr>
      </w:pPr>
    </w:p>
    <w:p w14:paraId="5569F346" w14:textId="77777777" w:rsidR="00D0102A" w:rsidRDefault="00D0102A" w:rsidP="000758E3">
      <w:pPr>
        <w:pStyle w:val="Heading1"/>
        <w:ind w:right="-666"/>
        <w:jc w:val="both"/>
        <w:rPr>
          <w:sz w:val="26"/>
          <w:szCs w:val="26"/>
        </w:rPr>
      </w:pPr>
    </w:p>
    <w:p w14:paraId="53BA5E94" w14:textId="77777777" w:rsidR="000758E3" w:rsidRPr="000758E3" w:rsidRDefault="000758E3" w:rsidP="000758E3">
      <w:pPr>
        <w:pStyle w:val="Heading1"/>
        <w:ind w:right="-666"/>
        <w:jc w:val="both"/>
        <w:rPr>
          <w:sz w:val="26"/>
          <w:szCs w:val="26"/>
        </w:rPr>
      </w:pPr>
      <w:r w:rsidRPr="000758E3">
        <w:rPr>
          <w:sz w:val="26"/>
          <w:szCs w:val="26"/>
        </w:rPr>
        <w:t xml:space="preserve">Ministru prezidenta biedrs, </w:t>
      </w:r>
    </w:p>
    <w:p w14:paraId="2FCB2AAF" w14:textId="77777777" w:rsidR="000758E3" w:rsidRPr="000758E3" w:rsidRDefault="000758E3" w:rsidP="000758E3">
      <w:pPr>
        <w:tabs>
          <w:tab w:val="left" w:pos="6237"/>
        </w:tabs>
        <w:ind w:right="-666"/>
        <w:rPr>
          <w:bCs/>
          <w:sz w:val="26"/>
          <w:szCs w:val="26"/>
        </w:rPr>
      </w:pPr>
      <w:r w:rsidRPr="000758E3">
        <w:rPr>
          <w:sz w:val="26"/>
          <w:szCs w:val="26"/>
        </w:rPr>
        <w:t>ekonomikas ministrs</w:t>
      </w:r>
      <w:r>
        <w:rPr>
          <w:sz w:val="26"/>
          <w:szCs w:val="26"/>
        </w:rPr>
        <w:tab/>
        <w:t xml:space="preserve">          </w:t>
      </w:r>
      <w:r w:rsidRPr="000758E3">
        <w:rPr>
          <w:sz w:val="26"/>
          <w:szCs w:val="26"/>
        </w:rPr>
        <w:t xml:space="preserve">   </w:t>
      </w:r>
      <w:proofErr w:type="spellStart"/>
      <w:r w:rsidRPr="000758E3">
        <w:rPr>
          <w:sz w:val="26"/>
          <w:szCs w:val="26"/>
        </w:rPr>
        <w:t>A.Ašeradens</w:t>
      </w:r>
      <w:proofErr w:type="spellEnd"/>
    </w:p>
    <w:p w14:paraId="20314A07" w14:textId="77777777" w:rsidR="00CA3EB1" w:rsidRPr="000758E3" w:rsidRDefault="00CA3EB1" w:rsidP="00CA3EB1">
      <w:pPr>
        <w:tabs>
          <w:tab w:val="left" w:pos="6237"/>
        </w:tabs>
        <w:ind w:right="-666"/>
        <w:rPr>
          <w:bCs/>
          <w:sz w:val="26"/>
          <w:szCs w:val="26"/>
        </w:rPr>
      </w:pPr>
    </w:p>
    <w:p w14:paraId="1DF1A8D7" w14:textId="77777777" w:rsidR="00CA3EB1" w:rsidRPr="000758E3" w:rsidRDefault="00CA3EB1" w:rsidP="00CA3EB1">
      <w:pPr>
        <w:ind w:right="-666"/>
        <w:rPr>
          <w:bCs/>
          <w:sz w:val="26"/>
          <w:szCs w:val="26"/>
        </w:rPr>
      </w:pPr>
      <w:r w:rsidRPr="000758E3">
        <w:rPr>
          <w:bCs/>
          <w:sz w:val="26"/>
          <w:szCs w:val="26"/>
        </w:rPr>
        <w:t xml:space="preserve">Vīza:  </w:t>
      </w:r>
    </w:p>
    <w:p w14:paraId="5AE6FFB8" w14:textId="77777777" w:rsidR="00A374CB" w:rsidRDefault="00187C78" w:rsidP="00CA3EB1">
      <w:pPr>
        <w:ind w:right="-666"/>
        <w:rPr>
          <w:bCs/>
          <w:sz w:val="27"/>
          <w:szCs w:val="27"/>
        </w:rPr>
      </w:pPr>
      <w:r w:rsidRPr="000758E3">
        <w:rPr>
          <w:bCs/>
          <w:sz w:val="26"/>
          <w:szCs w:val="26"/>
        </w:rPr>
        <w:t>valsts sekretārs</w:t>
      </w:r>
      <w:r w:rsidR="00CA3EB1" w:rsidRPr="000758E3">
        <w:rPr>
          <w:bCs/>
          <w:sz w:val="26"/>
          <w:szCs w:val="26"/>
        </w:rPr>
        <w:tab/>
        <w:t xml:space="preserve">                                                                     </w:t>
      </w:r>
      <w:r w:rsidRPr="000758E3">
        <w:rPr>
          <w:bCs/>
          <w:sz w:val="26"/>
          <w:szCs w:val="26"/>
        </w:rPr>
        <w:t xml:space="preserve">  </w:t>
      </w:r>
      <w:r w:rsidR="00E83C84" w:rsidRPr="000758E3">
        <w:rPr>
          <w:bCs/>
          <w:sz w:val="26"/>
          <w:szCs w:val="26"/>
        </w:rPr>
        <w:t xml:space="preserve">          </w:t>
      </w:r>
      <w:r w:rsidRPr="000758E3">
        <w:rPr>
          <w:bCs/>
          <w:sz w:val="26"/>
          <w:szCs w:val="26"/>
        </w:rPr>
        <w:t xml:space="preserve">  </w:t>
      </w:r>
      <w:proofErr w:type="spellStart"/>
      <w:r w:rsidR="00E83C84" w:rsidRPr="000758E3">
        <w:rPr>
          <w:bCs/>
          <w:sz w:val="26"/>
          <w:szCs w:val="26"/>
        </w:rPr>
        <w:t>J.Stinka</w:t>
      </w:r>
      <w:proofErr w:type="spellEnd"/>
      <w:r w:rsidR="00CA3EB1" w:rsidRPr="008E3426">
        <w:rPr>
          <w:bCs/>
          <w:sz w:val="27"/>
          <w:szCs w:val="27"/>
        </w:rPr>
        <w:tab/>
      </w:r>
    </w:p>
    <w:p w14:paraId="6AED17D9" w14:textId="77777777" w:rsidR="00CA3EB1" w:rsidRPr="000758E3" w:rsidRDefault="00CA3EB1" w:rsidP="000758E3">
      <w:pPr>
        <w:ind w:right="-66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</w:t>
      </w:r>
      <w:r w:rsidRPr="00E94C4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</w:t>
      </w:r>
    </w:p>
    <w:p w14:paraId="24B8D027" w14:textId="551ABE2D" w:rsidR="00CA3EB1" w:rsidRPr="00A01C1E" w:rsidRDefault="00026181" w:rsidP="00CA3EB1">
      <w:pPr>
        <w:pStyle w:val="naisf"/>
        <w:tabs>
          <w:tab w:val="left" w:pos="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54140C">
        <w:rPr>
          <w:noProof/>
          <w:sz w:val="20"/>
          <w:szCs w:val="20"/>
        </w:rPr>
        <w:t>24.10.2016 10:20</w:t>
      </w:r>
      <w:r>
        <w:rPr>
          <w:sz w:val="20"/>
          <w:szCs w:val="20"/>
        </w:rPr>
        <w:fldChar w:fldCharType="end"/>
      </w:r>
    </w:p>
    <w:p w14:paraId="6116266F" w14:textId="7896D005" w:rsidR="00CA3EB1" w:rsidRDefault="00D82E56" w:rsidP="00CA3EB1">
      <w:pPr>
        <w:pStyle w:val="naisf"/>
        <w:tabs>
          <w:tab w:val="left" w:pos="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19</w:t>
      </w:r>
      <w:r w:rsidR="00026181">
        <w:rPr>
          <w:sz w:val="20"/>
          <w:szCs w:val="20"/>
        </w:rPr>
        <w:t>84</w:t>
      </w:r>
    </w:p>
    <w:p w14:paraId="29CD47FE" w14:textId="77777777" w:rsidR="00CA3EB1" w:rsidRPr="00A01C1E" w:rsidRDefault="00E83C84" w:rsidP="00CA3EB1">
      <w:pPr>
        <w:pStyle w:val="naisf"/>
        <w:tabs>
          <w:tab w:val="left" w:pos="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Ločmele</w:t>
      </w:r>
      <w:r w:rsidR="00CA3EB1" w:rsidRPr="00A01C1E">
        <w:rPr>
          <w:sz w:val="20"/>
          <w:szCs w:val="20"/>
        </w:rPr>
        <w:t>, 670131</w:t>
      </w:r>
      <w:r>
        <w:rPr>
          <w:sz w:val="20"/>
          <w:szCs w:val="20"/>
        </w:rPr>
        <w:t>07</w:t>
      </w:r>
    </w:p>
    <w:p w14:paraId="434FA2AE" w14:textId="77777777" w:rsidR="00BA7F8E" w:rsidRPr="00E83C84" w:rsidRDefault="00F07BD5" w:rsidP="00E83C84">
      <w:pPr>
        <w:pStyle w:val="naisf"/>
        <w:tabs>
          <w:tab w:val="left" w:pos="0"/>
        </w:tabs>
        <w:spacing w:before="0" w:after="0"/>
        <w:ind w:firstLine="0"/>
        <w:rPr>
          <w:sz w:val="20"/>
          <w:szCs w:val="20"/>
        </w:rPr>
      </w:pPr>
      <w:hyperlink r:id="rId10" w:history="1">
        <w:r w:rsidR="00E83C84" w:rsidRPr="00AC1A5F">
          <w:rPr>
            <w:rStyle w:val="Hyperlink"/>
            <w:sz w:val="20"/>
            <w:szCs w:val="20"/>
          </w:rPr>
          <w:t>Dana.Locmele@em.gov.lv</w:t>
        </w:r>
      </w:hyperlink>
      <w:bookmarkStart w:id="8" w:name="c"/>
      <w:bookmarkEnd w:id="8"/>
    </w:p>
    <w:sectPr w:rsidR="00BA7F8E" w:rsidRPr="00E83C84" w:rsidSect="007F53FB">
      <w:headerReference w:type="default" r:id="rId11"/>
      <w:footerReference w:type="default" r:id="rId12"/>
      <w:footerReference w:type="first" r:id="rId13"/>
      <w:pgSz w:w="11906" w:h="16838"/>
      <w:pgMar w:top="1440" w:right="17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3FA6D" w14:textId="77777777" w:rsidR="00F07BD5" w:rsidRDefault="00F07BD5" w:rsidP="00CD1D80">
      <w:r>
        <w:separator/>
      </w:r>
    </w:p>
  </w:endnote>
  <w:endnote w:type="continuationSeparator" w:id="0">
    <w:p w14:paraId="20A1E9CC" w14:textId="77777777" w:rsidR="00F07BD5" w:rsidRDefault="00F07BD5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45F25" w14:textId="77777777" w:rsidR="00244141" w:rsidRDefault="00244141" w:rsidP="007F53FB">
    <w:pPr>
      <w:pStyle w:val="Footer"/>
      <w:jc w:val="both"/>
      <w:rPr>
        <w:sz w:val="20"/>
        <w:szCs w:val="20"/>
      </w:rPr>
    </w:pPr>
  </w:p>
  <w:p w14:paraId="70131070" w14:textId="2A7E21B6" w:rsidR="00DD098B" w:rsidRPr="004D310E" w:rsidRDefault="00DD098B" w:rsidP="00DD098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EManot_rotallietas_</w:t>
    </w:r>
    <w:r w:rsidR="002712C6">
      <w:rPr>
        <w:sz w:val="20"/>
        <w:szCs w:val="20"/>
      </w:rPr>
      <w:t>2010</w:t>
    </w:r>
    <w:r>
      <w:rPr>
        <w:sz w:val="20"/>
        <w:szCs w:val="20"/>
      </w:rPr>
      <w:t>16</w:t>
    </w:r>
    <w:r w:rsidRPr="00E90168">
      <w:rPr>
        <w:sz w:val="20"/>
        <w:szCs w:val="20"/>
      </w:rPr>
      <w:t>; Mini</w:t>
    </w:r>
    <w:r>
      <w:rPr>
        <w:sz w:val="20"/>
        <w:szCs w:val="20"/>
      </w:rPr>
      <w:t>stru kabineta noteikumu projekta</w:t>
    </w:r>
    <w:r w:rsidRPr="00E90168">
      <w:rPr>
        <w:sz w:val="20"/>
        <w:szCs w:val="20"/>
      </w:rPr>
      <w:t xml:space="preserve"> „</w:t>
    </w:r>
    <w:r w:rsidRPr="00E90168">
      <w:rPr>
        <w:bCs/>
        <w:sz w:val="20"/>
        <w:szCs w:val="20"/>
      </w:rPr>
      <w:t>Grozījumi Ministru kabineta 2011.gada 15.februāra noteikumos Nr.132 „</w:t>
    </w:r>
    <w:r w:rsidRPr="00E90168">
      <w:rPr>
        <w:sz w:val="20"/>
        <w:szCs w:val="20"/>
      </w:rPr>
      <w:t>Rotaļlietu drošuma noteikumi””</w:t>
    </w:r>
    <w:r>
      <w:rPr>
        <w:sz w:val="20"/>
        <w:szCs w:val="20"/>
      </w:rPr>
      <w:t xml:space="preserve"> sākotnējās ietekmes novērtējuma ziņojums (anotācija)</w:t>
    </w:r>
  </w:p>
  <w:p w14:paraId="266A9E96" w14:textId="77777777" w:rsidR="00244141" w:rsidRDefault="00244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D3B73" w14:textId="47988AAD" w:rsidR="00DD098B" w:rsidRPr="004D310E" w:rsidRDefault="00DD098B" w:rsidP="00DD098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EManot_rotallietas_</w:t>
    </w:r>
    <w:r w:rsidR="002712C6">
      <w:rPr>
        <w:sz w:val="20"/>
        <w:szCs w:val="20"/>
      </w:rPr>
      <w:t>2010</w:t>
    </w:r>
    <w:r>
      <w:rPr>
        <w:sz w:val="20"/>
        <w:szCs w:val="20"/>
      </w:rPr>
      <w:t>16</w:t>
    </w:r>
    <w:r w:rsidRPr="00E90168">
      <w:rPr>
        <w:sz w:val="20"/>
        <w:szCs w:val="20"/>
      </w:rPr>
      <w:t>; Mini</w:t>
    </w:r>
    <w:r>
      <w:rPr>
        <w:sz w:val="20"/>
        <w:szCs w:val="20"/>
      </w:rPr>
      <w:t>stru kabineta noteikumu projekta</w:t>
    </w:r>
    <w:r w:rsidRPr="00E90168">
      <w:rPr>
        <w:sz w:val="20"/>
        <w:szCs w:val="20"/>
      </w:rPr>
      <w:t xml:space="preserve"> „</w:t>
    </w:r>
    <w:r w:rsidRPr="00E90168">
      <w:rPr>
        <w:bCs/>
        <w:sz w:val="20"/>
        <w:szCs w:val="20"/>
      </w:rPr>
      <w:t>Grozījumi Ministru kabineta 2011.gada 15.februāra noteikumos Nr.132 „</w:t>
    </w:r>
    <w:r w:rsidRPr="00E90168">
      <w:rPr>
        <w:sz w:val="20"/>
        <w:szCs w:val="20"/>
      </w:rPr>
      <w:t>Rotaļlietu drošuma noteikumi””</w:t>
    </w:r>
    <w:r>
      <w:rPr>
        <w:sz w:val="20"/>
        <w:szCs w:val="20"/>
      </w:rPr>
      <w:t xml:space="preserve"> sākotnējās ietekmes novērtējuma ziņojums (anotācija)</w:t>
    </w:r>
  </w:p>
  <w:p w14:paraId="7A8E915A" w14:textId="77777777" w:rsidR="00244141" w:rsidRDefault="00244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171FF" w14:textId="77777777" w:rsidR="00F07BD5" w:rsidRDefault="00F07BD5" w:rsidP="00CD1D80">
      <w:r>
        <w:separator/>
      </w:r>
    </w:p>
  </w:footnote>
  <w:footnote w:type="continuationSeparator" w:id="0">
    <w:p w14:paraId="69945AA4" w14:textId="77777777" w:rsidR="00F07BD5" w:rsidRDefault="00F07BD5" w:rsidP="00CD1D80">
      <w:r>
        <w:continuationSeparator/>
      </w:r>
    </w:p>
  </w:footnote>
  <w:footnote w:id="1">
    <w:p w14:paraId="67C1CEEA" w14:textId="77777777" w:rsidR="00A46B65" w:rsidRDefault="00A46B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6B65">
        <w:t xml:space="preserve">Patērētāju drošības zinātniskā komiteja (SCCS), </w:t>
      </w:r>
      <w:proofErr w:type="spellStart"/>
      <w:r w:rsidRPr="00A46B65">
        <w:t>Opinion</w:t>
      </w:r>
      <w:proofErr w:type="spellEnd"/>
      <w:r w:rsidRPr="00A46B65">
        <w:t xml:space="preserve"> </w:t>
      </w:r>
      <w:proofErr w:type="spellStart"/>
      <w:r w:rsidRPr="00A46B65">
        <w:t>on</w:t>
      </w:r>
      <w:proofErr w:type="spellEnd"/>
      <w:r w:rsidRPr="00A46B65">
        <w:t xml:space="preserve"> </w:t>
      </w:r>
      <w:proofErr w:type="spellStart"/>
      <w:r w:rsidRPr="00A46B65">
        <w:t>benzisothiazolinone</w:t>
      </w:r>
      <w:proofErr w:type="spellEnd"/>
      <w:r w:rsidRPr="00A46B65">
        <w:t xml:space="preserve"> (BIT), pieņemts sanāksmē 2012. gada 26. un 27. jūnijā</w:t>
      </w:r>
      <w:r w:rsidR="00654A6E">
        <w:t>; pieejams elektroniski angļu valodā:</w:t>
      </w:r>
      <w:r w:rsidR="00297DA6">
        <w:t xml:space="preserve"> </w:t>
      </w:r>
      <w:hyperlink r:id="rId1" w:history="1">
        <w:r w:rsidR="00297DA6" w:rsidRPr="009355AB">
          <w:rPr>
            <w:rStyle w:val="Hyperlink"/>
          </w:rPr>
          <w:t>http://ec.europa.eu/health/scientific_committees/consumer_safety/docs/sccs_o_099.pdf</w:t>
        </w:r>
      </w:hyperlink>
      <w:r w:rsidR="00297DA6">
        <w:t xml:space="preserve"> </w:t>
      </w:r>
    </w:p>
  </w:footnote>
  <w:footnote w:id="2">
    <w:p w14:paraId="112BE484" w14:textId="77777777" w:rsidR="00654A6E" w:rsidRDefault="00654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54A6E">
        <w:t>French</w:t>
      </w:r>
      <w:proofErr w:type="spellEnd"/>
      <w:r w:rsidRPr="00654A6E">
        <w:t xml:space="preserve"> </w:t>
      </w:r>
      <w:proofErr w:type="spellStart"/>
      <w:r w:rsidRPr="00654A6E">
        <w:t>Agency</w:t>
      </w:r>
      <w:proofErr w:type="spellEnd"/>
      <w:r w:rsidRPr="00654A6E">
        <w:t xml:space="preserve"> </w:t>
      </w:r>
      <w:proofErr w:type="spellStart"/>
      <w:r w:rsidRPr="00654A6E">
        <w:t>for</w:t>
      </w:r>
      <w:proofErr w:type="spellEnd"/>
      <w:r w:rsidRPr="00654A6E">
        <w:t xml:space="preserve"> </w:t>
      </w:r>
      <w:proofErr w:type="spellStart"/>
      <w:r w:rsidRPr="00654A6E">
        <w:t>Food</w:t>
      </w:r>
      <w:proofErr w:type="spellEnd"/>
      <w:r w:rsidRPr="00654A6E">
        <w:t xml:space="preserve">, </w:t>
      </w:r>
      <w:proofErr w:type="spellStart"/>
      <w:r w:rsidRPr="00654A6E">
        <w:t>Environmental</w:t>
      </w:r>
      <w:proofErr w:type="spellEnd"/>
      <w:r w:rsidRPr="00654A6E">
        <w:t xml:space="preserve"> </w:t>
      </w:r>
      <w:proofErr w:type="spellStart"/>
      <w:r w:rsidRPr="00654A6E">
        <w:t>and</w:t>
      </w:r>
      <w:proofErr w:type="spellEnd"/>
      <w:r w:rsidRPr="00654A6E">
        <w:t xml:space="preserve"> </w:t>
      </w:r>
      <w:proofErr w:type="spellStart"/>
      <w:r w:rsidRPr="00654A6E">
        <w:t>Occupational</w:t>
      </w:r>
      <w:proofErr w:type="spellEnd"/>
      <w:r w:rsidRPr="00654A6E">
        <w:t xml:space="preserve"> </w:t>
      </w:r>
      <w:proofErr w:type="spellStart"/>
      <w:r w:rsidRPr="00654A6E">
        <w:t>Health</w:t>
      </w:r>
      <w:proofErr w:type="spellEnd"/>
      <w:r w:rsidRPr="00654A6E">
        <w:t xml:space="preserve"> &amp; </w:t>
      </w:r>
      <w:proofErr w:type="spellStart"/>
      <w:r w:rsidRPr="00654A6E">
        <w:t>Safety</w:t>
      </w:r>
      <w:proofErr w:type="spellEnd"/>
      <w:r w:rsidRPr="00654A6E">
        <w:t xml:space="preserve"> (ANSES), </w:t>
      </w:r>
      <w:proofErr w:type="spellStart"/>
      <w:r w:rsidRPr="00654A6E">
        <w:t>Opinion</w:t>
      </w:r>
      <w:proofErr w:type="spellEnd"/>
      <w:r w:rsidRPr="00654A6E">
        <w:t xml:space="preserve"> </w:t>
      </w:r>
      <w:proofErr w:type="spellStart"/>
      <w:r w:rsidRPr="00654A6E">
        <w:t>on</w:t>
      </w:r>
      <w:proofErr w:type="spellEnd"/>
      <w:r w:rsidRPr="00654A6E">
        <w:t xml:space="preserve"> </w:t>
      </w:r>
      <w:proofErr w:type="spellStart"/>
      <w:r w:rsidRPr="00654A6E">
        <w:t>the</w:t>
      </w:r>
      <w:proofErr w:type="spellEnd"/>
      <w:r w:rsidRPr="00654A6E">
        <w:t xml:space="preserve"> </w:t>
      </w:r>
      <w:proofErr w:type="spellStart"/>
      <w:r w:rsidRPr="00654A6E">
        <w:t>uses</w:t>
      </w:r>
      <w:proofErr w:type="spellEnd"/>
      <w:r w:rsidRPr="00654A6E">
        <w:t xml:space="preserve"> </w:t>
      </w:r>
      <w:proofErr w:type="spellStart"/>
      <w:r w:rsidRPr="00654A6E">
        <w:t>of</w:t>
      </w:r>
      <w:proofErr w:type="spellEnd"/>
      <w:r w:rsidRPr="00654A6E">
        <w:t xml:space="preserve"> </w:t>
      </w:r>
      <w:proofErr w:type="spellStart"/>
      <w:r w:rsidRPr="00654A6E">
        <w:t>formamide</w:t>
      </w:r>
      <w:proofErr w:type="spellEnd"/>
      <w:r w:rsidRPr="00654A6E">
        <w:t xml:space="preserve"> in </w:t>
      </w:r>
      <w:proofErr w:type="spellStart"/>
      <w:r w:rsidRPr="00654A6E">
        <w:t>consumer</w:t>
      </w:r>
      <w:proofErr w:type="spellEnd"/>
      <w:r w:rsidRPr="00654A6E">
        <w:t xml:space="preserve"> </w:t>
      </w:r>
      <w:proofErr w:type="spellStart"/>
      <w:r w:rsidRPr="00654A6E">
        <w:t>goods</w:t>
      </w:r>
      <w:proofErr w:type="spellEnd"/>
      <w:r w:rsidRPr="00654A6E">
        <w:t xml:space="preserve"> </w:t>
      </w:r>
      <w:proofErr w:type="spellStart"/>
      <w:r w:rsidRPr="00654A6E">
        <w:t>and</w:t>
      </w:r>
      <w:proofErr w:type="spellEnd"/>
      <w:r w:rsidRPr="00654A6E">
        <w:t xml:space="preserve"> </w:t>
      </w:r>
      <w:proofErr w:type="spellStart"/>
      <w:r w:rsidRPr="00654A6E">
        <w:t>health</w:t>
      </w:r>
      <w:proofErr w:type="spellEnd"/>
      <w:r w:rsidRPr="00654A6E">
        <w:t xml:space="preserve"> risks </w:t>
      </w:r>
      <w:proofErr w:type="spellStart"/>
      <w:r w:rsidRPr="00654A6E">
        <w:t>related</w:t>
      </w:r>
      <w:proofErr w:type="spellEnd"/>
      <w:r w:rsidRPr="00654A6E">
        <w:t xml:space="preserve"> to </w:t>
      </w:r>
      <w:proofErr w:type="spellStart"/>
      <w:r w:rsidRPr="00654A6E">
        <w:t>formamide</w:t>
      </w:r>
      <w:proofErr w:type="spellEnd"/>
      <w:r w:rsidRPr="00654A6E">
        <w:t xml:space="preserve"> in </w:t>
      </w:r>
      <w:proofErr w:type="spellStart"/>
      <w:r w:rsidRPr="00654A6E">
        <w:t>children's</w:t>
      </w:r>
      <w:proofErr w:type="spellEnd"/>
      <w:r w:rsidRPr="00654A6E">
        <w:t xml:space="preserve"> </w:t>
      </w:r>
      <w:proofErr w:type="spellStart"/>
      <w:r w:rsidRPr="00654A6E">
        <w:t>foam</w:t>
      </w:r>
      <w:proofErr w:type="spellEnd"/>
      <w:r w:rsidRPr="00654A6E">
        <w:t xml:space="preserve"> </w:t>
      </w:r>
      <w:proofErr w:type="spellStart"/>
      <w:r w:rsidRPr="00654A6E">
        <w:t>puzzle</w:t>
      </w:r>
      <w:proofErr w:type="spellEnd"/>
      <w:r w:rsidRPr="00654A6E">
        <w:t xml:space="preserve"> mats, ANSES atzinums, pieprasījums Nr. 201</w:t>
      </w:r>
      <w:r>
        <w:t xml:space="preserve">0-SA-0302, 2011. gada 4. jūlijs; pieejams elektroniski angļu un franču valodā: </w:t>
      </w:r>
      <w:hyperlink r:id="rId2" w:history="1">
        <w:r w:rsidRPr="00AC1A5F">
          <w:rPr>
            <w:rStyle w:val="Hyperlink"/>
          </w:rPr>
          <w:t>https://www.anses.fr/en/system/files/CHIM2010sa0302Ra-2EN.pdf</w:t>
        </w:r>
      </w:hyperlink>
      <w:r>
        <w:t xml:space="preserve"> </w:t>
      </w:r>
    </w:p>
  </w:footnote>
  <w:footnote w:id="3">
    <w:p w14:paraId="48631035" w14:textId="77777777" w:rsidR="00C66537" w:rsidRDefault="00C665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6537">
        <w:t xml:space="preserve">Patērētāju drošības zinātniskā komiteja (SCCS), </w:t>
      </w:r>
      <w:proofErr w:type="spellStart"/>
      <w:r w:rsidRPr="00C66537">
        <w:t>Opinion</w:t>
      </w:r>
      <w:proofErr w:type="spellEnd"/>
      <w:r w:rsidRPr="00C66537">
        <w:t xml:space="preserve"> </w:t>
      </w:r>
      <w:proofErr w:type="spellStart"/>
      <w:r w:rsidRPr="00C66537">
        <w:t>on</w:t>
      </w:r>
      <w:proofErr w:type="spellEnd"/>
      <w:r w:rsidRPr="00C66537">
        <w:t xml:space="preserve"> </w:t>
      </w:r>
      <w:proofErr w:type="spellStart"/>
      <w:r w:rsidRPr="00C66537">
        <w:t>the</w:t>
      </w:r>
      <w:proofErr w:type="spellEnd"/>
      <w:r w:rsidRPr="00C66537">
        <w:t xml:space="preserve"> </w:t>
      </w:r>
      <w:proofErr w:type="spellStart"/>
      <w:r w:rsidRPr="00C66537">
        <w:t>mixture</w:t>
      </w:r>
      <w:proofErr w:type="spellEnd"/>
      <w:r w:rsidRPr="00C66537">
        <w:t xml:space="preserve"> </w:t>
      </w:r>
      <w:proofErr w:type="spellStart"/>
      <w:r w:rsidRPr="00C66537">
        <w:t>of</w:t>
      </w:r>
      <w:proofErr w:type="spellEnd"/>
      <w:r w:rsidRPr="00C66537">
        <w:t xml:space="preserve"> 5-chloro-2-methylisothiazolin-3(2H)-one </w:t>
      </w:r>
      <w:proofErr w:type="spellStart"/>
      <w:r w:rsidRPr="00C66537">
        <w:t>and</w:t>
      </w:r>
      <w:proofErr w:type="spellEnd"/>
      <w:r w:rsidRPr="00C66537">
        <w:t xml:space="preserve"> 2-methylisothiazolin-3(2H)-one, pieņemts 2009. gada 8. decembrī</w:t>
      </w:r>
      <w:r>
        <w:t xml:space="preserve">, pieejams elektroniski angļu valodā: </w:t>
      </w:r>
      <w:bookmarkStart w:id="7" w:name="_GoBack"/>
      <w:bookmarkEnd w:id="7"/>
      <w:r w:rsidR="00F07BD5">
        <w:fldChar w:fldCharType="begin"/>
      </w:r>
      <w:r w:rsidR="00F07BD5">
        <w:instrText xml:space="preserve"> HYPERLINK "http://ec.europa.eu/hea</w:instrText>
      </w:r>
      <w:r w:rsidR="00F07BD5">
        <w:instrText xml:space="preserve">lth/scientific_committees/consumer_safety/docs/sccs_o_009.pdf" </w:instrText>
      </w:r>
      <w:r w:rsidR="00F07BD5">
        <w:fldChar w:fldCharType="separate"/>
      </w:r>
      <w:r w:rsidRPr="00AC1A5F">
        <w:rPr>
          <w:rStyle w:val="Hyperlink"/>
        </w:rPr>
        <w:t>http://ec.europa.eu/health/scientific_committees/consumer_safety/docs/sccs_o_009.pdf</w:t>
      </w:r>
      <w:r w:rsidR="00F07BD5">
        <w:rPr>
          <w:rStyle w:val="Hyperlink"/>
        </w:rPr>
        <w:fldChar w:fldCharType="end"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DE298" w14:textId="77777777" w:rsidR="00244141" w:rsidRDefault="002441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40C">
      <w:rPr>
        <w:noProof/>
      </w:rPr>
      <w:t>3</w:t>
    </w:r>
    <w:r>
      <w:fldChar w:fldCharType="end"/>
    </w:r>
  </w:p>
  <w:p w14:paraId="623AD4C2" w14:textId="77777777" w:rsidR="00244141" w:rsidRDefault="00244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2037"/>
    <w:multiLevelType w:val="hybridMultilevel"/>
    <w:tmpl w:val="A5BA72DC"/>
    <w:lvl w:ilvl="0" w:tplc="1E1684DE">
      <w:start w:val="2014"/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1"/>
    <w:rsid w:val="0000109C"/>
    <w:rsid w:val="00004DCA"/>
    <w:rsid w:val="00026181"/>
    <w:rsid w:val="00043F4A"/>
    <w:rsid w:val="000758E3"/>
    <w:rsid w:val="000A2A64"/>
    <w:rsid w:val="000C6A38"/>
    <w:rsid w:val="000D1795"/>
    <w:rsid w:val="000D59BC"/>
    <w:rsid w:val="000E3A05"/>
    <w:rsid w:val="00145CCD"/>
    <w:rsid w:val="001830C3"/>
    <w:rsid w:val="00187C78"/>
    <w:rsid w:val="001C1605"/>
    <w:rsid w:val="00244141"/>
    <w:rsid w:val="00247E04"/>
    <w:rsid w:val="00264050"/>
    <w:rsid w:val="002712C6"/>
    <w:rsid w:val="00273F42"/>
    <w:rsid w:val="00297DA6"/>
    <w:rsid w:val="002D476C"/>
    <w:rsid w:val="0031244A"/>
    <w:rsid w:val="00313101"/>
    <w:rsid w:val="003245AA"/>
    <w:rsid w:val="003271E7"/>
    <w:rsid w:val="003872C0"/>
    <w:rsid w:val="00430C37"/>
    <w:rsid w:val="00485316"/>
    <w:rsid w:val="0049487B"/>
    <w:rsid w:val="004A2260"/>
    <w:rsid w:val="004B15DF"/>
    <w:rsid w:val="004E7532"/>
    <w:rsid w:val="00523AAD"/>
    <w:rsid w:val="0054140C"/>
    <w:rsid w:val="00557772"/>
    <w:rsid w:val="00572D8D"/>
    <w:rsid w:val="00615246"/>
    <w:rsid w:val="006226DC"/>
    <w:rsid w:val="00652B95"/>
    <w:rsid w:val="00654A6E"/>
    <w:rsid w:val="00672D70"/>
    <w:rsid w:val="006B0275"/>
    <w:rsid w:val="006B156F"/>
    <w:rsid w:val="006C2399"/>
    <w:rsid w:val="00701A71"/>
    <w:rsid w:val="00711022"/>
    <w:rsid w:val="00716D09"/>
    <w:rsid w:val="00741461"/>
    <w:rsid w:val="0079030E"/>
    <w:rsid w:val="00793B9B"/>
    <w:rsid w:val="007D0D67"/>
    <w:rsid w:val="007F53FB"/>
    <w:rsid w:val="008021D3"/>
    <w:rsid w:val="00807ED9"/>
    <w:rsid w:val="00862D64"/>
    <w:rsid w:val="008C7E09"/>
    <w:rsid w:val="008D4E63"/>
    <w:rsid w:val="008E756C"/>
    <w:rsid w:val="00945C06"/>
    <w:rsid w:val="009631D4"/>
    <w:rsid w:val="009840AF"/>
    <w:rsid w:val="0098412A"/>
    <w:rsid w:val="009A5E85"/>
    <w:rsid w:val="009C5C90"/>
    <w:rsid w:val="009F6260"/>
    <w:rsid w:val="00A13A49"/>
    <w:rsid w:val="00A17674"/>
    <w:rsid w:val="00A374CB"/>
    <w:rsid w:val="00A46B65"/>
    <w:rsid w:val="00A47335"/>
    <w:rsid w:val="00A62F1B"/>
    <w:rsid w:val="00A95EDB"/>
    <w:rsid w:val="00AB5CC0"/>
    <w:rsid w:val="00AF1852"/>
    <w:rsid w:val="00B0783C"/>
    <w:rsid w:val="00B40F92"/>
    <w:rsid w:val="00B42AC2"/>
    <w:rsid w:val="00B6104F"/>
    <w:rsid w:val="00B7202F"/>
    <w:rsid w:val="00BA3F9E"/>
    <w:rsid w:val="00BA7F8E"/>
    <w:rsid w:val="00BD502F"/>
    <w:rsid w:val="00BE5BBC"/>
    <w:rsid w:val="00C66193"/>
    <w:rsid w:val="00C66537"/>
    <w:rsid w:val="00C94930"/>
    <w:rsid w:val="00CA3EB1"/>
    <w:rsid w:val="00CD1D80"/>
    <w:rsid w:val="00CF005A"/>
    <w:rsid w:val="00D0102A"/>
    <w:rsid w:val="00D45314"/>
    <w:rsid w:val="00D82E56"/>
    <w:rsid w:val="00DC7477"/>
    <w:rsid w:val="00DD098B"/>
    <w:rsid w:val="00E26B25"/>
    <w:rsid w:val="00E42213"/>
    <w:rsid w:val="00E53137"/>
    <w:rsid w:val="00E83C84"/>
    <w:rsid w:val="00E939E7"/>
    <w:rsid w:val="00EC2ABA"/>
    <w:rsid w:val="00EF0238"/>
    <w:rsid w:val="00EF49C6"/>
    <w:rsid w:val="00F07BD5"/>
    <w:rsid w:val="00F56D25"/>
    <w:rsid w:val="00F57871"/>
    <w:rsid w:val="00F630D8"/>
    <w:rsid w:val="00F73A93"/>
    <w:rsid w:val="00F93305"/>
    <w:rsid w:val="00FA1574"/>
    <w:rsid w:val="00FC1C4B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1B5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1"/>
    <w:rPr>
      <w:rFonts w:eastAsia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EB1"/>
    <w:pPr>
      <w:keepNext/>
      <w:jc w:val="right"/>
      <w:outlineLvl w:val="0"/>
    </w:pPr>
    <w:rPr>
      <w:color w:val="auto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EB1"/>
    <w:rPr>
      <w:rFonts w:eastAsia="Times New Roman" w:cs="Times New Roman"/>
      <w:szCs w:val="20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3E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3EB1"/>
    <w:rPr>
      <w:rFonts w:ascii="Arial" w:eastAsia="Times New Roman" w:hAnsi="Arial" w:cs="Arial"/>
      <w:vanish/>
      <w:color w:val="000000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CA3EB1"/>
    <w:pPr>
      <w:spacing w:before="69" w:after="69"/>
      <w:ind w:firstLine="346"/>
      <w:jc w:val="both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EB1"/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B1"/>
    <w:rPr>
      <w:rFonts w:eastAsia="Times New Roman" w:cs="Times New Roman"/>
      <w:color w:val="000000"/>
      <w:sz w:val="20"/>
      <w:szCs w:val="20"/>
      <w:lang w:eastAsia="lv-LV"/>
    </w:rPr>
  </w:style>
  <w:style w:type="paragraph" w:customStyle="1" w:styleId="naisf">
    <w:name w:val="naisf"/>
    <w:basedOn w:val="Normal"/>
    <w:rsid w:val="00CA3EB1"/>
    <w:pPr>
      <w:spacing w:before="69" w:after="69"/>
      <w:ind w:firstLine="346"/>
      <w:jc w:val="both"/>
    </w:pPr>
    <w:rPr>
      <w:lang w:eastAsia="lv-LV"/>
    </w:rPr>
  </w:style>
  <w:style w:type="paragraph" w:customStyle="1" w:styleId="naisnod">
    <w:name w:val="naisnod"/>
    <w:basedOn w:val="Normal"/>
    <w:rsid w:val="00CA3EB1"/>
    <w:pPr>
      <w:spacing w:before="150" w:after="150"/>
      <w:jc w:val="center"/>
    </w:pPr>
    <w:rPr>
      <w:b/>
      <w:bCs/>
      <w:lang w:eastAsia="lv-LV"/>
    </w:rPr>
  </w:style>
  <w:style w:type="paragraph" w:customStyle="1" w:styleId="naislab">
    <w:name w:val="naislab"/>
    <w:basedOn w:val="Normal"/>
    <w:rsid w:val="00CA3EB1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Normal"/>
    <w:rsid w:val="00CA3EB1"/>
    <w:pPr>
      <w:spacing w:before="75" w:after="75"/>
    </w:pPr>
    <w:rPr>
      <w:lang w:eastAsia="lv-LV"/>
    </w:rPr>
  </w:style>
  <w:style w:type="character" w:customStyle="1" w:styleId="apple-style-span">
    <w:name w:val="apple-style-span"/>
    <w:basedOn w:val="DefaultParagraphFont"/>
    <w:rsid w:val="00CA3EB1"/>
  </w:style>
  <w:style w:type="paragraph" w:styleId="Header">
    <w:name w:val="header"/>
    <w:basedOn w:val="Normal"/>
    <w:link w:val="HeaderChar"/>
    <w:uiPriority w:val="99"/>
    <w:unhideWhenUsed/>
    <w:rsid w:val="00CA3E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B1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B1"/>
    <w:rPr>
      <w:rFonts w:eastAsia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CA3EB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A3EB1"/>
    <w:pPr>
      <w:widowControl w:val="0"/>
      <w:spacing w:before="60" w:after="60" w:line="360" w:lineRule="auto"/>
      <w:ind w:firstLine="720"/>
      <w:jc w:val="center"/>
      <w:outlineLvl w:val="1"/>
    </w:pPr>
    <w:rPr>
      <w:rFonts w:ascii="Arial" w:hAnsi="Arial" w:cs="Arial"/>
      <w:color w:val="auto"/>
      <w:lang w:val="en-AU"/>
    </w:rPr>
  </w:style>
  <w:style w:type="character" w:customStyle="1" w:styleId="SubtitleChar">
    <w:name w:val="Subtitle Char"/>
    <w:basedOn w:val="DefaultParagraphFont"/>
    <w:link w:val="Subtitle"/>
    <w:rsid w:val="00CA3EB1"/>
    <w:rPr>
      <w:rFonts w:ascii="Arial" w:eastAsia="Times New Roman" w:hAnsi="Arial" w:cs="Arial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C0"/>
    <w:rPr>
      <w:rFonts w:ascii="Segoe UI" w:eastAsia="Times New Roman" w:hAnsi="Segoe UI" w:cs="Segoe UI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46B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9E7"/>
    <w:rPr>
      <w:rFonts w:eastAsia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9E7"/>
    <w:rPr>
      <w:rFonts w:eastAsia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1"/>
    <w:rPr>
      <w:rFonts w:eastAsia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EB1"/>
    <w:pPr>
      <w:keepNext/>
      <w:jc w:val="right"/>
      <w:outlineLvl w:val="0"/>
    </w:pPr>
    <w:rPr>
      <w:color w:val="auto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EB1"/>
    <w:rPr>
      <w:rFonts w:eastAsia="Times New Roman" w:cs="Times New Roman"/>
      <w:szCs w:val="20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3E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3EB1"/>
    <w:rPr>
      <w:rFonts w:ascii="Arial" w:eastAsia="Times New Roman" w:hAnsi="Arial" w:cs="Arial"/>
      <w:vanish/>
      <w:color w:val="000000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CA3EB1"/>
    <w:pPr>
      <w:spacing w:before="69" w:after="69"/>
      <w:ind w:firstLine="346"/>
      <w:jc w:val="both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EB1"/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B1"/>
    <w:rPr>
      <w:rFonts w:eastAsia="Times New Roman" w:cs="Times New Roman"/>
      <w:color w:val="000000"/>
      <w:sz w:val="20"/>
      <w:szCs w:val="20"/>
      <w:lang w:eastAsia="lv-LV"/>
    </w:rPr>
  </w:style>
  <w:style w:type="paragraph" w:customStyle="1" w:styleId="naisf">
    <w:name w:val="naisf"/>
    <w:basedOn w:val="Normal"/>
    <w:rsid w:val="00CA3EB1"/>
    <w:pPr>
      <w:spacing w:before="69" w:after="69"/>
      <w:ind w:firstLine="346"/>
      <w:jc w:val="both"/>
    </w:pPr>
    <w:rPr>
      <w:lang w:eastAsia="lv-LV"/>
    </w:rPr>
  </w:style>
  <w:style w:type="paragraph" w:customStyle="1" w:styleId="naisnod">
    <w:name w:val="naisnod"/>
    <w:basedOn w:val="Normal"/>
    <w:rsid w:val="00CA3EB1"/>
    <w:pPr>
      <w:spacing w:before="150" w:after="150"/>
      <w:jc w:val="center"/>
    </w:pPr>
    <w:rPr>
      <w:b/>
      <w:bCs/>
      <w:lang w:eastAsia="lv-LV"/>
    </w:rPr>
  </w:style>
  <w:style w:type="paragraph" w:customStyle="1" w:styleId="naislab">
    <w:name w:val="naislab"/>
    <w:basedOn w:val="Normal"/>
    <w:rsid w:val="00CA3EB1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Normal"/>
    <w:rsid w:val="00CA3EB1"/>
    <w:pPr>
      <w:spacing w:before="75" w:after="75"/>
    </w:pPr>
    <w:rPr>
      <w:lang w:eastAsia="lv-LV"/>
    </w:rPr>
  </w:style>
  <w:style w:type="character" w:customStyle="1" w:styleId="apple-style-span">
    <w:name w:val="apple-style-span"/>
    <w:basedOn w:val="DefaultParagraphFont"/>
    <w:rsid w:val="00CA3EB1"/>
  </w:style>
  <w:style w:type="paragraph" w:styleId="Header">
    <w:name w:val="header"/>
    <w:basedOn w:val="Normal"/>
    <w:link w:val="HeaderChar"/>
    <w:uiPriority w:val="99"/>
    <w:unhideWhenUsed/>
    <w:rsid w:val="00CA3E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B1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B1"/>
    <w:rPr>
      <w:rFonts w:eastAsia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CA3EB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A3EB1"/>
    <w:pPr>
      <w:widowControl w:val="0"/>
      <w:spacing w:before="60" w:after="60" w:line="360" w:lineRule="auto"/>
      <w:ind w:firstLine="720"/>
      <w:jc w:val="center"/>
      <w:outlineLvl w:val="1"/>
    </w:pPr>
    <w:rPr>
      <w:rFonts w:ascii="Arial" w:hAnsi="Arial" w:cs="Arial"/>
      <w:color w:val="auto"/>
      <w:lang w:val="en-AU"/>
    </w:rPr>
  </w:style>
  <w:style w:type="character" w:customStyle="1" w:styleId="SubtitleChar">
    <w:name w:val="Subtitle Char"/>
    <w:basedOn w:val="DefaultParagraphFont"/>
    <w:link w:val="Subtitle"/>
    <w:rsid w:val="00CA3EB1"/>
    <w:rPr>
      <w:rFonts w:ascii="Arial" w:eastAsia="Times New Roman" w:hAnsi="Arial" w:cs="Arial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C0"/>
    <w:rPr>
      <w:rFonts w:ascii="Segoe UI" w:eastAsia="Times New Roman" w:hAnsi="Segoe UI" w:cs="Segoe UI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46B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9E7"/>
    <w:rPr>
      <w:rFonts w:eastAsia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9E7"/>
    <w:rPr>
      <w:rFonts w:eastAsia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a.Locmele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.gov.l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ses.fr/en/system/files/CHIM2010sa0302Ra-2EN.pdf" TargetMode="External"/><Relationship Id="rId1" Type="http://schemas.openxmlformats.org/officeDocument/2006/relationships/hyperlink" Target="http://ec.europa.eu/health/scientific_committees/consumer_safety/docs/sccs_o_0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CDE3-9421-4900-9F42-F606A39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9903</Words>
  <Characters>5645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2011.gada 15.februāra noteikumos Nr.132 “Rotaļlietu drošuma noteikumi”” sākotnējās ietekmes novērtējuma ziņojums</vt:lpstr>
    </vt:vector>
  </TitlesOfParts>
  <Company>LR Ekonomikas ministrija</Company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2011.gada 15.februāra noteikumos Nr.132 “Rotaļlietu drošuma noteikumi”” sākotnējās ietekmes novērtējuma ziņojums</dc:title>
  <dc:subject>Noteikumu projekta anotācija</dc:subject>
  <dc:creator>Dana.Locmele@em.gov.lv</dc:creator>
  <cp:keywords/>
  <dc:description/>
  <cp:lastModifiedBy>Inta Kroja</cp:lastModifiedBy>
  <cp:revision>7</cp:revision>
  <cp:lastPrinted>2015-07-07T11:28:00Z</cp:lastPrinted>
  <dcterms:created xsi:type="dcterms:W3CDTF">2016-09-17T19:22:00Z</dcterms:created>
  <dcterms:modified xsi:type="dcterms:W3CDTF">2016-10-24T07:21:00Z</dcterms:modified>
  <cp:contentStatus/>
</cp:coreProperties>
</file>